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版本号：241024001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土木工程毁伤测试与分析实验平台项目</w:t>
      </w:r>
    </w:p>
    <w:p>
      <w:pPr>
        <w:pStyle w:val="null3"/>
        <w:jc w:val="center"/>
        <w:outlineLvl w:val="2"/>
      </w:pPr>
      <w:r>
        <w:rPr>
          <w:sz w:val="28"/>
          <w:b/>
        </w:rPr>
        <w:t>采购项目编号：</w:t>
      </w:r>
      <w:r>
        <w:rPr>
          <w:sz w:val="28"/>
          <w:b/>
        </w:rPr>
        <w:t>ZMZB2024GYDX-341</w:t>
      </w:r>
      <w:r>
        <w:br/>
      </w:r>
      <w:r>
        <w:br/>
      </w:r>
      <w:r>
        <w:br/>
      </w:r>
    </w:p>
    <w:p>
      <w:pPr>
        <w:pStyle w:val="null3"/>
        <w:jc w:val="center"/>
        <w:outlineLvl w:val="2"/>
      </w:pPr>
      <w:r>
        <w:rPr>
          <w:sz w:val="28"/>
          <w:b/>
        </w:rPr>
        <w:t>西安工业大学</w:t>
      </w:r>
    </w:p>
    <w:p>
      <w:pPr>
        <w:pStyle w:val="null3"/>
        <w:jc w:val="center"/>
        <w:outlineLvl w:val="2"/>
      </w:pPr>
      <w:r>
        <w:rPr>
          <w:sz w:val="28"/>
          <w:b/>
        </w:rPr>
        <w:t>陕西卓佲项目管理有限公司</w:t>
      </w:r>
      <w:r>
        <w:rPr>
          <w:sz w:val="28"/>
          <w:b/>
        </w:rPr>
        <w:t>共同编制</w:t>
      </w:r>
    </w:p>
    <w:p>
      <w:pPr>
        <w:pStyle w:val="null3"/>
        <w:jc w:val="center"/>
        <w:outlineLvl w:val="2"/>
      </w:pPr>
      <w:r>
        <w:rPr>
          <w:sz w:val="28"/>
          <w:b/>
        </w:rPr>
        <w:t>2024年10月24日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陕西卓佲项目管理有限公司</w:t>
      </w:r>
      <w:r>
        <w:rPr/>
        <w:t>（以下简称“代理机构”）受</w:t>
      </w:r>
      <w:r>
        <w:rPr/>
        <w:t>西安工业大学</w:t>
      </w:r>
      <w:r>
        <w:rPr/>
        <w:t>委托，拟对</w:t>
      </w:r>
      <w:r>
        <w:rPr/>
        <w:t>土木工程毁伤测试与分析实验平台项目</w:t>
      </w:r>
      <w:r>
        <w:rPr/>
        <w:t>进行国内公开招标，兹邀请符合本次招标要求的供应商参加投标。</w:t>
      </w:r>
    </w:p>
    <w:p>
      <w:pPr>
        <w:pStyle w:val="null3"/>
        <w:outlineLvl w:val="2"/>
      </w:pPr>
      <w:r>
        <w:rPr>
          <w:sz w:val="28"/>
          <w:b/>
        </w:rPr>
        <w:t>一、采购项目编号：</w:t>
      </w:r>
      <w:r>
        <w:rPr>
          <w:sz w:val="28"/>
          <w:b/>
        </w:rPr>
        <w:t>ZMZB2024GYDX-341</w:t>
      </w:r>
    </w:p>
    <w:p>
      <w:pPr>
        <w:pStyle w:val="null3"/>
        <w:outlineLvl w:val="2"/>
      </w:pPr>
      <w:r>
        <w:rPr>
          <w:sz w:val="28"/>
          <w:b/>
        </w:rPr>
        <w:t>二、采购项目名称：</w:t>
      </w:r>
      <w:r>
        <w:rPr>
          <w:sz w:val="28"/>
          <w:b/>
        </w:rPr>
        <w:t>土木工程毁伤测试与分析实验平台项目</w:t>
      </w:r>
    </w:p>
    <w:p>
      <w:pPr>
        <w:pStyle w:val="null3"/>
        <w:outlineLvl w:val="2"/>
      </w:pPr>
      <w:r>
        <w:rPr>
          <w:sz w:val="28"/>
          <w:b/>
        </w:rPr>
        <w:t>三、招标项目简介</w:t>
      </w:r>
    </w:p>
    <w:p>
      <w:pPr>
        <w:pStyle w:val="null3"/>
        <w:ind w:firstLine="480"/>
      </w:pPr>
      <w:r>
        <w:rPr/>
        <w:t>学校土木工程毁伤测试与分析实验平台项目，包含教学和科研用结构毁伤霍普金森测试系统一套。</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2023年度经审计完整的财务审计报告（成立时间至提交响应截止时间不足一年的可提供成立后任意时段的资产负债表），或其开标前三个月内银行出具的资信证明，或财政部门认可的政府采购专业担保机构出具的投标担保函</w:t>
      </w:r>
    </w:p>
    <w:p>
      <w:pPr>
        <w:pStyle w:val="null3"/>
      </w:pPr>
      <w:r>
        <w:rPr/>
        <w:t>3、具有履行合同所必需的设备和专业技术能力的书面声明：具有履行合同所必需的设备和专业技术能力的书面声明</w:t>
      </w:r>
    </w:p>
    <w:p>
      <w:pPr>
        <w:pStyle w:val="null3"/>
      </w:pPr>
      <w:r>
        <w:rPr/>
        <w:t>4、税收缴纳证明：提供 2024年1月（含1月）以来至少一个月的纳税证明或完税证明（时间以税款所属日期为准），依法免税的单位应提供相关证明材料</w:t>
      </w:r>
    </w:p>
    <w:p>
      <w:pPr>
        <w:pStyle w:val="null3"/>
      </w:pPr>
      <w:r>
        <w:rPr/>
        <w:t>5、社会保障资金缴纳证明：提供 2024年1月（含1月）以来至少一个月的社会保障资金缴存单据或社保机构开具的社会保险参保缴费情况证明。依法不需要缴纳社会保障资金的供应商应提供相关文件证明</w:t>
      </w:r>
    </w:p>
    <w:p>
      <w:pPr>
        <w:pStyle w:val="null3"/>
      </w:pPr>
      <w:r>
        <w:rPr/>
        <w:t>6、无重大违法记录声明：参加采购活动前 3 年内在经营活动中没有重大违法记录的书面声明</w:t>
      </w:r>
    </w:p>
    <w:p>
      <w:pPr>
        <w:pStyle w:val="null3"/>
      </w:pPr>
      <w:r>
        <w:rPr/>
        <w:t>7、法定代表人授权书：非法定代表人参加投标的，须提供法定代表人委托授权书及被授权人身份证，法定代表人参加投标时,只须提供法定代表人身份证</w:t>
      </w:r>
    </w:p>
    <w:p>
      <w:pPr>
        <w:pStyle w:val="null3"/>
      </w:pPr>
      <w:r>
        <w:rPr/>
        <w:t>8、非联合体投标声明：本项目不接受联合体响应</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西安工业大学</w:t>
      </w:r>
    </w:p>
    <w:p>
      <w:pPr>
        <w:pStyle w:val="null3"/>
      </w:pPr>
      <w:r>
        <w:rPr/>
        <w:t xml:space="preserve"> 地址： </w:t>
      </w:r>
      <w:r>
        <w:rPr/>
        <w:t>未央区学府中路2号</w:t>
      </w:r>
    </w:p>
    <w:p>
      <w:pPr>
        <w:pStyle w:val="null3"/>
      </w:pPr>
      <w:r>
        <w:rPr/>
        <w:t xml:space="preserve"> 邮编： </w:t>
      </w:r>
      <w:r>
        <w:rPr/>
        <w:t>/</w:t>
      </w:r>
    </w:p>
    <w:p>
      <w:pPr>
        <w:pStyle w:val="null3"/>
      </w:pPr>
      <w:r>
        <w:rPr/>
        <w:t xml:space="preserve"> 联系人： </w:t>
      </w:r>
      <w:r>
        <w:rPr/>
        <w:t xml:space="preserve"> 余老师 梁老师</w:t>
      </w:r>
    </w:p>
    <w:p>
      <w:pPr>
        <w:pStyle w:val="null3"/>
      </w:pPr>
      <w:r>
        <w:rPr/>
        <w:t xml:space="preserve"> 联系电话： </w:t>
      </w:r>
      <w:r>
        <w:rPr/>
        <w:t xml:space="preserve"> 029-86173142</w:t>
      </w:r>
    </w:p>
    <w:p>
      <w:pPr>
        <w:pStyle w:val="null3"/>
        <w:outlineLvl w:val="2"/>
      </w:pPr>
      <w:r>
        <w:rPr>
          <w:sz w:val="28"/>
          <w:b/>
        </w:rPr>
        <w:t>代理机构：</w:t>
      </w:r>
      <w:r>
        <w:rPr>
          <w:sz w:val="28"/>
          <w:b/>
        </w:rPr>
        <w:t>陕西卓佲项目管理有限公司</w:t>
      </w:r>
    </w:p>
    <w:p>
      <w:pPr>
        <w:pStyle w:val="null3"/>
      </w:pPr>
      <w:r>
        <w:rPr/>
        <w:t xml:space="preserve"> 地址： </w:t>
      </w:r>
      <w:r>
        <w:rPr/>
        <w:t>西安市雁塔区科技路 30号合力紫郡B座21层</w:t>
      </w:r>
    </w:p>
    <w:p>
      <w:pPr>
        <w:pStyle w:val="null3"/>
      </w:pPr>
      <w:r>
        <w:rPr/>
        <w:t xml:space="preserve"> 邮编： </w:t>
      </w:r>
      <w:r>
        <w:rPr/>
        <w:t>/</w:t>
      </w:r>
    </w:p>
    <w:p>
      <w:pPr>
        <w:pStyle w:val="null3"/>
      </w:pPr>
      <w:r>
        <w:rPr/>
        <w:t xml:space="preserve"> 联系人： </w:t>
      </w:r>
      <w:r>
        <w:rPr/>
        <w:t>董菊莉 张倩</w:t>
      </w:r>
    </w:p>
    <w:p>
      <w:pPr>
        <w:pStyle w:val="null3"/>
      </w:pPr>
      <w:r>
        <w:rPr/>
        <w:t xml:space="preserve"> 联系电话： </w:t>
      </w:r>
      <w:r>
        <w:rPr/>
        <w:t>17778966062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采购包1：3,300,000.00元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采购包1保证金金额：66,000.00元</w:t>
            </w:r>
          </w:p>
          <w:p>
            <w:pPr>
              <w:pStyle w:val="null3"/>
            </w:pPr>
            <w:r>
              <w:rPr/>
              <w:t>缴交渠道：电子保函,转账、支票、汇票等（需通过实体账户、户名及开户行信息）</w:t>
            </w:r>
          </w:p>
          <w:p>
            <w:pPr>
              <w:pStyle w:val="null3"/>
            </w:pPr>
            <w:r>
              <w:rPr/>
              <w:t>开户名称：陕西卓佲项目管理有限公司</w:t>
            </w:r>
          </w:p>
          <w:p>
            <w:pPr>
              <w:pStyle w:val="null3"/>
            </w:pPr>
            <w:r>
              <w:rPr/>
              <w:t>开户银行：中国民生银行股份有限公司西安高新开发区支行</w:t>
            </w:r>
          </w:p>
          <w:p>
            <w:pPr>
              <w:pStyle w:val="null3"/>
            </w:pPr>
            <w:r>
              <w:rPr/>
              <w:t>银行账号：647840417</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说明：1.中标（成交）供应商在签订合同前5个工作日内，向采购人缴纳合同总价5%的履约保证金； 2.中标（成交）供应商如期履约完成且不存在其他任何违约责任，采购人无息由原缴费账户退还履约保证金全款。 3.若中标（成交）供应商未能按照合同约定履行，则采购人有权全额扣除履约保证金，并保留追究中标（成交）供应商违约相关的法律责任</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代理服务费收费标准：1、本项目代理服务费按照成交金额的0.6%计取。 2、支付方式：成交中标人应在领取通知书的同时，支付本项目代理服务费。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踏勘时间：2024-11-04 09:30:00</w:t>
            </w:r>
          </w:p>
          <w:p>
            <w:pPr>
              <w:pStyle w:val="null3"/>
              <w:ind w:firstLine="975"/>
            </w:pPr>
            <w:r>
              <w:rPr/>
              <w:t>踏勘地点：西安工业大学未央校区教4楼</w:t>
            </w:r>
          </w:p>
          <w:p>
            <w:pPr>
              <w:pStyle w:val="null3"/>
              <w:ind w:firstLine="975"/>
            </w:pPr>
            <w:r>
              <w:rPr/>
              <w:t>联系人：董菊莉 张倩</w:t>
            </w:r>
          </w:p>
          <w:p>
            <w:pPr>
              <w:pStyle w:val="null3"/>
              <w:ind w:firstLine="975"/>
            </w:pPr>
            <w:r>
              <w:rPr/>
              <w:t>联系电话号码：17778966062</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西安工业大学</w:t>
      </w:r>
      <w:r>
        <w:rPr/>
        <w:t>和</w:t>
      </w:r>
      <w:r>
        <w:rPr/>
        <w:t>陕西卓佲项目管理有限公司</w:t>
      </w:r>
      <w:r>
        <w:rPr/>
        <w:t>享有。对招标文件中供应商参加本次政府采购活动应当具备的条件，招标项目技术、服务、商务及其他要求，评标细则及标准由</w:t>
      </w:r>
      <w:r>
        <w:rPr/>
        <w:t>西安工业大学</w:t>
      </w:r>
      <w:r>
        <w:rPr/>
        <w:t>负责解释。除上述招标文件内容，其他内容由</w:t>
      </w:r>
      <w:r>
        <w:rPr/>
        <w:t>陕西卓佲项目管理有限公司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西安工业大学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陕西卓佲项目管理有限公司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以合同条款为准。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陕西卓佲项目管理有限公司</w:t>
      </w:r>
      <w:r>
        <w:rPr/>
        <w:t xml:space="preserve"> 负责答复；供应商对除采购需求外的采购文件的询问、质疑由</w:t>
      </w:r>
      <w:r>
        <w:rPr/>
        <w:t>陕西卓佲项目管理有限公司</w:t>
      </w:r>
      <w:r>
        <w:rPr/>
        <w:t xml:space="preserve"> 负责答复；供应商对采购过程、采购结果的询问、质疑由 </w:t>
      </w:r>
      <w:r>
        <w:rPr/>
        <w:t>陕西卓佲项目管理有限公司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联系人：董菊莉</w:t>
      </w:r>
    </w:p>
    <w:p>
      <w:pPr>
        <w:pStyle w:val="null3"/>
      </w:pPr>
      <w:r>
        <w:rPr/>
        <w:t>联系电话：17778966062</w:t>
      </w:r>
    </w:p>
    <w:p>
      <w:pPr>
        <w:pStyle w:val="null3"/>
      </w:pPr>
      <w:r>
        <w:rPr/>
        <w:t>地址：西安市雁塔区科技路 30号合力紫郡B座21层</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一、项目概况：学校土木工程毁伤测试与分析实验平台项目，包含教学和科研用结构毁伤霍普金森测试系统一套。 二、项目实施要求 1.成交供应商在项目实施过程中须符合国家安全生产等标准，确保安全，不得损坏学校其他设施，不得影响学校正常教学生活秩序；必须保证项目完成后的使用安全。 2.因本项目涉及设备模块众多，安装环境复杂，且在满足功能需求的基础上能够进行统一运行管理运维，各供应商须按照招标文件指定时间及地点进行统一踏勘，根据现场实际情况设计方案、放置前空间布置调整，以及因新增设备所需要的电力增容等，供应商须自行增补因差异所产生的材料及配套设施采购人不再额外支付此由此产生的一切费用。供应商负责完成设备的安装、调试和开通等工作，设备安装集成费及安装辅材包含在设备招标总体费用中。如未进行踏勘，后期凡因对项目实施现场、实施环境、市场行情等了解不清而造成的后果和风险，须由供应商自行承担。</w:t>
      </w:r>
    </w:p>
    <w:p>
      <w:pPr>
        <w:pStyle w:val="null3"/>
        <w:outlineLvl w:val="2"/>
      </w:pPr>
      <w:r>
        <w:rPr>
          <w:sz w:val="28"/>
          <w:b/>
        </w:rPr>
        <w:t>3.2采购内容</w:t>
      </w:r>
    </w:p>
    <w:p>
      <w:pPr>
        <w:pStyle w:val="null3"/>
      </w:pPr>
      <w:r>
        <w:rPr/>
        <w:t>采购包1：</w:t>
      </w:r>
    </w:p>
    <w:p>
      <w:pPr>
        <w:pStyle w:val="null3"/>
      </w:pPr>
      <w:r>
        <w:rPr/>
        <w:t>采购包预算金额（元）: 3,300,000.00</w:t>
      </w:r>
    </w:p>
    <w:p>
      <w:pPr>
        <w:pStyle w:val="null3"/>
      </w:pPr>
      <w:r>
        <w:rPr/>
        <w:t>采购包最高限价（元）: 3,300,000.00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西安工业大学土木工程毁伤测试与分析实验平台</w:t>
            </w:r>
          </w:p>
        </w:tc>
        <w:tc>
          <w:tcPr>
            <w:tcW w:type="dxa" w:w="831"/>
          </w:tcPr>
          <w:p>
            <w:pPr>
              <w:pStyle w:val="null3"/>
              <w:jc w:val="right"/>
            </w:pPr>
            <w:r>
              <w:rPr/>
              <w:t>1.00</w:t>
            </w:r>
          </w:p>
        </w:tc>
        <w:tc>
          <w:tcPr>
            <w:tcW w:type="dxa" w:w="831"/>
          </w:tcPr>
          <w:p>
            <w:pPr>
              <w:pStyle w:val="null3"/>
              <w:jc w:val="right"/>
            </w:pPr>
            <w:r>
              <w:rPr/>
              <w:t>3,300,000.00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标的名称：西安工业大学土木工程毁伤测试与分析实验平台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316"/>
            </w:pPr>
            <w:r>
              <w:rPr/>
              <w:t>一、技术要求</w:t>
            </w:r>
          </w:p>
          <w:p>
            <w:pPr>
              <w:pStyle w:val="null3"/>
            </w:pPr>
            <w:r>
              <w:rPr/>
              <w:t>1.结构毁伤霍普金森测试系统能够适用于新标准下建筑材料、金属材料等新型特性材料及特殊结构的教学及科研实验，同时能够在冲击动力及防护方向的教学及科研实现更加精准的量化教学研究。</w:t>
            </w:r>
          </w:p>
          <w:p>
            <w:pPr>
              <w:pStyle w:val="null3"/>
            </w:pPr>
            <w:r>
              <w:rPr/>
              <w:t>2.能够进行样品在高速动态毁伤过程中应变场及位移场的测试与分析；能够满足结构工程梁、柱、桁架、框架、墙体等多种构件或结构测试需求；能够对岩石、混凝土结构件、金属结构件毁伤过程进行动态数据采集及实现多角度图像慢速回放，能够提供可视化多角度的图像及传感器数据结果。</w:t>
            </w:r>
          </w:p>
          <w:p>
            <w:pPr>
              <w:pStyle w:val="null3"/>
            </w:pPr>
            <w:r>
              <w:rPr/>
              <w:t>3.整套系统满足在多种口径下轻气炮及霍普金森杆的动态测试中，获取多角度下完成高速动态数据及图像采集的性能要求。</w:t>
            </w:r>
          </w:p>
          <w:p>
            <w:pPr>
              <w:pStyle w:val="null3"/>
            </w:pPr>
            <w:r>
              <w:rPr/>
              <w:t>二、设备清单和技术参数</w:t>
            </w:r>
          </w:p>
          <w:p>
            <w:pPr>
              <w:pStyle w:val="null3"/>
            </w:pPr>
            <w:r>
              <w:rPr/>
              <w:t>核心产品为：</w:t>
            </w:r>
            <w:r>
              <w:rPr>
                <w:b/>
              </w:rPr>
              <w:t>结构毁伤霍普金森测试系统</w:t>
            </w:r>
          </w:p>
          <w:p>
            <w:pPr>
              <w:pStyle w:val="null3"/>
            </w:pPr>
            <w:r>
              <w:rPr/>
              <w:t>1.本项目需求清单：</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t>序号</w:t>
                  </w:r>
                </w:p>
              </w:tc>
              <w:tc>
                <w:tcPr>
                  <w:tcW w:type="dxa" w:w="638"/>
                </w:tcPr>
                <w:p>
                  <w:pPr>
                    <w:pStyle w:val="null3"/>
                  </w:pPr>
                  <w:r>
                    <w:rPr/>
                    <w:t>设备名称</w:t>
                  </w:r>
                </w:p>
              </w:tc>
              <w:tc>
                <w:tcPr>
                  <w:tcW w:type="dxa" w:w="638"/>
                </w:tcPr>
                <w:p>
                  <w:pPr>
                    <w:pStyle w:val="null3"/>
                  </w:pPr>
                  <w:r>
                    <w:rPr/>
                    <w:t>数量</w:t>
                  </w:r>
                </w:p>
              </w:tc>
              <w:tc>
                <w:tcPr>
                  <w:tcW w:type="dxa" w:w="638"/>
                </w:tcPr>
                <w:p>
                  <w:pPr>
                    <w:pStyle w:val="null3"/>
                  </w:pPr>
                  <w:r>
                    <w:rPr/>
                    <w:t>单位</w:t>
                  </w:r>
                </w:p>
              </w:tc>
            </w:tr>
            <w:tr>
              <w:tc>
                <w:tcPr>
                  <w:tcW w:type="dxa" w:w="638"/>
                </w:tcPr>
                <w:p>
                  <w:pPr>
                    <w:pStyle w:val="null3"/>
                  </w:pPr>
                  <w:r>
                    <w:rPr/>
                    <w:t>1</w:t>
                  </w:r>
                </w:p>
              </w:tc>
              <w:tc>
                <w:tcPr>
                  <w:tcW w:type="dxa" w:w="638"/>
                </w:tcPr>
                <w:p>
                  <w:pPr>
                    <w:pStyle w:val="null3"/>
                  </w:pPr>
                  <w:r>
                    <w:rPr/>
                    <w:t>结构毁伤霍普金森测试系统</w:t>
                  </w:r>
                </w:p>
              </w:tc>
              <w:tc>
                <w:tcPr>
                  <w:tcW w:type="dxa" w:w="638"/>
                </w:tcPr>
                <w:p>
                  <w:pPr>
                    <w:pStyle w:val="null3"/>
                  </w:pPr>
                  <w:r>
                    <w:rPr/>
                    <w:t>1</w:t>
                  </w:r>
                </w:p>
              </w:tc>
              <w:tc>
                <w:tcPr>
                  <w:tcW w:type="dxa" w:w="638"/>
                </w:tcPr>
                <w:p>
                  <w:pPr>
                    <w:pStyle w:val="null3"/>
                  </w:pPr>
                  <w:r>
                    <w:rPr/>
                    <w:t>套</w:t>
                  </w:r>
                </w:p>
              </w:tc>
            </w:tr>
          </w:tbl>
          <w:p>
            <w:pPr>
              <w:pStyle w:val="null3"/>
            </w:pPr>
            <w:r>
              <w:rPr/>
              <w:t>2.技术参数要求</w:t>
            </w:r>
          </w:p>
          <w:p>
            <w:pPr>
              <w:pStyle w:val="null3"/>
            </w:pPr>
            <w:r>
              <w:rPr/>
              <w:t>1）霍普金森压杆</w:t>
            </w:r>
          </w:p>
          <w:p>
            <w:pPr>
              <w:pStyle w:val="null3"/>
            </w:pPr>
            <w:r>
              <w:rPr/>
              <w:t>（1）发射装置包含储气室、发射体、操控模块、活塞、联接法兰、支承座、反后座支架等组成部分。</w:t>
            </w:r>
          </w:p>
          <w:p>
            <w:pPr>
              <w:pStyle w:val="null3"/>
            </w:pPr>
            <w:r>
              <w:rPr/>
              <w:t xml:space="preserve">▲1.1三套储气室，容量≥20L，最高充气压力≥4MPa，三套发射管，口径分别为：150mm、100mm和20mm，长度≥2000mm；         </w:t>
            </w:r>
          </w:p>
          <w:p>
            <w:pPr>
              <w:pStyle w:val="null3"/>
            </w:pPr>
            <w:r>
              <w:rPr/>
              <w:t>▲1.2气炮装置要求采用电磁弹射打开阀门，瞬间发射，大面积加载；能够自动发射，子弹自动回收，双开关气动控制系统。</w:t>
            </w:r>
          </w:p>
          <w:p>
            <w:pPr>
              <w:pStyle w:val="null3"/>
            </w:pPr>
            <w:r>
              <w:rPr/>
              <w:t>▲（2）三套霍普金森输入/输出杆，其中Φ100压杆杆系（马氏体不锈钢），直径100mm，精度±0.5mm，入射杆长度≥5000mm，透射杆长度≥4500mm，撞击杆长度分别为400mm和600mm，材质为马氏体不锈钢；Φ150压杆杆系（马氏体不锈钢）直径150mm，精度±0.5mm，入射杆长度≥6000mm，透射杆长度≥5000mm，撞击杆长度400mm、600mm，材质为马氏体不锈钢；Φ16压杆杆系（马氏体不锈钢）直径16mm，精度±0.1mm，入射杆长度≥2000mm，透射杆长度≥1500mm，撞击杆长度分别为200mm和400mm，材质为马氏体不锈钢。Φ16压杆杆系，马氏体不锈钢、有机玻璃和7075铝合金三种不同材质，直径16mm，精度±0.1mm，入射杆长度≥2000mm，透射杆长度≥1500mm，撞击杆长度分别为200mm和400mm。</w:t>
            </w:r>
          </w:p>
          <w:p>
            <w:pPr>
              <w:pStyle w:val="null3"/>
            </w:pPr>
            <w:r>
              <w:rPr/>
              <w:t>（3）增压泵两套，使用压力分别为0.1～0.7Mpa和0.1～4MPa，最大排气量≥50L。</w:t>
            </w:r>
          </w:p>
          <w:p>
            <w:pPr>
              <w:pStyle w:val="null3"/>
            </w:pPr>
            <w:r>
              <w:rPr/>
              <w:t>（4）测速仪三套，光电测速系统包含发光探头和吸收探头各2个以上、主机一套、数据线4根、支架三套；测速范围最高≥100m/s，测速精度≥0.01m/s。</w:t>
            </w:r>
          </w:p>
          <w:p>
            <w:pPr>
              <w:pStyle w:val="null3"/>
            </w:pPr>
            <w:r>
              <w:rPr/>
              <w:t>▲4.1 数据处理软件具有自主知识产权，能够根据用户需求随时更改代码，要求提供软件功能截图；</w:t>
            </w:r>
          </w:p>
          <w:p>
            <w:pPr>
              <w:pStyle w:val="null3"/>
            </w:pPr>
            <w:r>
              <w:rPr/>
              <w:t>▲4.2 能够对入射波和透射波进行识别和分离，并根据实验参数计算相应的得到动态应力、应变、应变速率、应变能、入射能、透射能、反射能、质点速度、加速度（高g值）、试样升温、断裂韧性，位移量、冲击力、轴压变化、围压变化、孔隙压力变化、入射应力应变、透射应力应变、反射应力应变、巴西劈裂强度，界面接触力，动态硬度，动态弹性模量等数据。可自动分析截取波形，具备平面曲线的显示和编辑功能；可实现移波操作，即当入射波和透射波的起始位置有偏差时，可对入射波或透射波的数据进行移动，以使两者的起始位置对齐。</w:t>
            </w:r>
          </w:p>
          <w:p>
            <w:pPr>
              <w:pStyle w:val="null3"/>
            </w:pPr>
            <w:r>
              <w:rPr/>
              <w:t>（5）高低温系统一套（与150mm杆配套，温度范围：-１９６°C-1000°C）。围压轴压系统两套，分别与100mm和150mm杆配套；三轴围压轴压系统60MPa，轴压系统60MPa；内部加热系统一套，最高温度≥100°C；PID温控系统一套；液压站两套，可以调节控制轴压；高压气泵两套。</w:t>
            </w:r>
          </w:p>
          <w:p>
            <w:pPr>
              <w:pStyle w:val="null3"/>
            </w:pPr>
            <w:r>
              <w:rPr/>
              <w:t>2）气炮</w:t>
            </w:r>
          </w:p>
          <w:p>
            <w:pPr>
              <w:pStyle w:val="null3"/>
            </w:pPr>
            <w:r>
              <w:rPr/>
              <w:t>（1）气炮口径50/30mm两种规格，可更换，发射管长度分别为10/6m。速度平均400m/s左右，储气室容量≥20L，最高充气压力≥10MPa。</w:t>
            </w:r>
          </w:p>
          <w:p>
            <w:pPr>
              <w:pStyle w:val="null3"/>
            </w:pPr>
            <w:r>
              <w:rPr/>
              <w:t>（2）操作台操控模块在发射体上安装，具有进气阀、储气室微调阀、减压阀、压力表、炮管底部排气阀、自动快速放（气）炮开关；可以操作子弹就位，子弹发射。</w:t>
            </w:r>
          </w:p>
          <w:p>
            <w:pPr>
              <w:pStyle w:val="null3"/>
            </w:pPr>
            <w:r>
              <w:rPr/>
              <w:t>（3）炮管采用后壁精轧管；金属材料均进行过热处理，所有面垂直度≤0.02，面粗糙度≤Ra0.8。</w:t>
            </w:r>
          </w:p>
          <w:p>
            <w:pPr>
              <w:pStyle w:val="null3"/>
            </w:pPr>
            <w:r>
              <w:rPr/>
              <w:t>（4）增压泵一套，使用压力10Mpa，最大排气量≥50L。</w:t>
            </w:r>
          </w:p>
          <w:p>
            <w:pPr>
              <w:pStyle w:val="null3"/>
            </w:pPr>
            <w:r>
              <w:rPr/>
              <w:t>（5）光电测速系统包含发光探头和吸收探头各2个以上、主机1套、数据线4根、支架1套；测速范围≥1000m/s，测速精度≥0.1m/s。</w:t>
            </w:r>
          </w:p>
          <w:p>
            <w:pPr>
              <w:pStyle w:val="null3"/>
            </w:pPr>
            <w:r>
              <w:rPr/>
              <w:t>3）数据采集及分析模块</w:t>
            </w:r>
          </w:p>
          <w:p>
            <w:pPr>
              <w:pStyle w:val="null3"/>
            </w:pPr>
            <w:r>
              <w:rPr/>
              <w:t>（1）动态数据采集系统具有4个及以上并行采集通道，每通道不小于8MSa缓冲存储器；12位 A/D分辨率；10KSPS-40MSPS采样率，其中瞬态最高采样速率可达1MHz；具有8路以上模拟信号输入并行采集测试通道，所有通道采样保持，各自进行独立的A/D转换，数据采集测量达12位A/D转换分辨率和最高40MSPS数据采样率；其中高阻抗差分输入的每通道有独立的增益1-1600倍，可直接连接大多数传感器电压输出；具有8个量程档±16V，±8V，±4V，±2V，±1V，±500mV，±250mV，±125mV；具有系统触发线和系统时钟线，可在多个采集器同时工作时选择系统触发和系统时钟之用，以便整个系统触发同步和以同一时钟进行采样，保持系统同步；具有软件触发、内触发、外触发和正负延迟多种触发功能；A/D转换率最高40MSPS，向下按1、2、5分频；信号输入用BNC同轴电缆(可选用差分连接器)连接器输入，每通道采样的最大存贮深度为8MSa，可用软件随意设置采样长度。</w:t>
            </w:r>
          </w:p>
          <w:p>
            <w:pPr>
              <w:pStyle w:val="null3"/>
            </w:pPr>
            <w:r>
              <w:rPr/>
              <w:t>（2）动态应变仪具有桥路的程控切换和自检功能；适用电阻应变片阻值：50Ω～10000Ω；供桥电压：2V、5V、10V；程控桥路方式：1/4桥（标配120Ω）、半桥、全桥；增益为100倍（30，50，100，500，100可选）；最大带宽：DC～300kHz（+0.5dB～-3dB）；输出电压7VRMS，输出电流5mA，输出电阻≤1Ω。</w:t>
            </w:r>
          </w:p>
          <w:p>
            <w:pPr>
              <w:pStyle w:val="null3"/>
            </w:pPr>
            <w:r>
              <w:rPr/>
              <w:t>4）图像采集模块</w:t>
            </w:r>
          </w:p>
          <w:p>
            <w:pPr>
              <w:pStyle w:val="null3"/>
            </w:pPr>
            <w:r>
              <w:rPr/>
              <w:t>▲（1）最高分辨≥2048x1500 像素,满分辨率最高帧数≥ 8500 帧/秒，840x294分辨率时帧速≥10万帧，最高帧速≥ 1000,000fps，存储容量&gt;128G，全局电子快门≤1 微秒，配电动远程机械快门保护传感器及用于图像校正；在帧速不变的情况下，可以调整X轴向及Y轴向分辨率，保证画面适配各种尺寸的试样；内置电池供电情况下最少可使用60分钟。</w:t>
            </w:r>
          </w:p>
          <w:p>
            <w:pPr>
              <w:pStyle w:val="null3"/>
            </w:pPr>
            <w:r>
              <w:rPr/>
              <w:t>（2）传感器尺寸≥ 27.9mm x 20.7mm，位深度为黑白 12bit。</w:t>
            </w:r>
          </w:p>
          <w:p>
            <w:pPr>
              <w:pStyle w:val="null3"/>
            </w:pPr>
            <w:r>
              <w:rPr/>
              <w:t>（3）相机外壳采用高 G 级铝制外壳，符合 30G @ 11 ms IEC 68-2-27 Ea、30 G @ 2 ms IEC 68-2-29 Eb 抗冲击要求。</w:t>
            </w:r>
          </w:p>
          <w:p>
            <w:pPr>
              <w:pStyle w:val="null3"/>
            </w:pPr>
            <w:r>
              <w:rPr/>
              <w:t>（4）带有 HD-SDI、HDMI、USB3.0、 千兆网接口，具有触发、同步、远程电源等功能。</w:t>
            </w:r>
          </w:p>
          <w:p>
            <w:pPr>
              <w:pStyle w:val="null3"/>
            </w:pPr>
            <w:r>
              <w:rPr/>
              <w:t>（5）镜头接口 F -G口，输出视频格式应支持 AVI（压缩/未压缩），照片格式应支持 TIFF，JPG，RAW。</w:t>
            </w:r>
          </w:p>
          <w:p>
            <w:pPr>
              <w:pStyle w:val="null3"/>
            </w:pPr>
            <w:r>
              <w:rPr/>
              <w:t>（6）设备感光度不低于125000。</w:t>
            </w:r>
          </w:p>
          <w:p>
            <w:pPr>
              <w:pStyle w:val="null3"/>
            </w:pPr>
            <w:r>
              <w:rPr/>
              <w:t>（7）具有相机 LED 状态指示灯、电子辅助对焦、电子辅助曝光功能。</w:t>
            </w:r>
          </w:p>
          <w:p>
            <w:pPr>
              <w:pStyle w:val="null3"/>
            </w:pPr>
            <w:r>
              <w:rPr/>
              <w:t>（8）控制软件支持中英文界面操作，分析软件可自动跟踪特征点，分析位移、速度等参数。</w:t>
            </w:r>
          </w:p>
          <w:p>
            <w:pPr>
              <w:pStyle w:val="null3"/>
            </w:pPr>
            <w:r>
              <w:rPr/>
              <w:t>（9）具有50mm F1.4 镜头一套、100mm F2 微距镜头一套。</w:t>
            </w:r>
          </w:p>
          <w:p>
            <w:pPr>
              <w:pStyle w:val="null3"/>
            </w:pPr>
            <w:r>
              <w:rPr/>
              <w:t>5）多角度成像模块</w:t>
            </w:r>
          </w:p>
          <w:p>
            <w:pPr>
              <w:pStyle w:val="null3"/>
            </w:pPr>
            <w:r>
              <w:rPr/>
              <w:t>▲（1）光纤具有成像功能，四通道成像；每一个单独成像通道不少于36万个成像点，并且长度不低于2m。</w:t>
            </w:r>
          </w:p>
          <w:p>
            <w:pPr>
              <w:pStyle w:val="null3"/>
            </w:pPr>
            <w:r>
              <w:rPr/>
              <w:t>（2）能够实现多角度端角度及视场可调。</w:t>
            </w:r>
          </w:p>
          <w:p>
            <w:pPr>
              <w:pStyle w:val="null3"/>
            </w:pPr>
            <w:r>
              <w:rPr/>
              <w:t>（3）能够兼顾多种尺寸毫米级到一米级别的样品尺寸。</w:t>
            </w:r>
          </w:p>
          <w:p>
            <w:pPr>
              <w:pStyle w:val="null3"/>
            </w:pPr>
            <w:r>
              <w:rPr/>
              <w:t>（4）整套具有多角度观察及测量功能。</w:t>
            </w:r>
          </w:p>
          <w:p>
            <w:pPr>
              <w:pStyle w:val="null3"/>
            </w:pPr>
            <w:r>
              <w:rPr/>
              <w:t>（5）配备100mm微距放大镜头及50mm标准镜头各4套以及对应的安装调节装置。</w:t>
            </w:r>
          </w:p>
          <w:p>
            <w:pPr>
              <w:pStyle w:val="null3"/>
            </w:pPr>
            <w:r>
              <w:rPr/>
              <w:t>6）图像应变场计算模块</w:t>
            </w:r>
          </w:p>
          <w:p>
            <w:pPr>
              <w:pStyle w:val="null3"/>
            </w:pPr>
            <w:r>
              <w:rPr/>
              <w:t>（1）测量相机1200w像素，帧速30帧，数量2台；配备2个25mm、2个50mm定焦镜头。</w:t>
            </w:r>
          </w:p>
          <w:p>
            <w:pPr>
              <w:pStyle w:val="null3"/>
            </w:pPr>
            <w:r>
              <w:rPr/>
              <w:t>（2）横梁长度≥500mm，横梁内置激光测距装置，测量范围0-10m，精度≤1mm。横梁内置红外测温装置，可实时显示目前的温度，测温范围-40-85℃，精度≤0.5℃。</w:t>
            </w:r>
          </w:p>
          <w:p>
            <w:pPr>
              <w:pStyle w:val="null3"/>
            </w:pPr>
            <w:r>
              <w:rPr/>
              <w:t>（3）要求12 位2进制环形编码标定板，铝合金材质，温胀系数 22.4um/℃•m，每块校准板上特定编码点≥ 15 个，一套校准板。</w:t>
            </w:r>
          </w:p>
          <w:p>
            <w:pPr>
              <w:pStyle w:val="null3"/>
            </w:pPr>
            <w:r>
              <w:rPr/>
              <w:t>（4）具有三维全场应变测量分析系统软件 1 套；散斑质量评估系统辅助软件 1 套；幅面计算辅助软件 1 套；散斑自动生成辅助软件 1 套；标定板生成辅助软件 1 套；FLC 成型极限分析辅助软件 1 套；加密锁1 个。</w:t>
            </w:r>
          </w:p>
          <w:p>
            <w:pPr>
              <w:pStyle w:val="null3"/>
            </w:pPr>
            <w:r>
              <w:rPr/>
              <w:t>（5）电脑CPU至强W2223以上芯片；机械硬盘≥2T；固态硬盘≥500G；内存≥16G；（独立）显卡GTX1650。</w:t>
            </w:r>
          </w:p>
          <w:p>
            <w:pPr>
              <w:pStyle w:val="null3"/>
            </w:pPr>
            <w:r>
              <w:rPr/>
              <w:t>（6）具有≥18种变形应变计算功能，包含应变X、应变Y和应变XY，最大主应变，最小主应变，厚度减薄量，Mises应变，Tresca应变，剪切角，X、Y、Z三维位移、速度、加速度、角速度、角加速度，Z值投影，径向距离、径向距离差，径向角、径向角差。</w:t>
            </w:r>
          </w:p>
          <w:p>
            <w:pPr>
              <w:pStyle w:val="null3"/>
            </w:pPr>
            <w:r>
              <w:rPr/>
              <w:t>（7）支持刚性运动物体的轨迹及姿态解算，可在被测对象上同时创建多个不同的坐标系，同时创建并跟踪多个刚体目标，并分析不同刚性体间距离角度等变形数据，进行在线装配跟踪。</w:t>
            </w:r>
          </w:p>
          <w:p>
            <w:pPr>
              <w:pStyle w:val="null3"/>
            </w:pPr>
            <w:r>
              <w:rPr/>
              <w:t>（8）能够对三维测量结果进行直线或圆形截线分析。</w:t>
            </w:r>
          </w:p>
          <w:p>
            <w:pPr>
              <w:pStyle w:val="null3"/>
            </w:pPr>
            <w:r>
              <w:rPr/>
              <w:t>（9）可绘制和编辑FLC成形极限曲线。</w:t>
            </w:r>
          </w:p>
          <w:p>
            <w:pPr>
              <w:pStyle w:val="null3"/>
            </w:pPr>
            <w:r>
              <w:rPr/>
              <w:t>▲（10）软件支持图像镜像翻转功能，基于光学反射原理配合反射镜控制单元，实现不可见部分测量。</w:t>
            </w:r>
          </w:p>
          <w:p>
            <w:pPr>
              <w:pStyle w:val="null3"/>
            </w:pPr>
            <w:r>
              <w:rPr/>
              <w:t>（11）能够对振动进行时域分析，分析变形频率和振幅，并可输出uff文件，采用时间响应、自功率谱、互功率谱、相干性、频谱等函数形式进行模态分析。</w:t>
            </w:r>
          </w:p>
          <w:p>
            <w:pPr>
              <w:pStyle w:val="null3"/>
            </w:pPr>
            <w:r>
              <w:rPr/>
              <w:t>▲（12）软件内置测视场角计算软件，方便进行镜头、相机间距、相机夹角快速计算、软件内置散斑生成软件，能够根据使用场景与测量需求，自动生成散斑图像及软件内置标定板生成软件，可根据实验条件和被测试单位幅面大小自动生成标定板图案。</w:t>
            </w:r>
          </w:p>
          <w:p>
            <w:pPr>
              <w:pStyle w:val="null3"/>
            </w:pPr>
            <w:r>
              <w:rPr/>
              <w:t>（13）软件具有通过定制红外标定板完成变形场相机与红外相机坐标系统一，实现温度场、应变场耦合功能。</w:t>
            </w:r>
          </w:p>
          <w:p>
            <w:pPr>
              <w:pStyle w:val="null3"/>
            </w:pPr>
            <w:r>
              <w:rPr/>
              <w:t>（14）能够分析标称参考数据和扫描数据之间所有对应点的偏差，结果以彩色色谱图显示，支持多种样式的偏差标注模板，能够对整体偏差、截面偏差、形位公差的彩色色谱图进行偏差标注，直观显示该点的具体偏差值。</w:t>
            </w:r>
          </w:p>
          <w:p>
            <w:pPr>
              <w:pStyle w:val="null3"/>
            </w:pPr>
            <w:r>
              <w:rPr/>
              <w:t>▲（15）软件支持摄像测量模块及导入CAD模型（step、iges、stl），计算CAD模型和DIC网格数据之间的偏差，并以云图显示，且CAD模型可以根随实际物体进行移动和旋转（提供软件截图证明）。</w:t>
            </w:r>
          </w:p>
          <w:p>
            <w:pPr>
              <w:pStyle w:val="null3"/>
            </w:pPr>
            <w:r>
              <w:rPr/>
              <w:t>（16）支持变频采集模式，可设置高帧频采集，前期自动储存低帧频数据，在实验结束时储存高帧频数据。</w:t>
            </w:r>
          </w:p>
          <w:p>
            <w:pPr>
              <w:pStyle w:val="null3"/>
            </w:pPr>
            <w:r>
              <w:rPr/>
              <w:t>7）支架及光源模块</w:t>
            </w:r>
          </w:p>
          <w:p>
            <w:pPr>
              <w:pStyle w:val="null3"/>
            </w:pPr>
            <w:r>
              <w:rPr/>
              <w:t>（1）高亮度350W LED大面阵光源2支，距离被测物1m的亮度不低于10万LUX，亮度可调。</w:t>
            </w:r>
          </w:p>
          <w:p>
            <w:pPr>
              <w:pStyle w:val="null3"/>
            </w:pPr>
            <w:r>
              <w:rPr/>
              <w:t>（2）40W小区域目标光源1支，距离20cm时，亮度≥85000LUX。</w:t>
            </w:r>
          </w:p>
          <w:p>
            <w:pPr>
              <w:pStyle w:val="null3"/>
            </w:pPr>
            <w:r>
              <w:rPr/>
              <w:t>（3）要求亮度双全亮模式在室温摄氏25℃时, 灯头30分钟后温度≤45℃, 保持同温度可连续开机≥72小時,符合国军标GJB冲击试验,峰值加速度200g,脉宽8ms,冲击波形为半正弦波,冲击方向为3轴6向，测试通过国防科技工业电学一级计量站测试证明。</w:t>
            </w:r>
          </w:p>
          <w:p>
            <w:pPr>
              <w:pStyle w:val="null3"/>
            </w:pPr>
            <w:r>
              <w:rPr/>
              <w:t>（4）控制灯光频闪≥3000fps,脉冲最短≤1微秒,控制器同时提供同步讯号给相机。</w:t>
            </w:r>
          </w:p>
          <w:p>
            <w:pPr>
              <w:pStyle w:val="null3"/>
            </w:pPr>
            <w:r>
              <w:rPr/>
              <w:t>（5）配备铝合金齿轮中轴三脚架，承重不小于12kg,云台支持360°旋转，俯仰120°调节，侧向120°调节，承重不小于7.5kg。</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合同签订后三个月内到货安装调试完毕</w:t>
      </w:r>
    </w:p>
    <w:p>
      <w:pPr>
        <w:pStyle w:val="null3"/>
        <w:outlineLvl w:val="3"/>
      </w:pPr>
      <w:r>
        <w:rPr>
          <w:sz w:val="24"/>
          <w:b/>
        </w:rPr>
        <w:t>3.4.2交货地点</w:t>
      </w:r>
    </w:p>
    <w:p>
      <w:pPr>
        <w:pStyle w:val="null3"/>
      </w:pPr>
      <w:r>
        <w:rPr/>
        <w:t>采购包1：</w:t>
      </w:r>
    </w:p>
    <w:p>
      <w:pPr>
        <w:pStyle w:val="null3"/>
      </w:pPr>
      <w:r>
        <w:rPr/>
        <w:t>西安工业大学指定地点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合同签订后，采购人向成交供应商支付合同总价的40%预付款，预付款支付须供应商提供项目等额预付款保函（该阶段支付仅面对中小企业供应商），待所有产品安装、调试完成并验收合格后</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一、验收方式：成交供应商按采购方要求将全部货物运到指定地点，经采购人现场按采购文件及合同中的采购参数内容验收核对登记后方可进行安装调试。最终验收按合同约定的时间进行。 交付与验收地点：指定地点。 二、项目验收分初验和终验 （一）初验：货物到达交货地点后，由使用单位根据合同对货物的名称、品牌、规格、型号、产地、数量进行检查。 （二）终验：所有货物安装完毕，试运行一个月后，由验收小组进行验收，合格后签发《验收合格单》。 （三）验收依据 1、合同文本及合同补充文件（条款）。 2、产品的合法来源渠道证明文件。 3、公开招标文件。 4、成交供应商的响应文件。 5、合同货物清单。 6、生产厂家的企业资质、货物的执行标准。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本项目整体质保期：验收合格后5年；质保期满后，仍需提供专业维修服务。（2）质保期内免费提供正常使用的易损件和备件；软件系统提供5年免费升级服务。（3）供应设备经过双方检验认可后，签署验收报告，产品保修期自验收合格之日起计算，由供应商提供产品保修文件。（4）设备正常运行后，定期回访用户。质保期内所有维修服务均由成交供应商免费上门取、送、修。安装调试1个月内，如有质量问题，设备整机无条件退换货并提供备件以保证教学正常开展。在保修期内，任何质量问题，成交供应商负责免费维修。（5）质保期过后需换件时，应提供原装或合理器件，并按成本价收费。软件5年质保期后，如无新的计算技术加入，应予以免费维护。（6）服务响应时间：成交单位接到维修电话后1小时内响应，6小时内到达现场维修，12小时内解决问题。如出现超过72小时仍无法维修好，供货方应提供同类新产品替代，以保证采购人的正常使用。</w:t>
      </w:r>
    </w:p>
    <w:p>
      <w:pPr>
        <w:pStyle w:val="null3"/>
        <w:outlineLvl w:val="3"/>
      </w:pPr>
      <w:r>
        <w:rPr>
          <w:sz w:val="24"/>
          <w:b/>
        </w:rPr>
        <w:t>3.4.8违约责任与解决争议的方法</w:t>
      </w:r>
    </w:p>
    <w:p>
      <w:pPr>
        <w:pStyle w:val="null3"/>
      </w:pPr>
      <w:r>
        <w:rPr/>
        <w:t>采购包1：</w:t>
      </w:r>
    </w:p>
    <w:p>
      <w:pPr>
        <w:pStyle w:val="null3"/>
      </w:pPr>
      <w:r>
        <w:rPr/>
        <w:t>1、采购人、成交供应商双方必须遵守本合同并执行合同中的各项规定，保证本合同的正常履行。2、如因成交供应商工作人员在履行职务过程中的的疏忽、失职、过错等故意或者过失原因给采购人方造成损失或侵害，包括但不限于采购人方本身的财产损失、由此而导致的采购人方对任何第三方的法律责任等，成交供应商对此均应承担全部的赔偿责任。3、因本项目涉及教学正常运行开展，影响广泛重大，若未能按照合同签订要求如期履约，则全额扣除履约保证金，对学校造成的其他损失由成交方承担。4、供应商在项目实施过程中所引起的任何人身损害、对第三方侵害、经济和劳动纠纷全部由供应商负责；</w:t>
      </w:r>
    </w:p>
    <w:p>
      <w:pPr>
        <w:pStyle w:val="null3"/>
        <w:jc w:val="left"/>
        <w:outlineLvl w:val="2"/>
      </w:pPr>
      <w:r>
        <w:rPr>
          <w:sz w:val="28"/>
          <w:b/>
        </w:rPr>
        <w:t>3.5其他要求</w:t>
      </w:r>
    </w:p>
    <w:p>
      <w:pPr>
        <w:pStyle w:val="null3"/>
      </w:pPr>
      <w:r>
        <w:rPr/>
        <w:t>1、合同价款：全部成本、预期利益、税费、设备价、运输费（含保险费）、安装调试费、培训费、产品辅材费、系统集成费用、安装期间必须的场地调整费用、安全维护、售后服务费、驻场及其他后期维保费用、备品备件费用、第三方接口费、其它伴随费用和合同中规定成交供应商应承担的其他义务的费用等。合同总价一次性包死，不受市场价格变化因素的影响。除本合同总金额外，采购人不再支付任何其他费用。投标供应商需提供书面对接承诺，以确保项目实施开展中必须保障的对接要求。 2、培训服务要求：成交供应商须负责开展培训服务，明确各阶段详实培训计划，包括但不限于对教实验室设备管理人员等进行免费培训服务，培训次数不限，达到熟练使用的效果。免费提供相关主要设备的操作流程及使用手册，维修手册等。 3、本项目不允许合同分包或者转包 。 4、（1）供应商需要在线提交所有通过电子化交易平台实施的政府采购项目的投标文件，同时，线下提交纸质投标文件正本壹份、副本贰份。若电子投标文件与纸质投标文件不一致的，以电子投标文件为准。 （2）投标文件，正、副本分别各自装订成册密封。在封口处加盖供应商公章。 （3）线下投标文件递交截止时间与线上开评标时间一致。 （4）纸质投标文件可邮寄递交，应于递交投标文件截止时间前邮寄到西安市科技路30号合力紫郡B座21层（陕西卓佲项目管理有限公司）。 5、投标保证金注意事项： （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 shanxizhuoming_zb@163.com（邮件命名：项目编号），并将保函原件单独递交至代理机构财务；投标人应在投标文件中附保函复印件。保函必须由具有开具投标保函资格的单位开具；若供应商违约，开具保函单位承担连带责任； （2）投标保证金的提交金额、时间不满足招标文件要求的，投标无效； （3）投标保证金以采购代理机构到账凭证为准，投标人无需更换交纳凭证，由采购代理机构统一提供。 （4）未按指定账户提交的，我公司将退回，投标人须在文件递交截止时间前按照指定账户再次提交。 6、因文件关于合同签订时间无法修改，特在此处说明，中标人应当在中标通知书发出之日起25日内与采购人签订政府采购合同。</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2023年度经审计完整的财务审计报告（成立时间至提交响应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 2024年1月（含1月）以来至少一个月的纳税证明或完税证明（时间以税款所属日期为准），依法免税的单位应提供相关证明材料</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 2024年1月（含1月）以来至少一个月的社会保障资金缴存单据或社保机构开具的社会保险参保缴费情况证明。依法不需要缴纳社会保障资金的供应商应提供相关文件证明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参加采购活动前 3 年内在经营活动中没有重大违法记录的书面声明</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非法定代表人参加投标的，须提供法定代表人委托授权书及被授权人身份证，法定代表人参加投标时,只须提供法定代表人身份证</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非联合体投标声明</w:t>
            </w:r>
          </w:p>
        </w:tc>
        <w:tc>
          <w:tcPr>
            <w:tcW w:type="dxa" w:w="3322"/>
          </w:tcPr>
          <w:p>
            <w:pPr>
              <w:pStyle w:val="null3"/>
            </w:pPr>
            <w:r>
              <w:rPr/>
              <w:t>本项目不接受联合体响应</w:t>
            </w:r>
          </w:p>
        </w:tc>
        <w:tc>
          <w:tcPr>
            <w:tcW w:type="dxa" w:w="1661"/>
          </w:tcPr>
          <w:p>
            <w:pPr>
              <w:pStyle w:val="null3"/>
            </w:pPr>
            <w:r>
              <w:rPr/>
              <w:t>供应商资格要求</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 投标文件封面</w:t>
            </w:r>
          </w:p>
        </w:tc>
      </w:tr>
      <w:tr>
        <w:tc>
          <w:tcPr>
            <w:tcW w:type="dxa" w:w="831"/>
          </w:tcPr>
          <w:p>
            <w:pPr>
              <w:pStyle w:val="null3"/>
            </w:pPr>
            <w:r>
              <w:rPr/>
              <w:t>2</w:t>
            </w:r>
          </w:p>
        </w:tc>
        <w:tc>
          <w:tcPr>
            <w:tcW w:type="dxa" w:w="2492"/>
          </w:tcPr>
          <w:p>
            <w:pPr>
              <w:pStyle w:val="null3"/>
            </w:pPr>
            <w:r>
              <w:rPr/>
              <w:t>响应报价</w:t>
            </w:r>
          </w:p>
        </w:tc>
        <w:tc>
          <w:tcPr>
            <w:tcW w:type="dxa" w:w="3322"/>
          </w:tcPr>
          <w:p>
            <w:pPr>
              <w:pStyle w:val="null3"/>
            </w:pPr>
            <w:r>
              <w:rPr/>
              <w:t>响应报价未超过采购预算或最高限价(合格)，响应报价超过采购预算或最高限价(不合格)</w:t>
            </w:r>
          </w:p>
        </w:tc>
        <w:tc>
          <w:tcPr>
            <w:tcW w:type="dxa" w:w="1661"/>
          </w:tcPr>
          <w:p>
            <w:pPr>
              <w:pStyle w:val="null3"/>
            </w:pPr>
            <w:r>
              <w:rPr/>
              <w:t>开标一览表 分项报价表 标的清单</w:t>
            </w:r>
          </w:p>
        </w:tc>
      </w:tr>
      <w:tr>
        <w:tc>
          <w:tcPr>
            <w:tcW w:type="dxa" w:w="831"/>
          </w:tcPr>
          <w:p>
            <w:pPr>
              <w:pStyle w:val="null3"/>
            </w:pPr>
            <w:r>
              <w:rPr/>
              <w:t>3</w:t>
            </w:r>
          </w:p>
        </w:tc>
        <w:tc>
          <w:tcPr>
            <w:tcW w:type="dxa" w:w="2492"/>
          </w:tcPr>
          <w:p>
            <w:pPr>
              <w:pStyle w:val="null3"/>
            </w:pPr>
            <w:r>
              <w:rPr/>
              <w:t>交货时间</w:t>
            </w:r>
          </w:p>
        </w:tc>
        <w:tc>
          <w:tcPr>
            <w:tcW w:type="dxa" w:w="3322"/>
          </w:tcPr>
          <w:p>
            <w:pPr>
              <w:pStyle w:val="null3"/>
            </w:pPr>
            <w:r>
              <w:rPr/>
              <w:t>交货时间满足招标文件要求(合格)，交货时间不满足招标文件要求(不合格)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质保期</w:t>
            </w:r>
          </w:p>
        </w:tc>
        <w:tc>
          <w:tcPr>
            <w:tcW w:type="dxa" w:w="3322"/>
          </w:tcPr>
          <w:p>
            <w:pPr>
              <w:pStyle w:val="null3"/>
            </w:pPr>
            <w:r>
              <w:rPr/>
              <w:t>质保期满足招标文件最低要求(合格)，质保期不满足招标文件最低要求(不合格)</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签署、盖章</w:t>
            </w:r>
          </w:p>
        </w:tc>
        <w:tc>
          <w:tcPr>
            <w:tcW w:type="dxa" w:w="3322"/>
          </w:tcPr>
          <w:p>
            <w:pPr>
              <w:pStyle w:val="null3"/>
            </w:pPr>
            <w:r>
              <w:rPr/>
              <w:t>响应文件的签署、盖章符合招标文件要求(合格)，响应文件的签署、盖章不符合招标文件要求 (不合格)</w:t>
            </w:r>
          </w:p>
        </w:tc>
        <w:tc>
          <w:tcPr>
            <w:tcW w:type="dxa" w:w="1661"/>
          </w:tcPr>
          <w:p>
            <w:pPr>
              <w:pStyle w:val="null3"/>
            </w:pPr>
            <w:r>
              <w:rPr/>
              <w:t>开标一览表 产品技术参数表 投标函 中小企业声明函 商务应答表 标的清单 投标文件封面 投标人应提交的相关资格证明材料</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响应文件投标有效期符合招标文件要求的(合格)，响应文件无投标有效期或有效期达不到招标文件要求的(不合格)</w:t>
            </w:r>
          </w:p>
        </w:tc>
        <w:tc>
          <w:tcPr>
            <w:tcW w:type="dxa" w:w="1661"/>
          </w:tcPr>
          <w:p>
            <w:pPr>
              <w:pStyle w:val="null3"/>
            </w:pPr>
            <w:r>
              <w:rPr/>
              <w:t>投标函</w:t>
            </w:r>
          </w:p>
        </w:tc>
      </w:tr>
      <w:tr>
        <w:tc>
          <w:tcPr>
            <w:tcW w:type="dxa" w:w="831"/>
          </w:tcPr>
          <w:p>
            <w:pPr>
              <w:pStyle w:val="null3"/>
            </w:pPr>
            <w:r>
              <w:rPr/>
              <w:t>7</w:t>
            </w:r>
          </w:p>
        </w:tc>
        <w:tc>
          <w:tcPr>
            <w:tcW w:type="dxa" w:w="2492"/>
          </w:tcPr>
          <w:p>
            <w:pPr>
              <w:pStyle w:val="null3"/>
            </w:pPr>
            <w:r>
              <w:rPr/>
              <w:t>投标保证金</w:t>
            </w:r>
          </w:p>
        </w:tc>
        <w:tc>
          <w:tcPr>
            <w:tcW w:type="dxa" w:w="3322"/>
          </w:tcPr>
          <w:p>
            <w:pPr>
              <w:pStyle w:val="null3"/>
            </w:pPr>
            <w:r>
              <w:rPr/>
              <w:t>供应商按照招标文件要求缴纳投标保证金的(合格)，供应商未按照招标文件要求缴纳投标保证金或投标保证金缴纳金额少于招标文件要求的(不合格)</w:t>
            </w:r>
          </w:p>
        </w:tc>
        <w:tc>
          <w:tcPr>
            <w:tcW w:type="dxa" w:w="1661"/>
          </w:tcPr>
          <w:p>
            <w:pPr>
              <w:pStyle w:val="null3"/>
            </w:pPr>
            <w:r>
              <w:rPr/>
              <w:t>供应商认为有必要说明的其他问题</w:t>
            </w:r>
          </w:p>
        </w:tc>
      </w:tr>
      <w:tr>
        <w:tc>
          <w:tcPr>
            <w:tcW w:type="dxa" w:w="831"/>
          </w:tcPr>
          <w:p>
            <w:pPr>
              <w:pStyle w:val="null3"/>
            </w:pPr>
            <w:r>
              <w:rPr/>
              <w:t>8</w:t>
            </w:r>
          </w:p>
        </w:tc>
        <w:tc>
          <w:tcPr>
            <w:tcW w:type="dxa" w:w="2492"/>
          </w:tcPr>
          <w:p>
            <w:pPr>
              <w:pStyle w:val="null3"/>
            </w:pPr>
            <w:r>
              <w:rPr/>
              <w:t>响应文件含有采购人不能接受的附加条件的</w:t>
            </w:r>
          </w:p>
        </w:tc>
        <w:tc>
          <w:tcPr>
            <w:tcW w:type="dxa" w:w="3322"/>
          </w:tcPr>
          <w:p>
            <w:pPr>
              <w:pStyle w:val="null3"/>
            </w:pPr>
            <w:r>
              <w:rPr/>
              <w:t>响应文件没有采购人不能接受的附加条件的（合格）响应文件含有采购人不能接受的附加条件的（不合格）</w:t>
            </w:r>
          </w:p>
        </w:tc>
        <w:tc>
          <w:tcPr>
            <w:tcW w:type="dxa" w:w="1661"/>
          </w:tcPr>
          <w:p>
            <w:pPr>
              <w:pStyle w:val="null3"/>
            </w:pPr>
            <w:r>
              <w:rPr/>
              <w:t>产品技术参数表 商务应答表</w:t>
            </w:r>
          </w:p>
        </w:tc>
      </w:tr>
      <w:tr>
        <w:tc>
          <w:tcPr>
            <w:tcW w:type="dxa" w:w="831"/>
          </w:tcPr>
          <w:p>
            <w:pPr>
              <w:pStyle w:val="null3"/>
            </w:pPr>
            <w:r>
              <w:rPr/>
              <w:t>9</w:t>
            </w:r>
          </w:p>
        </w:tc>
        <w:tc>
          <w:tcPr>
            <w:tcW w:type="dxa" w:w="2492"/>
          </w:tcPr>
          <w:p>
            <w:pPr>
              <w:pStyle w:val="null3"/>
            </w:pPr>
            <w:r>
              <w:rPr/>
              <w:t>法律、法规和采购文件规定的其他无效情形</w:t>
            </w:r>
          </w:p>
        </w:tc>
        <w:tc>
          <w:tcPr>
            <w:tcW w:type="dxa" w:w="3322"/>
          </w:tcPr>
          <w:p>
            <w:pPr>
              <w:pStyle w:val="null3"/>
            </w:pPr>
            <w:r>
              <w:rPr/>
              <w:t>不存在法律、法规和采购文件规定的其他无效情形（合格），存在法律、法规和采购文件规定的其他无效情形（不合格）</w:t>
            </w:r>
          </w:p>
        </w:tc>
        <w:tc>
          <w:tcPr>
            <w:tcW w:type="dxa" w:w="1661"/>
          </w:tcPr>
          <w:p>
            <w:pPr>
              <w:pStyle w:val="null3"/>
            </w:pPr>
            <w:r>
              <w:rPr/>
              <w:t>产品技术参数表 商务应答表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技术响应性</w:t>
            </w:r>
          </w:p>
        </w:tc>
        <w:tc>
          <w:tcPr>
            <w:tcW w:type="dxa" w:w="2492"/>
          </w:tcPr>
          <w:p>
            <w:pPr>
              <w:pStyle w:val="null3"/>
            </w:pPr>
            <w:r>
              <w:rPr/>
              <w:t>技术响应性：所投产品符合使用需求，配置完整合理，其型号、技术参数清晰明确，根据所投产品的技术指标和性能对招标文件的响应程度计分。全部满足得30分，“▲”参数一项不满足扣2分，其他参数为普通参数，一项不满足扣1分，扣完为止。标“▲”项参数为重要技术参数，应提供相应的证明材料且标明证明文件对应响应章节所在目录及页码）。 加分项（6分）：在全部参数无负偏离的情况下，投标设备（产品）的“▲”项经评定符合实质性优于采购需求、佐证材料齐全完整，每项加1分，最多6分。 注：▲参数必须提供佐证材料（包括但不限于产品彩页、检测报告、功能截图、厂家盖章的说明书等）</w:t>
            </w:r>
          </w:p>
        </w:tc>
        <w:tc>
          <w:tcPr>
            <w:tcW w:type="dxa" w:w="831"/>
          </w:tcPr>
          <w:p>
            <w:pPr>
              <w:pStyle w:val="null3"/>
              <w:jc w:val="right"/>
            </w:pPr>
            <w:r>
              <w:rPr/>
              <w:t>36.0000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质量保证</w:t>
            </w:r>
          </w:p>
        </w:tc>
        <w:tc>
          <w:tcPr>
            <w:tcW w:type="dxa" w:w="2492"/>
          </w:tcPr>
          <w:p>
            <w:pPr>
              <w:pStyle w:val="null3"/>
            </w:pPr>
            <w:r>
              <w:rPr/>
              <w:t>提供质量保证方案。内容包含①产品性能、使用寿命及效果②质量保证措施。每项最高计3分，每项未提供不得分，最高计6分。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质量保证</w:t>
            </w:r>
          </w:p>
        </w:tc>
      </w:tr>
      <w:tr>
        <w:tc>
          <w:tcPr>
            <w:tcW w:type="dxa" w:w="831"/>
            <w:vMerge/>
          </w:tcPr>
          <w:p/>
        </w:tc>
        <w:tc>
          <w:tcPr>
            <w:tcW w:type="dxa" w:w="1661"/>
          </w:tcPr>
          <w:p>
            <w:pPr>
              <w:pStyle w:val="null3"/>
            </w:pPr>
            <w:r>
              <w:rPr/>
              <w:t>实施方案</w:t>
            </w:r>
          </w:p>
        </w:tc>
        <w:tc>
          <w:tcPr>
            <w:tcW w:type="dxa" w:w="2492"/>
          </w:tcPr>
          <w:p>
            <w:pPr>
              <w:pStyle w:val="null3"/>
            </w:pPr>
            <w:r>
              <w:rPr/>
              <w:t>针对本项目有具体的项目组织实施方案，资金等保障措施可靠，能够保证按期供货。内容包含：1、项目实验室设备的布局方案。2、项目实验室设备的安装环境方案。3、项目实验室设备的网络布控及配套设施布控方案。4、备货、供货进度及保证措施。5、拟投入本项目的人员安排及责任制度。6、产品安装、检测、调试等方面保证措施。每项最高计2分，每项未提供不得分，最高计12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提供供应商2021年1月1日至今类似项目合同（以合同签订日期为准），每提供1个得1分，最高得5分。备注：响应文件中提供合同复印件。</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培训方案</w:t>
            </w:r>
          </w:p>
        </w:tc>
        <w:tc>
          <w:tcPr>
            <w:tcW w:type="dxa" w:w="2492"/>
          </w:tcPr>
          <w:p>
            <w:pPr>
              <w:pStyle w:val="null3"/>
            </w:pPr>
            <w:r>
              <w:rPr/>
              <w:t>针对本项目有具体的培训方案，内容包含：1、培训时间、培训人数、培训人员、培训方式，2、培训内容应包括所提供产品的原理和技术性能、操作维护方法、安装调试、排除故障等各个方面。3、培训达到熟练使用的效果正常运行后，质保期内的每个学期至少提供一次专业培训。每项最高计2分，每项未提供不得分，最高计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售后服务</w:t>
            </w:r>
          </w:p>
        </w:tc>
        <w:tc>
          <w:tcPr>
            <w:tcW w:type="dxa" w:w="2492"/>
          </w:tcPr>
          <w:p>
            <w:pPr>
              <w:pStyle w:val="null3"/>
            </w:pPr>
            <w:r>
              <w:rPr/>
              <w:t>针对本项目有具体的售后服务方案,内容包含：1、应急服务方案；2、设备巡检方案；3、售后服务网点设定；4、售后服务人员配置情况；5、售后服务承诺。每项最高计1分，每项未提供不得分，最高计5分。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售后服务</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 即满足招标文件要求且投标价格最低的投标报价为评标基准价，其价格分为满分。其他投标人的价格分统一按照下列公式计算：价格分= (评标基准价／投标报价)×报价分值 注：计算分数时四舍五入取小数点后两位。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分项报价表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详见附件：供应商资格要求</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详见附件：质量保证</w:t>
      </w:r>
    </w:p>
    <w:p>
      <w:pPr>
        <w:pStyle w:val="null3"/>
        <w:ind w:firstLine="960"/>
      </w:pPr>
      <w:r>
        <w:rPr/>
        <w:t>详见附件：实施方案</w:t>
      </w:r>
    </w:p>
    <w:p>
      <w:pPr>
        <w:pStyle w:val="null3"/>
        <w:ind w:firstLine="960"/>
      </w:pPr>
      <w:r>
        <w:rPr/>
        <w:t>详见附件：业绩一览表</w:t>
      </w:r>
    </w:p>
    <w:p>
      <w:pPr>
        <w:pStyle w:val="null3"/>
        <w:ind w:firstLine="960"/>
      </w:pPr>
      <w:r>
        <w:rPr/>
        <w:t>详见附件：培训方案</w:t>
      </w:r>
    </w:p>
    <w:p>
      <w:pPr>
        <w:pStyle w:val="null3"/>
        <w:ind w:firstLine="960"/>
      </w:pPr>
      <w:r>
        <w:rPr/>
        <w:t>详见附件：售后服务</w:t>
      </w:r>
    </w:p>
    <w:p>
      <w:pPr>
        <w:pStyle w:val="null3"/>
        <w:ind w:firstLine="960"/>
      </w:pPr>
      <w:r>
        <w:rPr/>
        <w:t>详见附件：供应商认为有必要说明的其他问题</w:t>
      </w:r>
    </w:p>
    <w:p>
      <w:pPr>
        <w:pStyle w:val="null3"/>
        <w:ind w:firstLine="960"/>
      </w:pPr>
      <w:r>
        <w:rPr/>
        <w:t>详见附件：分项报价表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