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6E9A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040EEBF3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3A17A1DC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（1）技术响应偏差表（详见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/>
          <w:color w:val="000000"/>
          <w:sz w:val="24"/>
          <w:lang w:eastAsia="zh-CN"/>
        </w:rPr>
        <w:t>）</w:t>
      </w:r>
    </w:p>
    <w:p w14:paraId="4A9BC8E2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color w:val="000000"/>
          <w:sz w:val="24"/>
          <w:lang w:eastAsia="zh-CN"/>
        </w:rPr>
        <w:t>2</w:t>
      </w:r>
      <w:r>
        <w:rPr>
          <w:rFonts w:hint="eastAsia"/>
          <w:color w:val="000000"/>
          <w:sz w:val="24"/>
          <w:lang w:eastAsia="zh-CN"/>
        </w:rPr>
        <w:t>）需求理解与定位</w:t>
      </w:r>
    </w:p>
    <w:p w14:paraId="76283FD9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3</w:t>
      </w:r>
      <w:r>
        <w:rPr>
          <w:rFonts w:hint="eastAsia"/>
          <w:color w:val="000000"/>
          <w:sz w:val="24"/>
          <w:lang w:eastAsia="zh-CN"/>
        </w:rPr>
        <w:t>）编制范围、框架及主要内容</w:t>
      </w:r>
    </w:p>
    <w:p w14:paraId="492409E0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4</w:t>
      </w:r>
      <w:r>
        <w:rPr>
          <w:rFonts w:hint="eastAsia"/>
          <w:color w:val="000000"/>
          <w:sz w:val="24"/>
          <w:lang w:eastAsia="zh-CN"/>
        </w:rPr>
        <w:t>）关键点、重难点分析及应对措施</w:t>
      </w:r>
    </w:p>
    <w:p w14:paraId="7ED07A8C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eastAsia"/>
          <w:color w:val="000000"/>
          <w:sz w:val="24"/>
          <w:lang w:eastAsia="zh-CN"/>
        </w:rPr>
        <w:t>）技术解决方案</w:t>
      </w:r>
    </w:p>
    <w:p w14:paraId="06D160AC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6</w:t>
      </w:r>
      <w:r>
        <w:rPr>
          <w:rFonts w:hint="eastAsia"/>
          <w:color w:val="000000"/>
          <w:sz w:val="24"/>
          <w:lang w:eastAsia="zh-CN"/>
        </w:rPr>
        <w:t>）人员配备</w:t>
      </w:r>
    </w:p>
    <w:p w14:paraId="5431C8D4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7</w:t>
      </w:r>
      <w:r>
        <w:rPr>
          <w:rFonts w:hint="eastAsia"/>
          <w:color w:val="000000"/>
          <w:sz w:val="24"/>
          <w:lang w:eastAsia="zh-CN"/>
        </w:rPr>
        <w:t>）进度计划及质量控制</w:t>
      </w:r>
    </w:p>
    <w:p w14:paraId="61FD772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……</w:t>
      </w:r>
    </w:p>
    <w:p w14:paraId="5A76E184">
      <w:r>
        <w:br w:type="page"/>
      </w:r>
    </w:p>
    <w:p w14:paraId="0655218A">
      <w:pPr>
        <w:spacing w:line="360" w:lineRule="auto"/>
        <w:ind w:firstLine="562" w:firstLineChars="20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 w14:paraId="0AF44ECD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5428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597FD3A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17E6BA6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098AD9D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2ED4CD33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34D0F62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4F80A4E4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520D4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5387D3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53279E8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1F9D08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C18DF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76FAB5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379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2D425F7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7FC16A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A1798D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50130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8F7BF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D67B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60D9D8D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43620DA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3B29A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EE7F7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99BE9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BE5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016EBE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A65618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E5B32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B272B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7E734E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816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815455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311BF3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AE2A6E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29F60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8CFA1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5FDC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05D6AF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ADD99B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25ED15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925BD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BD9068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436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24C16F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2C1A2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1E7C48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6B22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01DD9B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43E6E8E6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0C81AB74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1.本表只填写投标文件中与招标文件有偏离（包括正偏离和负偏离）的内容，必须一一对应填写，若无偏离则附此空表加盖单位公章。</w:t>
      </w:r>
    </w:p>
    <w:p w14:paraId="659B4A3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17A3DD4">
      <w:pPr>
        <w:rPr>
          <w:color w:val="000000"/>
          <w:lang w:eastAsia="zh-CN"/>
        </w:rPr>
      </w:pPr>
    </w:p>
    <w:p w14:paraId="19A2A371">
      <w:pPr>
        <w:spacing w:line="60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0F64ED16">
      <w:pPr>
        <w:spacing w:line="60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7727E69">
      <w:pPr>
        <w:spacing w:line="60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zdhNjM3MmY3MjdhNjNiZDcxMDAwMjAxODYwNmUifQ=="/>
  </w:docVars>
  <w:rsids>
    <w:rsidRoot w:val="00000000"/>
    <w:rsid w:val="1C977D04"/>
    <w:rsid w:val="64F7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195</Characters>
  <Lines>0</Lines>
  <Paragraphs>0</Paragraphs>
  <TotalTime>0</TotalTime>
  <ScaleCrop>false</ScaleCrop>
  <LinksUpToDate>false</LinksUpToDate>
  <CharactersWithSpaces>196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2024-10-23T03:38:00Z</dcterms:created>
  <dc:creator>Administrator</dc:creator>
  <cp:lastModifiedBy>宁</cp:lastModifiedBy>
  <dcterms:modified xsi:type="dcterms:W3CDTF">2024-10-23T03:38:47Z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9B96FEAA6E114D68B04AD66D455C9E11_12</vt:lpwstr>
  </property>
</Properties>
</file>