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E7626">
      <w:pPr>
        <w:spacing w:line="360" w:lineRule="auto"/>
        <w:jc w:val="left"/>
        <w:rPr>
          <w:rFonts w:hint="eastAsia" w:ascii="宋体" w:hAnsi="宋体" w:cs="宋体"/>
          <w:b/>
          <w:bCs/>
          <w:sz w:val="24"/>
        </w:rPr>
      </w:pPr>
      <w:r>
        <w:rPr>
          <w:rFonts w:hint="eastAsia" w:ascii="宋体" w:hAnsi="宋体" w:cs="宋体"/>
          <w:b/>
          <w:bCs/>
          <w:sz w:val="24"/>
          <w:lang w:val="en-US" w:eastAsia="zh-CN"/>
        </w:rPr>
        <w:t>一</w:t>
      </w:r>
      <w:r>
        <w:rPr>
          <w:rFonts w:hint="eastAsia" w:ascii="宋体" w:hAnsi="宋体" w:cs="宋体"/>
          <w:b/>
          <w:bCs/>
          <w:sz w:val="24"/>
        </w:rPr>
        <w:t>、</w:t>
      </w:r>
      <w:r>
        <w:rPr>
          <w:rFonts w:hint="eastAsia" w:ascii="宋体" w:hAnsi="宋体"/>
          <w:b/>
          <w:sz w:val="24"/>
        </w:rPr>
        <w:t>采购清单及技术要求</w:t>
      </w:r>
    </w:p>
    <w:tbl>
      <w:tblPr>
        <w:tblStyle w:val="2"/>
        <w:tblpPr w:leftFromText="180" w:rightFromText="180" w:vertAnchor="page" w:horzAnchor="page" w:tblpX="1391" w:tblpY="2645"/>
        <w:tblW w:w="9338" w:type="dxa"/>
        <w:tblInd w:w="0" w:type="dxa"/>
        <w:tblLayout w:type="fixed"/>
        <w:tblCellMar>
          <w:top w:w="0" w:type="dxa"/>
          <w:left w:w="108" w:type="dxa"/>
          <w:bottom w:w="0" w:type="dxa"/>
          <w:right w:w="108" w:type="dxa"/>
        </w:tblCellMar>
      </w:tblPr>
      <w:tblGrid>
        <w:gridCol w:w="2592"/>
        <w:gridCol w:w="3116"/>
        <w:gridCol w:w="1905"/>
        <w:gridCol w:w="1725"/>
      </w:tblGrid>
      <w:tr w14:paraId="4A7AB8B9">
        <w:tblPrEx>
          <w:tblCellMar>
            <w:top w:w="0" w:type="dxa"/>
            <w:left w:w="108" w:type="dxa"/>
            <w:bottom w:w="0" w:type="dxa"/>
            <w:right w:w="108" w:type="dxa"/>
          </w:tblCellMar>
        </w:tblPrEx>
        <w:trPr>
          <w:trHeight w:val="955" w:hRule="atLeast"/>
        </w:trPr>
        <w:tc>
          <w:tcPr>
            <w:tcW w:w="2592" w:type="dxa"/>
            <w:tcBorders>
              <w:top w:val="single" w:color="auto" w:sz="4" w:space="0"/>
              <w:left w:val="single" w:color="auto" w:sz="4" w:space="0"/>
              <w:bottom w:val="single" w:color="auto" w:sz="4" w:space="0"/>
              <w:right w:val="single" w:color="auto" w:sz="4" w:space="0"/>
            </w:tcBorders>
            <w:noWrap w:val="0"/>
            <w:vAlign w:val="center"/>
          </w:tcPr>
          <w:p w14:paraId="32659B70">
            <w:pPr>
              <w:widowControl/>
              <w:jc w:val="center"/>
              <w:rPr>
                <w:rFonts w:ascii="宋体" w:hAnsi="宋体" w:cs="宋体"/>
                <w:color w:val="000000"/>
                <w:kern w:val="0"/>
                <w:sz w:val="24"/>
              </w:rPr>
            </w:pPr>
            <w:r>
              <w:rPr>
                <w:rFonts w:hint="eastAsia" w:ascii="宋体" w:hAnsi="宋体" w:cs="宋体"/>
                <w:color w:val="000000"/>
                <w:kern w:val="0"/>
                <w:sz w:val="24"/>
              </w:rPr>
              <w:t>货物名称</w:t>
            </w:r>
          </w:p>
        </w:tc>
        <w:tc>
          <w:tcPr>
            <w:tcW w:w="3116" w:type="dxa"/>
            <w:tcBorders>
              <w:top w:val="single" w:color="auto" w:sz="4" w:space="0"/>
              <w:left w:val="single" w:color="auto" w:sz="4" w:space="0"/>
              <w:bottom w:val="single" w:color="auto" w:sz="4" w:space="0"/>
              <w:right w:val="single" w:color="auto" w:sz="4" w:space="0"/>
            </w:tcBorders>
            <w:noWrap w:val="0"/>
            <w:vAlign w:val="center"/>
          </w:tcPr>
          <w:p w14:paraId="1E7BE70A">
            <w:pPr>
              <w:widowControl/>
              <w:jc w:val="center"/>
              <w:rPr>
                <w:rFonts w:ascii="宋体" w:hAnsi="宋体" w:cs="宋体"/>
                <w:color w:val="000000"/>
                <w:kern w:val="0"/>
                <w:sz w:val="24"/>
              </w:rPr>
            </w:pPr>
            <w:r>
              <w:rPr>
                <w:rFonts w:hint="eastAsia" w:ascii="宋体" w:hAnsi="宋体" w:cs="宋体"/>
                <w:color w:val="000000"/>
                <w:kern w:val="0"/>
                <w:sz w:val="24"/>
              </w:rPr>
              <w:t>规格</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1DAD7269">
            <w:pPr>
              <w:widowControl/>
              <w:jc w:val="center"/>
              <w:rPr>
                <w:rFonts w:ascii="宋体" w:hAnsi="宋体" w:cs="宋体"/>
                <w:color w:val="000000"/>
                <w:kern w:val="0"/>
                <w:sz w:val="24"/>
              </w:rPr>
            </w:pPr>
            <w:r>
              <w:rPr>
                <w:rFonts w:hint="eastAsia" w:ascii="宋体" w:hAnsi="宋体" w:cs="宋体"/>
                <w:color w:val="000000"/>
                <w:kern w:val="0"/>
                <w:sz w:val="24"/>
              </w:rPr>
              <w:t>最高限价价格(元</w:t>
            </w:r>
            <w:r>
              <w:rPr>
                <w:rFonts w:hint="eastAsia" w:ascii="宋体" w:hAnsi="宋体" w:cs="宋体"/>
                <w:color w:val="000000"/>
                <w:kern w:val="0"/>
                <w:sz w:val="24"/>
                <w:lang w:val="en-US" w:eastAsia="zh-CN"/>
              </w:rPr>
              <w:t>/片/粒</w:t>
            </w:r>
            <w:r>
              <w:rPr>
                <w:rFonts w:hint="eastAsia" w:ascii="宋体" w:hAnsi="宋体" w:cs="宋体"/>
                <w:color w:val="000000"/>
                <w:kern w:val="0"/>
                <w:sz w:val="24"/>
              </w:rPr>
              <w:t>)</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6F380F7D">
            <w:pPr>
              <w:widowControl/>
              <w:jc w:val="center"/>
              <w:rPr>
                <w:rFonts w:ascii="宋体" w:hAnsi="宋体" w:cs="宋体"/>
                <w:color w:val="000000"/>
                <w:kern w:val="0"/>
                <w:sz w:val="24"/>
              </w:rPr>
            </w:pPr>
            <w:r>
              <w:rPr>
                <w:rFonts w:hint="eastAsia" w:ascii="宋体" w:hAnsi="宋体" w:cs="宋体"/>
                <w:color w:val="000000"/>
                <w:kern w:val="0"/>
                <w:sz w:val="24"/>
              </w:rPr>
              <w:t>金额（元）</w:t>
            </w:r>
          </w:p>
        </w:tc>
      </w:tr>
      <w:tr w14:paraId="6465A00B">
        <w:tblPrEx>
          <w:tblCellMar>
            <w:top w:w="0" w:type="dxa"/>
            <w:left w:w="108" w:type="dxa"/>
            <w:bottom w:w="0" w:type="dxa"/>
            <w:right w:w="108" w:type="dxa"/>
          </w:tblCellMar>
        </w:tblPrEx>
        <w:trPr>
          <w:trHeight w:val="1260" w:hRule="atLeast"/>
        </w:trPr>
        <w:tc>
          <w:tcPr>
            <w:tcW w:w="2592" w:type="dxa"/>
            <w:vMerge w:val="restart"/>
            <w:tcBorders>
              <w:top w:val="single" w:color="auto" w:sz="4" w:space="0"/>
              <w:left w:val="single" w:color="auto" w:sz="4" w:space="0"/>
              <w:right w:val="single" w:color="auto" w:sz="4" w:space="0"/>
            </w:tcBorders>
            <w:noWrap w:val="0"/>
            <w:vAlign w:val="center"/>
          </w:tcPr>
          <w:p w14:paraId="5285B9F9">
            <w:pPr>
              <w:widowControl/>
              <w:jc w:val="center"/>
              <w:rPr>
                <w:rFonts w:ascii="宋体" w:hAnsi="宋体" w:cs="宋体"/>
                <w:color w:val="000000"/>
                <w:kern w:val="0"/>
                <w:sz w:val="24"/>
              </w:rPr>
            </w:pPr>
            <w:r>
              <w:rPr>
                <w:rFonts w:hint="eastAsia" w:ascii="宋体" w:hAnsi="宋体" w:cs="宋体"/>
                <w:color w:val="000000"/>
                <w:kern w:val="0"/>
                <w:sz w:val="24"/>
              </w:rPr>
              <w:t>抗结核FDC-HRZE (H75mg R150mgZ400mgE275mg)</w:t>
            </w:r>
          </w:p>
          <w:p w14:paraId="4CC75E71">
            <w:pPr>
              <w:jc w:val="center"/>
              <w:rPr>
                <w:rFonts w:ascii="宋体" w:hAnsi="宋体" w:cs="宋体"/>
                <w:color w:val="000000"/>
                <w:kern w:val="0"/>
                <w:sz w:val="24"/>
              </w:rPr>
            </w:pPr>
            <w:r>
              <w:rPr>
                <w:rFonts w:hint="eastAsia" w:ascii="宋体" w:hAnsi="宋体" w:cs="宋体"/>
                <w:color w:val="000000"/>
                <w:kern w:val="0"/>
                <w:sz w:val="24"/>
              </w:rPr>
              <w:t>或抗结核FDC-HRZE (H37.5 mg R75 mg Z200 mg E137.5 mg)</w:t>
            </w:r>
          </w:p>
        </w:tc>
        <w:tc>
          <w:tcPr>
            <w:tcW w:w="3116" w:type="dxa"/>
            <w:vMerge w:val="restart"/>
            <w:tcBorders>
              <w:top w:val="single" w:color="auto" w:sz="4" w:space="0"/>
              <w:left w:val="single" w:color="auto" w:sz="4" w:space="0"/>
              <w:right w:val="single" w:color="auto" w:sz="4" w:space="0"/>
            </w:tcBorders>
            <w:noWrap w:val="0"/>
            <w:vAlign w:val="center"/>
          </w:tcPr>
          <w:p w14:paraId="2EA6EE77">
            <w:pPr>
              <w:widowControl/>
              <w:jc w:val="center"/>
              <w:rPr>
                <w:rFonts w:ascii="宋体" w:hAnsi="宋体" w:cs="宋体"/>
                <w:color w:val="000000"/>
                <w:kern w:val="0"/>
                <w:sz w:val="24"/>
              </w:rPr>
            </w:pPr>
            <w:r>
              <w:rPr>
                <w:rFonts w:hint="eastAsia" w:ascii="宋体" w:hAnsi="宋体" w:cs="宋体"/>
                <w:color w:val="000000"/>
                <w:kern w:val="0"/>
                <w:sz w:val="24"/>
              </w:rPr>
              <w:t>每片含 H:75mgR:150mgZ:400mgE:275mg或</w:t>
            </w:r>
          </w:p>
          <w:p w14:paraId="4E74C4F9">
            <w:pPr>
              <w:jc w:val="center"/>
              <w:rPr>
                <w:rFonts w:ascii="宋体" w:hAnsi="宋体" w:cs="宋体"/>
                <w:color w:val="000000"/>
                <w:kern w:val="0"/>
                <w:sz w:val="24"/>
                <w:lang w:val="es-PA"/>
              </w:rPr>
            </w:pPr>
            <w:r>
              <w:rPr>
                <w:rFonts w:hint="eastAsia" w:ascii="宋体" w:hAnsi="宋体" w:cs="宋体"/>
                <w:color w:val="000000"/>
                <w:kern w:val="0"/>
                <w:sz w:val="24"/>
                <w:lang w:val="es-PA"/>
              </w:rPr>
              <w:t xml:space="preserve"> H:37.5 mg R:75 mg Z:200 mg E:137.5 mg</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4A0FBD6A">
            <w:pPr>
              <w:widowControl/>
              <w:jc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2.0（大剂量）</w:t>
            </w:r>
          </w:p>
          <w:p w14:paraId="63F93B97">
            <w:pPr>
              <w:widowControl/>
              <w:jc w:val="center"/>
              <w:rPr>
                <w:rFonts w:hint="default" w:ascii="宋体" w:hAnsi="宋体" w:eastAsia="宋体" w:cs="宋体"/>
                <w:color w:val="000000"/>
                <w:kern w:val="0"/>
                <w:sz w:val="24"/>
                <w:lang w:val="en-US" w:eastAsia="zh-CN"/>
              </w:rPr>
            </w:pPr>
          </w:p>
        </w:tc>
        <w:tc>
          <w:tcPr>
            <w:tcW w:w="1725" w:type="dxa"/>
            <w:vMerge w:val="restart"/>
            <w:tcBorders>
              <w:top w:val="single" w:color="auto" w:sz="4" w:space="0"/>
              <w:left w:val="single" w:color="auto" w:sz="4" w:space="0"/>
              <w:right w:val="single" w:color="auto" w:sz="4" w:space="0"/>
            </w:tcBorders>
            <w:noWrap w:val="0"/>
            <w:vAlign w:val="center"/>
          </w:tcPr>
          <w:p w14:paraId="5C09B13B">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1060000</w:t>
            </w:r>
          </w:p>
        </w:tc>
      </w:tr>
      <w:tr w14:paraId="010E7AEC">
        <w:tblPrEx>
          <w:tblCellMar>
            <w:top w:w="0" w:type="dxa"/>
            <w:left w:w="108" w:type="dxa"/>
            <w:bottom w:w="0" w:type="dxa"/>
            <w:right w:w="108" w:type="dxa"/>
          </w:tblCellMar>
        </w:tblPrEx>
        <w:trPr>
          <w:trHeight w:val="1260" w:hRule="atLeast"/>
        </w:trPr>
        <w:tc>
          <w:tcPr>
            <w:tcW w:w="2592" w:type="dxa"/>
            <w:vMerge w:val="continue"/>
            <w:tcBorders>
              <w:left w:val="single" w:color="auto" w:sz="4" w:space="0"/>
              <w:bottom w:val="single" w:color="auto" w:sz="4" w:space="0"/>
              <w:right w:val="single" w:color="auto" w:sz="4" w:space="0"/>
            </w:tcBorders>
            <w:noWrap w:val="0"/>
            <w:vAlign w:val="center"/>
          </w:tcPr>
          <w:p w14:paraId="52DD46A6">
            <w:pPr>
              <w:widowControl/>
              <w:jc w:val="center"/>
            </w:pPr>
          </w:p>
        </w:tc>
        <w:tc>
          <w:tcPr>
            <w:tcW w:w="3116" w:type="dxa"/>
            <w:vMerge w:val="continue"/>
            <w:tcBorders>
              <w:left w:val="single" w:color="auto" w:sz="4" w:space="0"/>
              <w:bottom w:val="single" w:color="auto" w:sz="4" w:space="0"/>
              <w:right w:val="single" w:color="auto" w:sz="4" w:space="0"/>
            </w:tcBorders>
            <w:noWrap w:val="0"/>
            <w:vAlign w:val="center"/>
          </w:tcPr>
          <w:p w14:paraId="18D789D1">
            <w:pPr>
              <w:widowControl/>
              <w:jc w:val="cente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1AD50F9C">
            <w:pPr>
              <w:widowControl/>
              <w:jc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1.0（小剂量）</w:t>
            </w:r>
          </w:p>
        </w:tc>
        <w:tc>
          <w:tcPr>
            <w:tcW w:w="1725" w:type="dxa"/>
            <w:vMerge w:val="continue"/>
            <w:tcBorders>
              <w:left w:val="single" w:color="auto" w:sz="4" w:space="0"/>
              <w:bottom w:val="single" w:color="auto" w:sz="4" w:space="0"/>
              <w:right w:val="single" w:color="auto" w:sz="4" w:space="0"/>
            </w:tcBorders>
            <w:noWrap w:val="0"/>
            <w:vAlign w:val="center"/>
          </w:tcPr>
          <w:p w14:paraId="392AAED8">
            <w:pPr>
              <w:widowControl/>
              <w:jc w:val="center"/>
              <w:rPr>
                <w:rFonts w:hint="eastAsia" w:ascii="宋体" w:hAnsi="宋体" w:cs="宋体"/>
                <w:color w:val="000000"/>
                <w:kern w:val="0"/>
                <w:sz w:val="24"/>
                <w:lang w:val="en-US" w:eastAsia="zh-CN"/>
              </w:rPr>
            </w:pPr>
          </w:p>
        </w:tc>
      </w:tr>
    </w:tbl>
    <w:p w14:paraId="2F0647CE">
      <w:pPr>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二、报价要求</w:t>
      </w:r>
    </w:p>
    <w:p w14:paraId="733E1D39">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投标人按照每片药进行综合单价报价，综合单价包含药品、配送、交付</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售后</w:t>
      </w:r>
      <w:r>
        <w:rPr>
          <w:rFonts w:hint="eastAsia" w:ascii="宋体" w:hAnsi="宋体" w:cs="宋体"/>
          <w:color w:val="auto"/>
          <w:sz w:val="24"/>
          <w:highlight w:val="none"/>
        </w:rPr>
        <w:t>等所有费用，并且不能超过最高单价。中标后按照采购预算除以中标单价进行数量结算供货。</w:t>
      </w:r>
    </w:p>
    <w:p w14:paraId="6C3ABFB1">
      <w:pPr>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三、包装运输</w:t>
      </w:r>
    </w:p>
    <w:p w14:paraId="08BFB45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1、投标人根据产品储运要求,选择运输方式，并承担一切运输费用，包括从生产厂到采购人指定交货地点所需的装卸、运输（含保险费）及其他一切费用。</w:t>
      </w:r>
    </w:p>
    <w:p w14:paraId="3AF67B5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2、药品的包装及标识执行国家标准，具有良好的密封性和防潮性。</w:t>
      </w:r>
    </w:p>
    <w:p w14:paraId="2052280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3、药品外盒包装上印有“国家免费药品”中文标识。</w:t>
      </w:r>
    </w:p>
    <w:p w14:paraId="0CDF86B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4、运输费用：由乙方承担发货运输和产品保险费。</w:t>
      </w:r>
    </w:p>
    <w:p w14:paraId="434BEBF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5、发货前乙方通过电话或传真方式向甲方提供待发货物产品的名称、规格、数量、批号、有效期等相关信息。</w:t>
      </w:r>
    </w:p>
    <w:p w14:paraId="20C52D36">
      <w:pPr>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四、质量检验</w:t>
      </w:r>
    </w:p>
    <w:p w14:paraId="74DE5DD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1、投标人将按照甲方要求，在药品运往甲方指定交货地点前，投标人需提供生产企业同一批号的药品检验报告。 </w:t>
      </w:r>
    </w:p>
    <w:p w14:paraId="72A60C0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甲方在使用过程中，如果对药品质量有质疑时，投标人需向甲方所在地药检所提出申请，对其所供药品进行抽检。将检验结果报给甲方，检验所需费用由投标人承担。若对当地药检所的检验结果有异议，则送中检院进行仲裁。</w:t>
      </w:r>
    </w:p>
    <w:p w14:paraId="5A17EA27">
      <w:pPr>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五、质量保证</w:t>
      </w:r>
    </w:p>
    <w:p w14:paraId="0A981A50">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1、每批次订单接到甲方通知之日起</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历日内交货，投标人提供的药品每一次供货每种药品应为同一批号且所供药品不得超过生产日期3个月。投标人必须保证药品质量，对确因药品的质量引起的任何缺陷都立即实施补偿，承担更换药品所需费用，并在7个工作日内到达买方指定交货地点。</w:t>
      </w:r>
    </w:p>
    <w:p w14:paraId="391238AA">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2、如果由于质量问题需要回收药品，投标人将第一时间通知甲方，并按药典质量标准重新供货并承担所需费用。同时必须按要求保证供货。</w:t>
      </w:r>
      <w:bookmarkStart w:id="0" w:name="_Toc9774"/>
    </w:p>
    <w:bookmarkEnd w:id="0"/>
    <w:p w14:paraId="4F3610B5">
      <w:pPr>
        <w:spacing w:line="360" w:lineRule="auto"/>
        <w:rPr>
          <w:rFonts w:hint="eastAsia" w:ascii="宋体" w:hAnsi="宋体"/>
          <w:b/>
          <w:color w:val="auto"/>
          <w:sz w:val="24"/>
          <w:highlight w:val="none"/>
        </w:rPr>
      </w:pPr>
      <w:r>
        <w:rPr>
          <w:rFonts w:hint="eastAsia" w:ascii="宋体" w:hAnsi="宋体" w:cs="宋体"/>
          <w:b/>
          <w:bCs/>
          <w:color w:val="auto"/>
          <w:sz w:val="24"/>
          <w:highlight w:val="none"/>
          <w:lang w:eastAsia="zh-CN"/>
        </w:rPr>
        <w:t>六</w:t>
      </w:r>
      <w:r>
        <w:rPr>
          <w:rFonts w:hint="eastAsia" w:ascii="宋体" w:hAnsi="宋体" w:cs="宋体"/>
          <w:b/>
          <w:bCs/>
          <w:color w:val="auto"/>
          <w:sz w:val="24"/>
          <w:highlight w:val="none"/>
        </w:rPr>
        <w:t>、</w:t>
      </w:r>
      <w:r>
        <w:rPr>
          <w:rFonts w:hint="eastAsia" w:ascii="宋体" w:hAnsi="宋体"/>
          <w:b/>
          <w:color w:val="auto"/>
          <w:sz w:val="24"/>
          <w:highlight w:val="none"/>
        </w:rPr>
        <w:t>技术支持：</w:t>
      </w:r>
    </w:p>
    <w:p w14:paraId="29B75AC2">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1、提供质保期内全年7×24小时的技术咨询服务。投标人怠于或无法提供技术支持的，采购人有权委托第三方处理，由此产生的费用和后果由投标人负责，费用直接从应付款或履约保证金中扣除。</w:t>
      </w:r>
      <w:r>
        <w:rPr>
          <w:rFonts w:hint="eastAsia" w:ascii="宋体" w:hAnsi="宋体" w:cs="宋体"/>
          <w:color w:val="auto"/>
          <w:sz w:val="24"/>
          <w:highlight w:val="none"/>
        </w:rPr>
        <w:t>投标人指定的项目总协调人必须是投标人公司管理层人员。因投标人的人员变更原因所造成的任何项目质量、进度滞后的后果，由投标人承担。</w:t>
      </w:r>
    </w:p>
    <w:p w14:paraId="78B075F0">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2、投标人在项目实施过程中，质量保障人员、资源不足或者执行不力，给项目质量带来的风险超出采购人认定的允许范围时，采购人可终止本项目的合作并进行索赔。</w:t>
      </w:r>
    </w:p>
    <w:p w14:paraId="616A1533">
      <w:pPr>
        <w:spacing w:line="360" w:lineRule="auto"/>
        <w:rPr>
          <w:rFonts w:hint="eastAsia" w:ascii="宋体" w:hAnsi="宋体"/>
          <w:b/>
          <w:color w:val="auto"/>
          <w:sz w:val="24"/>
          <w:highlight w:val="none"/>
        </w:rPr>
      </w:pPr>
      <w:r>
        <w:rPr>
          <w:rFonts w:hint="eastAsia" w:ascii="宋体" w:hAnsi="宋体" w:cs="宋体"/>
          <w:b/>
          <w:bCs/>
          <w:color w:val="auto"/>
          <w:sz w:val="24"/>
          <w:highlight w:val="none"/>
          <w:lang w:eastAsia="zh-CN"/>
        </w:rPr>
        <w:t>七</w:t>
      </w:r>
      <w:r>
        <w:rPr>
          <w:rFonts w:hint="eastAsia" w:ascii="宋体" w:hAnsi="宋体" w:cs="宋体"/>
          <w:b/>
          <w:bCs/>
          <w:color w:val="auto"/>
          <w:sz w:val="24"/>
          <w:highlight w:val="none"/>
        </w:rPr>
        <w:t>、</w:t>
      </w:r>
      <w:r>
        <w:rPr>
          <w:rFonts w:hint="eastAsia" w:ascii="宋体" w:hAnsi="宋体"/>
          <w:b/>
          <w:color w:val="auto"/>
          <w:sz w:val="24"/>
          <w:highlight w:val="none"/>
        </w:rPr>
        <w:t>知识产权：</w:t>
      </w:r>
    </w:p>
    <w:p w14:paraId="22B03712">
      <w:pPr>
        <w:spacing w:line="360" w:lineRule="auto"/>
        <w:ind w:firstLine="480" w:firstLineChars="200"/>
        <w:jc w:val="left"/>
        <w:rPr>
          <w:rFonts w:hint="eastAsia" w:ascii="宋体" w:hAnsi="宋体" w:cs="宋体"/>
          <w:color w:val="auto"/>
          <w:sz w:val="24"/>
          <w:highlight w:val="none"/>
        </w:rPr>
      </w:pPr>
      <w:r>
        <w:rPr>
          <w:rFonts w:hint="eastAsia" w:ascii="宋体" w:hAnsi="宋体"/>
          <w:color w:val="auto"/>
          <w:sz w:val="24"/>
          <w:highlight w:val="none"/>
        </w:rPr>
        <w:t>投标人应对所供产品具有或已取得合法知识产权，投标人应保证所供产品及服务不会出现因第三方提出侵犯其专利权、商标权或其它知识产权而引发法律或经济纠纷，否则由投标人负责解决并承担全部责任；如因此影响到采购人的正常使用，采购人有权单方解除本合同，投标人应无条件向采购人退回已收取的全部合同价款，给采购人造成损失的，由投标人一并赔偿。</w:t>
      </w:r>
    </w:p>
    <w:p w14:paraId="467D764F">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1NWFkYTA1NDZkMzI3NGM4ODJkN2U4NzJkNzNkMWYifQ=="/>
  </w:docVars>
  <w:rsids>
    <w:rsidRoot w:val="349168FA"/>
    <w:rsid w:val="34916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2024-09-25T09:47:00Z</dcterms:created>
  <dc:creator>Administrator</dc:creator>
  <cp:lastModifiedBy>Administrator</cp:lastModifiedBy>
  <dcterms:modified xsi:type="dcterms:W3CDTF">2024-09-25T09:47:32Z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B9AA166314D8483CB63F4EC15A13C0A2_11</vt:lpwstr>
  </property>
</Properties>
</file>