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第二次电力增容设计及预算编制</w:t>
      </w:r>
    </w:p>
    <w:p>
      <w:pPr>
        <w:pStyle w:val="null3"/>
        <w:jc w:val="center"/>
        <w:outlineLvl w:val="2"/>
      </w:pPr>
      <w:r>
        <w:rPr>
          <w:sz w:val="28"/>
          <w:b/>
        </w:rPr>
        <w:t>采购项目编号：</w:t>
      </w:r>
      <w:r>
        <w:rPr>
          <w:sz w:val="28"/>
          <w:b/>
        </w:rPr>
        <w:t>SZT2024-SN-SC-ZC-FW-1071</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西安工业大学</w:t>
      </w:r>
      <w:r>
        <w:rPr/>
        <w:t>委托，拟对</w:t>
      </w:r>
      <w:r>
        <w:rPr/>
        <w:t>第二次电力增容设计及预算编制</w:t>
      </w:r>
      <w:r>
        <w:rPr/>
        <w:t>采用竞争性磋商采购方式进行采购，兹邀请供应商参加本项目的竞争性磋商。</w:t>
      </w:r>
    </w:p>
    <w:p>
      <w:pPr>
        <w:pStyle w:val="null3"/>
        <w:outlineLvl w:val="2"/>
      </w:pPr>
      <w:r>
        <w:rPr>
          <w:sz w:val="28"/>
          <w:b/>
        </w:rPr>
        <w:t>一、项目编号：</w:t>
      </w:r>
      <w:r>
        <w:rPr>
          <w:sz w:val="28"/>
          <w:b/>
        </w:rPr>
        <w:t>SZT2024-SN-SC-ZC-FW-1071</w:t>
      </w:r>
    </w:p>
    <w:p>
      <w:pPr>
        <w:pStyle w:val="null3"/>
        <w:outlineLvl w:val="2"/>
      </w:pPr>
      <w:r>
        <w:rPr>
          <w:sz w:val="28"/>
          <w:b/>
        </w:rPr>
        <w:t>二、项目名称：</w:t>
      </w:r>
      <w:r>
        <w:rPr>
          <w:sz w:val="28"/>
          <w:b/>
        </w:rPr>
        <w:t>第二次电力增容设计及预算编制</w:t>
      </w:r>
    </w:p>
    <w:p>
      <w:pPr>
        <w:pStyle w:val="null3"/>
        <w:outlineLvl w:val="2"/>
      </w:pPr>
      <w:r>
        <w:rPr>
          <w:sz w:val="28"/>
          <w:b/>
        </w:rPr>
        <w:t>三、磋商项目简介</w:t>
      </w:r>
    </w:p>
    <w:p>
      <w:pPr>
        <w:pStyle w:val="null3"/>
        <w:ind w:firstLine="480"/>
      </w:pPr>
      <w:r>
        <w:rPr/>
        <w:t>西安工业大学未央校区已有2个高压配电室，1号中心配电室（9200KVA)和2号中心配电室（7000KVA），现在根据学校使用情况需要增容，我校已经向供电局申请了增容报批手续，2023年9月同意并获批增容方案，按照供电局增容批复方案，从广运潭变电站至我校2号中心配增容并建立2台环网柜分别增容为4000KVA和5600KVA。见附件供电局增容批复方案。</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采购包1（第二次电力增容设计及预算编制）：属于专门面向中小企业采购。</w:t>
      </w:r>
    </w:p>
    <w:p>
      <w:pPr>
        <w:pStyle w:val="null3"/>
        <w:ind w:firstLine="480"/>
      </w:pPr>
      <w:r>
        <w:rPr/>
        <w:t>（三）本项目的特定资格要求：</w:t>
      </w:r>
    </w:p>
    <w:p>
      <w:pPr>
        <w:pStyle w:val="null3"/>
      </w:pPr>
      <w:r>
        <w:rPr/>
        <w:t>采购包1：</w:t>
      </w:r>
    </w:p>
    <w:p>
      <w:pPr>
        <w:pStyle w:val="null3"/>
      </w:pPr>
      <w:r>
        <w:rPr/>
        <w:t>1、法定代表人授权委托：法定代表人授权代表参加投标的，须出具法定代表人授权书及授权代表身份证（法定代表人直接参加磋商的，须出具法定代表人身份证）；供应商需在项目电子化交易系统中按要求上传相应证明文件并进行电子签章。</w:t>
      </w:r>
    </w:p>
    <w:p>
      <w:pPr>
        <w:pStyle w:val="null3"/>
      </w:pPr>
      <w:r>
        <w:rPr/>
        <w:t>2、企业资质要求：供应商应具有电力行业（送电、变电工程）专业工程设计乙级及以上（含乙级）资质；供应商需在项目电子化交易系统中按要求上传相应证明文件并进行电子签章。</w:t>
      </w:r>
    </w:p>
    <w:p>
      <w:pPr>
        <w:pStyle w:val="null3"/>
      </w:pPr>
      <w:r>
        <w:rPr/>
        <w:t>3、项目负责人要求：拟派项目负责人须具有国家注册电气工程师资格，并与投标人具有劳动合同关系，提供注册于本单位不少于6个月的交纳社会保险证明；供应商需在项目电子化交易系统中按要求上传相应证明文件并进行电子签章。</w:t>
      </w:r>
    </w:p>
    <w:p>
      <w:pPr>
        <w:pStyle w:val="null3"/>
      </w:pPr>
      <w:r>
        <w:rPr/>
        <w:t>4、本项目专门面向中小企业采购：本项目专门面向中小企业采购，仅限符合《政府采购促进中小企业发展办法》（财库〔2020〕46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p>
      <w:pPr>
        <w:pStyle w:val="null3"/>
      </w:pPr>
      <w:r>
        <w:rPr/>
        <w:t>5、联合体相关要求：本项目不接受联合体磋商。供应商需在项目电子化交易系统中按要求上传相应证明文件并进行电子签章。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西安工业大学经办</w:t>
      </w:r>
    </w:p>
    <w:p>
      <w:pPr>
        <w:pStyle w:val="null3"/>
      </w:pPr>
      <w:r>
        <w:rPr/>
        <w:t xml:space="preserve"> 联系电话： </w:t>
      </w:r>
      <w:r>
        <w:rPr/>
        <w:t>029-86173142</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杨艳、沈肖楠、史肖霞、单博</w:t>
      </w:r>
    </w:p>
    <w:p>
      <w:pPr>
        <w:pStyle w:val="null3"/>
      </w:pPr>
      <w:r>
        <w:rPr/>
        <w:t xml:space="preserve"> 联系电话： </w:t>
      </w:r>
      <w:r>
        <w:rPr/>
        <w:t>029-88364979-821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采购包1保证金金额：12,000.00元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 邮箱：441688970@qq.com）</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说明：供应商凭成交通知书向采购人缴纳成交金额的 5 %作为履约保证金，待合同履约完毕后无息退还。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服务类收费标准按照成交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西安工业大学</w:t>
      </w:r>
      <w:r>
        <w:rPr/>
        <w:t>和</w:t>
      </w:r>
      <w:r>
        <w:rPr/>
        <w:t>陕西中技招标有限公司</w:t>
      </w:r>
      <w:r>
        <w:rPr/>
        <w:t>享有。对磋商文件中供应商参加本次政府采购活动应当具备的条件，磋商项目技术、服务、商务及其他要求，评审细则及标准由</w:t>
      </w:r>
      <w:r>
        <w:rPr/>
        <w:t>西安工业大学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西安工业大学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工业大学未央校区已有2个高压配电室，1号中心配电室（9200KVA)和2号中心配电室（7000KVA），现在根据学校使用情况需要增容，我校已经向供电局申请了增容报批手续，2023年9月同意并获批增容方案，按照供电局增容批复方案，从广运潭变电站至我校2号中心配增容并建立2台环网柜分别增容为4000KVA和5600KVA。见附件供电局增容批复方案。</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西安工业大学未央校区第二次电力增容设计及预算编制</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次</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标的名称：西安工业大学未央校区第二次电力增容设计及预算编制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calibri" w:hAnsi="calibri" w:cs="calibri" w:eastAsia="calibri"/>
                <w:sz w:val="21"/>
              </w:rPr>
              <w:t>（一）项目概述：</w:t>
            </w:r>
          </w:p>
          <w:p>
            <w:pPr>
              <w:pStyle w:val="null3"/>
              <w:ind w:firstLine="585"/>
            </w:pPr>
            <w:r>
              <w:rPr>
                <w:rFonts w:ascii="calibri" w:hAnsi="calibri" w:cs="calibri" w:eastAsia="calibri"/>
                <w:sz w:val="21"/>
              </w:rPr>
              <w:t>西安工业大学未央校区已有2个高压配电室，1号中心配电室（9200KVA)和2号中心配电室（7000KVA），现在根据学校使用情况需要增容，我校已经向供电局申请了增容报批手续，2023年9月同意并获批增容方案，按照供电局增容批复方案，从广运潭变电站至我校2号中心配增容并建立2台环网柜分别增容为4000KVA和5600KVA。见附件供电局增容批复方案。</w:t>
            </w:r>
          </w:p>
          <w:p>
            <w:pPr>
              <w:pStyle w:val="null3"/>
            </w:pPr>
            <w:r>
              <w:rPr>
                <w:rFonts w:ascii="calibri" w:hAnsi="calibri" w:cs="calibri" w:eastAsia="calibri"/>
                <w:sz w:val="21"/>
              </w:rPr>
              <w:t>（二）设计任务书：</w:t>
            </w:r>
          </w:p>
          <w:p>
            <w:pPr>
              <w:pStyle w:val="null3"/>
              <w:ind w:firstLine="585"/>
            </w:pPr>
            <w:r>
              <w:rPr>
                <w:rFonts w:ascii="calibri" w:hAnsi="calibri" w:cs="calibri" w:eastAsia="calibri"/>
                <w:sz w:val="21"/>
              </w:rPr>
              <w:t>设计范围及内容：</w:t>
            </w:r>
          </w:p>
          <w:p>
            <w:pPr>
              <w:pStyle w:val="null3"/>
            </w:pPr>
            <w:r>
              <w:rPr>
                <w:rFonts w:ascii="calibri" w:hAnsi="calibri" w:cs="calibri" w:eastAsia="calibri"/>
                <w:sz w:val="21"/>
              </w:rPr>
              <w:t>1.本次项目需设计外线增容；内部线路负荷优化调整；1号中心配高压进线主电缆更换；1号中心配变压器改造设计；后勤楼变压器改造设计；1、2号中心配电室联络设计；电力监控系统建设等相关内容。变压器负荷分配图，和校区平面图见附件。</w:t>
            </w:r>
            <w:r>
              <w:br/>
            </w:r>
            <w:r>
              <w:rPr>
                <w:rFonts w:ascii="calibri" w:hAnsi="calibri" w:cs="calibri" w:eastAsia="calibri"/>
                <w:sz w:val="21"/>
              </w:rPr>
              <w:t xml:space="preserve"> 2.完成本项目供配电工程设计（方案设计、施工图设计等内容），配合采购人完成市政规划手续和相关单位包括电力部门等相关手续的办理和后期验收等相关服务，若增容方案有变化，供应商负责协助校方完成方案的修改批复，以及施工图设计及后期施工期间直至工程竣工验收过程中的配合服务。</w:t>
            </w:r>
            <w:r>
              <w:br/>
            </w:r>
            <w:r>
              <w:rPr>
                <w:rFonts w:ascii="calibri" w:hAnsi="calibri" w:cs="calibri" w:eastAsia="calibri"/>
                <w:sz w:val="21"/>
              </w:rPr>
              <w:t xml:space="preserve"> 3、设计服务期限：设计合同签订之日起30个工作日内完成施工技术文件、施工图设计，并通过电力主管部门审核批准。</w:t>
            </w:r>
            <w:r>
              <w:br/>
            </w:r>
            <w:r>
              <w:rPr>
                <w:rFonts w:ascii="calibri" w:hAnsi="calibri" w:cs="calibri" w:eastAsia="calibri"/>
                <w:sz w:val="21"/>
              </w:rPr>
              <w:t xml:space="preserve"> 4、质量标准：符合现行工程建设国家标准，满足国家、地方现行的设计标准和规范，同时满足采购人要求，确保本项目设计通过采购人及相关行政主管部门审批通过。</w:t>
            </w:r>
          </w:p>
          <w:p>
            <w:pPr>
              <w:pStyle w:val="null3"/>
            </w:pPr>
            <w:r>
              <w:rPr>
                <w:rFonts w:ascii="calibri" w:hAnsi="calibri" w:cs="calibri" w:eastAsia="calibri"/>
                <w:sz w:val="21"/>
              </w:rPr>
              <w:t>5.设计完成后，由供应商负责出具项目预算，预算需满足资质的公司出具。需要设计成果文件五份和预算3份。</w:t>
            </w:r>
          </w:p>
          <w:p>
            <w:pPr>
              <w:pStyle w:val="null3"/>
            </w:pPr>
            <w:r>
              <w:rPr>
                <w:rFonts w:ascii="calibri" w:hAnsi="calibri" w:cs="calibri" w:eastAsia="calibri"/>
                <w:sz w:val="21"/>
              </w:rPr>
              <w:t>6.设计文件需相关审图机构审查合格（审图费包含在设计费内）</w:t>
            </w:r>
          </w:p>
          <w:p>
            <w:pPr>
              <w:pStyle w:val="null3"/>
            </w:pPr>
            <w:r>
              <w:rPr>
                <w:rFonts w:ascii="calibri" w:hAnsi="calibri" w:cs="calibri" w:eastAsia="calibri"/>
                <w:sz w:val="21"/>
              </w:rPr>
              <w:t>7.需根据学校目前学校电力现状，画出高低压电缆敷设图，变压器点位图和容量图。</w:t>
            </w:r>
          </w:p>
        </w:tc>
      </w:tr>
    </w:tbl>
    <w:p>
      <w:pPr>
        <w:pStyle w:val="null3"/>
        <w:outlineLvl w:val="2"/>
      </w:pPr>
      <w:r>
        <w:rPr>
          <w:sz w:val="28"/>
          <w:b/>
        </w:rPr>
        <w:t>3.2.3人员配置要求</w:t>
      </w:r>
    </w:p>
    <w:p>
      <w:pPr>
        <w:pStyle w:val="null3"/>
      </w:pPr>
      <w:r>
        <w:rPr/>
        <w:t>采购包1：</w:t>
      </w:r>
    </w:p>
    <w:p>
      <w:pPr>
        <w:pStyle w:val="null3"/>
      </w:pPr>
      <w:r>
        <w:rPr/>
        <w:t>拟派项目负责人须具有国家注册电气工程师资格，并与投标人具有劳动合同关系，提供注册于本单位不少于6个月的交纳社会保险证明。</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详见服务要求及合同文本。</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设计合同签订之日起30个工作日内完成施工技术文件、施工图设计，并通过电力主管部门审核批准。</w:t>
      </w:r>
    </w:p>
    <w:p>
      <w:pPr>
        <w:pStyle w:val="null3"/>
        <w:outlineLvl w:val="3"/>
      </w:pPr>
      <w:r>
        <w:rPr>
          <w:sz w:val="24"/>
          <w:b/>
        </w:rPr>
        <w:t>3.3.2服务地点</w:t>
      </w:r>
    </w:p>
    <w:p>
      <w:pPr>
        <w:pStyle w:val="null3"/>
      </w:pPr>
      <w:r>
        <w:rPr/>
        <w:t>采购包1：</w:t>
      </w:r>
    </w:p>
    <w:p>
      <w:pPr>
        <w:pStyle w:val="null3"/>
      </w:pPr>
      <w:r>
        <w:rPr/>
        <w:t>按照采购人的要求执行</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提交设计初稿，甲方审核通过后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提交设计评审并通过相关部门审核批准手续及电力主管部门审核批准</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设计修改完成提交验收合格的最终成果后</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与施工单位对接完成后</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建设项目主体竣工后并成功送电后十日内</w:t>
      </w:r>
      <w:r>
        <w:rPr/>
        <w:t xml:space="preserve"> ，达到付款条件起 </w:t>
      </w:r>
      <w:r>
        <w:rPr/>
        <w:t>30</w:t>
      </w:r>
      <w:r>
        <w:rPr/>
        <w:t xml:space="preserve"> 日内，支付合同总金额的 </w:t>
      </w:r>
      <w:r>
        <w:rPr/>
        <w:t>5.00</w:t>
      </w:r>
      <w:r>
        <w:rPr/>
        <w:t>%。</w:t>
      </w:r>
    </w:p>
    <w:p>
      <w:pPr>
        <w:pStyle w:val="null3"/>
        <w:outlineLvl w:val="3"/>
      </w:pPr>
      <w:r>
        <w:rPr>
          <w:sz w:val="24"/>
          <w:b/>
        </w:rPr>
        <w:t>3.3.6违约责任及解决争议的方法</w:t>
      </w:r>
    </w:p>
    <w:p>
      <w:pPr>
        <w:pStyle w:val="null3"/>
      </w:pPr>
      <w:r>
        <w:rPr/>
        <w:t>采购包1：</w:t>
      </w:r>
    </w:p>
    <w:p>
      <w:pPr>
        <w:pStyle w:val="null3"/>
      </w:pPr>
      <w:r>
        <w:rPr/>
        <w:t>合同的履行、违约责任和解决争议的方法等适用《中华人民共和国民法典》。具体详见合同文本。</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2.具有良好的商业信誉和健全的财务会计制度（提供2023年度财务审计报告或开标前12个月内银行资信证明或财政部门认可的政府采购专业担保机构出具的投标担保函）； 3.具有履行合同所必需的服务能力（格式详见附件）；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12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供应商资格证明文件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授权代表参加投标的，须出具法定代表人授权书及授权代表身份证（法定代表人直接参加磋商的，须出具法定代表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企业资质要求</w:t>
            </w:r>
          </w:p>
        </w:tc>
        <w:tc>
          <w:tcPr>
            <w:tcW w:type="dxa" w:w="3322"/>
          </w:tcPr>
          <w:p>
            <w:pPr>
              <w:pStyle w:val="null3"/>
            </w:pPr>
            <w:r>
              <w:rPr/>
              <w:t>供应商应具有电力行业（送电、变电工程）专业工程设计乙级及以上（含乙级）资质；供应商需在项目电子化交易系统中按要求上传相应证明文件并进行电子签章。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拟派项目负责人须具有国家注册电气工程师资格，并与投标人具有劳动合同关系，提供注册于本单位不少于6个月的交纳社会保险证明；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tc>
        <w:tc>
          <w:tcPr>
            <w:tcW w:type="dxa" w:w="1661"/>
          </w:tcPr>
          <w:p>
            <w:pPr>
              <w:pStyle w:val="null3"/>
            </w:pPr>
            <w:r>
              <w:rPr/>
              <w:t>中小企业声明函 残疾人福利性单位声明函 供应商资格证明文件 监狱企业的证明文件</w:t>
            </w:r>
          </w:p>
        </w:tc>
      </w:tr>
      <w:tr>
        <w:tc>
          <w:tcPr>
            <w:tcW w:type="dxa" w:w="831"/>
          </w:tcPr>
          <w:p>
            <w:pPr>
              <w:pStyle w:val="null3"/>
            </w:pPr>
            <w:r>
              <w:rPr/>
              <w:t>5</w:t>
            </w:r>
          </w:p>
        </w:tc>
        <w:tc>
          <w:tcPr>
            <w:tcW w:type="dxa" w:w="2492"/>
          </w:tcPr>
          <w:p>
            <w:pPr>
              <w:pStyle w:val="null3"/>
            </w:pPr>
            <w:r>
              <w:rPr/>
              <w:t>联合体相关要求</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服务期是否符合磋商文件要求</w:t>
            </w:r>
          </w:p>
        </w:tc>
        <w:tc>
          <w:tcPr>
            <w:tcW w:type="dxa" w:w="1661"/>
          </w:tcPr>
          <w:p>
            <w:pPr>
              <w:pStyle w:val="null3"/>
            </w:pPr>
            <w:r>
              <w:rPr/>
              <w:t>商务要求偏离表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响应文件有效期是否符合磋商文件要求</w:t>
            </w:r>
          </w:p>
        </w:tc>
        <w:tc>
          <w:tcPr>
            <w:tcW w:type="dxa" w:w="1661"/>
          </w:tcPr>
          <w:p>
            <w:pPr>
              <w:pStyle w:val="null3"/>
            </w:pPr>
            <w:r>
              <w:rPr/>
              <w:t>商务要求偏离表 响应函</w:t>
            </w:r>
          </w:p>
        </w:tc>
      </w:tr>
      <w:tr>
        <w:tc>
          <w:tcPr>
            <w:tcW w:type="dxa" w:w="831"/>
          </w:tcPr>
          <w:p>
            <w:pPr>
              <w:pStyle w:val="null3"/>
            </w:pPr>
            <w:r>
              <w:rPr/>
              <w:t>5</w:t>
            </w:r>
          </w:p>
        </w:tc>
        <w:tc>
          <w:tcPr>
            <w:tcW w:type="dxa" w:w="2492"/>
          </w:tcPr>
          <w:p>
            <w:pPr>
              <w:pStyle w:val="null3"/>
            </w:pPr>
            <w:r>
              <w:rPr/>
              <w:t>磋商保证金</w:t>
            </w:r>
          </w:p>
        </w:tc>
        <w:tc>
          <w:tcPr>
            <w:tcW w:type="dxa" w:w="3322"/>
          </w:tcPr>
          <w:p>
            <w:pPr>
              <w:pStyle w:val="null3"/>
            </w:pPr>
            <w:r>
              <w:rPr/>
              <w:t>磋商保证金是否按磋商文件要求缴纳</w:t>
            </w:r>
          </w:p>
        </w:tc>
        <w:tc>
          <w:tcPr>
            <w:tcW w:type="dxa" w:w="1661"/>
          </w:tcPr>
          <w:p>
            <w:pPr>
              <w:pStyle w:val="null3"/>
            </w:pPr>
            <w:r>
              <w:rPr/>
              <w:t>商务要求偏离表</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开标记录表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供应商详细描述针对本项目的项目背景及工作内容的理解，根据分析情况赋分。 1.理解深入，分析合理，针对性强、得6分； 2.基本理解，分析较合理得4分； 3.理解不全面，分析不完整得2分； 4.不了解或未提供得0分。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设计方案</w:t>
            </w:r>
          </w:p>
        </w:tc>
        <w:tc>
          <w:tcPr>
            <w:tcW w:type="dxa" w:w="2492"/>
          </w:tcPr>
          <w:p>
            <w:pPr>
              <w:pStyle w:val="null3"/>
            </w:pPr>
            <w:r>
              <w:rPr/>
              <w:t>供应商出具针对本项目的设计方案，根据方案的完整度，针对性，布局的合理程度进行赋分。 1.设计方案全面可靠，合理可行，具备明确的针对性、得6分； 2.设计方案基本完善，合理可行，有一定的针对性得4分； 3.计方案基本完善，合理可行，但没有针对性得2分； 4.未提供得0分。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工作思路表述</w:t>
            </w:r>
          </w:p>
        </w:tc>
        <w:tc>
          <w:tcPr>
            <w:tcW w:type="dxa" w:w="2492"/>
          </w:tcPr>
          <w:p>
            <w:pPr>
              <w:pStyle w:val="null3"/>
            </w:pPr>
            <w:r>
              <w:rPr/>
              <w:t>针对本项目实施计划的工作思路，技术路线等进行赋分。1.工作思路清晰明确，技术路线先进可靠，得6分； 2.工作思路基本清晰明确，但技术路线缺乏先进性，得4分； 3.工作思路较为简略，且技术路线缺乏先进性，得2分； 4.不合理或未提供得0分。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实施方案布局</w:t>
            </w:r>
          </w:p>
        </w:tc>
        <w:tc>
          <w:tcPr>
            <w:tcW w:type="dxa" w:w="2492"/>
          </w:tcPr>
          <w:p>
            <w:pPr>
              <w:pStyle w:val="null3"/>
            </w:pPr>
            <w:r>
              <w:rPr/>
              <w:t>针对本项目实施方案的任务分解是否合理，设施布局是否有弹性进行赋分。 1.任务分解划分细致合理，设施布局具备延展性，先进性，能够灵活调整得6分；2.任务分解划分细致合理，但设施布局不够灵活得4分；3.任务分解较为模糊，且设施布局不够灵活得2分；未进行任务分解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工作组织管理</w:t>
            </w:r>
          </w:p>
        </w:tc>
        <w:tc>
          <w:tcPr>
            <w:tcW w:type="dxa" w:w="2492"/>
          </w:tcPr>
          <w:p>
            <w:pPr>
              <w:pStyle w:val="null3"/>
            </w:pPr>
            <w:r>
              <w:rPr/>
              <w:t>针对本项目有明确、切实可行的工作组织管理，包括工作人员管理等。1.工作组织管理全面、详细、科学合理、规范，可操作性强，得5分； 2.工作组织管理较为合理、规范，具有一定操作性，得3分； 3.工作组织管理简单，得1分； 4.工作组织管理不合理或未提供得0分。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工作大纲</w:t>
            </w:r>
          </w:p>
        </w:tc>
        <w:tc>
          <w:tcPr>
            <w:tcW w:type="dxa" w:w="2492"/>
          </w:tcPr>
          <w:p>
            <w:pPr>
              <w:pStyle w:val="null3"/>
            </w:pPr>
            <w:r>
              <w:rPr/>
              <w:t>根据供应商提供的工作大纲考虑是否周全进行赋分。 1.工作大纲考虑周全，编写细致得5分；2.工作大纲考虑周全，编写不够细致可靠得3分；3.工作大纲考虑有误，且编写不够细致得1分；未提供得0分。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配合施工计划</w:t>
            </w:r>
          </w:p>
        </w:tc>
        <w:tc>
          <w:tcPr>
            <w:tcW w:type="dxa" w:w="2492"/>
          </w:tcPr>
          <w:p>
            <w:pPr>
              <w:pStyle w:val="null3"/>
            </w:pPr>
            <w:r>
              <w:rPr/>
              <w:t>根据供应商提供的后续配合计划及相对应的保障措施进行赋分。 1.后续配合施工计划清晰明确，且保障措施合理可靠得5分；2.后续配合施工计划清晰明确，但保障措施有一定实现难度得3分；3.后续配合施工计划不够明确，且保障措施有一定实现难度得1分；未提供或无法实现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档案资料管理制度</w:t>
            </w:r>
          </w:p>
        </w:tc>
        <w:tc>
          <w:tcPr>
            <w:tcW w:type="dxa" w:w="2492"/>
          </w:tcPr>
          <w:p>
            <w:pPr>
              <w:pStyle w:val="null3"/>
            </w:pPr>
            <w:r>
              <w:rPr/>
              <w:t>具有完善的档案资料管理制度，制度可操作性强且具体细致。1.管理制度全面、详细、科学合理、规范，可操作性强，得5分； 2.管理制度较为合理、规范，具有一定操作性，得3分； 3.管理制度简单，得1分； 4.管理制度不合理或未提供得0分。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人员整体架构</w:t>
            </w:r>
          </w:p>
        </w:tc>
        <w:tc>
          <w:tcPr>
            <w:tcW w:type="dxa" w:w="2492"/>
          </w:tcPr>
          <w:p>
            <w:pPr>
              <w:pStyle w:val="null3"/>
            </w:pPr>
            <w:r>
              <w:rPr/>
              <w:t>根据拟派项目组人员的岗位划分情况进行赋分。 1.岗位划分清晰明确，能够点对点完成各项工作的得5分；2.岗位划分较为清晰，能够基本确保完成各项工作的得3分；3.岗位划分不够清晰明确，但关键岗位点对应完整的得1分； 4.未划分岗位或未提供不得分。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拟投入项目负责人简历表</w:t>
            </w:r>
          </w:p>
          <w:p>
            <w:pPr>
              <w:pStyle w:val="null3"/>
            </w:pPr>
            <w:r>
              <w:rPr/>
              <w:t>拟配备团队情况</w:t>
            </w:r>
          </w:p>
          <w:p>
            <w:pPr>
              <w:pStyle w:val="null3"/>
            </w:pPr>
            <w:r>
              <w:rPr/>
              <w:t>投标人认为有必要说明的其他资料</w:t>
            </w:r>
          </w:p>
        </w:tc>
      </w:tr>
      <w:tr>
        <w:tc>
          <w:tcPr>
            <w:tcW w:type="dxa" w:w="831"/>
            <w:vMerge/>
          </w:tcPr>
          <w:p/>
        </w:tc>
        <w:tc>
          <w:tcPr>
            <w:tcW w:type="dxa" w:w="1661"/>
          </w:tcPr>
          <w:p>
            <w:pPr>
              <w:pStyle w:val="null3"/>
            </w:pPr>
            <w:r>
              <w:rPr/>
              <w:t>拟派团队人员能力</w:t>
            </w:r>
          </w:p>
        </w:tc>
        <w:tc>
          <w:tcPr>
            <w:tcW w:type="dxa" w:w="2492"/>
          </w:tcPr>
          <w:p>
            <w:pPr>
              <w:pStyle w:val="null3"/>
            </w:pPr>
            <w:r>
              <w:rPr/>
              <w:t>根据拟派项目组的人员数量、专业技术能力、从业经历等赋分。 人员经验丰富、配备合理充足，证明材料齐全得5分； 人员有一定经验、人员配备无严重缺漏，但有证明材料得3分； 人员缺乏经验、配备情况无法充分完成服务工作，且证明材料不足得1分； 未提供或人员配备完全无法胜任本项目工作的得0分。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拟配备团队情况</w:t>
            </w:r>
          </w:p>
          <w:p>
            <w:pPr>
              <w:pStyle w:val="null3"/>
            </w:pPr>
            <w:r>
              <w:rPr/>
              <w:t>拟投入项目负责人简历表</w:t>
            </w:r>
          </w:p>
          <w:p>
            <w:pPr>
              <w:pStyle w:val="null3"/>
            </w:pPr>
            <w:r>
              <w:rPr/>
              <w:t>投标人认为有必要说明的其他资料</w:t>
            </w:r>
          </w:p>
        </w:tc>
      </w:tr>
      <w:tr>
        <w:tc>
          <w:tcPr>
            <w:tcW w:type="dxa" w:w="831"/>
            <w:vMerge/>
          </w:tcPr>
          <w:p/>
        </w:tc>
        <w:tc>
          <w:tcPr>
            <w:tcW w:type="dxa" w:w="1661"/>
          </w:tcPr>
          <w:p>
            <w:pPr>
              <w:pStyle w:val="null3"/>
            </w:pPr>
            <w:r>
              <w:rPr/>
              <w:t>应急方案</w:t>
            </w:r>
          </w:p>
        </w:tc>
        <w:tc>
          <w:tcPr>
            <w:tcW w:type="dxa" w:w="2492"/>
          </w:tcPr>
          <w:p>
            <w:pPr>
              <w:pStyle w:val="null3"/>
            </w:pPr>
            <w:r>
              <w:rPr/>
              <w:t>应急方案编制合理、清晰、明确、有效。1.应急措施详尽、全面、有效、合理，可实施性强，得5分； 2.应急措施有效、合理，具有一定实施性，得3分； 3.应急措施具有实施性，得1分。 4.应急措施不合理或未提供，得0分。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服务承诺</w:t>
            </w:r>
          </w:p>
        </w:tc>
        <w:tc>
          <w:tcPr>
            <w:tcW w:type="dxa" w:w="2492"/>
          </w:tcPr>
          <w:p>
            <w:pPr>
              <w:pStyle w:val="null3"/>
            </w:pPr>
            <w:r>
              <w:rPr/>
              <w:t>1.供应商提供的服务承诺（包含对本项目的服务目标、质量、服务期限及服务过程中的人员到岗情况等）详细具体、合理、且有针对性得5分；2.供应商提供的服务承诺（包含对本项目的服务目标、质量、服务期限及服务过程中的人员到岗情况等）完整、较合理得3分；3.供应商提供服务承诺得1分；4.供应商提供的服务承诺内容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根据供应商提供的包含但不限于成果文件审核、配合报批等相关增值服务内容的详尽程度及计划进行进行赋分。1.增值内容合理、有建设性得6分；2.供应商提供增值服务方案内容较全面，但有一定的实现难度得4分；3.供应商提供增值服务方案内容较简单得2分；4.供应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1.合理化建议详尽、全面、有效、合理，可实施性强，得5分； 2.合理化建议有效、合理、可实施，得3分；2.合理化建议简单、不具有实施性，得1分。 3.不合理或未提供得0分。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供应商具有（自2021年1月1日起至今，以合同签订的日期为准）同类项目业绩，每提供一个计1分，满分10分。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1.满足磋商文件实质性要求且最后报价最低的供应商价格为投标基准价，其价格分为满分15分。 2.投标报价得分=（投标基准价/投标报价）×15。本项目为专门面向中小企业采购的项目，不再执行价格评审优惠的扶持政策。</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开标记录表</w:t>
            </w:r>
          </w:p>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详见附件：服务承诺书</w:t>
      </w:r>
    </w:p>
    <w:p>
      <w:pPr>
        <w:pStyle w:val="null3"/>
        <w:ind w:firstLine="960"/>
      </w:pPr>
      <w:r>
        <w:rPr/>
        <w:t>详见附件：服务方案</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详见附件：拟投入项目负责人简历表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详见附件：投标人认为有必要说明的其他资料</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