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青少年体育竞赛电子器材购置项目</w:t>
      </w:r>
    </w:p>
    <w:p>
      <w:pPr>
        <w:pStyle w:val="null3"/>
        <w:jc w:val="center"/>
        <w:outlineLvl w:val="2"/>
      </w:pPr>
      <w:r>
        <w:rPr>
          <w:b/>
          <w:sz w:val="28"/>
        </w:rPr>
        <w:t>采购项目编号：</w:t>
      </w:r>
      <w:r>
        <w:rPr>
          <w:b/>
          <w:sz w:val="28"/>
        </w:rPr>
        <w:t>SDZC2024-018</w:t>
      </w:r>
      <w:r>
        <w:br/>
      </w:r>
      <w:r>
        <w:br/>
      </w:r>
      <w:r>
        <w:br/>
      </w:r>
    </w:p>
    <w:p>
      <w:pPr>
        <w:pStyle w:val="null3"/>
        <w:jc w:val="center"/>
        <w:outlineLvl w:val="2"/>
      </w:pPr>
      <w:r>
        <w:rPr>
          <w:b/>
          <w:sz w:val="28"/>
        </w:rPr>
        <w:t>陕西省手球曲棍球棒球垒球运动管理中心</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2024年02月02日</w:t>
      </w:r>
    </w:p>
    <w:p>
      <w:pPr>
        <w:pStyle w:val="null3"/>
      </w:pPr>
      <w:r>
        <w:rPr/>
        <w:t xml:space="preserve"> </w:t>
      </w:r>
    </w:p>
    <w:p>
      <w:pPr>
        <w:pStyle w:val="null3"/>
        <w:jc w:val="center"/>
        <w:outlineLvl w:val="1"/>
      </w:pPr>
      <w:r>
        <w:rPr>
          <w:b/>
          <w:sz w:val="36"/>
        </w:rPr>
        <w:t>第一章 投标邀请</w:t>
      </w:r>
    </w:p>
    <w:p>
      <w:pPr>
        <w:pStyle w:val="null3"/>
        <w:ind w:firstLine="480"/>
      </w:pPr>
      <w:r>
        <w:rPr/>
        <w:t>陕西上德招标有限公司</w:t>
      </w:r>
      <w:r>
        <w:rPr/>
        <w:t>（以下简称“代理机构”）受</w:t>
      </w:r>
      <w:r>
        <w:rPr/>
        <w:t>陕西省手球曲棍球棒球垒球运动管理中心</w:t>
      </w:r>
      <w:r>
        <w:rPr/>
        <w:t>委托，拟对</w:t>
      </w:r>
      <w:r>
        <w:rPr/>
        <w:t>青少年体育竞赛电子器材购置项目</w:t>
      </w:r>
      <w:r>
        <w:rPr/>
        <w:t>进行国内公开招标，兹邀请符合本次招标要求的供应商参加投标。</w:t>
      </w:r>
    </w:p>
    <w:p>
      <w:pPr>
        <w:pStyle w:val="null3"/>
        <w:outlineLvl w:val="2"/>
      </w:pPr>
      <w:r>
        <w:rPr>
          <w:b/>
          <w:sz w:val="28"/>
        </w:rPr>
        <w:t>一、采购项目编号：</w:t>
      </w:r>
      <w:r>
        <w:rPr>
          <w:b/>
          <w:sz w:val="28"/>
        </w:rPr>
        <w:t>SDZC2024-018</w:t>
      </w:r>
    </w:p>
    <w:p>
      <w:pPr>
        <w:pStyle w:val="null3"/>
        <w:outlineLvl w:val="2"/>
      </w:pPr>
      <w:r>
        <w:rPr>
          <w:b/>
          <w:sz w:val="28"/>
        </w:rPr>
        <w:t>二、采购项目名称：</w:t>
      </w:r>
      <w:r>
        <w:rPr>
          <w:b/>
          <w:sz w:val="28"/>
        </w:rPr>
        <w:t>青少年体育竞赛电子器材购置项目</w:t>
      </w:r>
    </w:p>
    <w:p>
      <w:pPr>
        <w:pStyle w:val="null3"/>
        <w:outlineLvl w:val="2"/>
      </w:pPr>
      <w:r>
        <w:rPr>
          <w:b/>
          <w:sz w:val="28"/>
        </w:rPr>
        <w:t>三、招标项目简介</w:t>
      </w:r>
    </w:p>
    <w:p>
      <w:pPr>
        <w:pStyle w:val="null3"/>
        <w:ind w:firstLine="480"/>
      </w:pPr>
      <w:r>
        <w:rPr/>
        <w:t>青少年体育竞赛电子器材购置项目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1、营业执照：具有独立承担民事责任能力，提供投标人合法注册的法人或其他组织的营业执照/事业单位法人证书/非企业专业服务机构执业许可证/民办非企业单位登记证书；</w:t>
      </w:r>
    </w:p>
    <w:p>
      <w:pPr>
        <w:pStyle w:val="null3"/>
      </w:pPr>
      <w:r>
        <w:rPr/>
        <w:t>2、财务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3、税收证明：税收缴纳证明：提供截止至开标时间前一年内任意一个月的缴纳凭据；（增值税、企业所得税至少提供一种，依法免税的投标人应提供相关文件证明）</w:t>
      </w:r>
    </w:p>
    <w:p>
      <w:pPr>
        <w:pStyle w:val="null3"/>
      </w:pPr>
      <w:r>
        <w:rPr/>
        <w:t>4、社保证明：社会保障资金缴纳证明：提供截止至开标时间前六个月内任意一个月的社保缴纳凭据或社保机构开具的社会保险参保缴纳情况证明；（依法不需要缴纳社会保障资金的投标人应提供相关证明）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5、履约承诺：提供具有履行本合同所必需的设备和专业技术能力的说明及承诺；（提供书面说明及承诺，加盖投标人公章）</w:t>
      </w:r>
    </w:p>
    <w:p>
      <w:pPr>
        <w:pStyle w:val="null3"/>
      </w:pPr>
      <w:r>
        <w:rPr/>
        <w:t>6、无违法声明：提供参加政府采购活动前三年内在经营活动中没有重大违法记录的书面声明；（提供书面声明，加盖投标人公章）</w:t>
      </w:r>
    </w:p>
    <w:p>
      <w:pPr>
        <w:pStyle w:val="null3"/>
      </w:pPr>
      <w:r>
        <w:rPr/>
        <w:t>7、法人授权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8、投标担保：投标保证金交纳凭证或担保函；（银行凭证加盖投标人公章或财政部门认可的政府采购信用担保机构出具的担保函）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陕西省手球曲棍球棒球垒球运动管理中心</w:t>
      </w:r>
    </w:p>
    <w:p>
      <w:pPr>
        <w:pStyle w:val="null3"/>
      </w:pPr>
      <w:r>
        <w:rPr/>
        <w:t xml:space="preserve"> 地址： </w:t>
      </w:r>
      <w:r>
        <w:rPr/>
        <w:t>西安市建西街99号</w:t>
      </w:r>
    </w:p>
    <w:p>
      <w:pPr>
        <w:pStyle w:val="null3"/>
      </w:pPr>
      <w:r>
        <w:rPr/>
        <w:t xml:space="preserve"> 邮编： </w:t>
      </w:r>
      <w:r>
        <w:rPr/>
        <w:t>710000</w:t>
      </w:r>
    </w:p>
    <w:p>
      <w:pPr>
        <w:pStyle w:val="null3"/>
      </w:pPr>
      <w:r>
        <w:rPr/>
        <w:t xml:space="preserve"> 联系人： </w:t>
      </w:r>
      <w:r>
        <w:rPr/>
        <w:t>陕西省手球曲棍球棒球垒球运动管理中心</w:t>
      </w:r>
    </w:p>
    <w:p>
      <w:pPr>
        <w:pStyle w:val="null3"/>
      </w:pPr>
      <w:r>
        <w:rPr/>
        <w:t xml:space="preserve"> 联系电话： </w:t>
      </w:r>
      <w:r>
        <w:rPr/>
        <w:t>13572476240</w:t>
      </w:r>
    </w:p>
    <w:p>
      <w:pPr>
        <w:pStyle w:val="null3"/>
        <w:outlineLvl w:val="2"/>
      </w:pPr>
      <w:r>
        <w:rPr>
          <w:b/>
          <w:sz w:val="28"/>
        </w:rPr>
        <w:t>代理机构：</w:t>
      </w:r>
      <w:r>
        <w:rPr>
          <w:b/>
          <w:sz w:val="28"/>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陈瑞（3号工位）、杨宗峰</w:t>
      </w:r>
    </w:p>
    <w:p>
      <w:pPr>
        <w:pStyle w:val="null3"/>
      </w:pPr>
      <w:r>
        <w:rPr/>
        <w:t xml:space="preserve"> 联系电话： </w:t>
      </w:r>
      <w:r>
        <w:rPr/>
        <w:t>029-86673953、86518381、89299829、89293231转8003</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缴交渠道：转账、支票、汇票等（需通过实体账户、户名及开户行信息）,电子保函</w:t>
            </w:r>
          </w:p>
          <w:p>
            <w:pPr>
              <w:pStyle w:val="null3"/>
            </w:pPr>
            <w:r>
              <w:rPr/>
              <w:t>开户名称：陕西上德招标有限公司</w:t>
            </w:r>
          </w:p>
          <w:p>
            <w:pPr>
              <w:pStyle w:val="null3"/>
            </w:pPr>
            <w:r>
              <w:rPr/>
              <w:t>开户银行：中信银行西安南稍门支行</w:t>
            </w:r>
          </w:p>
          <w:p>
            <w:pPr>
              <w:pStyle w:val="null3"/>
            </w:pPr>
            <w:r>
              <w:rPr/>
              <w:t>银行账号：8111 7010 1170 0299 237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2.招标代理服务费应采用转账、刷卡、现金形式缴纳，不得用投标保证金冲抵。 3.中标人如未按上述第1条规定办理，采购代理机构将没收其投标保证金。提供投标担保的投标人将由专业担保机构先行偿付采购代理机构损失。</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陕西省手球曲棍球棒球垒球运动管理中心</w:t>
      </w:r>
      <w:r>
        <w:rPr/>
        <w:t>和</w:t>
      </w:r>
      <w:r>
        <w:rPr/>
        <w:t>陕西上德招标有限公司</w:t>
      </w:r>
      <w:r>
        <w:rPr/>
        <w:t>享有。对招标文件中供应商参加本次政府采购活动应当具备的条件，招标项目技术、服务、商务及其他要求，评标细则及标准由</w:t>
      </w:r>
      <w:r>
        <w:rPr/>
        <w:t>陕西省手球曲棍球棒球垒球运动管理中心</w:t>
      </w:r>
      <w:r>
        <w:rPr/>
        <w:t>负责解释。除上述招标文件内容，其他内容由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陕西省手球曲棍球棒球垒球运动管理中心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采购人应按照政府采购合同约定的技术、服务、安全标准组织对投标人每一项技术、服务、安全标准的履约情况进行验收，并出具验收书。</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 陈瑞（03号工位）、杨宗峰</w:t>
      </w:r>
    </w:p>
    <w:p>
      <w:pPr>
        <w:pStyle w:val="null3"/>
      </w:pPr>
      <w:r>
        <w:rPr/>
        <w:t>联系电话：029-86673953.86518381.89299829.89293231转8003</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青少年体育竞赛电子器材购置项目</w:t>
      </w:r>
    </w:p>
    <w:p>
      <w:pPr>
        <w:pStyle w:val="null3"/>
        <w:outlineLvl w:val="2"/>
      </w:pPr>
      <w:r>
        <w:rPr>
          <w:b/>
          <w:sz w:val="28"/>
        </w:rPr>
        <w:t>3.2采购内容</w:t>
      </w:r>
    </w:p>
    <w:p>
      <w:pPr>
        <w:pStyle w:val="null3"/>
      </w:pPr>
      <w:r>
        <w:rPr/>
        <w:t>采购包1：</w:t>
      </w:r>
    </w:p>
    <w:p>
      <w:pPr>
        <w:pStyle w:val="null3"/>
      </w:pPr>
      <w:r>
        <w:rPr/>
        <w:t>采购包预算金额（元）: 413,000.00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青少年体育竞赛电子器材购置</w:t>
            </w:r>
          </w:p>
        </w:tc>
        <w:tc>
          <w:tcPr>
            <w:tcW w:type="dxa" w:w="831"/>
          </w:tcPr>
          <w:p>
            <w:pPr>
              <w:pStyle w:val="null3"/>
              <w:jc w:val="right"/>
            </w:pPr>
            <w:r>
              <w:rPr/>
              <w:t>1.00</w:t>
            </w:r>
          </w:p>
        </w:tc>
        <w:tc>
          <w:tcPr>
            <w:tcW w:type="dxa" w:w="831"/>
          </w:tcPr>
          <w:p>
            <w:pPr>
              <w:pStyle w:val="null3"/>
              <w:jc w:val="right"/>
            </w:pPr>
            <w:r>
              <w:rPr/>
              <w:t>413,000.00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标的名称：青少年体育竞赛电子器材购置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220"/>
              <w:gridCol w:w="1856"/>
              <w:gridCol w:w="189"/>
              <w:gridCol w:w="141"/>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名称</w:t>
                  </w:r>
                </w:p>
              </w:tc>
              <w:tc>
                <w:tcPr>
                  <w:tcW w:type="dxa" w:w="1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规格参数要求</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棒球垒球计时记分系统（一场地）：</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棒球垒球记分台终端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1.计时记分控制器可同时支持有线、无线网络</w:t>
                  </w:r>
                </w:p>
                <w:p>
                  <w:pPr>
                    <w:pStyle w:val="null3"/>
                    <w:jc w:val="left"/>
                  </w:pPr>
                  <w:r>
                    <w:rPr>
                      <w:rFonts w:ascii="宋体" w:hAnsi="宋体" w:cs="宋体" w:eastAsia="宋体"/>
                      <w:sz w:val="24"/>
                    </w:rPr>
                    <w:t>2.裁判控制器具有打分、计时、换人、判罚、技术统计、投屏控制等功能，具有自动判断胜负的功能，同时也可手工设置局胜，场（盘）胜。</w:t>
                  </w:r>
                </w:p>
                <w:p>
                  <w:pPr>
                    <w:pStyle w:val="null3"/>
                    <w:jc w:val="left"/>
                  </w:pPr>
                  <w:r>
                    <w:rPr>
                      <w:rFonts w:ascii="宋体" w:hAnsi="宋体" w:cs="宋体" w:eastAsia="宋体"/>
                      <w:sz w:val="24"/>
                    </w:rPr>
                    <w:t>3.接收和显示球速。</w:t>
                  </w:r>
                </w:p>
                <w:p>
                  <w:pPr>
                    <w:pStyle w:val="null3"/>
                    <w:jc w:val="left"/>
                  </w:pPr>
                  <w:r>
                    <w:rPr>
                      <w:rFonts w:ascii="宋体" w:hAnsi="宋体" w:cs="宋体" w:eastAsia="宋体"/>
                      <w:sz w:val="24"/>
                    </w:rPr>
                    <w:t>4.系统具有自动交换球权的功能，同时可设置独立的球权控制器，人工进行球权控制。</w:t>
                  </w:r>
                </w:p>
                <w:p>
                  <w:pPr>
                    <w:pStyle w:val="null3"/>
                    <w:jc w:val="left"/>
                  </w:pPr>
                  <w:r>
                    <w:rPr>
                      <w:rFonts w:ascii="宋体" w:hAnsi="宋体" w:cs="宋体" w:eastAsia="宋体"/>
                      <w:sz w:val="24"/>
                    </w:rPr>
                    <w:t>5. 中文操作界面</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2.</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裁判长终端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1.监控场地的比赛情况</w:t>
                  </w:r>
                </w:p>
                <w:p>
                  <w:pPr>
                    <w:pStyle w:val="null3"/>
                    <w:jc w:val="both"/>
                  </w:pPr>
                  <w:r>
                    <w:rPr>
                      <w:rFonts w:ascii="宋体" w:hAnsi="宋体" w:cs="宋体" w:eastAsia="宋体"/>
                      <w:sz w:val="24"/>
                    </w:rPr>
                    <w:t>2.查看运动员首发名单、场上换人情况</w:t>
                  </w:r>
                </w:p>
                <w:p>
                  <w:pPr>
                    <w:pStyle w:val="null3"/>
                    <w:jc w:val="both"/>
                  </w:pPr>
                  <w:r>
                    <w:rPr>
                      <w:rFonts w:ascii="宋体" w:hAnsi="宋体" w:cs="宋体" w:eastAsia="宋体"/>
                      <w:sz w:val="24"/>
                    </w:rPr>
                    <w:t>3.查看比赛局数、时间</w:t>
                  </w:r>
                </w:p>
                <w:p>
                  <w:pPr>
                    <w:pStyle w:val="null3"/>
                    <w:jc w:val="both"/>
                  </w:pPr>
                  <w:r>
                    <w:rPr>
                      <w:rFonts w:ascii="宋体" w:hAnsi="宋体" w:cs="宋体" w:eastAsia="宋体"/>
                      <w:sz w:val="24"/>
                    </w:rPr>
                    <w:t>4.查看击球员姓名背号信息</w:t>
                  </w:r>
                </w:p>
                <w:p>
                  <w:pPr>
                    <w:pStyle w:val="null3"/>
                    <w:jc w:val="left"/>
                  </w:pPr>
                  <w:r>
                    <w:rPr>
                      <w:rFonts w:ascii="宋体" w:hAnsi="宋体" w:cs="宋体" w:eastAsia="宋体"/>
                      <w:sz w:val="24"/>
                    </w:rPr>
                    <w:t>5.查看好球、坏球、出局人数</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3.</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计时器终端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1.计时控制器具有比赛计时、临时记时、播放讯响等功能；</w:t>
                  </w:r>
                </w:p>
                <w:p>
                  <w:pPr>
                    <w:pStyle w:val="null3"/>
                    <w:jc w:val="both"/>
                  </w:pPr>
                  <w:r>
                    <w:rPr>
                      <w:rFonts w:ascii="宋体" w:hAnsi="宋体" w:cs="宋体" w:eastAsia="宋体"/>
                      <w:sz w:val="24"/>
                    </w:rPr>
                    <w:t>2.进攻时钟控制器可设置进攻时间，进行进攻计时；</w:t>
                  </w:r>
                </w:p>
                <w:p>
                  <w:pPr>
                    <w:pStyle w:val="null3"/>
                    <w:jc w:val="both"/>
                  </w:pPr>
                  <w:r>
                    <w:rPr>
                      <w:rFonts w:ascii="宋体" w:hAnsi="宋体" w:cs="宋体" w:eastAsia="宋体"/>
                      <w:sz w:val="24"/>
                    </w:rPr>
                    <w:t>3.投手20秒倒计时功能</w:t>
                  </w:r>
                </w:p>
                <w:p>
                  <w:pPr>
                    <w:pStyle w:val="null3"/>
                    <w:jc w:val="both"/>
                  </w:pPr>
                  <w:r>
                    <w:rPr>
                      <w:rFonts w:ascii="宋体" w:hAnsi="宋体" w:cs="宋体" w:eastAsia="宋体"/>
                      <w:sz w:val="24"/>
                    </w:rPr>
                    <w:t>4.中文操作界面</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户外</w:t>
                  </w:r>
                  <w:r>
                    <w:rPr>
                      <w:rFonts w:ascii="宋体" w:hAnsi="宋体" w:cs="宋体" w:eastAsia="宋体"/>
                      <w:sz w:val="24"/>
                    </w:rPr>
                    <w:t>LED计时显示屏</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进攻</w:t>
                  </w:r>
                  <w:r>
                    <w:rPr>
                      <w:rFonts w:ascii="宋体" w:hAnsi="宋体" w:cs="宋体" w:eastAsia="宋体"/>
                      <w:sz w:val="24"/>
                    </w:rPr>
                    <w:t>20s倒计时专用显示屏</w:t>
                  </w:r>
                </w:p>
                <w:p>
                  <w:pPr>
                    <w:pStyle w:val="null3"/>
                    <w:jc w:val="both"/>
                  </w:pPr>
                  <w:r>
                    <w:rPr>
                      <w:rFonts w:ascii="宋体" w:hAnsi="宋体" w:cs="宋体" w:eastAsia="宋体"/>
                      <w:sz w:val="24"/>
                    </w:rPr>
                    <w:t>1.户外LED，防水防晒</w:t>
                  </w:r>
                </w:p>
                <w:p>
                  <w:pPr>
                    <w:pStyle w:val="null3"/>
                    <w:jc w:val="both"/>
                  </w:pPr>
                  <w:r>
                    <w:rPr>
                      <w:rFonts w:ascii="宋体" w:hAnsi="宋体" w:cs="宋体" w:eastAsia="宋体"/>
                      <w:sz w:val="24"/>
                    </w:rPr>
                    <w:t>2.宽</w:t>
                  </w:r>
                  <w:r>
                    <w:rPr>
                      <w:rFonts w:ascii="宋体" w:hAnsi="宋体" w:cs="宋体" w:eastAsia="宋体"/>
                      <w:sz w:val="24"/>
                    </w:rPr>
                    <w:t>约</w:t>
                  </w:r>
                  <w:r>
                    <w:rPr>
                      <w:rFonts w:ascii="宋体" w:hAnsi="宋体" w:cs="宋体" w:eastAsia="宋体"/>
                      <w:sz w:val="24"/>
                    </w:rPr>
                    <w:t>1.06米×高</w:t>
                  </w:r>
                  <w:r>
                    <w:rPr>
                      <w:rFonts w:ascii="宋体" w:hAnsi="宋体" w:cs="宋体" w:eastAsia="宋体"/>
                      <w:sz w:val="24"/>
                    </w:rPr>
                    <w:t>约</w:t>
                  </w:r>
                  <w:r>
                    <w:rPr>
                      <w:rFonts w:ascii="宋体" w:hAnsi="宋体" w:cs="宋体" w:eastAsia="宋体"/>
                      <w:sz w:val="24"/>
                    </w:rPr>
                    <w:t>0.74米  像素：</w:t>
                  </w:r>
                  <w:r>
                    <w:rPr>
                      <w:rFonts w:ascii="宋体" w:hAnsi="宋体" w:cs="宋体" w:eastAsia="宋体"/>
                      <w:sz w:val="24"/>
                    </w:rPr>
                    <w:t>≥</w:t>
                  </w:r>
                  <w:r>
                    <w:rPr>
                      <w:rFonts w:ascii="宋体" w:hAnsi="宋体" w:cs="宋体" w:eastAsia="宋体"/>
                      <w:sz w:val="24"/>
                    </w:rPr>
                    <w:t>5.0MM</w:t>
                  </w:r>
                </w:p>
                <w:p>
                  <w:pPr>
                    <w:pStyle w:val="null3"/>
                    <w:jc w:val="both"/>
                  </w:pPr>
                  <w:r>
                    <w:rPr>
                      <w:rFonts w:ascii="宋体" w:hAnsi="宋体" w:cs="宋体" w:eastAsia="宋体"/>
                      <w:sz w:val="24"/>
                    </w:rPr>
                    <w:t>3.提供给现场裁判员或运动员观看时间</w:t>
                  </w:r>
                </w:p>
                <w:p>
                  <w:pPr>
                    <w:pStyle w:val="null3"/>
                    <w:jc w:val="left"/>
                  </w:pPr>
                  <w:r>
                    <w:rPr>
                      <w:rFonts w:ascii="宋体" w:hAnsi="宋体" w:cs="宋体" w:eastAsia="宋体"/>
                      <w:sz w:val="24"/>
                    </w:rPr>
                    <w:t>4.脚架高</w:t>
                  </w:r>
                  <w:r>
                    <w:rPr>
                      <w:rFonts w:ascii="宋体" w:hAnsi="宋体" w:cs="宋体" w:eastAsia="宋体"/>
                      <w:sz w:val="24"/>
                    </w:rPr>
                    <w:t>约</w:t>
                  </w:r>
                  <w:r>
                    <w:rPr>
                      <w:rFonts w:ascii="宋体" w:hAnsi="宋体" w:cs="宋体" w:eastAsia="宋体"/>
                      <w:sz w:val="24"/>
                    </w:rPr>
                    <w:t>1.11米。屏幕最下沿离地面</w:t>
                  </w:r>
                  <w:r>
                    <w:rPr>
                      <w:rFonts w:ascii="宋体" w:hAnsi="宋体" w:cs="宋体" w:eastAsia="宋体"/>
                      <w:sz w:val="24"/>
                    </w:rPr>
                    <w:t>约</w:t>
                  </w:r>
                  <w:r>
                    <w:rPr>
                      <w:rFonts w:ascii="宋体" w:hAnsi="宋体" w:cs="宋体" w:eastAsia="宋体"/>
                      <w:sz w:val="24"/>
                    </w:rPr>
                    <w:t>1.11米，最上沿离地面</w:t>
                  </w:r>
                  <w:r>
                    <w:rPr>
                      <w:rFonts w:ascii="宋体" w:hAnsi="宋体" w:cs="宋体" w:eastAsia="宋体"/>
                      <w:sz w:val="24"/>
                    </w:rPr>
                    <w:t>约</w:t>
                  </w:r>
                  <w:r>
                    <w:rPr>
                      <w:rFonts w:ascii="宋体" w:hAnsi="宋体" w:cs="宋体" w:eastAsia="宋体"/>
                      <w:sz w:val="24"/>
                    </w:rPr>
                    <w:t>2.18米</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5.</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成绩处理终端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1.支持名次判断、赛次录取、名次分、胜负判断等功能。</w:t>
                  </w:r>
                </w:p>
                <w:p>
                  <w:pPr>
                    <w:pStyle w:val="null3"/>
                    <w:jc w:val="both"/>
                  </w:pPr>
                  <w:r>
                    <w:rPr>
                      <w:rFonts w:ascii="宋体" w:hAnsi="宋体" w:cs="宋体" w:eastAsia="宋体"/>
                      <w:sz w:val="24"/>
                    </w:rPr>
                    <w:t>2.提供赛后总分统计、奖牌统计等功能，支持按天、按单元输出成绩公告、名次公告、奖牌总分等功能。</w:t>
                  </w:r>
                </w:p>
                <w:p>
                  <w:pPr>
                    <w:pStyle w:val="null3"/>
                    <w:jc w:val="both"/>
                  </w:pPr>
                  <w:r>
                    <w:rPr>
                      <w:rFonts w:ascii="宋体" w:hAnsi="宋体" w:cs="宋体" w:eastAsia="宋体"/>
                      <w:sz w:val="24"/>
                    </w:rPr>
                    <w:t>3.对阵图可自动输出运动员及成绩信息。</w:t>
                  </w:r>
                </w:p>
                <w:p>
                  <w:pPr>
                    <w:pStyle w:val="null3"/>
                    <w:jc w:val="left"/>
                  </w:pPr>
                  <w:r>
                    <w:rPr>
                      <w:rFonts w:ascii="宋体" w:hAnsi="宋体" w:cs="宋体" w:eastAsia="宋体"/>
                      <w:sz w:val="24"/>
                    </w:rPr>
                    <w:t>4.中文操作界面</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6.</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球速测速仪</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测速枪。</w:t>
                  </w:r>
                </w:p>
                <w:p>
                  <w:pPr>
                    <w:pStyle w:val="null3"/>
                    <w:jc w:val="both"/>
                  </w:pPr>
                  <w:r>
                    <w:rPr>
                      <w:rFonts w:ascii="宋体" w:hAnsi="宋体" w:cs="宋体" w:eastAsia="宋体"/>
                      <w:sz w:val="24"/>
                    </w:rPr>
                    <w:t>测速范围：</w:t>
                  </w:r>
                  <w:r>
                    <w:rPr>
                      <w:rFonts w:ascii="宋体" w:hAnsi="宋体" w:cs="宋体" w:eastAsia="宋体"/>
                      <w:sz w:val="24"/>
                    </w:rPr>
                    <w:t>1-300英里/小时 1.6-480千米/小时 1－260节</w:t>
                  </w:r>
                </w:p>
                <w:p>
                  <w:pPr>
                    <w:pStyle w:val="null3"/>
                    <w:jc w:val="both"/>
                  </w:pPr>
                  <w:r>
                    <w:rPr>
                      <w:rFonts w:ascii="宋体" w:hAnsi="宋体" w:cs="宋体" w:eastAsia="宋体"/>
                      <w:sz w:val="24"/>
                    </w:rPr>
                    <w:t>1.能测出实时投球球速。</w:t>
                  </w:r>
                </w:p>
                <w:p>
                  <w:pPr>
                    <w:pStyle w:val="null3"/>
                    <w:jc w:val="both"/>
                  </w:pPr>
                  <w:r>
                    <w:rPr>
                      <w:rFonts w:ascii="宋体" w:hAnsi="宋体" w:cs="宋体" w:eastAsia="宋体"/>
                      <w:sz w:val="24"/>
                    </w:rPr>
                    <w:t>2.能把球速传输给各系统上进行显示输出，或数据统计。</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7.</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公共大屏竞赛信息显示终端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一、显示屏尺寸：</w:t>
                  </w:r>
                  <w:r>
                    <w:rPr>
                      <w:rFonts w:ascii="宋体" w:hAnsi="宋体" w:cs="宋体" w:eastAsia="宋体"/>
                      <w:sz w:val="24"/>
                    </w:rPr>
                    <w:t>≥</w:t>
                  </w:r>
                  <w:r>
                    <w:rPr>
                      <w:rFonts w:ascii="宋体" w:hAnsi="宋体" w:cs="宋体" w:eastAsia="宋体"/>
                      <w:sz w:val="24"/>
                    </w:rPr>
                    <w:t>3*5=15㎡；</w:t>
                  </w:r>
                </w:p>
                <w:p>
                  <w:pPr>
                    <w:pStyle w:val="null3"/>
                    <w:jc w:val="both"/>
                  </w:pPr>
                  <w:r>
                    <w:rPr>
                      <w:rFonts w:ascii="宋体" w:hAnsi="宋体" w:cs="宋体" w:eastAsia="宋体"/>
                      <w:sz w:val="24"/>
                    </w:rPr>
                    <w:t>二、高清</w:t>
                  </w:r>
                  <w:r>
                    <w:rPr>
                      <w:rFonts w:ascii="宋体" w:hAnsi="宋体" w:cs="宋体" w:eastAsia="宋体"/>
                      <w:sz w:val="24"/>
                    </w:rPr>
                    <w:t>LED显示屏部分：</w:t>
                  </w:r>
                </w:p>
                <w:p>
                  <w:pPr>
                    <w:pStyle w:val="null3"/>
                    <w:jc w:val="both"/>
                  </w:pPr>
                  <w:r>
                    <w:rPr>
                      <w:rFonts w:ascii="宋体" w:hAnsi="宋体" w:cs="宋体" w:eastAsia="宋体"/>
                      <w:sz w:val="24"/>
                    </w:rPr>
                    <w:t>1.灯珠特性：2121灯珠1R1G1B户内表贴三合一表贴，</w:t>
                  </w:r>
                </w:p>
                <w:p>
                  <w:pPr>
                    <w:pStyle w:val="null3"/>
                    <w:jc w:val="both"/>
                  </w:pPr>
                  <w:r>
                    <w:rPr>
                      <w:rFonts w:ascii="宋体" w:hAnsi="宋体" w:cs="宋体" w:eastAsia="宋体"/>
                      <w:sz w:val="24"/>
                    </w:rPr>
                    <w:t>2.物理点间距：</w:t>
                  </w:r>
                  <w:r>
                    <w:rPr>
                      <w:rFonts w:ascii="宋体" w:hAnsi="宋体" w:cs="宋体" w:eastAsia="宋体"/>
                      <w:sz w:val="24"/>
                    </w:rPr>
                    <w:t>≤</w:t>
                  </w:r>
                  <w:r>
                    <w:rPr>
                      <w:rFonts w:ascii="宋体" w:hAnsi="宋体" w:cs="宋体" w:eastAsia="宋体"/>
                      <w:sz w:val="24"/>
                    </w:rPr>
                    <w:t>3.91mm   每平方密度：</w:t>
                  </w:r>
                  <w:r>
                    <w:rPr>
                      <w:rFonts w:ascii="宋体" w:hAnsi="宋体" w:cs="宋体" w:eastAsia="宋体"/>
                      <w:sz w:val="24"/>
                    </w:rPr>
                    <w:t>≥</w:t>
                  </w:r>
                  <w:r>
                    <w:rPr>
                      <w:rFonts w:ascii="宋体" w:hAnsi="宋体" w:cs="宋体" w:eastAsia="宋体"/>
                      <w:sz w:val="24"/>
                    </w:rPr>
                    <w:t>65536</w:t>
                  </w:r>
                </w:p>
                <w:p>
                  <w:pPr>
                    <w:pStyle w:val="null3"/>
                    <w:jc w:val="both"/>
                  </w:pPr>
                  <w:r>
                    <w:rPr>
                      <w:rFonts w:ascii="宋体" w:hAnsi="宋体" w:cs="宋体" w:eastAsia="宋体"/>
                      <w:sz w:val="24"/>
                    </w:rPr>
                    <w:t>3.单元板尺寸：250mm*250mm</w:t>
                  </w:r>
                </w:p>
                <w:p>
                  <w:pPr>
                    <w:pStyle w:val="null3"/>
                    <w:jc w:val="both"/>
                  </w:pPr>
                  <w:r>
                    <w:rPr>
                      <w:rFonts w:ascii="宋体" w:hAnsi="宋体" w:cs="宋体" w:eastAsia="宋体"/>
                      <w:sz w:val="24"/>
                    </w:rPr>
                    <w:t>4.刷新频率：</w:t>
                  </w:r>
                  <w:r>
                    <w:rPr>
                      <w:rFonts w:ascii="宋体" w:hAnsi="宋体" w:cs="宋体" w:eastAsia="宋体"/>
                      <w:sz w:val="24"/>
                    </w:rPr>
                    <w:t>≥</w:t>
                  </w:r>
                  <w:r>
                    <w:rPr>
                      <w:rFonts w:ascii="宋体" w:hAnsi="宋体" w:cs="宋体" w:eastAsia="宋体"/>
                      <w:sz w:val="24"/>
                    </w:rPr>
                    <w:t>3840赫兹</w:t>
                  </w:r>
                </w:p>
                <w:p>
                  <w:pPr>
                    <w:pStyle w:val="null3"/>
                    <w:jc w:val="both"/>
                  </w:pPr>
                  <w:r>
                    <w:rPr>
                      <w:rFonts w:ascii="宋体" w:hAnsi="宋体" w:cs="宋体" w:eastAsia="宋体"/>
                      <w:sz w:val="24"/>
                    </w:rPr>
                    <w:t>5.视角及均匀度：屏幕水平视角≥160度 ，垂直视角：≥160度，</w:t>
                  </w:r>
                </w:p>
                <w:p>
                  <w:pPr>
                    <w:pStyle w:val="null3"/>
                    <w:jc w:val="both"/>
                  </w:pPr>
                  <w:r>
                    <w:rPr>
                      <w:rFonts w:ascii="宋体" w:hAnsi="宋体" w:cs="宋体" w:eastAsia="宋体"/>
                      <w:sz w:val="24"/>
                    </w:rPr>
                    <w:t>6.显示屏亮度：＞600cd/㎡,且屏幕亮度均匀性≥97%，</w:t>
                  </w:r>
                </w:p>
                <w:p>
                  <w:pPr>
                    <w:pStyle w:val="null3"/>
                    <w:jc w:val="both"/>
                  </w:pPr>
                  <w:r>
                    <w:rPr>
                      <w:rFonts w:ascii="宋体" w:hAnsi="宋体" w:cs="宋体" w:eastAsia="宋体"/>
                      <w:sz w:val="24"/>
                    </w:rPr>
                    <w:t>7.对比度：不小于8000：1</w:t>
                  </w:r>
                </w:p>
                <w:p>
                  <w:pPr>
                    <w:pStyle w:val="null3"/>
                    <w:jc w:val="both"/>
                  </w:pPr>
                  <w:r>
                    <w:rPr>
                      <w:rFonts w:ascii="宋体" w:hAnsi="宋体" w:cs="宋体" w:eastAsia="宋体"/>
                      <w:sz w:val="24"/>
                    </w:rPr>
                    <w:t xml:space="preserve">8.平整度与一致性：平整度与一致性:箱体拼接间隙：＜0.1mm、模块拼接间隙＜0.01mm、单元具有亮度与色彩点对点逐点调节技术，从而改善显示单元整体一致性和均匀性；                                                                                                           </w:t>
                  </w:r>
                </w:p>
                <w:p>
                  <w:pPr>
                    <w:pStyle w:val="null3"/>
                    <w:jc w:val="both"/>
                  </w:pPr>
                  <w:r>
                    <w:rPr>
                      <w:rFonts w:ascii="宋体" w:hAnsi="宋体" w:cs="宋体" w:eastAsia="宋体"/>
                      <w:sz w:val="24"/>
                    </w:rPr>
                    <w:t>9.供电及功耗：AC50HZ 220±10％、平均功耗≤300W/㎡、最大功耗≤750W/㎡；</w:t>
                  </w:r>
                </w:p>
                <w:p>
                  <w:pPr>
                    <w:pStyle w:val="null3"/>
                    <w:jc w:val="both"/>
                  </w:pPr>
                  <w:r>
                    <w:rPr>
                      <w:rFonts w:ascii="宋体" w:hAnsi="宋体" w:cs="宋体" w:eastAsia="宋体"/>
                      <w:sz w:val="24"/>
                    </w:rPr>
                    <w:t>10.维修便捷性：采用压铸铝箱体安装结构，简单轻便。</w:t>
                  </w:r>
                </w:p>
                <w:p>
                  <w:pPr>
                    <w:pStyle w:val="null3"/>
                    <w:jc w:val="both"/>
                  </w:pPr>
                  <w:r>
                    <w:rPr>
                      <w:rFonts w:ascii="宋体" w:hAnsi="宋体" w:cs="宋体" w:eastAsia="宋体"/>
                      <w:sz w:val="24"/>
                    </w:rPr>
                    <w:t>11.使用环境：温度（-5℃～+45℃），湿度（15%～99%RH）；</w:t>
                  </w:r>
                </w:p>
                <w:p>
                  <w:pPr>
                    <w:pStyle w:val="null3"/>
                    <w:jc w:val="both"/>
                  </w:pPr>
                  <w:r>
                    <w:rPr>
                      <w:rFonts w:ascii="宋体" w:hAnsi="宋体" w:cs="宋体" w:eastAsia="宋体"/>
                      <w:sz w:val="24"/>
                    </w:rPr>
                    <w:t>12.采用抗消隐设计，无“毛毛虫”“鬼影”跟随现象，无故障点十字线现象；</w:t>
                  </w:r>
                </w:p>
                <w:p>
                  <w:pPr>
                    <w:pStyle w:val="null3"/>
                    <w:jc w:val="both"/>
                  </w:pPr>
                  <w:r>
                    <w:rPr>
                      <w:rFonts w:ascii="宋体" w:hAnsi="宋体" w:cs="宋体" w:eastAsia="宋体"/>
                      <w:sz w:val="24"/>
                    </w:rPr>
                    <w:t>13.精选双锁存驱动IC，高刷新率、高灰阶过度自然、拍照无水波纹；</w:t>
                  </w:r>
                </w:p>
                <w:p>
                  <w:pPr>
                    <w:pStyle w:val="null3"/>
                    <w:jc w:val="both"/>
                  </w:pPr>
                  <w:r>
                    <w:rPr>
                      <w:rFonts w:ascii="宋体" w:hAnsi="宋体" w:cs="宋体" w:eastAsia="宋体"/>
                      <w:sz w:val="24"/>
                    </w:rPr>
                    <w:t>14.屏幕寿命：＞100000小时</w:t>
                  </w:r>
                </w:p>
                <w:p>
                  <w:pPr>
                    <w:pStyle w:val="null3"/>
                    <w:jc w:val="both"/>
                  </w:pPr>
                  <w:r>
                    <w:rPr>
                      <w:rFonts w:ascii="宋体" w:hAnsi="宋体" w:cs="宋体" w:eastAsia="宋体"/>
                      <w:sz w:val="24"/>
                    </w:rPr>
                    <w:t>15.处理器：支持亮度调节，窗口静帧设置，无缝切换；支持预监多画面与多画面无缝切换；支持 PC场景，定时切换，任务轮播；全部信号间任意图层，多画面任意漫游、缩放</w:t>
                  </w:r>
                </w:p>
                <w:p>
                  <w:pPr>
                    <w:pStyle w:val="null3"/>
                    <w:jc w:val="both"/>
                  </w:pPr>
                  <w:r>
                    <w:rPr>
                      <w:rFonts w:ascii="宋体" w:hAnsi="宋体" w:cs="宋体" w:eastAsia="宋体"/>
                      <w:sz w:val="24"/>
                    </w:rPr>
                    <w:t>；软件调试，软硬件均可控制；支持字幕或添加图片功能异形拼接；支持</w:t>
                  </w:r>
                  <w:r>
                    <w:rPr>
                      <w:rFonts w:ascii="宋体" w:hAnsi="宋体" w:cs="宋体" w:eastAsia="宋体"/>
                      <w:sz w:val="24"/>
                    </w:rPr>
                    <w:t>DVI，HDMI,HDMI1.4的EDID反烧写；支持字幕叠加，输入热备份；可自定义分辨率，单口最宽高3840；输出口之间可设置不同分辨率；支持左右格式，上下格式以及连续帧；支持级联拼接带载更大点数</w:t>
                  </w:r>
                </w:p>
                <w:p>
                  <w:pPr>
                    <w:pStyle w:val="null3"/>
                    <w:jc w:val="both"/>
                  </w:pPr>
                  <w:r>
                    <w:rPr>
                      <w:rFonts w:ascii="宋体" w:hAnsi="宋体" w:cs="宋体" w:eastAsia="宋体"/>
                      <w:sz w:val="24"/>
                    </w:rPr>
                    <w:t>；可接入</w:t>
                  </w:r>
                  <w:r>
                    <w:rPr>
                      <w:rFonts w:ascii="宋体" w:hAnsi="宋体" w:cs="宋体" w:eastAsia="宋体"/>
                      <w:sz w:val="24"/>
                    </w:rPr>
                    <w:t>4张大发送卡；智能设置分辨率</w:t>
                  </w:r>
                </w:p>
                <w:p>
                  <w:pPr>
                    <w:pStyle w:val="null3"/>
                    <w:jc w:val="both"/>
                  </w:pPr>
                  <w:r>
                    <w:rPr>
                      <w:rFonts w:ascii="宋体" w:hAnsi="宋体" w:cs="宋体" w:eastAsia="宋体"/>
                      <w:sz w:val="24"/>
                    </w:rPr>
                    <w:t>16.特制显示屏框架</w:t>
                  </w:r>
                </w:p>
                <w:p>
                  <w:pPr>
                    <w:pStyle w:val="null3"/>
                    <w:jc w:val="left"/>
                  </w:pPr>
                  <w:r>
                    <w:rPr>
                      <w:rFonts w:ascii="宋体" w:hAnsi="宋体" w:cs="宋体" w:eastAsia="宋体"/>
                      <w:sz w:val="24"/>
                    </w:rPr>
                    <w:t>17.特制支架</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8.</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 xml:space="preserve"> </w:t>
                  </w:r>
                  <w:r>
                    <w:rPr>
                      <w:rFonts w:ascii="宋体" w:hAnsi="宋体" w:cs="宋体" w:eastAsia="宋体"/>
                      <w:sz w:val="24"/>
                    </w:rPr>
                    <w:t>激光打印机</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A4黑白激光一体机/28张/分钟/2400DPI</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9.</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彩色喷墨打印机</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A4彩色激光一体机/16张/分钟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10.</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网络交换机</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8口百兆交换机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11.</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网络配件</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自组</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棒球垒球仲裁录像及审议系统（一场地）：</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仲裁录像存储服务器</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1.提供本地储存，可以将录像内容存储到电脑本地硬盘，方便用户随时调用、查看和管理。</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13.</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高清摄像机</w:t>
                  </w:r>
                  <w:r>
                    <w:rPr>
                      <w:rFonts w:ascii="宋体" w:hAnsi="宋体" w:cs="宋体" w:eastAsia="宋体"/>
                      <w:sz w:val="24"/>
                    </w:rPr>
                    <w:t>带</w:t>
                  </w:r>
                  <w:r>
                    <w:rPr>
                      <w:rFonts w:ascii="宋体" w:hAnsi="宋体" w:cs="宋体" w:eastAsia="宋体"/>
                      <w:sz w:val="24"/>
                    </w:rPr>
                    <w:t>支架</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仲裁录像摄像机：</w:t>
                  </w:r>
                </w:p>
                <w:p>
                  <w:pPr>
                    <w:pStyle w:val="null3"/>
                    <w:jc w:val="left"/>
                  </w:pPr>
                  <w:r>
                    <w:rPr>
                      <w:rFonts w:ascii="宋体" w:hAnsi="宋体" w:cs="宋体" w:eastAsia="宋体"/>
                      <w:sz w:val="24"/>
                    </w:rPr>
                    <w:t>1.专业品牌高清摄像机，</w:t>
                  </w:r>
                  <w:r>
                    <w:rPr>
                      <w:rFonts w:ascii="宋体" w:hAnsi="宋体" w:cs="宋体" w:eastAsia="宋体"/>
                      <w:sz w:val="24"/>
                    </w:rPr>
                    <w:t>画面效果</w:t>
                  </w:r>
                  <w:r>
                    <w:rPr>
                      <w:rFonts w:ascii="宋体" w:hAnsi="宋体" w:cs="宋体" w:eastAsia="宋体"/>
                      <w:sz w:val="24"/>
                    </w:rPr>
                    <w:t>清晰、高质量。</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1080P高清录制质量，H.264视频编码格式，确保视频画面高清晰度、低码率、低延迟。</w:t>
                  </w:r>
                </w:p>
                <w:p>
                  <w:pPr>
                    <w:pStyle w:val="null3"/>
                    <w:jc w:val="left"/>
                  </w:pPr>
                  <w:r>
                    <w:rPr>
                      <w:rFonts w:ascii="宋体" w:hAnsi="宋体" w:cs="宋体" w:eastAsia="宋体"/>
                      <w:sz w:val="24"/>
                    </w:rPr>
                    <w:t>3.具备光学防抖功能，有效减少录制过程中的画面抖动，保证画面稳定。具备自动曝光、自动白平衡等配套功能。</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 xml:space="preserve"> </w:t>
                  </w:r>
                  <w:r>
                    <w:rPr>
                      <w:rFonts w:ascii="宋体" w:hAnsi="宋体" w:cs="宋体" w:eastAsia="宋体"/>
                      <w:sz w:val="24"/>
                    </w:rPr>
                    <w:t>高清视频编码器</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1.作为录像机的高清信号转换设备，可以将高清摄像机的信号进行远距离传输，确保画面质量不损失。</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15.</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仲裁审议视频回放终端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仲裁审议视频回放终端的功能主要包括现场直播、录像回放、变速播放和逐帧查看等。</w:t>
                  </w:r>
                </w:p>
                <w:p>
                  <w:pPr>
                    <w:pStyle w:val="null3"/>
                    <w:jc w:val="left"/>
                  </w:pPr>
                  <w:r>
                    <w:rPr>
                      <w:rFonts w:ascii="宋体" w:hAnsi="宋体" w:cs="宋体" w:eastAsia="宋体"/>
                      <w:sz w:val="24"/>
                    </w:rPr>
                    <w:t>1.现场直播：仲裁审议视频回放终端能够提供比赛的实时图像，使得裁判长或仲裁官员可以即时观看比赛情况。</w:t>
                  </w:r>
                </w:p>
                <w:p>
                  <w:pPr>
                    <w:pStyle w:val="null3"/>
                    <w:jc w:val="left"/>
                  </w:pPr>
                  <w:r>
                    <w:rPr>
                      <w:rFonts w:ascii="宋体" w:hAnsi="宋体" w:cs="宋体" w:eastAsia="宋体"/>
                      <w:sz w:val="24"/>
                    </w:rPr>
                    <w:t>2.录像回放：该系统具备录像功能，可以对比赛进行全程录制，便于事后回放和分析。对于有争议的情况特别有用，因为它允许官员回看特定事件，以确保裁决的准确性和公正性。</w:t>
                  </w:r>
                </w:p>
                <w:p>
                  <w:pPr>
                    <w:pStyle w:val="null3"/>
                    <w:jc w:val="left"/>
                  </w:pPr>
                  <w:r>
                    <w:rPr>
                      <w:rFonts w:ascii="宋体" w:hAnsi="宋体" w:cs="宋体" w:eastAsia="宋体"/>
                      <w:sz w:val="24"/>
                    </w:rPr>
                    <w:t>3.变速播放：在审查有争议的内容时，仲裁官员可以使用变速播放功能，这有助于更清晰地捕捉到比赛中的关键瞬间。</w:t>
                  </w:r>
                </w:p>
                <w:p>
                  <w:pPr>
                    <w:pStyle w:val="null3"/>
                    <w:jc w:val="left"/>
                  </w:pPr>
                  <w:r>
                    <w:rPr>
                      <w:rFonts w:ascii="宋体" w:hAnsi="宋体" w:cs="宋体" w:eastAsia="宋体"/>
                      <w:sz w:val="24"/>
                    </w:rPr>
                    <w:t>4.逐帧查看：为了更细致地分析比赛画面，仲裁审议视频回放终端还支持逐帧回放，这使得裁判可以一帧一帧地检查视频，以便做出最准确的判断。</w:t>
                  </w:r>
                </w:p>
                <w:p>
                  <w:pPr>
                    <w:pStyle w:val="null3"/>
                    <w:jc w:val="left"/>
                  </w:pPr>
                  <w:r>
                    <w:rPr>
                      <w:rFonts w:ascii="宋体" w:hAnsi="宋体" w:cs="宋体" w:eastAsia="宋体"/>
                      <w:sz w:val="24"/>
                    </w:rPr>
                    <w:t>5. 高清录制：现代的仲裁审议视频回放终端通常支持高清录制，如1080p分辨率，确保画面清晰，细节可见。</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16.</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高清视频直播推流服务器</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接收来自编码器的音视频流，并将其推送到直播平台。</w:t>
                  </w:r>
                </w:p>
                <w:p>
                  <w:pPr>
                    <w:pStyle w:val="null3"/>
                    <w:jc w:val="left"/>
                  </w:pPr>
                  <w:r>
                    <w:rPr>
                      <w:rFonts w:ascii="宋体" w:hAnsi="宋体" w:cs="宋体" w:eastAsia="宋体"/>
                      <w:sz w:val="24"/>
                    </w:rPr>
                    <w:t>1.协议支持：支持主流的推流协议，如RTMP、HLS等，以确保与各种编码器和播放器的兼容性。</w:t>
                  </w:r>
                </w:p>
                <w:p>
                  <w:pPr>
                    <w:pStyle w:val="null3"/>
                    <w:jc w:val="left"/>
                  </w:pPr>
                  <w:r>
                    <w:rPr>
                      <w:rFonts w:ascii="宋体" w:hAnsi="宋体" w:cs="宋体" w:eastAsia="宋体"/>
                      <w:sz w:val="24"/>
                    </w:rPr>
                    <w:t>2.流媒体处理：对接收的音视频流进行解码、转码、混流等处理，以适应不同的播放需求和网络环境。</w:t>
                  </w:r>
                </w:p>
                <w:p>
                  <w:pPr>
                    <w:pStyle w:val="null3"/>
                    <w:jc w:val="left"/>
                  </w:pPr>
                  <w:r>
                    <w:rPr>
                      <w:rFonts w:ascii="宋体" w:hAnsi="宋体" w:cs="宋体" w:eastAsia="宋体"/>
                      <w:sz w:val="24"/>
                    </w:rPr>
                    <w:t>3.实时转发：将处理后的音视频流实时转发给直播平台，以便进行分发和播放。</w:t>
                  </w:r>
                </w:p>
                <w:p>
                  <w:pPr>
                    <w:pStyle w:val="null3"/>
                    <w:jc w:val="left"/>
                  </w:pPr>
                  <w:r>
                    <w:rPr>
                      <w:rFonts w:ascii="宋体" w:hAnsi="宋体" w:cs="宋体" w:eastAsia="宋体"/>
                      <w:sz w:val="24"/>
                    </w:rPr>
                    <w:t>4.录制存储：将直播流录制并存储在服务器上，用于后续的点播、回看等应用。</w:t>
                  </w:r>
                </w:p>
                <w:p>
                  <w:pPr>
                    <w:pStyle w:val="null3"/>
                    <w:jc w:val="left"/>
                  </w:pPr>
                  <w:r>
                    <w:rPr>
                      <w:rFonts w:ascii="宋体" w:hAnsi="宋体" w:cs="宋体" w:eastAsia="宋体"/>
                      <w:sz w:val="24"/>
                    </w:rPr>
                    <w:t>5.状态监控：实时监控直播流的状态，包括码率、帧率、丢包率等，以及推流服务器的负载情况，确保直播的稳定性和可靠性</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棒球垒球技术统计系统（一场地）：</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棒球垒球技术统计台终端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系统需适用于中国垒球联赛技术统计要求。</w:t>
                  </w:r>
                </w:p>
                <w:p>
                  <w:pPr>
                    <w:pStyle w:val="null3"/>
                    <w:jc w:val="left"/>
                  </w:pPr>
                  <w:r>
                    <w:rPr>
                      <w:rFonts w:ascii="宋体" w:hAnsi="宋体" w:cs="宋体" w:eastAsia="宋体"/>
                      <w:sz w:val="24"/>
                    </w:rPr>
                    <w:t>系统能够实时输出各类高级技术统计报表：</w:t>
                  </w:r>
                </w:p>
                <w:p>
                  <w:pPr>
                    <w:pStyle w:val="null3"/>
                    <w:jc w:val="left"/>
                  </w:pPr>
                  <w:r>
                    <w:rPr>
                      <w:rFonts w:ascii="宋体" w:hAnsi="宋体" w:cs="宋体" w:eastAsia="宋体"/>
                      <w:sz w:val="24"/>
                    </w:rPr>
                    <w:t>队伍累计统计；</w:t>
                  </w:r>
                </w:p>
                <w:p>
                  <w:pPr>
                    <w:pStyle w:val="null3"/>
                    <w:jc w:val="left"/>
                  </w:pPr>
                  <w:r>
                    <w:rPr>
                      <w:rFonts w:ascii="宋体" w:hAnsi="宋体" w:cs="宋体" w:eastAsia="宋体"/>
                      <w:sz w:val="24"/>
                    </w:rPr>
                    <w:t>统计击手（</w:t>
                  </w:r>
                  <w:r>
                    <w:rPr>
                      <w:rFonts w:ascii="宋体" w:hAnsi="宋体" w:cs="宋体" w:eastAsia="宋体"/>
                      <w:sz w:val="24"/>
                    </w:rPr>
                    <w:t>PA、AB、R、H、2B、3B、HR、GDP、SH、BB、IBB、HPB、I/O、SB、CS、SO、RBI等数据）；</w:t>
                  </w:r>
                </w:p>
                <w:p>
                  <w:pPr>
                    <w:pStyle w:val="null3"/>
                    <w:jc w:val="left"/>
                  </w:pPr>
                  <w:r>
                    <w:rPr>
                      <w:rFonts w:ascii="宋体" w:hAnsi="宋体" w:cs="宋体" w:eastAsia="宋体"/>
                      <w:sz w:val="24"/>
                    </w:rPr>
                    <w:t>统计投手（</w:t>
                  </w:r>
                  <w:r>
                    <w:rPr>
                      <w:rFonts w:ascii="宋体" w:hAnsi="宋体" w:cs="宋体" w:eastAsia="宋体"/>
                      <w:sz w:val="24"/>
                    </w:rPr>
                    <w:t>IP、PO、A、E、DP、BF、AB、R、ER、H、2B、3B、HR、SH、SF、BB、IBB、HBP、SO、WP等数据）</w:t>
                  </w:r>
                </w:p>
                <w:p>
                  <w:pPr>
                    <w:pStyle w:val="null3"/>
                    <w:jc w:val="left"/>
                  </w:pPr>
                  <w:r>
                    <w:rPr>
                      <w:rFonts w:ascii="宋体" w:hAnsi="宋体" w:cs="宋体" w:eastAsia="宋体"/>
                      <w:sz w:val="24"/>
                    </w:rPr>
                    <w:t>最佳进攻球员统计；</w:t>
                  </w:r>
                </w:p>
                <w:p>
                  <w:pPr>
                    <w:pStyle w:val="null3"/>
                    <w:jc w:val="left"/>
                  </w:pPr>
                  <w:r>
                    <w:rPr>
                      <w:rFonts w:ascii="宋体" w:hAnsi="宋体" w:cs="宋体" w:eastAsia="宋体"/>
                      <w:sz w:val="24"/>
                    </w:rPr>
                    <w:t>最佳场员统计；最佳投手统计；投手自责分率统计；</w:t>
                  </w:r>
                </w:p>
                <w:p>
                  <w:pPr>
                    <w:pStyle w:val="null3"/>
                    <w:jc w:val="left"/>
                  </w:pPr>
                  <w:r>
                    <w:rPr>
                      <w:rFonts w:ascii="宋体" w:hAnsi="宋体" w:cs="宋体" w:eastAsia="宋体"/>
                      <w:sz w:val="24"/>
                    </w:rPr>
                    <w:t>三振王统计；安打率统计；本垒打统计；打点王统计；偷垒王统计；得分王统计。</w:t>
                  </w:r>
                </w:p>
                <w:p>
                  <w:pPr>
                    <w:pStyle w:val="null3"/>
                    <w:jc w:val="left"/>
                  </w:pPr>
                  <w:r>
                    <w:rPr>
                      <w:rFonts w:ascii="宋体" w:hAnsi="宋体" w:cs="宋体" w:eastAsia="宋体"/>
                      <w:sz w:val="24"/>
                    </w:rPr>
                    <w:t>技术统计数据可输出显示到公共大屏竞赛信息显示终端。</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18.</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技术统计数据处理终端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系统需适用于中国垒球联赛技术统计要求。</w:t>
                  </w:r>
                </w:p>
                <w:p>
                  <w:pPr>
                    <w:pStyle w:val="null3"/>
                    <w:jc w:val="left"/>
                  </w:pPr>
                  <w:r>
                    <w:rPr>
                      <w:rFonts w:ascii="宋体" w:hAnsi="宋体" w:cs="宋体" w:eastAsia="宋体"/>
                      <w:sz w:val="24"/>
                    </w:rPr>
                    <w:t>系统能够实时输出各类高级技术统计报表：</w:t>
                  </w:r>
                </w:p>
                <w:p>
                  <w:pPr>
                    <w:pStyle w:val="null3"/>
                    <w:jc w:val="left"/>
                  </w:pPr>
                  <w:r>
                    <w:rPr>
                      <w:rFonts w:ascii="宋体" w:hAnsi="宋体" w:cs="宋体" w:eastAsia="宋体"/>
                      <w:sz w:val="24"/>
                    </w:rPr>
                    <w:t>队伍累计统计；</w:t>
                  </w:r>
                </w:p>
                <w:p>
                  <w:pPr>
                    <w:pStyle w:val="null3"/>
                    <w:jc w:val="left"/>
                  </w:pPr>
                  <w:r>
                    <w:rPr>
                      <w:rFonts w:ascii="宋体" w:hAnsi="宋体" w:cs="宋体" w:eastAsia="宋体"/>
                      <w:sz w:val="24"/>
                    </w:rPr>
                    <w:t>统计击手（</w:t>
                  </w:r>
                  <w:r>
                    <w:rPr>
                      <w:rFonts w:ascii="宋体" w:hAnsi="宋体" w:cs="宋体" w:eastAsia="宋体"/>
                      <w:sz w:val="24"/>
                    </w:rPr>
                    <w:t>PA、AB、R、H、2B、3B、HR、GDP、SH、BB、IBB、HPB、I/O、SB、CS、SO、RBI等数据）；</w:t>
                  </w:r>
                </w:p>
                <w:p>
                  <w:pPr>
                    <w:pStyle w:val="null3"/>
                    <w:jc w:val="left"/>
                  </w:pPr>
                  <w:r>
                    <w:rPr>
                      <w:rFonts w:ascii="宋体" w:hAnsi="宋体" w:cs="宋体" w:eastAsia="宋体"/>
                      <w:sz w:val="24"/>
                    </w:rPr>
                    <w:t>统计投手（</w:t>
                  </w:r>
                  <w:r>
                    <w:rPr>
                      <w:rFonts w:ascii="宋体" w:hAnsi="宋体" w:cs="宋体" w:eastAsia="宋体"/>
                      <w:sz w:val="24"/>
                    </w:rPr>
                    <w:t>IP、PO、A、E、DP、BF、AB、R、ER、H、2B、3B、HR、SH、SF、BB、IBB、HBP、SO、WP等数据）</w:t>
                  </w:r>
                </w:p>
                <w:p>
                  <w:pPr>
                    <w:pStyle w:val="null3"/>
                    <w:jc w:val="left"/>
                  </w:pPr>
                  <w:r>
                    <w:rPr>
                      <w:rFonts w:ascii="宋体" w:hAnsi="宋体" w:cs="宋体" w:eastAsia="宋体"/>
                      <w:sz w:val="24"/>
                    </w:rPr>
                    <w:t>最佳进攻球员统计；</w:t>
                  </w:r>
                </w:p>
                <w:p>
                  <w:pPr>
                    <w:pStyle w:val="null3"/>
                    <w:jc w:val="left"/>
                  </w:pPr>
                  <w:r>
                    <w:rPr>
                      <w:rFonts w:ascii="宋体" w:hAnsi="宋体" w:cs="宋体" w:eastAsia="宋体"/>
                      <w:sz w:val="24"/>
                    </w:rPr>
                    <w:t>最佳场员统计；最佳投手统计；投手自责分率统计；</w:t>
                  </w:r>
                </w:p>
                <w:p>
                  <w:pPr>
                    <w:pStyle w:val="null3"/>
                    <w:jc w:val="left"/>
                  </w:pPr>
                  <w:r>
                    <w:rPr>
                      <w:rFonts w:ascii="宋体" w:hAnsi="宋体" w:cs="宋体" w:eastAsia="宋体"/>
                      <w:sz w:val="24"/>
                    </w:rPr>
                    <w:t>三振王统计；安打率统计；本垒打统计；打点王统计；偷垒王统计；得分王统计。</w:t>
                  </w:r>
                </w:p>
                <w:p>
                  <w:pPr>
                    <w:pStyle w:val="null3"/>
                    <w:jc w:val="left"/>
                  </w:pPr>
                  <w:r>
                    <w:rPr>
                      <w:rFonts w:ascii="宋体" w:hAnsi="宋体" w:cs="宋体" w:eastAsia="宋体"/>
                      <w:sz w:val="24"/>
                    </w:rPr>
                    <w:t>技术统计数据可输出显示到公共大屏竞赛信息显示终端。</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宋体" w:hAnsi="宋体" w:cs="宋体" w:eastAsia="宋体"/>
                      <w:sz w:val="24"/>
                    </w:rPr>
                    <w:t>19.</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技术统计数据显示终端</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系统需适用于中国垒球联赛技术统计要求。</w:t>
                  </w:r>
                </w:p>
                <w:p>
                  <w:pPr>
                    <w:pStyle w:val="null3"/>
                    <w:jc w:val="left"/>
                  </w:pPr>
                  <w:r>
                    <w:rPr>
                      <w:rFonts w:ascii="宋体" w:hAnsi="宋体" w:cs="宋体" w:eastAsia="宋体"/>
                      <w:sz w:val="24"/>
                    </w:rPr>
                    <w:t>系统能够实时输出各类高级技术统计报表：</w:t>
                  </w:r>
                </w:p>
                <w:p>
                  <w:pPr>
                    <w:pStyle w:val="null3"/>
                    <w:jc w:val="left"/>
                  </w:pPr>
                  <w:r>
                    <w:rPr>
                      <w:rFonts w:ascii="宋体" w:hAnsi="宋体" w:cs="宋体" w:eastAsia="宋体"/>
                      <w:sz w:val="24"/>
                    </w:rPr>
                    <w:t>队伍累计统计；</w:t>
                  </w:r>
                </w:p>
                <w:p>
                  <w:pPr>
                    <w:pStyle w:val="null3"/>
                    <w:jc w:val="left"/>
                  </w:pPr>
                  <w:r>
                    <w:rPr>
                      <w:rFonts w:ascii="宋体" w:hAnsi="宋体" w:cs="宋体" w:eastAsia="宋体"/>
                      <w:sz w:val="24"/>
                    </w:rPr>
                    <w:t>统计击手（</w:t>
                  </w:r>
                  <w:r>
                    <w:rPr>
                      <w:rFonts w:ascii="宋体" w:hAnsi="宋体" w:cs="宋体" w:eastAsia="宋体"/>
                      <w:sz w:val="24"/>
                    </w:rPr>
                    <w:t>PA、AB、R、H、2B、3B、HR、GDP、SH、BB、IBB、HPB、I/O、SB、CS、SO、RBI等数据）；</w:t>
                  </w:r>
                </w:p>
                <w:p>
                  <w:pPr>
                    <w:pStyle w:val="null3"/>
                    <w:jc w:val="left"/>
                  </w:pPr>
                  <w:r>
                    <w:rPr>
                      <w:rFonts w:ascii="宋体" w:hAnsi="宋体" w:cs="宋体" w:eastAsia="宋体"/>
                      <w:sz w:val="24"/>
                    </w:rPr>
                    <w:t>统计投手（</w:t>
                  </w:r>
                  <w:r>
                    <w:rPr>
                      <w:rFonts w:ascii="宋体" w:hAnsi="宋体" w:cs="宋体" w:eastAsia="宋体"/>
                      <w:sz w:val="24"/>
                    </w:rPr>
                    <w:t>IP、PO、A、E、DP、BF、AB、R、ER、H、2B、3B、HR、SH、SF、BB、IBB、HBP、SO、WP等数据）</w:t>
                  </w:r>
                </w:p>
                <w:p>
                  <w:pPr>
                    <w:pStyle w:val="null3"/>
                    <w:jc w:val="left"/>
                  </w:pPr>
                  <w:r>
                    <w:rPr>
                      <w:rFonts w:ascii="宋体" w:hAnsi="宋体" w:cs="宋体" w:eastAsia="宋体"/>
                      <w:sz w:val="24"/>
                    </w:rPr>
                    <w:t>最佳进攻球员统计；</w:t>
                  </w:r>
                </w:p>
                <w:p>
                  <w:pPr>
                    <w:pStyle w:val="null3"/>
                    <w:jc w:val="left"/>
                  </w:pPr>
                  <w:r>
                    <w:rPr>
                      <w:rFonts w:ascii="宋体" w:hAnsi="宋体" w:cs="宋体" w:eastAsia="宋体"/>
                      <w:sz w:val="24"/>
                    </w:rPr>
                    <w:t>最佳场员统计；最佳投手统计；投手自责分率统计；</w:t>
                  </w:r>
                </w:p>
                <w:p>
                  <w:pPr>
                    <w:pStyle w:val="null3"/>
                    <w:jc w:val="left"/>
                  </w:pPr>
                  <w:r>
                    <w:rPr>
                      <w:rFonts w:ascii="宋体" w:hAnsi="宋体" w:cs="宋体" w:eastAsia="宋体"/>
                      <w:sz w:val="24"/>
                    </w:rPr>
                    <w:t>三振王统计；安打率统计；本垒打统计；打点王统计；偷垒王统计；得分王统计。</w:t>
                  </w:r>
                </w:p>
                <w:p>
                  <w:pPr>
                    <w:pStyle w:val="null3"/>
                    <w:jc w:val="left"/>
                  </w:pPr>
                  <w:r>
                    <w:rPr>
                      <w:rFonts w:ascii="宋体" w:hAnsi="宋体" w:cs="宋体" w:eastAsia="宋体"/>
                      <w:sz w:val="24"/>
                    </w:rPr>
                    <w:t>技术统计数据可输出显示到公共大屏竞赛信息显示终端。</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培训服务</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.后期需提供技术培训，</w:t>
                  </w:r>
                  <w:r>
                    <w:rPr>
                      <w:rFonts w:ascii="宋体" w:hAnsi="宋体" w:cs="宋体" w:eastAsia="宋体"/>
                      <w:sz w:val="24"/>
                    </w:rPr>
                    <w:t>包括</w:t>
                  </w:r>
                  <w:r>
                    <w:rPr>
                      <w:rFonts w:ascii="宋体" w:hAnsi="宋体" w:cs="宋体" w:eastAsia="宋体"/>
                      <w:sz w:val="24"/>
                    </w:rPr>
                    <w:t>计时</w:t>
                  </w:r>
                  <w:r>
                    <w:rPr>
                      <w:rFonts w:ascii="宋体" w:hAnsi="宋体" w:cs="宋体" w:eastAsia="宋体"/>
                      <w:sz w:val="24"/>
                    </w:rPr>
                    <w:t>、</w:t>
                  </w:r>
                  <w:r>
                    <w:rPr>
                      <w:rFonts w:ascii="宋体" w:hAnsi="宋体" w:cs="宋体" w:eastAsia="宋体"/>
                      <w:sz w:val="24"/>
                    </w:rPr>
                    <w:t>记分、成绩处理等技术工作</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.提供后期比赛技术支持服务</w:t>
                  </w:r>
                  <w:r>
                    <w:rPr>
                      <w:rFonts w:ascii="宋体" w:hAnsi="宋体" w:cs="宋体" w:eastAsia="宋体"/>
                      <w:sz w:val="24"/>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30日历日</w:t>
      </w:r>
    </w:p>
    <w:p>
      <w:pPr>
        <w:pStyle w:val="null3"/>
        <w:outlineLvl w:val="3"/>
      </w:pPr>
      <w:r>
        <w:rPr>
          <w:b/>
          <w:sz w:val="24"/>
        </w:rPr>
        <w:t>3.4.2交货地点</w:t>
      </w:r>
    </w:p>
    <w:p>
      <w:pPr>
        <w:pStyle w:val="null3"/>
      </w:pPr>
      <w:r>
        <w:rPr/>
        <w:t>采购包1：</w:t>
      </w:r>
    </w:p>
    <w:p>
      <w:pPr>
        <w:pStyle w:val="null3"/>
      </w:pPr>
      <w:r>
        <w:rPr/>
        <w:t>陕西省手球曲棍球棒球垒球运动管理中心</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合格</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1.项目验收分初验和终验: 初验：货物到达交货地点后，由使用单位根据合同对货物的名称、品牌、规格、型号、产地、数量进行检查。 终验：所有货物安装完毕，正常使用10个日历日后，由采购人、使用单位进行终验（最终验收），合格后签发《终验合格单》。 2.验收不合格的中标人，必须在接到通知后7个日历日内确保货物通过验收。如接到通知后7个日历日内验收仍不合格，采购人可提出索赔或取消其供货合同。采购代理机构将把中标资格授予评审排序下一名的中标人。</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1.质保期为终验合格后不少于12个月（参数中有具体要求的，按参数要求提供质保）。中标人承诺的质保时间超过招标文件要求的，按其承诺时间质保。 2.中标人承诺的质保期起始时间为终验合格之日。 3.所有货物质量必须符合国家有关规范和相关政策。所有货物及辅材必须是未使用过的新货物，质量优良、渠道正当，配置合理。 4.质保期出现的质量问题由中标人负责解决并承担所有费用。质保期后如需更换零部件，中标人应以优惠价提供。</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2.未按合同要求提供货物或货物质量不能满足技术要求，采购人有权终止合同，并对供方违约行为进行追究，同时按《中华人民共和国政府采购法》的有关规定进行处罚。</w:t>
      </w:r>
    </w:p>
    <w:p>
      <w:pPr>
        <w:pStyle w:val="null3"/>
        <w:jc w:val="left"/>
        <w:outlineLvl w:val="2"/>
      </w:pPr>
      <w:r>
        <w:rPr>
          <w:b/>
          <w:sz w:val="28"/>
        </w:rPr>
        <w:t>3.5其他要求</w:t>
      </w:r>
    </w:p>
    <w:p>
      <w:pPr>
        <w:pStyle w:val="null3"/>
      </w:pPr>
      <w:r>
        <w:rPr/>
        <w:t>1、中标人在领取中标通知书时提供一正两副纸质投标文件及电子投标文件一份（U盘或移动硬盘；投标文件为Word版本和PDF版本，PDF文件为签字、盖章的完整正本扫描件）。 装订：纸质投标文件采用书籍（胶装）方式装订成册，与电子投标文件一致的签字、盖章的完整版本。2、核心产品【公共大屏竞赛信息显示终端】。3、本项目采购标的对应的中小企业划分标准所属行业为（工业）。</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具有独立承担民事责任能力，提供投标人合法注册的法人或其他组织的营业执照/事业单位法人证书/非企业专业服务机构执业许可证/民办非企业单位登记证书；</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财务报告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社保证明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履约承诺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无违法声明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法人授权书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投标担保</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投标人名称与购买招标文件的单位名称不一致；</w:t>
            </w:r>
          </w:p>
        </w:tc>
        <w:tc>
          <w:tcPr>
            <w:tcW w:type="dxa" w:w="3322"/>
          </w:tcPr>
          <w:p>
            <w:pPr>
              <w:pStyle w:val="null3"/>
            </w:pPr>
            <w:r>
              <w:rPr/>
              <w:t>投标人名称与购买招标文件的单位名称不一致；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投标函 投标文件封面 拒绝政府采购领域商业贿赂承诺书 技术规格响应偏离表 商务条款响应偏离表</w:t>
            </w:r>
          </w:p>
        </w:tc>
      </w:tr>
      <w:tr>
        <w:tc>
          <w:tcPr>
            <w:tcW w:type="dxa" w:w="831"/>
          </w:tcPr>
          <w:p>
            <w:pPr>
              <w:pStyle w:val="null3"/>
            </w:pPr>
            <w:r>
              <w:rPr/>
              <w:t>4</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投标函 投标文件封面 法定代表人授权书</w:t>
            </w:r>
          </w:p>
        </w:tc>
      </w:tr>
      <w:tr>
        <w:tc>
          <w:tcPr>
            <w:tcW w:type="dxa" w:w="831"/>
          </w:tcPr>
          <w:p>
            <w:pPr>
              <w:pStyle w:val="null3"/>
            </w:pPr>
            <w:r>
              <w:rPr/>
              <w:t>5</w:t>
            </w:r>
          </w:p>
        </w:tc>
        <w:tc>
          <w:tcPr>
            <w:tcW w:type="dxa" w:w="2492"/>
          </w:tcPr>
          <w:p>
            <w:pPr>
              <w:pStyle w:val="null3"/>
            </w:pPr>
            <w:r>
              <w:rPr/>
              <w:t>针对同一项目提交两份或多份内容不同的投标文件，未书面声明哪一份是有效的或出现选择性报价的；</w:t>
            </w:r>
          </w:p>
        </w:tc>
        <w:tc>
          <w:tcPr>
            <w:tcW w:type="dxa" w:w="3322"/>
          </w:tcPr>
          <w:p>
            <w:pPr>
              <w:pStyle w:val="null3"/>
            </w:pPr>
            <w:r>
              <w:rPr/>
              <w:t>针对同一项目提交两份或多份内容不同的投标文件，未书面声明哪一份是有效的或出现选择性报价的；</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投标分项报价表</w:t>
            </w:r>
          </w:p>
        </w:tc>
      </w:tr>
      <w:tr>
        <w:tc>
          <w:tcPr>
            <w:tcW w:type="dxa" w:w="831"/>
          </w:tcPr>
          <w:p>
            <w:pPr>
              <w:pStyle w:val="null3"/>
            </w:pPr>
            <w:r>
              <w:rPr/>
              <w:t>7</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 法定代表人授权书</w:t>
            </w:r>
          </w:p>
        </w:tc>
      </w:tr>
      <w:tr>
        <w:tc>
          <w:tcPr>
            <w:tcW w:type="dxa" w:w="831"/>
          </w:tcPr>
          <w:p>
            <w:pPr>
              <w:pStyle w:val="null3"/>
            </w:pPr>
            <w:r>
              <w:rPr/>
              <w:t>8</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w:t>
            </w:r>
          </w:p>
        </w:tc>
      </w:tr>
      <w:tr>
        <w:tc>
          <w:tcPr>
            <w:tcW w:type="dxa" w:w="831"/>
          </w:tcPr>
          <w:p>
            <w:pPr>
              <w:pStyle w:val="null3"/>
            </w:pPr>
            <w:r>
              <w:rPr/>
              <w:t>9</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w:t>
            </w:r>
          </w:p>
        </w:tc>
      </w:tr>
      <w:tr>
        <w:tc>
          <w:tcPr>
            <w:tcW w:type="dxa" w:w="831"/>
          </w:tcPr>
          <w:p>
            <w:pPr>
              <w:pStyle w:val="null3"/>
            </w:pPr>
            <w:r>
              <w:rPr/>
              <w:t>10</w:t>
            </w:r>
          </w:p>
        </w:tc>
        <w:tc>
          <w:tcPr>
            <w:tcW w:type="dxa" w:w="2492"/>
          </w:tcPr>
          <w:p>
            <w:pPr>
              <w:pStyle w:val="null3"/>
            </w:pPr>
            <w:r>
              <w:rPr/>
              <w:t>投标文件含有采购人不能接受的附加条件；</w:t>
            </w:r>
          </w:p>
        </w:tc>
        <w:tc>
          <w:tcPr>
            <w:tcW w:type="dxa" w:w="3322"/>
          </w:tcPr>
          <w:p>
            <w:pPr>
              <w:pStyle w:val="null3"/>
            </w:pPr>
            <w:r>
              <w:rPr/>
              <w:t>投标文件含有采购人不能接受的附加条件；</w:t>
            </w:r>
          </w:p>
        </w:tc>
        <w:tc>
          <w:tcPr>
            <w:tcW w:type="dxa" w:w="1661"/>
          </w:tcPr>
          <w:p>
            <w:pPr>
              <w:pStyle w:val="null3"/>
            </w:pPr>
            <w:r>
              <w:rPr/>
              <w:t>选配件报价表 投标人认为有必要补充说明的事宜</w:t>
            </w:r>
          </w:p>
        </w:tc>
      </w:tr>
      <w:tr>
        <w:tc>
          <w:tcPr>
            <w:tcW w:type="dxa" w:w="831"/>
          </w:tcPr>
          <w:p>
            <w:pPr>
              <w:pStyle w:val="null3"/>
            </w:pPr>
            <w:r>
              <w:rPr/>
              <w:t>11</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投标文件对交货期、质保期、付款方式、验收等商务要求进行详细说明，完全响应招标文件的计1分，交货期优于招标文件的，加1分，其余不加分。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开标一览表</w:t>
            </w:r>
          </w:p>
        </w:tc>
      </w:tr>
      <w:tr>
        <w:tc>
          <w:tcPr>
            <w:tcW w:type="dxa" w:w="831"/>
            <w:vMerge/>
          </w:tcPr>
          <w:p/>
        </w:tc>
        <w:tc>
          <w:tcPr>
            <w:tcW w:type="dxa" w:w="1661"/>
          </w:tcPr>
          <w:p>
            <w:pPr>
              <w:pStyle w:val="null3"/>
            </w:pPr>
            <w:r>
              <w:rPr/>
              <w:t>技术指标和配置1</w:t>
            </w:r>
          </w:p>
        </w:tc>
        <w:tc>
          <w:tcPr>
            <w:tcW w:type="dxa" w:w="2492"/>
          </w:tcPr>
          <w:p>
            <w:pPr>
              <w:pStyle w:val="null3"/>
            </w:pPr>
            <w:r>
              <w:rPr/>
              <w:t>基本分（20分）：完全符合、满足招标文件技术要求的，计20分；技术指标每有一条负偏离扣1分，基本分扣完为止。</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技术指标和配置2</w:t>
            </w:r>
          </w:p>
        </w:tc>
        <w:tc>
          <w:tcPr>
            <w:tcW w:type="dxa" w:w="2492"/>
          </w:tcPr>
          <w:p>
            <w:pPr>
              <w:pStyle w:val="null3"/>
            </w:pPr>
            <w:r>
              <w:rPr/>
              <w:t>加分（5分）：在各自所得基本分的基础上，主要投标产品技术指标、参数或功能优于招标文件规定的相应技术指标、参数或功能，并且有实质性能提升的，评标委员会一致认可的可进行相应加分，每项加1分，加分最多加5分。供应商应提供充足的佐证材料（佐证材料包括但不限于：经厂家确认的产品彩页、检测报告、官网截图等证明材料）予以佐证，佐证材料应编制在投标文件中，供应商自行承担因佐证材料不全而被视为技术参数无正偏离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项目实施方案：备货、供货进度及保证措施，拟投入本项目的人员安排及责任制度，安装、检测、调试措施，安全保障措施，应急处理措施。①方案内容完整、全面、详细的计12-8.1分； ②方案内容有1到3项欠缺的计8-4.1分； ③方案内容有3项以上严重欠缺的计4-0.1分； ④未提供项目实施方案不计分。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能提供所投产品的合法来源渠道证明文件（包括但不限于产品制造商授权、销售协议、代理协议、原厂授权等）的计3分，不提供的不计分。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①内容具体、完整、详细、全面的计6-3.1分； ②内容有1-2项缺漏的计3-0.1分； ③未提供质量保证及与质量保证有关内容的不计分。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 ①履约内容具体、完整、详细、全面的计4-2.1分； ②履约内容有缺漏的计2-0.1分； ③未提供的不计分。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以合同形式提供投标人2021年01月至今同类项目业绩，每份计1分，计满3分为止。（以合同签订时间为准）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以合同形式提供投标人2021年01月至今同类项目业绩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售后服务方案：售后服务网点的设定、拟投入售后服务人员配置情况、日常维护、项目交付用户后出现故障响应时间及措施、备品备件计划，质量保证范围。 ①售后服务方案内容具体、完整、详细、全面的计7-3.1分； ②售后服务方案内容有缺漏的计3-0.1分； ③未提供售后服务方案不得分。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①培训方案内容具体、完整、详细、全面、可行的计6-3.1分； ②培训方案有缺漏的计3-0.1分； ③未提供培训服务方案不得分。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详见附件：节能环保</w:t>
      </w:r>
    </w:p>
    <w:p>
      <w:pPr>
        <w:pStyle w:val="null3"/>
        <w:ind w:firstLine="960"/>
      </w:pPr>
      <w:r>
        <w:rPr/>
        <w:t>详见附件：拒绝政府采购领域商业贿赂承诺书</w:t>
      </w:r>
    </w:p>
    <w:p>
      <w:pPr>
        <w:pStyle w:val="null3"/>
        <w:ind w:firstLine="960"/>
      </w:pPr>
      <w:r>
        <w:rPr/>
        <w:t>详见附件：培训方案</w:t>
      </w:r>
    </w:p>
    <w:p>
      <w:pPr>
        <w:pStyle w:val="null3"/>
        <w:ind w:firstLine="960"/>
      </w:pPr>
      <w:r>
        <w:rPr/>
        <w:t>详见附件：售后服务方案</w:t>
      </w:r>
    </w:p>
    <w:p>
      <w:pPr>
        <w:pStyle w:val="null3"/>
        <w:ind w:firstLine="960"/>
      </w:pPr>
      <w:r>
        <w:rPr/>
        <w:t>详见附件：投标分项报价表</w:t>
      </w:r>
    </w:p>
    <w:p>
      <w:pPr>
        <w:pStyle w:val="null3"/>
        <w:ind w:firstLine="960"/>
      </w:pPr>
      <w:r>
        <w:rPr/>
        <w:t>详见附件：投标人认为有必要补充说明的事宜</w:t>
      </w:r>
    </w:p>
    <w:p>
      <w:pPr>
        <w:pStyle w:val="null3"/>
        <w:ind w:firstLine="960"/>
      </w:pPr>
      <w:r>
        <w:rPr/>
        <w:t>详见附件：项目实施方案</w:t>
      </w:r>
    </w:p>
    <w:p>
      <w:pPr>
        <w:pStyle w:val="null3"/>
        <w:ind w:firstLine="960"/>
      </w:pPr>
      <w:r>
        <w:rPr/>
        <w:t>详见附件：选配件报价表</w:t>
      </w:r>
    </w:p>
    <w:p>
      <w:pPr>
        <w:pStyle w:val="null3"/>
        <w:ind w:firstLine="960"/>
      </w:pPr>
      <w:r>
        <w:rPr/>
        <w:t>详见附件：以合同形式提供投标人2021年01月至今同类项目业绩</w:t>
      </w:r>
    </w:p>
    <w:p>
      <w:pPr>
        <w:pStyle w:val="null3"/>
        <w:ind w:firstLine="960"/>
      </w:pPr>
      <w:r>
        <w:rPr/>
        <w:t>详见附件：质量保证</w:t>
      </w:r>
    </w:p>
    <w:p>
      <w:pPr>
        <w:pStyle w:val="null3"/>
        <w:ind w:firstLine="960"/>
      </w:pPr>
      <w:r>
        <w:rPr/>
        <w:t>详见附件：履约能力</w:t>
      </w:r>
    </w:p>
    <w:p>
      <w:pPr>
        <w:pStyle w:val="null3"/>
        <w:ind w:firstLine="960"/>
      </w:pPr>
      <w:r>
        <w:rPr/>
        <w:t>详见附件：产品渠道</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详见附件：合同条款.docx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