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全自动生化分析仪</w:t>
      </w:r>
    </w:p>
    <w:p>
      <w:pPr>
        <w:pStyle w:val="null3"/>
        <w:jc w:val="center"/>
        <w:outlineLvl w:val="2"/>
      </w:pPr>
      <w:r>
        <w:rPr>
          <w:b/>
          <w:sz w:val="28"/>
        </w:rPr>
        <w:t>采购项目编号：</w:t>
      </w:r>
      <w:r>
        <w:rPr>
          <w:b/>
          <w:sz w:val="28"/>
        </w:rPr>
        <w:t>SXZBBJ2023-52</w:t>
      </w:r>
      <w:r>
        <w:br/>
      </w:r>
      <w:r>
        <w:br/>
      </w:r>
      <w:r>
        <w:br/>
      </w:r>
    </w:p>
    <w:p>
      <w:pPr>
        <w:pStyle w:val="null3"/>
        <w:jc w:val="center"/>
        <w:outlineLvl w:val="2"/>
      </w:pPr>
      <w:r>
        <w:rPr>
          <w:b/>
          <w:sz w:val="28"/>
        </w:rPr>
        <w:t>西安医学院附属宝鸡医院</w:t>
      </w:r>
    </w:p>
    <w:p>
      <w:pPr>
        <w:pStyle w:val="null3"/>
        <w:jc w:val="center"/>
        <w:outlineLvl w:val="2"/>
      </w:pPr>
      <w:r>
        <w:rPr>
          <w:b/>
          <w:sz w:val="28"/>
        </w:rPr>
        <w:t>陕西盛鑫药械招标有限公司</w:t>
      </w:r>
      <w:r>
        <w:rPr>
          <w:b/>
          <w:sz w:val="28"/>
        </w:rPr>
        <w:t>共同编制</w:t>
      </w:r>
    </w:p>
    <w:p>
      <w:pPr>
        <w:pStyle w:val="null3"/>
        <w:jc w:val="center"/>
        <w:outlineLvl w:val="2"/>
      </w:pPr>
      <w:r>
        <w:rPr>
          <w:b/>
          <w:sz w:val="28"/>
        </w:rPr>
        <w:t>2024年01月04日</w:t>
      </w:r>
    </w:p>
    <w:p>
      <w:pPr>
        <w:pStyle w:val="null3"/>
      </w:pPr>
      <w:r>
        <w:rPr/>
        <w:t xml:space="preserve"> </w:t>
      </w:r>
    </w:p>
    <w:p>
      <w:pPr>
        <w:pStyle w:val="null3"/>
        <w:jc w:val="center"/>
        <w:outlineLvl w:val="1"/>
      </w:pPr>
      <w:r>
        <w:rPr>
          <w:b/>
          <w:sz w:val="36"/>
        </w:rPr>
        <w:t>第一章 投标邀请</w:t>
      </w:r>
    </w:p>
    <w:p>
      <w:pPr>
        <w:pStyle w:val="null3"/>
        <w:ind w:firstLine="480"/>
      </w:pPr>
      <w:r>
        <w:rPr/>
        <w:t>陕西盛鑫药械招标有限公司</w:t>
      </w:r>
      <w:r>
        <w:rPr/>
        <w:t>（以下简称“代理机构”）受</w:t>
      </w:r>
      <w:r>
        <w:rPr/>
        <w:t>西安医学院附属宝鸡医院</w:t>
      </w:r>
      <w:r>
        <w:rPr/>
        <w:t>委托，拟对</w:t>
      </w:r>
      <w:r>
        <w:rPr/>
        <w:t>全自动生化分析仪</w:t>
      </w:r>
      <w:r>
        <w:rPr/>
        <w:t>进行国内公开招标，兹邀请符合本次招标要求的供应商参加投标。</w:t>
      </w:r>
    </w:p>
    <w:p>
      <w:pPr>
        <w:pStyle w:val="null3"/>
        <w:outlineLvl w:val="2"/>
      </w:pPr>
      <w:r>
        <w:rPr>
          <w:b/>
          <w:sz w:val="28"/>
        </w:rPr>
        <w:t>一、采购项目编号：</w:t>
      </w:r>
      <w:r>
        <w:rPr>
          <w:b/>
          <w:sz w:val="28"/>
        </w:rPr>
        <w:t>SXZBBJ2023-52</w:t>
      </w:r>
    </w:p>
    <w:p>
      <w:pPr>
        <w:pStyle w:val="null3"/>
        <w:outlineLvl w:val="2"/>
      </w:pPr>
      <w:r>
        <w:rPr>
          <w:b/>
          <w:sz w:val="28"/>
        </w:rPr>
        <w:t>二、采购项目名称：</w:t>
      </w:r>
      <w:r>
        <w:rPr>
          <w:b/>
          <w:sz w:val="28"/>
        </w:rPr>
        <w:t>全自动生化分析仪</w:t>
      </w:r>
    </w:p>
    <w:p>
      <w:pPr>
        <w:pStyle w:val="null3"/>
        <w:outlineLvl w:val="2"/>
      </w:pPr>
      <w:r>
        <w:rPr>
          <w:b/>
          <w:sz w:val="28"/>
        </w:rPr>
        <w:t>三、招标项目简介</w:t>
      </w:r>
    </w:p>
    <w:p>
      <w:pPr>
        <w:pStyle w:val="null3"/>
        <w:ind w:firstLine="480"/>
      </w:pPr>
      <w:r>
        <w:rPr/>
        <w:t>本项目为西安医学院附属宝鸡医院全自动生化分析仪采购项目，供应商应仔细阅读招标文件相关内容，确保顺利参与本次电子化采购活动。供应商在投标当天除参与电子化投标外，在开标时间开始前还需提交 1正3副纸质版投标文件至招标代理机构，正副本分别单独胶装、并密封包装，纸质版文件须用电子版文件直接打印，与电子版文件内容一致，不允许补充和修改，正本应逐页加盖投标供应商鲜章，副本可采用正本的复印件。纸质版文件与电子投标文件不一致由此造成的一切责任及后果由供应商自行承担。</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1、投标保证金：提供投标保证金缴纳凭证。</w:t>
      </w:r>
    </w:p>
    <w:p>
      <w:pPr>
        <w:pStyle w:val="null3"/>
      </w:pPr>
      <w:r>
        <w:rPr/>
        <w:t>2、有效的主体资格证明：在中华人民共和国境内注册，依法取得并有效存续的营业执照（含电子营业执照）\事业单位法人证书\民办非企业单位登记证书\非企业专业服务机构执业许可证等。</w:t>
      </w:r>
    </w:p>
    <w:p>
      <w:pPr>
        <w:pStyle w:val="null3"/>
      </w:pPr>
      <w:r>
        <w:rPr/>
        <w:t>3、法定代表人（主要负责人）委托授权书\身份证明：法定代表人委托代理人参加投标时，应提供法定代表人委托授权书及法人身份证明；法定代表人（主要负责人）亲自参加投标时，应提供法定代表人（主要负责人）身份证明书。</w:t>
      </w:r>
    </w:p>
    <w:p>
      <w:pPr>
        <w:pStyle w:val="null3"/>
      </w:pPr>
      <w:r>
        <w:rPr/>
        <w:t>4、提供医疗器械经营许可证或医疗器械经营备案凭证：属于二类的提供医疗器械经营备案凭证，三类的提供医疗器械经营许可证。</w:t>
      </w:r>
    </w:p>
    <w:p>
      <w:pPr>
        <w:pStyle w:val="null3"/>
      </w:pPr>
      <w:r>
        <w:rPr/>
        <w:t>5、社保资金缴纳证明：提供2023年任意1个月社会保障资金缴存单据或社保机构开具的社会保险参保缴费情况证明，单据或证明上应有社保机构或代收机构的公章或业务专用章。</w:t>
      </w:r>
    </w:p>
    <w:p>
      <w:pPr>
        <w:pStyle w:val="null3"/>
      </w:pPr>
      <w:r>
        <w:rPr/>
        <w:t>6、税收缴纳证明：提供2023年任意1个月的纳税证明或完税证明（增值税、营业税、企业所得税至少提供一种），纳税证明或完税证明上应有代收机构或税务机关的公章或业务专用章。</w:t>
      </w:r>
    </w:p>
    <w:p>
      <w:pPr>
        <w:pStyle w:val="null3"/>
      </w:pPr>
      <w:r>
        <w:rPr/>
        <w:t>7、无重大违法记录声明：参加本次政府采购活动前3年内在经营活动中没有重大违法记录，以及未被列入失信被执行人、重大税收违法案件当事人名单、政府采购严重违法失信行为记录名单的书面声明。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t>8、非联合体投标声明：提供非联合体投标声明函。</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西安医学院附属宝鸡医院</w:t>
      </w:r>
    </w:p>
    <w:p>
      <w:pPr>
        <w:pStyle w:val="null3"/>
      </w:pPr>
      <w:r>
        <w:rPr/>
        <w:t xml:space="preserve"> 地址： </w:t>
      </w:r>
      <w:r>
        <w:rPr/>
        <w:t>陕西省宝鸡市渭滨区清姜路4号</w:t>
      </w:r>
    </w:p>
    <w:p>
      <w:pPr>
        <w:pStyle w:val="null3"/>
      </w:pPr>
      <w:r>
        <w:rPr/>
        <w:t xml:space="preserve"> 邮编： </w:t>
      </w:r>
      <w:r>
        <w:rPr/>
        <w:t>721000</w:t>
      </w:r>
    </w:p>
    <w:p>
      <w:pPr>
        <w:pStyle w:val="null3"/>
      </w:pPr>
      <w:r>
        <w:rPr/>
        <w:t xml:space="preserve"> 联系人： </w:t>
      </w:r>
      <w:r>
        <w:rPr/>
        <w:t>西安医学院附属宝鸡医院经办</w:t>
      </w:r>
    </w:p>
    <w:p>
      <w:pPr>
        <w:pStyle w:val="null3"/>
      </w:pPr>
      <w:r>
        <w:rPr/>
        <w:t xml:space="preserve"> 联系电话： </w:t>
      </w:r>
      <w:r>
        <w:rPr/>
        <w:t>0917-3212081</w:t>
      </w:r>
    </w:p>
    <w:p>
      <w:pPr>
        <w:pStyle w:val="null3"/>
        <w:outlineLvl w:val="2"/>
      </w:pPr>
      <w:r>
        <w:rPr>
          <w:b/>
          <w:sz w:val="28"/>
        </w:rPr>
        <w:t>代理机构：</w:t>
      </w:r>
      <w:r>
        <w:rPr>
          <w:b/>
          <w:sz w:val="28"/>
        </w:rPr>
        <w:t>陕西盛鑫药械招标有限公司</w:t>
      </w:r>
    </w:p>
    <w:p>
      <w:pPr>
        <w:pStyle w:val="null3"/>
      </w:pPr>
      <w:r>
        <w:rPr/>
        <w:t xml:space="preserve"> 地址： </w:t>
      </w:r>
      <w:r>
        <w:rPr/>
        <w:t>西安市雁塔区南二环西段88号老三届世纪星大厦28层K座</w:t>
      </w:r>
    </w:p>
    <w:p>
      <w:pPr>
        <w:pStyle w:val="null3"/>
      </w:pPr>
      <w:r>
        <w:rPr/>
        <w:t xml:space="preserve"> 邮编： </w:t>
      </w:r>
      <w:r>
        <w:rPr/>
        <w:t>710065</w:t>
      </w:r>
    </w:p>
    <w:p>
      <w:pPr>
        <w:pStyle w:val="null3"/>
      </w:pPr>
      <w:r>
        <w:rPr/>
        <w:t xml:space="preserve"> 联系人： </w:t>
      </w:r>
      <w:r>
        <w:rPr/>
        <w:t>刘老师</w:t>
      </w:r>
    </w:p>
    <w:p>
      <w:pPr>
        <w:pStyle w:val="null3"/>
      </w:pPr>
      <w:r>
        <w:rPr/>
        <w:t xml:space="preserve"> 联系电话： </w:t>
      </w:r>
      <w:r>
        <w:rPr/>
        <w:t>029-81873383</w:t>
      </w:r>
    </w:p>
    <w:p>
      <w:pPr>
        <w:pStyle w:val="null3"/>
        <w:outlineLvl w:val="2"/>
      </w:pPr>
      <w:r>
        <w:rPr>
          <w:b/>
          <w:sz w:val="28"/>
        </w:rPr>
        <w:t>采购监督机构：</w:t>
      </w:r>
      <w:r>
        <w:rPr>
          <w:b/>
          <w:sz w:val="28"/>
        </w:rPr>
        <w:t>陕西省财政厅政府采购管理处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缴交渠道：转账、支票、汇票等（需通过实体账户、户名及开户行信息）</w:t>
            </w:r>
          </w:p>
          <w:p>
            <w:pPr>
              <w:pStyle w:val="null3"/>
            </w:pPr>
            <w:r>
              <w:rPr/>
              <w:t>开户名称：陕西盛鑫药械招标有限公司</w:t>
            </w:r>
          </w:p>
          <w:p>
            <w:pPr>
              <w:pStyle w:val="null3"/>
            </w:pPr>
            <w:r>
              <w:rPr/>
              <w:t>开户银行：中国工商银行西安吉祥路支行</w:t>
            </w:r>
          </w:p>
          <w:p>
            <w:pPr>
              <w:pStyle w:val="null3"/>
            </w:pPr>
            <w:r>
              <w:rPr/>
              <w:t>银行账号：3700079419200031802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代理服务费收费标准：依据国家计委计价格[2002]1980号文件及发改办价格[2003]857号文件规定标准计取.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西安医学院附属宝鸡医院</w:t>
      </w:r>
      <w:r>
        <w:rPr/>
        <w:t>和</w:t>
      </w:r>
      <w:r>
        <w:rPr/>
        <w:t>陕西盛鑫药械招标有限公司</w:t>
      </w:r>
      <w:r>
        <w:rPr/>
        <w:t>享有。对招标文件中供应商参加本次政府采购活动应当具备的条件，招标项目技术、服务、商务及其他要求，评标细则及标准由</w:t>
      </w:r>
      <w:r>
        <w:rPr/>
        <w:t>西安医学院附属宝鸡医院</w:t>
      </w:r>
      <w:r>
        <w:rPr/>
        <w:t>负责解释。除上述招标文件内容，其他内容由</w:t>
      </w:r>
      <w:r>
        <w:rPr/>
        <w:t>陕西盛鑫药械招标有限公司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西安医学院附属宝鸡医院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陕西盛鑫药械招标有限公司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按照国家相关法律法规及该设备的招标文件条款进行验收。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陕西盛鑫药械招标有限公司</w:t>
      </w:r>
      <w:r>
        <w:rPr/>
        <w:t xml:space="preserve"> 负责答复；供应商对除采购需求外的采购文件的询问、质疑由</w:t>
      </w:r>
      <w:r>
        <w:rPr/>
        <w:t>陕西盛鑫药械招标有限公司</w:t>
      </w:r>
      <w:r>
        <w:rPr/>
        <w:t xml:space="preserve"> 负责答复；供应商对采购过程、采购结果的询问、质疑由 </w:t>
      </w:r>
      <w:r>
        <w:rPr/>
        <w:t>陕西盛鑫药械招标有限公司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联系人：刘老师</w:t>
      </w:r>
    </w:p>
    <w:p>
      <w:pPr>
        <w:pStyle w:val="null3"/>
      </w:pPr>
      <w:r>
        <w:rPr/>
        <w:t>联系电话：029-81873383</w:t>
      </w:r>
    </w:p>
    <w:p>
      <w:pPr>
        <w:pStyle w:val="null3"/>
      </w:pPr>
      <w:r>
        <w:rPr/>
        <w:t>地址：西安市雁塔区吉祥路298号长海大厦9层901室</w:t>
      </w:r>
    </w:p>
    <w:p>
      <w:pPr>
        <w:pStyle w:val="null3"/>
      </w:pPr>
      <w:r>
        <w:rPr/>
        <w:t>邮编：710086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rFonts w:ascii="宋体" w:hAnsi="宋体" w:cs="宋体" w:eastAsia="宋体"/>
          <w:sz w:val="24"/>
        </w:rPr>
        <w:t>本项目为</w:t>
      </w:r>
      <w:r>
        <w:rPr>
          <w:rFonts w:ascii="宋体" w:hAnsi="宋体" w:cs="宋体" w:eastAsia="宋体"/>
          <w:sz w:val="24"/>
        </w:rPr>
        <w:t>西安医学院附属宝鸡医院</w:t>
      </w:r>
      <w:r>
        <w:rPr>
          <w:rFonts w:ascii="宋体" w:hAnsi="宋体" w:cs="宋体" w:eastAsia="宋体"/>
          <w:sz w:val="24"/>
        </w:rPr>
        <w:t>全自动生化分析仪</w:t>
      </w:r>
      <w:r>
        <w:rPr>
          <w:rFonts w:ascii="宋体" w:hAnsi="宋体" w:cs="宋体" w:eastAsia="宋体"/>
          <w:sz w:val="24"/>
        </w:rPr>
        <w:t>采购</w:t>
      </w:r>
    </w:p>
    <w:p>
      <w:pPr>
        <w:pStyle w:val="null3"/>
        <w:outlineLvl w:val="2"/>
      </w:pPr>
      <w:r>
        <w:rPr>
          <w:b/>
          <w:sz w:val="28"/>
        </w:rPr>
        <w:t>3.2采购内容</w:t>
      </w:r>
    </w:p>
    <w:p>
      <w:pPr>
        <w:pStyle w:val="null3"/>
      </w:pPr>
      <w:r>
        <w:rPr/>
        <w:t>采购包1：</w:t>
      </w:r>
    </w:p>
    <w:p>
      <w:pPr>
        <w:pStyle w:val="null3"/>
      </w:pPr>
      <w:r>
        <w:rPr/>
        <w:t>采购包预算金额（元）: 2,000,000.00</w:t>
      </w:r>
    </w:p>
    <w:p>
      <w:pPr>
        <w:pStyle w:val="null3"/>
      </w:pPr>
      <w:r>
        <w:rPr/>
        <w:t>采购包最高限价（元）: 1,600,000.00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全自动生化分析仪</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标的名称：全自动生化分析仪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after="240"/>
              <w:jc w:val="both"/>
            </w:pPr>
            <w:r>
              <w:rPr>
                <w:rFonts w:ascii="宋体" w:hAnsi="宋体" w:cs="宋体" w:eastAsia="宋体"/>
                <w:sz w:val="24"/>
              </w:rPr>
              <w:t>检测系统采用模块化结构或分立式仪器；</w:t>
            </w:r>
          </w:p>
        </w:tc>
      </w:tr>
      <w:tr>
        <w:tc>
          <w:tcPr>
            <w:tcW w:type="dxa" w:w="2769"/>
          </w:tcPr>
          <w:p/>
        </w:tc>
        <w:tc>
          <w:tcPr>
            <w:tcW w:type="dxa" w:w="2769"/>
          </w:tcPr>
          <w:p>
            <w:pPr>
              <w:pStyle w:val="null3"/>
            </w:pPr>
            <w:r>
              <w:rPr/>
              <w:t>2</w:t>
            </w:r>
          </w:p>
        </w:tc>
        <w:tc>
          <w:tcPr>
            <w:tcW w:type="dxa" w:w="2769"/>
          </w:tcPr>
          <w:p>
            <w:pPr>
              <w:pStyle w:val="null3"/>
              <w:spacing w:before="120" w:after="240"/>
              <w:jc w:val="both"/>
            </w:pPr>
            <w:r>
              <w:rPr>
                <w:rFonts w:ascii="宋体" w:hAnsi="宋体" w:cs="宋体" w:eastAsia="宋体"/>
                <w:sz w:val="24"/>
              </w:rPr>
              <w:t>设备具有可扩展性，可添加生化、免疫流水线；</w:t>
            </w:r>
          </w:p>
        </w:tc>
      </w:tr>
      <w:tr>
        <w:tc>
          <w:tcPr>
            <w:tcW w:type="dxa" w:w="2769"/>
          </w:tcPr>
          <w:p>
            <w:pPr>
              <w:pStyle w:val="null3"/>
            </w:pPr>
            <w:r>
              <w:rPr/>
              <w:t>▲</w:t>
            </w:r>
          </w:p>
        </w:tc>
        <w:tc>
          <w:tcPr>
            <w:tcW w:type="dxa" w:w="2769"/>
          </w:tcPr>
          <w:p>
            <w:pPr>
              <w:pStyle w:val="null3"/>
            </w:pPr>
            <w:r>
              <w:rPr/>
              <w:t>3</w:t>
            </w:r>
          </w:p>
        </w:tc>
        <w:tc>
          <w:tcPr>
            <w:tcW w:type="dxa" w:w="2769"/>
          </w:tcPr>
          <w:p>
            <w:pPr>
              <w:pStyle w:val="null3"/>
              <w:spacing w:before="120" w:after="240"/>
              <w:jc w:val="both"/>
            </w:pPr>
            <w:r>
              <w:rPr>
                <w:rFonts w:ascii="宋体" w:hAnsi="宋体" w:cs="宋体" w:eastAsia="宋体"/>
                <w:sz w:val="24"/>
              </w:rPr>
              <w:t>可检查常规生化类测定，电解质检测等；</w:t>
            </w:r>
          </w:p>
        </w:tc>
      </w:tr>
      <w:tr>
        <w:tc>
          <w:tcPr>
            <w:tcW w:type="dxa" w:w="2769"/>
          </w:tcPr>
          <w:p>
            <w:pPr>
              <w:pStyle w:val="null3"/>
            </w:pPr>
            <w:r>
              <w:rPr/>
              <w:t>▲</w:t>
            </w:r>
          </w:p>
        </w:tc>
        <w:tc>
          <w:tcPr>
            <w:tcW w:type="dxa" w:w="2769"/>
          </w:tcPr>
          <w:p>
            <w:pPr>
              <w:pStyle w:val="null3"/>
            </w:pPr>
            <w:r>
              <w:rPr/>
              <w:t>4</w:t>
            </w:r>
          </w:p>
        </w:tc>
        <w:tc>
          <w:tcPr>
            <w:tcW w:type="dxa" w:w="2769"/>
          </w:tcPr>
          <w:p>
            <w:pPr>
              <w:pStyle w:val="null3"/>
              <w:spacing w:before="120" w:after="240"/>
              <w:jc w:val="both"/>
            </w:pPr>
            <w:r>
              <w:rPr>
                <w:rFonts w:ascii="宋体" w:hAnsi="宋体" w:cs="宋体" w:eastAsia="宋体"/>
                <w:sz w:val="24"/>
              </w:rPr>
              <w:t>生化比色检测速度</w:t>
            </w:r>
            <w:r>
              <w:rPr>
                <w:rFonts w:ascii="宋体" w:hAnsi="宋体" w:cs="宋体" w:eastAsia="宋体"/>
                <w:sz w:val="24"/>
              </w:rPr>
              <w:t>≥2000测试/小时；ISE（钾、钠、氯3项）速度≥600测试/小时；</w:t>
            </w:r>
          </w:p>
        </w:tc>
      </w:tr>
      <w:tr>
        <w:tc>
          <w:tcPr>
            <w:tcW w:type="dxa" w:w="2769"/>
          </w:tcPr>
          <w:p/>
        </w:tc>
        <w:tc>
          <w:tcPr>
            <w:tcW w:type="dxa" w:w="2769"/>
          </w:tcPr>
          <w:p>
            <w:pPr>
              <w:pStyle w:val="null3"/>
            </w:pPr>
            <w:r>
              <w:rPr/>
              <w:t>5</w:t>
            </w:r>
          </w:p>
        </w:tc>
        <w:tc>
          <w:tcPr>
            <w:tcW w:type="dxa" w:w="2769"/>
          </w:tcPr>
          <w:p>
            <w:pPr>
              <w:pStyle w:val="null3"/>
              <w:spacing w:before="120" w:after="240"/>
              <w:jc w:val="both"/>
            </w:pPr>
            <w:r>
              <w:rPr>
                <w:rFonts w:ascii="宋体" w:hAnsi="宋体" w:cs="宋体" w:eastAsia="宋体"/>
                <w:sz w:val="24"/>
              </w:rPr>
              <w:t>分析方法包括终点法、速率法、及多点免疫比浊法等，电解质部分为离子选择电极法；</w:t>
            </w:r>
          </w:p>
        </w:tc>
      </w:tr>
      <w:tr>
        <w:tc>
          <w:tcPr>
            <w:tcW w:type="dxa" w:w="2769"/>
          </w:tcPr>
          <w:p/>
        </w:tc>
        <w:tc>
          <w:tcPr>
            <w:tcW w:type="dxa" w:w="2769"/>
          </w:tcPr>
          <w:p>
            <w:pPr>
              <w:pStyle w:val="null3"/>
            </w:pPr>
            <w:r>
              <w:rPr/>
              <w:t>6</w:t>
            </w:r>
          </w:p>
        </w:tc>
        <w:tc>
          <w:tcPr>
            <w:tcW w:type="dxa" w:w="2769"/>
          </w:tcPr>
          <w:p>
            <w:pPr>
              <w:pStyle w:val="null3"/>
              <w:spacing w:before="120" w:after="240"/>
              <w:jc w:val="both"/>
            </w:pPr>
            <w:r>
              <w:rPr>
                <w:rFonts w:ascii="宋体" w:hAnsi="宋体" w:cs="宋体" w:eastAsia="宋体"/>
                <w:sz w:val="24"/>
              </w:rPr>
              <w:t>反应时间短：</w:t>
            </w:r>
            <w:r>
              <w:rPr>
                <w:rFonts w:ascii="宋体" w:hAnsi="宋体" w:cs="宋体" w:eastAsia="宋体"/>
                <w:sz w:val="24"/>
              </w:rPr>
              <w:t>≤10分钟，满足不同方法学要求；</w:t>
            </w:r>
          </w:p>
        </w:tc>
      </w:tr>
      <w:tr>
        <w:tc>
          <w:tcPr>
            <w:tcW w:type="dxa" w:w="2769"/>
          </w:tcPr>
          <w:p/>
        </w:tc>
        <w:tc>
          <w:tcPr>
            <w:tcW w:type="dxa" w:w="2769"/>
          </w:tcPr>
          <w:p>
            <w:pPr>
              <w:pStyle w:val="null3"/>
            </w:pPr>
            <w:r>
              <w:rPr/>
              <w:t>7</w:t>
            </w:r>
          </w:p>
        </w:tc>
        <w:tc>
          <w:tcPr>
            <w:tcW w:type="dxa" w:w="2769"/>
          </w:tcPr>
          <w:p>
            <w:pPr>
              <w:pStyle w:val="null3"/>
              <w:spacing w:before="120" w:after="240"/>
              <w:jc w:val="both"/>
            </w:pPr>
            <w:r>
              <w:rPr>
                <w:rFonts w:ascii="宋体" w:hAnsi="宋体" w:cs="宋体" w:eastAsia="宋体"/>
                <w:sz w:val="24"/>
              </w:rPr>
              <w:t>双试剂状态下试剂位</w:t>
            </w:r>
            <w:r>
              <w:rPr>
                <w:rFonts w:ascii="宋体" w:hAnsi="宋体" w:cs="宋体" w:eastAsia="宋体"/>
                <w:sz w:val="24"/>
              </w:rPr>
              <w:t>≥70个；</w:t>
            </w:r>
          </w:p>
        </w:tc>
      </w:tr>
      <w:tr>
        <w:tc>
          <w:tcPr>
            <w:tcW w:type="dxa" w:w="2769"/>
          </w:tcPr>
          <w:p/>
        </w:tc>
        <w:tc>
          <w:tcPr>
            <w:tcW w:type="dxa" w:w="2769"/>
          </w:tcPr>
          <w:p>
            <w:pPr>
              <w:pStyle w:val="null3"/>
            </w:pPr>
            <w:r>
              <w:rPr/>
              <w:t>8</w:t>
            </w:r>
          </w:p>
        </w:tc>
        <w:tc>
          <w:tcPr>
            <w:tcW w:type="dxa" w:w="2769"/>
          </w:tcPr>
          <w:p>
            <w:pPr>
              <w:pStyle w:val="null3"/>
              <w:spacing w:before="120" w:after="240"/>
              <w:jc w:val="both"/>
            </w:pPr>
            <w:r>
              <w:rPr>
                <w:rFonts w:ascii="宋体" w:hAnsi="宋体" w:cs="宋体" w:eastAsia="宋体"/>
                <w:sz w:val="24"/>
              </w:rPr>
              <w:t>分析波长：</w:t>
            </w:r>
            <w:r>
              <w:rPr>
                <w:rFonts w:ascii="宋体" w:hAnsi="宋体" w:cs="宋体" w:eastAsia="宋体"/>
                <w:sz w:val="24"/>
              </w:rPr>
              <w:t>340-800纳米；单波长或（和）多波长检测，≥12个固定波长；</w:t>
            </w:r>
          </w:p>
        </w:tc>
      </w:tr>
      <w:tr>
        <w:tc>
          <w:tcPr>
            <w:tcW w:type="dxa" w:w="2769"/>
          </w:tcPr>
          <w:p/>
        </w:tc>
        <w:tc>
          <w:tcPr>
            <w:tcW w:type="dxa" w:w="2769"/>
          </w:tcPr>
          <w:p>
            <w:pPr>
              <w:pStyle w:val="null3"/>
            </w:pPr>
            <w:r>
              <w:rPr/>
              <w:t>9</w:t>
            </w:r>
          </w:p>
        </w:tc>
        <w:tc>
          <w:tcPr>
            <w:tcW w:type="dxa" w:w="2769"/>
          </w:tcPr>
          <w:p>
            <w:pPr>
              <w:pStyle w:val="null3"/>
              <w:spacing w:before="120" w:after="240"/>
              <w:jc w:val="both"/>
            </w:pPr>
            <w:r>
              <w:rPr>
                <w:rFonts w:ascii="宋体" w:hAnsi="宋体" w:cs="宋体" w:eastAsia="宋体"/>
                <w:sz w:val="24"/>
              </w:rPr>
              <w:t>可在线装载试剂，无需停机；</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sz w:val="24"/>
              </w:rPr>
              <w:t>一次上机装载样本数量</w:t>
            </w:r>
            <w:r>
              <w:rPr>
                <w:rFonts w:ascii="宋体" w:hAnsi="宋体" w:cs="宋体" w:eastAsia="宋体"/>
                <w:sz w:val="24"/>
              </w:rPr>
              <w:t>≥300个，轨道式连续进样；多种规格原试管或样品杯可混合使用；</w:t>
            </w:r>
          </w:p>
        </w:tc>
      </w:tr>
      <w:tr>
        <w:tc>
          <w:tcPr>
            <w:tcW w:type="dxa" w:w="2769"/>
          </w:tcPr>
          <w:p>
            <w:pPr>
              <w:pStyle w:val="null3"/>
            </w:pPr>
            <w:r>
              <w:rPr/>
              <w:t>▲</w:t>
            </w:r>
          </w:p>
        </w:tc>
        <w:tc>
          <w:tcPr>
            <w:tcW w:type="dxa" w:w="2769"/>
          </w:tcPr>
          <w:p>
            <w:pPr>
              <w:pStyle w:val="null3"/>
            </w:pPr>
            <w:r>
              <w:rPr/>
              <w:t>11</w:t>
            </w:r>
          </w:p>
        </w:tc>
        <w:tc>
          <w:tcPr>
            <w:tcW w:type="dxa" w:w="2769"/>
          </w:tcPr>
          <w:p>
            <w:pPr>
              <w:pStyle w:val="null3"/>
              <w:spacing w:before="120" w:after="240"/>
              <w:jc w:val="both"/>
            </w:pPr>
            <w:r>
              <w:rPr>
                <w:rFonts w:ascii="宋体" w:hAnsi="宋体" w:cs="宋体" w:eastAsia="宋体"/>
                <w:sz w:val="24"/>
              </w:rPr>
              <w:t>有急诊通道，急诊标本随机进样、优先处理；</w:t>
            </w:r>
          </w:p>
        </w:tc>
      </w:tr>
      <w:tr>
        <w:tc>
          <w:tcPr>
            <w:tcW w:type="dxa" w:w="2769"/>
          </w:tcPr>
          <w:p/>
        </w:tc>
        <w:tc>
          <w:tcPr>
            <w:tcW w:type="dxa" w:w="2769"/>
          </w:tcPr>
          <w:p>
            <w:pPr>
              <w:pStyle w:val="null3"/>
            </w:pPr>
            <w:r>
              <w:rPr/>
              <w:t>12</w:t>
            </w:r>
          </w:p>
        </w:tc>
        <w:tc>
          <w:tcPr>
            <w:tcW w:type="dxa" w:w="2769"/>
          </w:tcPr>
          <w:p>
            <w:pPr>
              <w:pStyle w:val="null3"/>
              <w:spacing w:before="120" w:after="240"/>
              <w:jc w:val="both"/>
            </w:pPr>
            <w:r>
              <w:rPr>
                <w:rFonts w:ascii="宋体" w:hAnsi="宋体" w:cs="宋体" w:eastAsia="宋体"/>
                <w:sz w:val="24"/>
              </w:rPr>
              <w:t>具有样本凝块检测功能、液面探测功能；</w:t>
            </w:r>
          </w:p>
        </w:tc>
      </w:tr>
      <w:tr>
        <w:tc>
          <w:tcPr>
            <w:tcW w:type="dxa" w:w="2769"/>
          </w:tcPr>
          <w:p/>
        </w:tc>
        <w:tc>
          <w:tcPr>
            <w:tcW w:type="dxa" w:w="2769"/>
          </w:tcPr>
          <w:p>
            <w:pPr>
              <w:pStyle w:val="null3"/>
            </w:pPr>
            <w:r>
              <w:rPr/>
              <w:t>13</w:t>
            </w:r>
          </w:p>
        </w:tc>
        <w:tc>
          <w:tcPr>
            <w:tcW w:type="dxa" w:w="2769"/>
          </w:tcPr>
          <w:p>
            <w:pPr>
              <w:pStyle w:val="null3"/>
              <w:spacing w:before="120" w:after="240"/>
              <w:jc w:val="both"/>
            </w:pPr>
            <w:r>
              <w:rPr>
                <w:rFonts w:ascii="宋体" w:hAnsi="宋体" w:cs="宋体" w:eastAsia="宋体"/>
                <w:sz w:val="24"/>
              </w:rPr>
              <w:t>具有样品自动稀释功能，自动复查和手工复查功能；</w:t>
            </w:r>
          </w:p>
        </w:tc>
      </w:tr>
      <w:tr>
        <w:tc>
          <w:tcPr>
            <w:tcW w:type="dxa" w:w="2769"/>
          </w:tcPr>
          <w:p/>
        </w:tc>
        <w:tc>
          <w:tcPr>
            <w:tcW w:type="dxa" w:w="2769"/>
          </w:tcPr>
          <w:p>
            <w:pPr>
              <w:pStyle w:val="null3"/>
            </w:pPr>
            <w:r>
              <w:rPr/>
              <w:t>14</w:t>
            </w:r>
          </w:p>
        </w:tc>
        <w:tc>
          <w:tcPr>
            <w:tcW w:type="dxa" w:w="2769"/>
          </w:tcPr>
          <w:p>
            <w:pPr>
              <w:pStyle w:val="null3"/>
              <w:spacing w:before="120" w:after="240"/>
              <w:jc w:val="both"/>
            </w:pPr>
            <w:r>
              <w:rPr>
                <w:rFonts w:ascii="宋体" w:hAnsi="宋体" w:cs="宋体" w:eastAsia="宋体"/>
                <w:sz w:val="24"/>
              </w:rPr>
              <w:t>样本用量</w:t>
            </w:r>
            <w:r>
              <w:rPr>
                <w:rFonts w:ascii="宋体" w:hAnsi="宋体" w:cs="宋体" w:eastAsia="宋体"/>
                <w:sz w:val="24"/>
              </w:rPr>
              <w:t>1.5-25µl；要求加样精度样品量达到0.1ul步进；</w:t>
            </w:r>
          </w:p>
        </w:tc>
      </w:tr>
      <w:tr>
        <w:tc>
          <w:tcPr>
            <w:tcW w:type="dxa" w:w="2769"/>
          </w:tcPr>
          <w:p/>
        </w:tc>
        <w:tc>
          <w:tcPr>
            <w:tcW w:type="dxa" w:w="2769"/>
          </w:tcPr>
          <w:p>
            <w:pPr>
              <w:pStyle w:val="null3"/>
            </w:pPr>
            <w:r>
              <w:rPr/>
              <w:t>15</w:t>
            </w:r>
          </w:p>
        </w:tc>
        <w:tc>
          <w:tcPr>
            <w:tcW w:type="dxa" w:w="2769"/>
          </w:tcPr>
          <w:p>
            <w:pPr>
              <w:pStyle w:val="null3"/>
              <w:spacing w:before="120" w:after="240"/>
              <w:jc w:val="both"/>
            </w:pPr>
            <w:r>
              <w:rPr>
                <w:rFonts w:ascii="宋体" w:hAnsi="宋体" w:cs="宋体" w:eastAsia="宋体"/>
                <w:sz w:val="24"/>
              </w:rPr>
              <w:t>标本类型含血清、血浆、尿液、脑脊液、上清液等；</w:t>
            </w:r>
          </w:p>
        </w:tc>
      </w:tr>
      <w:tr>
        <w:tc>
          <w:tcPr>
            <w:tcW w:type="dxa" w:w="2769"/>
          </w:tcPr>
          <w:p/>
        </w:tc>
        <w:tc>
          <w:tcPr>
            <w:tcW w:type="dxa" w:w="2769"/>
          </w:tcPr>
          <w:p>
            <w:pPr>
              <w:pStyle w:val="null3"/>
            </w:pPr>
            <w:r>
              <w:rPr/>
              <w:t>16</w:t>
            </w:r>
          </w:p>
        </w:tc>
        <w:tc>
          <w:tcPr>
            <w:tcW w:type="dxa" w:w="2769"/>
          </w:tcPr>
          <w:p>
            <w:pPr>
              <w:pStyle w:val="null3"/>
              <w:spacing w:before="120" w:after="240"/>
              <w:jc w:val="both"/>
            </w:pPr>
            <w:r>
              <w:rPr>
                <w:rFonts w:ascii="宋体" w:hAnsi="宋体" w:cs="宋体" w:eastAsia="宋体"/>
                <w:sz w:val="24"/>
              </w:rPr>
              <w:t>总反应液量</w:t>
            </w:r>
            <w:r>
              <w:rPr>
                <w:rFonts w:ascii="宋体" w:hAnsi="宋体" w:cs="宋体" w:eastAsia="宋体"/>
                <w:sz w:val="24"/>
              </w:rPr>
              <w:t>80～250ul；</w:t>
            </w:r>
          </w:p>
        </w:tc>
      </w:tr>
      <w:tr>
        <w:tc>
          <w:tcPr>
            <w:tcW w:type="dxa" w:w="2769"/>
          </w:tcPr>
          <w:p/>
        </w:tc>
        <w:tc>
          <w:tcPr>
            <w:tcW w:type="dxa" w:w="2769"/>
          </w:tcPr>
          <w:p>
            <w:pPr>
              <w:pStyle w:val="null3"/>
            </w:pPr>
            <w:r>
              <w:rPr/>
              <w:t>17</w:t>
            </w:r>
          </w:p>
        </w:tc>
        <w:tc>
          <w:tcPr>
            <w:tcW w:type="dxa" w:w="2769"/>
          </w:tcPr>
          <w:p>
            <w:pPr>
              <w:pStyle w:val="null3"/>
              <w:spacing w:before="120" w:after="240"/>
              <w:jc w:val="both"/>
            </w:pPr>
            <w:r>
              <w:rPr>
                <w:rFonts w:ascii="宋体" w:hAnsi="宋体" w:cs="宋体" w:eastAsia="宋体"/>
                <w:sz w:val="24"/>
              </w:rPr>
              <w:t>比色杯采用石英玻璃或</w:t>
            </w:r>
            <w:r>
              <w:rPr>
                <w:rFonts w:ascii="宋体" w:hAnsi="宋体" w:cs="宋体" w:eastAsia="宋体"/>
                <w:sz w:val="24"/>
              </w:rPr>
              <w:t>UV塑料制，易于清洁；</w:t>
            </w:r>
          </w:p>
        </w:tc>
      </w:tr>
      <w:tr>
        <w:tc>
          <w:tcPr>
            <w:tcW w:type="dxa" w:w="2769"/>
          </w:tcPr>
          <w:p/>
        </w:tc>
        <w:tc>
          <w:tcPr>
            <w:tcW w:type="dxa" w:w="2769"/>
          </w:tcPr>
          <w:p>
            <w:pPr>
              <w:pStyle w:val="null3"/>
            </w:pPr>
            <w:r>
              <w:rPr/>
              <w:t>18</w:t>
            </w:r>
          </w:p>
        </w:tc>
        <w:tc>
          <w:tcPr>
            <w:tcW w:type="dxa" w:w="2769"/>
          </w:tcPr>
          <w:p>
            <w:pPr>
              <w:pStyle w:val="null3"/>
              <w:spacing w:before="120" w:after="240"/>
              <w:jc w:val="both"/>
            </w:pPr>
            <w:r>
              <w:rPr>
                <w:rFonts w:ascii="宋体" w:hAnsi="宋体" w:cs="宋体" w:eastAsia="宋体"/>
                <w:sz w:val="24"/>
              </w:rPr>
              <w:t>温控系统：控温精度：</w:t>
            </w:r>
            <w:r>
              <w:rPr>
                <w:rFonts w:ascii="宋体" w:hAnsi="宋体" w:cs="宋体" w:eastAsia="宋体"/>
                <w:sz w:val="24"/>
              </w:rPr>
              <w:t>37℃±0.1℃；</w:t>
            </w:r>
          </w:p>
        </w:tc>
      </w:tr>
      <w:tr>
        <w:tc>
          <w:tcPr>
            <w:tcW w:type="dxa" w:w="2769"/>
          </w:tcPr>
          <w:p/>
        </w:tc>
        <w:tc>
          <w:tcPr>
            <w:tcW w:type="dxa" w:w="2769"/>
          </w:tcPr>
          <w:p>
            <w:pPr>
              <w:pStyle w:val="null3"/>
            </w:pPr>
            <w:r>
              <w:rPr/>
              <w:t>19</w:t>
            </w:r>
          </w:p>
        </w:tc>
        <w:tc>
          <w:tcPr>
            <w:tcW w:type="dxa" w:w="2769"/>
          </w:tcPr>
          <w:p>
            <w:pPr>
              <w:pStyle w:val="null3"/>
              <w:spacing w:before="120" w:after="240"/>
              <w:jc w:val="both"/>
            </w:pPr>
            <w:r>
              <w:rPr>
                <w:rFonts w:ascii="宋体" w:hAnsi="宋体" w:cs="宋体" w:eastAsia="宋体"/>
                <w:sz w:val="24"/>
              </w:rPr>
              <w:t>试剂仓有条码或芯片识别功能，配备试剂、样本条码识别系统；</w:t>
            </w:r>
          </w:p>
        </w:tc>
      </w:tr>
      <w:tr>
        <w:tc>
          <w:tcPr>
            <w:tcW w:type="dxa" w:w="2769"/>
          </w:tcPr>
          <w:p/>
        </w:tc>
        <w:tc>
          <w:tcPr>
            <w:tcW w:type="dxa" w:w="2769"/>
          </w:tcPr>
          <w:p>
            <w:pPr>
              <w:pStyle w:val="null3"/>
            </w:pPr>
            <w:r>
              <w:rPr/>
              <w:t>20</w:t>
            </w:r>
          </w:p>
        </w:tc>
        <w:tc>
          <w:tcPr>
            <w:tcW w:type="dxa" w:w="2769"/>
          </w:tcPr>
          <w:p>
            <w:pPr>
              <w:pStyle w:val="null3"/>
              <w:spacing w:before="120" w:after="240"/>
              <w:jc w:val="both"/>
            </w:pPr>
            <w:r>
              <w:rPr>
                <w:rFonts w:ascii="宋体" w:hAnsi="宋体" w:cs="宋体" w:eastAsia="宋体"/>
                <w:sz w:val="24"/>
              </w:rPr>
              <w:t>具备先进的搅拌混匀模式，有防交叉污染功能；</w:t>
            </w:r>
          </w:p>
        </w:tc>
      </w:tr>
      <w:tr>
        <w:tc>
          <w:tcPr>
            <w:tcW w:type="dxa" w:w="2769"/>
          </w:tcPr>
          <w:p/>
        </w:tc>
        <w:tc>
          <w:tcPr>
            <w:tcW w:type="dxa" w:w="2769"/>
          </w:tcPr>
          <w:p>
            <w:pPr>
              <w:pStyle w:val="null3"/>
            </w:pPr>
            <w:r>
              <w:rPr/>
              <w:t>21</w:t>
            </w:r>
          </w:p>
        </w:tc>
        <w:tc>
          <w:tcPr>
            <w:tcW w:type="dxa" w:w="2769"/>
          </w:tcPr>
          <w:p>
            <w:pPr>
              <w:pStyle w:val="null3"/>
              <w:spacing w:before="120" w:after="240"/>
              <w:jc w:val="both"/>
            </w:pPr>
            <w:r>
              <w:rPr>
                <w:rFonts w:ascii="宋体" w:hAnsi="宋体" w:cs="宋体" w:eastAsia="宋体"/>
                <w:sz w:val="24"/>
              </w:rPr>
              <w:t>具备完善的质控和校准功能；</w:t>
            </w:r>
          </w:p>
        </w:tc>
      </w:tr>
      <w:tr>
        <w:tc>
          <w:tcPr>
            <w:tcW w:type="dxa" w:w="2769"/>
          </w:tcPr>
          <w:p/>
        </w:tc>
        <w:tc>
          <w:tcPr>
            <w:tcW w:type="dxa" w:w="2769"/>
          </w:tcPr>
          <w:p>
            <w:pPr>
              <w:pStyle w:val="null3"/>
            </w:pPr>
            <w:r>
              <w:rPr/>
              <w:t>22</w:t>
            </w:r>
          </w:p>
        </w:tc>
        <w:tc>
          <w:tcPr>
            <w:tcW w:type="dxa" w:w="2769"/>
          </w:tcPr>
          <w:p>
            <w:pPr>
              <w:pStyle w:val="null3"/>
              <w:spacing w:before="120" w:after="240"/>
              <w:jc w:val="both"/>
            </w:pPr>
            <w:r>
              <w:rPr>
                <w:rFonts w:ascii="宋体" w:hAnsi="宋体" w:cs="宋体" w:eastAsia="宋体"/>
                <w:sz w:val="24"/>
              </w:rPr>
              <w:t>具备智能故障检测功能和远程诊断功能；</w:t>
            </w:r>
          </w:p>
        </w:tc>
      </w:tr>
      <w:tr>
        <w:tc>
          <w:tcPr>
            <w:tcW w:type="dxa" w:w="2769"/>
          </w:tcPr>
          <w:p>
            <w:pPr>
              <w:pStyle w:val="null3"/>
            </w:pPr>
            <w:r>
              <w:rPr/>
              <w:t>▲</w:t>
            </w:r>
          </w:p>
        </w:tc>
        <w:tc>
          <w:tcPr>
            <w:tcW w:type="dxa" w:w="2769"/>
          </w:tcPr>
          <w:p>
            <w:pPr>
              <w:pStyle w:val="null3"/>
            </w:pPr>
            <w:r>
              <w:rPr/>
              <w:t>23</w:t>
            </w:r>
          </w:p>
        </w:tc>
        <w:tc>
          <w:tcPr>
            <w:tcW w:type="dxa" w:w="2769"/>
          </w:tcPr>
          <w:p>
            <w:pPr>
              <w:pStyle w:val="null3"/>
              <w:spacing w:before="120" w:after="240"/>
              <w:jc w:val="both"/>
            </w:pPr>
            <w:r>
              <w:rPr>
                <w:rFonts w:ascii="宋体" w:hAnsi="宋体" w:cs="宋体" w:eastAsia="宋体"/>
                <w:sz w:val="24"/>
              </w:rPr>
              <w:t>试剂</w:t>
            </w:r>
            <w:r>
              <w:rPr>
                <w:rFonts w:ascii="宋体" w:hAnsi="宋体" w:cs="宋体" w:eastAsia="宋体"/>
                <w:sz w:val="24"/>
              </w:rPr>
              <w:t>非封闭，</w:t>
            </w:r>
            <w:r>
              <w:rPr>
                <w:rFonts w:ascii="宋体" w:hAnsi="宋体" w:cs="宋体" w:eastAsia="宋体"/>
                <w:sz w:val="24"/>
              </w:rPr>
              <w:t>标准品、质控品，溯源性好；</w:t>
            </w:r>
          </w:p>
        </w:tc>
      </w:tr>
      <w:tr>
        <w:tc>
          <w:tcPr>
            <w:tcW w:type="dxa" w:w="2769"/>
          </w:tcPr>
          <w:p/>
        </w:tc>
        <w:tc>
          <w:tcPr>
            <w:tcW w:type="dxa" w:w="2769"/>
          </w:tcPr>
          <w:p>
            <w:pPr>
              <w:pStyle w:val="null3"/>
            </w:pPr>
            <w:r>
              <w:rPr/>
              <w:t>24</w:t>
            </w:r>
          </w:p>
        </w:tc>
        <w:tc>
          <w:tcPr>
            <w:tcW w:type="dxa" w:w="2769"/>
          </w:tcPr>
          <w:p>
            <w:pPr>
              <w:pStyle w:val="null3"/>
              <w:spacing w:before="120" w:after="240"/>
              <w:jc w:val="both"/>
            </w:pPr>
            <w:r>
              <w:rPr>
                <w:rFonts w:ascii="宋体" w:hAnsi="宋体" w:cs="宋体" w:eastAsia="宋体"/>
                <w:sz w:val="24"/>
              </w:rPr>
              <w:t>配备独立的样本数据管理系统，具备结果自动审核功能；</w:t>
            </w:r>
          </w:p>
        </w:tc>
      </w:tr>
      <w:tr>
        <w:tc>
          <w:tcPr>
            <w:tcW w:type="dxa" w:w="2769"/>
          </w:tcPr>
          <w:p>
            <w:pPr>
              <w:pStyle w:val="null3"/>
            </w:pPr>
            <w:r>
              <w:rPr/>
              <w:t>▲</w:t>
            </w:r>
          </w:p>
        </w:tc>
        <w:tc>
          <w:tcPr>
            <w:tcW w:type="dxa" w:w="2769"/>
          </w:tcPr>
          <w:p>
            <w:pPr>
              <w:pStyle w:val="null3"/>
            </w:pPr>
            <w:r>
              <w:rPr/>
              <w:t>25</w:t>
            </w:r>
          </w:p>
        </w:tc>
        <w:tc>
          <w:tcPr>
            <w:tcW w:type="dxa" w:w="2769"/>
          </w:tcPr>
          <w:p>
            <w:pPr>
              <w:pStyle w:val="null3"/>
              <w:spacing w:before="120" w:after="240"/>
              <w:jc w:val="both"/>
            </w:pPr>
            <w:r>
              <w:rPr>
                <w:rFonts w:ascii="宋体" w:hAnsi="宋体" w:cs="宋体" w:eastAsia="宋体"/>
                <w:sz w:val="24"/>
              </w:rPr>
              <w:t>配备</w:t>
            </w:r>
            <w:r>
              <w:rPr>
                <w:rFonts w:ascii="宋体" w:hAnsi="宋体" w:cs="宋体" w:eastAsia="宋体"/>
                <w:sz w:val="24"/>
              </w:rPr>
              <w:t>品牌</w:t>
            </w:r>
            <w:r>
              <w:rPr>
                <w:rFonts w:ascii="宋体" w:hAnsi="宋体" w:cs="宋体" w:eastAsia="宋体"/>
                <w:sz w:val="24"/>
              </w:rPr>
              <w:t>纯水系统</w:t>
            </w:r>
            <w:r>
              <w:rPr>
                <w:rFonts w:ascii="宋体" w:hAnsi="宋体" w:cs="宋体" w:eastAsia="宋体"/>
                <w:sz w:val="24"/>
              </w:rPr>
              <w:t>1套</w:t>
            </w:r>
            <w:r>
              <w:rPr>
                <w:rFonts w:ascii="宋体" w:hAnsi="宋体" w:cs="宋体" w:eastAsia="宋体"/>
                <w:sz w:val="24"/>
              </w:rPr>
              <w:t>（制水量</w:t>
            </w:r>
            <w:r>
              <w:rPr>
                <w:rFonts w:ascii="宋体" w:hAnsi="宋体" w:cs="宋体" w:eastAsia="宋体"/>
                <w:sz w:val="24"/>
              </w:rPr>
              <w:t>≥</w:t>
            </w:r>
            <w:r>
              <w:rPr>
                <w:rFonts w:ascii="宋体" w:hAnsi="宋体" w:cs="宋体" w:eastAsia="宋体"/>
                <w:sz w:val="24"/>
              </w:rPr>
              <w:t>100升/小时，储水量≥100升</w:t>
            </w:r>
            <w:r>
              <w:rPr>
                <w:rFonts w:ascii="宋体" w:hAnsi="宋体" w:cs="宋体" w:eastAsia="宋体"/>
                <w:sz w:val="24"/>
              </w:rPr>
              <w:t>）</w:t>
            </w:r>
            <w:r>
              <w:rPr>
                <w:rFonts w:ascii="宋体" w:hAnsi="宋体" w:cs="宋体" w:eastAsia="宋体"/>
                <w:sz w:val="24"/>
              </w:rPr>
              <w:t>、品牌</w:t>
            </w:r>
            <w:r>
              <w:rPr>
                <w:rFonts w:ascii="宋体" w:hAnsi="宋体" w:cs="宋体" w:eastAsia="宋体"/>
                <w:sz w:val="24"/>
              </w:rPr>
              <w:t>UPS电源1台（断电工作时间≥30分钟），</w:t>
            </w:r>
            <w:r>
              <w:rPr>
                <w:rFonts w:ascii="宋体" w:hAnsi="宋体" w:cs="宋体" w:eastAsia="宋体"/>
                <w:sz w:val="24"/>
              </w:rPr>
              <w:t>与所投生化仪匹配；</w:t>
            </w:r>
          </w:p>
        </w:tc>
      </w:tr>
      <w:tr>
        <w:tc>
          <w:tcPr>
            <w:tcW w:type="dxa" w:w="2769"/>
          </w:tcPr>
          <w:p/>
        </w:tc>
        <w:tc>
          <w:tcPr>
            <w:tcW w:type="dxa" w:w="2769"/>
          </w:tcPr>
          <w:p>
            <w:pPr>
              <w:pStyle w:val="null3"/>
            </w:pPr>
            <w:r>
              <w:rPr/>
              <w:t>26</w:t>
            </w:r>
          </w:p>
        </w:tc>
        <w:tc>
          <w:tcPr>
            <w:tcW w:type="dxa" w:w="2769"/>
          </w:tcPr>
          <w:p>
            <w:pPr>
              <w:pStyle w:val="null3"/>
              <w:spacing w:before="120" w:after="240"/>
              <w:jc w:val="both"/>
            </w:pPr>
            <w:r>
              <w:rPr>
                <w:rFonts w:ascii="宋体" w:hAnsi="宋体" w:cs="宋体" w:eastAsia="宋体"/>
                <w:sz w:val="24"/>
              </w:rPr>
              <w:t>LIS要求：连接医院LIS系统</w:t>
            </w:r>
            <w:r>
              <w:rPr>
                <w:rFonts w:ascii="宋体" w:hAnsi="宋体" w:cs="宋体" w:eastAsia="宋体"/>
                <w:sz w:val="24"/>
              </w:rPr>
              <w:t>，费用包含在产品报价中</w:t>
            </w:r>
            <w:r>
              <w:rPr>
                <w:rFonts w:ascii="宋体" w:hAnsi="宋体" w:cs="宋体" w:eastAsia="宋体"/>
                <w:sz w:val="24"/>
              </w:rPr>
              <w:t>；</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自合同签订之日起30日历日内</w:t>
      </w:r>
    </w:p>
    <w:p>
      <w:pPr>
        <w:pStyle w:val="null3"/>
        <w:outlineLvl w:val="3"/>
      </w:pPr>
      <w:r>
        <w:rPr>
          <w:b/>
          <w:sz w:val="24"/>
        </w:rPr>
        <w:t>3.4.2交货地点</w:t>
      </w:r>
    </w:p>
    <w:p>
      <w:pPr>
        <w:pStyle w:val="null3"/>
      </w:pPr>
      <w:r>
        <w:rPr/>
        <w:t>采购包1：</w:t>
      </w:r>
    </w:p>
    <w:p>
      <w:pPr>
        <w:pStyle w:val="null3"/>
      </w:pPr>
      <w:r>
        <w:rPr/>
        <w:t>西安医学院附属宝鸡医院</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验收合格后3个月后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验收合格6个月后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验收合格2年后</w:t>
      </w:r>
      <w:r>
        <w:rPr/>
        <w:t xml:space="preserve"> ，达到付款条件起 </w:t>
      </w:r>
      <w:r>
        <w:rPr/>
        <w:t>30</w:t>
      </w:r>
      <w:r>
        <w:rPr/>
        <w:t xml:space="preserve"> 日内，支付合同总金额的 </w:t>
      </w:r>
      <w:r>
        <w:rPr/>
        <w:t>10.00</w:t>
      </w:r>
      <w:r>
        <w:rPr/>
        <w:t>%。</w:t>
      </w:r>
    </w:p>
    <w:p>
      <w:pPr>
        <w:pStyle w:val="null3"/>
        <w:outlineLvl w:val="3"/>
      </w:pPr>
      <w:r>
        <w:rPr>
          <w:b/>
          <w:sz w:val="24"/>
        </w:rPr>
        <w:t>3.4.5验收标准和方法</w:t>
      </w:r>
    </w:p>
    <w:p>
      <w:pPr>
        <w:pStyle w:val="null3"/>
      </w:pPr>
      <w:r>
        <w:rPr/>
        <w:t>采购包1：</w:t>
      </w:r>
    </w:p>
    <w:p>
      <w:pPr>
        <w:pStyle w:val="null3"/>
      </w:pPr>
      <w:r>
        <w:rPr/>
        <w:t>按照国家相关法律法规及该设备的招标文件条款进行验收。货物到达采购人指定地点后，由投标人和采购人约定时间根据合同要求进行清点验收，确认产地品牌、规格型号和数量等。设备安装、调试、自检正常，且可正常使用后，由投标人书面向采购人申请正式验收。投标人按照采购人的验收管理制度和流程准备好验收资料后，按约定时间进行设备运行（正式）验收。设备验收合格后，验收人员在设备验收单上签字作为对货物的最终认可。投标人须向采购人提交货物实施过程中的所有资料，以便日后管理和维护。验收依据：本合同及附件文本；国家相应的标准、规范；招标文件、投标文件、澄清表（函）；易损配件、备件报价单；提供原厂质保文件；其它。</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 所提供的产品为到货之日前6个月内生产的产品。 提供投标产品非封闭试剂及耗材报价单。</w:t>
      </w:r>
    </w:p>
    <w:p>
      <w:pPr>
        <w:pStyle w:val="null3"/>
        <w:outlineLvl w:val="3"/>
      </w:pPr>
      <w:r>
        <w:rPr>
          <w:b/>
          <w:sz w:val="24"/>
        </w:rPr>
        <w:t>3.4.7质量保修范围和保修期</w:t>
      </w:r>
    </w:p>
    <w:p>
      <w:pPr>
        <w:pStyle w:val="null3"/>
      </w:pPr>
      <w:r>
        <w:rPr/>
        <w:t>采购包1：</w:t>
      </w:r>
    </w:p>
    <w:p>
      <w:pPr>
        <w:pStyle w:val="null3"/>
      </w:pPr>
      <w:r>
        <w:rPr/>
        <w:t>要求投标设备原厂质保≥2年。合同签订时，投标人向采购人提供和原厂签订的≥2年的质保合同，内容需明确已响应的质保内容和拟签订采购合同的履约约定内容，并明确质保期内出现质量问题，全权由原厂负责处理。 质保期内，设备发生质量问题，在接到采购方通知后，供应商服务响应时间不超过2小时，4小时内派出专业的维修人员进行现场检测维修，解决问题不超过 24小时。对问题较大、短期内不能解决的，为不影响采购方正常工作，供应商在7日内免费提供替代产品，所发生的全部费用由乙方承担。若需返厂维修，相关一切费用由供应商承担。20个工作日内仍无法修复的，需免费更换同规格、同型号原厂全新产品，更换产品所产生的相关费用均由供应商承担。质保期期内设备停机时间自动计算为免费质保延长时间。 投标人销售及原厂维修人员须定期巡访医院，及时解决相关设备的各种问题。质保期内保证整机按照保养手册至少每季度保养一次。 质保期内提供的所有服务，不收取任何费用。 投标人在质保期结束前，对设备进行系统测试，全面保养维护，确保设备正常运行。 质保期满后：投标人提供每年不低于四次的巡访，以保证设备正常运行。如采购人要求，投标人须提供优惠有偿维修服务，并负责成本价供应设备所需的原厂备品、备件，提供主要易损备件报价单。设备出现的故障，投标人应提供及时、有效的技术支持和售后服务，维修更换的配件、备件质保时间为≥12个月，投标人保证所提供的零备件按成本价收取费用，免工时费。</w:t>
      </w:r>
    </w:p>
    <w:p>
      <w:pPr>
        <w:pStyle w:val="null3"/>
        <w:outlineLvl w:val="3"/>
      </w:pPr>
      <w:r>
        <w:rPr>
          <w:b/>
          <w:sz w:val="24"/>
        </w:rPr>
        <w:t>3.4.8违约责任与解决争议的方法</w:t>
      </w:r>
    </w:p>
    <w:p>
      <w:pPr>
        <w:pStyle w:val="null3"/>
      </w:pPr>
      <w:r>
        <w:rPr/>
        <w:t>采购包1：</w:t>
      </w:r>
    </w:p>
    <w:p>
      <w:pPr>
        <w:pStyle w:val="null3"/>
      </w:pPr>
      <w:r>
        <w:rPr/>
        <w:t>按《政府采购法》、《民法典》中的相关条款执行。 未按合同要求提供设备或质量不能满足技术要求，采购人会同监督机构、采购代理机构有权终止合同并对供方违约行为进行追究，同时按政府采购供应商管理办法进行相应的处罚。</w:t>
      </w:r>
    </w:p>
    <w:p>
      <w:pPr>
        <w:pStyle w:val="null3"/>
        <w:jc w:val="left"/>
        <w:outlineLvl w:val="2"/>
      </w:pPr>
      <w:r>
        <w:rPr>
          <w:b/>
          <w:sz w:val="28"/>
        </w:rPr>
        <w:t>3.5其他要求</w:t>
      </w:r>
    </w:p>
    <w:p>
      <w:pPr>
        <w:pStyle w:val="null3"/>
      </w:pPr>
      <w:r>
        <w:rPr/>
        <w:t>保证设备技术指标先进、产品全新、质量性能可靠、进货渠道正常，配置合理，全面满足甲方要求。 符合国家有关规范要求和技术标准，确保达到最佳运行状态。 具有良好的外观，适合安装场所的使用。 供应商为采购方提供的设备须为原厂生产全新产品，如果供应商提供产品非原厂生产全新产品，一经查实，甲方有权要求乙方更换符合招标文件所要求的全新产品，一切经济损失由乙方全部承担。 使用培训：设备安装调试完成后，投标人须安排原厂工程师对设备使用人员进行设备安装调试及操作应用等技术培训，直至使用人员熟练掌握该设备的全部功能操作。提供每年不低于2次的理论和操作应用培训。培训环节产生的相关费用包含于投标价中。</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报告；成立时间至提交投标文件截止时间不足一年的可提供成立后任意时段的资产负债表）；或2023年1月1日以来基本存款账户开户银行出具的资信证明（附基本存款账户信息）；或财政部门认可的政府采购专业担保机构出具的担保函；</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投标保证金</w:t>
            </w:r>
          </w:p>
        </w:tc>
        <w:tc>
          <w:tcPr>
            <w:tcW w:type="dxa" w:w="3322"/>
          </w:tcPr>
          <w:p>
            <w:pPr>
              <w:pStyle w:val="null3"/>
            </w:pPr>
            <w:r>
              <w:rPr/>
              <w:t>提供投标保证金缴纳凭证。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t>投标函 投标文件封面 投标人应提交的相关资格证明材料</w:t>
            </w:r>
          </w:p>
        </w:tc>
      </w:tr>
      <w:tr>
        <w:tc>
          <w:tcPr>
            <w:tcW w:type="dxa" w:w="831"/>
          </w:tcPr>
          <w:p>
            <w:pPr>
              <w:pStyle w:val="null3"/>
            </w:pPr>
            <w:r>
              <w:rPr/>
              <w:t>3</w:t>
            </w:r>
          </w:p>
        </w:tc>
        <w:tc>
          <w:tcPr>
            <w:tcW w:type="dxa" w:w="2492"/>
          </w:tcPr>
          <w:p>
            <w:pPr>
              <w:pStyle w:val="null3"/>
            </w:pPr>
            <w:r>
              <w:rPr/>
              <w:t>法定代表人（主要负责人）委托授权书\身份证明</w:t>
            </w:r>
          </w:p>
        </w:tc>
        <w:tc>
          <w:tcPr>
            <w:tcW w:type="dxa" w:w="3322"/>
          </w:tcPr>
          <w:p>
            <w:pPr>
              <w:pStyle w:val="null3"/>
            </w:pPr>
            <w:r>
              <w:rPr/>
              <w:t>法定代表人委托代理人参加投标时，应提供法定代表人委托授权书及法人身份证明；法定代表人（主要负责人）亲自参加投标时，应提供法定代表人（主要负责人）身份证明书。</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提供医疗器械经营许可证或医疗器械经营备案凭证</w:t>
            </w:r>
          </w:p>
        </w:tc>
        <w:tc>
          <w:tcPr>
            <w:tcW w:type="dxa" w:w="3322"/>
          </w:tcPr>
          <w:p>
            <w:pPr>
              <w:pStyle w:val="null3"/>
            </w:pPr>
            <w:r>
              <w:rPr/>
              <w:t>属于二类的提供医疗器械经营备案凭证，三类的提供医疗器械经营许可证。</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社保资金缴纳证明</w:t>
            </w:r>
          </w:p>
        </w:tc>
        <w:tc>
          <w:tcPr>
            <w:tcW w:type="dxa" w:w="3322"/>
          </w:tcPr>
          <w:p>
            <w:pPr>
              <w:pStyle w:val="null3"/>
            </w:pPr>
            <w:r>
              <w:rPr/>
              <w:t>提供2023年任意1个月社会保障资金缴存单据或社保机构开具的社会保险参保缴费情况证明，单据或证明上应有社保机构或代收机构的公章或业务专用章。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提供2023年任意1个月的纳税证明或完税证明（增值税、营业税、企业所得税至少提供一种），纳税证明或完税证明上应有代收机构或税务机关的公章或业务专用章。</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提供非联合体投标声明函。</w:t>
            </w:r>
          </w:p>
        </w:tc>
        <w:tc>
          <w:tcPr>
            <w:tcW w:type="dxa" w:w="1661"/>
          </w:tcPr>
          <w:p>
            <w:pPr>
              <w:pStyle w:val="null3"/>
            </w:pPr>
            <w:r>
              <w:rPr/>
              <w:t>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落实政府采购相关政策</w:t>
            </w:r>
          </w:p>
        </w:tc>
        <w:tc>
          <w:tcPr>
            <w:tcW w:type="dxa" w:w="3322"/>
          </w:tcPr>
          <w:p>
            <w:pPr>
              <w:pStyle w:val="null3"/>
            </w:pPr>
            <w:r>
              <w:rPr/>
              <w:t>1.《政府采购促进中小企业发展管理办法》（财库[2020]46号）；2.《财政部司法部关于政府采购支持监狱企业发展有关问题的通知》（财库[2014]68号）；3.《关于促进残疾人就业政府采购政策的通知》（财库[2017]141号）；4.《国务院办公厅关于建立政府强制采购节能产品制度的通知》（国办发[2007]51号）；5.《节能产品政府采购实施意见》（财库[2004]185号）；6.《关于环境标志产品政府采购实施的意见》（财库[2006]90号）；7.《财政部发展改革委生态环境部市场监管总局关于调整优化节能产品、环境标志产品政府采购执行机制的通知》（财库[2019]9号）；8、《关于进一步加大政府采购支持中小企业力度的通知》（财库[2022]19号）；9.《陕西省中小企业政府采购信用融资办法》（陕财办采[2018]23号）；10、《陕西省财政厅关于加快推进我省中小企业政府采购信用融资工作的通知》（陕财办采〔2020〕15号）；11、《陕西省财政厅关于进一步加大政府采购支持中小企业力度的通知》（陕财办采[2022]5号）；12、其他需要落实的政府采购政策。</w:t>
            </w:r>
          </w:p>
        </w:tc>
        <w:tc>
          <w:tcPr>
            <w:tcW w:type="dxa" w:w="1661"/>
          </w:tcPr>
          <w:p>
            <w:pPr>
              <w:pStyle w:val="null3"/>
            </w:pPr>
            <w:r>
              <w:rPr/>
              <w:t>中小企业声明函 残疾人福利性单位声明函 监狱企业的证明文件 投标人应提交的相关资格证明材料</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技术参数应答</w:t>
            </w:r>
          </w:p>
        </w:tc>
        <w:tc>
          <w:tcPr>
            <w:tcW w:type="dxa" w:w="2492"/>
          </w:tcPr>
          <w:p>
            <w:pPr>
              <w:pStyle w:val="null3"/>
            </w:pPr>
            <w:r>
              <w:rPr/>
              <w:t>所投产品设备技术参数，完全满足采购需求，得25分；▲号参数负偏一项扣3分，非▲号参数负偏一项扣1分，扣完为止。（▲参数提供相关证明材料,无法提供的按负偏计）</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设备供货选型合理性</w:t>
            </w:r>
          </w:p>
        </w:tc>
        <w:tc>
          <w:tcPr>
            <w:tcW w:type="dxa" w:w="2492"/>
          </w:tcPr>
          <w:p>
            <w:pPr>
              <w:pStyle w:val="null3"/>
            </w:pPr>
            <w:r>
              <w:rPr/>
              <w:t>根据医院实际情况提供科学合理的产品选型配置： 所投产品配置选型科学合理，设备先进稳定，功能完善，成熟度高，可靠性强，得7-10分； 所投产品配置选型较合理，设备稳定，功能较完善，成熟度较高，可靠性较强，得4-7分（不含7分）； 所投产品配置选型不合理，性能稳定性，可靠性差，成熟度差，得1-4分（不含4分）； 不提供方案的，得0分。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设计安装方案</w:t>
            </w:r>
          </w:p>
        </w:tc>
        <w:tc>
          <w:tcPr>
            <w:tcW w:type="dxa" w:w="2492"/>
          </w:tcPr>
          <w:p>
            <w:pPr>
              <w:pStyle w:val="null3"/>
            </w:pPr>
            <w:r>
              <w:rPr/>
              <w:t>根据医院实际情况，提供具体的安装实施方案： 安装方案详细具体，设计科学合理，可实施性高，符合采购人实际情况，得7-10分；安装方案较具体，设计较合理，可实施性较高，较符合采购单位实际情况，得4-7（不含7分）分；安装方案一般，设计不合理，可实施性不高，与采购单位实际情况偏差大，得1-4分（不含4分）；未提供方案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履约能力</w:t>
            </w:r>
          </w:p>
        </w:tc>
        <w:tc>
          <w:tcPr>
            <w:tcW w:type="dxa" w:w="2492"/>
          </w:tcPr>
          <w:p>
            <w:pPr>
              <w:pStyle w:val="null3"/>
            </w:pPr>
            <w:r>
              <w:rPr/>
              <w:t>提供设备的测试、验收的具体实施方案： 实施方案详细具体，阐述全面，可操作性强，得5-6分；实施方案较详细，阐述较全面，可操作较强，得3-5分（不含5分）；实施方案较详细，阐述一般，可操作性一般，得1-2分； 未提供方案的，得0分。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提供所投产品2021年1月1日(合同签订时间)至今业绩（业绩以合同为准），提供1份得1分，满分5分。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提供相关售后服务方案（包括但不限于响应时间承诺、服务保障措施、质保期、维护保养及应急维修安排等等）： 方案内容科学合理，内容全面，详细具体，可行性高，得7-10分； 方案内容较合理，内容较明确，可行性较高，得4-7分（不含7分）； 方案内容不明确、可行性差，得1-4分（不含4分）； 不提供的，得0分。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提供培训方案，包括内容、人员、对象、地点等，保证采购人能够安全、正常、熟练的操作: 培训计划详细具体，内容全面，切实可行，得4分； 培训计划较明确，内容一般，可行一般，得2-3分； 培训方案不明确，可行性差，得1分； 未提供方案的，得0分。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 xml:space="preserve"> </w:t>
      </w:r>
    </w:p>
    <w:p>
      <w:pPr>
        <w:pStyle w:val="null3"/>
        <w:jc w:val="center"/>
        <w:outlineLvl w:val="1"/>
      </w:pPr>
      <w:r>
        <w:rPr>
          <w:b/>
          <w:sz w:val="36"/>
        </w:rPr>
        <w:t>第七章 拟签订合同文本</w:t>
      </w:r>
    </w:p>
    <w:p>
      <w:pPr>
        <w:pStyle w:val="null3"/>
      </w:pPr>
      <w:r>
        <w:rPr/>
        <w:t>详见附件：合同格式(仅供参考).docx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