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hAnsi="宋体" w:cs="宋体"/>
          <w:b/>
          <w:color w:val="auto"/>
          <w:sz w:val="32"/>
          <w:highlight w:val="none"/>
          <w:lang w:eastAsia="zh-CN"/>
        </w:rPr>
        <w:t>TWZB2024-058</w:t>
      </w:r>
    </w:p>
    <w:p>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 xml:space="preserve"> </w:t>
      </w:r>
    </w:p>
    <w:p>
      <w:pPr>
        <w:rPr>
          <w:rFonts w:hint="eastAsia" w:ascii="宋体" w:hAnsi="宋体" w:eastAsia="宋体" w:cs="宋体"/>
          <w:b/>
          <w:color w:val="auto"/>
          <w:sz w:val="36"/>
          <w:highlight w:val="none"/>
        </w:rPr>
      </w:pPr>
    </w:p>
    <w:p>
      <w:pPr>
        <w:rPr>
          <w:rFonts w:hint="eastAsia" w:ascii="宋体" w:hAnsi="宋体" w:eastAsia="宋体" w:cs="宋体"/>
          <w:b/>
          <w:color w:val="auto"/>
          <w:sz w:val="36"/>
          <w:highlight w:val="none"/>
        </w:rPr>
      </w:pPr>
    </w:p>
    <w:p>
      <w:pPr>
        <w:jc w:val="center"/>
        <w:rPr>
          <w:rFonts w:hint="eastAsia" w:ascii="宋体" w:hAnsi="宋体" w:eastAsia="宋体" w:cs="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sz w:val="36"/>
          <w:szCs w:val="36"/>
          <w:highlight w:val="none"/>
        </w:rPr>
      </w:pPr>
      <w:r>
        <w:rPr>
          <w:rFonts w:hint="eastAsia" w:hAnsi="宋体" w:cs="宋体"/>
          <w:b/>
          <w:color w:val="auto"/>
          <w:sz w:val="44"/>
          <w:szCs w:val="44"/>
          <w:highlight w:val="none"/>
          <w:lang w:eastAsia="zh-CN"/>
        </w:rPr>
        <w:t>西咸新区泾河新城第四小学2024年设备续采项目</w:t>
      </w:r>
    </w:p>
    <w:p>
      <w:pPr>
        <w:spacing w:line="360" w:lineRule="auto"/>
        <w:jc w:val="center"/>
        <w:rPr>
          <w:rFonts w:hint="eastAsia" w:ascii="宋体" w:hAnsi="宋体" w:eastAsia="宋体" w:cs="宋体"/>
          <w:b/>
          <w:color w:val="auto"/>
          <w:sz w:val="72"/>
          <w:szCs w:val="72"/>
          <w:highlight w:val="none"/>
        </w:rPr>
      </w:pPr>
    </w:p>
    <w:p>
      <w:pPr>
        <w:spacing w:line="360" w:lineRule="auto"/>
        <w:jc w:val="center"/>
        <w:rPr>
          <w:rFonts w:hint="eastAsia" w:ascii="宋体" w:hAnsi="宋体" w:eastAsia="宋体" w:cs="宋体"/>
          <w:b/>
          <w:color w:val="auto"/>
          <w:sz w:val="72"/>
          <w:szCs w:val="72"/>
          <w:highlight w:val="none"/>
        </w:rPr>
      </w:pPr>
    </w:p>
    <w:p>
      <w:pPr>
        <w:spacing w:line="360" w:lineRule="auto"/>
        <w:jc w:val="center"/>
        <w:rPr>
          <w:rFonts w:hint="eastAsia" w:ascii="宋体" w:hAnsi="宋体" w:eastAsia="宋体" w:cs="宋体"/>
          <w:b/>
          <w:color w:val="auto"/>
          <w:sz w:val="72"/>
          <w:szCs w:val="72"/>
          <w:highlight w:val="none"/>
        </w:rPr>
      </w:pPr>
    </w:p>
    <w:p>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 标 文 件</w:t>
      </w:r>
    </w:p>
    <w:p>
      <w:pPr>
        <w:rPr>
          <w:rFonts w:hint="eastAsia" w:ascii="宋体" w:hAnsi="宋体" w:eastAsia="宋体" w:cs="宋体"/>
          <w:color w:val="auto"/>
          <w:highlight w:val="none"/>
        </w:rPr>
      </w:pPr>
      <w:bookmarkStart w:id="0" w:name="_Toc363463325"/>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bookmarkEnd w:id="0"/>
    <w:p>
      <w:pPr>
        <w:keepNext w:val="0"/>
        <w:keepLines w:val="0"/>
        <w:pageBreakBefore w:val="0"/>
        <w:widowControl w:val="0"/>
        <w:tabs>
          <w:tab w:val="left" w:pos="10080"/>
        </w:tabs>
        <w:kinsoku/>
        <w:wordWrap/>
        <w:overflowPunct/>
        <w:topLinePunct w:val="0"/>
        <w:autoSpaceDE/>
        <w:autoSpaceDN/>
        <w:bidi w:val="0"/>
        <w:adjustRightInd/>
        <w:snapToGrid/>
        <w:spacing w:line="720" w:lineRule="auto"/>
        <w:ind w:right="0" w:rightChars="0" w:firstLine="1350" w:firstLineChars="450"/>
        <w:jc w:val="both"/>
        <w:textAlignment w:val="auto"/>
        <w:rPr>
          <w:rFonts w:hint="eastAsia" w:ascii="宋体" w:hAnsi="宋体" w:eastAsia="宋体" w:cs="宋体"/>
          <w:b/>
          <w:bCs/>
          <w:color w:val="auto"/>
          <w:kern w:val="2"/>
          <w:sz w:val="30"/>
          <w:szCs w:val="30"/>
          <w:highlight w:val="none"/>
          <w:lang w:val="en-US" w:eastAsia="zh-CN"/>
        </w:rPr>
      </w:pPr>
      <w:r>
        <w:rPr>
          <w:rFonts w:hint="eastAsia" w:ascii="宋体" w:hAnsi="宋体" w:eastAsia="宋体" w:cs="宋体"/>
          <w:b/>
          <w:bCs/>
          <w:color w:val="auto"/>
          <w:kern w:val="2"/>
          <w:sz w:val="30"/>
          <w:szCs w:val="30"/>
          <w:highlight w:val="none"/>
          <w:lang w:val="en-US" w:eastAsia="zh-CN"/>
        </w:rPr>
        <w:t>采   购   人：</w:t>
      </w:r>
      <w:r>
        <w:rPr>
          <w:rFonts w:hint="eastAsia" w:hAnsi="宋体" w:cs="宋体"/>
          <w:b/>
          <w:bCs/>
          <w:color w:val="auto"/>
          <w:kern w:val="2"/>
          <w:sz w:val="30"/>
          <w:szCs w:val="30"/>
          <w:highlight w:val="none"/>
          <w:lang w:val="en-US" w:eastAsia="zh-CN"/>
        </w:rPr>
        <w:t>西咸新区泾河新城第四小学</w:t>
      </w:r>
    </w:p>
    <w:p>
      <w:pPr>
        <w:keepNext w:val="0"/>
        <w:keepLines w:val="0"/>
        <w:pageBreakBefore w:val="0"/>
        <w:widowControl w:val="0"/>
        <w:tabs>
          <w:tab w:val="left" w:pos="10080"/>
        </w:tabs>
        <w:kinsoku/>
        <w:wordWrap/>
        <w:overflowPunct/>
        <w:topLinePunct w:val="0"/>
        <w:autoSpaceDE/>
        <w:autoSpaceDN/>
        <w:bidi w:val="0"/>
        <w:adjustRightInd/>
        <w:snapToGrid/>
        <w:spacing w:line="720" w:lineRule="auto"/>
        <w:ind w:right="0" w:rightChars="0" w:firstLine="0" w:firstLineChars="0"/>
        <w:jc w:val="center"/>
        <w:textAlignment w:val="auto"/>
        <w:rPr>
          <w:rFonts w:hint="eastAsia" w:ascii="宋体" w:hAnsi="宋体" w:eastAsia="宋体" w:cs="宋体"/>
          <w:b/>
          <w:bCs/>
          <w:color w:val="auto"/>
          <w:kern w:val="2"/>
          <w:sz w:val="30"/>
          <w:szCs w:val="30"/>
          <w:highlight w:val="none"/>
          <w:lang w:val="en-US" w:eastAsia="zh-CN"/>
        </w:rPr>
      </w:pPr>
      <w:r>
        <w:rPr>
          <w:rFonts w:hint="eastAsia" w:ascii="宋体" w:hAnsi="宋体" w:eastAsia="宋体" w:cs="宋体"/>
          <w:b/>
          <w:bCs/>
          <w:color w:val="auto"/>
          <w:kern w:val="2"/>
          <w:sz w:val="30"/>
          <w:szCs w:val="30"/>
          <w:highlight w:val="none"/>
          <w:lang w:val="en-US" w:eastAsia="zh-CN"/>
        </w:rPr>
        <w:t>采购代理机构：陕西天沃工程项目管理有限公司</w:t>
      </w:r>
    </w:p>
    <w:p>
      <w:pPr>
        <w:keepNext w:val="0"/>
        <w:keepLines w:val="0"/>
        <w:pageBreakBefore w:val="0"/>
        <w:widowControl w:val="0"/>
        <w:tabs>
          <w:tab w:val="left" w:pos="10080"/>
        </w:tabs>
        <w:kinsoku/>
        <w:wordWrap/>
        <w:overflowPunct/>
        <w:topLinePunct w:val="0"/>
        <w:autoSpaceDE/>
        <w:autoSpaceDN/>
        <w:bidi w:val="0"/>
        <w:adjustRightInd/>
        <w:snapToGrid/>
        <w:spacing w:line="720" w:lineRule="auto"/>
        <w:ind w:right="0" w:rightChars="0" w:firstLine="0" w:firstLineChars="0"/>
        <w:jc w:val="center"/>
        <w:textAlignment w:val="auto"/>
        <w:rPr>
          <w:rFonts w:hint="eastAsia" w:ascii="宋体" w:hAnsi="宋体" w:eastAsia="宋体" w:cs="宋体"/>
          <w:b/>
          <w:bCs/>
          <w:color w:val="auto"/>
          <w:sz w:val="30"/>
          <w:szCs w:val="30"/>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417" w:left="1418" w:header="851" w:footer="992" w:gutter="0"/>
          <w:pgNumType w:fmt="decimal"/>
          <w:cols w:space="720" w:num="1"/>
          <w:titlePg/>
          <w:docGrid w:type="linesAndChars" w:linePitch="312" w:charSpace="0"/>
        </w:sectPr>
      </w:pPr>
      <w:r>
        <w:rPr>
          <w:rFonts w:hint="eastAsia" w:hAnsi="宋体" w:cs="宋体"/>
          <w:b/>
          <w:bCs/>
          <w:color w:val="auto"/>
          <w:sz w:val="30"/>
          <w:szCs w:val="30"/>
          <w:highlight w:val="none"/>
          <w:lang w:val="en-US" w:eastAsia="zh-CN"/>
        </w:rPr>
        <w:t>二零二四年六月</w:t>
      </w:r>
    </w:p>
    <w:p>
      <w:pPr>
        <w:spacing w:after="156" w:afterLines="5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特别提示</w:t>
      </w:r>
    </w:p>
    <w:p>
      <w:pPr>
        <w:spacing w:line="5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各</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，在此我们特别提醒您注意以下事项：</w:t>
      </w:r>
    </w:p>
    <w:p>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一、有关投标文件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1.请您仔细阅读招标文件并正确理解招标文件中各项具体要求。如您对招标文件有疑问，请在招标文件规定的时间内以书面形式提出，逾期将被拒绝受理。</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2.请您严格按照招标文件载明的投标文件的格式要求编制投标文件，投标文件须胶装成册。</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3.请您仔细核对您的投标文件是否已按照招标文件的要求签字、签章和加盖单位公章，您的实质性条款是否满足招标文件要求，您的投标文件中所附资格证明等资料是否齐全、有效且是否满足招标文件要求。</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4.请您按照招标文件要求密封投标文件，并正确标记。</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提示：您的投标文件若不满足以上条件将有被否决的风险。</w:t>
      </w:r>
    </w:p>
    <w:p>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二、关于弃标的说明</w:t>
      </w:r>
    </w:p>
    <w:p>
      <w:pPr>
        <w:spacing w:line="500" w:lineRule="exact"/>
        <w:ind w:firstLine="480" w:firstLineChars="200"/>
        <w:rPr>
          <w:rFonts w:hint="eastAsia" w:ascii="宋体" w:hAnsi="宋体" w:eastAsia="宋体" w:cs="宋体"/>
          <w:color w:val="auto"/>
          <w:szCs w:val="24"/>
          <w:highlight w:val="none"/>
        </w:rPr>
      </w:pP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登记免费领取采购文件的，如不参与本项目投标，应在递交投标（或响应）文件截止时间前一日以书面形式告知采购代理机构。否则，采购代理机构可以向财政部门反映情况并提供相应的佐证。</w:t>
      </w: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一年内累计出现三次该情形，将被监管部门记录为失信行为。</w:t>
      </w:r>
    </w:p>
    <w:p>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三、关于</w:t>
      </w: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注册登记提醒</w:t>
      </w:r>
    </w:p>
    <w:p>
      <w:pPr>
        <w:spacing w:line="50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根据陕西省财政厅关于政府采购</w:t>
      </w: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注册登记有关事项的通知，如所投本项目的</w:t>
      </w: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未在陕西省政府采购网（http://www.ccgp-shaanxi.gov.cn/）注册登记加入陕西省政府采购</w:t>
      </w: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库的，应按要求及时办理注册登记，并接受财政部门监督管理。</w:t>
      </w:r>
    </w:p>
    <w:p>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四、关于线上操作流程：</w:t>
      </w:r>
    </w:p>
    <w:p>
      <w:pPr>
        <w:pStyle w:val="43"/>
        <w:spacing w:line="500" w:lineRule="atLeast"/>
        <w:ind w:firstLine="480" w:firstLineChars="200"/>
        <w:jc w:val="both"/>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1.</w:t>
      </w:r>
      <w:r>
        <w:rPr>
          <w:rFonts w:hint="eastAsia" w:ascii="宋体" w:hAnsi="宋体" w:eastAsia="宋体" w:cs="宋体"/>
          <w:color w:val="auto"/>
          <w:szCs w:val="24"/>
          <w:highlight w:val="none"/>
        </w:rPr>
        <w:t>办理CA锁。(类别：政府采购项目，</w:t>
      </w:r>
      <w:r>
        <w:rPr>
          <w:rFonts w:hint="eastAsia" w:ascii="宋体" w:hAnsi="宋体" w:eastAsia="宋体" w:cs="宋体"/>
          <w:b/>
          <w:bCs/>
          <w:color w:val="auto"/>
          <w:szCs w:val="24"/>
          <w:highlight w:val="none"/>
        </w:rPr>
        <w:t>咨询电话：400-636-9888  029-88661267 88661266</w:t>
      </w:r>
      <w:r>
        <w:rPr>
          <w:rFonts w:hint="eastAsia" w:ascii="宋体" w:hAnsi="宋体" w:eastAsia="宋体" w:cs="宋体"/>
          <w:color w:val="auto"/>
          <w:szCs w:val="24"/>
          <w:highlight w:val="none"/>
        </w:rPr>
        <w:t>）；</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2.网上报名：在陕西省西咸新区公共资源交易中心平台（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）进行报名；</w:t>
      </w:r>
    </w:p>
    <w:p>
      <w:pPr>
        <w:spacing w:line="500" w:lineRule="exact"/>
        <w:ind w:firstLine="480" w:firstLineChars="200"/>
        <w:rPr>
          <w:rFonts w:hint="eastAsia" w:ascii="宋体" w:hAnsi="宋体" w:eastAsia="宋体" w:cs="宋体"/>
          <w:color w:val="auto"/>
          <w:szCs w:val="24"/>
          <w:highlight w:val="none"/>
        </w:rPr>
        <w:sectPr>
          <w:footerReference r:id="rId9" w:type="default"/>
          <w:pgSz w:w="11906" w:h="16838"/>
          <w:pgMar w:top="1417" w:right="1134" w:bottom="1417" w:left="1418" w:header="851" w:footer="992" w:gutter="0"/>
          <w:pgNumType w:fmt="decimal" w:start="1"/>
          <w:cols w:space="720" w:num="1"/>
          <w:docGrid w:type="linesAndChars" w:linePitch="312" w:charSpace="0"/>
        </w:sectPr>
      </w:pPr>
      <w:r>
        <w:rPr>
          <w:rFonts w:hint="eastAsia" w:ascii="宋体" w:hAnsi="宋体" w:eastAsia="宋体" w:cs="宋体"/>
          <w:color w:val="auto"/>
          <w:szCs w:val="24"/>
          <w:highlight w:val="none"/>
        </w:rPr>
        <w:t>3.下载招标文件：</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在报名确认后登陆陕西省西咸新区公共资源交易中心平台</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 xml:space="preserve">）下载招标文件； </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应于提交投标文件截止时间前任意时段登录交易平台〖首页〉电子交易平台〉企业端〗在线提交电子投标文件，逾期提交系统将拒绝接收。</w:t>
      </w:r>
    </w:p>
    <w:p>
      <w:pPr>
        <w:spacing w:line="50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5.本项目采用“不见面”开标形式，</w:t>
      </w: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可登录交易平台〖首页〉不见面开标〗在线完成开评标过程，详见交易平台〖首页〉服务指南〉下载专区〗中的《西咸新区公共资源交易不见面开标大厅政府采购</w:t>
      </w: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操作手册》；</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如需申请电子保函、投标贷、中标贷业务，可通过CA锁登录西咸新区公共资源交易系统或直接通过西咸新区公共资源交易中心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"http://xxxq.sxggzyjy.cn/wblj/009001/jyxtlogin.html登录金融服务平台进行，具体操作详见相关操作规程。"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http://xxxq.sxggzyjy.cn/wblj/009001/jyxtlogin.html登录金融服务平台进行，具体操作详见相关操作规程。</w:t>
      </w:r>
      <w:r>
        <w:rPr>
          <w:rFonts w:hint="eastAsia" w:ascii="宋体" w:hAnsi="宋体" w:eastAsia="宋体" w:cs="宋体"/>
          <w:color w:val="auto"/>
          <w:szCs w:val="24"/>
          <w:highlight w:val="none"/>
        </w:rPr>
        <w:fldChar w:fldCharType="end"/>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7.如需申请保险类电子保函业务，可通过CA锁登录西咸新区公共资源交易系统（http://xxxq.sxggzyjy.cn/wblj/009001/jyxtlogin.html）或直接通过西咸新区公共资源交易金融服务平台</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（http://www.xqggzyjy.cn：8081/financeplatform-html/index.html?type=3）登录进行保险类电子保函申请业务，具体操作详见相关操作规程。</w:t>
      </w:r>
    </w:p>
    <w:p>
      <w:pPr>
        <w:spacing w:line="50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备注：系统咨询电话</w:t>
      </w:r>
      <w:r>
        <w:rPr>
          <w:rFonts w:hint="eastAsia" w:ascii="宋体" w:hAnsi="宋体" w:eastAsia="宋体" w:cs="宋体"/>
          <w:b/>
          <w:color w:val="auto"/>
          <w:szCs w:val="24"/>
          <w:highlight w:val="none"/>
        </w:rPr>
        <w:t>400-928-0095。</w:t>
      </w:r>
    </w:p>
    <w:p>
      <w:pPr>
        <w:spacing w:before="156" w:beforeLines="50" w:line="360" w:lineRule="auto"/>
        <w:ind w:firstLine="480"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请各投标单位仔细阅读上述提示。如需帮助，请您与我们的工作人员联系，我们将非常高兴为您服务。</w:t>
      </w:r>
    </w:p>
    <w:p>
      <w:pPr>
        <w:pStyle w:val="11"/>
        <w:rPr>
          <w:rFonts w:hint="eastAsia" w:ascii="宋体" w:hAnsi="宋体" w:eastAsia="宋体" w:cs="宋体"/>
          <w:color w:val="auto"/>
          <w:highlight w:val="none"/>
        </w:rPr>
      </w:pPr>
    </w:p>
    <w:p>
      <w:pPr>
        <w:spacing w:before="156" w:beforeLines="50" w:line="360" w:lineRule="auto"/>
        <w:jc w:val="center"/>
        <w:rPr>
          <w:rFonts w:hint="eastAsia" w:ascii="宋体" w:hAnsi="宋体" w:eastAsia="宋体" w:cs="宋体"/>
          <w:b/>
          <w:color w:val="auto"/>
          <w:sz w:val="48"/>
          <w:szCs w:val="48"/>
          <w:highlight w:val="none"/>
        </w:rPr>
        <w:sectPr>
          <w:footerReference r:id="rId10" w:type="default"/>
          <w:pgSz w:w="11906" w:h="16838"/>
          <w:pgMar w:top="1417" w:right="1134" w:bottom="1417" w:left="1418" w:header="851" w:footer="992" w:gutter="0"/>
          <w:pgNumType w:fmt="decimal" w:start="1"/>
          <w:cols w:space="720" w:num="1"/>
          <w:docGrid w:type="linesAndChars" w:linePitch="312" w:charSpace="0"/>
        </w:sectPr>
      </w:pPr>
    </w:p>
    <w:p>
      <w:pPr>
        <w:spacing w:before="156" w:beforeLines="50"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bookmarkStart w:id="1" w:name="_Toc20652"/>
      <w:bookmarkStart w:id="2" w:name="_Toc426457691"/>
      <w:bookmarkStart w:id="3" w:name="_Toc19886"/>
      <w:bookmarkStart w:id="4" w:name="_Toc16218"/>
      <w:bookmarkStart w:id="5" w:name="_Toc21518"/>
      <w:bookmarkStart w:id="6" w:name="_Toc5293"/>
      <w:bookmarkStart w:id="7" w:name="_Toc389582033"/>
      <w:bookmarkStart w:id="8" w:name="_Toc20858"/>
      <w:bookmarkStart w:id="9" w:name="_Toc403077638"/>
      <w:bookmarkStart w:id="10" w:name="_Toc363473971"/>
      <w:bookmarkStart w:id="11" w:name="_Toc363474016"/>
    </w:p>
    <w:p>
      <w:pPr>
        <w:pStyle w:val="11"/>
        <w:rPr>
          <w:rFonts w:hint="eastAsia" w:ascii="宋体" w:hAnsi="宋体" w:eastAsia="宋体" w:cs="宋体"/>
          <w:color w:val="auto"/>
          <w:highlight w:val="none"/>
        </w:rPr>
      </w:pPr>
    </w:p>
    <w:p>
      <w:pPr>
        <w:pStyle w:val="20"/>
        <w:tabs>
          <w:tab w:val="right" w:leader="dot" w:pos="9354"/>
          <w:tab w:val="clear" w:pos="1418"/>
          <w:tab w:val="clear" w:pos="8302"/>
        </w:tabs>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"_Toc5588"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30"/>
          <w:szCs w:val="30"/>
          <w:highlight w:val="none"/>
        </w:rPr>
        <w:t>第一章  招标公告</w:t>
      </w:r>
      <w:r>
        <w:rPr>
          <w:rFonts w:hint="eastAsia" w:ascii="宋体" w:hAnsi="宋体" w:eastAsia="宋体" w:cs="宋体"/>
          <w:color w:val="auto"/>
          <w:sz w:val="30"/>
          <w:szCs w:val="30"/>
          <w:highlight w:val="none"/>
        </w:rPr>
        <w:tab/>
      </w:r>
      <w:r>
        <w:rPr>
          <w:rFonts w:hint="eastAsia" w:hAnsi="宋体" w:cs="宋体"/>
          <w:color w:val="auto"/>
          <w:sz w:val="30"/>
          <w:szCs w:val="30"/>
          <w:highlight w:val="none"/>
          <w:lang w:val="en-US" w:eastAsia="zh-CN"/>
        </w:rPr>
        <w:t>2</w:t>
      </w:r>
      <w:r>
        <w:rPr>
          <w:rFonts w:hint="eastAsia" w:ascii="宋体" w:hAnsi="宋体" w:eastAsia="宋体" w:cs="宋体"/>
          <w:color w:val="auto"/>
          <w:sz w:val="30"/>
          <w:szCs w:val="30"/>
          <w:highlight w:val="none"/>
        </w:rPr>
        <w:fldChar w:fldCharType="end"/>
      </w:r>
    </w:p>
    <w:p>
      <w:pPr>
        <w:pStyle w:val="20"/>
        <w:tabs>
          <w:tab w:val="right" w:leader="dot" w:pos="9354"/>
          <w:tab w:val="clear" w:pos="1418"/>
          <w:tab w:val="clear" w:pos="8302"/>
        </w:tabs>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"_Toc10788"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 w:val="30"/>
          <w:szCs w:val="30"/>
          <w:highlight w:val="none"/>
        </w:rPr>
        <w:t xml:space="preserve">第二章  </w:t>
      </w:r>
      <w:r>
        <w:rPr>
          <w:rFonts w:hint="eastAsia" w:hAnsi="宋体" w:cs="宋体"/>
          <w:color w:val="auto"/>
          <w:kern w:val="2"/>
          <w:sz w:val="30"/>
          <w:szCs w:val="30"/>
          <w:highlight w:val="none"/>
          <w:lang w:eastAsia="zh-CN"/>
        </w:rPr>
        <w:t>投标人</w:t>
      </w:r>
      <w:r>
        <w:rPr>
          <w:rFonts w:hint="eastAsia" w:ascii="宋体" w:hAnsi="宋体" w:eastAsia="宋体" w:cs="宋体"/>
          <w:color w:val="auto"/>
          <w:kern w:val="2"/>
          <w:sz w:val="30"/>
          <w:szCs w:val="30"/>
          <w:highlight w:val="none"/>
        </w:rPr>
        <w:t>须知</w:t>
      </w:r>
      <w:r>
        <w:rPr>
          <w:rFonts w:hint="eastAsia" w:ascii="宋体" w:hAnsi="宋体" w:eastAsia="宋体" w:cs="宋体"/>
          <w:color w:val="auto"/>
          <w:sz w:val="30"/>
          <w:szCs w:val="30"/>
          <w:highlight w:val="none"/>
        </w:rPr>
        <w:tab/>
      </w:r>
      <w:r>
        <w:rPr>
          <w:rFonts w:hint="eastAsia" w:hAnsi="宋体" w:cs="宋体"/>
          <w:color w:val="auto"/>
          <w:sz w:val="30"/>
          <w:szCs w:val="30"/>
          <w:highlight w:val="none"/>
          <w:lang w:val="en-US" w:eastAsia="zh-CN"/>
        </w:rPr>
        <w:t>7</w:t>
      </w:r>
      <w:r>
        <w:rPr>
          <w:rFonts w:hint="eastAsia" w:ascii="宋体" w:hAnsi="宋体" w:eastAsia="宋体" w:cs="宋体"/>
          <w:color w:val="auto"/>
          <w:sz w:val="30"/>
          <w:szCs w:val="30"/>
          <w:highlight w:val="none"/>
        </w:rPr>
        <w:fldChar w:fldCharType="end"/>
      </w:r>
    </w:p>
    <w:p>
      <w:pPr>
        <w:pStyle w:val="20"/>
        <w:tabs>
          <w:tab w:val="right" w:leader="dot" w:pos="9354"/>
          <w:tab w:val="clear" w:pos="1418"/>
          <w:tab w:val="clear" w:pos="8302"/>
        </w:tabs>
        <w:rPr>
          <w:rFonts w:hint="eastAsia" w:ascii="宋体" w:hAnsi="宋体" w:eastAsia="宋体" w:cs="宋体"/>
          <w:color w:val="auto"/>
          <w:sz w:val="30"/>
          <w:szCs w:val="30"/>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"_Toc1849"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第三章  合同条款及格式</w:t>
      </w:r>
      <w:r>
        <w:rPr>
          <w:rFonts w:hint="eastAsia" w:ascii="宋体" w:hAnsi="宋体" w:eastAsia="宋体" w:cs="宋体"/>
          <w:color w:val="auto"/>
          <w:sz w:val="30"/>
          <w:szCs w:val="30"/>
          <w:highlight w:val="none"/>
        </w:rPr>
        <w:tab/>
      </w:r>
      <w:r>
        <w:rPr>
          <w:rFonts w:hint="eastAsia" w:hAnsi="宋体" w:cs="宋体"/>
          <w:color w:val="auto"/>
          <w:sz w:val="30"/>
          <w:szCs w:val="30"/>
          <w:highlight w:val="none"/>
          <w:lang w:val="en-US" w:eastAsia="zh-CN"/>
        </w:rPr>
        <w:t>2</w:t>
      </w:r>
      <w:r>
        <w:rPr>
          <w:rFonts w:hint="eastAsia" w:ascii="宋体" w:hAnsi="宋体" w:eastAsia="宋体" w:cs="宋体"/>
          <w:color w:val="auto"/>
          <w:sz w:val="30"/>
          <w:szCs w:val="30"/>
          <w:highlight w:val="none"/>
        </w:rPr>
        <w:fldChar w:fldCharType="end"/>
      </w:r>
      <w:r>
        <w:rPr>
          <w:rFonts w:hint="eastAsia" w:hAnsi="宋体" w:cs="宋体"/>
          <w:color w:val="auto"/>
          <w:sz w:val="30"/>
          <w:szCs w:val="30"/>
          <w:highlight w:val="none"/>
          <w:lang w:val="en-US" w:eastAsia="zh-CN"/>
        </w:rPr>
        <w:t>7</w:t>
      </w:r>
    </w:p>
    <w:p>
      <w:pPr>
        <w:pStyle w:val="20"/>
        <w:tabs>
          <w:tab w:val="right" w:leader="dot" w:pos="9354"/>
          <w:tab w:val="clear" w:pos="1418"/>
          <w:tab w:val="clear" w:pos="8302"/>
        </w:tabs>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"_Toc26142"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 w:val="30"/>
          <w:szCs w:val="30"/>
          <w:highlight w:val="none"/>
        </w:rPr>
        <w:t>第四章  采购内容及技术要求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_Toc26142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w:t>
      </w:r>
      <w:r>
        <w:rPr>
          <w:rFonts w:hint="eastAsia" w:hAnsi="宋体" w:cs="宋体"/>
          <w:color w:val="auto"/>
          <w:sz w:val="30"/>
          <w:szCs w:val="30"/>
          <w:highlight w:val="none"/>
          <w:lang w:val="en-US" w:eastAsia="zh-CN"/>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354"/>
          <w:tab w:val="clear" w:pos="1418"/>
          <w:tab w:val="clear" w:pos="8302"/>
        </w:tabs>
        <w:rPr>
          <w:rFonts w:hint="eastAsia" w:ascii="宋体" w:hAnsi="宋体" w:eastAsia="宋体" w:cs="宋体"/>
          <w:color w:val="auto"/>
          <w:sz w:val="30"/>
          <w:szCs w:val="30"/>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"_Toc23149"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第五章  评标方法</w:t>
      </w:r>
      <w:r>
        <w:rPr>
          <w:rFonts w:hint="eastAsia" w:ascii="宋体" w:hAnsi="宋体" w:eastAsia="宋体" w:cs="宋体"/>
          <w:color w:val="auto"/>
          <w:sz w:val="30"/>
          <w:szCs w:val="30"/>
          <w:highlight w:val="none"/>
        </w:rPr>
        <w:tab/>
      </w:r>
      <w:r>
        <w:rPr>
          <w:rFonts w:hint="eastAsia" w:hAnsi="宋体" w:cs="宋体"/>
          <w:color w:val="auto"/>
          <w:sz w:val="30"/>
          <w:szCs w:val="30"/>
          <w:highlight w:val="none"/>
          <w:lang w:val="en-US" w:eastAsia="zh-CN"/>
        </w:rPr>
        <w:t>8</w:t>
      </w:r>
      <w:r>
        <w:rPr>
          <w:rFonts w:hint="eastAsia" w:ascii="宋体" w:hAnsi="宋体" w:eastAsia="宋体" w:cs="宋体"/>
          <w:color w:val="auto"/>
          <w:sz w:val="30"/>
          <w:szCs w:val="30"/>
          <w:highlight w:val="none"/>
        </w:rPr>
        <w:fldChar w:fldCharType="end"/>
      </w:r>
      <w:r>
        <w:rPr>
          <w:rFonts w:hint="eastAsia" w:hAnsi="宋体" w:cs="宋体"/>
          <w:color w:val="auto"/>
          <w:sz w:val="30"/>
          <w:szCs w:val="30"/>
          <w:highlight w:val="none"/>
          <w:lang w:val="en-US" w:eastAsia="zh-CN"/>
        </w:rPr>
        <w:t>0</w:t>
      </w:r>
    </w:p>
    <w:p>
      <w:pPr>
        <w:pStyle w:val="20"/>
        <w:tabs>
          <w:tab w:val="right" w:leader="dot" w:pos="9354"/>
          <w:tab w:val="clear" w:pos="1418"/>
          <w:tab w:val="clear" w:pos="8302"/>
        </w:tabs>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"_Toc12343"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30"/>
          <w:szCs w:val="30"/>
          <w:highlight w:val="none"/>
        </w:rPr>
        <w:t>第六章  投标文件构成及格式</w:t>
      </w:r>
      <w:r>
        <w:rPr>
          <w:rFonts w:hint="eastAsia" w:ascii="宋体" w:hAnsi="宋体" w:eastAsia="宋体" w:cs="宋体"/>
          <w:color w:val="auto"/>
          <w:sz w:val="30"/>
          <w:szCs w:val="30"/>
          <w:highlight w:val="none"/>
        </w:rPr>
        <w:tab/>
      </w:r>
      <w:r>
        <w:rPr>
          <w:rFonts w:hint="eastAsia" w:hAnsi="宋体" w:cs="宋体"/>
          <w:color w:val="auto"/>
          <w:sz w:val="30"/>
          <w:szCs w:val="30"/>
          <w:highlight w:val="none"/>
          <w:lang w:val="en-US" w:eastAsia="zh-CN"/>
        </w:rPr>
        <w:t>9</w:t>
      </w:r>
      <w:r>
        <w:rPr>
          <w:rFonts w:hint="eastAsia" w:ascii="宋体" w:hAnsi="宋体" w:eastAsia="宋体" w:cs="宋体"/>
          <w:color w:val="auto"/>
          <w:sz w:val="30"/>
          <w:szCs w:val="30"/>
          <w:highlight w:val="none"/>
        </w:rPr>
        <w:fldChar w:fldCharType="end"/>
      </w:r>
      <w:r>
        <w:rPr>
          <w:rFonts w:hint="eastAsia" w:hAnsi="宋体" w:cs="宋体"/>
          <w:color w:val="auto"/>
          <w:sz w:val="30"/>
          <w:szCs w:val="30"/>
          <w:highlight w:val="none"/>
          <w:lang w:val="en-US" w:eastAsia="zh-CN"/>
        </w:rPr>
        <w:t>2</w:t>
      </w:r>
    </w:p>
    <w:p>
      <w:pPr>
        <w:pStyle w:val="11"/>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1"/>
    <w:bookmarkEnd w:id="2"/>
    <w:bookmarkEnd w:id="3"/>
    <w:bookmarkEnd w:id="4"/>
    <w:bookmarkEnd w:id="5"/>
    <w:bookmarkEnd w:id="6"/>
    <w:bookmarkEnd w:id="7"/>
    <w:bookmarkEnd w:id="8"/>
    <w:p>
      <w:pPr>
        <w:pStyle w:val="3"/>
        <w:keepNext w:val="0"/>
        <w:keepLines/>
        <w:pageBreakBefore/>
        <w:spacing w:before="156" w:beforeLines="50" w:after="156" w:afterLines="50" w:line="460" w:lineRule="exact"/>
        <w:jc w:val="center"/>
        <w:rPr>
          <w:rFonts w:hint="eastAsia" w:ascii="宋体" w:hAnsi="宋体" w:eastAsia="宋体" w:cs="宋体"/>
          <w:bCs/>
          <w:color w:val="auto"/>
          <w:sz w:val="36"/>
          <w:szCs w:val="36"/>
          <w:highlight w:val="none"/>
        </w:rPr>
      </w:pPr>
      <w:bookmarkStart w:id="12" w:name="_Toc12169"/>
      <w:bookmarkStart w:id="13" w:name="_Toc423973071"/>
      <w:bookmarkStart w:id="14" w:name="_Toc27420"/>
      <w:bookmarkStart w:id="15" w:name="_Toc5588"/>
      <w:bookmarkStart w:id="16" w:name="_Toc18062"/>
      <w:r>
        <w:rPr>
          <w:rFonts w:hint="eastAsia" w:ascii="宋体" w:hAnsi="宋体" w:eastAsia="宋体" w:cs="宋体"/>
          <w:bCs/>
          <w:color w:val="auto"/>
          <w:sz w:val="36"/>
          <w:szCs w:val="36"/>
          <w:highlight w:val="none"/>
        </w:rPr>
        <w:t xml:space="preserve">第一章  </w:t>
      </w:r>
      <w:bookmarkStart w:id="59" w:name="_GoBack"/>
      <w:r>
        <w:rPr>
          <w:rFonts w:hint="eastAsia" w:ascii="宋体" w:hAnsi="宋体" w:eastAsia="宋体" w:cs="宋体"/>
          <w:bCs/>
          <w:color w:val="auto"/>
          <w:sz w:val="36"/>
          <w:szCs w:val="36"/>
          <w:highlight w:val="none"/>
        </w:rPr>
        <w:t>招标公告</w:t>
      </w:r>
      <w:bookmarkEnd w:id="12"/>
      <w:bookmarkEnd w:id="13"/>
      <w:bookmarkEnd w:id="14"/>
      <w:bookmarkEnd w:id="15"/>
      <w:bookmarkEnd w:id="16"/>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hd w:val="clear" w:color="auto" w:fill="FFFFFF"/>
              <w:spacing w:line="5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项目概况</w:t>
            </w:r>
          </w:p>
          <w:p>
            <w:pPr>
              <w:widowControl/>
              <w:spacing w:line="540" w:lineRule="exact"/>
              <w:ind w:firstLine="720" w:firstLineChars="300"/>
              <w:textAlignment w:val="baseline"/>
              <w:rPr>
                <w:rFonts w:hint="eastAsia" w:ascii="宋体" w:hAnsi="宋体" w:eastAsia="宋体" w:cs="宋体"/>
                <w:color w:val="auto"/>
                <w:szCs w:val="24"/>
                <w:highlight w:val="none"/>
              </w:rPr>
            </w:pPr>
            <w:r>
              <w:rPr>
                <w:rFonts w:hint="eastAsia" w:hAnsi="宋体" w:cs="宋体"/>
                <w:b w:val="0"/>
                <w:bCs w:val="0"/>
                <w:color w:val="auto"/>
                <w:kern w:val="2"/>
                <w:sz w:val="24"/>
                <w:szCs w:val="24"/>
                <w:highlight w:val="none"/>
                <w:lang w:val="en-US" w:eastAsia="zh-CN" w:bidi="ar-SA"/>
              </w:rPr>
              <w:t>西咸新区泾河新城第四小学2024年设备续采项目</w:t>
            </w:r>
            <w:r>
              <w:rPr>
                <w:rFonts w:hint="eastAsia" w:ascii="宋体" w:hAnsi="宋体" w:eastAsia="宋体" w:cs="宋体"/>
                <w:b w:val="0"/>
                <w:bCs w:val="0"/>
                <w:color w:val="auto"/>
                <w:kern w:val="2"/>
                <w:sz w:val="24"/>
                <w:szCs w:val="24"/>
                <w:highlight w:val="none"/>
                <w:lang w:val="en-US" w:eastAsia="zh-CN" w:bidi="ar-SA"/>
              </w:rPr>
              <w:t>的潜在</w:t>
            </w:r>
            <w:r>
              <w:rPr>
                <w:rFonts w:hint="eastAsia" w:hAnsi="宋体" w:cs="宋体"/>
                <w:b w:val="0"/>
                <w:bCs w:val="0"/>
                <w:color w:val="auto"/>
                <w:kern w:val="2"/>
                <w:sz w:val="24"/>
                <w:szCs w:val="24"/>
                <w:highlight w:val="none"/>
                <w:lang w:val="en-US" w:eastAsia="zh-CN" w:bidi="ar-SA"/>
              </w:rPr>
              <w:t>投标人</w:t>
            </w:r>
            <w:r>
              <w:rPr>
                <w:rFonts w:hint="eastAsia" w:ascii="宋体" w:hAnsi="宋体" w:eastAsia="宋体" w:cs="宋体"/>
                <w:b w:val="0"/>
                <w:bCs w:val="0"/>
                <w:color w:val="auto"/>
                <w:kern w:val="2"/>
                <w:sz w:val="24"/>
                <w:szCs w:val="24"/>
                <w:highlight w:val="none"/>
                <w:lang w:val="en-US" w:eastAsia="zh-CN" w:bidi="ar-SA"/>
              </w:rPr>
              <w:t>可在全国公共资源交易平台（陕西省·西咸新区）（http://xxxq.sxggzyjy.cn/）自行下载获取招标文件，并于2024年</w:t>
            </w:r>
            <w:r>
              <w:rPr>
                <w:rFonts w:hint="eastAsia"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16</w:t>
            </w:r>
            <w:r>
              <w:rPr>
                <w:rFonts w:hint="eastAsia" w:ascii="宋体" w:hAnsi="宋体" w:eastAsia="宋体" w:cs="宋体"/>
                <w:b w:val="0"/>
                <w:bCs w:val="0"/>
                <w:color w:val="auto"/>
                <w:kern w:val="2"/>
                <w:sz w:val="24"/>
                <w:szCs w:val="24"/>
                <w:highlight w:val="none"/>
                <w:lang w:val="en-US" w:eastAsia="zh-CN" w:bidi="ar-SA"/>
              </w:rPr>
              <w:t>日 09 时 30 分（北京时间）前递交投标文件。</w:t>
            </w:r>
          </w:p>
        </w:tc>
      </w:tr>
    </w:tbl>
    <w:p>
      <w:pPr>
        <w:widowControl/>
        <w:shd w:val="clear" w:color="auto" w:fill="FFFFFF"/>
        <w:spacing w:line="5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一、项目基本情况</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1.项目编号：</w:t>
      </w:r>
      <w:r>
        <w:rPr>
          <w:rFonts w:hint="eastAsia" w:hAnsi="宋体" w:cs="宋体"/>
          <w:b w:val="0"/>
          <w:bCs w:val="0"/>
          <w:color w:val="auto"/>
          <w:kern w:val="2"/>
          <w:sz w:val="24"/>
          <w:szCs w:val="24"/>
          <w:lang w:val="en-US" w:eastAsia="zh-CN" w:bidi="ar-SA"/>
        </w:rPr>
        <w:t>TWZB2024-058</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2.项目名称：</w:t>
      </w:r>
      <w:r>
        <w:rPr>
          <w:rFonts w:hint="eastAsia" w:hAnsi="宋体" w:cs="宋体"/>
          <w:b w:val="0"/>
          <w:bCs w:val="0"/>
          <w:color w:val="auto"/>
          <w:kern w:val="2"/>
          <w:sz w:val="24"/>
          <w:szCs w:val="24"/>
          <w:lang w:val="en-US" w:eastAsia="zh-CN" w:bidi="ar-SA"/>
        </w:rPr>
        <w:t xml:space="preserve">西咸新区泾河新城第四小学2024年设备续采项目 </w:t>
      </w:r>
      <w:r>
        <w:rPr>
          <w:rFonts w:hint="eastAsia" w:ascii="宋体" w:hAnsi="宋体" w:eastAsia="宋体" w:cs="宋体"/>
          <w:b w:val="0"/>
          <w:bCs w:val="0"/>
          <w:color w:val="auto"/>
          <w:kern w:val="2"/>
          <w:sz w:val="24"/>
          <w:szCs w:val="24"/>
          <w:lang w:val="en-US" w:eastAsia="zh-CN" w:bidi="ar-SA"/>
        </w:rPr>
        <w:t xml:space="preserve"> </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3.采购方式：公开招标</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lang w:val="en-US" w:eastAsia="zh-CN" w:bidi="ar-SA"/>
        </w:rPr>
        <w:t>4.预算金额</w:t>
      </w:r>
      <w:r>
        <w:rPr>
          <w:rFonts w:hint="eastAsia" w:ascii="宋体" w:hAnsi="宋体" w:eastAsia="宋体" w:cs="宋体"/>
          <w:b w:val="0"/>
          <w:bCs w:val="0"/>
          <w:color w:val="auto"/>
          <w:kern w:val="2"/>
          <w:sz w:val="24"/>
          <w:szCs w:val="24"/>
          <w:highlight w:val="none"/>
          <w:lang w:val="en-US" w:eastAsia="zh-CN" w:bidi="ar-SA"/>
        </w:rPr>
        <w:t>：</w:t>
      </w:r>
      <w:r>
        <w:rPr>
          <w:rFonts w:hint="eastAsia" w:hAnsi="宋体" w:cs="宋体"/>
          <w:b w:val="0"/>
          <w:bCs w:val="0"/>
          <w:color w:val="auto"/>
          <w:kern w:val="2"/>
          <w:sz w:val="24"/>
          <w:szCs w:val="24"/>
          <w:highlight w:val="none"/>
          <w:lang w:val="en-US" w:eastAsia="zh-CN" w:bidi="ar-SA"/>
        </w:rPr>
        <w:t>1090000.00元</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5.采购需求：</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（1）合同包1(</w:t>
      </w:r>
      <w:r>
        <w:rPr>
          <w:rFonts w:hint="eastAsia" w:hAnsi="宋体" w:cs="宋体"/>
          <w:b w:val="0"/>
          <w:bCs w:val="0"/>
          <w:color w:val="auto"/>
          <w:kern w:val="2"/>
          <w:sz w:val="24"/>
          <w:szCs w:val="24"/>
          <w:highlight w:val="none"/>
          <w:lang w:val="en-US" w:eastAsia="zh-CN" w:bidi="ar-SA"/>
        </w:rPr>
        <w:t>西咸新区泾河新城第四小学2024年设备续采项目</w:t>
      </w:r>
      <w:r>
        <w:rPr>
          <w:rFonts w:hint="eastAsia" w:ascii="宋体" w:hAnsi="宋体" w:eastAsia="宋体" w:cs="宋体"/>
          <w:b w:val="0"/>
          <w:bCs w:val="0"/>
          <w:color w:val="auto"/>
          <w:kern w:val="2"/>
          <w:sz w:val="24"/>
          <w:szCs w:val="24"/>
          <w:highlight w:val="none"/>
          <w:lang w:val="en-US" w:eastAsia="zh-CN" w:bidi="ar-SA"/>
        </w:rPr>
        <w:t>)：</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合同包预算金额：</w:t>
      </w:r>
      <w:r>
        <w:rPr>
          <w:rFonts w:hint="eastAsia" w:hAnsi="宋体" w:cs="宋体"/>
          <w:b w:val="0"/>
          <w:bCs w:val="0"/>
          <w:color w:val="auto"/>
          <w:kern w:val="2"/>
          <w:sz w:val="24"/>
          <w:szCs w:val="24"/>
          <w:highlight w:val="none"/>
          <w:lang w:val="en-US" w:eastAsia="zh-CN" w:bidi="ar-SA"/>
        </w:rPr>
        <w:t>1090000.00元</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合同包最高限价：</w:t>
      </w:r>
      <w:r>
        <w:rPr>
          <w:rFonts w:hint="eastAsia" w:hAnsi="宋体" w:cs="宋体"/>
          <w:color w:val="auto"/>
          <w:szCs w:val="24"/>
          <w:highlight w:val="none"/>
          <w:lang w:eastAsia="zh-CN"/>
        </w:rPr>
        <w:t>10</w:t>
      </w:r>
      <w:r>
        <w:rPr>
          <w:rFonts w:hint="eastAsia" w:hAnsi="宋体" w:cs="宋体"/>
          <w:color w:val="auto"/>
          <w:szCs w:val="24"/>
          <w:highlight w:val="none"/>
          <w:lang w:val="en-US" w:eastAsia="zh-CN"/>
        </w:rPr>
        <w:t>9</w:t>
      </w:r>
      <w:r>
        <w:rPr>
          <w:rFonts w:hint="eastAsia" w:hAnsi="宋体" w:cs="宋体"/>
          <w:color w:val="auto"/>
          <w:szCs w:val="24"/>
          <w:highlight w:val="none"/>
          <w:lang w:eastAsia="zh-CN"/>
        </w:rPr>
        <w:t>0000.00</w:t>
      </w:r>
      <w:r>
        <w:rPr>
          <w:rFonts w:hint="eastAsia" w:hAnsi="宋体" w:cs="宋体"/>
          <w:b w:val="0"/>
          <w:bCs w:val="0"/>
          <w:color w:val="auto"/>
          <w:kern w:val="2"/>
          <w:sz w:val="24"/>
          <w:szCs w:val="24"/>
          <w:highlight w:val="none"/>
          <w:lang w:val="en-US" w:eastAsia="zh-CN" w:bidi="ar-SA"/>
        </w:rPr>
        <w:t>元</w:t>
      </w:r>
    </w:p>
    <w:tbl>
      <w:tblPr>
        <w:tblStyle w:val="25"/>
        <w:tblW w:w="5329" w:type="pct"/>
        <w:tblInd w:w="0" w:type="dxa"/>
        <w:tblLayout w:type="fixed"/>
        <w:tblCellMar>
          <w:top w:w="0" w:type="dxa"/>
          <w:left w:w="0" w:type="dxa"/>
          <w:bottom w:w="0" w:type="dxa"/>
          <w:right w:w="0" w:type="dxa"/>
        </w:tblCellMar>
      </w:tblPr>
      <w:tblGrid>
        <w:gridCol w:w="971"/>
        <w:gridCol w:w="1280"/>
        <w:gridCol w:w="1552"/>
        <w:gridCol w:w="1182"/>
        <w:gridCol w:w="1743"/>
        <w:gridCol w:w="1544"/>
        <w:gridCol w:w="1653"/>
      </w:tblGrid>
      <w:tr>
        <w:tblPrEx>
          <w:tblCellMar>
            <w:top w:w="0" w:type="dxa"/>
            <w:left w:w="0" w:type="dxa"/>
            <w:bottom w:w="0" w:type="dxa"/>
            <w:right w:w="0" w:type="dxa"/>
          </w:tblCellMar>
        </w:tblPrEx>
        <w:trPr>
          <w:trHeight w:val="728" w:hRule="atLeast"/>
          <w:tblHeader/>
        </w:trPr>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品目号</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品目名称</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采购标的</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数量</w:t>
            </w:r>
          </w:p>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（单位）</w:t>
            </w:r>
          </w:p>
        </w:tc>
        <w:tc>
          <w:tcPr>
            <w:tcW w:w="1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技术规格、参数及要求</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品目预算</w:t>
            </w:r>
          </w:p>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(元)</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最高限价(元)</w:t>
            </w:r>
          </w:p>
        </w:tc>
      </w:tr>
      <w:tr>
        <w:tblPrEx>
          <w:tblCellMar>
            <w:top w:w="0" w:type="dxa"/>
            <w:left w:w="0" w:type="dxa"/>
            <w:bottom w:w="0" w:type="dxa"/>
            <w:right w:w="0" w:type="dxa"/>
          </w:tblCellMar>
        </w:tblPrEx>
        <w:trPr>
          <w:trHeight w:val="480" w:hRule="atLeast"/>
        </w:trPr>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其他办公设备</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西咸新区泾河新城第四小学2024年设备续采项目</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批</w:t>
            </w:r>
            <w:r>
              <w:rPr>
                <w:rFonts w:hint="eastAsia" w:ascii="宋体" w:hAnsi="宋体" w:eastAsia="宋体" w:cs="宋体"/>
                <w:color w:val="auto"/>
                <w:szCs w:val="24"/>
                <w:highlight w:val="none"/>
              </w:rPr>
              <w:t>)</w:t>
            </w:r>
          </w:p>
        </w:tc>
        <w:tc>
          <w:tcPr>
            <w:tcW w:w="1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w:t>
            </w:r>
            <w:r>
              <w:rPr>
                <w:rFonts w:hint="eastAsia" w:ascii="宋体" w:hAnsi="宋体" w:eastAsia="宋体" w:cs="宋体"/>
                <w:color w:val="auto"/>
                <w:szCs w:val="24"/>
                <w:highlight w:val="none"/>
                <w:lang w:eastAsia="zh-CN"/>
              </w:rPr>
              <w:t>采购</w:t>
            </w:r>
            <w:r>
              <w:rPr>
                <w:rFonts w:hint="eastAsia" w:ascii="宋体" w:hAnsi="宋体" w:eastAsia="宋体" w:cs="宋体"/>
                <w:color w:val="auto"/>
                <w:szCs w:val="24"/>
                <w:highlight w:val="none"/>
              </w:rPr>
              <w:t>文件</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color w:val="auto"/>
                <w:szCs w:val="24"/>
                <w:highlight w:val="none"/>
                <w:lang w:val="en-US" w:eastAsia="zh-CN"/>
              </w:rPr>
            </w:pPr>
            <w:r>
              <w:rPr>
                <w:rFonts w:hint="eastAsia" w:hAnsi="宋体" w:cs="宋体"/>
                <w:b w:val="0"/>
                <w:bCs w:val="0"/>
                <w:color w:val="auto"/>
                <w:kern w:val="2"/>
                <w:sz w:val="24"/>
                <w:szCs w:val="24"/>
                <w:highlight w:val="none"/>
                <w:lang w:val="en-US" w:eastAsia="zh-CN" w:bidi="ar-SA"/>
              </w:rPr>
              <w:t>1090000.00</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10</w:t>
            </w:r>
            <w:r>
              <w:rPr>
                <w:rFonts w:hint="eastAsia" w:hAnsi="宋体" w:cs="宋体"/>
                <w:color w:val="auto"/>
                <w:szCs w:val="24"/>
                <w:highlight w:val="none"/>
                <w:lang w:val="en-US" w:eastAsia="zh-CN"/>
              </w:rPr>
              <w:t>9</w:t>
            </w:r>
            <w:r>
              <w:rPr>
                <w:rFonts w:hint="eastAsia" w:hAnsi="宋体" w:cs="宋体"/>
                <w:color w:val="auto"/>
                <w:szCs w:val="24"/>
                <w:highlight w:val="none"/>
                <w:lang w:eastAsia="zh-CN"/>
              </w:rPr>
              <w:t>0000.00</w:t>
            </w:r>
          </w:p>
        </w:tc>
      </w:tr>
    </w:tbl>
    <w:p>
      <w:pPr>
        <w:widowControl/>
        <w:spacing w:line="540" w:lineRule="exact"/>
        <w:ind w:firstLine="720" w:firstLineChars="300"/>
        <w:textAlignment w:val="baseline"/>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本合同包不接受联合体投标</w:t>
      </w:r>
    </w:p>
    <w:p>
      <w:pPr>
        <w:widowControl/>
        <w:spacing w:line="540" w:lineRule="exact"/>
        <w:ind w:firstLine="720" w:firstLineChars="300"/>
        <w:textAlignment w:val="baseline"/>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合同履行期限：自合同签订后</w:t>
      </w:r>
      <w:r>
        <w:rPr>
          <w:rFonts w:hint="eastAsia" w:hAnsi="宋体" w:cs="宋体"/>
          <w:b w:val="0"/>
          <w:bCs w:val="0"/>
          <w:color w:val="auto"/>
          <w:kern w:val="2"/>
          <w:sz w:val="24"/>
          <w:szCs w:val="24"/>
          <w:highlight w:val="none"/>
          <w:lang w:val="en-US" w:eastAsia="zh-CN" w:bidi="ar-SA"/>
        </w:rPr>
        <w:t>30日历日</w:t>
      </w:r>
      <w:r>
        <w:rPr>
          <w:rFonts w:hint="eastAsia" w:ascii="宋体" w:hAnsi="宋体" w:eastAsia="宋体" w:cs="宋体"/>
          <w:b w:val="0"/>
          <w:bCs w:val="0"/>
          <w:color w:val="auto"/>
          <w:kern w:val="2"/>
          <w:sz w:val="24"/>
          <w:szCs w:val="24"/>
          <w:highlight w:val="none"/>
          <w:lang w:val="en-US" w:eastAsia="zh-CN" w:bidi="ar-SA"/>
        </w:rPr>
        <w:t>（具体起止日期可随合同签订时间相应顺延）</w:t>
      </w:r>
    </w:p>
    <w:p>
      <w:pPr>
        <w:widowControl/>
        <w:shd w:val="clear" w:color="auto" w:fill="FFFFFF"/>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二、申请人的资格要求：</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1.满足《中华人民共和国政府采购法》第二十二条规定；</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2.落实政府采购政策需满足的资格要求：</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合同包1(</w:t>
      </w:r>
      <w:r>
        <w:rPr>
          <w:rFonts w:hint="eastAsia" w:hAnsi="宋体" w:cs="宋体"/>
          <w:color w:val="auto"/>
          <w:szCs w:val="24"/>
          <w:highlight w:val="none"/>
          <w:lang w:val="en-US" w:eastAsia="zh-CN"/>
        </w:rPr>
        <w:t>西咸新区泾河新城第四小学2024年设备续采项目</w:t>
      </w:r>
      <w:r>
        <w:rPr>
          <w:rFonts w:hint="eastAsia" w:ascii="宋体" w:hAnsi="宋体" w:eastAsia="宋体" w:cs="宋体"/>
          <w:color w:val="auto"/>
          <w:szCs w:val="24"/>
          <w:highlight w:val="none"/>
        </w:rPr>
        <w:t>)落实政府采购政策需满足的资格要求如下：</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（1）《政府采购促进中小企业发展管理办法》（财库〔2020〕46号）；</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（2）《财政部、司法部关于政府采购支持监狱企业发展有关问题的通知》（财库〔2014〕68号）；</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（3）《民政部、财政部、中国残疾人联合会关于促进残疾人就业政府采购政策的通知》（财库〔2017〕141号）；</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（4）《财政部办公厅关于政府采购进口产品管理有关问题的通知》（财办库[2008] 248号）；</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（5）《关于印发环境标志产品政府采购品目清单的通知》（财库〔2019〕18号）；</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（6）《关于印发节能产品政府采购品目清单的通知》（财库〔2019〕19号）；</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（7）《关于进一步加强政府绿色采购有关问题的通知》（陕财办采〔2021〕29号）</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（8）《财政部发展改革委生态环境部市场监管总局关于调整优化节能产品、环境标志产品 政府采购执行机制的通知》（财库〔2019〕9号）；</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（9）《陕西省财政厅关于加快推进我省中小企业政府采购信用融资工作的通知》 （陕财办 采〔2020〕15 号）；</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（10）《关于运用政府采购政策支持乡村产业振兴的通知》（财库〔2021〕19号）；</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（11）《关于深入开展政府采购脱贫地区农副产品工作推进乡村产业振兴的实施意见》的通 知（财库〔2021〕20号）；</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（12）《财政部关于进一步加大政府采购支持中小企业力度的通知》（财库〔2022〕19号）；</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（13）其他需要落实的政府采购政策（如有最新颁布的政府采购政策，按最新的文件执行）； </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3.本项目的特定资格要求：</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合同包1(</w:t>
      </w:r>
      <w:r>
        <w:rPr>
          <w:rFonts w:hint="eastAsia" w:hAnsi="宋体" w:cs="宋体"/>
          <w:color w:val="auto"/>
          <w:szCs w:val="24"/>
          <w:highlight w:val="none"/>
          <w:lang w:val="en-US" w:eastAsia="zh-CN"/>
        </w:rPr>
        <w:t>西咸新区泾河新城第四小学2024年设备续采项目</w:t>
      </w:r>
      <w:r>
        <w:rPr>
          <w:rFonts w:hint="eastAsia" w:ascii="宋体" w:hAnsi="宋体" w:eastAsia="宋体" w:cs="宋体"/>
          <w:color w:val="auto"/>
          <w:szCs w:val="24"/>
          <w:highlight w:val="none"/>
        </w:rPr>
        <w:t>)特定资格要求如下：</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hAnsi="宋体" w:cs="宋体"/>
          <w:b w:val="0"/>
          <w:bCs w:val="0"/>
          <w:color w:val="auto"/>
          <w:kern w:val="2"/>
          <w:sz w:val="24"/>
          <w:szCs w:val="24"/>
          <w:lang w:val="en-US" w:eastAsia="zh-CN" w:bidi="ar-SA"/>
        </w:rPr>
        <w:t>投标人</w:t>
      </w:r>
      <w:r>
        <w:rPr>
          <w:rFonts w:hint="eastAsia" w:ascii="宋体" w:hAnsi="宋体" w:eastAsia="宋体" w:cs="宋体"/>
          <w:b w:val="0"/>
          <w:bCs w:val="0"/>
          <w:color w:val="auto"/>
          <w:kern w:val="2"/>
          <w:sz w:val="24"/>
          <w:szCs w:val="24"/>
          <w:lang w:val="en-US" w:eastAsia="zh-CN" w:bidi="ar-SA"/>
        </w:rPr>
        <w:t>为合法注册的法人或其他组织或自然人，提供营业执照（或事业法人证）；自然人提供身份证明；</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（2）法定代表人授权书及被授权人身份证（法定代表人直接参与，须提供法定代表人身份证明）；</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b w:val="0"/>
          <w:bCs w:val="0"/>
          <w:color w:val="auto"/>
          <w:kern w:val="2"/>
          <w:sz w:val="24"/>
          <w:szCs w:val="24"/>
          <w:lang w:val="en-US" w:eastAsia="zh-CN" w:bidi="ar-SA"/>
        </w:rPr>
        <w:t>投标</w:t>
      </w:r>
      <w:r>
        <w:rPr>
          <w:rFonts w:hint="eastAsia" w:hAnsi="宋体" w:cs="宋体"/>
          <w:b w:val="0"/>
          <w:bCs w:val="0"/>
          <w:color w:val="auto"/>
          <w:kern w:val="2"/>
          <w:sz w:val="24"/>
          <w:szCs w:val="24"/>
          <w:lang w:val="en-US" w:eastAsia="zh-CN" w:bidi="ar-SA"/>
        </w:rPr>
        <w:t>投标人</w:t>
      </w:r>
      <w:r>
        <w:rPr>
          <w:rFonts w:hint="eastAsia" w:ascii="宋体" w:hAnsi="宋体" w:eastAsia="宋体" w:cs="宋体"/>
          <w:b w:val="0"/>
          <w:bCs w:val="0"/>
          <w:color w:val="auto"/>
          <w:kern w:val="2"/>
          <w:sz w:val="24"/>
          <w:szCs w:val="24"/>
          <w:lang w:val="en-US" w:eastAsia="zh-CN" w:bidi="ar-SA"/>
        </w:rPr>
        <w:t>不得为“信用中国”网站（www.creditchina.gov.cn）中列入失信被执行人和重大税收违法失信主体的</w:t>
      </w:r>
      <w:r>
        <w:rPr>
          <w:rFonts w:hint="eastAsia" w:hAnsi="宋体" w:cs="宋体"/>
          <w:b w:val="0"/>
          <w:bCs w:val="0"/>
          <w:color w:val="auto"/>
          <w:kern w:val="2"/>
          <w:sz w:val="24"/>
          <w:szCs w:val="24"/>
          <w:lang w:val="en-US" w:eastAsia="zh-CN" w:bidi="ar-SA"/>
        </w:rPr>
        <w:t>投标人</w:t>
      </w:r>
      <w:r>
        <w:rPr>
          <w:rFonts w:hint="eastAsia" w:ascii="宋体" w:hAnsi="宋体" w:eastAsia="宋体" w:cs="宋体"/>
          <w:b w:val="0"/>
          <w:bCs w:val="0"/>
          <w:color w:val="auto"/>
          <w:kern w:val="2"/>
          <w:sz w:val="24"/>
          <w:szCs w:val="24"/>
          <w:lang w:val="en-US" w:eastAsia="zh-CN" w:bidi="ar-SA"/>
        </w:rPr>
        <w:t>，不得为中国政府采购网（www.ccgp.gov.cn）政府采购严重违法失信行为记录名单中被财政部门禁止参加政府采购活动的</w:t>
      </w:r>
      <w:r>
        <w:rPr>
          <w:rFonts w:hint="eastAsia" w:hAnsi="宋体" w:cs="宋体"/>
          <w:b w:val="0"/>
          <w:bCs w:val="0"/>
          <w:color w:val="auto"/>
          <w:kern w:val="2"/>
          <w:sz w:val="24"/>
          <w:szCs w:val="24"/>
          <w:lang w:val="en-US" w:eastAsia="zh-CN" w:bidi="ar-SA"/>
        </w:rPr>
        <w:t>投标人</w:t>
      </w:r>
      <w:r>
        <w:rPr>
          <w:rFonts w:hint="eastAsia" w:ascii="宋体" w:hAnsi="宋体" w:eastAsia="宋体" w:cs="宋体"/>
          <w:b w:val="0"/>
          <w:bCs w:val="0"/>
          <w:color w:val="auto"/>
          <w:kern w:val="2"/>
          <w:sz w:val="24"/>
          <w:szCs w:val="24"/>
          <w:lang w:val="en-US" w:eastAsia="zh-CN" w:bidi="ar-SA"/>
        </w:rPr>
        <w:t>（代理机构在投标截止时间后查询）；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（4）单位负责人为同一人或者存在控股、管理关系的不同单位不得同时投标</w:t>
      </w:r>
      <w:r>
        <w:rPr>
          <w:rFonts w:hint="eastAsia" w:ascii="宋体" w:hAnsi="宋体" w:eastAsia="宋体" w:cs="宋体"/>
          <w:color w:val="auto"/>
          <w:sz w:val="24"/>
          <w:szCs w:val="24"/>
          <w:highlight w:val="none"/>
          <w:lang w:val="en-US" w:eastAsia="zh-CN"/>
        </w:rPr>
        <w:t>（提供</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企业关系关联承诺书</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（5）不接受联合体投标（提供非联合体承诺书）。</w:t>
      </w:r>
    </w:p>
    <w:p>
      <w:pPr>
        <w:widowControl/>
        <w:shd w:val="clear" w:color="auto" w:fill="FFFFFF"/>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三、获取招标文件</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lang w:val="en-US" w:eastAsia="zh-CN" w:bidi="ar-SA"/>
        </w:rPr>
        <w:t>时间：20</w:t>
      </w:r>
      <w:r>
        <w:rPr>
          <w:rFonts w:hint="eastAsia" w:ascii="宋体" w:hAnsi="宋体" w:eastAsia="宋体" w:cs="宋体"/>
          <w:b w:val="0"/>
          <w:bCs w:val="0"/>
          <w:color w:val="auto"/>
          <w:kern w:val="2"/>
          <w:sz w:val="24"/>
          <w:szCs w:val="24"/>
          <w:highlight w:val="none"/>
          <w:lang w:val="en-US" w:eastAsia="zh-CN" w:bidi="ar-SA"/>
        </w:rPr>
        <w:t>2</w:t>
      </w:r>
      <w:r>
        <w:rPr>
          <w:rFonts w:hint="eastAsia"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24</w:t>
      </w:r>
      <w:r>
        <w:rPr>
          <w:rFonts w:hint="eastAsia" w:ascii="宋体" w:hAnsi="宋体" w:eastAsia="宋体" w:cs="宋体"/>
          <w:b w:val="0"/>
          <w:bCs w:val="0"/>
          <w:color w:val="auto"/>
          <w:kern w:val="2"/>
          <w:sz w:val="24"/>
          <w:szCs w:val="24"/>
          <w:highlight w:val="none"/>
          <w:lang w:val="en-US" w:eastAsia="zh-CN" w:bidi="ar-SA"/>
        </w:rPr>
        <w:t>日至202</w:t>
      </w:r>
      <w:r>
        <w:rPr>
          <w:rFonts w:hint="eastAsia"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28</w:t>
      </w:r>
      <w:r>
        <w:rPr>
          <w:rFonts w:hint="eastAsia" w:ascii="宋体" w:hAnsi="宋体" w:eastAsia="宋体" w:cs="宋体"/>
          <w:b w:val="0"/>
          <w:bCs w:val="0"/>
          <w:color w:val="auto"/>
          <w:kern w:val="2"/>
          <w:sz w:val="24"/>
          <w:szCs w:val="24"/>
          <w:highlight w:val="none"/>
          <w:lang w:val="en-US" w:eastAsia="zh-CN" w:bidi="ar-SA"/>
        </w:rPr>
        <w:t>日，每天上午00:00:00至12:00:00，下午12:00:00至23:59:59（北京时间,法定节假日除外）</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途径：全国公共资源交易平台(陕西省·西咸新区) 自行下载</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方式：在线获取。</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售价：0元。</w:t>
      </w:r>
    </w:p>
    <w:p>
      <w:pPr>
        <w:widowControl/>
        <w:shd w:val="clear" w:color="auto" w:fill="FFFFFF"/>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四、提交投标文件截止时间、开标时间和地点</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时间：2024年</w:t>
      </w:r>
      <w:r>
        <w:rPr>
          <w:rFonts w:hint="eastAsia"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16</w:t>
      </w:r>
      <w:r>
        <w:rPr>
          <w:rFonts w:hint="eastAsia" w:ascii="宋体" w:hAnsi="宋体" w:eastAsia="宋体" w:cs="宋体"/>
          <w:b w:val="0"/>
          <w:bCs w:val="0"/>
          <w:color w:val="auto"/>
          <w:kern w:val="2"/>
          <w:sz w:val="24"/>
          <w:szCs w:val="24"/>
          <w:highlight w:val="none"/>
          <w:lang w:val="en-US" w:eastAsia="zh-CN" w:bidi="ar-SA"/>
        </w:rPr>
        <w:t>日 09 时 30 分00秒（北京时间）</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highlight w:val="none"/>
          <w:lang w:val="en-US" w:eastAsia="zh-CN" w:bidi="ar-SA"/>
        </w:rPr>
        <w:t>提交投标文件地点：全国公共资源交易平台（陕西</w:t>
      </w:r>
      <w:r>
        <w:rPr>
          <w:rFonts w:hint="eastAsia" w:ascii="宋体" w:hAnsi="宋体" w:eastAsia="宋体" w:cs="宋体"/>
          <w:b w:val="0"/>
          <w:bCs w:val="0"/>
          <w:color w:val="auto"/>
          <w:kern w:val="2"/>
          <w:sz w:val="24"/>
          <w:szCs w:val="24"/>
          <w:lang w:val="en-US" w:eastAsia="zh-CN" w:bidi="ar-SA"/>
        </w:rPr>
        <w:t>省.西咸新区）（http://xxxq.sxggzyjy.cn）网上递交</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highlight w:val="none"/>
        </w:rPr>
      </w:pPr>
      <w:r>
        <w:rPr>
          <w:rFonts w:hint="eastAsia" w:ascii="宋体" w:hAnsi="宋体" w:eastAsia="宋体" w:cs="宋体"/>
          <w:b w:val="0"/>
          <w:bCs w:val="0"/>
          <w:color w:val="auto"/>
          <w:kern w:val="2"/>
          <w:sz w:val="24"/>
          <w:szCs w:val="24"/>
          <w:lang w:val="en-US" w:eastAsia="zh-CN" w:bidi="ar-SA"/>
        </w:rPr>
        <w:t>开标地点：全国公共资源交易平台（陕西省.西咸新区）平台不见面开标大厅</w:t>
      </w:r>
    </w:p>
    <w:p>
      <w:pPr>
        <w:widowControl/>
        <w:shd w:val="clear" w:color="auto" w:fill="FFFFFF"/>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五、公告期限</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自本公告发布之日起5个工作日。</w:t>
      </w:r>
    </w:p>
    <w:p>
      <w:pPr>
        <w:widowControl/>
        <w:shd w:val="clear" w:color="auto" w:fill="FFFFFF"/>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六、其他补充事宜</w:t>
      </w:r>
    </w:p>
    <w:p>
      <w:pPr>
        <w:widowControl/>
        <w:shd w:val="clear" w:color="auto" w:fill="FFFFFF"/>
        <w:spacing w:line="520" w:lineRule="exact"/>
        <w:ind w:firstLine="482" w:firstLineChars="200"/>
        <w:textAlignment w:val="baseline"/>
        <w:rPr>
          <w:rFonts w:hint="eastAsia" w:ascii="宋体" w:hAnsi="宋体" w:eastAsia="宋体" w:cs="宋体"/>
          <w:b/>
          <w:color w:val="auto"/>
          <w:highlight w:val="none"/>
          <w:shd w:val="clear" w:color="auto" w:fill="FFFFFF"/>
          <w:lang w:eastAsia="zh-CN"/>
        </w:rPr>
      </w:pPr>
      <w:r>
        <w:rPr>
          <w:rFonts w:hint="eastAsia" w:ascii="宋体" w:hAnsi="宋体" w:eastAsia="宋体" w:cs="宋体"/>
          <w:b/>
          <w:color w:val="auto"/>
          <w:highlight w:val="none"/>
          <w:shd w:val="clear" w:color="auto" w:fill="FFFFFF"/>
        </w:rPr>
        <w:t>注：本项目</w:t>
      </w:r>
      <w:r>
        <w:rPr>
          <w:rFonts w:hint="eastAsia" w:ascii="宋体" w:hAnsi="宋体" w:eastAsia="宋体" w:cs="宋体"/>
          <w:b/>
          <w:color w:val="auto"/>
          <w:highlight w:val="none"/>
          <w:shd w:val="clear" w:color="auto" w:fill="FFFFFF"/>
          <w:lang w:eastAsia="zh-CN"/>
        </w:rPr>
        <w:t>非</w:t>
      </w:r>
      <w:r>
        <w:rPr>
          <w:rFonts w:hint="eastAsia" w:ascii="宋体" w:hAnsi="宋体" w:eastAsia="宋体" w:cs="宋体"/>
          <w:b/>
          <w:color w:val="auto"/>
          <w:highlight w:val="none"/>
          <w:shd w:val="clear" w:color="auto" w:fill="FFFFFF"/>
        </w:rPr>
        <w:t>专门面向中小企业采购</w:t>
      </w:r>
      <w:r>
        <w:rPr>
          <w:rFonts w:hint="eastAsia" w:ascii="宋体" w:hAnsi="宋体" w:eastAsia="宋体" w:cs="宋体"/>
          <w:b/>
          <w:color w:val="auto"/>
          <w:highlight w:val="none"/>
          <w:shd w:val="clear" w:color="auto" w:fill="FFFFFF"/>
          <w:lang w:eastAsia="zh-CN"/>
        </w:rPr>
        <w:t>。</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1、本项目为线上不见面开标，请于</w:t>
      </w:r>
      <w:r>
        <w:rPr>
          <w:rFonts w:hint="eastAsia" w:ascii="宋体" w:hAnsi="宋体" w:eastAsia="宋体" w:cs="宋体"/>
          <w:b w:val="0"/>
          <w:bCs w:val="0"/>
          <w:color w:val="auto"/>
          <w:kern w:val="2"/>
          <w:sz w:val="24"/>
          <w:szCs w:val="24"/>
          <w:highlight w:val="none"/>
          <w:lang w:val="en-US" w:eastAsia="zh-CN" w:bidi="ar-SA"/>
        </w:rPr>
        <w:t>2024年</w:t>
      </w:r>
      <w:r>
        <w:rPr>
          <w:rFonts w:hint="eastAsia"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16</w:t>
      </w:r>
      <w:r>
        <w:rPr>
          <w:rFonts w:hint="eastAsia" w:ascii="宋体" w:hAnsi="宋体" w:eastAsia="宋体" w:cs="宋体"/>
          <w:b w:val="0"/>
          <w:bCs w:val="0"/>
          <w:color w:val="auto"/>
          <w:kern w:val="2"/>
          <w:sz w:val="24"/>
          <w:szCs w:val="24"/>
          <w:highlight w:val="none"/>
          <w:lang w:val="en-US" w:eastAsia="zh-CN" w:bidi="ar-SA"/>
        </w:rPr>
        <w:t>日09时30分</w:t>
      </w:r>
      <w:r>
        <w:rPr>
          <w:rFonts w:hint="eastAsia" w:ascii="宋体" w:hAnsi="宋体" w:eastAsia="宋体" w:cs="宋体"/>
          <w:color w:val="auto"/>
          <w:szCs w:val="24"/>
          <w:highlight w:val="none"/>
          <w:lang w:val="en-US" w:eastAsia="zh-CN"/>
        </w:rPr>
        <w:t>前进入全国公共资源交易平台（陕西省.西咸新区）不见面开标系统。</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2、网上投标确认流程：登录全国公共资源交易平台（陕西省 西咸新区）（http://xxxq.sxggzyjy.cn/），选择“电子交易平台-陕西政府采购交易系统”进行登录，登录后选择“交易乙方”选择本项目选择“我要投标”填写相关信息后提交确认；</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3、获取招标文件方式：选择本项目点击“项目流程”进入采购文件下载页面，点击“交易文件下载”即可下载该项目发布的电子招标文件。投标</w:t>
      </w:r>
      <w:r>
        <w:rPr>
          <w:rFonts w:hint="eastAsia" w:hAnsi="宋体" w:cs="宋体"/>
          <w:color w:val="auto"/>
          <w:szCs w:val="24"/>
          <w:highlight w:val="none"/>
          <w:lang w:val="en-US" w:eastAsia="zh-CN"/>
        </w:rPr>
        <w:t>投标人</w:t>
      </w:r>
      <w:r>
        <w:rPr>
          <w:rFonts w:hint="eastAsia" w:ascii="宋体" w:hAnsi="宋体" w:eastAsia="宋体" w:cs="宋体"/>
          <w:color w:val="auto"/>
          <w:szCs w:val="24"/>
          <w:highlight w:val="none"/>
          <w:lang w:val="en-US" w:eastAsia="zh-CN"/>
        </w:rPr>
        <w:t>须在获取招标文件时限内（即发售时间内）登录陕西省西咸新区公共资源交易中心平台系统，下载招标文件。逾期下载通道将关闭，未及时下载招标文件将会影响后续开评标活动。</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4、投标</w:t>
      </w:r>
      <w:r>
        <w:rPr>
          <w:rFonts w:hint="eastAsia" w:hAnsi="宋体" w:cs="宋体"/>
          <w:color w:val="auto"/>
          <w:szCs w:val="24"/>
          <w:highlight w:val="none"/>
          <w:lang w:val="en-US" w:eastAsia="zh-CN"/>
        </w:rPr>
        <w:t>投标人</w:t>
      </w:r>
      <w:r>
        <w:rPr>
          <w:rFonts w:hint="eastAsia" w:ascii="宋体" w:hAnsi="宋体" w:eastAsia="宋体" w:cs="宋体"/>
          <w:color w:val="auto"/>
          <w:szCs w:val="24"/>
          <w:highlight w:val="none"/>
          <w:lang w:val="en-US" w:eastAsia="zh-CN"/>
        </w:rPr>
        <w:t>须按照陕西省财政厅《关于政府采购</w:t>
      </w:r>
      <w:r>
        <w:rPr>
          <w:rFonts w:hint="eastAsia" w:hAnsi="宋体" w:cs="宋体"/>
          <w:color w:val="auto"/>
          <w:szCs w:val="24"/>
          <w:highlight w:val="none"/>
          <w:lang w:val="en-US" w:eastAsia="zh-CN"/>
        </w:rPr>
        <w:t>投标人</w:t>
      </w:r>
      <w:r>
        <w:rPr>
          <w:rFonts w:hint="eastAsia" w:ascii="宋体" w:hAnsi="宋体" w:eastAsia="宋体" w:cs="宋体"/>
          <w:color w:val="auto"/>
          <w:szCs w:val="24"/>
          <w:highlight w:val="none"/>
          <w:lang w:val="en-US" w:eastAsia="zh-CN"/>
        </w:rPr>
        <w:t>注册登记有关事项的通知》中的要求，通过陕西省政府采购网（http://www.ccgp-shaanxi.gov.cn/）注册登记加入陕西省政府采购</w:t>
      </w:r>
      <w:r>
        <w:rPr>
          <w:rFonts w:hint="eastAsia" w:hAnsi="宋体" w:cs="宋体"/>
          <w:color w:val="auto"/>
          <w:szCs w:val="24"/>
          <w:highlight w:val="none"/>
          <w:lang w:val="en-US" w:eastAsia="zh-CN"/>
        </w:rPr>
        <w:t>投标人</w:t>
      </w:r>
      <w:r>
        <w:rPr>
          <w:rFonts w:hint="eastAsia" w:ascii="宋体" w:hAnsi="宋体" w:eastAsia="宋体" w:cs="宋体"/>
          <w:color w:val="auto"/>
          <w:szCs w:val="24"/>
          <w:highlight w:val="none"/>
          <w:lang w:val="en-US" w:eastAsia="zh-CN"/>
        </w:rPr>
        <w:t>库。</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5、办理CA锁方式：</w:t>
      </w:r>
      <w:r>
        <w:rPr>
          <w:rFonts w:hint="eastAsia" w:hAnsi="宋体" w:cs="宋体"/>
          <w:color w:val="auto"/>
          <w:szCs w:val="24"/>
          <w:highlight w:val="none"/>
          <w:lang w:val="en-US" w:eastAsia="zh-CN"/>
        </w:rPr>
        <w:t>投标人</w:t>
      </w:r>
      <w:r>
        <w:rPr>
          <w:rFonts w:hint="eastAsia" w:ascii="宋体" w:hAnsi="宋体" w:eastAsia="宋体" w:cs="宋体"/>
          <w:color w:val="auto"/>
          <w:szCs w:val="24"/>
          <w:highlight w:val="none"/>
          <w:lang w:val="en-US" w:eastAsia="zh-CN"/>
        </w:rPr>
        <w:t>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本次招标采用“不见面开标”方式。“不见面开标大厅”登录方式：全国公共资源交易平台（陕西省西咸新区）-电子交易平台-西咸新区公共资源交易平台不见面开标系统。电子响应文件在截止时间前签章加密上传至全国公共资源交易平台（陕西省西咸新区）。关于使用不见面开标方式的相关事项详见“http://xxxq.sxggzyjy.cn/xwzx/002002/20210721/d7421699-e891-4f40-b441-dccc415e05b3.html”内容。</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7、根据《关于全面推行政府采购</w:t>
      </w:r>
      <w:r>
        <w:rPr>
          <w:rFonts w:hint="eastAsia" w:hAnsi="宋体" w:cs="宋体"/>
          <w:color w:val="auto"/>
          <w:szCs w:val="24"/>
          <w:highlight w:val="none"/>
          <w:lang w:val="en-US" w:eastAsia="zh-CN"/>
        </w:rPr>
        <w:t>投标人</w:t>
      </w:r>
      <w:r>
        <w:rPr>
          <w:rFonts w:hint="eastAsia" w:ascii="宋体" w:hAnsi="宋体" w:eastAsia="宋体" w:cs="宋体"/>
          <w:color w:val="auto"/>
          <w:szCs w:val="24"/>
          <w:highlight w:val="none"/>
          <w:lang w:val="en-US" w:eastAsia="zh-CN"/>
        </w:rPr>
        <w:t>基本资格条件承诺制的通知》（陕西咸财金发〔2023〕119号）的有关规定，本项目对《中华人民共和国政府采购法实施条例》第十七条第一款第（二）项、第（三）项、第（四）项要求提供的有关材料进行简化。</w:t>
      </w:r>
      <w:r>
        <w:rPr>
          <w:rFonts w:hint="eastAsia" w:hAnsi="宋体" w:cs="宋体"/>
          <w:color w:val="auto"/>
          <w:szCs w:val="24"/>
          <w:highlight w:val="none"/>
          <w:lang w:val="en-US" w:eastAsia="zh-CN"/>
        </w:rPr>
        <w:t>投标人</w:t>
      </w:r>
      <w:r>
        <w:rPr>
          <w:rFonts w:hint="eastAsia" w:ascii="宋体" w:hAnsi="宋体" w:eastAsia="宋体" w:cs="宋体"/>
          <w:color w:val="auto"/>
          <w:szCs w:val="24"/>
          <w:highlight w:val="none"/>
          <w:lang w:val="en-US" w:eastAsia="zh-CN"/>
        </w:rPr>
        <w:t>参与本项目只需以书面形式提供规定格式的《基本资格条件承诺函》。</w:t>
      </w:r>
    </w:p>
    <w:p>
      <w:pPr>
        <w:widowControl/>
        <w:shd w:val="clear" w:color="auto" w:fill="FFFFFF"/>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七、对本次招标提出询问，请按以下方式联系。</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1.采购人信息：</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名称：</w:t>
      </w:r>
      <w:r>
        <w:rPr>
          <w:rFonts w:hint="eastAsia" w:hAnsi="宋体" w:cs="宋体"/>
          <w:color w:val="auto"/>
          <w:szCs w:val="24"/>
          <w:highlight w:val="none"/>
          <w:lang w:eastAsia="zh-CN"/>
        </w:rPr>
        <w:t>西咸新区泾河新城第四小学</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地址：</w:t>
      </w:r>
      <w:r>
        <w:rPr>
          <w:rFonts w:hint="eastAsia" w:hAnsi="宋体" w:cs="宋体"/>
          <w:color w:val="auto"/>
          <w:szCs w:val="24"/>
          <w:highlight w:val="none"/>
          <w:lang w:eastAsia="zh-CN"/>
        </w:rPr>
        <w:t xml:space="preserve">陕西省西咸新区泾河新城崇文镇摆渡村 </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联系方式：</w:t>
      </w:r>
      <w:r>
        <w:rPr>
          <w:rFonts w:hint="eastAsia" w:hAnsi="宋体" w:cs="宋体"/>
          <w:color w:val="auto"/>
          <w:szCs w:val="24"/>
          <w:highlight w:val="none"/>
          <w:lang w:eastAsia="zh-CN"/>
        </w:rPr>
        <w:t>029-36390988</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2.采购代理机构信息</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  称：陕西天沃工程项目管理有限公司</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联系人：</w:t>
      </w:r>
      <w:r>
        <w:rPr>
          <w:rFonts w:hint="eastAsia" w:hAnsi="宋体" w:cs="宋体"/>
          <w:color w:val="auto"/>
          <w:szCs w:val="24"/>
          <w:highlight w:val="none"/>
          <w:lang w:eastAsia="zh-CN"/>
        </w:rPr>
        <w:t>张工</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址：西安市经济开发区凤城十一路与文景路十字西北角文景广场C座1202室</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联系方式：029-68539602</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3.项目联系方式</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项目联系人：</w:t>
      </w:r>
      <w:r>
        <w:rPr>
          <w:rFonts w:hint="eastAsia" w:hAnsi="宋体" w:cs="宋体"/>
          <w:color w:val="auto"/>
          <w:szCs w:val="24"/>
          <w:highlight w:val="none"/>
          <w:lang w:eastAsia="zh-CN"/>
        </w:rPr>
        <w:t>张工</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电话：029-68539602</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p>
    <w:p>
      <w:pPr>
        <w:widowControl/>
        <w:shd w:val="clear" w:color="auto" w:fill="FFFFFF"/>
        <w:spacing w:line="360" w:lineRule="auto"/>
        <w:jc w:val="right"/>
        <w:textAlignment w:val="baseline"/>
        <w:rPr>
          <w:rFonts w:hint="eastAsia" w:ascii="宋体" w:hAnsi="宋体" w:eastAsia="宋体" w:cs="宋体"/>
          <w:color w:val="auto"/>
          <w:szCs w:val="24"/>
          <w:highlight w:val="none"/>
        </w:rPr>
      </w:pPr>
    </w:p>
    <w:p>
      <w:pPr>
        <w:widowControl/>
        <w:shd w:val="clear" w:color="auto" w:fill="FFFFFF"/>
        <w:spacing w:line="360" w:lineRule="auto"/>
        <w:jc w:val="right"/>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陕西天沃工程项目管理有限公司</w:t>
      </w:r>
    </w:p>
    <w:p>
      <w:pPr>
        <w:pStyle w:val="22"/>
        <w:spacing w:before="0" w:beforeAutospacing="0" w:after="0" w:afterAutospacing="0" w:line="440" w:lineRule="exact"/>
        <w:ind w:right="360" w:firstLine="420"/>
        <w:jc w:val="right"/>
        <w:rPr>
          <w:rFonts w:hint="eastAsia" w:ascii="宋体" w:hAnsi="宋体" w:eastAsia="宋体" w:cs="宋体"/>
          <w:color w:val="auto"/>
          <w:highlight w:val="yellow"/>
          <w:shd w:val="clear" w:color="auto" w:fill="FFFFFF"/>
        </w:rPr>
      </w:pPr>
      <w:r>
        <w:rPr>
          <w:rFonts w:hint="eastAsia" w:ascii="宋体" w:hAnsi="宋体" w:eastAsia="宋体" w:cs="宋体"/>
          <w:color w:val="auto"/>
          <w:highlight w:val="none"/>
        </w:rPr>
        <w:t>202</w:t>
      </w:r>
      <w:r>
        <w:rPr>
          <w:rFonts w:hint="eastAsia" w:cs="宋体"/>
          <w:color w:val="auto"/>
          <w:highlight w:val="none"/>
          <w:lang w:val="en-US" w:eastAsia="zh-CN"/>
        </w:rPr>
        <w:t>4</w:t>
      </w:r>
      <w:r>
        <w:rPr>
          <w:rFonts w:hint="eastAsia" w:ascii="宋体" w:hAnsi="宋体" w:eastAsia="宋体" w:cs="宋体"/>
          <w:color w:val="auto"/>
          <w:highlight w:val="none"/>
        </w:rPr>
        <w:t>年</w:t>
      </w:r>
      <w:r>
        <w:rPr>
          <w:rFonts w:hint="eastAsia" w:cs="宋体"/>
          <w:color w:val="auto"/>
          <w:highlight w:val="none"/>
          <w:lang w:val="en-US" w:eastAsia="zh-CN"/>
        </w:rPr>
        <w:t>6</w:t>
      </w:r>
      <w:r>
        <w:rPr>
          <w:rFonts w:hint="eastAsia" w:ascii="宋体" w:hAnsi="宋体" w:eastAsia="宋体" w:cs="宋体"/>
          <w:color w:val="auto"/>
          <w:highlight w:val="none"/>
        </w:rPr>
        <w:t>月</w:t>
      </w:r>
      <w:r>
        <w:rPr>
          <w:rFonts w:hint="eastAsia" w:cs="宋体"/>
          <w:color w:val="auto"/>
          <w:highlight w:val="none"/>
          <w:lang w:val="en-US" w:eastAsia="zh-CN"/>
        </w:rPr>
        <w:t>21</w:t>
      </w:r>
      <w:r>
        <w:rPr>
          <w:rFonts w:hint="eastAsia" w:ascii="宋体" w:hAnsi="宋体" w:eastAsia="宋体" w:cs="宋体"/>
          <w:color w:val="auto"/>
          <w:highlight w:val="none"/>
        </w:rPr>
        <w:t>日</w:t>
      </w:r>
    </w:p>
    <w:p>
      <w:pPr>
        <w:pStyle w:val="22"/>
        <w:spacing w:before="150" w:beforeAutospacing="0" w:after="0" w:afterAutospacing="0" w:line="460" w:lineRule="exact"/>
        <w:ind w:firstLine="482" w:firstLineChars="200"/>
        <w:jc w:val="both"/>
        <w:rPr>
          <w:rFonts w:hint="eastAsia" w:ascii="宋体" w:hAnsi="宋体" w:eastAsia="宋体" w:cs="宋体"/>
          <w:b/>
          <w:color w:val="auto"/>
          <w:highlight w:val="none"/>
        </w:rPr>
      </w:pPr>
    </w:p>
    <w:bookmarkEnd w:id="59"/>
    <w:p>
      <w:pPr>
        <w:jc w:val="center"/>
        <w:outlineLvl w:val="0"/>
        <w:rPr>
          <w:rFonts w:hint="eastAsia" w:ascii="宋体" w:hAnsi="宋体" w:eastAsia="宋体" w:cs="宋体"/>
          <w:b/>
          <w:color w:val="auto"/>
          <w:kern w:val="2"/>
          <w:sz w:val="36"/>
          <w:szCs w:val="36"/>
          <w:highlight w:val="none"/>
        </w:rPr>
      </w:pPr>
      <w:bookmarkStart w:id="17" w:name="_Toc2929"/>
      <w:bookmarkStart w:id="18" w:name="_Toc389582035"/>
      <w:bookmarkStart w:id="19" w:name="_Toc426457692"/>
      <w:bookmarkStart w:id="20" w:name="_Toc10788"/>
      <w:bookmarkStart w:id="21" w:name="_Toc21458"/>
      <w:bookmarkStart w:id="22" w:name="_Toc30304"/>
      <w:bookmarkStart w:id="23" w:name="_Toc1178"/>
    </w:p>
    <w:p>
      <w:pPr>
        <w:jc w:val="both"/>
        <w:outlineLvl w:val="0"/>
        <w:rPr>
          <w:rFonts w:hint="eastAsia" w:ascii="宋体" w:hAnsi="宋体" w:eastAsia="宋体" w:cs="宋体"/>
          <w:b/>
          <w:color w:val="auto"/>
          <w:kern w:val="2"/>
          <w:sz w:val="36"/>
          <w:szCs w:val="36"/>
          <w:highlight w:val="none"/>
        </w:rPr>
      </w:pPr>
    </w:p>
    <w:p>
      <w:pPr>
        <w:rPr>
          <w:rFonts w:hint="eastAsia" w:ascii="宋体" w:hAnsi="宋体" w:eastAsia="宋体" w:cs="宋体"/>
          <w:b/>
          <w:color w:val="auto"/>
          <w:kern w:val="2"/>
          <w:sz w:val="36"/>
          <w:szCs w:val="36"/>
          <w:highlight w:val="none"/>
        </w:rPr>
      </w:pPr>
      <w:r>
        <w:rPr>
          <w:rFonts w:hint="eastAsia" w:ascii="宋体" w:hAnsi="宋体" w:eastAsia="宋体" w:cs="宋体"/>
          <w:b/>
          <w:color w:val="auto"/>
          <w:kern w:val="2"/>
          <w:sz w:val="36"/>
          <w:szCs w:val="36"/>
          <w:highlight w:val="none"/>
        </w:rPr>
        <w:br w:type="page"/>
      </w:r>
    </w:p>
    <w:p>
      <w:pPr>
        <w:jc w:val="center"/>
        <w:outlineLvl w:val="0"/>
        <w:rPr>
          <w:rStyle w:val="44"/>
          <w:rFonts w:hint="eastAsia" w:ascii="宋体" w:hAnsi="宋体" w:eastAsia="宋体" w:cs="宋体"/>
          <w:color w:val="auto"/>
          <w:sz w:val="36"/>
          <w:szCs w:val="36"/>
          <w:highlight w:val="none"/>
        </w:rPr>
      </w:pPr>
      <w:r>
        <w:rPr>
          <w:rFonts w:hint="eastAsia" w:ascii="宋体" w:hAnsi="宋体" w:eastAsia="宋体" w:cs="宋体"/>
          <w:b/>
          <w:color w:val="auto"/>
          <w:kern w:val="2"/>
          <w:sz w:val="36"/>
          <w:szCs w:val="36"/>
          <w:highlight w:val="none"/>
        </w:rPr>
        <w:t xml:space="preserve">第二章  </w:t>
      </w:r>
      <w:bookmarkEnd w:id="17"/>
      <w:bookmarkEnd w:id="18"/>
      <w:r>
        <w:rPr>
          <w:rFonts w:hint="eastAsia" w:hAnsi="宋体" w:cs="宋体"/>
          <w:b/>
          <w:color w:val="auto"/>
          <w:kern w:val="2"/>
          <w:sz w:val="36"/>
          <w:szCs w:val="36"/>
          <w:highlight w:val="none"/>
          <w:lang w:eastAsia="zh-CN"/>
        </w:rPr>
        <w:t>投标人</w:t>
      </w:r>
      <w:r>
        <w:rPr>
          <w:rFonts w:hint="eastAsia" w:ascii="宋体" w:hAnsi="宋体" w:eastAsia="宋体" w:cs="宋体"/>
          <w:b/>
          <w:color w:val="auto"/>
          <w:kern w:val="2"/>
          <w:sz w:val="36"/>
          <w:szCs w:val="36"/>
          <w:highlight w:val="none"/>
        </w:rPr>
        <w:t>须知</w:t>
      </w:r>
      <w:bookmarkEnd w:id="19"/>
      <w:bookmarkEnd w:id="20"/>
      <w:bookmarkEnd w:id="21"/>
    </w:p>
    <w:bookmarkEnd w:id="22"/>
    <w:bookmarkEnd w:id="23"/>
    <w:p>
      <w:pPr>
        <w:pStyle w:val="4"/>
        <w:spacing w:before="120" w:after="120"/>
        <w:ind w:left="0"/>
        <w:jc w:val="center"/>
        <w:rPr>
          <w:rFonts w:hint="eastAsia" w:ascii="宋体" w:hAnsi="宋体" w:eastAsia="宋体" w:cs="宋体"/>
          <w:b/>
          <w:bCs w:val="0"/>
          <w:color w:val="auto"/>
          <w:sz w:val="32"/>
          <w:highlight w:val="none"/>
        </w:rPr>
      </w:pPr>
      <w:bookmarkStart w:id="24" w:name="_Toc426457693"/>
      <w:bookmarkStart w:id="25" w:name="_Toc23108"/>
      <w:bookmarkStart w:id="26" w:name="_Toc11975"/>
      <w:bookmarkStart w:id="27" w:name="_Toc30222"/>
      <w:bookmarkStart w:id="28" w:name="_Toc13232"/>
      <w:r>
        <w:rPr>
          <w:rFonts w:hint="eastAsia" w:ascii="宋体" w:hAnsi="宋体" w:cs="宋体"/>
          <w:b/>
          <w:bCs w:val="0"/>
          <w:color w:val="auto"/>
          <w:sz w:val="32"/>
          <w:highlight w:val="none"/>
          <w:lang w:eastAsia="zh-CN"/>
        </w:rPr>
        <w:t>投标人</w:t>
      </w:r>
      <w:r>
        <w:rPr>
          <w:rFonts w:hint="eastAsia" w:ascii="宋体" w:hAnsi="宋体" w:eastAsia="宋体" w:cs="宋体"/>
          <w:b/>
          <w:bCs w:val="0"/>
          <w:color w:val="auto"/>
          <w:sz w:val="32"/>
          <w:highlight w:val="none"/>
        </w:rPr>
        <w:t>须知前附表</w:t>
      </w:r>
      <w:bookmarkEnd w:id="24"/>
      <w:bookmarkEnd w:id="25"/>
      <w:bookmarkEnd w:id="26"/>
      <w:bookmarkEnd w:id="27"/>
      <w:bookmarkEnd w:id="28"/>
    </w:p>
    <w:tbl>
      <w:tblPr>
        <w:tblStyle w:val="2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5"/>
        <w:gridCol w:w="1533"/>
        <w:gridCol w:w="66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2" w:hRule="atLeast"/>
          <w:tblHeader/>
          <w:jc w:val="center"/>
        </w:trPr>
        <w:tc>
          <w:tcPr>
            <w:tcW w:w="528" w:type="pct"/>
            <w:vAlign w:val="center"/>
          </w:tcPr>
          <w:p>
            <w:pPr>
              <w:spacing w:before="163"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839" w:type="pct"/>
            <w:vAlign w:val="center"/>
          </w:tcPr>
          <w:p>
            <w:pPr>
              <w:spacing w:before="163"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条款内容提示</w:t>
            </w:r>
          </w:p>
        </w:tc>
        <w:tc>
          <w:tcPr>
            <w:tcW w:w="3632" w:type="pct"/>
            <w:vAlign w:val="center"/>
          </w:tcPr>
          <w:p>
            <w:pPr>
              <w:spacing w:before="163"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3632" w:type="pct"/>
          </w:tcPr>
          <w:p>
            <w:pPr>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hAnsi="宋体" w:cs="宋体"/>
                <w:color w:val="auto"/>
                <w:sz w:val="21"/>
                <w:szCs w:val="21"/>
                <w:highlight w:val="none"/>
                <w:lang w:eastAsia="zh-CN"/>
              </w:rPr>
              <w:t>西咸新区泾河新城第四小学</w:t>
            </w:r>
          </w:p>
          <w:p>
            <w:pPr>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hAnsi="宋体" w:cs="宋体"/>
                <w:color w:val="auto"/>
                <w:sz w:val="21"/>
                <w:szCs w:val="21"/>
                <w:highlight w:val="none"/>
                <w:lang w:eastAsia="zh-CN"/>
              </w:rPr>
              <w:t xml:space="preserve">陕西省西咸新区泾河新城崇文镇摆渡村 </w:t>
            </w:r>
          </w:p>
          <w:p>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eastAsia="zh-CN"/>
              </w:rPr>
              <w:t>陈老师</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  话：</w:t>
            </w:r>
            <w:r>
              <w:rPr>
                <w:rFonts w:hint="eastAsia" w:hAnsi="宋体" w:cs="宋体"/>
                <w:color w:val="auto"/>
                <w:sz w:val="21"/>
                <w:szCs w:val="21"/>
                <w:highlight w:val="none"/>
                <w:lang w:eastAsia="zh-CN"/>
              </w:rPr>
              <w:t>029-36390988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05"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3632" w:type="pct"/>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陕西天沃工程项目管理有限公司</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地址：西安市经济开发区凤城十一路与文景路十字西北角文景广场C座1202室</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eastAsia="zh-CN"/>
              </w:rPr>
              <w:t>张工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联系方式：029-68539602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3632" w:type="pct"/>
            <w:vAlign w:val="center"/>
          </w:tcPr>
          <w:p>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采购代理机构答疑的时间</w:t>
            </w:r>
          </w:p>
        </w:tc>
        <w:tc>
          <w:tcPr>
            <w:tcW w:w="3632" w:type="pct"/>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w:t>
            </w:r>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在规定时间内依法提出的询问和质疑，采购代理机构将在三个工作日内答复询问，七个工作日内答复质疑。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是否允许备选方案</w:t>
            </w:r>
          </w:p>
        </w:tc>
        <w:tc>
          <w:tcPr>
            <w:tcW w:w="3632" w:type="pct"/>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允许</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不允许。</w:t>
            </w:r>
            <w:r>
              <w:rPr>
                <w:rFonts w:hint="eastAsia" w:ascii="宋体" w:hAnsi="宋体" w:eastAsia="宋体" w:cs="宋体"/>
                <w:color w:val="auto"/>
                <w:sz w:val="21"/>
                <w:szCs w:val="21"/>
                <w:highlight w:val="none"/>
                <w:lang w:val="zh-CN"/>
              </w:rPr>
              <w:t>本项目不接受备选投标方案，投标文件的报价只允许有一个报价，不接受有任何选择或具有附加条件的报价，否则，在评标时将其视为无效投标。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本次投标的最小单元</w:t>
            </w:r>
          </w:p>
        </w:tc>
        <w:tc>
          <w:tcPr>
            <w:tcW w:w="3632" w:type="pct"/>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本次投标的最小单元为“项目全部内容”。任何不完全的投标将按照无效投标处理。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本次投标的最小单元为“标段”，</w:t>
            </w:r>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可对任一标段进行投标，但不能对各标段中的内容或者分项内容进行不完全投标。任何不完全的投标将按照无效投标处理。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3632" w:type="pct"/>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bookmarkStart w:id="29" w:name="OLE_LINK11"/>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应在投标报价表中标明完成本次招标所要求的货物、服务且验收合格的所有费用，包括但不限于运输费用、技术服务、培训、售后服务、采购代理服务费、税金等其他一切相关费用。投标报价表中标明本次服务的所有单项价格和总价，任何有选择的报价将不予接受，否则按无效投标处理。</w:t>
            </w:r>
            <w:bookmarkEnd w:id="29"/>
          </w:p>
          <w:p>
            <w:pPr>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所报的价格应考虑到可能发生的所有与完成本项目相关服务及履行合同义务有关的一切费用，任何有选择的报价将不予接受，按无效投标处理。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839" w:type="pct"/>
            <w:vAlign w:val="center"/>
          </w:tcPr>
          <w:p>
            <w:pPr>
              <w:spacing w:line="360" w:lineRule="auto"/>
              <w:jc w:val="center"/>
              <w:rPr>
                <w:rFonts w:hint="eastAsia" w:ascii="宋体" w:hAnsi="宋体" w:eastAsia="宋体" w:cs="宋体"/>
                <w:b/>
                <w:bCs/>
                <w:color w:val="auto"/>
                <w:sz w:val="21"/>
                <w:szCs w:val="21"/>
                <w:highlight w:val="none"/>
              </w:rPr>
            </w:pPr>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资格证明文件</w:t>
            </w:r>
          </w:p>
        </w:tc>
        <w:tc>
          <w:tcPr>
            <w:tcW w:w="3632" w:type="pct"/>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基本资格要求：</w:t>
            </w:r>
            <w:r>
              <w:rPr>
                <w:rFonts w:hint="eastAsia" w:ascii="宋体" w:hAnsi="宋体" w:eastAsia="宋体" w:cs="宋体"/>
                <w:b w:val="0"/>
                <w:bCs w:val="0"/>
                <w:sz w:val="21"/>
                <w:szCs w:val="21"/>
                <w:highlight w:val="none"/>
              </w:rPr>
              <w:t>满足《中华人民共和国政府釆购法》第二十二条规定</w:t>
            </w:r>
            <w:r>
              <w:rPr>
                <w:rFonts w:hint="eastAsia" w:ascii="宋体" w:hAnsi="宋体" w:eastAsia="宋体" w:cs="宋体"/>
                <w:b w:val="0"/>
                <w:bCs w:val="0"/>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提供《基本资格条件承诺函》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本项目的特定资格要求：</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为合法注册的法人或其他组织或自然人，提供营业执照（或事业法人证）；自然人提供身份证明；</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（2）法定代表人授权书及被授权人身份证（法定代表人直接参与，须提供法定代表人身份证明）；</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w:t>
            </w:r>
            <w:r>
              <w:rPr>
                <w:rFonts w:hint="eastAsia"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不得为“信用中国”网站（www.creditchina.gov.cn）中列入失信被执行人和重大税收违法失信主体的</w:t>
            </w:r>
            <w:r>
              <w:rPr>
                <w:rFonts w:hint="eastAsia"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，不得为中国政府采购网（www.ccgp.gov.cn）政府采购严重违法失信行为记录名单中被财政部门禁止参加政府采购活动的</w:t>
            </w:r>
            <w:r>
              <w:rPr>
                <w:rFonts w:hint="eastAsia" w:hAnsi="宋体" w:cs="宋体"/>
                <w:color w:val="auto"/>
                <w:kern w:val="2"/>
                <w:sz w:val="21"/>
                <w:szCs w:val="21"/>
                <w:highlight w:val="none"/>
                <w:lang w:val="en-US" w:eastAsia="zh-CN" w:bidi="ar-SA"/>
              </w:rPr>
              <w:t>投标人</w:t>
            </w:r>
            <w:r>
              <w:rPr>
                <w:rFonts w:hint="eastAsia" w:ascii="宋体" w:hAnsi="宋体" w:eastAsia="宋体" w:cs="宋体"/>
                <w:sz w:val="21"/>
                <w:szCs w:val="21"/>
                <w:highlight w:val="none"/>
                <w:lang w:val="en-US" w:eastAsia="zh-CN"/>
              </w:rPr>
              <w:t>（代理机构在投标截止时间后查询）</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（4）单位负责人为同一人或者存在控股、管理关系的不同单位不得同时投标（</w:t>
            </w:r>
            <w:r>
              <w:rPr>
                <w:rFonts w:hint="eastAsia" w:ascii="宋体" w:hAnsi="宋体" w:eastAsia="宋体" w:cs="宋体"/>
                <w:sz w:val="21"/>
                <w:szCs w:val="21"/>
                <w:highlight w:val="none"/>
                <w:lang w:val="en-US" w:eastAsia="zh-CN"/>
              </w:rPr>
              <w:t>提供</w:t>
            </w:r>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企业关系关联承诺书</w:t>
            </w:r>
            <w:r>
              <w:rPr>
                <w:rFonts w:hint="eastAsia" w:ascii="宋体" w:hAnsi="宋体" w:eastAsia="宋体" w:cs="宋体"/>
                <w:color w:val="auto"/>
                <w:kern w:val="2"/>
                <w:sz w:val="21"/>
                <w:szCs w:val="21"/>
                <w:highlight w:val="none"/>
                <w:lang w:val="en-US" w:eastAsia="zh-CN" w:bidi="ar-SA"/>
              </w:rPr>
              <w:t>）；</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（5）不接受联合体投标（提供非联合体承诺书）。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28" w:type="pct"/>
            <w:vAlign w:val="center"/>
          </w:tcPr>
          <w:p>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839" w:type="pct"/>
            <w:vAlign w:val="center"/>
          </w:tcPr>
          <w:p>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3632" w:type="pct"/>
          </w:tcPr>
          <w:p>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632" w:type="pct"/>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自投标文件递交截止之日起90天。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电子</w:t>
            </w:r>
            <w:r>
              <w:rPr>
                <w:rFonts w:hint="eastAsia" w:ascii="宋体" w:hAnsi="宋体" w:eastAsia="宋体" w:cs="宋体"/>
                <w:sz w:val="21"/>
                <w:szCs w:val="21"/>
                <w:lang w:val="en-US" w:eastAsia="zh-CN"/>
              </w:rPr>
              <w:t>投标</w:t>
            </w:r>
            <w:r>
              <w:rPr>
                <w:rFonts w:hint="eastAsia" w:ascii="宋体" w:hAnsi="宋体" w:eastAsia="宋体" w:cs="宋体"/>
                <w:sz w:val="21"/>
                <w:szCs w:val="21"/>
              </w:rPr>
              <w:t>文件和证明资料签字盖章和加密要求</w:t>
            </w:r>
          </w:p>
        </w:tc>
        <w:tc>
          <w:tcPr>
            <w:tcW w:w="3632" w:type="pct"/>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签字盖章要求： 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文件应按要求在相应位置加盖电子印章。由</w:t>
            </w:r>
            <w:r>
              <w:rPr>
                <w:rFonts w:hint="eastAsia"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的法定代表人签字并加盖电子印章的，应附法定代表人身份证明，由代理人签字并加盖电子印章的，应附由法定代表人签署的授权委托书。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加密要求：</w:t>
            </w:r>
            <w:r>
              <w:rPr>
                <w:rFonts w:hint="eastAsia" w:ascii="宋体" w:hAnsi="宋体" w:eastAsia="宋体" w:cs="宋体"/>
                <w:color w:val="auto"/>
                <w:sz w:val="21"/>
                <w:szCs w:val="21"/>
                <w:highlight w:val="none"/>
                <w:u w:val="single"/>
              </w:rPr>
              <w:t xml:space="preserve">  电子</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rPr>
              <w:t>文件应使用数字证书认证并加密</w:t>
            </w: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w:t>
            </w:r>
          </w:p>
        </w:tc>
        <w:tc>
          <w:tcPr>
            <w:tcW w:w="839"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投标文件</w:t>
            </w:r>
            <w:r>
              <w:rPr>
                <w:rFonts w:hint="eastAsia" w:ascii="宋体" w:hAnsi="宋体" w:eastAsia="宋体" w:cs="宋体"/>
                <w:sz w:val="21"/>
                <w:szCs w:val="21"/>
              </w:rPr>
              <w:t>份数</w:t>
            </w:r>
            <w:r>
              <w:rPr>
                <w:rFonts w:hint="eastAsia" w:ascii="宋体" w:hAnsi="宋体" w:eastAsia="宋体" w:cs="宋体"/>
                <w:sz w:val="21"/>
                <w:szCs w:val="21"/>
                <w:lang w:val="en-US" w:eastAsia="zh-CN"/>
              </w:rPr>
              <w:t>及纸质版装订要求</w:t>
            </w:r>
          </w:p>
        </w:tc>
        <w:tc>
          <w:tcPr>
            <w:tcW w:w="3632" w:type="pct"/>
          </w:tcPr>
          <w:p>
            <w:pPr>
              <w:pStyle w:val="14"/>
              <w:keepNext w:val="0"/>
              <w:keepLines w:val="0"/>
              <w:pageBreakBefore w:val="0"/>
              <w:kinsoku/>
              <w:wordWrap/>
              <w:overflowPunct/>
              <w:topLinePunct/>
              <w:autoSpaceDE/>
              <w:autoSpaceDN/>
              <w:bidi w:val="0"/>
              <w:adjustRightInd/>
              <w:spacing w:line="312"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val="0"/>
                <w:bCs w:val="0"/>
                <w:sz w:val="21"/>
                <w:szCs w:val="21"/>
                <w:highlight w:val="none"/>
                <w:lang w:val="en-US" w:eastAsia="zh-CN"/>
              </w:rPr>
              <w:t>1、纸质版</w:t>
            </w:r>
            <w:r>
              <w:rPr>
                <w:rFonts w:hint="eastAsia" w:ascii="宋体" w:hAnsi="宋体" w:eastAsia="宋体" w:cs="宋体"/>
                <w:b w:val="0"/>
                <w:bCs w:val="0"/>
                <w:sz w:val="21"/>
                <w:szCs w:val="21"/>
                <w:highlight w:val="none"/>
                <w:u w:val="single"/>
                <w:lang w:val="en-US" w:eastAsia="zh-CN"/>
              </w:rPr>
              <w:t xml:space="preserve"> 叁 </w:t>
            </w:r>
            <w:r>
              <w:rPr>
                <w:rFonts w:hint="eastAsia" w:ascii="宋体" w:hAnsi="宋体" w:eastAsia="宋体" w:cs="宋体"/>
                <w:b w:val="0"/>
                <w:bCs w:val="0"/>
                <w:sz w:val="21"/>
                <w:szCs w:val="21"/>
                <w:highlight w:val="none"/>
                <w:lang w:val="en-US" w:eastAsia="zh-CN"/>
              </w:rPr>
              <w:t>份（正本一份，副本两份），电子版（U盘）：</w:t>
            </w:r>
            <w:r>
              <w:rPr>
                <w:rFonts w:hint="eastAsia" w:ascii="宋体" w:hAnsi="宋体" w:eastAsia="宋体" w:cs="宋体"/>
                <w:b w:val="0"/>
                <w:bCs w:val="0"/>
                <w:sz w:val="21"/>
                <w:szCs w:val="21"/>
                <w:highlight w:val="none"/>
                <w:u w:val="single"/>
                <w:lang w:val="en-US" w:eastAsia="zh-CN"/>
              </w:rPr>
              <w:t xml:space="preserve"> 贰 </w:t>
            </w:r>
            <w:r>
              <w:rPr>
                <w:rFonts w:hint="eastAsia" w:ascii="宋体" w:hAnsi="宋体" w:eastAsia="宋体" w:cs="宋体"/>
                <w:b w:val="0"/>
                <w:bCs w:val="0"/>
                <w:sz w:val="21"/>
                <w:szCs w:val="21"/>
                <w:highlight w:val="none"/>
                <w:lang w:val="en-US" w:eastAsia="zh-CN"/>
              </w:rPr>
              <w:t>份，电子版文件须为使用编标工具软件编制并导出的签章版PDF，PDF文件中盖章的封面应彩色扫描。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每册均应采用A4版面，胶装方式，装订应牢固、不易拆散和换页，不得采用活页装订</w:t>
            </w:r>
            <w:r>
              <w:rPr>
                <w:rFonts w:hint="eastAsia" w:ascii="宋体" w:hAnsi="宋体" w:eastAsia="宋体" w:cs="宋体"/>
                <w:sz w:val="21"/>
                <w:szCs w:val="21"/>
                <w:highlight w:val="none"/>
                <w:lang w:eastAsia="zh-CN"/>
              </w:rPr>
              <w:t>。U盘应粘贴标签标注</w:t>
            </w:r>
            <w:r>
              <w:rPr>
                <w:rFonts w:hint="eastAsia" w:hAnsi="宋体" w:cs="宋体"/>
                <w:sz w:val="21"/>
                <w:szCs w:val="21"/>
                <w:highlight w:val="none"/>
                <w:lang w:val="en-US" w:eastAsia="zh-CN"/>
              </w:rPr>
              <w:t>投标人</w:t>
            </w:r>
            <w:r>
              <w:rPr>
                <w:rFonts w:hint="eastAsia" w:ascii="宋体" w:hAnsi="宋体" w:eastAsia="宋体" w:cs="宋体"/>
                <w:sz w:val="21"/>
                <w:szCs w:val="21"/>
                <w:highlight w:val="none"/>
                <w:lang w:eastAsia="zh-CN"/>
              </w:rPr>
              <w:t>名称和项目名称。</w:t>
            </w:r>
            <w:r>
              <w:rPr>
                <w:rFonts w:hint="eastAsia" w:ascii="宋体" w:hAnsi="宋体" w:eastAsia="宋体" w:cs="宋体"/>
                <w:b/>
                <w:bCs/>
                <w:sz w:val="21"/>
                <w:szCs w:val="21"/>
                <w:highlight w:val="none"/>
                <w:lang w:val="en-US" w:eastAsia="zh-CN"/>
              </w:rPr>
              <w:t>（中标结果公示期结束</w:t>
            </w:r>
            <w:r>
              <w:rPr>
                <w:rFonts w:hint="eastAsia" w:ascii="宋体" w:hAnsi="宋体" w:eastAsia="宋体" w:cs="宋体"/>
                <w:b/>
                <w:bCs/>
                <w:sz w:val="21"/>
                <w:szCs w:val="21"/>
                <w:highlight w:val="none"/>
              </w:rPr>
              <w:t>后，</w:t>
            </w:r>
            <w:r>
              <w:rPr>
                <w:rFonts w:hint="eastAsia" w:ascii="宋体" w:hAnsi="宋体" w:eastAsia="宋体" w:cs="宋体"/>
                <w:b/>
                <w:bCs/>
                <w:sz w:val="21"/>
                <w:szCs w:val="21"/>
                <w:highlight w:val="none"/>
                <w:lang w:val="en-US" w:eastAsia="zh-CN"/>
              </w:rPr>
              <w:t>中标单位</w:t>
            </w:r>
            <w:r>
              <w:rPr>
                <w:rFonts w:hint="eastAsia" w:ascii="宋体" w:hAnsi="宋体" w:eastAsia="宋体" w:cs="宋体"/>
                <w:b/>
                <w:bCs/>
                <w:sz w:val="21"/>
                <w:szCs w:val="21"/>
                <w:highlight w:val="none"/>
              </w:rPr>
              <w:t>无偿向</w:t>
            </w:r>
            <w:r>
              <w:rPr>
                <w:rFonts w:hint="eastAsia" w:ascii="宋体" w:hAnsi="宋体" w:eastAsia="宋体" w:cs="宋体"/>
                <w:b/>
                <w:bCs/>
                <w:sz w:val="21"/>
                <w:szCs w:val="21"/>
                <w:highlight w:val="none"/>
                <w:lang w:val="en-US" w:eastAsia="zh-CN"/>
              </w:rPr>
              <w:t>采购</w:t>
            </w:r>
            <w:r>
              <w:rPr>
                <w:rFonts w:hint="eastAsia" w:ascii="宋体" w:hAnsi="宋体" w:eastAsia="宋体" w:cs="宋体"/>
                <w:b/>
                <w:bCs/>
                <w:sz w:val="21"/>
                <w:szCs w:val="21"/>
                <w:highlight w:val="none"/>
              </w:rPr>
              <w:t>人</w:t>
            </w:r>
            <w:r>
              <w:rPr>
                <w:rFonts w:hint="eastAsia" w:ascii="宋体" w:hAnsi="宋体" w:eastAsia="宋体" w:cs="宋体"/>
                <w:b/>
                <w:bCs/>
                <w:sz w:val="21"/>
                <w:szCs w:val="21"/>
                <w:highlight w:val="none"/>
                <w:lang w:val="en-US" w:eastAsia="zh-CN"/>
              </w:rPr>
              <w:t>及采购代理机构</w:t>
            </w:r>
            <w:r>
              <w:rPr>
                <w:rFonts w:hint="eastAsia" w:ascii="宋体" w:hAnsi="宋体" w:eastAsia="宋体" w:cs="宋体"/>
                <w:b/>
                <w:bCs/>
                <w:sz w:val="21"/>
                <w:szCs w:val="21"/>
                <w:highlight w:val="none"/>
              </w:rPr>
              <w:t>提供</w:t>
            </w:r>
            <w:r>
              <w:rPr>
                <w:rFonts w:hint="eastAsia" w:ascii="宋体" w:hAnsi="宋体" w:eastAsia="宋体" w:cs="宋体"/>
                <w:b/>
                <w:bCs/>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p>
        </w:tc>
        <w:tc>
          <w:tcPr>
            <w:tcW w:w="3632" w:type="pct"/>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投标文件递交截止时间</w:t>
            </w:r>
            <w:bookmarkStart w:id="30" w:name="OLE_LINK12"/>
            <w:r>
              <w:rPr>
                <w:rFonts w:hint="eastAsia" w:ascii="宋体" w:hAnsi="宋体" w:eastAsia="宋体" w:cs="宋体"/>
                <w:color w:val="auto"/>
                <w:sz w:val="21"/>
                <w:szCs w:val="21"/>
                <w:highlight w:val="none"/>
              </w:rPr>
              <w:t>：</w:t>
            </w:r>
            <w:bookmarkEnd w:id="30"/>
            <w:r>
              <w:rPr>
                <w:rFonts w:hint="eastAsia" w:ascii="宋体" w:hAnsi="宋体" w:eastAsia="宋体" w:cs="宋体"/>
                <w:color w:val="auto"/>
                <w:sz w:val="21"/>
                <w:szCs w:val="21"/>
                <w:highlight w:val="none"/>
              </w:rPr>
              <w:t>详见招标公告。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投标文件递交地址：详见招标公告。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投标文件接收人：</w:t>
            </w:r>
            <w:r>
              <w:rPr>
                <w:rFonts w:hint="eastAsia" w:ascii="宋体" w:hAnsi="宋体" w:eastAsia="宋体" w:cs="宋体"/>
                <w:color w:val="auto"/>
                <w:sz w:val="21"/>
                <w:szCs w:val="21"/>
                <w:highlight w:val="none"/>
                <w:lang w:eastAsia="zh-CN"/>
              </w:rPr>
              <w:t>陕西天沃工程项目管理有限公司</w:t>
            </w:r>
            <w:r>
              <w:rPr>
                <w:rFonts w:hint="eastAsia" w:ascii="宋体" w:hAnsi="宋体" w:eastAsia="宋体" w:cs="宋体"/>
                <w:color w:val="auto"/>
                <w:sz w:val="21"/>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3632" w:type="pct"/>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开标时间：详见招标公告。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632" w:type="pct"/>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综合评分法（详见第五章评标方法）。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服务费</w:t>
            </w:r>
          </w:p>
        </w:tc>
        <w:tc>
          <w:tcPr>
            <w:tcW w:w="3632" w:type="pct"/>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金额为基础，参照国家计委颁发的《招标代理服务收费管理暂行办法》（计价格[2002]1980号）和国家发展改革委员会办公厅颁发的《关于招标代理服务收费有关问题的通知》（发改办价格[2003]857号）的有关规定执行。不足</w:t>
            </w:r>
            <w:r>
              <w:rPr>
                <w:rFonts w:hint="eastAsia" w:ascii="宋体" w:hAnsi="宋体" w:eastAsia="宋体" w:cs="宋体"/>
                <w:color w:val="auto"/>
                <w:sz w:val="21"/>
                <w:szCs w:val="21"/>
                <w:highlight w:val="none"/>
                <w:lang w:val="en-US" w:eastAsia="zh-CN"/>
              </w:rPr>
              <w:t>3000</w:t>
            </w:r>
            <w:r>
              <w:rPr>
                <w:rFonts w:hint="eastAsia" w:ascii="宋体" w:hAnsi="宋体" w:eastAsia="宋体" w:cs="宋体"/>
                <w:color w:val="auto"/>
                <w:sz w:val="21"/>
                <w:szCs w:val="21"/>
                <w:highlight w:val="none"/>
              </w:rPr>
              <w:t>元的，按</w:t>
            </w:r>
            <w:r>
              <w:rPr>
                <w:rFonts w:hint="eastAsia" w:ascii="宋体" w:hAnsi="宋体" w:eastAsia="宋体" w:cs="宋体"/>
                <w:color w:val="auto"/>
                <w:sz w:val="21"/>
                <w:szCs w:val="21"/>
                <w:highlight w:val="none"/>
                <w:lang w:val="en-US" w:eastAsia="zh-CN"/>
              </w:rPr>
              <w:t>3000</w:t>
            </w:r>
            <w:r>
              <w:rPr>
                <w:rFonts w:hint="eastAsia" w:ascii="宋体" w:hAnsi="宋体" w:eastAsia="宋体" w:cs="宋体"/>
                <w:color w:val="auto"/>
                <w:sz w:val="21"/>
                <w:szCs w:val="21"/>
                <w:highlight w:val="none"/>
              </w:rPr>
              <w:t>元收取。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中标单位在领取中标通知书前，须向采购代理机构一次性支付招标代理服务费。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履约验收</w:t>
            </w:r>
          </w:p>
        </w:tc>
        <w:tc>
          <w:tcPr>
            <w:tcW w:w="3632" w:type="pct"/>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是否委托采购代理机构组织履约验收：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sym w:font="Wingdings" w:char="00A8"/>
            </w:r>
            <w:r>
              <w:rPr>
                <w:rFonts w:hint="eastAsia" w:ascii="宋体" w:hAnsi="宋体" w:eastAsia="宋体" w:cs="宋体"/>
                <w:color w:val="auto"/>
                <w:sz w:val="21"/>
                <w:szCs w:val="21"/>
                <w:highlight w:val="none"/>
                <w:u w:val="single"/>
              </w:rPr>
              <w:t>是，</w:t>
            </w:r>
            <w:r>
              <w:rPr>
                <w:rFonts w:hint="eastAsia" w:ascii="宋体" w:hAnsi="宋体" w:eastAsia="宋体" w:cs="宋体"/>
                <w:color w:val="auto"/>
                <w:sz w:val="21"/>
                <w:szCs w:val="21"/>
                <w:highlight w:val="none"/>
              </w:rPr>
              <w:t>验收费用由</w:t>
            </w:r>
            <w:r>
              <w:rPr>
                <w:rFonts w:hint="eastAsia" w:ascii="宋体" w:hAnsi="宋体" w:eastAsia="宋体" w:cs="宋体"/>
                <w:color w:val="auto"/>
                <w:sz w:val="21"/>
                <w:szCs w:val="21"/>
                <w:highlight w:val="none"/>
                <w:u w:val="single"/>
              </w:rPr>
              <w:t>采购人/中标人</w:t>
            </w:r>
            <w:r>
              <w:rPr>
                <w:rFonts w:hint="eastAsia" w:ascii="宋体" w:hAnsi="宋体" w:eastAsia="宋体" w:cs="宋体"/>
                <w:color w:val="auto"/>
                <w:sz w:val="21"/>
                <w:szCs w:val="21"/>
                <w:highlight w:val="none"/>
              </w:rPr>
              <w:t>支付，费用标准按中标金额的5‰计算，不足5000元的，按5000元收取。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sym w:font="Wingdings" w:char="00FE"/>
            </w:r>
            <w:r>
              <w:rPr>
                <w:rFonts w:hint="eastAsia" w:ascii="宋体" w:hAnsi="宋体" w:eastAsia="宋体" w:cs="宋体"/>
                <w:color w:val="auto"/>
                <w:sz w:val="21"/>
                <w:szCs w:val="21"/>
                <w:highlight w:val="none"/>
                <w:u w:val="single"/>
              </w:rPr>
              <w:t>否</w:t>
            </w:r>
            <w:r>
              <w:rPr>
                <w:rFonts w:hint="eastAsia" w:ascii="宋体" w:hAnsi="宋体" w:eastAsia="宋体" w:cs="宋体"/>
                <w:color w:val="auto"/>
                <w:sz w:val="21"/>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招标代理服务费账户</w:t>
            </w:r>
          </w:p>
        </w:tc>
        <w:tc>
          <w:tcPr>
            <w:tcW w:w="3632" w:type="pct"/>
            <w:vAlign w:val="center"/>
          </w:tcPr>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SA"/>
              </w:rPr>
              <w:t>户  名：陕西天沃工程项目管理有</w:t>
            </w:r>
            <w:r>
              <w:rPr>
                <w:rFonts w:hint="eastAsia" w:ascii="宋体" w:hAnsi="宋体" w:eastAsia="宋体" w:cs="宋体"/>
                <w:color w:val="auto"/>
                <w:sz w:val="21"/>
                <w:szCs w:val="21"/>
                <w:highlight w:val="none"/>
                <w:lang w:eastAsia="zh-CN"/>
              </w:rPr>
              <w:t>限公司</w:t>
            </w:r>
          </w:p>
          <w:p>
            <w:pPr>
              <w:pStyle w:val="11"/>
              <w:spacing w:after="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开户银行：中国建设银行股份有限公司西安凤城十二路支行</w:t>
            </w:r>
          </w:p>
          <w:p>
            <w:pPr>
              <w:pStyle w:val="11"/>
              <w:spacing w:after="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账号：6105 0177 0045 0000 0371</w:t>
            </w:r>
          </w:p>
          <w:p>
            <w:pPr>
              <w:pStyle w:val="11"/>
              <w:spacing w:after="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请中标人按照要求将招标代理服务费转入以上指定账户，如因自身原因发生错误，产生的不利后果均由</w:t>
            </w:r>
            <w:r>
              <w:rPr>
                <w:rFonts w:hint="eastAsia" w:ascii="宋体" w:hAnsi="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3632" w:type="pct"/>
            <w:vAlign w:val="center"/>
          </w:tcPr>
          <w:p>
            <w:pPr>
              <w:pStyle w:val="16"/>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不要求提供</w:t>
            </w:r>
          </w:p>
          <w:p>
            <w:pPr>
              <w:pStyle w:val="16"/>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要求提供，本采购项目履约保证金为合同金额的10%，提交方式为：</w:t>
            </w:r>
            <w:r>
              <w:rPr>
                <w:rFonts w:hint="eastAsia" w:ascii="宋体" w:hAnsi="宋体" w:eastAsia="宋体" w:cs="宋体"/>
                <w:color w:val="auto"/>
                <w:sz w:val="21"/>
                <w:szCs w:val="21"/>
                <w:highlight w:val="none"/>
              </w:rPr>
              <w:t>转账、电汇、担保机构保函。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3632" w:type="pct"/>
            <w:vAlign w:val="center"/>
          </w:tcPr>
          <w:p>
            <w:pPr>
              <w:pStyle w:val="11"/>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不踏勘</w:t>
            </w:r>
          </w:p>
          <w:p>
            <w:pPr>
              <w:pStyle w:val="11"/>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自行踏勘</w:t>
            </w:r>
          </w:p>
          <w:p>
            <w:pPr>
              <w:pStyle w:val="11"/>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组织踏勘</w:t>
            </w:r>
          </w:p>
          <w:p>
            <w:pPr>
              <w:pStyle w:val="11"/>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p>
            <w:pPr>
              <w:pStyle w:val="11"/>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p>
            <w:pPr>
              <w:pStyle w:val="11"/>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踏勘时间：</w:t>
            </w:r>
          </w:p>
          <w:p>
            <w:pPr>
              <w:pStyle w:val="11"/>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w:t>
            </w:r>
          </w:p>
        </w:tc>
        <w:tc>
          <w:tcPr>
            <w:tcW w:w="839" w:type="pct"/>
            <w:vAlign w:val="center"/>
          </w:tcPr>
          <w:p>
            <w:pPr>
              <w:pStyle w:val="11"/>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kern w:val="0"/>
                <w:sz w:val="21"/>
                <w:szCs w:val="21"/>
              </w:rPr>
              <w:t>进口产品</w:t>
            </w:r>
          </w:p>
        </w:tc>
        <w:tc>
          <w:tcPr>
            <w:tcW w:w="3632" w:type="pct"/>
            <w:vAlign w:val="center"/>
          </w:tcPr>
          <w:p>
            <w:pPr>
              <w:pStyle w:val="11"/>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rPr>
              <w:t>本采购项目拒绝进口产品参加投标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w:t>
            </w:r>
          </w:p>
        </w:tc>
        <w:tc>
          <w:tcPr>
            <w:tcW w:w="839" w:type="pct"/>
            <w:vAlign w:val="center"/>
          </w:tcPr>
          <w:p>
            <w:pPr>
              <w:pStyle w:val="11"/>
              <w:spacing w:after="0" w:line="360" w:lineRule="auto"/>
              <w:ind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rPr>
              <w:t>核心产品</w:t>
            </w:r>
          </w:p>
        </w:tc>
        <w:tc>
          <w:tcPr>
            <w:tcW w:w="3632" w:type="pct"/>
            <w:vAlign w:val="center"/>
          </w:tcPr>
          <w:p>
            <w:pPr>
              <w:pStyle w:val="11"/>
              <w:spacing w:after="0"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智慧黑板、电子班牌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一致性</w:t>
            </w:r>
          </w:p>
        </w:tc>
        <w:tc>
          <w:tcPr>
            <w:tcW w:w="3632" w:type="pct"/>
            <w:vAlign w:val="center"/>
          </w:tcPr>
          <w:p>
            <w:pPr>
              <w:spacing w:line="360" w:lineRule="auto"/>
              <w:jc w:val="lef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须知前附表和须知不一致的地方，以前附表为准。</w:t>
            </w:r>
          </w:p>
        </w:tc>
      </w:tr>
      <w:bookmarkEnd w:id="9"/>
      <w:bookmarkEnd w:id="10"/>
      <w:bookmarkEnd w:id="11"/>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28" w:type="pct"/>
            <w:vAlign w:val="center"/>
          </w:tcPr>
          <w:p>
            <w:pPr>
              <w:spacing w:line="360" w:lineRule="auto"/>
              <w:jc w:val="center"/>
              <w:rPr>
                <w:rFonts w:hint="eastAsia" w:ascii="宋体" w:hAnsi="宋体" w:eastAsia="宋体" w:cs="宋体"/>
                <w:color w:val="auto"/>
                <w:sz w:val="21"/>
                <w:szCs w:val="21"/>
                <w:highlight w:val="none"/>
              </w:rPr>
            </w:pPr>
            <w:bookmarkStart w:id="31" w:name="_Toc363474017"/>
            <w:bookmarkStart w:id="32" w:name="_Toc363473972"/>
            <w:bookmarkStart w:id="33" w:name="_Toc403077639"/>
            <w:r>
              <w:rPr>
                <w:rFonts w:hint="eastAsia" w:ascii="宋体" w:hAnsi="宋体" w:eastAsia="宋体" w:cs="宋体"/>
                <w:color w:val="auto"/>
                <w:sz w:val="21"/>
                <w:szCs w:val="21"/>
                <w:highlight w:val="none"/>
              </w:rPr>
              <w:t>/</w:t>
            </w:r>
          </w:p>
        </w:tc>
        <w:tc>
          <w:tcPr>
            <w:tcW w:w="83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632" w:type="pct"/>
            <w:vAlign w:val="center"/>
          </w:tcPr>
          <w:p>
            <w:pPr>
              <w:numPr>
                <w:ilvl w:val="0"/>
                <w:numId w:val="2"/>
              </w:numPr>
              <w:spacing w:line="36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非</w:t>
            </w:r>
            <w:r>
              <w:rPr>
                <w:rFonts w:hint="eastAsia" w:ascii="宋体" w:hAnsi="宋体" w:eastAsia="宋体" w:cs="宋体"/>
                <w:color w:val="auto"/>
                <w:sz w:val="21"/>
                <w:szCs w:val="21"/>
                <w:highlight w:val="none"/>
              </w:rPr>
              <w:t>专门面向中小企业采购。</w:t>
            </w:r>
          </w:p>
          <w:p>
            <w:pPr>
              <w:numPr>
                <w:ilvl w:val="0"/>
                <w:numId w:val="2"/>
              </w:numPr>
              <w:spacing w:line="36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本项目属性为</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3、本项目采购标的所属行业为：</w:t>
            </w:r>
            <w:r>
              <w:rPr>
                <w:rFonts w:hint="eastAsia" w:ascii="宋体" w:hAnsi="宋体" w:eastAsia="宋体" w:cs="宋体"/>
                <w:color w:val="auto"/>
                <w:sz w:val="21"/>
                <w:szCs w:val="21"/>
                <w:highlight w:val="none"/>
                <w:u w:val="single"/>
                <w:lang w:eastAsia="zh-CN"/>
              </w:rPr>
              <w:t>工业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000" w:type="pct"/>
            <w:gridSpan w:val="3"/>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sz w:val="21"/>
                <w:szCs w:val="21"/>
              </w:rPr>
              <w:t>电子招标投标操作说明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00" w:type="pct"/>
            <w:gridSpan w:val="3"/>
            <w:vAlign w:val="center"/>
          </w:tcPr>
          <w:p>
            <w:pPr>
              <w:keepNext w:val="0"/>
              <w:keepLines w:val="0"/>
              <w:pageBreakBefore w:val="0"/>
              <w:widowControl w:val="0"/>
              <w:kinsoku/>
              <w:wordWrap/>
              <w:overflowPunct/>
              <w:autoSpaceDE/>
              <w:autoSpaceDN/>
              <w:bidi w:val="0"/>
              <w:adjustRightInd/>
              <w:snapToGrid/>
              <w:spacing w:line="312" w:lineRule="auto"/>
              <w:ind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注：</w:t>
            </w:r>
            <w:r>
              <w:rPr>
                <w:rFonts w:hint="eastAsia" w:ascii="宋体" w:hAnsi="宋体" w:eastAsia="宋体" w:cs="宋体"/>
                <w:sz w:val="21"/>
                <w:szCs w:val="21"/>
              </w:rPr>
              <w:t>本次开标采用“不见面开标”方式，“不见面开标大厅”登录方式：全国公共资源交易平台（陕西省•西咸新区）-电子交易平台-西咸新区公共资源交易平台不见面开标系统。电子</w:t>
            </w:r>
            <w:r>
              <w:rPr>
                <w:rFonts w:hint="eastAsia" w:ascii="宋体" w:hAnsi="宋体" w:eastAsia="宋体" w:cs="宋体"/>
                <w:sz w:val="21"/>
                <w:szCs w:val="21"/>
                <w:lang w:val="en-US" w:eastAsia="zh-CN"/>
              </w:rPr>
              <w:t>投标</w:t>
            </w:r>
            <w:r>
              <w:rPr>
                <w:rFonts w:hint="eastAsia" w:ascii="宋体" w:hAnsi="宋体" w:eastAsia="宋体" w:cs="宋体"/>
                <w:sz w:val="21"/>
                <w:szCs w:val="21"/>
              </w:rPr>
              <w:t>文件在截止时间前签章加密上传至全国公共资源交易平台（陕西省西咸新区）。关于使用不见面开标方式的相关事项详见“http://xxxq.sxggzyjy.cn/xwzx/002002/20210721/d7421699-e891-4f40-b441-dccc415e05b3.html”内容。</w:t>
            </w:r>
          </w:p>
          <w:p>
            <w:pPr>
              <w:keepNext w:val="0"/>
              <w:keepLines w:val="0"/>
              <w:pageBreakBefore w:val="0"/>
              <w:widowControl w:val="0"/>
              <w:kinsoku/>
              <w:wordWrap/>
              <w:overflowPunct/>
              <w:autoSpaceDE/>
              <w:autoSpaceDN/>
              <w:bidi w:val="0"/>
              <w:adjustRightInd/>
              <w:snapToGrid/>
              <w:spacing w:line="312" w:lineRule="auto"/>
              <w:ind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rPr>
              <w:t>（1）本项目采用电子化投标的方式。</w:t>
            </w:r>
            <w:r>
              <w:rPr>
                <w:rFonts w:hint="eastAsia" w:hAnsi="宋体" w:cs="宋体"/>
                <w:sz w:val="21"/>
                <w:szCs w:val="21"/>
                <w:lang w:eastAsia="zh-CN"/>
              </w:rPr>
              <w:t>投标人</w:t>
            </w:r>
            <w:r>
              <w:rPr>
                <w:rFonts w:hint="eastAsia" w:ascii="宋体" w:hAnsi="宋体" w:eastAsia="宋体" w:cs="宋体"/>
                <w:sz w:val="21"/>
                <w:szCs w:val="21"/>
              </w:rPr>
              <w:t>须使用数字认证证书对电子化</w:t>
            </w:r>
            <w:r>
              <w:rPr>
                <w:rFonts w:hint="eastAsia" w:ascii="宋体" w:hAnsi="宋体" w:eastAsia="宋体" w:cs="宋体"/>
                <w:sz w:val="21"/>
                <w:szCs w:val="21"/>
                <w:lang w:eastAsia="zh-CN"/>
              </w:rPr>
              <w:t>投标文件</w:t>
            </w:r>
            <w:r>
              <w:rPr>
                <w:rFonts w:hint="eastAsia" w:ascii="宋体" w:hAnsi="宋体" w:eastAsia="宋体" w:cs="宋体"/>
                <w:sz w:val="21"/>
                <w:szCs w:val="21"/>
              </w:rPr>
              <w:t>进行签章、加密、递交及开标时解密等相关招投标事宜。如因</w:t>
            </w:r>
            <w:r>
              <w:rPr>
                <w:rFonts w:hint="eastAsia" w:hAnsi="宋体" w:cs="宋体"/>
                <w:sz w:val="21"/>
                <w:szCs w:val="21"/>
                <w:lang w:eastAsia="zh-CN"/>
              </w:rPr>
              <w:t>投标人</w:t>
            </w:r>
            <w:r>
              <w:rPr>
                <w:rFonts w:hint="eastAsia" w:ascii="宋体" w:hAnsi="宋体" w:eastAsia="宋体" w:cs="宋体"/>
                <w:sz w:val="21"/>
                <w:szCs w:val="21"/>
              </w:rPr>
              <w:t>自身原因造成未能解密、解密失败或解密超时，按无效投标对待。（注：</w:t>
            </w:r>
            <w:r>
              <w:rPr>
                <w:rFonts w:hint="eastAsia" w:hAnsi="宋体" w:cs="宋体"/>
                <w:sz w:val="21"/>
                <w:szCs w:val="21"/>
                <w:lang w:eastAsia="zh-CN"/>
              </w:rPr>
              <w:t>投标人</w:t>
            </w:r>
            <w:r>
              <w:rPr>
                <w:rFonts w:hint="eastAsia" w:ascii="宋体" w:hAnsi="宋体" w:eastAsia="宋体" w:cs="宋体"/>
                <w:sz w:val="21"/>
                <w:szCs w:val="21"/>
              </w:rPr>
              <w:t>应在投标截止时间前1个小时内进行电子签到，否则无法参与不见面开标工作。具体操作详见操作手册）</w:t>
            </w:r>
          </w:p>
          <w:p>
            <w:pPr>
              <w:keepNext w:val="0"/>
              <w:keepLines w:val="0"/>
              <w:pageBreakBefore w:val="0"/>
              <w:widowControl w:val="0"/>
              <w:kinsoku/>
              <w:wordWrap/>
              <w:overflowPunct/>
              <w:autoSpaceDE/>
              <w:autoSpaceDN/>
              <w:bidi w:val="0"/>
              <w:adjustRightInd/>
              <w:snapToGrid/>
              <w:spacing w:line="312"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（2）制作电子</w:t>
            </w:r>
            <w:r>
              <w:rPr>
                <w:rFonts w:hint="eastAsia" w:ascii="宋体" w:hAnsi="宋体" w:eastAsia="宋体" w:cs="宋体"/>
                <w:sz w:val="21"/>
                <w:szCs w:val="21"/>
                <w:lang w:eastAsia="zh-CN"/>
              </w:rPr>
              <w:t>投标文件</w:t>
            </w:r>
            <w:r>
              <w:rPr>
                <w:rFonts w:hint="eastAsia" w:ascii="宋体" w:hAnsi="宋体" w:eastAsia="宋体" w:cs="宋体"/>
                <w:sz w:val="21"/>
                <w:szCs w:val="21"/>
              </w:rPr>
              <w:t>。</w:t>
            </w:r>
            <w:r>
              <w:rPr>
                <w:rFonts w:hint="eastAsia" w:hAnsi="宋体" w:cs="宋体"/>
                <w:sz w:val="21"/>
                <w:szCs w:val="21"/>
                <w:lang w:eastAsia="zh-CN"/>
              </w:rPr>
              <w:t>投标人</w:t>
            </w:r>
            <w:r>
              <w:rPr>
                <w:rFonts w:hint="eastAsia" w:ascii="宋体" w:hAnsi="宋体" w:eastAsia="宋体" w:cs="宋体"/>
                <w:sz w:val="21"/>
                <w:szCs w:val="21"/>
              </w:rPr>
              <w:t>须在“全国公共资源交易中心平台（陕西省）（http://www.sxggzyjy.cn/）”的“服务指南”栏目“下载专区”中，免费下载“陕西省公共资源交易平台政府采购电子标书制作工具”，并使用该客户端制作电子</w:t>
            </w:r>
            <w:r>
              <w:rPr>
                <w:rFonts w:hint="eastAsia" w:ascii="宋体" w:hAnsi="宋体" w:eastAsia="宋体" w:cs="宋体"/>
                <w:sz w:val="21"/>
                <w:szCs w:val="21"/>
                <w:lang w:eastAsia="zh-CN"/>
              </w:rPr>
              <w:t>投标文件</w:t>
            </w:r>
            <w:r>
              <w:rPr>
                <w:rFonts w:hint="eastAsia" w:ascii="宋体" w:hAnsi="宋体" w:eastAsia="宋体" w:cs="宋体"/>
                <w:sz w:val="21"/>
                <w:szCs w:val="21"/>
              </w:rPr>
              <w:t>，制作扩展名为“.SXSTF”的电子</w:t>
            </w:r>
            <w:r>
              <w:rPr>
                <w:rFonts w:hint="eastAsia" w:ascii="宋体" w:hAnsi="宋体" w:eastAsia="宋体" w:cs="宋体"/>
                <w:sz w:val="21"/>
                <w:szCs w:val="21"/>
                <w:lang w:eastAsia="zh-CN"/>
              </w:rPr>
              <w:t>投标</w:t>
            </w:r>
            <w:r>
              <w:rPr>
                <w:rFonts w:hint="eastAsia" w:ascii="宋体" w:hAnsi="宋体" w:eastAsia="宋体" w:cs="宋体"/>
                <w:sz w:val="21"/>
                <w:szCs w:val="21"/>
              </w:rPr>
              <w:t>文件。</w:t>
            </w:r>
          </w:p>
          <w:p>
            <w:pPr>
              <w:keepNext w:val="0"/>
              <w:keepLines w:val="0"/>
              <w:pageBreakBefore w:val="0"/>
              <w:widowControl w:val="0"/>
              <w:kinsoku/>
              <w:wordWrap/>
              <w:overflowPunct/>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递交电子</w:t>
            </w:r>
            <w:r>
              <w:rPr>
                <w:rFonts w:hint="eastAsia" w:ascii="宋体" w:hAnsi="宋体" w:eastAsia="宋体" w:cs="宋体"/>
                <w:sz w:val="21"/>
                <w:szCs w:val="21"/>
                <w:lang w:eastAsia="zh-CN"/>
              </w:rPr>
              <w:t>投标文件</w:t>
            </w:r>
            <w:r>
              <w:rPr>
                <w:rFonts w:hint="eastAsia" w:ascii="宋体" w:hAnsi="宋体" w:eastAsia="宋体" w:cs="宋体"/>
                <w:sz w:val="21"/>
                <w:szCs w:val="21"/>
              </w:rPr>
              <w:t>。登录陕西省西咸新区公共资源交易中心平台（http://xxxq.sxggzyjy.cn/），选择“电子交易平台-陕西政府采购交易系统-陕西省西咸新区公共资源交易平台-</w:t>
            </w:r>
            <w:r>
              <w:rPr>
                <w:rFonts w:hint="eastAsia" w:hAnsi="宋体" w:cs="宋体"/>
                <w:sz w:val="21"/>
                <w:szCs w:val="21"/>
                <w:lang w:eastAsia="zh-CN"/>
              </w:rPr>
              <w:t>投标人</w:t>
            </w:r>
            <w:r>
              <w:rPr>
                <w:rFonts w:hint="eastAsia" w:ascii="宋体" w:hAnsi="宋体" w:eastAsia="宋体" w:cs="宋体"/>
                <w:sz w:val="21"/>
                <w:szCs w:val="21"/>
              </w:rPr>
              <w:t>”进行登录，登录后选择“交易乙方”身份进入，选择“上传</w:t>
            </w:r>
            <w:r>
              <w:rPr>
                <w:rFonts w:hint="eastAsia" w:ascii="宋体" w:hAnsi="宋体" w:eastAsia="宋体" w:cs="宋体"/>
                <w:sz w:val="21"/>
                <w:szCs w:val="21"/>
                <w:lang w:eastAsia="zh-CN"/>
              </w:rPr>
              <w:t>投标</w:t>
            </w:r>
            <w:r>
              <w:rPr>
                <w:rFonts w:hint="eastAsia" w:ascii="宋体" w:hAnsi="宋体" w:eastAsia="宋体" w:cs="宋体"/>
                <w:sz w:val="21"/>
                <w:szCs w:val="21"/>
              </w:rPr>
              <w:t>文件”菜单页面，上传加密的电子化</w:t>
            </w:r>
            <w:r>
              <w:rPr>
                <w:rFonts w:hint="eastAsia" w:ascii="宋体" w:hAnsi="宋体" w:eastAsia="宋体" w:cs="宋体"/>
                <w:sz w:val="21"/>
                <w:szCs w:val="21"/>
                <w:lang w:eastAsia="zh-CN"/>
              </w:rPr>
              <w:t>投标文件</w:t>
            </w:r>
            <w:r>
              <w:rPr>
                <w:rFonts w:hint="eastAsia" w:ascii="宋体" w:hAnsi="宋体" w:eastAsia="宋体" w:cs="宋体"/>
                <w:sz w:val="21"/>
                <w:szCs w:val="21"/>
              </w:rPr>
              <w:t>。上传成功后，电子化平台将予以记录。</w:t>
            </w:r>
          </w:p>
        </w:tc>
      </w:tr>
    </w:tbl>
    <w:p>
      <w:pPr>
        <w:spacing w:before="156" w:beforeLines="50" w:line="360" w:lineRule="auto"/>
        <w:jc w:val="center"/>
        <w:outlineLvl w:val="1"/>
        <w:rPr>
          <w:rFonts w:hint="eastAsia" w:ascii="宋体" w:hAnsi="宋体" w:eastAsia="宋体" w:cs="宋体"/>
          <w:b/>
          <w:color w:val="auto"/>
          <w:sz w:val="32"/>
          <w:szCs w:val="32"/>
          <w:highlight w:val="none"/>
        </w:rPr>
      </w:pPr>
    </w:p>
    <w:p>
      <w:pPr>
        <w:spacing w:before="156" w:beforeLines="50" w:line="360" w:lineRule="auto"/>
        <w:jc w:val="center"/>
        <w:outlineLvl w:val="1"/>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pacing w:before="156" w:beforeLines="50" w:line="360" w:lineRule="auto"/>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一.总  则</w:t>
      </w:r>
      <w:bookmarkEnd w:id="31"/>
      <w:bookmarkEnd w:id="32"/>
      <w:bookmarkEnd w:id="33"/>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1.资金来源</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1.1本次招标采购所签合同使用财政资金支付，资金已落实到位。</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2.名词解释</w:t>
      </w:r>
    </w:p>
    <w:p>
      <w:pPr>
        <w:tabs>
          <w:tab w:val="left" w:pos="7665"/>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2.1采购人：</w:t>
      </w:r>
      <w:r>
        <w:rPr>
          <w:rFonts w:hint="eastAsia" w:ascii="宋体" w:hAnsi="宋体" w:eastAsia="宋体" w:cs="宋体"/>
          <w:color w:val="auto"/>
          <w:szCs w:val="24"/>
          <w:highlight w:val="none"/>
        </w:rPr>
        <w:t>见</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须知前附表</w:t>
      </w:r>
    </w:p>
    <w:p>
      <w:pPr>
        <w:tabs>
          <w:tab w:val="left" w:pos="7665"/>
        </w:tabs>
        <w:spacing w:line="50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2.2采购代理机构：</w:t>
      </w:r>
      <w:r>
        <w:rPr>
          <w:rFonts w:hint="eastAsia" w:ascii="宋体" w:hAnsi="宋体" w:eastAsia="宋体" w:cs="宋体"/>
          <w:color w:val="auto"/>
          <w:highlight w:val="none"/>
          <w:lang w:eastAsia="zh-CN"/>
        </w:rPr>
        <w:t>陕西天沃工程项目管理有限公司</w:t>
      </w:r>
    </w:p>
    <w:p>
      <w:pPr>
        <w:tabs>
          <w:tab w:val="left" w:pos="7665"/>
        </w:tabs>
        <w:spacing w:line="500" w:lineRule="exact"/>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2.3 监督机构：同级人民政府财政部门及有关部门</w:t>
      </w:r>
    </w:p>
    <w:p>
      <w:pPr>
        <w:tabs>
          <w:tab w:val="left" w:pos="7665"/>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2.4</w:t>
      </w:r>
      <w:r>
        <w:rPr>
          <w:rFonts w:hint="eastAsia" w:hAnsi="宋体" w:cs="宋体"/>
          <w:color w:val="auto"/>
          <w:highlight w:val="none"/>
          <w:lang w:eastAsia="zh-CN"/>
        </w:rPr>
        <w:t>投标人</w:t>
      </w:r>
      <w:r>
        <w:rPr>
          <w:rFonts w:hint="eastAsia" w:ascii="宋体" w:hAnsi="宋体" w:eastAsia="宋体" w:cs="宋体"/>
          <w:color w:val="auto"/>
          <w:highlight w:val="none"/>
        </w:rPr>
        <w:t>：是指响应和符合招标文件规定资格条件且参与投标竞争的法人、其他组织或者自然人。</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2.5产品是指本招标文件中第四章所述所有产品。</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服务是指</w:t>
      </w:r>
      <w:r>
        <w:rPr>
          <w:rFonts w:hint="eastAsia" w:hAnsi="宋体" w:cs="宋体"/>
          <w:color w:val="auto"/>
          <w:highlight w:val="none"/>
          <w:lang w:eastAsia="zh-CN"/>
        </w:rPr>
        <w:t>投标人</w:t>
      </w:r>
      <w:r>
        <w:rPr>
          <w:rFonts w:hint="eastAsia" w:ascii="宋体" w:hAnsi="宋体" w:eastAsia="宋体" w:cs="宋体"/>
          <w:color w:val="auto"/>
          <w:highlight w:val="none"/>
        </w:rPr>
        <w:t>为满足招标文件要求而提供的服务。</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节能产品或者环保产品是指财政部发布的《节能产品政府采购清单》或《环境标志产品政府采购清单》的产品。</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进口产品是指通过中国海关报关验放进入中国境内且产自关境外的产品，详见《关于政府采购进口产品管理有关问题的通知》(财库[2007]119号)。</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残疾人福利性单位是指符合《三部门联合发布关于促进残疾人就业政府采购政策的通知》财库〔2017〕141号规定的对残疾人福利性单位划分标准的单位。</w:t>
      </w:r>
    </w:p>
    <w:p>
      <w:pPr>
        <w:spacing w:line="500" w:lineRule="exact"/>
        <w:outlineLvl w:val="2"/>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3.合格的</w:t>
      </w:r>
      <w:r>
        <w:rPr>
          <w:rFonts w:hint="eastAsia" w:hAnsi="宋体" w:cs="宋体"/>
          <w:b/>
          <w:color w:val="auto"/>
          <w:szCs w:val="24"/>
          <w:highlight w:val="none"/>
          <w:lang w:eastAsia="zh-CN"/>
        </w:rPr>
        <w:t>投标人</w:t>
      </w:r>
    </w:p>
    <w:p>
      <w:pPr>
        <w:tabs>
          <w:tab w:val="left" w:pos="851"/>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3.1《中华人民共和国政府采购法》第二十二条第一款规定的</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基本资格条件: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（1）具有独立承担民事责任的能力；</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（2）具有良好的商业信誉和健全的财务会计制度；</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（3）具有履行合同所必需的设备和专业技术能力；</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（4）有依法缴纳税收和社会保障资金的良好记录；</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（5）参加政府采购活动前三年内，在经营活动中没有重大违法记录；</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（6）法律、行政法规规定的其他条件。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3.2根据本次采购项目的特殊要求，规定的</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特殊条件（见</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须知前附表）。</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3.3单位负责人为同一人或者存在直接控股、管理关系的不同</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，不得参加同一合同项下的政府采购活动。</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须按照格式要求填写</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企业关系关联承诺书。除单一来源采购项目外，为采购项目提供整体设计、规范编制或者项目管理、监理、检测等服务的</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，不得再参加该采购项目的其他采购活动，否则均为无效投标。</w:t>
      </w:r>
    </w:p>
    <w:p>
      <w:pPr>
        <w:pStyle w:val="9"/>
        <w:spacing w:line="500" w:lineRule="exact"/>
        <w:ind w:firstLine="480" w:firstLineChars="200"/>
        <w:rPr>
          <w:rFonts w:hint="eastAsia" w:ascii="宋体" w:hAnsi="宋体" w:eastAsia="宋体" w:cs="宋体"/>
          <w:color w:val="auto"/>
          <w:sz w:val="24"/>
          <w:szCs w:val="24"/>
          <w:highlight w:val="none"/>
        </w:rPr>
      </w:pPr>
      <w:bookmarkStart w:id="34" w:name="OLE_LINK33"/>
      <w:r>
        <w:rPr>
          <w:rFonts w:hint="eastAsia" w:ascii="宋体" w:hAnsi="宋体" w:eastAsia="宋体" w:cs="宋体"/>
          <w:color w:val="auto"/>
          <w:sz w:val="24"/>
          <w:szCs w:val="24"/>
          <w:highlight w:val="none"/>
        </w:rPr>
        <w:t>3.</w:t>
      </w:r>
      <w:bookmarkEnd w:id="34"/>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必须在西咸新区公共资源交易平台进行报名并下载招标文件，方可参加投标。</w:t>
      </w:r>
    </w:p>
    <w:p>
      <w:pPr>
        <w:pStyle w:val="9"/>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3.5联合体投标</w:t>
      </w:r>
    </w:p>
    <w:p>
      <w:pPr>
        <w:pStyle w:val="9"/>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3.5.1如果在招标文件中接受联合体投标（见</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须知前附表），则两个以上</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可以组成一个投标联合体，以一个</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的身份投标。以联合体形式参加投标的，联合体各方均应当符合《中华人民共和国政府采购法》及实施条例规定的条件。采购人根据采购项目的特殊要求规定</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特定条件的，联合体各方中至少应当有一方符合采购人规定的特定条件。</w:t>
      </w:r>
    </w:p>
    <w:p>
      <w:pPr>
        <w:pStyle w:val="9"/>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联合体各方之间应当签订共同投标协议，明确约定联合体各方承担的工作和相应的责任，并将共同投标协议连同投标文件一并提交采购代理机构。联合体各方签订共同投标协议后，不得再以自己名义单独在同一项目中投标，也不得组成新的联合体参加同一项目投标。</w:t>
      </w:r>
    </w:p>
    <w:p>
      <w:pPr>
        <w:pStyle w:val="9"/>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3.5.3联合体各方应当共同与采购人签订采购合同，就采购合同约定的事项对采购人承担连带责任。</w:t>
      </w:r>
    </w:p>
    <w:p>
      <w:pPr>
        <w:pStyle w:val="9"/>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3.6投标费用自理。不论投标的结果如何，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均应自行承担所有与参加投标有关的费用。</w:t>
      </w:r>
    </w:p>
    <w:p>
      <w:pPr>
        <w:pStyle w:val="9"/>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3.7投标单位必须在西咸新区公共资源交易平台报名且自行下载招标文件。</w:t>
      </w:r>
    </w:p>
    <w:p>
      <w:pPr>
        <w:tabs>
          <w:tab w:val="left" w:pos="747"/>
        </w:tabs>
        <w:snapToGrid w:val="0"/>
        <w:spacing w:line="500" w:lineRule="exact"/>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4.</w:t>
      </w:r>
      <w:r>
        <w:rPr>
          <w:rFonts w:hint="eastAsia" w:ascii="宋体" w:hAnsi="宋体" w:eastAsia="宋体" w:cs="宋体"/>
          <w:b/>
          <w:bCs/>
        </w:rPr>
        <w:t>合格的货物（产品）和服务</w:t>
      </w:r>
    </w:p>
    <w:p>
      <w:pPr>
        <w:tabs>
          <w:tab w:val="left" w:pos="747"/>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w:t>
      </w:r>
      <w:r>
        <w:rPr>
          <w:rFonts w:hint="eastAsia" w:hAnsi="宋体" w:cs="宋体"/>
          <w:color w:val="auto"/>
          <w:highlight w:val="none"/>
          <w:lang w:eastAsia="zh-CN"/>
        </w:rPr>
        <w:t>投标人</w:t>
      </w:r>
      <w:r>
        <w:rPr>
          <w:rFonts w:hint="eastAsia" w:ascii="宋体" w:hAnsi="宋体" w:eastAsia="宋体" w:cs="宋体"/>
          <w:color w:val="auto"/>
          <w:highlight w:val="none"/>
        </w:rPr>
        <w:t>提供的所有货物和服务，必须是合法生产、合法来源，符合国家有关标准要求，并满足招标文件规定的规格、参数、质量、有效期、售后服务及</w:t>
      </w:r>
      <w:r>
        <w:rPr>
          <w:rFonts w:hint="eastAsia" w:hAnsi="宋体" w:cs="宋体"/>
          <w:color w:val="auto"/>
          <w:highlight w:val="none"/>
          <w:lang w:eastAsia="zh-CN"/>
        </w:rPr>
        <w:t>投标人</w:t>
      </w:r>
      <w:r>
        <w:rPr>
          <w:rFonts w:hint="eastAsia" w:ascii="宋体" w:hAnsi="宋体" w:eastAsia="宋体" w:cs="宋体"/>
          <w:color w:val="auto"/>
          <w:highlight w:val="none"/>
        </w:rPr>
        <w:t>须承担的运输、安装、技术具备、培训和招标文件规定的其它伴随服务等要求。</w:t>
      </w:r>
    </w:p>
    <w:p>
      <w:pPr>
        <w:tabs>
          <w:tab w:val="left" w:pos="747"/>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4.2采购人有权拒绝接受任何不合格的产品和服务，由此产生的费用及相关后果均由</w:t>
      </w:r>
      <w:r>
        <w:rPr>
          <w:rFonts w:hint="eastAsia" w:hAnsi="宋体" w:cs="宋体"/>
          <w:color w:val="auto"/>
          <w:highlight w:val="none"/>
          <w:lang w:eastAsia="zh-CN"/>
        </w:rPr>
        <w:t>投标人</w:t>
      </w:r>
      <w:r>
        <w:rPr>
          <w:rFonts w:hint="eastAsia" w:ascii="宋体" w:hAnsi="宋体" w:eastAsia="宋体" w:cs="宋体"/>
          <w:color w:val="auto"/>
          <w:highlight w:val="none"/>
        </w:rPr>
        <w:t>自行承担。</w:t>
      </w:r>
    </w:p>
    <w:p>
      <w:pPr>
        <w:tabs>
          <w:tab w:val="left" w:pos="747"/>
        </w:tabs>
        <w:snapToGrid w:val="0"/>
        <w:spacing w:line="500" w:lineRule="exact"/>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5.</w:t>
      </w:r>
      <w:r>
        <w:rPr>
          <w:rFonts w:hint="eastAsia" w:hAnsi="宋体" w:cs="宋体"/>
          <w:b/>
          <w:bCs/>
          <w:color w:val="auto"/>
          <w:highlight w:val="none"/>
          <w:lang w:eastAsia="zh-CN"/>
        </w:rPr>
        <w:t>投标人</w:t>
      </w:r>
      <w:r>
        <w:rPr>
          <w:rFonts w:hint="eastAsia" w:ascii="宋体" w:hAnsi="宋体" w:eastAsia="宋体" w:cs="宋体"/>
          <w:b/>
          <w:bCs/>
          <w:color w:val="auto"/>
          <w:highlight w:val="none"/>
        </w:rPr>
        <w:t>信用记录查询及使用</w:t>
      </w:r>
    </w:p>
    <w:p>
      <w:pPr>
        <w:spacing w:line="360" w:lineRule="auto"/>
        <w:ind w:firstLine="352" w:firstLineChars="147"/>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“信用中国”网站（www.creditchina.gov.cn）和“中国政府采购网”（ccgp.gov.cn）为</w:t>
      </w: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信用信息查询渠道，如果</w:t>
      </w: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被查实在投标截止时间前已列入失信被执行人、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、政府采购严重违法失信行为记录名单，其投标为无效投标。采购代理机构将打印查询记录作为证据留存。</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6.投标文件内容的真实性</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应保证其投标文件中所提供的所有资料、信息是真实的，并且来源于合法的渠道。因投标文件中所提供的资料、信息不真实或者其来源不合法而导致的所有法律责任，由</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自行承担。</w:t>
      </w:r>
    </w:p>
    <w:p>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7.不见面开标</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为贯彻落实《关于进一步推进招标投标领域改革创新优化营商环境的实施意见》(陕西咸发改发[2021]53号)文件要求，进一步优化营商环境，降低企业投标成本，本项目将采取“不见面”开标的形式，</w:t>
      </w: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无须到达开标现场，即可在网上直接参与开标活动。相关注意事项如下：</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7.1开标当日，</w:t>
      </w: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需至少提前半小时登录“不见面”开评标系统，并按要求及时签到，并保持在线直到评审结束；</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7.2</w:t>
      </w: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无需提交纸质投标文件，待采购结果公告后，中标人需向招标代理机构递交一正两副纸质投标文件（备案用）。</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7.3唱标过程中，</w:t>
      </w: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在收到工作人员“开始解密”指令后，请及时使用CA对电子投标文件进行解密。解密时所用CA应与加密投标文件时所用CA相同；评审过程中，评标委员会可能会就某些问题要求</w:t>
      </w: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进行在线澄清。</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7.4“不见面”开评标系统操作说明请详见交易平台〖首页〉服务指南〉下载专区〗中的《西咸新区公共资源交易不见面开标大厅政府采购</w:t>
      </w:r>
      <w:r>
        <w:rPr>
          <w:rFonts w:hint="eastAsia" w:hAnsi="宋体" w:cs="宋体"/>
          <w:b/>
          <w:bCs/>
          <w:color w:val="auto"/>
          <w:szCs w:val="24"/>
          <w:highlight w:val="none"/>
          <w:lang w:eastAsia="zh-CN"/>
        </w:rPr>
        <w:t>投标人</w:t>
      </w:r>
      <w:r>
        <w:rPr>
          <w:rFonts w:hint="eastAsia" w:ascii="宋体" w:hAnsi="宋体" w:eastAsia="宋体" w:cs="宋体"/>
          <w:b/>
          <w:bCs/>
          <w:color w:val="auto"/>
          <w:szCs w:val="24"/>
          <w:highlight w:val="none"/>
        </w:rPr>
        <w:t>操作手册》。相关技术问题，请咨询新区交易中心工作人员及相关技术人员：</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（1）业务咨询：吴工 林工 029-33585724</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（2）技术人员：400-998-0000</w:t>
      </w:r>
    </w:p>
    <w:p>
      <w:pPr>
        <w:spacing w:line="500" w:lineRule="exact"/>
        <w:ind w:firstLine="2409" w:firstLineChars="10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王工 18556946885   程工15061886851 </w:t>
      </w:r>
    </w:p>
    <w:p>
      <w:pPr>
        <w:spacing w:line="500" w:lineRule="exact"/>
        <w:ind w:firstLine="2409" w:firstLineChars="10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郭工18064306387   廖工13609286962</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（3）现场服务：康工 029-33585729</w:t>
      </w:r>
    </w:p>
    <w:p>
      <w:pPr>
        <w:spacing w:line="500" w:lineRule="exact"/>
        <w:jc w:val="center"/>
        <w:outlineLvl w:val="1"/>
        <w:rPr>
          <w:rFonts w:hint="eastAsia" w:ascii="宋体" w:hAnsi="宋体" w:eastAsia="宋体" w:cs="宋体"/>
          <w:b/>
          <w:color w:val="auto"/>
          <w:sz w:val="32"/>
          <w:szCs w:val="32"/>
          <w:highlight w:val="none"/>
        </w:rPr>
      </w:pPr>
      <w:bookmarkStart w:id="35" w:name="_Toc363474018"/>
      <w:bookmarkStart w:id="36" w:name="_Toc403077640"/>
      <w:bookmarkStart w:id="37" w:name="_Toc363473973"/>
      <w:r>
        <w:rPr>
          <w:rFonts w:hint="eastAsia" w:ascii="宋体" w:hAnsi="宋体" w:eastAsia="宋体" w:cs="宋体"/>
          <w:b/>
          <w:color w:val="auto"/>
          <w:sz w:val="32"/>
          <w:szCs w:val="32"/>
          <w:highlight w:val="none"/>
        </w:rPr>
        <w:t>二.</w:t>
      </w:r>
      <w:bookmarkEnd w:id="35"/>
      <w:bookmarkEnd w:id="36"/>
      <w:bookmarkEnd w:id="37"/>
      <w:r>
        <w:rPr>
          <w:rFonts w:hint="eastAsia" w:ascii="宋体" w:hAnsi="宋体" w:eastAsia="宋体" w:cs="宋体"/>
          <w:b/>
          <w:color w:val="auto"/>
          <w:sz w:val="32"/>
          <w:szCs w:val="32"/>
          <w:highlight w:val="none"/>
        </w:rPr>
        <w:t>招标文件</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8.招标文件构成</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8.1 招标文件要求提供的货物、服务，招标程序和合同条件在招标文件中均有说明。招标文件共六章，内容如下：</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第一章 招标公告</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第二章 </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须知</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须知前附表</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 合同条款及格式</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第四章 采购内容及技术要求</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 评标方法</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第六章 投标文件构成及格式</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8.2</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应认真阅读招标文件中所有的事项、格式、条款和规范等要求。如果</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没有按照招标文件要求提交全部资料，或者投标文件没有对招标文件在各方面都做出实质性响应，由此带来不利于</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的评标结果，其风险由</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承担。</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8.3本招标文件的解释权归</w:t>
      </w:r>
      <w:r>
        <w:rPr>
          <w:rFonts w:hint="eastAsia" w:ascii="宋体" w:hAnsi="宋体" w:eastAsia="宋体" w:cs="宋体"/>
          <w:color w:val="auto"/>
          <w:szCs w:val="24"/>
          <w:highlight w:val="none"/>
          <w:lang w:eastAsia="zh-CN"/>
        </w:rPr>
        <w:t>陕西天沃工程项目管理有限公司</w:t>
      </w:r>
      <w:r>
        <w:rPr>
          <w:rFonts w:hint="eastAsia" w:ascii="宋体" w:hAnsi="宋体" w:eastAsia="宋体" w:cs="宋体"/>
          <w:color w:val="auto"/>
          <w:szCs w:val="24"/>
          <w:highlight w:val="none"/>
        </w:rPr>
        <w:t>，如发现招标文件内容与现行法律法规不相符的情况，以现行法律法规为准。</w:t>
      </w:r>
    </w:p>
    <w:p>
      <w:pP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9.招标文件的澄清修改及询问</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9.1采购人如果对已发出的招标文件进行必要的澄清或者修改，将在原公告发布媒体上发布澄清公告。澄清或者修改的内容为招标文件的组成部分。</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9.2澄清或者修改的内容可能影响投标文件编制的，采购代理机构将在投标截止时间至少15日前，以书面形式通知所有获取招标文件的潜在</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；不足15日的，采购代理机构将顺延提交投标文件的截止时间。</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9.3已经获取招标文件的</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对招标文件有疑问的，采购代理机构将在3个工作日内采用适当方式予以澄清或以书面形式予以答复。</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在收到上述通知后，应立即向采购代理机构回函确认。</w:t>
      </w:r>
    </w:p>
    <w:p>
      <w:pPr>
        <w:spacing w:line="500" w:lineRule="exact"/>
        <w:jc w:val="center"/>
        <w:outlineLvl w:val="1"/>
        <w:rPr>
          <w:rFonts w:hint="eastAsia" w:ascii="宋体" w:hAnsi="宋体" w:eastAsia="宋体" w:cs="宋体"/>
          <w:b/>
          <w:color w:val="auto"/>
          <w:sz w:val="32"/>
          <w:szCs w:val="32"/>
          <w:highlight w:val="none"/>
        </w:rPr>
      </w:pPr>
      <w:bookmarkStart w:id="38" w:name="_Toc403077641"/>
      <w:bookmarkStart w:id="39" w:name="_Toc363474019"/>
      <w:bookmarkStart w:id="40" w:name="_Toc363473974"/>
      <w:r>
        <w:rPr>
          <w:rFonts w:hint="eastAsia" w:ascii="宋体" w:hAnsi="宋体" w:eastAsia="宋体" w:cs="宋体"/>
          <w:b/>
          <w:color w:val="auto"/>
          <w:sz w:val="32"/>
          <w:szCs w:val="32"/>
          <w:highlight w:val="none"/>
        </w:rPr>
        <w:t>三.投标文件的编制</w:t>
      </w:r>
      <w:bookmarkEnd w:id="38"/>
      <w:bookmarkEnd w:id="39"/>
      <w:bookmarkEnd w:id="40"/>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10.投标语言和货币</w:t>
      </w:r>
    </w:p>
    <w:p>
      <w:pPr>
        <w:spacing w:line="50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10.1</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提交的投标文件以及</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与采购代理机构就有关投标的所有来往函电均应使用简体中文。</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10.2投标应以人民币报价。任何包含非人民币报价的投标将按无效投标处理。</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11.投标文件的构成</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11.1 </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提交的电子投标文件应包括下列部分的内容：</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（1）按照</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须知的要求和招标文件规定的格式填写的投标函、开标一览表、法定代表人授权书。</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（2）按照招标文件的要求编制的投标方案。</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（3）按照招标文件</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须知前附表的要求提交的资格证明文件；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（4）招标文件中要求的其他证明文件。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 如果在招标文件中没有允许提供备选方案，则每个</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只允许提交一个投标方案，否则，其投标按照无效投标处理。</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 本次投标的最小单元：见</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须知前附表，</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可根据自身的资质情况和经营范围进行投标，但不得将其子目自行分解或针对品目进行不完全投标，任何不完全的投标将按无效投标处理。</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12.投标文件格式</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应按照招标文件中第六章所提供的格式和要求制作电子投标文件，明确表达投标意愿，详细说明投标方案、承诺及价格。</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w:t>
      </w: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应完整地提供招标文件要求的所有数据和资料。</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13.投标报价</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13.1投标报价：见</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须知前附表。</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13.2投标报价表中标明的价格应为履行合同的固定价格，不得以任何理由予以变更。以可调整的价格提交的投标文件将按无效投标处理。</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14.证明</w:t>
      </w:r>
      <w:r>
        <w:rPr>
          <w:rFonts w:hint="eastAsia" w:hAnsi="宋体" w:cs="宋体"/>
          <w:b/>
          <w:color w:val="auto"/>
          <w:szCs w:val="24"/>
          <w:highlight w:val="none"/>
          <w:lang w:eastAsia="zh-CN"/>
        </w:rPr>
        <w:t>投标人</w:t>
      </w:r>
      <w:r>
        <w:rPr>
          <w:rFonts w:hint="eastAsia" w:ascii="宋体" w:hAnsi="宋体" w:eastAsia="宋体" w:cs="宋体"/>
          <w:b/>
          <w:color w:val="auto"/>
          <w:szCs w:val="24"/>
          <w:highlight w:val="none"/>
        </w:rPr>
        <w:t>合格和资格的文件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应按照招标文件“</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须知前附表”的要求，在投标文件中提交合格的资格证明文件。如果资格证明文件不齐全或不合格的，其投标将按无效投标处理。</w:t>
      </w:r>
    </w:p>
    <w:p>
      <w:pPr>
        <w:spacing w:line="500" w:lineRule="exact"/>
        <w:outlineLvl w:val="2"/>
        <w:rPr>
          <w:rFonts w:hint="eastAsia" w:ascii="宋体" w:hAnsi="宋体" w:eastAsia="宋体" w:cs="宋体"/>
          <w:color w:val="auto"/>
          <w:highlight w:val="none"/>
        </w:rPr>
      </w:pPr>
      <w:r>
        <w:rPr>
          <w:rFonts w:hint="eastAsia" w:ascii="宋体" w:hAnsi="宋体" w:eastAsia="宋体" w:cs="宋体"/>
          <w:b/>
          <w:color w:val="auto"/>
          <w:szCs w:val="24"/>
          <w:highlight w:val="none"/>
        </w:rPr>
        <w:t>15.证明服务符合招标文件规定的文件</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.1</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.2上述证明文件可以是文字资料、图纸、图片、数据、宣传彩页等，所有证明文件表达意思必须统一（如需</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提供样品，样品必须与投标文件的表述完全符合）。包括：</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(1)产品的详细说明；</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(2)逐条对招标文件提出的技术要求和商务要求进行应答，说明所提供的产品和服务对招标的技术和商务要求是否做出了实质性响应并提供具备文件；</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(3)供货范围和服务内容的详细说明。</w:t>
      </w:r>
    </w:p>
    <w:p>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16.投标保证金</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16.1投标保证金：详见</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须知前附表。</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16.2未按16.1条要求提交投标保证金的将被视为投标无效。在下列情况下投标保证金不予返还：</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在投标有效期内撤回其投标文件；</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在投标文件中提供伪造、套改、虚假资料参加投标的；</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（3）除因不可抗力或招标文件认可的情形以外，成交</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不与采购人签订合同的；</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与采购人、其他</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 xml:space="preserve">或者采购代理机构恶意串通的； </w:t>
      </w:r>
    </w:p>
    <w:p>
      <w:pPr>
        <w:spacing w:line="500" w:lineRule="exact"/>
        <w:ind w:firstLine="480" w:firstLineChars="200"/>
        <w:outlineLvl w:val="2"/>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（5）法律法规规定的其他情形。</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.1投标有效期从递交投标文件截止之日起90日历天。投标文件应在投标有效期内保持有效。投标有效期不满足规定有效期的投标文件将被视为无效投标而拒绝。</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.2特殊情况下，在原投标有效期期满之前，采购代理机构可向</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提出延长投标有效期的要求。这种要求与答复均应以书面的形式。同意延长的</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既不能要求也不允许修改其投标文件。</w:t>
      </w:r>
    </w:p>
    <w:p>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18.投标文件</w:t>
      </w:r>
    </w:p>
    <w:p>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18.1电子投标文件</w:t>
      </w:r>
    </w:p>
    <w:p>
      <w:pPr>
        <w:pStyle w:val="15"/>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（1）投标文件全部采用电子文档，根据《电子招标投标办法》有关规定，投标文件提交截止时间前,各</w:t>
      </w:r>
      <w:r>
        <w:rPr>
          <w:rFonts w:hint="eastAsia" w:ascii="宋体" w:hAnsi="宋体" w:cs="宋体"/>
          <w:color w:val="auto"/>
          <w:szCs w:val="24"/>
          <w:highlight w:val="none"/>
          <w:lang w:eastAsia="zh-CN"/>
        </w:rPr>
        <w:t>投标人</w:t>
      </w:r>
      <w:r>
        <w:rPr>
          <w:rFonts w:hint="eastAsia" w:ascii="宋体" w:hAnsi="宋体" w:eastAsia="宋体" w:cs="宋体"/>
          <w:color w:val="auto"/>
          <w:szCs w:val="24"/>
          <w:highlight w:val="none"/>
        </w:rPr>
        <w:t>务必在开标前完成在线签到工作，否则将视同为放弃投标。</w:t>
      </w:r>
    </w:p>
    <w:p>
      <w:pPr>
        <w:pStyle w:val="15"/>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（2）各</w:t>
      </w:r>
      <w:r>
        <w:rPr>
          <w:rFonts w:hint="eastAsia" w:ascii="宋体" w:hAnsi="宋体" w:cs="宋体"/>
          <w:color w:val="auto"/>
          <w:szCs w:val="24"/>
          <w:highlight w:val="none"/>
          <w:lang w:eastAsia="zh-CN"/>
        </w:rPr>
        <w:t>投标人</w:t>
      </w:r>
      <w:r>
        <w:rPr>
          <w:rFonts w:hint="eastAsia" w:ascii="宋体" w:hAnsi="宋体" w:eastAsia="宋体" w:cs="宋体"/>
          <w:color w:val="auto"/>
          <w:szCs w:val="24"/>
          <w:highlight w:val="none"/>
        </w:rPr>
        <w:t>参加不见面开标项目，应根据招标文件的要求使用电子交易平台提供的最新发布的电子招标文件及专用制作工具进行编制、签章和加密（加密和解密须用同一数字证书)，并在投标截止时间前完成电子投标文件的上传，确保上传的电子投标文件的完整性、准确性及保密性。</w:t>
      </w:r>
      <w:r>
        <w:rPr>
          <w:rFonts w:hint="eastAsia" w:ascii="宋体" w:hAnsi="宋体" w:cs="宋体"/>
          <w:color w:val="auto"/>
          <w:szCs w:val="24"/>
          <w:highlight w:val="none"/>
          <w:lang w:eastAsia="zh-CN"/>
        </w:rPr>
        <w:t>投标人</w:t>
      </w:r>
      <w:r>
        <w:rPr>
          <w:rFonts w:hint="eastAsia" w:ascii="宋体" w:hAnsi="宋体" w:eastAsia="宋体" w:cs="宋体"/>
          <w:color w:val="auto"/>
          <w:szCs w:val="24"/>
          <w:highlight w:val="none"/>
        </w:rPr>
        <w:t>编制投标文件时，涉及的有关原件应在投标文件中提供电子版。</w:t>
      </w:r>
    </w:p>
    <w:p>
      <w:pPr>
        <w:pStyle w:val="15"/>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（3）电子投标文件中需要法定代表人签字或盖章的地方，请使用“法人CA”进行签章；需要加盖服务商公章的地方，请使用“企业CA”进行盖章。加密和解密应当使用同一CA，否则将会导致解密失败。</w:t>
      </w:r>
    </w:p>
    <w:p>
      <w:pPr>
        <w:pStyle w:val="15"/>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4）电子投标文件同样需要使用上述专用软件进行编制。若电子投标文件签章后，导出的PDF文件里看不到签章，请尝试使用查看投标文件工具打开未加密的电子投标文件重新导出。在编制过程中，如有其他技术性问题，请先翻阅操作手册。</w:t>
      </w:r>
    </w:p>
    <w:p>
      <w:pPr>
        <w:pStyle w:val="15"/>
        <w:spacing w:after="0" w:line="360" w:lineRule="auto"/>
        <w:ind w:left="0" w:leftChars="0" w:right="0" w:rightChars="0" w:firstLine="480" w:firstLineChars="200"/>
        <w:jc w:val="lef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（5）各</w:t>
      </w:r>
      <w:r>
        <w:rPr>
          <w:rFonts w:hint="eastAsia" w:ascii="宋体" w:hAnsi="宋体" w:cs="宋体"/>
          <w:color w:val="auto"/>
          <w:szCs w:val="24"/>
          <w:highlight w:val="none"/>
          <w:lang w:eastAsia="zh-CN"/>
        </w:rPr>
        <w:t>投标人</w:t>
      </w:r>
      <w:r>
        <w:rPr>
          <w:rFonts w:hint="eastAsia" w:ascii="宋体" w:hAnsi="宋体" w:eastAsia="宋体" w:cs="宋体"/>
          <w:color w:val="auto"/>
          <w:szCs w:val="24"/>
          <w:highlight w:val="none"/>
        </w:rPr>
        <w:t>需实时在线观看音视频直播并及时互动，未按时加入系统或未在线参与互动的，视为放弃标书解密和对开评标全过程质疑、澄清、答辩的权利，并承担由此产生的相应后果。</w:t>
      </w:r>
    </w:p>
    <w:p>
      <w:pPr>
        <w:pStyle w:val="15"/>
        <w:spacing w:after="0" w:line="360" w:lineRule="auto"/>
        <w:ind w:left="0" w:leftChars="0" w:right="0" w:rightChars="0" w:firstLine="482" w:firstLineChars="200"/>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18.2纸质投标文件</w:t>
      </w:r>
    </w:p>
    <w:p>
      <w:pPr>
        <w:pStyle w:val="15"/>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1）开标时</w:t>
      </w:r>
      <w:r>
        <w:rPr>
          <w:rFonts w:hint="eastAsia" w:ascii="宋体" w:hAnsi="宋体" w:cs="宋体"/>
          <w:color w:val="auto"/>
          <w:szCs w:val="24"/>
          <w:highlight w:val="none"/>
          <w:lang w:eastAsia="zh-CN"/>
        </w:rPr>
        <w:t>投标人</w:t>
      </w:r>
      <w:r>
        <w:rPr>
          <w:rFonts w:hint="eastAsia" w:ascii="宋体" w:hAnsi="宋体" w:eastAsia="宋体" w:cs="宋体"/>
          <w:color w:val="auto"/>
          <w:szCs w:val="24"/>
          <w:highlight w:val="none"/>
        </w:rPr>
        <w:t>无需提交纸质投标文件，项目中标后由中标人在领取中标通知书时提供一正两副纸质投标文件用于备案。</w:t>
      </w:r>
    </w:p>
    <w:p>
      <w:pPr>
        <w:pStyle w:val="15"/>
        <w:spacing w:after="0" w:line="360" w:lineRule="auto"/>
        <w:ind w:left="0" w:leftChars="0" w:right="0" w:rightChars="0" w:firstLine="480" w:firstLineChars="200"/>
        <w:jc w:val="lef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（2）采用电子化评审系统的采购项目，其纸质投标文件应从政府采购项目投标文件制作软件中导出，并在封面注名“正本/副本”，分别装订成册。项目分标段的，应按所投标段分别准备投标文件。</w:t>
      </w:r>
    </w:p>
    <w:p>
      <w:pPr>
        <w:spacing w:before="312" w:beforeLines="100" w:after="312" w:afterLines="100" w:line="500" w:lineRule="exact"/>
        <w:jc w:val="center"/>
        <w:outlineLvl w:val="1"/>
        <w:rPr>
          <w:rFonts w:hint="eastAsia" w:ascii="宋体" w:hAnsi="宋体" w:eastAsia="宋体" w:cs="宋体"/>
          <w:b/>
          <w:color w:val="auto"/>
          <w:sz w:val="32"/>
          <w:szCs w:val="32"/>
          <w:highlight w:val="none"/>
        </w:rPr>
      </w:pPr>
      <w:bookmarkStart w:id="41" w:name="_Toc363473975"/>
      <w:bookmarkStart w:id="42" w:name="_Toc363474020"/>
      <w:bookmarkStart w:id="43" w:name="_Toc403077642"/>
      <w:r>
        <w:rPr>
          <w:rFonts w:hint="eastAsia" w:ascii="宋体" w:hAnsi="宋体" w:eastAsia="宋体" w:cs="宋体"/>
          <w:b/>
          <w:color w:val="auto"/>
          <w:sz w:val="32"/>
          <w:szCs w:val="32"/>
          <w:highlight w:val="none"/>
        </w:rPr>
        <w:t>四.投标文件的递交</w:t>
      </w:r>
      <w:bookmarkEnd w:id="41"/>
      <w:bookmarkEnd w:id="42"/>
      <w:bookmarkEnd w:id="43"/>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19．电子投标文件的加密和数字证书认证</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18.1</w:t>
      </w:r>
      <w:r>
        <w:rPr>
          <w:rFonts w:hint="eastAsia" w:hAnsi="宋体" w:cs="宋体"/>
          <w:color w:val="auto"/>
          <w:highlight w:val="none"/>
          <w:lang w:eastAsia="zh-CN"/>
        </w:rPr>
        <w:t>投标人</w:t>
      </w:r>
      <w:r>
        <w:rPr>
          <w:rFonts w:hint="eastAsia" w:ascii="宋体" w:hAnsi="宋体" w:eastAsia="宋体" w:cs="宋体"/>
          <w:color w:val="auto"/>
          <w:highlight w:val="none"/>
        </w:rPr>
        <w:t>应当按照招标文件和电子招标投标交易平台的要求加密投标文件，具体要求见</w:t>
      </w:r>
      <w:r>
        <w:rPr>
          <w:rFonts w:hint="eastAsia" w:hAnsi="宋体" w:cs="宋体"/>
          <w:color w:val="auto"/>
          <w:highlight w:val="none"/>
          <w:lang w:eastAsia="zh-CN"/>
        </w:rPr>
        <w:t>投标人</w:t>
      </w:r>
      <w:r>
        <w:rPr>
          <w:rFonts w:hint="eastAsia" w:ascii="宋体" w:hAnsi="宋体" w:eastAsia="宋体" w:cs="宋体"/>
          <w:color w:val="auto"/>
          <w:highlight w:val="none"/>
        </w:rPr>
        <w:t>须知前附表。</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18.2未按本章20.1条款要求加密和数字证书认证的投标文件，招标人不予受理。</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20.投标文件的递交</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20.1电子投标文件可于提交投标文件截止时间前任意时段登录全国公共资源交易平台（陕西省·西咸新区）网站“电子交易平台&gt;企业端”进行提交，逾期系统将拒绝接收。提交时，</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应登录全国公共资源交易中心平台（陕西省·西咸新区），选择“首页&gt;电子交易平台&gt;企业端&gt;我的项目”，点击“项目流程”，在打开的“项目管理”对话框中选择“上传投标文件”，上传加密的电子投标文件（*.SXSTF）。上传成功后，电子化平台将予以记录。</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21.投标文件的撤回、补充和修改</w:t>
      </w:r>
    </w:p>
    <w:p>
      <w:pPr>
        <w:spacing w:line="500" w:lineRule="exact"/>
        <w:ind w:firstLine="480" w:firstLineChars="200"/>
        <w:rPr>
          <w:rFonts w:hint="eastAsia" w:ascii="宋体" w:hAnsi="宋体" w:eastAsia="宋体" w:cs="宋体"/>
          <w:color w:val="auto"/>
          <w:szCs w:val="24"/>
          <w:highlight w:val="none"/>
        </w:rPr>
      </w:pP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在递交投标文件后，且在提交投标文件截止时间前，可以对所提交的投标文件进行撤回、补充或修改。</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对电子投标文件进行补充、修改的，应先从电子交易平台上撤回旧版，再重新提交新版。</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22．未按规定上传的投标文件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22.1误投的；</w:t>
      </w:r>
    </w:p>
    <w:p>
      <w:pPr>
        <w:spacing w:line="50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Cs w:val="24"/>
          <w:highlight w:val="none"/>
        </w:rPr>
        <w:t>22.2按照招标文件的规定，在投标文件的截止时间之后上传的电子投标文件，为无效投标文件。</w:t>
      </w:r>
      <w:bookmarkStart w:id="44" w:name="_Toc363474021"/>
      <w:bookmarkStart w:id="45" w:name="_Toc363473976"/>
      <w:bookmarkStart w:id="46" w:name="_Toc403077643"/>
    </w:p>
    <w:p>
      <w:pPr>
        <w:spacing w:line="50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五.开标与评标</w:t>
      </w:r>
      <w:bookmarkEnd w:id="44"/>
      <w:bookmarkEnd w:id="45"/>
      <w:bookmarkEnd w:id="46"/>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开标</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23.1本项目采用“不见面”开标形式，开标当日,</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不必抵达开标现场，可通过西咸新区公共资源交易不见面开标系统参加开标会议，并根据需要使用不见面开标系统与现场招标人进行互动交流、澄清、质疑等活动；</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w:t>
      </w:r>
      <w:r>
        <w:rPr>
          <w:rFonts w:hint="eastAsia" w:ascii="宋体" w:hAnsi="宋体" w:eastAsia="宋体" w:cs="宋体"/>
          <w:color w:val="auto"/>
          <w:highlight w:val="none"/>
        </w:rPr>
        <w:t>开标、评标过程中，参与远程互动的各</w:t>
      </w:r>
      <w:r>
        <w:rPr>
          <w:rFonts w:hint="eastAsia" w:hAnsi="宋体" w:cs="宋体"/>
          <w:color w:val="auto"/>
          <w:highlight w:val="none"/>
          <w:lang w:eastAsia="zh-CN"/>
        </w:rPr>
        <w:t>投标人</w:t>
      </w:r>
      <w:r>
        <w:rPr>
          <w:rFonts w:hint="eastAsia" w:ascii="宋体" w:hAnsi="宋体" w:eastAsia="宋体" w:cs="宋体"/>
          <w:color w:val="auto"/>
          <w:highlight w:val="none"/>
        </w:rPr>
        <w:t>应为同一个人，在否决投标、澄清、质疑等特殊情况下需要互动时，</w:t>
      </w:r>
      <w:r>
        <w:rPr>
          <w:rFonts w:hint="eastAsia" w:hAnsi="宋体" w:cs="宋体"/>
          <w:color w:val="auto"/>
          <w:highlight w:val="none"/>
          <w:lang w:eastAsia="zh-CN"/>
        </w:rPr>
        <w:t>投标人</w:t>
      </w:r>
      <w:r>
        <w:rPr>
          <w:rFonts w:hint="eastAsia" w:ascii="宋体" w:hAnsi="宋体" w:eastAsia="宋体" w:cs="宋体"/>
          <w:color w:val="auto"/>
          <w:highlight w:val="none"/>
        </w:rPr>
        <w:t>一端参与互动的人员只能是</w:t>
      </w:r>
      <w:r>
        <w:rPr>
          <w:rFonts w:hint="eastAsia" w:hAnsi="宋体" w:cs="宋体"/>
          <w:color w:val="auto"/>
          <w:highlight w:val="none"/>
          <w:lang w:eastAsia="zh-CN"/>
        </w:rPr>
        <w:t>投标人</w:t>
      </w:r>
      <w:r>
        <w:rPr>
          <w:rFonts w:hint="eastAsia" w:ascii="宋体" w:hAnsi="宋体" w:eastAsia="宋体" w:cs="宋体"/>
          <w:color w:val="auto"/>
          <w:highlight w:val="none"/>
        </w:rPr>
        <w:t>的法定代表人或授权委托人（答辩等类似环节需要其他人员参与的除外),</w:t>
      </w:r>
      <w:r>
        <w:rPr>
          <w:rFonts w:hint="eastAsia" w:hAnsi="宋体" w:cs="宋体"/>
          <w:color w:val="auto"/>
          <w:highlight w:val="none"/>
          <w:lang w:eastAsia="zh-CN"/>
        </w:rPr>
        <w:t>投标人</w:t>
      </w:r>
      <w:r>
        <w:rPr>
          <w:rFonts w:hint="eastAsia" w:ascii="宋体" w:hAnsi="宋体" w:eastAsia="宋体" w:cs="宋体"/>
          <w:color w:val="auto"/>
          <w:highlight w:val="none"/>
        </w:rPr>
        <w:t>不得以不承认互动人员的资格或身份等为借口推脱，</w:t>
      </w:r>
      <w:r>
        <w:rPr>
          <w:rFonts w:hint="eastAsia" w:hAnsi="宋体" w:cs="宋体"/>
          <w:color w:val="auto"/>
          <w:highlight w:val="none"/>
          <w:lang w:eastAsia="zh-CN"/>
        </w:rPr>
        <w:t>投标人</w:t>
      </w:r>
      <w:r>
        <w:rPr>
          <w:rFonts w:hint="eastAsia" w:ascii="宋体" w:hAnsi="宋体" w:eastAsia="宋体" w:cs="宋体"/>
          <w:color w:val="auto"/>
          <w:highlight w:val="none"/>
        </w:rPr>
        <w:t>自行承担随意更换人员所导致的一切后果</w:t>
      </w:r>
      <w:r>
        <w:rPr>
          <w:rFonts w:hint="eastAsia" w:ascii="宋体" w:hAnsi="宋体" w:eastAsia="宋体" w:cs="宋体"/>
          <w:color w:val="auto"/>
          <w:szCs w:val="24"/>
          <w:highlight w:val="none"/>
        </w:rPr>
        <w:t>。</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23.3只有在开标时唱出的价格和价格变动声明，评标时才能考虑。</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24．评标组织及评标原则</w:t>
      </w:r>
    </w:p>
    <w:p>
      <w:pP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按照《中华人民共和国政府采购法》、中华人民共和国2015年第658号国务院令--《中华人民共和国政府采购法实施条例》和中华人民共和国财政部2017年第87号部长令--《政府采购货物和服务招标投标管理办法》的规定，依法组建评标委员会。评标委员会按照招标文件规定的评标方法独立进行评标工作。</w:t>
      </w:r>
    </w:p>
    <w:p>
      <w:pP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24.2招标文件和投标文件是评标的依据。在评标中，不得改变招标文件中规定的评标标准、方法和中标条件。</w:t>
      </w: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不得在开标后使用任何方式对投标文件的实质性内容做任何更改。</w:t>
      </w:r>
    </w:p>
    <w:p>
      <w:pP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24.3如果</w:t>
      </w: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在规定时限内，未能答复或拒绝答复评委会提出的澄清、说明或者补正的要求，将由评委会根据其投标文件按最大风险进行评标。</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25.评审过程的保密</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25.1评标委员会成员和与评标活动有关的工作人员不得泄露有关投标文件的评审和比较、中标候选人的推荐以及与评标有关的其他情况。</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25.2在评标过程中，如果</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试图在投标文件的评审和比较、中标候选人的推荐以及与评标有关的其他方面，向评标人、采购人和采购代理机构施加任何影响，其投标应做无效投标处理。</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26.评审方法</w:t>
      </w:r>
    </w:p>
    <w:p>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26.1按照《中华人民共和国政府采购法实施条例》和《政府采购货物和服务招标投标管理办法》的规定，本次评标采用以下评标方法中的一种：详见“</w:t>
      </w: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须知前附表”。</w:t>
      </w:r>
    </w:p>
    <w:p>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1）最低评标价法，是指投标文件满足招标文件全部实质性要求，且投标报价最低的</w:t>
      </w: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为中标候选人的评标方法。</w:t>
      </w:r>
    </w:p>
    <w:p>
      <w:pPr>
        <w:spacing w:line="360" w:lineRule="auto"/>
        <w:ind w:firstLine="48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2）综合评分法，是指投标文件满足招标文件全部实质性要求，且按照评审因素的量化指标评审得分最高的</w:t>
      </w: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为中标候选人的评标方法。</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27.评审程序</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按照投标文件初审、澄清有关问题、比较与评价、推荐中标候选人名单的工作程序进行评标。在上一步评审中</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被认定无效投标者，不进入下一步的评审。</w:t>
      </w:r>
    </w:p>
    <w:p>
      <w:pPr>
        <w:pStyle w:val="2"/>
        <w:rPr>
          <w:rFonts w:hint="eastAsia" w:ascii="宋体" w:hAnsi="宋体" w:eastAsia="宋体" w:cs="宋体"/>
          <w:color w:val="auto"/>
          <w:highlight w:val="none"/>
        </w:rPr>
      </w:pPr>
    </w:p>
    <w:p>
      <w:pPr>
        <w:spacing w:line="50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六.定标、中标通知与签约</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28.定标程序</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28.1评标委员会根据评标方法的规定对</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进行评审排序，推荐3名中标候选人，作为评标结果。评标结果由评标委员会成员签字确认。</w:t>
      </w:r>
    </w:p>
    <w:p>
      <w:pPr>
        <w:spacing w:line="500" w:lineRule="exact"/>
        <w:ind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w:t>
      </w:r>
      <w:r>
        <w:rPr>
          <w:rFonts w:hint="eastAsia" w:ascii="宋体" w:hAnsi="宋体" w:eastAsia="宋体" w:cs="宋体"/>
          <w:color w:val="auto"/>
          <w:highlight w:val="none"/>
        </w:rPr>
        <w:t>采购代理机构在评标结束后1个工作日内将评标报告送采购人。采购人应当在收到评标报告后4个工作日内，按照评标报告中推荐的中标候选人顺序和有关规定确定中标人。</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28.3</w:t>
      </w:r>
      <w:r>
        <w:rPr>
          <w:rFonts w:hint="eastAsia" w:ascii="宋体" w:hAnsi="宋体" w:eastAsia="宋体" w:cs="宋体"/>
          <w:color w:val="auto"/>
          <w:highlight w:val="none"/>
        </w:rPr>
        <w:t>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hint="eastAsia" w:ascii="宋体" w:hAnsi="宋体" w:eastAsia="宋体" w:cs="宋体"/>
          <w:color w:val="auto"/>
          <w:szCs w:val="24"/>
          <w:highlight w:val="none"/>
        </w:rPr>
        <w:t>。</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28.4采购人也可以授权评标委员会评标后直接确定中标人。</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28.5中标人确定之后，中标结果将在财政部门指定的政府采购信息发布媒体上公告。</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28.6</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或者其他利害关系人对评标结果有异议的，应当在法律规定的时间内提出。</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29.中标和落标通知</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29.1采购代理机构在发布中标公告后，向中标人发出《中标通知书》。</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29.2中标通知书对采购人和中标人具有同等法律效力。中标通知书发出之后，采购人改变中标结果，或者中标人放弃中标，应当承担相应的法律责任。</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29.3中标公告发布后，未中标</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可致电采购代理机构获知本单位的评审得分与排序。</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30.中标合同的签订</w:t>
      </w:r>
    </w:p>
    <w:p>
      <w:pP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采购人应当自中标通知书发出之日起二十五日内，按照招标文件和中标人投标文件（包括评标中形成的澄清文件）的约定，与中标人签订书面合同。所签订的合同不得对招标文件和中标人的投标文件（包括评标中形成的澄清文件）作实质性修改。</w:t>
      </w:r>
    </w:p>
    <w:p>
      <w:pP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30.2采购人自政府采购合同签订之日起2个工作日内，将政府采购合同在省级以上人民政府财政部门指定的媒体上公告，但政府采购合同中涉及国家秘密、商业秘密的内容除外。</w:t>
      </w:r>
    </w:p>
    <w:p>
      <w:pPr>
        <w:spacing w:line="360" w:lineRule="auto"/>
        <w:outlineLvl w:val="2"/>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31.招标代理服务费</w:t>
      </w:r>
      <w:r>
        <w:rPr>
          <w:rFonts w:hint="eastAsia" w:ascii="宋体" w:hAnsi="宋体" w:eastAsia="宋体" w:cs="宋体"/>
          <w:color w:val="auto"/>
          <w:szCs w:val="24"/>
          <w:highlight w:val="none"/>
        </w:rPr>
        <w:t>：见</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须知前附表。</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32.履约验收</w:t>
      </w:r>
    </w:p>
    <w:p>
      <w:pP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32.1政府采购合同的履行、违约责任和解决争议的方法等适用《中华人民共和国民法典》。采购人按照政府采购合同规定的技术、服务、安全标准组织对</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履约情况进行验收，并出具验收书。</w:t>
      </w:r>
    </w:p>
    <w:p>
      <w:pP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32.2履约验收的费用及要求详见“</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须知前附表”。</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33.质疑</w:t>
      </w:r>
    </w:p>
    <w:p>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认为招标文件、招标过程、中标结果使自己的权益受到损害的，可以在知道或者应知其权益受到损害之日起7个工作日内，以书面形式向采购人、采购代理机构提出质疑。</w:t>
      </w:r>
    </w:p>
    <w:p>
      <w:pPr>
        <w:spacing w:line="500" w:lineRule="exact"/>
        <w:ind w:right="12" w:firstLine="480"/>
        <w:rPr>
          <w:rStyle w:val="28"/>
          <w:rFonts w:hint="eastAsia" w:ascii="宋体" w:hAnsi="宋体" w:eastAsia="宋体" w:cs="宋体"/>
          <w:bCs w:val="0"/>
          <w:color w:val="auto"/>
          <w:szCs w:val="24"/>
          <w:highlight w:val="none"/>
          <w:shd w:val="clear" w:color="auto" w:fill="FFFFFF"/>
        </w:rPr>
      </w:pPr>
      <w:r>
        <w:rPr>
          <w:rFonts w:hint="eastAsia" w:ascii="宋体" w:hAnsi="宋体" w:eastAsia="宋体" w:cs="宋体"/>
          <w:color w:val="auto"/>
          <w:szCs w:val="24"/>
          <w:highlight w:val="none"/>
        </w:rPr>
        <w:t>33.2</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必须在法定质疑期内一次性提出针对同一采购程序环节的质疑。</w:t>
      </w:r>
    </w:p>
    <w:p>
      <w:pPr>
        <w:spacing w:line="500" w:lineRule="exact"/>
        <w:ind w:left="3" w:firstLine="480" w:firstLineChars="200"/>
        <w:rPr>
          <w:rStyle w:val="28"/>
          <w:rFonts w:hint="eastAsia" w:ascii="宋体" w:hAnsi="宋体" w:eastAsia="宋体" w:cs="宋体"/>
          <w:b w:val="0"/>
          <w:color w:val="auto"/>
          <w:szCs w:val="24"/>
          <w:highlight w:val="none"/>
          <w:shd w:val="clear" w:color="auto" w:fill="FFFFFF"/>
        </w:rPr>
      </w:pPr>
      <w:r>
        <w:rPr>
          <w:rStyle w:val="28"/>
          <w:rFonts w:hint="eastAsia" w:ascii="宋体" w:hAnsi="宋体" w:eastAsia="宋体" w:cs="宋体"/>
          <w:b w:val="0"/>
          <w:color w:val="auto"/>
          <w:szCs w:val="24"/>
          <w:highlight w:val="none"/>
          <w:shd w:val="clear" w:color="auto" w:fill="FFFFFF"/>
        </w:rPr>
        <w:t>33.3</w:t>
      </w:r>
      <w:r>
        <w:rPr>
          <w:rStyle w:val="28"/>
          <w:rFonts w:hint="eastAsia" w:hAnsi="宋体" w:cs="宋体"/>
          <w:b w:val="0"/>
          <w:color w:val="auto"/>
          <w:szCs w:val="24"/>
          <w:highlight w:val="none"/>
          <w:shd w:val="clear" w:color="auto" w:fill="FFFFFF"/>
          <w:lang w:eastAsia="zh-CN"/>
        </w:rPr>
        <w:t>投标人</w:t>
      </w:r>
      <w:r>
        <w:rPr>
          <w:rStyle w:val="28"/>
          <w:rFonts w:hint="eastAsia" w:ascii="宋体" w:hAnsi="宋体" w:eastAsia="宋体" w:cs="宋体"/>
          <w:b w:val="0"/>
          <w:color w:val="auto"/>
          <w:szCs w:val="24"/>
          <w:highlight w:val="none"/>
          <w:shd w:val="clear" w:color="auto" w:fill="FFFFFF"/>
        </w:rPr>
        <w:t>可以委托代理人进行质疑。代理人提出质疑的，应当提交授权委托书。授权委托书应当载明代理人的姓名或者名称、代理事项、具体权限、期限和相关事项。</w:t>
      </w:r>
      <w:r>
        <w:rPr>
          <w:rStyle w:val="28"/>
          <w:rFonts w:hint="eastAsia" w:hAnsi="宋体" w:cs="宋体"/>
          <w:b w:val="0"/>
          <w:color w:val="auto"/>
          <w:szCs w:val="24"/>
          <w:highlight w:val="none"/>
          <w:shd w:val="clear" w:color="auto" w:fill="FFFFFF"/>
          <w:lang w:eastAsia="zh-CN"/>
        </w:rPr>
        <w:t>投标人</w:t>
      </w:r>
      <w:r>
        <w:rPr>
          <w:rStyle w:val="28"/>
          <w:rFonts w:hint="eastAsia" w:ascii="宋体" w:hAnsi="宋体" w:eastAsia="宋体" w:cs="宋体"/>
          <w:b w:val="0"/>
          <w:color w:val="auto"/>
          <w:szCs w:val="24"/>
          <w:highlight w:val="none"/>
          <w:shd w:val="clear" w:color="auto" w:fill="FFFFFF"/>
        </w:rPr>
        <w:t>为自然人的，应当由本人签字；</w:t>
      </w:r>
      <w:r>
        <w:rPr>
          <w:rStyle w:val="28"/>
          <w:rFonts w:hint="eastAsia" w:hAnsi="宋体" w:cs="宋体"/>
          <w:b w:val="0"/>
          <w:color w:val="auto"/>
          <w:szCs w:val="24"/>
          <w:highlight w:val="none"/>
          <w:shd w:val="clear" w:color="auto" w:fill="FFFFFF"/>
          <w:lang w:eastAsia="zh-CN"/>
        </w:rPr>
        <w:t>投标人</w:t>
      </w:r>
      <w:r>
        <w:rPr>
          <w:rStyle w:val="28"/>
          <w:rFonts w:hint="eastAsia" w:ascii="宋体" w:hAnsi="宋体" w:eastAsia="宋体" w:cs="宋体"/>
          <w:b w:val="0"/>
          <w:color w:val="auto"/>
          <w:szCs w:val="24"/>
          <w:highlight w:val="none"/>
          <w:shd w:val="clear" w:color="auto" w:fill="FFFFFF"/>
        </w:rPr>
        <w:t>为法人或者其他组织的，应当由法定代表人、主要负责人签字或者盖章，并加盖公章。</w:t>
      </w:r>
    </w:p>
    <w:p>
      <w:pPr>
        <w:spacing w:line="500" w:lineRule="exact"/>
        <w:ind w:left="3" w:firstLine="518" w:firstLineChars="216"/>
        <w:rPr>
          <w:rStyle w:val="28"/>
          <w:rFonts w:hint="eastAsia" w:ascii="宋体" w:hAnsi="宋体" w:eastAsia="宋体" w:cs="宋体"/>
          <w:b w:val="0"/>
          <w:color w:val="auto"/>
          <w:szCs w:val="24"/>
          <w:highlight w:val="none"/>
          <w:shd w:val="clear" w:color="auto" w:fill="FFFFFF"/>
        </w:rPr>
      </w:pPr>
      <w:r>
        <w:rPr>
          <w:rStyle w:val="28"/>
          <w:rFonts w:hint="eastAsia" w:ascii="宋体" w:hAnsi="宋体" w:eastAsia="宋体" w:cs="宋体"/>
          <w:b w:val="0"/>
          <w:color w:val="auto"/>
          <w:szCs w:val="24"/>
          <w:highlight w:val="none"/>
          <w:shd w:val="clear" w:color="auto" w:fill="FFFFFF"/>
        </w:rPr>
        <w:t>33.4以联合体形式参加政府采购活动的，其质疑应当由组成联合体的所有</w:t>
      </w:r>
      <w:r>
        <w:rPr>
          <w:rStyle w:val="28"/>
          <w:rFonts w:hint="eastAsia" w:hAnsi="宋体" w:cs="宋体"/>
          <w:b w:val="0"/>
          <w:color w:val="auto"/>
          <w:szCs w:val="24"/>
          <w:highlight w:val="none"/>
          <w:shd w:val="clear" w:color="auto" w:fill="FFFFFF"/>
          <w:lang w:eastAsia="zh-CN"/>
        </w:rPr>
        <w:t>投标人</w:t>
      </w:r>
      <w:r>
        <w:rPr>
          <w:rStyle w:val="28"/>
          <w:rFonts w:hint="eastAsia" w:ascii="宋体" w:hAnsi="宋体" w:eastAsia="宋体" w:cs="宋体"/>
          <w:b w:val="0"/>
          <w:color w:val="auto"/>
          <w:szCs w:val="24"/>
          <w:highlight w:val="none"/>
          <w:shd w:val="clear" w:color="auto" w:fill="FFFFFF"/>
        </w:rPr>
        <w:t>共同提出。</w:t>
      </w:r>
    </w:p>
    <w:p>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提出质疑应当提交质疑函和必要的证明材料。质疑函应当包括下列内容：</w:t>
      </w:r>
    </w:p>
    <w:p>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33.5.1</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的姓名或者名称、地址、邮编、联系人及联系电话；</w:t>
      </w:r>
    </w:p>
    <w:p>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33.5.2质疑项目的名称、编号；</w:t>
      </w:r>
    </w:p>
    <w:p>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33.5.3具体、明确的质疑事项和与质疑事项相关的请求；</w:t>
      </w:r>
    </w:p>
    <w:p>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33.5.4事实依据；</w:t>
      </w:r>
    </w:p>
    <w:p>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33.5.5必要的法律依据；</w:t>
      </w:r>
    </w:p>
    <w:p>
      <w:pPr>
        <w:spacing w:line="500" w:lineRule="exact"/>
        <w:ind w:right="12" w:firstLine="480" w:firstLineChars="200"/>
        <w:rPr>
          <w:rStyle w:val="28"/>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szCs w:val="24"/>
          <w:highlight w:val="none"/>
        </w:rPr>
        <w:t>33.5.6提出质疑的日期。</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 有下列情形之一的，属于无效质疑，采购代理机构和采购人不予受理：</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33.6.1质疑</w:t>
      </w:r>
      <w:r>
        <w:rPr>
          <w:rFonts w:hint="eastAsia" w:hAnsi="宋体" w:cs="宋体"/>
          <w:color w:val="auto"/>
          <w:highlight w:val="none"/>
          <w:lang w:eastAsia="zh-CN"/>
        </w:rPr>
        <w:t>投标人</w:t>
      </w:r>
      <w:r>
        <w:rPr>
          <w:rFonts w:hint="eastAsia" w:ascii="宋体" w:hAnsi="宋体" w:eastAsia="宋体" w:cs="宋体"/>
          <w:color w:val="auto"/>
          <w:highlight w:val="none"/>
        </w:rPr>
        <w:t>不是参与本次政府采购项目的</w:t>
      </w:r>
      <w:r>
        <w:rPr>
          <w:rFonts w:hint="eastAsia" w:hAnsi="宋体" w:cs="宋体"/>
          <w:color w:val="auto"/>
          <w:highlight w:val="none"/>
          <w:lang w:eastAsia="zh-CN"/>
        </w:rPr>
        <w:t>投标人</w:t>
      </w:r>
      <w:r>
        <w:rPr>
          <w:rFonts w:hint="eastAsia" w:ascii="宋体" w:hAnsi="宋体" w:eastAsia="宋体" w:cs="宋体"/>
          <w:color w:val="auto"/>
          <w:highlight w:val="none"/>
        </w:rPr>
        <w:t>；</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33.6.2质疑</w:t>
      </w:r>
      <w:r>
        <w:rPr>
          <w:rFonts w:hint="eastAsia" w:hAnsi="宋体" w:cs="宋体"/>
          <w:color w:val="auto"/>
          <w:highlight w:val="none"/>
          <w:lang w:eastAsia="zh-CN"/>
        </w:rPr>
        <w:t>投标人</w:t>
      </w:r>
      <w:r>
        <w:rPr>
          <w:rFonts w:hint="eastAsia" w:ascii="宋体" w:hAnsi="宋体" w:eastAsia="宋体" w:cs="宋体"/>
          <w:color w:val="auto"/>
          <w:highlight w:val="none"/>
        </w:rPr>
        <w:t>与质疑事项不存在利害关系的；</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33.6.3未在法定期限内提出质疑的；</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33.6.4质疑未以书面形式提出，或质疑函主要内容构成不完整的；</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33.6.5应当提交授权书而未提交的；</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33.6.6以非法手段取得证据、材料的；</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33.6.7质疑答复后，同一质疑人就同一事项或同一采购程序环节再次提出质疑的；</w:t>
      </w:r>
    </w:p>
    <w:p>
      <w:pPr>
        <w:widowControl/>
        <w:spacing w:line="500" w:lineRule="exact"/>
        <w:ind w:firstLine="480" w:firstLineChars="200"/>
        <w:rPr>
          <w:rStyle w:val="28"/>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highlight w:val="none"/>
        </w:rPr>
        <w:t>33.6.8不符合法律、法规、规章和政府采购监管机构规定的其他条件的。</w:t>
      </w:r>
    </w:p>
    <w:p>
      <w:pPr>
        <w:spacing w:line="500" w:lineRule="exact"/>
        <w:ind w:right="1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33.7质疑答复</w:t>
      </w:r>
    </w:p>
    <w:p>
      <w:pPr>
        <w:pStyle w:val="45"/>
        <w:spacing w:line="500" w:lineRule="exact"/>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33.7.1采购人或采购代理机构在收到质疑函后7个工作日内作出答复，并以书面形式通知质疑</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和其他有关</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w:t>
      </w:r>
    </w:p>
    <w:p>
      <w:pPr>
        <w:pStyle w:val="45"/>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33.7.2质疑</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对采购人、采购代理机构的答复不满意，或者采购人、采购代理机构未在规定时间内作出答复的，可以在答复期满后15个工作日内向同级人民政府财政部门提起投诉。</w:t>
      </w:r>
    </w:p>
    <w:p>
      <w:pPr>
        <w:pStyle w:val="45"/>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33.8其他需要说明的事项</w:t>
      </w:r>
    </w:p>
    <w:p>
      <w:pPr>
        <w:pStyle w:val="45"/>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33.8.1质疑函须按财政部《质疑函范本》给定的格式进行填写，范本下载详见【财政部国库司（gks.mof.gov.cn）】网站〖首页·政府采购管理〗栏目中的《政府采购</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质疑函范本》。《政府采购</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质疑函范本》链接地址：</w:t>
      </w:r>
    </w:p>
    <w:p>
      <w:pPr>
        <w:pStyle w:val="45"/>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http://gks.mof.gov.cn/ztztz/zhengfucaigouguanli/201802/t20180201_2804589.htm</w:t>
      </w:r>
    </w:p>
    <w:p>
      <w:pPr>
        <w:pStyle w:val="45"/>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33.8.2接收质疑函的方式：书面形式</w:t>
      </w:r>
    </w:p>
    <w:p>
      <w:pPr>
        <w:pStyle w:val="45"/>
        <w:spacing w:line="500" w:lineRule="exact"/>
        <w:ind w:firstLine="48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33.8.3联系部门：</w:t>
      </w:r>
      <w:r>
        <w:rPr>
          <w:rFonts w:hint="eastAsia" w:ascii="宋体" w:hAnsi="宋体" w:eastAsia="宋体" w:cs="宋体"/>
          <w:color w:val="auto"/>
          <w:szCs w:val="24"/>
          <w:highlight w:val="none"/>
          <w:lang w:eastAsia="zh-CN"/>
        </w:rPr>
        <w:t>陕西天沃工程项目管理有限公司</w:t>
      </w:r>
    </w:p>
    <w:p>
      <w:pPr>
        <w:pStyle w:val="45"/>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33.8.4联系电话：详见“</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须知前附表”</w:t>
      </w:r>
    </w:p>
    <w:p>
      <w:pPr>
        <w:pStyle w:val="45"/>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33.8.5通讯地址：西安市经济开发区凤城十一路与文景路十字西北角文景广场C座1202室</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34.其他</w:t>
      </w:r>
    </w:p>
    <w:p>
      <w:pPr>
        <w:spacing w:line="500" w:lineRule="exact"/>
        <w:ind w:firstLine="480" w:firstLineChars="200"/>
        <w:rPr>
          <w:rFonts w:hint="eastAsia" w:ascii="宋体" w:hAnsi="宋体" w:eastAsia="宋体" w:cs="宋体"/>
          <w:color w:val="auto"/>
          <w:highlight w:val="none"/>
        </w:rPr>
      </w:pPr>
      <w:bookmarkStart w:id="47" w:name="_Toc11437"/>
      <w:bookmarkStart w:id="48" w:name="_Toc11810"/>
      <w:bookmarkStart w:id="49" w:name="_Toc426457694"/>
      <w:bookmarkStart w:id="50" w:name="_Toc403077645"/>
      <w:bookmarkStart w:id="51" w:name="_Toc15898"/>
      <w:bookmarkStart w:id="52" w:name="_Toc3798"/>
      <w:r>
        <w:rPr>
          <w:rFonts w:hint="eastAsia" w:ascii="宋体" w:hAnsi="宋体" w:eastAsia="宋体" w:cs="宋体"/>
          <w:color w:val="auto"/>
          <w:highlight w:val="none"/>
        </w:rPr>
        <w:t>34.1 废标的情形</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34.1.1招标采购中，出现下列情形之一的，应予以废标：</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（1）符合专业条件的</w:t>
      </w:r>
      <w:r>
        <w:rPr>
          <w:rFonts w:hint="eastAsia" w:hAnsi="宋体" w:cs="宋体"/>
          <w:color w:val="auto"/>
          <w:highlight w:val="none"/>
          <w:lang w:eastAsia="zh-CN"/>
        </w:rPr>
        <w:t>投标人</w:t>
      </w:r>
      <w:r>
        <w:rPr>
          <w:rFonts w:hint="eastAsia" w:ascii="宋体" w:hAnsi="宋体" w:eastAsia="宋体" w:cs="宋体"/>
          <w:color w:val="auto"/>
          <w:highlight w:val="none"/>
        </w:rPr>
        <w:t>或者对招标文件作实质响应的</w:t>
      </w:r>
      <w:r>
        <w:rPr>
          <w:rFonts w:hint="eastAsia" w:hAnsi="宋体" w:cs="宋体"/>
          <w:color w:val="auto"/>
          <w:highlight w:val="none"/>
          <w:lang w:eastAsia="zh-CN"/>
        </w:rPr>
        <w:t>投标人</w:t>
      </w:r>
      <w:r>
        <w:rPr>
          <w:rFonts w:hint="eastAsia" w:ascii="宋体" w:hAnsi="宋体" w:eastAsia="宋体" w:cs="宋体"/>
          <w:color w:val="auto"/>
          <w:highlight w:val="none"/>
        </w:rPr>
        <w:t>不足3家的；</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hAnsi="宋体" w:cs="宋体"/>
          <w:color w:val="auto"/>
          <w:highlight w:val="none"/>
          <w:lang w:eastAsia="zh-CN"/>
        </w:rPr>
        <w:t>投标人</w:t>
      </w:r>
      <w:r>
        <w:rPr>
          <w:rFonts w:hint="eastAsia" w:ascii="宋体" w:hAnsi="宋体" w:eastAsia="宋体" w:cs="宋体"/>
          <w:color w:val="auto"/>
          <w:highlight w:val="none"/>
        </w:rPr>
        <w:t>的报价均超过了采购预算或最高限价的，采购人不能支付的；</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34.1.2废标后，采购代理机构应在财政部门指定采购网上公告，并公告废标的详细理由。</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34.2变更采购方式</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34.2.1存在下列情形之一的，除采购任务取消情形外，采购人经同级财政部门同意后，可按《政府采购货物和服务招标投标管理办法》（财政部87号令）第四十三条规定的方式处理：</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（1）投标截止后参加投标的人不足3家的；</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（2）通过资格审查的</w:t>
      </w:r>
      <w:r>
        <w:rPr>
          <w:rFonts w:hint="eastAsia" w:hAnsi="宋体" w:cs="宋体"/>
          <w:color w:val="auto"/>
          <w:highlight w:val="none"/>
          <w:lang w:eastAsia="zh-CN"/>
        </w:rPr>
        <w:t>投标人</w:t>
      </w:r>
      <w:r>
        <w:rPr>
          <w:rFonts w:hint="eastAsia" w:ascii="宋体" w:hAnsi="宋体" w:eastAsia="宋体" w:cs="宋体"/>
          <w:color w:val="auto"/>
          <w:highlight w:val="none"/>
        </w:rPr>
        <w:t>不足3家的；</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（3）通过符合性审查的</w:t>
      </w:r>
      <w:r>
        <w:rPr>
          <w:rFonts w:hint="eastAsia" w:hAnsi="宋体" w:cs="宋体"/>
          <w:color w:val="auto"/>
          <w:highlight w:val="none"/>
          <w:lang w:eastAsia="zh-CN"/>
        </w:rPr>
        <w:t>投标人</w:t>
      </w:r>
      <w:r>
        <w:rPr>
          <w:rFonts w:hint="eastAsia" w:ascii="宋体" w:hAnsi="宋体" w:eastAsia="宋体" w:cs="宋体"/>
          <w:color w:val="auto"/>
          <w:highlight w:val="none"/>
        </w:rPr>
        <w:t>不足3家的。</w:t>
      </w:r>
    </w:p>
    <w:p>
      <w:p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34.2.2通过符合性审查的</w:t>
      </w:r>
      <w:r>
        <w:rPr>
          <w:rFonts w:hint="eastAsia" w:hAnsi="宋体" w:cs="宋体"/>
          <w:color w:val="auto"/>
          <w:highlight w:val="none"/>
          <w:lang w:eastAsia="zh-CN"/>
        </w:rPr>
        <w:t>投标人</w:t>
      </w:r>
      <w:r>
        <w:rPr>
          <w:rFonts w:hint="eastAsia" w:ascii="宋体" w:hAnsi="宋体" w:eastAsia="宋体" w:cs="宋体"/>
          <w:color w:val="auto"/>
          <w:highlight w:val="none"/>
        </w:rPr>
        <w:t>只有2家时，采购人经同级财政部门同意后，可以按《政府采购非招标采购方式管理办法》（财政部第74号令）的规定与该2家</w:t>
      </w:r>
      <w:r>
        <w:rPr>
          <w:rFonts w:hint="eastAsia" w:hAnsi="宋体" w:cs="宋体"/>
          <w:color w:val="auto"/>
          <w:highlight w:val="none"/>
          <w:lang w:eastAsia="zh-CN"/>
        </w:rPr>
        <w:t>投标人</w:t>
      </w:r>
      <w:r>
        <w:rPr>
          <w:rFonts w:hint="eastAsia" w:ascii="宋体" w:hAnsi="宋体" w:eastAsia="宋体" w:cs="宋体"/>
          <w:color w:val="auto"/>
          <w:highlight w:val="none"/>
        </w:rPr>
        <w:t>进行竞争性谈判采购。</w:t>
      </w:r>
    </w:p>
    <w:p>
      <w:pPr>
        <w:spacing w:line="360" w:lineRule="auto"/>
        <w:rPr>
          <w:rFonts w:hint="eastAsia" w:ascii="宋体" w:hAnsi="宋体" w:eastAsia="宋体" w:cs="宋体"/>
          <w:b/>
          <w:bCs/>
          <w:color w:val="auto"/>
          <w:szCs w:val="24"/>
          <w:highlight w:val="none"/>
        </w:rPr>
      </w:pPr>
      <w:bookmarkStart w:id="53" w:name="西咸新区空港新城政府采购贷款产品列表"/>
      <w:bookmarkEnd w:id="53"/>
      <w:r>
        <w:rPr>
          <w:rFonts w:hint="eastAsia" w:ascii="宋体" w:hAnsi="宋体" w:eastAsia="宋体" w:cs="宋体"/>
          <w:b/>
          <w:color w:val="auto"/>
          <w:szCs w:val="24"/>
          <w:highlight w:val="none"/>
        </w:rPr>
        <w:t xml:space="preserve">35. </w:t>
      </w:r>
      <w:r>
        <w:rPr>
          <w:rFonts w:hint="eastAsia" w:ascii="宋体" w:hAnsi="宋体" w:eastAsia="宋体" w:cs="宋体"/>
          <w:b/>
          <w:bCs/>
          <w:color w:val="auto"/>
          <w:szCs w:val="24"/>
          <w:highlight w:val="none"/>
        </w:rPr>
        <w:t>信用担保</w:t>
      </w:r>
    </w:p>
    <w:p>
      <w:pPr>
        <w:pStyle w:val="1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（一）陕西省信用担保及信用融资政策</w:t>
      </w:r>
    </w:p>
    <w:p>
      <w:pP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支持和促进中小企业发展，进一步发挥政府采购政策功能作用，有效缓解中小企业融资难等问题，根据陕西省财政厅关于印发《陕西省中小企业政府采购信用融资办法》（陕财办采〔2018〕23号），为参与陕西省政府采购项目的</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提供政府采购信用担保，并按照程序确定了合作的担保机构。</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在交纳投标保证金及中标</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交纳履约保证金时可自愿选择通过担保机构保函的形式交纳；中标</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如果需要融资贷款服务的，可凭中标通知书、政府采购合同等相关资料，按照文件规定的程序申请办理，具体规定可登录陕西省政府采购网(www.ccgp-shaanxi.gov.cn/)重要通知专栏中查询了解。</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36.西咸新区泾河新城政府采购贷款产品列表</w:t>
      </w:r>
    </w:p>
    <w:p>
      <w:pPr>
        <w:tabs>
          <w:tab w:val="left" w:pos="312"/>
        </w:tabs>
        <w:spacing w:line="520" w:lineRule="exact"/>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附：西咸新区泾河新城政府采购贷款产品列表</w:t>
      </w:r>
    </w:p>
    <w:tbl>
      <w:tblPr>
        <w:tblStyle w:val="56"/>
        <w:tblW w:w="10425" w:type="dxa"/>
        <w:tblInd w:w="-57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25"/>
        <w:gridCol w:w="928"/>
        <w:gridCol w:w="1067"/>
        <w:gridCol w:w="2434"/>
        <w:gridCol w:w="1035"/>
        <w:gridCol w:w="1256"/>
        <w:gridCol w:w="945"/>
        <w:gridCol w:w="917"/>
        <w:gridCol w:w="131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93" w:hRule="atLeast"/>
        </w:trPr>
        <w:tc>
          <w:tcPr>
            <w:tcW w:w="525" w:type="dxa"/>
            <w:tcBorders>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28"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产品名称</w:t>
            </w:r>
          </w:p>
        </w:tc>
        <w:tc>
          <w:tcPr>
            <w:tcW w:w="1067"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银行名称</w:t>
            </w:r>
          </w:p>
        </w:tc>
        <w:tc>
          <w:tcPr>
            <w:tcW w:w="2434"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中标企业准入条件</w:t>
            </w:r>
          </w:p>
        </w:tc>
        <w:tc>
          <w:tcPr>
            <w:tcW w:w="1035"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适用项目范围</w:t>
            </w:r>
          </w:p>
        </w:tc>
        <w:tc>
          <w:tcPr>
            <w:tcW w:w="1256"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贷款额度</w:t>
            </w:r>
          </w:p>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945"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贷款期限（月）</w:t>
            </w:r>
          </w:p>
        </w:tc>
        <w:tc>
          <w:tcPr>
            <w:tcW w:w="917"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利率范围</w:t>
            </w:r>
          </w:p>
        </w:tc>
        <w:tc>
          <w:tcPr>
            <w:tcW w:w="1318" w:type="dxa"/>
            <w:tcBorders>
              <w:left w:val="single" w:color="000000" w:sz="8" w:space="0"/>
              <w:bottom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人/联系</w:t>
            </w:r>
            <w:r>
              <w:rPr>
                <w:rFonts w:hint="eastAsia" w:ascii="宋体" w:hAnsi="宋体" w:eastAsia="宋体" w:cs="宋体"/>
                <w:b/>
                <w:bCs/>
                <w:color w:val="auto"/>
                <w:sz w:val="21"/>
                <w:szCs w:val="21"/>
                <w:highlight w:val="none"/>
              </w:rPr>
              <w:t>方式</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364" w:hRule="atLeast"/>
        </w:trPr>
        <w:tc>
          <w:tcPr>
            <w:tcW w:w="525" w:type="dxa"/>
            <w:tcBorders>
              <w:top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中国邮政储蓄银行咸阳分行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1.属于政府采购中心入库名单企业，并取得政府采购合同、中标通知书；</w:t>
            </w:r>
          </w:p>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当前：3.85%-5%</w:t>
            </w:r>
          </w:p>
        </w:tc>
        <w:tc>
          <w:tcPr>
            <w:tcW w:w="1318" w:type="dxa"/>
            <w:tcBorders>
              <w:top w:val="single" w:color="000000" w:sz="8" w:space="0"/>
              <w:left w:val="single" w:color="000000" w:sz="8" w:space="0"/>
              <w:bottom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杨岗亮</w:t>
            </w:r>
            <w:r>
              <w:rPr>
                <w:rFonts w:hint="eastAsia" w:ascii="宋体" w:hAnsi="宋体" w:eastAsia="宋体" w:cs="宋体"/>
                <w:color w:val="auto"/>
                <w:sz w:val="21"/>
                <w:szCs w:val="21"/>
                <w:highlight w:val="none"/>
              </w:rPr>
              <w:t>：15829958916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72" w:hRule="atLeast"/>
        </w:trPr>
        <w:tc>
          <w:tcPr>
            <w:tcW w:w="525" w:type="dxa"/>
            <w:tcBorders>
              <w:top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北京银行股份有限公司西安分行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1.属于政府采购中心入库名单企业，并取得政府采购合同、中标通知书；</w:t>
            </w:r>
          </w:p>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政府采购交易合同金额的70%以内且最高不超过2000万。</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当前：5.22%-5.65%</w:t>
            </w:r>
          </w:p>
        </w:tc>
        <w:tc>
          <w:tcPr>
            <w:tcW w:w="1318" w:type="dxa"/>
            <w:tcBorders>
              <w:top w:val="single" w:color="000000" w:sz="8" w:space="0"/>
              <w:left w:val="single" w:color="000000" w:sz="8" w:space="0"/>
              <w:bottom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曹潇月</w:t>
            </w:r>
            <w:r>
              <w:rPr>
                <w:rFonts w:hint="eastAsia" w:ascii="宋体" w:hAnsi="宋体" w:eastAsia="宋体" w:cs="宋体"/>
                <w:color w:val="auto"/>
                <w:sz w:val="21"/>
                <w:szCs w:val="21"/>
                <w:highlight w:val="none"/>
              </w:rPr>
              <w:t>：13572827952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中国邮政储蓄银行陕西省分行营业部</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pPr>
              <w:pStyle w:val="53"/>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pPr>
              <w:pStyle w:val="53"/>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pPr>
              <w:pStyle w:val="53"/>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53"/>
              <w:spacing w:line="232" w:lineRule="auto"/>
              <w:ind w:left="43" w:right="11"/>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53"/>
              <w:spacing w:line="232" w:lineRule="auto"/>
              <w:ind w:left="44" w:right="13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当前：3.85%-5%</w:t>
            </w:r>
          </w:p>
        </w:tc>
        <w:tc>
          <w:tcPr>
            <w:tcW w:w="1318" w:type="dxa"/>
            <w:tcBorders>
              <w:top w:val="single" w:color="000000" w:sz="8" w:space="0"/>
              <w:left w:val="single" w:color="000000" w:sz="8" w:space="0"/>
              <w:bottom w:val="single" w:color="000000" w:sz="8" w:space="0"/>
            </w:tcBorders>
            <w:vAlign w:val="center"/>
          </w:tcPr>
          <w:p>
            <w:pPr>
              <w:pStyle w:val="5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方圆：</w:t>
            </w:r>
          </w:p>
          <w:p>
            <w:pPr>
              <w:pStyle w:val="5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13572560693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E政通（政采贷）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中国建设银行咸阳分行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政府采购交易合同金额的90%以内。</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当前：3.85%-4.5%</w:t>
            </w:r>
          </w:p>
        </w:tc>
        <w:tc>
          <w:tcPr>
            <w:tcW w:w="1318" w:type="dxa"/>
            <w:tcBorders>
              <w:top w:val="single" w:color="000000" w:sz="8" w:space="0"/>
              <w:left w:val="single" w:color="000000" w:sz="8" w:space="0"/>
              <w:bottom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何军辉：</w:t>
            </w: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15619583836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中国工商银行西安土门支行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当前：3.85%-4.35%</w:t>
            </w:r>
          </w:p>
        </w:tc>
        <w:tc>
          <w:tcPr>
            <w:tcW w:w="1318" w:type="dxa"/>
            <w:tcBorders>
              <w:top w:val="single" w:color="000000" w:sz="8" w:space="0"/>
              <w:left w:val="single" w:color="000000" w:sz="8" w:space="0"/>
              <w:bottom w:val="single" w:color="000000" w:sz="8" w:space="0"/>
            </w:tcBorders>
            <w:vAlign w:val="center"/>
          </w:tcPr>
          <w:p>
            <w:pPr>
              <w:pStyle w:val="53"/>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bidi="zh-CN"/>
              </w:rPr>
              <w:t>李莎：15202950458</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6</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浙商银行西安分行经开支行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1.符合本行小企业授信客户界定标准的小型、微型企业。</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2.须连续经营2年及以上或实际控制人有3年及以上从业经验，经营状况良好、信用记录良好。</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3.与采购人无关联关系，行业相关证照齐全。</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按我行小企业金融业务管理执行，最高不超过1000万元。（中型及以上客户根据企业自身经营情况来核定额度）</w:t>
            </w: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单笔业务期限货物类和服务类最长不超过1年，工程类最高不超过3年。</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当前：5.5%-6%</w:t>
            </w:r>
          </w:p>
        </w:tc>
        <w:tc>
          <w:tcPr>
            <w:tcW w:w="1318" w:type="dxa"/>
            <w:tcBorders>
              <w:top w:val="single" w:color="000000" w:sz="8" w:space="0"/>
              <w:left w:val="single" w:color="000000" w:sz="8" w:space="0"/>
              <w:bottom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芦璟：</w:t>
            </w: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18602962955</w:t>
            </w:r>
          </w:p>
        </w:tc>
      </w:tr>
    </w:tbl>
    <w:p>
      <w:pPr>
        <w:pStyle w:val="21"/>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（免责声明：泾河新城财政局按照市场主导，财政引导，自愿选择，自主决策原则搭建中小微企业融资沟通桥梁，相关业务风险由银企双方承担。泾河新城财政金融部联系人：田野，联系电话：36385516）</w:t>
      </w:r>
      <w:bookmarkEnd w:id="47"/>
      <w:bookmarkEnd w:id="48"/>
      <w:bookmarkEnd w:id="49"/>
      <w:bookmarkEnd w:id="50"/>
      <w:bookmarkEnd w:id="51"/>
      <w:bookmarkEnd w:id="52"/>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center"/>
        <w:rPr>
          <w:rFonts w:hint="eastAsia"/>
          <w:b/>
          <w:bCs/>
        </w:rPr>
      </w:pPr>
    </w:p>
    <w:p>
      <w:pPr>
        <w:jc w:val="center"/>
        <w:rPr>
          <w:rFonts w:hint="eastAsia" w:ascii="宋体" w:hAnsi="宋体" w:eastAsia="宋体" w:cs="宋体"/>
          <w:b/>
          <w:bCs/>
          <w:color w:val="auto"/>
          <w:sz w:val="36"/>
          <w:szCs w:val="36"/>
          <w:highlight w:val="none"/>
        </w:rPr>
      </w:pPr>
      <w:bookmarkStart w:id="54" w:name="_Toc1849"/>
      <w:r>
        <w:rPr>
          <w:rFonts w:hint="eastAsia" w:ascii="宋体" w:hAnsi="宋体" w:eastAsia="宋体" w:cs="宋体"/>
          <w:b/>
          <w:bCs/>
          <w:color w:val="auto"/>
          <w:sz w:val="36"/>
          <w:szCs w:val="36"/>
          <w:highlight w:val="none"/>
        </w:rPr>
        <w:t>第三章  合同条款及格式</w:t>
      </w:r>
      <w:bookmarkEnd w:id="54"/>
    </w:p>
    <w:p>
      <w:pPr>
        <w:tabs>
          <w:tab w:val="left" w:pos="210"/>
          <w:tab w:val="left" w:pos="525"/>
        </w:tabs>
        <w:spacing w:line="360" w:lineRule="auto"/>
        <w:ind w:firstLine="3373" w:firstLineChars="1050"/>
        <w:outlineLvl w:val="1"/>
        <w:rPr>
          <w:rFonts w:hint="eastAsia" w:ascii="宋体" w:hAnsi="宋体" w:eastAsia="宋体" w:cs="宋体"/>
          <w:color w:val="auto"/>
          <w:sz w:val="32"/>
          <w:szCs w:val="32"/>
          <w:highlight w:val="none"/>
        </w:rPr>
      </w:pPr>
      <w:bookmarkStart w:id="55" w:name="_Toc24663"/>
      <w:bookmarkStart w:id="56" w:name="_Toc16478"/>
      <w:bookmarkStart w:id="57" w:name="_Toc23618"/>
      <w:r>
        <w:rPr>
          <w:rFonts w:hint="eastAsia" w:ascii="宋体" w:hAnsi="宋体" w:eastAsia="宋体" w:cs="宋体"/>
          <w:b/>
          <w:bCs/>
          <w:color w:val="auto"/>
          <w:sz w:val="32"/>
          <w:szCs w:val="32"/>
          <w:highlight w:val="none"/>
        </w:rPr>
        <w:t>合同前附表</w:t>
      </w:r>
      <w:bookmarkEnd w:id="55"/>
      <w:bookmarkEnd w:id="56"/>
      <w:bookmarkEnd w:id="57"/>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本表是对合同条款的具体补充和修改，如有矛盾，应以本资料表为准。</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349"/>
        <w:gridCol w:w="77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tblHeader/>
        </w:trPr>
        <w:tc>
          <w:tcPr>
            <w:tcW w:w="739" w:type="pct"/>
            <w:vAlign w:val="center"/>
          </w:tcPr>
          <w:p>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Hans"/>
              </w:rPr>
              <w:t>序</w:t>
            </w:r>
            <w:r>
              <w:rPr>
                <w:rFonts w:hint="eastAsia" w:ascii="宋体" w:hAnsi="宋体" w:eastAsia="宋体" w:cs="宋体"/>
                <w:b/>
                <w:bCs/>
                <w:color w:val="auto"/>
                <w:szCs w:val="24"/>
                <w:highlight w:val="none"/>
              </w:rPr>
              <w:t>号</w:t>
            </w:r>
          </w:p>
        </w:tc>
        <w:tc>
          <w:tcPr>
            <w:tcW w:w="4260" w:type="pct"/>
            <w:vAlign w:val="center"/>
          </w:tcPr>
          <w:p>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57" w:hRule="exact"/>
        </w:trPr>
        <w:tc>
          <w:tcPr>
            <w:tcW w:w="739" w:type="pct"/>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4260" w:type="pct"/>
            <w:vAlign w:val="center"/>
          </w:tcPr>
          <w:p>
            <w:pPr>
              <w:spacing w:line="440" w:lineRule="exact"/>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采购人</w:t>
            </w:r>
            <w:r>
              <w:rPr>
                <w:rFonts w:hint="eastAsia" w:ascii="宋体" w:hAnsi="宋体" w:eastAsia="宋体" w:cs="宋体"/>
                <w:color w:val="auto"/>
                <w:highlight w:val="none"/>
                <w:lang w:val="en-US" w:eastAsia="zh-CN"/>
              </w:rPr>
              <w:t>名称：</w:t>
            </w:r>
            <w:r>
              <w:rPr>
                <w:rFonts w:hint="eastAsia" w:hAnsi="宋体" w:cs="宋体"/>
                <w:color w:val="auto"/>
                <w:highlight w:val="none"/>
                <w:lang w:val="en-US" w:eastAsia="zh-CN"/>
              </w:rPr>
              <w:t>西咸新区泾河新城第四小学</w:t>
            </w:r>
          </w:p>
          <w:p>
            <w:pPr>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w:t>
            </w:r>
            <w:r>
              <w:rPr>
                <w:rFonts w:hint="eastAsia" w:hAnsi="宋体" w:cs="宋体"/>
                <w:color w:val="auto"/>
                <w:highlight w:val="none"/>
                <w:lang w:val="en-US" w:eastAsia="zh-CN"/>
              </w:rPr>
              <w:t xml:space="preserve">陕西省西咸新区泾河新城崇文镇摆渡村 </w:t>
            </w:r>
          </w:p>
          <w:p>
            <w:pPr>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项目名称：</w:t>
            </w:r>
            <w:r>
              <w:rPr>
                <w:rFonts w:hint="eastAsia" w:hAnsi="宋体" w:cs="宋体"/>
                <w:color w:val="auto"/>
                <w:highlight w:val="none"/>
                <w:lang w:val="en-US" w:eastAsia="zh-CN"/>
              </w:rPr>
              <w:t xml:space="preserve">西咸新区泾河新城第四小学2024年设备续采项目 </w:t>
            </w:r>
            <w:r>
              <w:rPr>
                <w:rFonts w:hint="eastAsia" w:ascii="宋体" w:hAnsi="宋体" w:eastAsia="宋体" w:cs="宋体"/>
                <w:color w:val="auto"/>
                <w:highlight w:val="none"/>
                <w:lang w:val="en-US" w:eastAsia="zh-CN"/>
              </w:rPr>
              <w:t xml:space="preserve"> </w:t>
            </w:r>
          </w:p>
          <w:p>
            <w:pPr>
              <w:spacing w:line="440" w:lineRule="exact"/>
              <w:rPr>
                <w:rFonts w:hint="eastAsia" w:ascii="宋体" w:hAnsi="宋体" w:eastAsia="宋体" w:cs="宋体"/>
                <w:color w:val="auto"/>
                <w:szCs w:val="24"/>
                <w:highlight w:val="none"/>
              </w:rPr>
            </w:pPr>
            <w:r>
              <w:rPr>
                <w:rFonts w:hint="eastAsia" w:ascii="宋体" w:hAnsi="宋体" w:eastAsia="宋体" w:cs="宋体"/>
                <w:color w:val="auto"/>
                <w:highlight w:val="none"/>
              </w:rPr>
              <w:t>资金来源：财政资金，资金已落实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exact"/>
        </w:trPr>
        <w:tc>
          <w:tcPr>
            <w:tcW w:w="739" w:type="pct"/>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4260" w:type="pct"/>
            <w:vAlign w:val="center"/>
          </w:tcPr>
          <w:p>
            <w:pP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w:t>
            </w:r>
            <w:r>
              <w:rPr>
                <w:rFonts w:hint="eastAsia" w:ascii="宋体" w:hAnsi="宋体" w:eastAsia="宋体" w:cs="宋体"/>
                <w:color w:val="auto"/>
                <w:szCs w:val="24"/>
                <w:highlight w:val="none"/>
                <w:lang w:eastAsia="zh-CN"/>
              </w:rPr>
              <w:t>实施</w:t>
            </w:r>
            <w:r>
              <w:rPr>
                <w:rFonts w:hint="eastAsia" w:ascii="宋体" w:hAnsi="宋体" w:eastAsia="宋体" w:cs="宋体"/>
                <w:color w:val="auto"/>
                <w:szCs w:val="24"/>
                <w:highlight w:val="none"/>
              </w:rPr>
              <w:t>地点：采购人指定地点。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7" w:hRule="exact"/>
        </w:trPr>
        <w:tc>
          <w:tcPr>
            <w:tcW w:w="739" w:type="pct"/>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4260" w:type="pct"/>
            <w:vAlign w:val="center"/>
          </w:tcPr>
          <w:p>
            <w:pPr>
              <w:spacing w:line="440" w:lineRule="exact"/>
              <w:rPr>
                <w:rFonts w:hint="eastAsia" w:hAnsi="宋体" w:cs="宋体"/>
                <w:color w:val="auto"/>
                <w:szCs w:val="24"/>
                <w:highlight w:val="none"/>
                <w:lang w:val="en-US" w:eastAsia="zh-CN"/>
              </w:rPr>
            </w:pPr>
            <w:bookmarkStart w:id="58" w:name="_Hlk66891163"/>
            <w:r>
              <w:rPr>
                <w:rFonts w:hint="eastAsia" w:ascii="宋体" w:hAnsi="宋体" w:eastAsia="宋体" w:cs="宋体"/>
                <w:color w:val="auto"/>
                <w:szCs w:val="24"/>
                <w:highlight w:val="none"/>
                <w:lang w:eastAsia="zh-CN"/>
              </w:rPr>
              <w:t>交货</w:t>
            </w:r>
            <w:r>
              <w:rPr>
                <w:rFonts w:hint="eastAsia" w:ascii="宋体" w:hAnsi="宋体" w:eastAsia="宋体" w:cs="宋体"/>
                <w:color w:val="auto"/>
                <w:szCs w:val="24"/>
                <w:highlight w:val="none"/>
              </w:rPr>
              <w:t>期：</w:t>
            </w:r>
            <w:bookmarkEnd w:id="58"/>
            <w:r>
              <w:rPr>
                <w:rFonts w:hint="eastAsia" w:hAnsi="宋体" w:cs="宋体"/>
                <w:color w:val="auto"/>
                <w:szCs w:val="24"/>
                <w:highlight w:val="none"/>
                <w:lang w:val="en-US" w:eastAsia="zh-CN"/>
              </w:rPr>
              <w:t>30日历日</w:t>
            </w:r>
          </w:p>
          <w:p>
            <w:pPr>
              <w:spacing w:line="440" w:lineRule="exact"/>
              <w:rPr>
                <w:rFonts w:hint="eastAsia" w:ascii="宋体" w:hAnsi="宋体" w:eastAsia="宋体" w:cs="宋体"/>
                <w:color w:val="auto"/>
                <w:szCs w:val="24"/>
                <w:highlight w:val="none"/>
              </w:rPr>
            </w:pPr>
            <w:r>
              <w:rPr>
                <w:rFonts w:hint="eastAsia" w:hAnsi="宋体" w:cs="宋体"/>
                <w:color w:val="auto"/>
                <w:szCs w:val="24"/>
                <w:highlight w:val="none"/>
                <w:lang w:val="en-US" w:eastAsia="zh-CN"/>
              </w:rPr>
              <w:t>注：交货期指</w:t>
            </w:r>
            <w:r>
              <w:rPr>
                <w:rFonts w:hint="eastAsia" w:ascii="宋体" w:hAnsi="宋体" w:eastAsia="宋体" w:cs="宋体"/>
                <w:color w:val="auto"/>
                <w:szCs w:val="24"/>
                <w:highlight w:val="none"/>
              </w:rPr>
              <w:t>自合同签订之日</w:t>
            </w:r>
            <w:r>
              <w:rPr>
                <w:rFonts w:hint="eastAsia" w:hAnsi="宋体" w:cs="宋体"/>
                <w:color w:val="auto"/>
                <w:szCs w:val="24"/>
                <w:highlight w:val="none"/>
                <w:lang w:eastAsia="zh-CN"/>
              </w:rPr>
              <w:t>至</w:t>
            </w:r>
            <w:r>
              <w:rPr>
                <w:rFonts w:hint="eastAsia" w:ascii="宋体" w:hAnsi="宋体" w:eastAsia="宋体" w:cs="宋体"/>
                <w:color w:val="auto"/>
                <w:szCs w:val="24"/>
                <w:highlight w:val="none"/>
              </w:rPr>
              <w:t>完成全部项目内容，并交付采购人验收合格。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4260" w:type="pct"/>
            <w:vAlign w:val="center"/>
          </w:tcPr>
          <w:p>
            <w:pP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w:t>
            </w:r>
            <w:r>
              <w:rPr>
                <w:rFonts w:hint="eastAsia" w:ascii="宋体" w:hAnsi="宋体" w:eastAsia="宋体" w:cs="宋体"/>
                <w:color w:val="auto"/>
                <w:highlight w:val="none"/>
              </w:rPr>
              <w:t>付款方式和程序：所有采购物品交付安装完毕，经验收投入使用后</w:t>
            </w:r>
            <w:r>
              <w:rPr>
                <w:rFonts w:hint="eastAsia" w:hAnsi="宋体" w:cs="宋体"/>
                <w:color w:val="auto"/>
                <w:highlight w:val="none"/>
                <w:lang w:eastAsia="zh-CN"/>
              </w:rPr>
              <w:t>一次性</w:t>
            </w:r>
            <w:r>
              <w:rPr>
                <w:rFonts w:hint="eastAsia" w:ascii="宋体" w:hAnsi="宋体" w:eastAsia="宋体" w:cs="宋体"/>
                <w:color w:val="auto"/>
                <w:highlight w:val="none"/>
              </w:rPr>
              <w:t>支付合同金额的 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4260" w:type="pct"/>
            <w:vAlign w:val="center"/>
          </w:tcPr>
          <w:p>
            <w:pPr>
              <w:spacing w:line="44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违约责任：</w:t>
            </w:r>
          </w:p>
          <w:p>
            <w:pPr>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按《中华人民共和国政府采购法》、《中华人民共和国民法典》中的相关条款执行。</w:t>
            </w:r>
          </w:p>
          <w:p>
            <w:pPr>
              <w:tabs>
                <w:tab w:val="left" w:pos="152"/>
              </w:tabs>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未按合同或招标文件要求提供服务或服务不能满足采购人技术要求，采购单位有权终止合同，甚至对</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违约行为进行追究。</w:t>
            </w:r>
          </w:p>
        </w:tc>
      </w:tr>
    </w:tbl>
    <w:p>
      <w:pP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pPr>
        <w:pStyle w:val="2"/>
        <w:rPr>
          <w:rFonts w:hint="eastAsia" w:ascii="宋体" w:hAnsi="宋体" w:eastAsia="宋体" w:cs="宋体"/>
          <w:b/>
          <w:bCs/>
          <w:color w:val="auto"/>
          <w:sz w:val="48"/>
          <w:szCs w:val="48"/>
          <w:highlight w:val="none"/>
        </w:rPr>
      </w:pPr>
    </w:p>
    <w:p>
      <w:pPr>
        <w:pStyle w:val="2"/>
        <w:rPr>
          <w:rFonts w:hint="eastAsia" w:ascii="宋体" w:hAnsi="宋体" w:eastAsia="宋体" w:cs="宋体"/>
          <w:b/>
          <w:bCs/>
          <w:color w:val="auto"/>
          <w:sz w:val="48"/>
          <w:szCs w:val="48"/>
          <w:highlight w:val="none"/>
        </w:rPr>
      </w:pPr>
    </w:p>
    <w:p>
      <w:pPr>
        <w:pStyle w:val="2"/>
        <w:rPr>
          <w:rFonts w:hint="eastAsia" w:ascii="宋体" w:hAnsi="宋体" w:eastAsia="宋体" w:cs="宋体"/>
          <w:b/>
          <w:bCs/>
          <w:color w:val="auto"/>
          <w:sz w:val="48"/>
          <w:szCs w:val="48"/>
          <w:highlight w:val="none"/>
        </w:rPr>
      </w:pPr>
    </w:p>
    <w:p>
      <w:pPr>
        <w:pStyle w:val="2"/>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 xml:space="preserve">西咸新区泾河新城第四小学2024年设备续采项目 </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jc w:val="center"/>
        <w:rPr>
          <w:rFonts w:hint="eastAsia" w:ascii="宋体" w:hAnsi="宋体" w:eastAsia="宋体" w:cs="宋体"/>
          <w:b/>
          <w:bCs/>
          <w:color w:val="auto"/>
          <w:kern w:val="0"/>
          <w:sz w:val="52"/>
          <w:szCs w:val="52"/>
          <w:highlight w:val="none"/>
        </w:rPr>
      </w:pPr>
    </w:p>
    <w:p>
      <w:pPr>
        <w:pStyle w:val="2"/>
        <w:jc w:val="center"/>
        <w:rPr>
          <w:rFonts w:hint="eastAsia" w:ascii="宋体" w:hAnsi="宋体" w:eastAsia="宋体" w:cs="宋体"/>
          <w:b/>
          <w:bCs/>
          <w:color w:val="auto"/>
          <w:kern w:val="0"/>
          <w:sz w:val="52"/>
          <w:szCs w:val="52"/>
          <w:highlight w:val="none"/>
        </w:rPr>
      </w:pPr>
    </w:p>
    <w:p>
      <w:pPr>
        <w:pStyle w:val="2"/>
        <w:jc w:val="center"/>
        <w:rPr>
          <w:rFonts w:hint="eastAsia" w:ascii="宋体" w:hAnsi="宋体" w:eastAsia="宋体" w:cs="宋体"/>
          <w:b/>
          <w:bCs/>
          <w:color w:val="auto"/>
          <w:kern w:val="0"/>
          <w:sz w:val="52"/>
          <w:szCs w:val="52"/>
          <w:highlight w:val="none"/>
        </w:rPr>
      </w:pPr>
    </w:p>
    <w:p>
      <w:pPr>
        <w:pStyle w:val="2"/>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52"/>
          <w:szCs w:val="52"/>
          <w:highlight w:val="none"/>
        </w:rPr>
        <w:t>采购合同</w:t>
      </w:r>
    </w:p>
    <w:p>
      <w:pPr>
        <w:jc w:val="center"/>
        <w:rPr>
          <w:rFonts w:hint="eastAsia" w:ascii="宋体" w:hAnsi="宋体" w:eastAsia="宋体" w:cs="宋体"/>
          <w:bCs/>
          <w:color w:val="auto"/>
          <w:sz w:val="28"/>
          <w:szCs w:val="52"/>
          <w:highlight w:val="none"/>
        </w:rPr>
      </w:pPr>
      <w:r>
        <w:rPr>
          <w:rFonts w:hint="eastAsia" w:ascii="宋体" w:hAnsi="宋体" w:eastAsia="宋体" w:cs="宋体"/>
          <w:bCs/>
          <w:color w:val="auto"/>
          <w:sz w:val="28"/>
          <w:szCs w:val="52"/>
          <w:highlight w:val="none"/>
        </w:rPr>
        <w:t>（示范文本）</w:t>
      </w:r>
    </w:p>
    <w:p>
      <w:pPr>
        <w:rPr>
          <w:rFonts w:hint="eastAsia" w:ascii="宋体" w:hAnsi="宋体" w:eastAsia="宋体" w:cs="宋体"/>
          <w:bCs/>
          <w:color w:val="auto"/>
          <w:sz w:val="28"/>
          <w:szCs w:val="52"/>
          <w:highlight w:val="none"/>
        </w:rPr>
      </w:pPr>
      <w:r>
        <w:rPr>
          <w:rFonts w:hint="eastAsia" w:ascii="宋体" w:hAnsi="宋体" w:eastAsia="宋体" w:cs="宋体"/>
          <w:bCs/>
          <w:color w:val="auto"/>
          <w:sz w:val="28"/>
          <w:szCs w:val="52"/>
          <w:highlight w:val="none"/>
        </w:rPr>
        <w:br w:type="page"/>
      </w:r>
    </w:p>
    <w:p>
      <w:pPr>
        <w:spacing w:line="360" w:lineRule="auto"/>
        <w:ind w:right="34"/>
        <w:jc w:val="center"/>
        <w:outlineLvl w:val="1"/>
        <w:rPr>
          <w:rFonts w:hint="eastAsia" w:ascii="宋体" w:hAnsi="宋体" w:eastAsia="宋体" w:cs="宋体"/>
          <w:b/>
          <w:color w:val="auto"/>
          <w:sz w:val="32"/>
          <w:szCs w:val="36"/>
          <w:highlight w:val="none"/>
        </w:rPr>
      </w:pPr>
      <w:r>
        <w:rPr>
          <w:rFonts w:hint="eastAsia" w:ascii="宋体" w:hAnsi="宋体" w:eastAsia="宋体" w:cs="宋体"/>
          <w:b/>
          <w:color w:val="auto"/>
          <w:sz w:val="32"/>
          <w:szCs w:val="36"/>
          <w:highlight w:val="none"/>
        </w:rPr>
        <w:t>第一部分  协议书</w:t>
      </w:r>
    </w:p>
    <w:p>
      <w:pP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依据《中华人民共和国民法典》，遵循平等、自愿、公平和诚信原则，合同双方就</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（项目名称）事宜经协商一致，订立本合同。</w:t>
      </w:r>
    </w:p>
    <w:p>
      <w:pP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一、合同双方</w:t>
      </w:r>
    </w:p>
    <w:p>
      <w:pPr>
        <w:spacing w:line="520" w:lineRule="exact"/>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甲方：</w:t>
      </w:r>
      <w:r>
        <w:rPr>
          <w:rFonts w:hint="eastAsia" w:ascii="宋体" w:hAnsi="宋体" w:eastAsia="宋体" w:cs="宋体"/>
          <w:color w:val="auto"/>
          <w:szCs w:val="24"/>
          <w:highlight w:val="none"/>
          <w:u w:val="single"/>
          <w:lang w:val="en-US" w:eastAsia="zh-CN"/>
        </w:rPr>
        <w:t xml:space="preserve">                    </w:t>
      </w:r>
    </w:p>
    <w:p>
      <w:pP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乙方：</w:t>
      </w:r>
      <w:r>
        <w:rPr>
          <w:rFonts w:hint="eastAsia" w:ascii="宋体" w:hAnsi="宋体" w:eastAsia="宋体" w:cs="宋体"/>
          <w:color w:val="auto"/>
          <w:szCs w:val="24"/>
          <w:highlight w:val="none"/>
          <w:u w:val="single"/>
        </w:rPr>
        <w:t xml:space="preserve">                    </w:t>
      </w:r>
    </w:p>
    <w:tbl>
      <w:tblPr>
        <w:tblStyle w:val="25"/>
        <w:tblpPr w:leftFromText="180" w:rightFromText="180" w:vertAnchor="text" w:horzAnchor="page" w:tblpX="1512" w:tblpY="494"/>
        <w:tblOverlap w:val="never"/>
        <w:tblW w:w="94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444"/>
        <w:gridCol w:w="3946"/>
        <w:gridCol w:w="1037"/>
        <w:gridCol w:w="1027"/>
        <w:gridCol w:w="1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30" w:type="dxa"/>
            <w:vAlign w:val="center"/>
          </w:tcPr>
          <w:p>
            <w:pPr>
              <w:spacing w:line="52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444" w:type="dxa"/>
            <w:vAlign w:val="center"/>
          </w:tcPr>
          <w:p>
            <w:pPr>
              <w:spacing w:line="52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货物名称</w:t>
            </w:r>
          </w:p>
        </w:tc>
        <w:tc>
          <w:tcPr>
            <w:tcW w:w="3946" w:type="dxa"/>
            <w:vAlign w:val="center"/>
          </w:tcPr>
          <w:p>
            <w:pPr>
              <w:spacing w:line="520" w:lineRule="exact"/>
              <w:ind w:firstLine="1440" w:firstLineChars="6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产品参数</w:t>
            </w:r>
          </w:p>
        </w:tc>
        <w:tc>
          <w:tcPr>
            <w:tcW w:w="1037" w:type="dxa"/>
            <w:vAlign w:val="center"/>
          </w:tcPr>
          <w:p>
            <w:pPr>
              <w:spacing w:line="52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tc>
        <w:tc>
          <w:tcPr>
            <w:tcW w:w="1027" w:type="dxa"/>
            <w:vAlign w:val="center"/>
          </w:tcPr>
          <w:p>
            <w:pPr>
              <w:spacing w:line="52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单价（元）</w:t>
            </w:r>
          </w:p>
        </w:tc>
        <w:tc>
          <w:tcPr>
            <w:tcW w:w="1033" w:type="dxa"/>
            <w:vAlign w:val="center"/>
          </w:tcPr>
          <w:p>
            <w:pPr>
              <w:spacing w:line="52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30" w:type="dxa"/>
            <w:vAlign w:val="center"/>
          </w:tcPr>
          <w:p>
            <w:pPr>
              <w:spacing w:line="520" w:lineRule="exact"/>
              <w:ind w:firstLine="480" w:firstLineChars="200"/>
              <w:rPr>
                <w:rFonts w:hint="eastAsia" w:ascii="宋体" w:hAnsi="宋体" w:eastAsia="宋体" w:cs="宋体"/>
                <w:color w:val="auto"/>
                <w:szCs w:val="24"/>
                <w:highlight w:val="none"/>
              </w:rPr>
            </w:pPr>
          </w:p>
        </w:tc>
        <w:tc>
          <w:tcPr>
            <w:tcW w:w="1444" w:type="dxa"/>
            <w:vAlign w:val="center"/>
          </w:tcPr>
          <w:p>
            <w:pPr>
              <w:spacing w:line="520" w:lineRule="exact"/>
              <w:ind w:firstLine="480" w:firstLineChars="200"/>
              <w:rPr>
                <w:rFonts w:hint="eastAsia" w:ascii="宋体" w:hAnsi="宋体" w:eastAsia="宋体" w:cs="宋体"/>
                <w:color w:val="auto"/>
                <w:szCs w:val="24"/>
                <w:highlight w:val="none"/>
              </w:rPr>
            </w:pPr>
          </w:p>
        </w:tc>
        <w:tc>
          <w:tcPr>
            <w:tcW w:w="3946" w:type="dxa"/>
            <w:vAlign w:val="center"/>
          </w:tcPr>
          <w:p>
            <w:pPr>
              <w:spacing w:line="520" w:lineRule="exact"/>
              <w:ind w:firstLine="480" w:firstLineChars="200"/>
              <w:rPr>
                <w:rFonts w:hint="eastAsia" w:ascii="宋体" w:hAnsi="宋体" w:eastAsia="宋体" w:cs="宋体"/>
                <w:color w:val="auto"/>
                <w:szCs w:val="24"/>
                <w:highlight w:val="none"/>
              </w:rPr>
            </w:pPr>
          </w:p>
        </w:tc>
        <w:tc>
          <w:tcPr>
            <w:tcW w:w="1037" w:type="dxa"/>
            <w:vAlign w:val="center"/>
          </w:tcPr>
          <w:p>
            <w:pPr>
              <w:spacing w:line="520" w:lineRule="exact"/>
              <w:ind w:firstLine="480" w:firstLineChars="200"/>
              <w:rPr>
                <w:rFonts w:hint="eastAsia" w:ascii="宋体" w:hAnsi="宋体" w:eastAsia="宋体" w:cs="宋体"/>
                <w:color w:val="auto"/>
                <w:szCs w:val="24"/>
                <w:highlight w:val="none"/>
              </w:rPr>
            </w:pPr>
          </w:p>
        </w:tc>
        <w:tc>
          <w:tcPr>
            <w:tcW w:w="1027" w:type="dxa"/>
            <w:vAlign w:val="center"/>
          </w:tcPr>
          <w:p>
            <w:pPr>
              <w:spacing w:line="520" w:lineRule="exact"/>
              <w:ind w:firstLine="480" w:firstLineChars="200"/>
              <w:rPr>
                <w:rFonts w:hint="eastAsia" w:ascii="宋体" w:hAnsi="宋体" w:eastAsia="宋体" w:cs="宋体"/>
                <w:color w:val="auto"/>
                <w:szCs w:val="24"/>
                <w:highlight w:val="none"/>
              </w:rPr>
            </w:pPr>
          </w:p>
        </w:tc>
        <w:tc>
          <w:tcPr>
            <w:tcW w:w="1033" w:type="dxa"/>
            <w:vAlign w:val="center"/>
          </w:tcPr>
          <w:p>
            <w:pPr>
              <w:spacing w:line="520" w:lineRule="exact"/>
              <w:ind w:firstLine="480" w:firstLineChars="200"/>
              <w:rPr>
                <w:rFonts w:hint="eastAsia" w:ascii="宋体" w:hAnsi="宋体" w:eastAsia="宋体" w:cs="宋体"/>
                <w:color w:val="auto"/>
                <w:szCs w:val="24"/>
                <w:highlight w:val="none"/>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二、合同标的的内容、规格、数量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三、合同价格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3.1本合同项下总价款为人民币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元（小写，精确到小数点后两位），即</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（大写）。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3.2本项目为固定总价合同。本合同总价包括货物设计、制造、包装、仓储、运输装卸、保修期内备品备件、伴随服务等所有含税费用、员工工资，以及</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认为需要的其他一切费用。系固定不变价格，且不受市场价格变化因素的影响。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四、结算方式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4.1全部货物到达采购人指定地点并</w:t>
      </w:r>
      <w:r>
        <w:rPr>
          <w:rFonts w:hint="eastAsia" w:hAnsi="宋体" w:cs="宋体"/>
          <w:color w:val="auto"/>
          <w:szCs w:val="24"/>
          <w:highlight w:val="none"/>
          <w:lang w:eastAsia="zh-CN"/>
        </w:rPr>
        <w:t>安装交付使用并</w:t>
      </w:r>
      <w:r>
        <w:rPr>
          <w:rFonts w:hint="eastAsia" w:ascii="宋体" w:hAnsi="宋体" w:eastAsia="宋体" w:cs="宋体"/>
          <w:color w:val="auto"/>
          <w:szCs w:val="24"/>
          <w:highlight w:val="none"/>
        </w:rPr>
        <w:t>验收合格后一次性付清。即人民币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元（小写，精确到小数点后两位），（大写：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4.2付款前，乙方应向甲方开具符合财务、税务规定的等额增值税发票；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4.3支付方式：银行转账；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4.4结算方式：验收合格后填写政府采购项目验收单（一式伍份），发票（按合同总价直开采购人），</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持成交通知书、供货合同、正式发票、政府采购项目验收单，与采购人结算。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开户信息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名称：</w:t>
      </w:r>
      <w:r>
        <w:rPr>
          <w:rFonts w:hint="eastAsia" w:ascii="宋体" w:hAnsi="宋体" w:eastAsia="宋体" w:cs="宋体"/>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开户行名称：</w:t>
      </w:r>
      <w:r>
        <w:rPr>
          <w:rFonts w:hint="eastAsia" w:ascii="宋体" w:hAnsi="宋体" w:eastAsia="宋体" w:cs="宋体"/>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账号：</w:t>
      </w:r>
      <w:r>
        <w:rPr>
          <w:rFonts w:hint="eastAsia" w:ascii="宋体" w:hAnsi="宋体" w:eastAsia="宋体" w:cs="宋体"/>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六、合同履行期限、地点和方式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6.1交货期：</w:t>
      </w:r>
      <w:r>
        <w:rPr>
          <w:rFonts w:hint="eastAsia" w:hAnsi="宋体" w:cs="宋体"/>
          <w:color w:val="auto"/>
          <w:szCs w:val="24"/>
          <w:highlight w:val="none"/>
          <w:lang w:val="en-US" w:eastAsia="zh-CN"/>
        </w:rPr>
        <w:t>30日历日</w:t>
      </w:r>
      <w:r>
        <w:rPr>
          <w:rFonts w:hint="eastAsia" w:ascii="宋体" w:hAnsi="宋体" w:eastAsia="宋体" w:cs="宋体"/>
          <w:color w:val="auto"/>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6.2交货地点：采购人指定交货地点。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6.3乙方应自行选择适宜的包装方式、运输工具及线路安排合同货物运输。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（1）产品及其备附件的包装应为出厂时的原包装，包装内应附有详细的装箱清单、出厂合格证明及其他相关资料。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（2）运输由成交</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负责，运杂费已包含在合同总价内，包括从产品供应地点运送至交付地点所含的运输费、装卸费、仓储费、保险费等。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（3）运输方式由成交</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自行选择，但必须保证按期交付，相关保险费用由乙方承担。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（4）产品及其备附件到达采购人指定地点后，成交</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应按有关技术规程和采购人要求进行存放和保管。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七、合同当事人的权利和义务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7.1甲方的权利和义务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（1）甲方有权享有乙方按照上述约定提供的货物和服务。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（2）乙方未能按时交付合同货物时，甲方有权要求乙方赔偿违约金。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（3）质保期内货物出现质量问题，接到甲方通知，乙方未能及时作出响应，则甲方有权自行或委托他人解决相关问题，乙方应承担由此发生的全部费用。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（4）乙方货物交付时，甲方应提供必要的便利条件协助乙方完成交付，并及时组织相关人员对货物进行验收。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（5）乙方按照合同完成履约后，甲方应按照合同约定及时支付合同价款。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7.2乙方的权利和义务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（1）乙方有权要求甲方按照合同约定支付合同价款。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（2）乙方应按照合同约定及时交付合同货物。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八、售后服务及培训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质量保证期：自采购人签发最终验收合格证书之日起 壹 年 ，若该质量保证期小于国家标准，则以国家标准为准。产品终身维修，由乙方承担。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九、质量保证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9.1保证所供产品的设计、制造、产品性能、材料的选择和材料的检验及产品的测试等，均应按国内外通行的现行标准和相应的技术规范执行，这些标准和技术规范应为合同签订日为止最新公布发行的标准和技术规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9.2保证所供产品进货渠道正规，无假货、水货或翻新货，并能按期交付。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9.3保证所供产品在装卸、运输和仓储过程中有足够的包装保护，防止产品受潮、锈蚀、遭受冲撞及其他不可预见的损坏。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9.4成交</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所供产品因侵权而产生的一切后果由成交</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负责，采购人保留索赔权利。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9.5技术资料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9.5.1产品合格证；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9.5.2产品技术参数；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9.5.3产品使用维护说明书（中文）；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9.5.4其它资料。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9.6服务承诺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以响应文件、澄清表（函）、合同和随产品的相关文件为准。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十、违约责任及赔偿损失的计算办法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10.1按《中华人民共和国民法典》中的相关条款执行。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未按合同要求提供产品或产品质量不能满足合同要求的，采购人应当将</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违约的情况以及拟采取的措施以书面形式报政府采购监管部门，根据政府采购监管部门的处理意见，采购人有权依据《民法典》有关条款及合同约定终止合同，并要求</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承担合同价款30%的违约责任。同时，政府采购监管部门有权依据《政府采购法》及相关法律法规对</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的违法行为进行相应的处罚。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10.3</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未按照合同要求逾期交货的，每日应按照合同总金额的1‰向采购人支付违约金。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十一、合同变更、解除及终止的条件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11.1本合同在执行过程中，如合同一方提出修改，须报政府采购管理部门同意后，由甲、乙双方签署书面修改协议，并成为本合同不可分割的一部分。除此之外，本合同的条件不得有任何变化或修改。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11.2有下述情形之一，当事人可发出书面通知全部或部分地解除合同，合同自通知到达对方时全部或部分地解除：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（1）乙方迟延交付合同货物超过1个月；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合同货物由于乙方原因三次考核均未能达到技术性能考核指标或在合同约定了或双方在考核中另行达成了最低技术性能考核指标时均未能达到最低技术性能考核指标，且甲乙双方未就合同的后续履行协商达成一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（3）甲方迟延付款超过2个月；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（4）合同一方当事人未能履行合同项下任何其它义务（细微义务除外），或在未事先征得另一方当事人同意的情况下，从事任何可能在实质上不利影响其履行合同能力的活动，经另一方当事人书面通知后 15 日内未能对其行为作出补救；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（5）合同一方当事人出现破产、清算、资不抵债、成为失信被执行人等可能丧失履约能力的情形，且未能提供令对方满意的履约保证金。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11.3在乙方违约的情况下，甲方报告政府采购管理部门后，有权终止合同，并依法向乙方进行索赔实际损失(包括但不限于维权所支出的律师费、诉讼费、交通费等)。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十二、验收方式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12.1经采购人确认后，组织成交</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进行验收（必要时采购人可委托具有相关资质的第三方检测机构/技术专家对产品进行验收，需要国家法定检验部门进行检验或验收的由成交</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负责联系）。验收合格后，填写政府采购项目验收单（一式伍份）作为对产品的最终认可。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12.2验收依据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12.2.1招标文件、响应文件、澄清表（函）；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12.2.2本合同及附件文本；</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12.2.3合同签订时国家及行业现行的标准和技术规范。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12.3成交</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应向采购人提交项目实施过程中的所有资料，以便采购人日后管理和维护。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12.4鉴定和验收费用，由乙方承担。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十三、保密约定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13.1合同双方应对因履行合同而取得的另一方当事人的信息、资料等予以保密。未经另一方当事人书面同意，任何一方均不得为与履行合同无关的目的使用或向第三方披露另一方当事人提供的信息、资料。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13.2合同当事人的保密义务不适用于下列信息：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（1）非因接受信息一方的过失现在或以后进入公共领域的信息；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（2）接受信息一方当事人合法地从第三方获得并且据其善意了解第三方也不对此承担保密义务的信息；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（3）法律或法律的执行要求披露的信息。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十四、合同争议解决方式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因执行本合同所发生的或与本合同有关的一切争议,双方应通过友好协商解决，协商不成的可依法向甲方所在地人民法院起诉。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十五、不可抗力情况下的免责约定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 28 日内将有关当局或机构出具的证明文件提交给另一方当事人。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15.2受不可抗力事件影响的一方当事人对于不可抗力事件导致的任何合同义务的迟延履行或不能履行不承担违约责任。但该方当事人应尽快将不可抗力事件结束或消除的情况通知另一方当事人。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15.3双方当事人应在不可抗力事件结束或其影响消除后立即继续履行其合同义务，合同期限也应相应顺延。如果不可抗力事件的影响持续超过 90 日，则任何一方当事人均有权以书面通知解除合同。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十六、生效条件、订立日期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16.1本合同自签订之日起生效。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16.2合同一式6份，采购人、成交</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、集中采购机构各执1份；政府采购监管机构备案1份，成交</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办理结算2份。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16.3如本合同有未尽事宜，以招标文件为准，招标文件未做要求的，由双方依法订立补充合同。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十七、其他事项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合同其他事项双方另行协商补充：</w:t>
      </w:r>
      <w:r>
        <w:rPr>
          <w:rFonts w:hint="eastAsia" w:ascii="宋体" w:hAnsi="宋体" w:eastAsia="宋体" w:cs="宋体"/>
          <w:color w:val="auto"/>
          <w:szCs w:val="24"/>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（此后无正文）</w:t>
      </w:r>
    </w:p>
    <w:tbl>
      <w:tblPr>
        <w:tblStyle w:val="25"/>
        <w:tblW w:w="0" w:type="auto"/>
        <w:jc w:val="center"/>
        <w:tblLayout w:type="fixed"/>
        <w:tblCellMar>
          <w:top w:w="0" w:type="dxa"/>
          <w:left w:w="108" w:type="dxa"/>
          <w:bottom w:w="0" w:type="dxa"/>
          <w:right w:w="108" w:type="dxa"/>
        </w:tblCellMar>
      </w:tblPr>
      <w:tblGrid>
        <w:gridCol w:w="4201"/>
        <w:gridCol w:w="4202"/>
      </w:tblGrid>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甲  方</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乙  方</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ind w:firstLine="700" w:firstLineChars="35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（盖章）</w:t>
            </w:r>
          </w:p>
        </w:tc>
        <w:tc>
          <w:tcPr>
            <w:tcW w:w="4202" w:type="dxa"/>
            <w:vAlign w:val="center"/>
          </w:tcPr>
          <w:p>
            <w:pPr>
              <w:autoSpaceDE w:val="0"/>
              <w:autoSpaceDN w:val="0"/>
              <w:adjustRightInd w:val="0"/>
              <w:ind w:firstLine="800" w:firstLineChars="40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（盖章）</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 xml:space="preserve">地址： </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地址：</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邮编：</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邮编：</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 xml:space="preserve">法定代表人： </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法定代表人：</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授权代表：</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授权代表：</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电话：</w:t>
            </w:r>
          </w:p>
        </w:tc>
        <w:tc>
          <w:tcPr>
            <w:tcW w:w="4202" w:type="dxa"/>
            <w:vAlign w:val="center"/>
          </w:tcPr>
          <w:p>
            <w:pPr>
              <w:autoSpaceDE w:val="0"/>
              <w:autoSpaceDN w:val="0"/>
              <w:adjustRightInd w:val="0"/>
              <w:ind w:left="600" w:hanging="600" w:hangingChars="30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电话：</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传真：</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传真：</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开户银行：</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开户银行：</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日期：</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日期：</w:t>
            </w:r>
          </w:p>
        </w:tc>
      </w:tr>
    </w:tbl>
    <w:p>
      <w:pPr>
        <w:spacing w:line="500" w:lineRule="exact"/>
        <w:ind w:firstLine="480" w:firstLineChars="200"/>
        <w:rPr>
          <w:rFonts w:hint="eastAsia" w:ascii="宋体" w:hAnsi="宋体" w:eastAsia="宋体" w:cs="宋体"/>
          <w:color w:val="auto"/>
          <w:szCs w:val="21"/>
          <w:highlight w:val="none"/>
        </w:rPr>
        <w:sectPr>
          <w:footerReference r:id="rId11" w:type="default"/>
          <w:pgSz w:w="11906" w:h="16838"/>
          <w:pgMar w:top="1417" w:right="1417" w:bottom="1417" w:left="1417" w:header="1134" w:footer="1134" w:gutter="0"/>
          <w:pgNumType w:fmt="decimal" w:start="1"/>
          <w:cols w:space="0" w:num="1"/>
          <w:docGrid w:type="lines" w:linePitch="336" w:charSpace="0"/>
        </w:sectPr>
      </w:pPr>
    </w:p>
    <w:p>
      <w:pPr>
        <w:rPr>
          <w:rFonts w:hint="eastAsia" w:ascii="宋体" w:hAnsi="宋体" w:eastAsia="宋体" w:cs="宋体"/>
          <w:b/>
          <w:color w:val="auto"/>
          <w:kern w:val="2"/>
          <w:sz w:val="36"/>
          <w:szCs w:val="36"/>
          <w:highlight w:val="none"/>
        </w:rPr>
      </w:pP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w:t>
      </w:r>
      <w:r>
        <w:rPr>
          <w:rFonts w:hint="eastAsia" w:ascii="宋体" w:hAnsi="宋体" w:eastAsia="宋体" w:cs="宋体"/>
          <w:b/>
          <w:bCs/>
          <w:color w:val="auto"/>
          <w:sz w:val="36"/>
          <w:szCs w:val="36"/>
          <w:highlight w:val="none"/>
          <w:lang w:eastAsia="zh-CN"/>
        </w:rPr>
        <w:t>四</w:t>
      </w:r>
      <w:r>
        <w:rPr>
          <w:rFonts w:hint="eastAsia" w:ascii="宋体" w:hAnsi="宋体" w:eastAsia="宋体" w:cs="宋体"/>
          <w:b/>
          <w:bCs/>
          <w:color w:val="auto"/>
          <w:sz w:val="36"/>
          <w:szCs w:val="36"/>
          <w:highlight w:val="none"/>
        </w:rPr>
        <w:t>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采购内容及技术要求</w:t>
      </w:r>
    </w:p>
    <w:p>
      <w:pPr>
        <w:pStyle w:val="12"/>
        <w:numPr>
          <w:ilvl w:val="0"/>
          <w:numId w:val="0"/>
        </w:numPr>
        <w:rPr>
          <w:rFonts w:hint="eastAsia"/>
        </w:rPr>
      </w:pPr>
    </w:p>
    <w:p>
      <w:pPr>
        <w:numPr>
          <w:ilvl w:val="0"/>
          <w:numId w:val="3"/>
        </w:numPr>
        <w:spacing w:line="360" w:lineRule="auto"/>
        <w:ind w:firstLine="480" w:firstLineChars="200"/>
        <w:rPr>
          <w:rFonts w:hint="eastAsia" w:hAnsi="宋体" w:cs="宋体"/>
          <w:color w:val="auto"/>
          <w:szCs w:val="24"/>
          <w:highlight w:val="none"/>
          <w:lang w:val="en-US" w:eastAsia="zh-CN"/>
        </w:rPr>
      </w:pPr>
      <w:r>
        <w:rPr>
          <w:rFonts w:hint="eastAsia" w:ascii="宋体" w:hAnsi="宋体" w:eastAsia="宋体" w:cs="宋体"/>
          <w:color w:val="auto"/>
          <w:szCs w:val="24"/>
          <w:highlight w:val="none"/>
        </w:rPr>
        <w:t>项目名称：</w:t>
      </w:r>
      <w:r>
        <w:rPr>
          <w:rFonts w:hint="eastAsia" w:hAnsi="宋体" w:cs="宋体"/>
          <w:color w:val="auto"/>
          <w:szCs w:val="24"/>
          <w:highlight w:val="none"/>
          <w:lang w:val="en-US" w:eastAsia="zh-CN"/>
        </w:rPr>
        <w:t xml:space="preserve">西咸新区泾河新城第四小学2024年设备续采项目 </w:t>
      </w:r>
    </w:p>
    <w:p>
      <w:pPr>
        <w:spacing w:line="360" w:lineRule="auto"/>
        <w:ind w:firstLine="480" w:firstLineChars="200"/>
        <w:rPr>
          <w:rFonts w:hint="eastAsia" w:hAnsi="宋体" w:cs="宋体"/>
          <w:color w:val="auto"/>
          <w:szCs w:val="24"/>
          <w:highlight w:val="none"/>
          <w:lang w:val="en-US" w:eastAsia="zh-CN"/>
        </w:rPr>
      </w:pPr>
      <w:r>
        <w:rPr>
          <w:rFonts w:hint="eastAsia" w:ascii="宋体" w:hAnsi="宋体" w:eastAsia="宋体" w:cs="宋体"/>
          <w:color w:val="auto"/>
          <w:szCs w:val="24"/>
          <w:highlight w:val="none"/>
        </w:rPr>
        <w:t>二、</w:t>
      </w:r>
      <w:r>
        <w:rPr>
          <w:rFonts w:hint="eastAsia" w:ascii="宋体" w:hAnsi="宋体" w:eastAsia="宋体" w:cs="宋体"/>
          <w:color w:val="auto"/>
          <w:szCs w:val="24"/>
          <w:highlight w:val="none"/>
          <w:lang w:eastAsia="zh-CN"/>
        </w:rPr>
        <w:t>技术要求：</w:t>
      </w:r>
    </w:p>
    <w:tbl>
      <w:tblPr>
        <w:tblStyle w:val="25"/>
        <w:tblpPr w:leftFromText="180" w:rightFromText="180" w:vertAnchor="text" w:horzAnchor="page" w:tblpX="1447" w:tblpY="505"/>
        <w:tblOverlap w:val="never"/>
        <w:tblW w:w="14093" w:type="dxa"/>
        <w:tblInd w:w="0" w:type="dxa"/>
        <w:tblLayout w:type="fixed"/>
        <w:tblCellMar>
          <w:top w:w="0" w:type="dxa"/>
          <w:left w:w="108" w:type="dxa"/>
          <w:bottom w:w="0" w:type="dxa"/>
          <w:right w:w="108" w:type="dxa"/>
        </w:tblCellMar>
      </w:tblPr>
      <w:tblGrid>
        <w:gridCol w:w="788"/>
        <w:gridCol w:w="1200"/>
        <w:gridCol w:w="9975"/>
        <w:gridCol w:w="1050"/>
        <w:gridCol w:w="1080"/>
      </w:tblGrid>
      <w:tr>
        <w:tblPrEx>
          <w:tblCellMar>
            <w:top w:w="0" w:type="dxa"/>
            <w:left w:w="108" w:type="dxa"/>
            <w:bottom w:w="0" w:type="dxa"/>
            <w:right w:w="108" w:type="dxa"/>
          </w:tblCellMar>
        </w:tblPrEx>
        <w:trPr>
          <w:trHeight w:val="768" w:hRule="atLeast"/>
        </w:trPr>
        <w:tc>
          <w:tcPr>
            <w:tcW w:w="14093"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2024年泾河新城第四小学设备采购清单</w:t>
            </w:r>
          </w:p>
        </w:tc>
      </w:tr>
      <w:tr>
        <w:tblPrEx>
          <w:tblCellMar>
            <w:top w:w="0" w:type="dxa"/>
            <w:left w:w="108" w:type="dxa"/>
            <w:bottom w:w="0" w:type="dxa"/>
            <w:right w:w="108" w:type="dxa"/>
          </w:tblCellMar>
        </w:tblPrEx>
        <w:trPr>
          <w:trHeight w:val="768" w:hRule="atLeast"/>
        </w:trPr>
        <w:tc>
          <w:tcPr>
            <w:tcW w:w="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名称</w:t>
            </w:r>
          </w:p>
        </w:tc>
        <w:tc>
          <w:tcPr>
            <w:tcW w:w="99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规格功能参数</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r>
      <w:tr>
        <w:tblPrEx>
          <w:tblCellMar>
            <w:top w:w="0" w:type="dxa"/>
            <w:left w:w="108" w:type="dxa"/>
            <w:bottom w:w="0" w:type="dxa"/>
            <w:right w:w="108" w:type="dxa"/>
          </w:tblCellMar>
        </w:tblPrEx>
        <w:trPr>
          <w:trHeight w:val="2892" w:hRule="atLeast"/>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午休椅</w:t>
            </w:r>
          </w:p>
        </w:tc>
        <w:tc>
          <w:tcPr>
            <w:tcW w:w="99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1、椅腿和椅脚采用椭圆钢管并使用拉杆套管式升降，椅脚贴地部钢管尺寸为： ≥30×60×1.5mm；立柱外钢管尺寸≥30mm×60mm×1.3mm扁圆管, 内钢管≥25mmx50mm×1.3mm扁圆管。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椅脚四端配置高强度增强尼龙外套。椅腿与椅脚成直角焊接，牢固可靠。两椅腿间设有横档，横档采用椭圆钢管，尺寸≥25mm×50mm×1.3mm扁圆管。表面用环保塑粉涂装：钢管架，采用高温粉体烤塑；功能：套管式螺栓升降。</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3、颜色要求钢制部分：白色/浅灰色。桌面颜色可选。</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400</w:t>
            </w:r>
          </w:p>
        </w:tc>
      </w:tr>
      <w:tr>
        <w:tblPrEx>
          <w:tblCellMar>
            <w:top w:w="0" w:type="dxa"/>
            <w:left w:w="108" w:type="dxa"/>
            <w:bottom w:w="0" w:type="dxa"/>
            <w:right w:w="108" w:type="dxa"/>
          </w:tblCellMar>
        </w:tblPrEx>
        <w:trPr>
          <w:trHeight w:val="4733" w:hRule="atLeast"/>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智慧黑板（包含视频展台）</w:t>
            </w:r>
          </w:p>
        </w:tc>
        <w:tc>
          <w:tcPr>
            <w:tcW w:w="99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一、整体设计</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1.智慧黑板采用三拼接平面一体化设计，无推拉式结构及外露连接线，外观简洁。智慧黑板尺寸宽度不小于4200mm，高度不小于1200mm。</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2.主屏支持液体粉笔、水溶性粉笔等直接书写，两侧屏幕均支持普通粉笔、液体粉笔、水溶性粉笔等直接书写。副屏书写屏采用工业级黑色微瓷材质镀膜，表面硬度≥8H，粉笔书写细腻，抗折弯，不掉漆掉色。</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3.液晶屏显示尺寸≥86英寸，采用A规屏；分辨率≥3840×2160；可视角度≥178°。</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4.智慧黑板在0℃- 40℃环境下可正常工作</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5.采用2.2声道设计，音箱功率不小于60W，支持高级音效设置，可以调节左右声道平衡。</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二、接口及按键</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1.具备不少于2路前置双系统USB3.0接口,双系统USB3.0接口支持Android系统、Windows系统读取外接移动存储设备,即插即用无需区分接口对应系统。</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2.具备不少于1路前置Typec接口，外接电脑设备通过标准TypeC线连接至智慧黑板TypeC口，可直接调用智慧黑板内置的摄像头、麦克风、扬声器，在外接电脑即可拍摄教室画面。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3.为避免智慧黑板按键过于复杂，造成老师使用上的误触，前置按键不多于6个，更多的功能可以直接在屏幕上触控操作。</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4.电源键为三合一按键，可实现开机、关机、待机三种功能</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5.具备多种纸质护眼模式，支持在任意通道下对显示画面实现纹理实时调整；纸质纹理包含牛皮纸、素描纸、宣纸、水彩纸、水纹纸等；支持透明度调节；支持色温调节。</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6.支持通过前置按键一键启动录屏功能，可将屏幕中显示的所有内容与老师人声同时录制。 提供生产厂家确认的、相应的功能证明材料（包括但不限于测试报告、官网和功能截图等），加盖生产厂家公章。</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三、智慧黑板功能</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1.内置摄像头，摄像头像素≥1300万，摄像头视场角≥135°,支持二维码扫描识别，支持远程巡课等应用。</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2.内置非独立外扩展的麦克风，可用于录屏对音频进行采集。</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3.支持无线传屏功能，可以将外部电脑的屏幕画面通过无线方式传输到智慧黑板上显示。</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4.Wi-Fi和AP热点均支持双频2.4G &amp; 5G ，且Wi-Fi支持Wi-Fi6</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具备教师个人桌面，教师在智慧黑板设备教学桌面登录账号后，可自动获取并在桌面显示最近使用的教学课件，点击任意课件可直接进入授课模式。支持查看所有个人教学课件资源。教学桌面中的文件管理，支持同时显示本地磁盘、移动类存储设备、学校资源库、教师个人云空间的文件资源。</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6.关机状态下，通过长按电源键进入设置界面后，可点击屏幕选择故障检测、系统还原功能。</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四、电脑配置</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1.采用抽拉内置式模块化电脑，抽拉内置式，PC模块可插入智慧黑板，可实现无单独接线的插拔。按压式卡扣方式，无需工具即可快速拆卸电脑模块。  提供生产厂家确认的、相应的功能证明材料（包括但不限于测试报告、官网和功能截图等），加盖生产厂家公章。</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2.CPU：≥Intel 10代酷睿 i5或以上配置。内存：≥8GB DDR4笔记本内存或以上配置。硬盘：≥256GB SSD固态硬盘或以上配置。</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3.PC模块支持不断电情况下热插拔</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五、安卓系统</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1.内置安卓系统版本不低于11.0。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2.无PC状态下，Android操作系统下可实现windows系统中常用的教学应用功能，如白板书写、WPS软件使用、网页浏览。</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六、教学白板软件</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1.每名教师可扩展升级至不小于200G的个人云空间。</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2.支持老师个人账号注册登录使用，也可通过USB key进行身份快速识别登录。</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3.采用备授课一体化框架设计，教师可根据教学场景自由切换类PPT界面的备课模式与触控交互教学模式</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4.白板软件APP端支持上传手机相册中的照片和视频到资料夹；APP版支持在线预览、下载资料夹中的图片和视频；支持对通过APP和PC端上传的资源移动、删除和重命名；</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5.白板软件支持PC端/APP端实现信息化集体备课</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6.互动课件内容的编辑修改无需人为保存即可自动同步至云空间，可根据教师需要调整云空间自动同步的时间间隔</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7.支持一对一分享云课件</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8.软件自带直播课堂功能</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9.具备图形自由创作工具</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10.内置图片去背景处理功能；内置图片裁切功能裁切面积可自由调整；支持对音频文件进行关键帧标记</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11.支持授课评价功能，支持添加评分题、主观题等类型，设定评课范围与权限。教师的评价结果马上同步到教学管理平台。</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12.为了方便教师随时随地查看课件，白板软件APP端登录账号后，支持以列表的方式查看该账号里所有的云课件，打开云课件可对课件中的形状、文本、图片等元素克隆、删除等操作；云课件可通过微信、朋友圈、钉钉、手机号、二维码、加密链接等多种方式实现快速分享；APP具备课件回收站功能，按支持教师在3天内恢复或彻底删除单份/多份/全部已删除课件；支持通过APP录制课件讲解同步的微课视频，视频可直接同步到教师云空间。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13.▲白板软件具备英语工具AI智能纠错功能，内置AI智能语义分析模块，可对输入的英文文本的拼写、句型、语法进行错误检查，并支持一键纠错；配置听写工具，覆盖不少于8000个英语单词，支持自定义选择单词，根据单词智能生成读音；支持自定义听写频率和次数，一键生成听写卡。 提供生产厂家确认的、相应的功能证明材料（包括但不限于测试报告、官网和功能截图等），加盖生产厂家公章。</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七、德育评价系统</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1.教师可对学生进行多维度综合素质评价，支持自定义点评标签类别及点评内容，可根据学校实际需求量身制定点评量表，对学生进行多维度量化评价。</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2.校级数据统计：管理系统可汇总查看校内的班级评价排名情况，可以列表形式查看班主任、班级学生数、家长数、班级代码等信息。同时可查看某班某学生的表现行为情况。</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高效家校沟通：教师可通过精准量化评价记录学生在学校的课堂表现，家长通过家长端应用了解学生表现；对于日常突出表现可以文字评语、图片的形式实时告知家长，强化家校联系。教师可通过系统向家长发送文本、图片、语音、视频和外部网页链接等形式的通知通知，家长以电子回执及信息私聊的方式与教师互动教师可通过系统向家长告知每日作业，并通过系统开展打卡、调查、奖状表彰，开展家校共育。</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4.兼容多平台系统，可在PC、Web、安卓、iOS等系统使用</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5.支持进行校级、年级学生综合素质量表快速导入</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手机端学生档案，支持从思想品德、社会实践、身心健康、学业水平、艺术素养五大维度分析和呈现学生发展情况。网页端学生成长统计档案支持导出excel格式的班级学生评价分数，也可以单个学生的形式导出pdf格式的成长档案。</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7.系统支持通过教师日常点评数据及专业心理测试，对学生能力进行分析，分析维度包括专注力、行为习惯、理解力、探索性、表达能力、组织能力等，并对各个能力维度进行能力解释、得分量化、潜力分析。</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8.支持教师发送作业给其他教师或家长，支持设置定时发送时间教师可设置提交作业截止时间，并能在线批改学生作业，支持评语、语音及量化点评，教师筛选出的优秀作业可展示给班内所有家长。作业支持订正和修改。</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9.APP端具备学生档案功能，支持从思想品德、社会实践、身心健康、学业水平、艺术素养五大维度分析和呈现学生发展情况；系统根据学生日常行为评价情况，通过AI学生能力模型进行智能分析，为每个学生生成定制化评语，评语可支持教师二次编辑修改并推送至家长端。</w:t>
            </w:r>
          </w:p>
          <w:p>
            <w:pPr>
              <w:pStyle w:val="2"/>
              <w:rPr>
                <w:rFonts w:hint="eastAsia"/>
                <w:lang w:eastAsia="zh-CN"/>
              </w:rPr>
            </w:pP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八、教学教研管理平台</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教学教研管理平台采用Saas的服务模式，后台应用B/S架构设计，支持学校管理者在Windows、Linux、Android、iOS等多种不同的操作系统上通过网页浏览器登陆进行操作，可统计全校教师软件活跃数据、点评数据及课件上传等数据。</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为学校提供教研全流程管理服务，包含目标计划、教学设计、集体备课、听课评课、班级氛围等流程管理和数据分析，方便学校统筹管理教学、了解全校教师的教学教研产出。提供生产厂家出具的、相应的功能证明材料（包括但不限于测试报告、官网和功能截图等）</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支持管理员及教师使用网页端、移动端和小程序端登录，移动端支持校本资源的查看和应用，支持进入集体备课等教研活动，支持教学动态的实时通知。小程序端支持查看网页端数据信息，教师榜单，并定期推送数据分析报表，帮助学校检验信息化教学成果。</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教学教研管理平台可展示教师在线研修情况，包括本校最新教研动态，包括集体备课、听课评课、校本资源建设动态，包括教师备课时长和在线学习时长，并分工作日与周末对日均值、全省均值进行对比，掌握教师日常的备课和学习情况</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支持创建学校目标与计划，可以在系统中录入学校教学计划，计划可以和教案的课时数相关联，方便管理者掌握学校教学进度。支持以不同学科不同年级教研组为单位，可以在系统中录入教研组教学计划，计划可以和教案的课时数相关联，方便教研组管理教学进度。</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6.▲信息化数据雷达图：将信息化教学数据分五个维度进行评估，分别为资源建设、校影响力、班级氛围、学情分析、校本研修，并与全省均值对比，学校信息化教学情况一目了然。 提供生产厂家确认的、相应的功能证明材料（包括但不限于测试报告、官网和功能截图等），加盖生产厂家公章。</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7.支持查看教师信息化教学数据，包含课件制作数据，并支持按本周、本月、自定义时间查看全校教师课件制作的数据排行</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视频展台:</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1.整机采用圆弧式设计，托板采用磁吸吸附式机构，防止托板打落，方便打开及固定，避免机械式锁具故障率高的问题。</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2.采用≥800万像素摄像头，采用 USB直接供电</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3.A4大小拍摄幅面，1080P动态视频预览不低于30帧/秒。</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4.支持对展台画面进行放大、缩小、旋转、自适应、冻结画面等操作。</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5.支持展台画面实时批注，预设多种笔划粗细及颜色供选择，且支持对展台画面联同批注内容进行同步缩放、移动。</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6.支持将书本上的二维码放入扫描框内即可自动扫描，并进入系统浏览器获取二维码的链接内容，帮助老师快速获取电子教学资源。</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7.外壳在摄像头部分带保护镜片密封，防止灰尘沾染摄像头，防护等级达到IP4X级别。</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r>
      <w:tr>
        <w:tblPrEx>
          <w:tblCellMar>
            <w:top w:w="0" w:type="dxa"/>
            <w:left w:w="108" w:type="dxa"/>
            <w:bottom w:w="0" w:type="dxa"/>
            <w:right w:w="108" w:type="dxa"/>
          </w:tblCellMar>
        </w:tblPrEx>
        <w:trPr>
          <w:trHeight w:val="5393" w:hRule="atLeast"/>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电子班牌</w:t>
            </w:r>
          </w:p>
        </w:tc>
        <w:tc>
          <w:tcPr>
            <w:tcW w:w="99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一、智慧班牌</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1.电子班牌的显示屏≥21.5英寸，采用横屏式电容显示屏，支持10点触控，屏幕分辨率≥1920*1080，显示比例16:9；屏幕亮度≥500cd/㎡。</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2.防护等级不低于IP65。</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3.整机背部与墙面微距全贴合，背面与平整墙面间隙最大处≤2.5mm</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4.整机最大厚度不大于29mm。</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5.整机正面覆盖防眩光钢化玻璃，可在阳光、白炽灯、日光灯等强光照射下正常使用。</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6.可拍摄不低于200W像素的照片，支持不少于5人同时进行人脸识别。可支持学生无卡考勤签到、查看个人课程表、家长留言等个人信息。</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7.整机摄像头sensor支持宽动态，宽动态范围≥96dB</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8.内置高灵敏度的全向麦克风，拾音半径不小于0.5m，支持学生语音留言，留言内容同步发送至家长微信。</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9.内置2.0立体声道功放，支持视频及家长留言的音频播放。</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10.刷卡器：具有内置IC卡刷卡器，支持14443协议。学生可佩带相应的终端设备完成刷卡签到、查看个人信息等操作。</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11.整机具备至少一路RJ45网络接口；具备不少于2路USB 2.0接口。</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12.整机采用内置天线设计，无任何天线外露。</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13.整机支持外接门禁及串口接口。</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14.系统运行内存不低于2GB，存储容量不低于8GB；操作系统版本不低于Android 9.0。(需提供生产厂家确认的、相应的功能证明材料，包括但不限于测试报告、官网和功能截图)</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15.整机CPU≥4核，最高主频≥1.9G，操作系统版本不低于Android 9.0。</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16.整机电源采用插墙式电源适配器</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17.支持远程开关机功能，远程唤醒待机功耗≤2W。</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二、智慧班牌管理平台</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整套应用系统基于SaaS布局，应用界面采用B/S架构设计，支持学校管理者在Windows、Linux、Android、iOS等多种不同的操作系统上通过网页浏览器登陆进行所有管理指令操作。家长通过常用移动通讯应用工具即可实现家校互通，通知消息接收。</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系统可在后台发布班牌展示信息内容，支持照片、视频、新闻、公告、电子欢迎横幅等类型，内容支持图文混合排版；信息发布具备定向发布功能，可按照全校、班级等层级进行定向信息推送；主题模板支持自定义班牌界面，可在后台自由搭配显示组件，满足个性化的展示需求，预置班级信息、课程表、考勤、新闻、公告、相册、倒数日、天气、视频、学生量化评价排名等不少于20种显示组件。</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系统内置超过200张屏保云图，分属于不同的云图库（如：卫生健康、党建文化、科普知识等），用户可以选择需要的云图库作为班牌屏保。(需提供生产厂家确认的、相应的功能证明材料，包括但不限于测试报告、官网和功能截图)</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系统内置50+海报模板（如，欢迎模式，卫生健康，校园风采，通知公告等），支持用户自定义修改背景及文案。同时可以自定义管理海报分类。(需提供生产厂家确认的、相应的功能证明材料，包括但不限于测试报告、官网和功能截图)</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5.系统支持对信息发布进行审核权限管理，可同时设置不同审核人，用户进行信息发布时，需由指定用户审核后才可在设备上展示。</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6.支持信息发布IP白名单管理，可将相关管理人员的办公网络IP地址纳入“IP白名单”，白名单外的IP地址无法获取信息发布权限。</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7.系统支持发布课程作息时间表，可按全校和年级层级进行分层执行。每天可执行不同的课程作息时间表，便于灵活管理教学作息时间。</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8.学生考勤结果可自动推送至家长手机端，供家长查看学生考勤信息。支持考勤结束后自动推送考勤结果给班主任和任课老师，同时老师可设置关闭通知开关。</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9.系统支持在云班后台将可用来预约的场地开启场地预约，然后老师即可在云班后台发起场地预约。同时班牌端会显示当前场地近两周的预约占用情况。</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10.班牌软件支持远程0TA静默升级。</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11.为保证数据安全，系统应采用云服务器部署，支持广域网操作和管理，即管理员可使用账号密码登录网站进行管理。</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12.涉及解除触控锁定、绑定教室、系统设置（网络设置、解绑教室）、退出软件和重启设备的设置或操作时，均需进行用户身份二维码扫描认证。</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13.班牌初始化时，管理员扫描界面中的二维码可以为该班牌绑定教室；已绑定的可扫码解绑。</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14.班牌内置电子动态二维码供用户提交反馈建议，提交反馈时会自动上报该设备的配置、运行状态等信息。</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15.支持向家长发送语音留言，留言信息实时推送至家长微信小程序手机端，并且家长可对留言进行文字回复；支持学生通过个人空间査看家长回复的文字留言。</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16.支持管理系统与学生行为评价软件账号的单点登录、数据互通，教师对学生进行评价后，相应的评价分数会实时同步至班牌。</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17.人脸识别考勤功能支持离线识别，无网络环境下班牌仍可以进行人脸识别考勤；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18.支持自定义德育督导班级评分标准</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19.▲班牌可连接对应场地内的网络摄像头和录播设备，在班牌即可査看教室内的上课画面，实现电子可视化巡课；可在单个班牌切换查看多个班级部署可视化巡课系统的课堂画面。(需提供生产厂家确认的、相应的功能证明材料，包括但不限于测试报告、官网和功能截图)</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20.支持学校管理员或班主任在微信端编辑并发起问卷，家长在微信端填写问卷</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21.班牌端录入人脸识别照片：老师在班牌端扫码后，即可进入人脸照片录入界面，可依次让学生直接在班牌上拍照上传人脸识别照片。</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22.系统支持设定班牌定时开关机管理策略，支持对班牌批量设置多组自动开关机时间策略，可实现班牌每天执行不同的开关机时间策略，满足学校灵活管理设备的需求。</w:t>
            </w:r>
          </w:p>
          <w:p>
            <w:pPr>
              <w:pStyle w:val="2"/>
              <w:rPr>
                <w:rFonts w:hint="eastAsia"/>
                <w:lang w:eastAsia="zh-CN"/>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r>
      <w:tr>
        <w:tblPrEx>
          <w:tblCellMar>
            <w:top w:w="0" w:type="dxa"/>
            <w:left w:w="108" w:type="dxa"/>
            <w:bottom w:w="0" w:type="dxa"/>
            <w:right w:w="108" w:type="dxa"/>
          </w:tblCellMar>
        </w:tblPrEx>
        <w:trPr>
          <w:trHeight w:val="5933" w:hRule="atLeast"/>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班级储物柜</w:t>
            </w:r>
          </w:p>
        </w:tc>
        <w:tc>
          <w:tcPr>
            <w:tcW w:w="99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一、参数</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 单门规格</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高约305mm*宽约385mm*深约468mm （不含底座）。</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2、板材框架厚度：</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侧板≥22mm 顶板≥30mm 底板≥30mm 门板 ≥30mm  底座 ≥80mm。</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3、采用100%全新ABS塑料，柜体不使用任何五金件（锁具除外）</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4、柜体顶部和外侧板采用凸起设计，凸起部分需大于8mm。</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5、每门标配配件：无孔拉手*1个，眼镜盒*1个，门牌号*1张。</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二、工艺说明</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1、使用榫卯链接结构。柜体与柜门使用全塑尼龙铰链连接。</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2、门板与侧板连接处设计有防盗插销。</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3、背插板设有通气孔。</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4、底座高度80mm。</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5、提供检验依据为：GB/T 32487-2016《塑料家具通用技术条件》质量检测报告、GB 28481-2012 塑料家具中有害物质限量检测报告。</w:t>
            </w:r>
          </w:p>
          <w:p>
            <w:pPr>
              <w:pStyle w:val="2"/>
              <w:rPr>
                <w:rFonts w:hint="eastAsia"/>
                <w:lang w:eastAsia="zh-CN"/>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400</w:t>
            </w:r>
          </w:p>
        </w:tc>
      </w:tr>
      <w:tr>
        <w:tblPrEx>
          <w:tblCellMar>
            <w:top w:w="0" w:type="dxa"/>
            <w:left w:w="108" w:type="dxa"/>
            <w:bottom w:w="0" w:type="dxa"/>
            <w:right w:w="108" w:type="dxa"/>
          </w:tblCellMar>
        </w:tblPrEx>
        <w:trPr>
          <w:trHeight w:val="8048" w:hRule="atLeast"/>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双层架子床</w:t>
            </w:r>
          </w:p>
        </w:tc>
        <w:tc>
          <w:tcPr>
            <w:tcW w:w="99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学生双层床：主体为全钢结构。所有型材厚度是指不含涂层的型材实际厚度。</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一、床架：</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规格尺寸：W2000mm*D900mm*H1800mm（注：最终以现场实际尺寸生产）</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材质要求：</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1、边立柱：型材≥65mm*65mm*1.2mm(准许±1mm偏离),采用优质冷轧钢板经特制成型线轧制而成，其立面为中空异形立柱（方便双面喷涂，防止内部生锈，不能用方管、圆管或闭合管材），正面为斜边形设计，起到防撞作用，并有2条粗细结合加强筋增加立柱的强度。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2、长横梁：型材≥70mm*30mm*1.2mm(准许±1mm偏离)，其立面为中空异形，方便双面喷涂，防止内部生锈，增加横梁的强度。</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3、短横梁：型材≥70mm*30mm*1.2mm(准许±1mm偏离)，其立面为中空异形，方便双面喷涂，防止内部生锈，增加横梁的强度。</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4、床板支撑横梁：采用≥25mm*25mm*0.7mm优质方管.</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6、安全护栏：主体设计为圆弧形，采用≥Φ20mm*1.0mm优质圆管弯制而成，护栏整体高度为≥250mm，长度≥1200mm 。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7、梯子：支架采用25*25*1.0厚优质方管焊接，与床连接采用凸字型一次注塑成型套脚连接，达到静音效果。梯踏步采用1.5mm厚优质冷轧钢板经冲压而成，表面有凹凸纹路，起到防滑作用。</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8、床立柱外套式防潮胶套：采用优质无毒无味的PP塑料材质，一次性模压注塑成型，有效防水、防滑、防噪音。</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9、床板：规格：具体规格与床配套；材质：15mm厚板，含水量按国标要求执行，无霉点，双面刨光，床板面平整、光滑，双面平整，不变形。    </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工艺要求：塑膜的光泽度、附着力、硬度、耐冲力等均达国家标准，每张床可承重400kg。床架颜色为灰白色（颜色可选）。</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r>
      <w:tr>
        <w:tblPrEx>
          <w:tblCellMar>
            <w:top w:w="0" w:type="dxa"/>
            <w:left w:w="108" w:type="dxa"/>
            <w:bottom w:w="0" w:type="dxa"/>
            <w:right w:w="108" w:type="dxa"/>
          </w:tblCellMar>
        </w:tblPrEx>
        <w:trPr>
          <w:trHeight w:val="1452" w:hRule="atLeast"/>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铁皮双门衣柜</w:t>
            </w:r>
          </w:p>
        </w:tc>
        <w:tc>
          <w:tcPr>
            <w:tcW w:w="99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800*400*1800，采用≥0.6mm后优质冷轧钢板。</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r>
      <w:tr>
        <w:tblPrEx>
          <w:tblCellMar>
            <w:top w:w="0" w:type="dxa"/>
            <w:left w:w="108" w:type="dxa"/>
            <w:bottom w:w="0" w:type="dxa"/>
            <w:right w:w="108" w:type="dxa"/>
          </w:tblCellMar>
        </w:tblPrEx>
        <w:trPr>
          <w:trHeight w:val="1415" w:hRule="atLeast"/>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陶艺教室建造</w:t>
            </w:r>
          </w:p>
        </w:tc>
        <w:tc>
          <w:tcPr>
            <w:tcW w:w="99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清单附后</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间</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412" w:hRule="atLeast"/>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啦啦操教室建设</w:t>
            </w:r>
          </w:p>
        </w:tc>
        <w:tc>
          <w:tcPr>
            <w:tcW w:w="99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清单附后</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间</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956" w:hRule="atLeast"/>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单人床</w:t>
            </w:r>
          </w:p>
        </w:tc>
        <w:tc>
          <w:tcPr>
            <w:tcW w:w="99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尺寸≥2000*1500*1050mm,基材：采用实木板，经过防虫、防腐等化学处理，静曲强度：≥29Mpa，弹性模量：≥3000Mpa，内结合强度：≥0.43Mpa，24h吸水厚度膨胀率≤4.7%，含水率≤8.7%，表面胶合结合强度≥2.0MPa，甲醛释放量≤0.02mg/m3。表面耐磨，磨耗值≤59mg/100r，表面耐香烟灼烧，达到4级或以上，表面耐干热，达到4级或以上，符合GB 18580-2017《室内装饰装修材料人造板及其制品中甲醛释放限量》。</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2、配套床头柜一个，尺寸为：550mm*450mm*450mm。单层抽屉。床垫一张。</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张</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r>
      <w:tr>
        <w:tblPrEx>
          <w:tblCellMar>
            <w:top w:w="0" w:type="dxa"/>
            <w:left w:w="108" w:type="dxa"/>
            <w:bottom w:w="0" w:type="dxa"/>
            <w:right w:w="108" w:type="dxa"/>
          </w:tblCellMar>
        </w:tblPrEx>
        <w:trPr>
          <w:trHeight w:val="2441" w:hRule="atLeast"/>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衣柜 </w:t>
            </w:r>
          </w:p>
        </w:tc>
        <w:tc>
          <w:tcPr>
            <w:tcW w:w="99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尺寸≥1200*600*2000mm,基材：采用实木板，经过防虫、防腐等化学处理，静曲强度：≥29Mpa，弹性模量：≥3000Mpa，内结合强度：≥0.43Mpa，24h吸水厚度膨胀率≤4.7%，含水率≤8.7%，表面胶合结合强度≥2.0MPa，甲醛释放量≤0.02mg/m3。表面耐磨，磨耗值≤59mg/100r，表面耐香烟灼烧，达到4级或以上，表面耐干热，达到4级或以上，符合GB 18580-2017《室内装饰装修材料人造板及其制品中甲醛释放限量》。</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张</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r>
      <w:tr>
        <w:tblPrEx>
          <w:tblCellMar>
            <w:top w:w="0" w:type="dxa"/>
            <w:left w:w="108" w:type="dxa"/>
            <w:bottom w:w="0" w:type="dxa"/>
            <w:right w:w="108" w:type="dxa"/>
          </w:tblCellMar>
        </w:tblPrEx>
        <w:trPr>
          <w:trHeight w:val="1364" w:hRule="atLeast"/>
        </w:trPr>
        <w:tc>
          <w:tcPr>
            <w:tcW w:w="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桌子</w:t>
            </w:r>
          </w:p>
        </w:tc>
        <w:tc>
          <w:tcPr>
            <w:tcW w:w="99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尺寸：1400mm*700mm*750mm材质主要采用的是E0级中纤板。同时整体结实稳固，防潮防腐，防虫蛀，环保无毒害。</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张</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r>
    </w:tbl>
    <w:p>
      <w:pPr>
        <w:numPr>
          <w:ilvl w:val="0"/>
          <w:numId w:val="0"/>
        </w:numPr>
        <w:spacing w:line="360" w:lineRule="auto"/>
        <w:rPr>
          <w:rFonts w:hint="eastAsia" w:ascii="宋体" w:hAnsi="宋体" w:eastAsia="宋体" w:cs="宋体"/>
          <w:i w:val="0"/>
          <w:iCs w:val="0"/>
          <w:caps w:val="0"/>
          <w:spacing w:val="0"/>
          <w:sz w:val="24"/>
          <w:szCs w:val="24"/>
          <w:bdr w:val="none" w:color="auto" w:sz="0" w:space="0"/>
          <w:shd w:val="clear" w:fill="FFFFFF"/>
        </w:rPr>
      </w:pPr>
      <w:r>
        <w:rPr>
          <w:rFonts w:hint="eastAsia" w:ascii="宋体" w:hAnsi="宋体" w:eastAsia="宋体" w:cs="宋体"/>
          <w:i w:val="0"/>
          <w:iCs w:val="0"/>
          <w:caps w:val="0"/>
          <w:spacing w:val="0"/>
          <w:sz w:val="24"/>
          <w:szCs w:val="24"/>
          <w:bdr w:val="none" w:color="auto" w:sz="0" w:space="0"/>
          <w:shd w:val="clear" w:fill="FFFFFF"/>
        </w:rPr>
        <w:t>注：标▲参数为重要参数，需提供相关证明材料，包括但不限于产品彩页、功能截图、检测（测试）报告等；未提供证明材料的视为负偏离，评审时将做扣分处理。</w:t>
      </w:r>
    </w:p>
    <w:p>
      <w:pPr>
        <w:numPr>
          <w:ilvl w:val="0"/>
          <w:numId w:val="0"/>
        </w:numPr>
        <w:spacing w:line="360" w:lineRule="auto"/>
        <w:rPr>
          <w:rFonts w:hint="default" w:ascii="sans-serif" w:hAnsi="sans-serif" w:eastAsia="sans-serif" w:cs="sans-serif"/>
          <w:i w:val="0"/>
          <w:iCs w:val="0"/>
          <w:caps w:val="0"/>
          <w:spacing w:val="0"/>
          <w:sz w:val="21"/>
          <w:szCs w:val="21"/>
          <w:bdr w:val="none" w:color="auto" w:sz="0" w:space="0"/>
          <w:shd w:val="clear" w:fill="FFFFFF"/>
        </w:rPr>
      </w:pPr>
    </w:p>
    <w:p>
      <w:pPr>
        <w:numPr>
          <w:ilvl w:val="0"/>
          <w:numId w:val="0"/>
        </w:numPr>
        <w:spacing w:line="360" w:lineRule="auto"/>
        <w:rPr>
          <w:rFonts w:hint="default" w:ascii="sans-serif" w:hAnsi="sans-serif" w:eastAsia="sans-serif" w:cs="sans-serif"/>
          <w:i w:val="0"/>
          <w:iCs w:val="0"/>
          <w:caps w:val="0"/>
          <w:spacing w:val="0"/>
          <w:sz w:val="21"/>
          <w:szCs w:val="21"/>
          <w:bdr w:val="none" w:color="auto" w:sz="0" w:space="0"/>
          <w:shd w:val="clear" w:fill="FFFFFF"/>
        </w:rPr>
      </w:pPr>
    </w:p>
    <w:p>
      <w:pPr>
        <w:numPr>
          <w:ilvl w:val="0"/>
          <w:numId w:val="0"/>
        </w:numPr>
        <w:spacing w:line="360" w:lineRule="auto"/>
        <w:rPr>
          <w:rFonts w:hint="default" w:ascii="sans-serif" w:hAnsi="sans-serif" w:eastAsia="sans-serif" w:cs="sans-serif"/>
          <w:i w:val="0"/>
          <w:iCs w:val="0"/>
          <w:caps w:val="0"/>
          <w:spacing w:val="0"/>
          <w:sz w:val="21"/>
          <w:szCs w:val="21"/>
          <w:bdr w:val="none" w:color="auto" w:sz="0" w:space="0"/>
          <w:shd w:val="clear" w:fill="FFFFFF"/>
        </w:rPr>
      </w:pPr>
    </w:p>
    <w:p>
      <w:pPr>
        <w:numPr>
          <w:ilvl w:val="0"/>
          <w:numId w:val="0"/>
        </w:numPr>
        <w:spacing w:line="360" w:lineRule="auto"/>
        <w:rPr>
          <w:rFonts w:hint="default" w:ascii="sans-serif" w:hAnsi="sans-serif" w:eastAsia="sans-serif" w:cs="sans-serif"/>
          <w:i w:val="0"/>
          <w:iCs w:val="0"/>
          <w:caps w:val="0"/>
          <w:spacing w:val="0"/>
          <w:sz w:val="21"/>
          <w:szCs w:val="21"/>
          <w:bdr w:val="none" w:color="auto" w:sz="0" w:space="0"/>
          <w:shd w:val="clear" w:fill="FFFFFF"/>
        </w:rPr>
      </w:pPr>
    </w:p>
    <w:p>
      <w:pPr>
        <w:numPr>
          <w:ilvl w:val="0"/>
          <w:numId w:val="0"/>
        </w:numPr>
        <w:spacing w:line="360" w:lineRule="auto"/>
        <w:rPr>
          <w:rFonts w:hint="default" w:ascii="sans-serif" w:hAnsi="sans-serif" w:eastAsia="sans-serif" w:cs="sans-serif"/>
          <w:i w:val="0"/>
          <w:iCs w:val="0"/>
          <w:caps w:val="0"/>
          <w:spacing w:val="0"/>
          <w:sz w:val="21"/>
          <w:szCs w:val="21"/>
          <w:bdr w:val="none" w:color="auto" w:sz="0" w:space="0"/>
          <w:shd w:val="clear" w:fill="FFFFFF"/>
        </w:rPr>
      </w:pPr>
    </w:p>
    <w:p>
      <w:pPr>
        <w:numPr>
          <w:ilvl w:val="0"/>
          <w:numId w:val="0"/>
        </w:numPr>
        <w:spacing w:line="360" w:lineRule="auto"/>
        <w:rPr>
          <w:rFonts w:hint="default" w:ascii="sans-serif" w:hAnsi="sans-serif" w:eastAsia="sans-serif" w:cs="sans-serif"/>
          <w:i w:val="0"/>
          <w:iCs w:val="0"/>
          <w:caps w:val="0"/>
          <w:spacing w:val="0"/>
          <w:sz w:val="21"/>
          <w:szCs w:val="21"/>
          <w:bdr w:val="none" w:color="auto" w:sz="0" w:space="0"/>
          <w:shd w:val="clear" w:fill="FFFFFF"/>
        </w:rPr>
      </w:pPr>
    </w:p>
    <w:p>
      <w:pPr>
        <w:numPr>
          <w:ilvl w:val="0"/>
          <w:numId w:val="0"/>
        </w:numPr>
        <w:spacing w:line="360" w:lineRule="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三、</w:t>
      </w:r>
      <w:r>
        <w:rPr>
          <w:rFonts w:hint="eastAsia" w:ascii="宋体" w:hAnsi="宋体" w:eastAsia="宋体" w:cs="宋体"/>
          <w:b/>
          <w:bCs/>
          <w:kern w:val="0"/>
          <w:sz w:val="24"/>
          <w:szCs w:val="24"/>
        </w:rPr>
        <w:t>陶艺教室建造</w:t>
      </w:r>
    </w:p>
    <w:tbl>
      <w:tblPr>
        <w:tblStyle w:val="25"/>
        <w:tblW w:w="14115" w:type="dxa"/>
        <w:tblInd w:w="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380"/>
        <w:gridCol w:w="8565"/>
        <w:gridCol w:w="109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41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rPr>
              <w:t>陶艺教室建造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编码</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0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一、设备类</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保温隔热电窑套装-型号2</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√材质：外部：金属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炉丝：钼丝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内部：多晶莫来石纤维板，莫来石纤维棉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尺寸：外径：长690mm宽825mm高1070mm(±5mm)；内径：长320mm宽390mm高380mm(±5mm)；立方：0.047m³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电压：AC220V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接电要求：进线10平方线铜线 63A以上空气开关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功率：5.5kW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重量：130kg</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说明：使用温度：0-1280℃标配：电窑1台，棚板长340mm宽280mm厚10mm2块，马脚长150mm宽60mm3块，马脚长50mm宽40mm6块，黑色手柄2个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吹釉机套装-型号2</w:t>
            </w:r>
          </w:p>
        </w:tc>
        <w:tc>
          <w:tcPr>
            <w:tcW w:w="8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√材质：金属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尺寸：长555mm宽255mm高530mm（±5mm）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电压：AC220V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功率：750W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重量：≥19.5kg。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转速：1380r/min。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压力：0.7mpa。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排气量：60L/min。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储气罐：30L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特性：喷釉均匀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标配：气泵1个，弹簧管1根，接头1套，喷枪1把</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用途：施釉设备</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陶艺拉坯机套装-型号1</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材质：ABS可拆卸高压注塑水盆，优质铝合金转盘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尺寸：长540mm宽372mm高350mm（±5mm）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电压：AC220V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功率：200W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特性：品牌电机，安全漏电保护装置，设置串联接口，便于连接，模块设计，便于维修，采用静电喷塑工艺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标配：液晶显示拉坯机1台，脚控调速器1个，标牌1个，说明书1本，合格证1张，可拆卸水盆1副，1.55m带漏电保护开关电源线1根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用途：用于学生安全快速制作陶艺坯体，进行陶艺修坯，可以在坯体上进行陶艺装饰。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10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二、工具类</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折叠水桶</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材质：塑料，牛津布，PP塑料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尺寸：≥直径142mm高142mm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用途：盛放水，用于陶艺拉坯、捏塑、彩绘的辅助工具。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转台-3型</w:t>
            </w:r>
          </w:p>
        </w:tc>
        <w:tc>
          <w:tcPr>
            <w:tcW w:w="8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√材质：硬塑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尺寸：≥上盘直径225mm，下盘直径177mm，高115mm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特性：表面采用静电喷塑，光滑、平稳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用途：陶艺作品制作辅助工具，可在转台上进行捏雕、绘画、施釉、雕刻和修坯等</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十二生肖印坯模具套装</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√材质：石膏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尺寸：≥直径：95-120mm厚35mm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标配：12个/套（鼠、牛、虎、兔、龙、蛇、马、羊、猴、鸡、狗、猪）</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用途：陶瓷印坯成型工具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十二生肖注浆模具套装</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√材质：石膏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尺寸：≥长128mm宽100mm高95mm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标配：12个/套（鼠、牛、虎、兔、龙、蛇、马、羊、猴、鸡、狗、猪）绷带24个</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用途：陶瓷注浆成型工具，能够快速将作品成型。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印花模具套装-1型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√材质：塑料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标配：33件/套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用途：陶艺印花工具，多种模具印花，粘接在坯体上，体现雕花装饰效果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石膏板</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材质：石膏。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尺寸：≥直径300mm高30mm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用途：吸水性强，可用于揉泥、回收泥料等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量杯-2型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√材质：PVC塑料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尺寸：≥直径92mm高112mm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容量：≥500ml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说明：加厚耐高温，刻度清晰准确，防漏嘴设计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用途：用于需要精确水量时测量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吹釉壶</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材质：不锈钢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尺寸：≥长165mm，直径70mm，高85mm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用途：用于作品的施釉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泥塑工具套装</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√材质：不锈钢，实木手柄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尺寸：≥长130-195mm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标配：22件/套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用途：用于捏雕中刻画纹样、雕花，可一具多用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3寸铲刀</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材质：金属</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尺寸：≥长190mm宽74mm</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说明：织染工具</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用途：用于蜡染的辅助设备，铲掉布料上的蜡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拉坯工具套装</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材质:木质，不锈钢，海绵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标配：8件/套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用途：用于辅助拉坯，可使坯体表面平滑整洁，木质工具可在坯体上做装饰，不锈钢类可剔除多余部分，海绵保证坯体内部不会积水，防止坯体干裂。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修坯工具套装-1型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材质：金属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尺寸：≥长150-160mm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标配：8件/套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用途：用于陶艺修坯使坯体表面整洁美观。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修坯工具套装-2型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材质：不锈钢，实木手柄。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尺寸：≥长180-200mm，6件/套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用途：用于陶艺修坯使坯体表面整洁美观。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开槽泥拍</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√材质：实木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尺寸：≥长180mm宽67mm厚14mm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用途：用于制作泥板制作纹理等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光面泥拍</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√材质：实木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尺寸：≥长180mm，宽67mm，厚12mm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用途：用于陶艺课程制作泥板，制作纹理等。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擀泥杖-1型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材质：实木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尺寸：≥直径38mm长355mm，</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用途：用于手动擀压制作作品。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擀泥杖-2型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材质：实木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尺寸：≥长200mm，直径25mm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用途：用于手动擀压制作作品。</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青花勾线笔</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√材质：竹，兼毫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尺寸：≥直径5mm长190mm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用途：用于彩绘勾勒线稿。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大白云毛笔</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√材质：竹，兼毫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尺寸：≥长225mm，直径6mm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用途：用于绘画涂色、刷浆。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调色盘</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材质：优质仿瓷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尺寸：≥直径106mm高24mm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标配：主体+盖子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用途：用于少量釉上和釉下彩绘时调制颜色使用。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挤泥器</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材质：不锈钢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尺寸：≥长200mm，宽约55mmn，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标配：19种模具头/套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用途：用于不同形状的泥条制作和装饰。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隔热手套-4型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材质：食品级隔热棉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尺寸：≥长290mm宽160mm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用途：温度在100℃左右开窑时配戴拿取作品。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小毛巾</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√材质：微纤维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尺寸：≥长240mm宽240mm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用途：辅助工具，可用于擦拭、陶泥保湿等多种用途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海绵</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材质：海绵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尺寸：≥直径75mm厚30mm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用途：辅助工具，可用于辅助拉坯，保证坯体内部不会积水，防止坯体干裂，清理转盘等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浸釉夹</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√材质：不锈钢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尺寸：≥长300mm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用途：陶艺作品浸釉工具，用于坯体施釉环节，方便用更好固定坯体，减少坯体施釉环节的损坏率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教师工具箱塑料盒</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材质：塑料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尺寸：≥长360mm宽240mm高215mm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用途：工具收纳箱</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儿童防水围裙</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√材质：防水布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尺寸：≥长690mm宽490mm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用途：儿童防护罩衣，防止水渍等污染物染到衣服上</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成人防水围裙</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材质：防水布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尺寸：≥长810宽610mm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用途：成人防护罩衣，防止水渍等污染物染到衣服上</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三、材料类</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釉上彩6色条</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材质：丙烯。</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容量：≥3ml</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标配：红色，黄色，蓝色，绿色，白色，黑色</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1"/>
                <w:rFonts w:hint="eastAsia" w:ascii="宋体" w:hAnsi="宋体" w:eastAsia="宋体" w:cs="宋体"/>
                <w:sz w:val="21"/>
                <w:szCs w:val="21"/>
                <w:lang w:val="en-US" w:eastAsia="zh-CN" w:bidi="ar"/>
              </w:rPr>
              <w:t>用途：绘画晴天娃娃，装饰教室</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晴天娃娃陶瓷风铃</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材质：陶瓷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尺寸：≥直径65mm高95mm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用途：环创展示、釉上彩绘画等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釉下彩6色条-1型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材质：高温彩色颜料</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容量：≥5ml</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烧制温度：1180-1250℃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1"/>
                <w:rFonts w:hint="eastAsia" w:ascii="宋体" w:hAnsi="宋体" w:eastAsia="宋体" w:cs="宋体"/>
                <w:sz w:val="21"/>
                <w:szCs w:val="21"/>
                <w:lang w:val="en-US" w:eastAsia="zh-CN" w:bidi="ar"/>
              </w:rPr>
              <w:t>用途：釉下彩绘</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浓缩颜色釉6件套</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材质：釉料</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容量：≥140ml/瓶</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烧制温度：1180-1250℃</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标配：SG037深橘红，SG065柠黄色，SG081棱镜红，SG141墨绿色，SG169松石绿，SG209黑檀色各1瓶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1"/>
                <w:rFonts w:hint="eastAsia" w:ascii="宋体" w:hAnsi="宋体" w:eastAsia="宋体" w:cs="宋体"/>
                <w:sz w:val="21"/>
                <w:szCs w:val="21"/>
                <w:lang w:val="en-US" w:eastAsia="zh-CN" w:bidi="ar"/>
              </w:rPr>
              <w:t>用途：装饰学生陶艺作品表面，光滑，易清洗，易保存</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至尊颜色釉12件套</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材质：釉料</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容量：≥140ml/瓶</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烧制温度：1180-1250℃</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标配：SG029珊瑚色，SG041南瓜黄，SG067镉黄色，SG073大红色，SG079艳红色，SG129浅绿色，SG153叶绿色，SG169松石绿，SG177紫红色，SG181乡村蓝，SG189宝石蓝，SG209黑檀色各1瓶。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1"/>
                <w:rFonts w:hint="eastAsia" w:ascii="宋体" w:hAnsi="宋体" w:eastAsia="宋体" w:cs="宋体"/>
                <w:sz w:val="21"/>
                <w:szCs w:val="21"/>
                <w:lang w:val="en-US" w:eastAsia="zh-CN" w:bidi="ar"/>
              </w:rPr>
              <w:t>用途：装饰学生陶艺作品表面，光滑，易清洗，易保存。</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斑点釉5件套</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材质：釉料</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容量：≥60ml/瓶</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烧制温度：1180-1250℃</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标配：SC001雪花白，SC041紫色，SC077深褐色，SC125青绿色，SC157海水蓝各1瓶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1"/>
                <w:rFonts w:hint="eastAsia" w:ascii="宋体" w:hAnsi="宋体" w:eastAsia="宋体" w:cs="宋体"/>
                <w:sz w:val="21"/>
                <w:szCs w:val="21"/>
                <w:lang w:val="en-US" w:eastAsia="zh-CN" w:bidi="ar"/>
              </w:rPr>
              <w:t>用途：装饰学生陶艺作品表面，光滑，易清洗，易保存。</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窑变釉6件套</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材质：釉料</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容量：≥140ml/瓶</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烧制温度：1180-1250℃</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标配：FG124珊瑚红，FG155玛瑙色，FG183薰衣草，FG193海藻，FG200涂鸦，FG207千山暮雪各1瓶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1"/>
                <w:rFonts w:hint="eastAsia" w:ascii="宋体" w:hAnsi="宋体" w:eastAsia="宋体" w:cs="宋体"/>
                <w:sz w:val="21"/>
                <w:szCs w:val="21"/>
                <w:lang w:val="en-US" w:eastAsia="zh-CN" w:bidi="ar"/>
              </w:rPr>
              <w:t>用途：装饰学生陶艺作品表面，光滑，易清洗，易保存</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开片釉3件套</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材质：釉料</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容量：≥140ml/瓶</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烧制温度：1180-1250℃。</w:t>
            </w:r>
          </w:p>
          <w:p>
            <w:pPr>
              <w:keepNext w:val="0"/>
              <w:keepLines w:val="0"/>
              <w:widowControl/>
              <w:suppressLineNumbers w:val="0"/>
              <w:jc w:val="left"/>
              <w:textAlignment w:val="center"/>
              <w:rPr>
                <w:rStyle w:val="71"/>
                <w:rFonts w:hint="eastAsia" w:ascii="宋体" w:hAnsi="宋体" w:eastAsia="宋体" w:cs="宋体"/>
                <w:sz w:val="21"/>
                <w:szCs w:val="21"/>
                <w:lang w:val="en-US" w:eastAsia="zh-CN" w:bidi="ar"/>
              </w:rPr>
            </w:pPr>
            <w:r>
              <w:rPr>
                <w:rStyle w:val="71"/>
                <w:rFonts w:hint="eastAsia" w:ascii="宋体" w:hAnsi="宋体" w:eastAsia="宋体" w:cs="宋体"/>
                <w:sz w:val="21"/>
                <w:szCs w:val="21"/>
                <w:lang w:val="en-US" w:eastAsia="zh-CN" w:bidi="ar"/>
              </w:rPr>
              <w:t>标配：CG007，CG009，CG013各1瓶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1"/>
                <w:rFonts w:hint="eastAsia" w:ascii="宋体" w:hAnsi="宋体" w:eastAsia="宋体" w:cs="宋体"/>
                <w:sz w:val="21"/>
                <w:szCs w:val="21"/>
                <w:lang w:val="en-US" w:eastAsia="zh-CN" w:bidi="ar"/>
              </w:rPr>
              <w:t>用途：用途：装饰学生陶艺作品表面，光滑，易清洗，易保存。</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精装白瓷泥</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材质：高岭土，长石，瓷矿石等。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重量：≥400g/袋</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用途：单个独立包装设计，耐保存，使用起来勤俭节约。适用于各种陶艺作品制作和烧制。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高白泥</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材质：高岭土，长石，瓷矿石等。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重量：≥400g/袋</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用途：单个独立包装设计，耐与保存，使用起来勤俭节约。适用于各种陶艺作品制作和烧制。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超白瓷泥</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材质：高岭土，长石，瓷矿石等。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重量：≥400g/袋</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用途：耐与保存，使用起来勤俭节约。适用于各种陶艺作品制作和烧制。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黄陶泥</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材质：石英，长石，云母，硫酸盐，硫化物，碳酸盐等。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重量：≥400g/袋</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用途：单个独立包装设计，耐与保存，使用起来勤俭节约。适用于各种陶艺作品制作和烧制。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紫砂泥</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材质：石英，云母，赤铁矿和粘土。</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重量：≥400g/袋</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用途：单个独立包装设计，耐与保存，使用起来勤俭节约。适用于各种陶艺作品制作和烧制。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透明釉-1型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材质：长石，石英，高岭土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容量：≥500ml/瓶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烧制温度：1180-1250℃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用途：学生陶艺作品上釉</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青花料-2型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材质：高温青花颜料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容量：≥50mL/瓶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烧制温度：1180-1250℃。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用途：用于釉下彩绘，在陶艺素坯作品上进行装饰，颜色可调制深浅，再覆一层透明釉入窑高温烧制，色彩稳定便于烧制。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釉下花纸-4型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材质：釉下花纸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尺寸：≥长360mm宽310mm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烧制温度：1180-1250℃。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用途：釉下青花贴花。</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釉下花纸-5型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材质：釉下花纸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尺寸：≥长470mm宽325mm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烧制温度：1180-1250℃。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用途：釉下五彩贴花。</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素坯盘子-5型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材质：高白泥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尺寸：≥直径110mm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用途：陶艺釉下彩绘或直接上釉烧制成陶瓷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环创素坯盘子20件套</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材质：陶瓷素坯。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尺寸：≥直径145mm、165mm、220mm、285mm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标配：4种规格陶瓷素坯盘子各5个。</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用途：教室环创或釉下彩作品烧制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素坯一壶四杯套装</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材质：陶瓷素坯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尺寸：≥壶：长150mm高90mm，杯子：直径80mm高30mm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标配：壶1个，杯子4个</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用途：陶艺釉下彩绘或直接上釉烧制成陶瓷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氧化铝粉-1型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材质：氧化铝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容量：≥500g/瓶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用途：防止烧制时作品于硼板粘连</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主题活动操作材料包-005</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拔萝卜（陶）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精装白瓷泥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粘土工具3件套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主题活动操作材料包-023</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三阳开泰（陶）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精装白瓷泥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紫砂泥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粘土工具3件套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主题活动操作材料包-042</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老虎盘子（陶）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精装白瓷泥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粘土工具3件套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擀面杖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四、家具类</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三层实木展架-1型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材质：橡胶木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尺寸：长795mm宽300mm高750mm（±5mm）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毛重：≥12.9kg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标配：架子1组，螺丝14个</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用途：成品展示架、物品材料置物架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实木操作桌-5型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材质：橡胶木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尺寸：长1500mm宽800mm高750mm（±5mm）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毛重：≥44kg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标配：桌子1张、螺丝8个</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用途：操作桌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条凳-5型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材质：橡胶木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尺寸：长1195mm宽300mm高415mm（±5mm）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毛重：≥16kg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标配：条凳1个、螺丝8个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说明：优质原木，四面抛光处理。清漆防水防腐蚀</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用途：坐凳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10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五：环境创作类</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陶艺环创图6件套</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材质：松木，油画布。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尺寸：≥长600mm宽520mm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标配：环创图6幅，水泥钉24个。淘泥 拉坯 修坯 画坯 上釉 烧窑</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五代文化环创套装</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标配：五代文化图5件套（带框）1套、方木框套装-1型1套、唐三彩马1件、秘色瓷盘子1件、五大名窑1套、钧瓷花瓶1件、青花花瓶1件、青花小杯2件，鸡缸杯茶具套装1套、粉彩罐子1件，珐琅彩茶壶1套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五代文化图5件套（带框）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材质：pvc。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尺寸：≥长837mm宽537mm，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标配：5张/套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用途：用于教室装饰。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方木框套装-1型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材质：橡胶木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尺寸：≥长145mm宽145mm高95mm，长195mm宽195mm高95mm，长245mm宽245mm高95mm，长295mm宽295mm高95mm，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标配：4种规格木框各5个，膨胀螺丝钉80套。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，20个/套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唐三彩马</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材质：陶瓷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尺寸：≥长215mm宽70mm高205mm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用途：教室环创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秘色瓷盘子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材质：陶瓷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尺寸：≥直径32mm高145mm，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用途：教室环创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五大名窑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材质：陶瓷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尺寸：≥单个直径61mm高51mm，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标配：5个/套。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用途：教室环创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钧瓷花瓶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材质：陶瓷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尺寸：≥直径110mm高215mm；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用途：教室环创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青花花瓶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材质：陶瓷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尺寸:≥直径105mm高320mm，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用途：教室环创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青花小杯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材质：陶瓷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尺寸：≥直径49mm高67mm；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用途：教室环创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鸡缸杯茶具套装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材质：陶瓷。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尺寸：≥盖碗3件套高=80mm 直径=100mm,茶漏3件套 高=85mm，直径=80mm，茶杯高=33mm，直径=65mm，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标配：10件/套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用途：教室环境创设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粉彩罐子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材质：陶瓷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尺寸：≥直径105mm高148mm，直径105mm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用途：教室环创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珐琅彩茶壶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材质：陶瓷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尺寸：≥直径115mm高140mm，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用途：教室环创</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√特性：中性，防霉，耐候，耐臭氧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尺寸：≥长230mm宽47mm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容量：≥300ml/瓶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用途：粘接环创图，丰富教室</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玻璃胶枪</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材质：铝合金，钢材。半筒式喷漆工艺。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尺寸：≥长334mm宽180mm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用途：搭配玻璃胶使用粘连环创图框。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大瓷盘</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材质：陶瓷。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尺寸：≥直径405mm高45mm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用途：教室装饰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bl>
    <w:p>
      <w:pPr>
        <w:spacing w:line="360" w:lineRule="auto"/>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eastAsia="zh-CN"/>
        </w:rPr>
        <w:t>四、</w:t>
      </w:r>
      <w:r>
        <w:rPr>
          <w:rFonts w:hint="eastAsia" w:ascii="宋体" w:hAnsi="宋体" w:eastAsia="宋体" w:cs="宋体"/>
          <w:b/>
          <w:bCs/>
          <w:kern w:val="0"/>
          <w:sz w:val="24"/>
          <w:szCs w:val="24"/>
        </w:rPr>
        <w:t>啦啦操教室建设</w:t>
      </w:r>
    </w:p>
    <w:tbl>
      <w:tblPr>
        <w:tblStyle w:val="25"/>
        <w:tblW w:w="14100" w:type="dxa"/>
        <w:tblInd w:w="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9"/>
        <w:gridCol w:w="1371"/>
        <w:gridCol w:w="8565"/>
        <w:gridCol w:w="109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4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rPr>
              <w:t>啦啦操教室建设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舞蹈把杆</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〖1〗舞蹈把杆，材质黄花松木，外观清漆，光滑无毛刺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〖2〗直径3cm，长2米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〖3〗配水泥进口环保树脂ABS材质底座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1、系统类型：单10寸全频音箱</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2、高音单元：1×34芯高音</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3、低音单元：1×10寸低音(170磁65芯铝架)</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4、频率响应：55Hz-20KHZ </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5、灵敏度：95dB /W(lm) </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6、最大声压级：125dB </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7、阻抗：8ohm</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8、额定功率：300W</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9、峰值功率：1200W </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10、扩散角度：80°水平×60°垂直</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11、分频点：1.8KHZ</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12、吊挂硬件：M8螺丝吊装，35mm支撑孔</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13、材质：高密度夹板</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14、颜色：黑色</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15、箱体尺寸：500H×295W×320D（mm）</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16、净重：15kg</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1"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功放</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2"/>
                <w:rFonts w:hint="eastAsia" w:ascii="宋体" w:hAnsi="宋体" w:eastAsia="宋体" w:cs="宋体"/>
                <w:sz w:val="21"/>
                <w:szCs w:val="21"/>
                <w:lang w:val="en-US" w:eastAsia="zh-CN" w:bidi="ar"/>
              </w:rPr>
            </w:pPr>
            <w:r>
              <w:rPr>
                <w:rStyle w:val="72"/>
                <w:rFonts w:hint="eastAsia" w:ascii="宋体" w:hAnsi="宋体" w:eastAsia="宋体" w:cs="宋体"/>
                <w:sz w:val="21"/>
                <w:szCs w:val="21"/>
                <w:lang w:val="en-US" w:eastAsia="zh-CN" w:bidi="ar"/>
              </w:rPr>
              <w:t>技术参数：</w:t>
            </w:r>
          </w:p>
          <w:p>
            <w:pPr>
              <w:keepNext w:val="0"/>
              <w:keepLines w:val="0"/>
              <w:widowControl/>
              <w:suppressLineNumbers w:val="0"/>
              <w:jc w:val="left"/>
              <w:textAlignment w:val="center"/>
              <w:rPr>
                <w:rStyle w:val="72"/>
                <w:rFonts w:hint="eastAsia" w:ascii="宋体" w:hAnsi="宋体" w:eastAsia="宋体" w:cs="宋体"/>
                <w:sz w:val="21"/>
                <w:szCs w:val="21"/>
                <w:lang w:val="en-US" w:eastAsia="zh-CN" w:bidi="ar"/>
              </w:rPr>
            </w:pPr>
            <w:r>
              <w:rPr>
                <w:rStyle w:val="72"/>
                <w:rFonts w:hint="eastAsia" w:ascii="宋体" w:hAnsi="宋体" w:eastAsia="宋体" w:cs="宋体"/>
                <w:sz w:val="21"/>
                <w:szCs w:val="21"/>
                <w:lang w:val="en-US" w:eastAsia="zh-CN" w:bidi="ar"/>
              </w:rPr>
              <w:t>1、前面板独立通道电源指示灯及-8dB / -16dB / -24dB/-32dB 信号灯指示</w:t>
            </w:r>
          </w:p>
          <w:p>
            <w:pPr>
              <w:keepNext w:val="0"/>
              <w:keepLines w:val="0"/>
              <w:widowControl/>
              <w:suppressLineNumbers w:val="0"/>
              <w:jc w:val="left"/>
              <w:textAlignment w:val="center"/>
              <w:rPr>
                <w:rStyle w:val="72"/>
                <w:rFonts w:hint="eastAsia" w:ascii="宋体" w:hAnsi="宋体" w:eastAsia="宋体" w:cs="宋体"/>
                <w:sz w:val="21"/>
                <w:szCs w:val="21"/>
                <w:lang w:val="en-US" w:eastAsia="zh-CN" w:bidi="ar"/>
              </w:rPr>
            </w:pPr>
            <w:r>
              <w:rPr>
                <w:rStyle w:val="72"/>
                <w:rFonts w:hint="eastAsia" w:ascii="宋体" w:hAnsi="宋体" w:eastAsia="宋体" w:cs="宋体"/>
                <w:sz w:val="21"/>
                <w:szCs w:val="21"/>
                <w:lang w:val="en-US" w:eastAsia="zh-CN" w:bidi="ar"/>
              </w:rPr>
              <w:t>2、频率响应:20Hz-20KHz；信噪比:≥112dB；</w:t>
            </w:r>
          </w:p>
          <w:p>
            <w:pPr>
              <w:keepNext w:val="0"/>
              <w:keepLines w:val="0"/>
              <w:widowControl/>
              <w:suppressLineNumbers w:val="0"/>
              <w:jc w:val="left"/>
              <w:textAlignment w:val="center"/>
              <w:rPr>
                <w:rStyle w:val="72"/>
                <w:rFonts w:hint="eastAsia" w:ascii="宋体" w:hAnsi="宋体" w:eastAsia="宋体" w:cs="宋体"/>
                <w:sz w:val="21"/>
                <w:szCs w:val="21"/>
                <w:lang w:val="en-US" w:eastAsia="zh-CN" w:bidi="ar"/>
              </w:rPr>
            </w:pPr>
            <w:r>
              <w:rPr>
                <w:rStyle w:val="72"/>
                <w:rFonts w:hint="eastAsia" w:ascii="宋体" w:hAnsi="宋体" w:eastAsia="宋体" w:cs="宋体"/>
                <w:sz w:val="21"/>
                <w:szCs w:val="21"/>
                <w:lang w:val="en-US" w:eastAsia="zh-CN" w:bidi="ar"/>
              </w:rPr>
              <w:t>3、分离度:≥80dB；</w:t>
            </w:r>
          </w:p>
          <w:p>
            <w:pPr>
              <w:keepNext w:val="0"/>
              <w:keepLines w:val="0"/>
              <w:widowControl/>
              <w:suppressLineNumbers w:val="0"/>
              <w:jc w:val="left"/>
              <w:textAlignment w:val="center"/>
              <w:rPr>
                <w:rStyle w:val="72"/>
                <w:rFonts w:hint="eastAsia" w:ascii="宋体" w:hAnsi="宋体" w:eastAsia="宋体" w:cs="宋体"/>
                <w:sz w:val="21"/>
                <w:szCs w:val="21"/>
                <w:lang w:val="en-US" w:eastAsia="zh-CN" w:bidi="ar"/>
              </w:rPr>
            </w:pPr>
            <w:r>
              <w:rPr>
                <w:rStyle w:val="72"/>
                <w:rFonts w:hint="eastAsia" w:ascii="宋体" w:hAnsi="宋体" w:eastAsia="宋体" w:cs="宋体"/>
                <w:sz w:val="21"/>
                <w:szCs w:val="21"/>
                <w:lang w:val="en-US" w:eastAsia="zh-CN" w:bidi="ar"/>
              </w:rPr>
              <w:t>4、总谐波失真 THD＋N ：≤0.025%；</w:t>
            </w:r>
          </w:p>
          <w:p>
            <w:pPr>
              <w:keepNext w:val="0"/>
              <w:keepLines w:val="0"/>
              <w:widowControl/>
              <w:suppressLineNumbers w:val="0"/>
              <w:jc w:val="left"/>
              <w:textAlignment w:val="center"/>
              <w:rPr>
                <w:rStyle w:val="72"/>
                <w:rFonts w:hint="eastAsia" w:ascii="宋体" w:hAnsi="宋体" w:eastAsia="宋体" w:cs="宋体"/>
                <w:sz w:val="21"/>
                <w:szCs w:val="21"/>
                <w:lang w:val="en-US" w:eastAsia="zh-CN" w:bidi="ar"/>
              </w:rPr>
            </w:pPr>
            <w:r>
              <w:rPr>
                <w:rStyle w:val="72"/>
                <w:rFonts w:hint="eastAsia" w:ascii="宋体" w:hAnsi="宋体" w:eastAsia="宋体" w:cs="宋体"/>
                <w:sz w:val="21"/>
                <w:szCs w:val="21"/>
                <w:lang w:val="en-US" w:eastAsia="zh-CN" w:bidi="ar"/>
              </w:rPr>
              <w:t>5、阻尼系数：≥300:1；</w:t>
            </w:r>
          </w:p>
          <w:p>
            <w:pPr>
              <w:keepNext w:val="0"/>
              <w:keepLines w:val="0"/>
              <w:widowControl/>
              <w:suppressLineNumbers w:val="0"/>
              <w:jc w:val="left"/>
              <w:textAlignment w:val="center"/>
              <w:rPr>
                <w:rStyle w:val="72"/>
                <w:rFonts w:hint="eastAsia" w:ascii="宋体" w:hAnsi="宋体" w:eastAsia="宋体" w:cs="宋体"/>
                <w:sz w:val="21"/>
                <w:szCs w:val="21"/>
                <w:lang w:val="en-US" w:eastAsia="zh-CN" w:bidi="ar"/>
              </w:rPr>
            </w:pPr>
            <w:r>
              <w:rPr>
                <w:rStyle w:val="72"/>
                <w:rFonts w:hint="eastAsia" w:ascii="宋体" w:hAnsi="宋体" w:eastAsia="宋体" w:cs="宋体"/>
                <w:sz w:val="21"/>
                <w:szCs w:val="21"/>
                <w:lang w:val="en-US" w:eastAsia="zh-CN" w:bidi="ar"/>
              </w:rPr>
              <w:t>6、输入灵敏度：1.41V（0 dB）；</w:t>
            </w:r>
          </w:p>
          <w:p>
            <w:pPr>
              <w:keepNext w:val="0"/>
              <w:keepLines w:val="0"/>
              <w:widowControl/>
              <w:suppressLineNumbers w:val="0"/>
              <w:jc w:val="left"/>
              <w:textAlignment w:val="center"/>
              <w:rPr>
                <w:rStyle w:val="74"/>
                <w:rFonts w:hint="eastAsia" w:ascii="宋体" w:hAnsi="宋体" w:eastAsia="宋体" w:cs="宋体"/>
                <w:sz w:val="21"/>
                <w:szCs w:val="21"/>
                <w:lang w:val="en-US" w:eastAsia="zh-CN" w:bidi="ar"/>
              </w:rPr>
            </w:pPr>
            <w:r>
              <w:rPr>
                <w:rStyle w:val="72"/>
                <w:rFonts w:hint="eastAsia" w:ascii="宋体" w:hAnsi="宋体" w:eastAsia="宋体" w:cs="宋体"/>
                <w:sz w:val="21"/>
                <w:szCs w:val="21"/>
                <w:lang w:val="en-US" w:eastAsia="zh-CN" w:bidi="ar"/>
              </w:rPr>
              <w:t>7、最大输出电压（8</w:t>
            </w:r>
            <w:r>
              <w:rPr>
                <w:rStyle w:val="73"/>
                <w:rFonts w:hint="eastAsia" w:ascii="宋体" w:hAnsi="宋体" w:eastAsia="宋体" w:cs="宋体"/>
                <w:sz w:val="21"/>
                <w:szCs w:val="21"/>
                <w:lang w:val="en-US" w:eastAsia="zh-CN" w:bidi="ar"/>
              </w:rPr>
              <w:t>Ω</w:t>
            </w:r>
            <w:r>
              <w:rPr>
                <w:rStyle w:val="74"/>
                <w:rFonts w:hint="eastAsia" w:ascii="宋体" w:hAnsi="宋体" w:eastAsia="宋体" w:cs="宋体"/>
                <w:sz w:val="21"/>
                <w:szCs w:val="21"/>
                <w:lang w:val="en-US" w:eastAsia="zh-CN" w:bidi="ar"/>
              </w:rPr>
              <w:t xml:space="preserve">/40ms) 100V </w:t>
            </w:r>
          </w:p>
          <w:p>
            <w:pPr>
              <w:keepNext w:val="0"/>
              <w:keepLines w:val="0"/>
              <w:widowControl/>
              <w:suppressLineNumbers w:val="0"/>
              <w:jc w:val="left"/>
              <w:textAlignment w:val="center"/>
              <w:rPr>
                <w:rStyle w:val="74"/>
                <w:rFonts w:hint="eastAsia" w:ascii="宋体" w:hAnsi="宋体" w:eastAsia="宋体" w:cs="宋体"/>
                <w:sz w:val="21"/>
                <w:szCs w:val="21"/>
                <w:lang w:val="en-US" w:eastAsia="zh-CN" w:bidi="ar"/>
              </w:rPr>
            </w:pPr>
            <w:r>
              <w:rPr>
                <w:rStyle w:val="74"/>
                <w:rFonts w:hint="eastAsia" w:ascii="宋体" w:hAnsi="宋体" w:eastAsia="宋体" w:cs="宋体"/>
                <w:sz w:val="21"/>
                <w:szCs w:val="21"/>
                <w:lang w:val="en-US" w:eastAsia="zh-CN" w:bidi="ar"/>
              </w:rPr>
              <w:t>8、最大不失真功率（8</w:t>
            </w:r>
            <w:r>
              <w:rPr>
                <w:rStyle w:val="73"/>
                <w:rFonts w:hint="eastAsia" w:ascii="宋体" w:hAnsi="宋体" w:eastAsia="宋体" w:cs="宋体"/>
                <w:sz w:val="21"/>
                <w:szCs w:val="21"/>
                <w:lang w:val="en-US" w:eastAsia="zh-CN" w:bidi="ar"/>
              </w:rPr>
              <w:t>Ω</w:t>
            </w:r>
            <w:r>
              <w:rPr>
                <w:rStyle w:val="74"/>
                <w:rFonts w:hint="eastAsia" w:ascii="宋体" w:hAnsi="宋体" w:eastAsia="宋体" w:cs="宋体"/>
                <w:sz w:val="21"/>
                <w:szCs w:val="21"/>
                <w:lang w:val="en-US" w:eastAsia="zh-CN" w:bidi="ar"/>
              </w:rPr>
              <w:t xml:space="preserve">/40ms）630W  </w:t>
            </w:r>
          </w:p>
          <w:p>
            <w:pPr>
              <w:keepNext w:val="0"/>
              <w:keepLines w:val="0"/>
              <w:widowControl/>
              <w:suppressLineNumbers w:val="0"/>
              <w:jc w:val="left"/>
              <w:textAlignment w:val="center"/>
              <w:rPr>
                <w:rStyle w:val="74"/>
                <w:rFonts w:hint="eastAsia" w:ascii="宋体" w:hAnsi="宋体" w:eastAsia="宋体" w:cs="宋体"/>
                <w:sz w:val="21"/>
                <w:szCs w:val="21"/>
                <w:lang w:val="en-US" w:eastAsia="zh-CN" w:bidi="ar"/>
              </w:rPr>
            </w:pPr>
            <w:r>
              <w:rPr>
                <w:rStyle w:val="74"/>
                <w:rFonts w:hint="eastAsia" w:ascii="宋体" w:hAnsi="宋体" w:eastAsia="宋体" w:cs="宋体"/>
                <w:sz w:val="21"/>
                <w:szCs w:val="21"/>
                <w:lang w:val="en-US" w:eastAsia="zh-CN" w:bidi="ar"/>
              </w:rPr>
              <w:t xml:space="preserve">9、电压增益0.775v/0dBm x73  </w:t>
            </w:r>
          </w:p>
          <w:p>
            <w:pPr>
              <w:keepNext w:val="0"/>
              <w:keepLines w:val="0"/>
              <w:widowControl/>
              <w:suppressLineNumbers w:val="0"/>
              <w:jc w:val="left"/>
              <w:textAlignment w:val="center"/>
              <w:rPr>
                <w:rStyle w:val="74"/>
                <w:rFonts w:hint="eastAsia" w:ascii="宋体" w:hAnsi="宋体" w:eastAsia="宋体" w:cs="宋体"/>
                <w:sz w:val="21"/>
                <w:szCs w:val="21"/>
                <w:lang w:val="en-US" w:eastAsia="zh-CN" w:bidi="ar"/>
              </w:rPr>
            </w:pPr>
            <w:r>
              <w:rPr>
                <w:rStyle w:val="74"/>
                <w:rFonts w:hint="eastAsia" w:ascii="宋体" w:hAnsi="宋体" w:eastAsia="宋体" w:cs="宋体"/>
                <w:sz w:val="21"/>
                <w:szCs w:val="21"/>
                <w:lang w:val="en-US" w:eastAsia="zh-CN" w:bidi="ar"/>
              </w:rPr>
              <w:t xml:space="preserve">10、正常功耗500VA/2.2A  </w:t>
            </w:r>
          </w:p>
          <w:p>
            <w:pPr>
              <w:keepNext w:val="0"/>
              <w:keepLines w:val="0"/>
              <w:widowControl/>
              <w:suppressLineNumbers w:val="0"/>
              <w:jc w:val="left"/>
              <w:textAlignment w:val="center"/>
              <w:rPr>
                <w:rStyle w:val="74"/>
                <w:rFonts w:hint="eastAsia" w:ascii="宋体" w:hAnsi="宋体" w:eastAsia="宋体" w:cs="宋体"/>
                <w:sz w:val="21"/>
                <w:szCs w:val="21"/>
                <w:lang w:val="en-US" w:eastAsia="zh-CN" w:bidi="ar"/>
              </w:rPr>
            </w:pPr>
            <w:r>
              <w:rPr>
                <w:rStyle w:val="74"/>
                <w:rFonts w:hint="eastAsia" w:ascii="宋体" w:hAnsi="宋体" w:eastAsia="宋体" w:cs="宋体"/>
                <w:sz w:val="21"/>
                <w:szCs w:val="21"/>
                <w:lang w:val="en-US" w:eastAsia="zh-CN" w:bidi="ar"/>
              </w:rPr>
              <w:t xml:space="preserve">11、最大功耗1000VA/4.3 A </w:t>
            </w:r>
          </w:p>
          <w:p>
            <w:pPr>
              <w:keepNext w:val="0"/>
              <w:keepLines w:val="0"/>
              <w:widowControl/>
              <w:suppressLineNumbers w:val="0"/>
              <w:jc w:val="left"/>
              <w:textAlignment w:val="center"/>
              <w:rPr>
                <w:rStyle w:val="73"/>
                <w:rFonts w:hint="eastAsia" w:ascii="宋体" w:hAnsi="宋体" w:eastAsia="宋体" w:cs="宋体"/>
                <w:sz w:val="21"/>
                <w:szCs w:val="21"/>
                <w:lang w:val="en-US" w:eastAsia="zh-CN" w:bidi="ar"/>
              </w:rPr>
            </w:pPr>
            <w:r>
              <w:rPr>
                <w:rStyle w:val="74"/>
                <w:rFonts w:hint="eastAsia" w:ascii="宋体" w:hAnsi="宋体" w:eastAsia="宋体" w:cs="宋体"/>
                <w:sz w:val="21"/>
                <w:szCs w:val="21"/>
                <w:lang w:val="en-US" w:eastAsia="zh-CN" w:bidi="ar"/>
              </w:rPr>
              <w:t>12、输入阻抗：8</w:t>
            </w:r>
            <w:r>
              <w:rPr>
                <w:rStyle w:val="73"/>
                <w:rFonts w:hint="eastAsia" w:ascii="宋体" w:hAnsi="宋体" w:eastAsia="宋体" w:cs="宋体"/>
                <w:sz w:val="21"/>
                <w:szCs w:val="21"/>
                <w:lang w:val="en-US" w:eastAsia="zh-CN" w:bidi="ar"/>
              </w:rPr>
              <w:t>Ω</w:t>
            </w:r>
          </w:p>
          <w:p>
            <w:pPr>
              <w:keepNext w:val="0"/>
              <w:keepLines w:val="0"/>
              <w:widowControl/>
              <w:suppressLineNumbers w:val="0"/>
              <w:jc w:val="left"/>
              <w:textAlignment w:val="center"/>
              <w:rPr>
                <w:rStyle w:val="74"/>
                <w:rFonts w:hint="eastAsia" w:ascii="宋体" w:hAnsi="宋体" w:eastAsia="宋体" w:cs="宋体"/>
                <w:sz w:val="21"/>
                <w:szCs w:val="21"/>
                <w:lang w:val="en-US" w:eastAsia="zh-CN" w:bidi="ar"/>
              </w:rPr>
            </w:pPr>
            <w:r>
              <w:rPr>
                <w:rStyle w:val="74"/>
                <w:rFonts w:hint="eastAsia" w:ascii="宋体" w:hAnsi="宋体" w:eastAsia="宋体" w:cs="宋体"/>
                <w:sz w:val="21"/>
                <w:szCs w:val="21"/>
                <w:lang w:val="en-US" w:eastAsia="zh-CN" w:bidi="ar"/>
              </w:rPr>
              <w:t>13、立体声功率:400W，4</w:t>
            </w:r>
            <w:r>
              <w:rPr>
                <w:rStyle w:val="73"/>
                <w:rFonts w:hint="eastAsia" w:ascii="宋体" w:hAnsi="宋体" w:eastAsia="宋体" w:cs="宋体"/>
                <w:sz w:val="21"/>
                <w:szCs w:val="21"/>
                <w:lang w:val="en-US" w:eastAsia="zh-CN" w:bidi="ar"/>
              </w:rPr>
              <w:t>Ω</w:t>
            </w:r>
            <w:r>
              <w:rPr>
                <w:rStyle w:val="74"/>
                <w:rFonts w:hint="eastAsia" w:ascii="宋体" w:hAnsi="宋体" w:eastAsia="宋体" w:cs="宋体"/>
                <w:sz w:val="21"/>
                <w:szCs w:val="21"/>
                <w:lang w:val="en-US" w:eastAsia="zh-CN" w:bidi="ar"/>
              </w:rPr>
              <w:t>立体声功率:600W，2</w:t>
            </w:r>
            <w:r>
              <w:rPr>
                <w:rStyle w:val="73"/>
                <w:rFonts w:hint="eastAsia" w:ascii="宋体" w:hAnsi="宋体" w:eastAsia="宋体" w:cs="宋体"/>
                <w:sz w:val="21"/>
                <w:szCs w:val="21"/>
                <w:lang w:val="en-US" w:eastAsia="zh-CN" w:bidi="ar"/>
              </w:rPr>
              <w:t>Ω</w:t>
            </w:r>
            <w:r>
              <w:rPr>
                <w:rStyle w:val="74"/>
                <w:rFonts w:hint="eastAsia" w:ascii="宋体" w:hAnsi="宋体" w:eastAsia="宋体" w:cs="宋体"/>
                <w:sz w:val="21"/>
                <w:szCs w:val="21"/>
                <w:lang w:val="en-US" w:eastAsia="zh-CN" w:bidi="ar"/>
              </w:rPr>
              <w:t>立体声功率:800W，8</w:t>
            </w:r>
            <w:r>
              <w:rPr>
                <w:rStyle w:val="73"/>
                <w:rFonts w:hint="eastAsia" w:ascii="宋体" w:hAnsi="宋体" w:eastAsia="宋体" w:cs="宋体"/>
                <w:sz w:val="21"/>
                <w:szCs w:val="21"/>
                <w:lang w:val="en-US" w:eastAsia="zh-CN" w:bidi="ar"/>
              </w:rPr>
              <w:t>Ω</w:t>
            </w:r>
            <w:r>
              <w:rPr>
                <w:rStyle w:val="74"/>
                <w:rFonts w:hint="eastAsia" w:ascii="宋体" w:hAnsi="宋体" w:eastAsia="宋体" w:cs="宋体"/>
                <w:sz w:val="21"/>
                <w:szCs w:val="21"/>
                <w:lang w:val="en-US" w:eastAsia="zh-CN" w:bidi="ar"/>
              </w:rPr>
              <w:t>桥接功率 ：1200W，4</w:t>
            </w:r>
            <w:r>
              <w:rPr>
                <w:rStyle w:val="73"/>
                <w:rFonts w:hint="eastAsia" w:ascii="宋体" w:hAnsi="宋体" w:eastAsia="宋体" w:cs="宋体"/>
                <w:sz w:val="21"/>
                <w:szCs w:val="21"/>
                <w:lang w:val="en-US" w:eastAsia="zh-CN" w:bidi="ar"/>
              </w:rPr>
              <w:t>Ω</w:t>
            </w:r>
            <w:r>
              <w:rPr>
                <w:rStyle w:val="74"/>
                <w:rFonts w:hint="eastAsia" w:ascii="宋体" w:hAnsi="宋体" w:eastAsia="宋体" w:cs="宋体"/>
                <w:sz w:val="21"/>
                <w:szCs w:val="21"/>
                <w:lang w:val="en-US" w:eastAsia="zh-CN" w:bidi="ar"/>
              </w:rPr>
              <w:t>桥接功率 ：1600W；单声道2</w:t>
            </w:r>
            <w:r>
              <w:rPr>
                <w:rStyle w:val="73"/>
                <w:rFonts w:hint="eastAsia" w:ascii="宋体" w:hAnsi="宋体" w:eastAsia="宋体" w:cs="宋体"/>
                <w:sz w:val="21"/>
                <w:szCs w:val="21"/>
                <w:lang w:val="en-US" w:eastAsia="zh-CN" w:bidi="ar"/>
              </w:rPr>
              <w:t>Ω</w:t>
            </w:r>
            <w:r>
              <w:rPr>
                <w:rStyle w:val="74"/>
                <w:rFonts w:hint="eastAsia" w:ascii="宋体" w:hAnsi="宋体" w:eastAsia="宋体" w:cs="宋体"/>
                <w:sz w:val="21"/>
                <w:szCs w:val="21"/>
                <w:lang w:val="en-US" w:eastAsia="zh-CN" w:bidi="ar"/>
              </w:rPr>
              <w:t>：1200W；单声道1</w:t>
            </w:r>
            <w:r>
              <w:rPr>
                <w:rStyle w:val="73"/>
                <w:rFonts w:hint="eastAsia" w:ascii="宋体" w:hAnsi="宋体" w:eastAsia="宋体" w:cs="宋体"/>
                <w:sz w:val="21"/>
                <w:szCs w:val="21"/>
                <w:lang w:val="en-US" w:eastAsia="zh-CN" w:bidi="ar"/>
              </w:rPr>
              <w:t>Ω</w:t>
            </w:r>
            <w:r>
              <w:rPr>
                <w:rStyle w:val="74"/>
                <w:rFonts w:hint="eastAsia" w:ascii="宋体" w:hAnsi="宋体" w:eastAsia="宋体" w:cs="宋体"/>
                <w:sz w:val="21"/>
                <w:szCs w:val="21"/>
                <w:lang w:val="en-US" w:eastAsia="zh-CN" w:bidi="ar"/>
              </w:rPr>
              <w:t>：1600W；</w:t>
            </w:r>
          </w:p>
          <w:p>
            <w:pPr>
              <w:keepNext w:val="0"/>
              <w:keepLines w:val="0"/>
              <w:widowControl/>
              <w:suppressLineNumbers w:val="0"/>
              <w:jc w:val="left"/>
              <w:textAlignment w:val="center"/>
              <w:rPr>
                <w:rStyle w:val="74"/>
                <w:rFonts w:hint="eastAsia" w:ascii="宋体" w:hAnsi="宋体" w:eastAsia="宋体" w:cs="宋体"/>
                <w:sz w:val="21"/>
                <w:szCs w:val="21"/>
                <w:lang w:val="en-US" w:eastAsia="zh-CN" w:bidi="ar"/>
              </w:rPr>
            </w:pPr>
            <w:r>
              <w:rPr>
                <w:rStyle w:val="74"/>
                <w:rFonts w:hint="eastAsia" w:ascii="宋体" w:hAnsi="宋体" w:eastAsia="宋体" w:cs="宋体"/>
                <w:sz w:val="21"/>
                <w:szCs w:val="21"/>
                <w:lang w:val="en-US" w:eastAsia="zh-CN" w:bidi="ar"/>
              </w:rPr>
              <w:t>14、尺寸:2U ；</w:t>
            </w:r>
          </w:p>
          <w:p>
            <w:pPr>
              <w:keepNext w:val="0"/>
              <w:keepLines w:val="0"/>
              <w:widowControl/>
              <w:suppressLineNumbers w:val="0"/>
              <w:jc w:val="left"/>
              <w:textAlignment w:val="center"/>
              <w:rPr>
                <w:rStyle w:val="74"/>
                <w:rFonts w:hint="eastAsia" w:ascii="宋体" w:hAnsi="宋体" w:eastAsia="宋体" w:cs="宋体"/>
                <w:sz w:val="21"/>
                <w:szCs w:val="21"/>
                <w:lang w:val="en-US" w:eastAsia="zh-CN" w:bidi="ar"/>
              </w:rPr>
            </w:pPr>
            <w:r>
              <w:rPr>
                <w:rStyle w:val="74"/>
                <w:rFonts w:hint="eastAsia" w:ascii="宋体" w:hAnsi="宋体" w:eastAsia="宋体" w:cs="宋体"/>
                <w:sz w:val="21"/>
                <w:szCs w:val="21"/>
                <w:lang w:val="en-US" w:eastAsia="zh-CN" w:bidi="ar"/>
              </w:rPr>
              <w:t>15、重量：13.5Kg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2"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1、载波频率范围：520MHz-960MHz（取决于适用的国家规范）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2、RF功率输出：最大30Mw ,Maximum 30Mw (取决于适用的国家规范)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3、振荡模式：PLL(数字频率合成器)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4、发射频率稳定度 ：&lt;30ppm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5、动态范围：≥100dB(A)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6、频率响应 ：50Hz-15KHz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7、最大输入声压：130dB SPL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8、话筒拾音头 ：手持（动圈式），会议`腰包（电容式）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9、电源：3V 2节AA型碱性电池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10、工作电流 :110mA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接收机参数：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11、载波频率范围：520MHz-960MHz（取决于适用的国家规范）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12、调制方式：FM调频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13、振荡模式：PLL（数字频率合成器）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14、杂散抑制 ：≥80Db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15、镜象抑制：≥80dB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16、灵敏度：＜5dBuV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17、音频输出电平：平衡输出:250mV/600Ω／非平衡输出:400mV/3KGΩ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18、工作距离 ：50-150米（取决使用环境）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19、工作电压 ：DC12－16V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20工作电流：≤400mA、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8"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练功鞋</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〖1〗精选优质牛皮底，防滑防磨，彩色帆布布邦，久跳不累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〖2〗进口交叉皮筋，更牢固透气吸汗，耐磨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〖3〗适用于舞蹈、瑜伽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音箱壁挂支架、音箱线2*300芯（2*1.5）、管材、连接线、接头等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8"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舞蹈手花</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〖1〗材料：闪光布，不掉色，不变形，不掉花片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〖2〗带手柄，环保耐用，牢固不抽丝，柔软不扎手，丝条密集，舞动起来动感十足，可水洗，大号球花舞蹈手花</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〖3〗用途：适合用于广场舞，学校，舞台表演，幼儿园，等场合使用，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啦啦操服</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鞋柜</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〖1〗软包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〖2〗规格：10格</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〖3〗尺寸：120cm*30cm*40cm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化妆台</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〖1〗规格：宽80厘米*深40厘米*高1.6米；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〖2〗材质：稳固铁艺框架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〖3〗简约风格，整体美观；优质导轨抽屉，储物空间充足；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〖4〗化妆镜镜面明亮、清晰成像；采用水性背漆，健康环保，使用放心；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2"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更衣衣柜</w:t>
            </w:r>
          </w:p>
        </w:tc>
        <w:tc>
          <w:tcPr>
            <w:tcW w:w="8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〖1〗规格：高1850*宽900*深420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〖2〗工艺：表面喷塑处理；柜内部：采用≥0.8mm 厚冷轧钢板成型、表面喷塑处理，采用≥0.8mm 厚冷轧钢板成型、隔板边缘折成，表面喷塑处理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〖3〗结构：柜门对开门，分上下对开门，两层对开。上面采用不锈钢挂衣服杆子，下面采用隔板可放鞋。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地胶</w:t>
            </w:r>
          </w:p>
        </w:tc>
        <w:tc>
          <w:tcPr>
            <w:tcW w:w="8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〖1〗材质：环保型PVC舞蹈地板（软质聚氯乙烯），通体透心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〖2〗质量等级：使用年限一般在10年以上）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〖3〗厚度： 2mm 3mm 4mm 5mm 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〖4〗规格：宽达到1.5m（根据房间长和宽定制生产）×任意长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〖5〗颜色：可任意定制生产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〖6〗舞蹈教室常用颜色：墨绿、青灰、藏蓝、深灰、浅灰等</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平米</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照身镜</w:t>
            </w:r>
          </w:p>
        </w:tc>
        <w:tc>
          <w:tcPr>
            <w:tcW w:w="8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〖1〗镜子高度200cm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〖2〗镜子厚度0.5cm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〖3〗垫底天然高密度板材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〖4〗高级镀银镜面，平整度高，高透逼真，成像清晰、不变形，铝合金包边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〖5〗镜面采用防爆工艺，有效防止破碎飞溅，使用更加安全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〖6〗采用水性背漆，健康环保，使用放心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平米</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hAnsi="宋体" w:cs="宋体"/>
          <w:color w:val="auto"/>
          <w:sz w:val="24"/>
          <w:szCs w:val="24"/>
          <w:highlight w:val="none"/>
          <w:lang w:eastAsia="zh-CN"/>
        </w:rPr>
      </w:pPr>
    </w:p>
    <w:p>
      <w:pPr>
        <w:rPr>
          <w:rFonts w:hint="eastAsia" w:ascii="宋体" w:hAnsi="宋体" w:eastAsia="宋体" w:cs="宋体"/>
          <w:color w:val="auto"/>
          <w:szCs w:val="24"/>
          <w:highlight w:val="yellow"/>
          <w:lang w:eastAsia="zh-CN"/>
        </w:rPr>
        <w:sectPr>
          <w:pgSz w:w="16838" w:h="11906" w:orient="landscape"/>
          <w:pgMar w:top="1417" w:right="1417" w:bottom="1417" w:left="1417" w:header="1134" w:footer="1134" w:gutter="0"/>
          <w:pgNumType w:fmt="decimal"/>
          <w:cols w:space="0" w:num="1"/>
          <w:docGrid w:type="lines" w:linePitch="336" w:charSpace="0"/>
        </w:sectPr>
      </w:pPr>
    </w:p>
    <w:p>
      <w:pPr>
        <w:rPr>
          <w:rFonts w:hint="eastAsia" w:ascii="宋体" w:hAnsi="宋体" w:eastAsia="宋体" w:cs="宋体"/>
          <w:color w:val="auto"/>
          <w:szCs w:val="24"/>
          <w:highlight w:val="yellow"/>
          <w:lang w:eastAsia="zh-CN"/>
        </w:rPr>
      </w:pPr>
    </w:p>
    <w:p>
      <w:pPr>
        <w:spacing w:line="360" w:lineRule="auto"/>
        <w:ind w:firstLine="720" w:firstLineChars="3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三、商务条款</w:t>
      </w:r>
    </w:p>
    <w:p>
      <w:pP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（一）交货期：</w:t>
      </w:r>
      <w:r>
        <w:rPr>
          <w:rFonts w:hint="eastAsia" w:hAnsi="宋体" w:cs="宋体"/>
          <w:color w:val="auto"/>
          <w:szCs w:val="24"/>
          <w:highlight w:val="none"/>
          <w:lang w:eastAsia="zh-CN"/>
        </w:rPr>
        <w:t>30日历日。</w:t>
      </w:r>
    </w:p>
    <w:p>
      <w:pPr>
        <w:spacing w:line="360" w:lineRule="auto"/>
        <w:ind w:left="720" w:leftChars="300" w:firstLine="240" w:firstLine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注：交货期指自合同签订之日至设备交付全部安装调试完成，并经验收合格交付采购人使用。</w:t>
      </w:r>
    </w:p>
    <w:p>
      <w:pP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（二）质保期：壹年。</w:t>
      </w:r>
    </w:p>
    <w:p>
      <w:pP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（三）交货地点：采购人指定地点。</w:t>
      </w:r>
    </w:p>
    <w:p>
      <w:pPr>
        <w:spacing w:line="360" w:lineRule="auto"/>
        <w:ind w:left="720" w:leftChars="200" w:hanging="240" w:hanging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（四）付款方式：所有采购物品交付安装完毕，经验收投入使用后一次性支付合同金额的 100%。</w:t>
      </w:r>
    </w:p>
    <w:p>
      <w:pPr>
        <w:spacing w:line="360" w:lineRule="auto"/>
        <w:ind w:firstLine="482" w:firstLineChars="200"/>
        <w:rPr>
          <w:rFonts w:hint="eastAsia" w:ascii="宋体" w:hAnsi="宋体" w:eastAsia="宋体" w:cs="宋体"/>
          <w:b/>
          <w:color w:val="auto"/>
          <w:sz w:val="24"/>
          <w:lang w:val="en-US" w:bidi="en-US"/>
        </w:rPr>
      </w:pPr>
    </w:p>
    <w:p>
      <w:pPr>
        <w:spacing w:line="360" w:lineRule="auto"/>
        <w:ind w:firstLine="482" w:firstLineChars="200"/>
        <w:rPr>
          <w:rFonts w:hint="eastAsia" w:ascii="宋体" w:hAnsi="宋体" w:eastAsia="宋体" w:cs="宋体"/>
          <w:b/>
          <w:color w:val="auto"/>
          <w:sz w:val="24"/>
          <w:lang w:val="en-US" w:bidi="en-US"/>
        </w:rPr>
      </w:pPr>
    </w:p>
    <w:p>
      <w:pPr>
        <w:spacing w:line="360" w:lineRule="auto"/>
        <w:ind w:firstLine="482" w:firstLineChars="200"/>
        <w:rPr>
          <w:rFonts w:hint="eastAsia" w:ascii="宋体" w:hAnsi="宋体" w:eastAsia="宋体" w:cs="宋体"/>
          <w:b/>
          <w:color w:val="auto"/>
          <w:sz w:val="24"/>
          <w:lang w:val="en-US" w:bidi="en-US"/>
        </w:rPr>
      </w:pPr>
    </w:p>
    <w:p>
      <w:pPr>
        <w:spacing w:line="360" w:lineRule="auto"/>
        <w:ind w:firstLine="482" w:firstLineChars="200"/>
        <w:rPr>
          <w:rFonts w:hint="eastAsia" w:ascii="宋体" w:hAnsi="宋体" w:eastAsia="宋体" w:cs="宋体"/>
          <w:b/>
          <w:color w:val="auto"/>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jc w:val="both"/>
        <w:rPr>
          <w:rFonts w:hint="eastAsia" w:ascii="宋体" w:hAnsi="宋体" w:eastAsia="宋体" w:cs="宋体"/>
          <w:b/>
          <w:bCs/>
          <w:color w:val="auto"/>
          <w:sz w:val="36"/>
          <w:szCs w:val="36"/>
          <w:highlight w:val="none"/>
          <w:lang w:val="en-US" w:eastAsia="zh-CN"/>
        </w:rPr>
      </w:pP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jc w:val="center"/>
        <w:rPr>
          <w:rFonts w:hint="eastAsia" w:ascii="宋体" w:hAnsi="宋体" w:eastAsia="宋体" w:cs="宋体"/>
          <w:b/>
          <w:bCs/>
          <w:color w:val="auto"/>
          <w:sz w:val="36"/>
          <w:szCs w:val="36"/>
          <w:highlight w:val="none"/>
        </w:rPr>
      </w:pP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 评标方法</w:t>
      </w:r>
    </w:p>
    <w:p>
      <w:pP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一、评标方法</w:t>
      </w:r>
    </w:p>
    <w:p>
      <w:pPr>
        <w:spacing w:line="360" w:lineRule="auto"/>
        <w:ind w:firstLine="480" w:firstLineChars="200"/>
        <w:rPr>
          <w:rFonts w:hint="eastAsia" w:ascii="宋体" w:hAnsi="宋体" w:eastAsia="宋体" w:cs="宋体"/>
          <w:color w:val="auto"/>
          <w:spacing w:val="4"/>
          <w:szCs w:val="24"/>
          <w:highlight w:val="none"/>
          <w:lang w:val="en-US" w:eastAsia="zh-CN"/>
        </w:rPr>
      </w:pPr>
      <w:r>
        <w:rPr>
          <w:rFonts w:hint="eastAsia" w:ascii="宋体" w:hAnsi="宋体" w:eastAsia="宋体" w:cs="宋体"/>
          <w:color w:val="auto"/>
          <w:szCs w:val="21"/>
          <w:highlight w:val="none"/>
        </w:rPr>
        <w:t>按照《中华人民共和国政府采购法》、中华人民共和国2015年第658号国务院令--《中华人民共和国政府采购法实施条例》和中华人民共和国财政部2017年第87号部长令--《政府采购服务和服务招标投标管理办法》的规定，</w:t>
      </w:r>
      <w:r>
        <w:rPr>
          <w:rFonts w:hint="eastAsia" w:ascii="宋体" w:hAnsi="宋体" w:eastAsia="宋体" w:cs="宋体"/>
          <w:color w:val="auto"/>
          <w:spacing w:val="4"/>
          <w:szCs w:val="21"/>
          <w:highlight w:val="none"/>
        </w:rPr>
        <w:t>本次评标采用</w:t>
      </w:r>
      <w:r>
        <w:rPr>
          <w:rFonts w:hint="eastAsia" w:ascii="宋体" w:hAnsi="宋体" w:eastAsia="宋体" w:cs="宋体"/>
          <w:b/>
          <w:color w:val="auto"/>
          <w:spacing w:val="4"/>
          <w:szCs w:val="21"/>
          <w:highlight w:val="none"/>
        </w:rPr>
        <w:t>综合评分法</w:t>
      </w:r>
      <w:r>
        <w:rPr>
          <w:rFonts w:hint="eastAsia" w:ascii="宋体" w:hAnsi="宋体" w:eastAsia="宋体" w:cs="宋体"/>
          <w:color w:val="auto"/>
          <w:spacing w:val="4"/>
          <w:szCs w:val="21"/>
          <w:highlight w:val="none"/>
        </w:rPr>
        <w:t>--</w:t>
      </w:r>
      <w:r>
        <w:rPr>
          <w:rFonts w:hint="eastAsia" w:ascii="宋体" w:hAnsi="宋体" w:eastAsia="宋体" w:cs="宋体"/>
          <w:color w:val="auto"/>
          <w:szCs w:val="21"/>
          <w:highlight w:val="none"/>
        </w:rPr>
        <w:t>投标文件满足招标文件全部实质性要求，且按照评审因素的量化指标评审得分最高的</w:t>
      </w: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为中标候选人。</w:t>
      </w:r>
      <w:r>
        <w:rPr>
          <w:rFonts w:hint="eastAsia" w:ascii="宋体" w:hAnsi="宋体" w:eastAsia="宋体" w:cs="宋体"/>
          <w:color w:val="auto"/>
          <w:spacing w:val="4"/>
          <w:szCs w:val="24"/>
          <w:highlight w:val="none"/>
        </w:rPr>
        <w:t>（最低报价不是中标的唯一标准）。</w:t>
      </w:r>
    </w:p>
    <w:p>
      <w:pPr>
        <w:spacing w:line="360" w:lineRule="auto"/>
        <w:outlineLvl w:val="1"/>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二、评标委员会负责具体评标事务，并独立履行下列职责：</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2.1审查、评价投标文件是否符合招标文件的商务、技术、合同条款等实质性要求；</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2.2要求</w:t>
      </w:r>
      <w:r>
        <w:rPr>
          <w:rFonts w:hint="eastAsia" w:hAnsi="宋体" w:cs="宋体"/>
          <w:color w:val="auto"/>
          <w:spacing w:val="4"/>
          <w:szCs w:val="21"/>
          <w:highlight w:val="none"/>
          <w:lang w:eastAsia="zh-CN"/>
        </w:rPr>
        <w:t>投标人</w:t>
      </w:r>
      <w:r>
        <w:rPr>
          <w:rFonts w:hint="eastAsia" w:ascii="宋体" w:hAnsi="宋体" w:eastAsia="宋体" w:cs="宋体"/>
          <w:color w:val="auto"/>
          <w:spacing w:val="4"/>
          <w:szCs w:val="21"/>
          <w:highlight w:val="none"/>
        </w:rPr>
        <w:t>对投标文件有关事项作出澄清或者说明；</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2.3对投标文件进行比较和评价；</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2.4确定中标候选人名单，以及根据采购人委托直接确定中标人；</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2.5向采购人、采购代理机构或者有关部门报告评标中发现的违法行为。</w:t>
      </w:r>
    </w:p>
    <w:p>
      <w:pPr>
        <w:spacing w:line="360" w:lineRule="auto"/>
        <w:outlineLvl w:val="1"/>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三、</w:t>
      </w:r>
      <w:r>
        <w:rPr>
          <w:rFonts w:hint="eastAsia" w:ascii="宋体" w:hAnsi="宋体" w:eastAsia="宋体" w:cs="宋体"/>
          <w:b/>
          <w:color w:val="auto"/>
          <w:spacing w:val="4"/>
          <w:szCs w:val="21"/>
          <w:highlight w:val="none"/>
          <w:lang w:val="zh-CN"/>
        </w:rPr>
        <w:t>在资格和符合性审查时，出现下列情况者（但不限于），按无效投标处理</w:t>
      </w:r>
      <w:r>
        <w:rPr>
          <w:rFonts w:hint="eastAsia" w:ascii="宋体" w:hAnsi="宋体" w:eastAsia="宋体" w:cs="宋体"/>
          <w:b/>
          <w:color w:val="auto"/>
          <w:spacing w:val="4"/>
          <w:szCs w:val="21"/>
          <w:highlight w:val="none"/>
        </w:rPr>
        <w:t>：</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3.1投标文件未按招标文件要求签署、盖章的；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3.2不具备招标文件中规定的资格要求的；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3.3报价超过招标文件中规定的预算金额或者最高限价的；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3.4投标文件含有采购人不能接受的附加条件的；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3.5无投标有效期或有效期达不到招标文件要求的；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3.6单位负责人为同一人或者存在直接控股、管理关系的不同</w:t>
      </w:r>
      <w:r>
        <w:rPr>
          <w:rFonts w:hint="eastAsia" w:hAnsi="宋体" w:cs="宋体"/>
          <w:color w:val="auto"/>
          <w:spacing w:val="4"/>
          <w:szCs w:val="21"/>
          <w:highlight w:val="none"/>
          <w:lang w:eastAsia="zh-CN"/>
        </w:rPr>
        <w:t>投标人</w:t>
      </w:r>
      <w:r>
        <w:rPr>
          <w:rFonts w:hint="eastAsia" w:ascii="宋体" w:hAnsi="宋体" w:eastAsia="宋体" w:cs="宋体"/>
          <w:color w:val="auto"/>
          <w:spacing w:val="4"/>
          <w:szCs w:val="21"/>
          <w:highlight w:val="none"/>
        </w:rPr>
        <w:t>，参加本项目同一合同项下的投标的；</w:t>
      </w:r>
    </w:p>
    <w:p>
      <w:pPr>
        <w:spacing w:line="360" w:lineRule="auto"/>
        <w:ind w:firstLine="496" w:firstLineChars="200"/>
        <w:rPr>
          <w:rFonts w:hint="eastAsia" w:ascii="宋体" w:hAnsi="宋体" w:eastAsia="宋体" w:cs="宋体"/>
          <w:b/>
          <w:color w:val="auto"/>
          <w:spacing w:val="4"/>
          <w:szCs w:val="21"/>
          <w:highlight w:val="none"/>
        </w:rPr>
      </w:pPr>
      <w:r>
        <w:rPr>
          <w:rFonts w:hint="eastAsia" w:ascii="宋体" w:hAnsi="宋体" w:eastAsia="宋体" w:cs="宋体"/>
          <w:b w:val="0"/>
          <w:bCs/>
          <w:color w:val="auto"/>
          <w:spacing w:val="4"/>
          <w:szCs w:val="21"/>
          <w:highlight w:val="none"/>
        </w:rPr>
        <w:t>3.7为本采购项目提供整体设计、规范编制或者项目管理、监理、检测等服务的</w:t>
      </w:r>
      <w:r>
        <w:rPr>
          <w:rFonts w:hint="eastAsia" w:hAnsi="宋体" w:cs="宋体"/>
          <w:b w:val="0"/>
          <w:bCs/>
          <w:color w:val="auto"/>
          <w:spacing w:val="4"/>
          <w:szCs w:val="21"/>
          <w:highlight w:val="none"/>
          <w:lang w:eastAsia="zh-CN"/>
        </w:rPr>
        <w:t>投标人</w:t>
      </w:r>
      <w:r>
        <w:rPr>
          <w:rFonts w:hint="eastAsia" w:ascii="宋体" w:hAnsi="宋体" w:eastAsia="宋体" w:cs="宋体"/>
          <w:b w:val="0"/>
          <w:bCs/>
          <w:color w:val="auto"/>
          <w:spacing w:val="4"/>
          <w:szCs w:val="21"/>
          <w:highlight w:val="none"/>
        </w:rPr>
        <w:t>，参加本采购项目投标的；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3.8提供虚假投标文件和资料的；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3.9如因</w:t>
      </w:r>
      <w:r>
        <w:rPr>
          <w:rFonts w:hint="eastAsia" w:hAnsi="宋体" w:cs="宋体"/>
          <w:color w:val="auto"/>
          <w:spacing w:val="4"/>
          <w:szCs w:val="21"/>
          <w:highlight w:val="none"/>
          <w:lang w:eastAsia="zh-CN"/>
        </w:rPr>
        <w:t>投标人</w:t>
      </w:r>
      <w:r>
        <w:rPr>
          <w:rFonts w:hint="eastAsia" w:ascii="宋体" w:hAnsi="宋体" w:eastAsia="宋体" w:cs="宋体"/>
          <w:color w:val="auto"/>
          <w:spacing w:val="4"/>
          <w:szCs w:val="21"/>
          <w:highlight w:val="none"/>
        </w:rPr>
        <w:t>自身原因未携带加密数字认证证书造成无法解密投标文件或者投标文件未上传或上传失败的，按无效投标处理；</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3.10法律、法规和招标文件规定的其他无效情形；</w:t>
      </w:r>
    </w:p>
    <w:p>
      <w:pPr>
        <w:spacing w:line="500" w:lineRule="exact"/>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四、</w:t>
      </w:r>
      <w:r>
        <w:rPr>
          <w:rFonts w:hint="eastAsia" w:hAnsi="宋体" w:cs="宋体"/>
          <w:b/>
          <w:color w:val="auto"/>
          <w:spacing w:val="4"/>
          <w:szCs w:val="21"/>
          <w:highlight w:val="none"/>
          <w:lang w:eastAsia="zh-CN"/>
        </w:rPr>
        <w:t>投标人</w:t>
      </w:r>
      <w:r>
        <w:rPr>
          <w:rFonts w:hint="eastAsia" w:ascii="宋体" w:hAnsi="宋体" w:eastAsia="宋体" w:cs="宋体"/>
          <w:b/>
          <w:color w:val="auto"/>
          <w:spacing w:val="4"/>
          <w:szCs w:val="21"/>
          <w:highlight w:val="none"/>
        </w:rPr>
        <w:t>有下列情形之一的，视为</w:t>
      </w:r>
      <w:r>
        <w:rPr>
          <w:rFonts w:hint="eastAsia" w:hAnsi="宋体" w:cs="宋体"/>
          <w:b/>
          <w:color w:val="auto"/>
          <w:spacing w:val="4"/>
          <w:szCs w:val="21"/>
          <w:highlight w:val="none"/>
          <w:lang w:eastAsia="zh-CN"/>
        </w:rPr>
        <w:t>投标人</w:t>
      </w:r>
      <w:r>
        <w:rPr>
          <w:rFonts w:hint="eastAsia" w:ascii="宋体" w:hAnsi="宋体" w:eastAsia="宋体" w:cs="宋体"/>
          <w:b/>
          <w:color w:val="auto"/>
          <w:spacing w:val="4"/>
          <w:szCs w:val="21"/>
          <w:highlight w:val="none"/>
        </w:rPr>
        <w:t>串通投标，其投标无效：</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4.1不同</w:t>
      </w:r>
      <w:r>
        <w:rPr>
          <w:rFonts w:hint="eastAsia" w:hAnsi="宋体" w:cs="宋体"/>
          <w:color w:val="auto"/>
          <w:spacing w:val="4"/>
          <w:szCs w:val="21"/>
          <w:highlight w:val="none"/>
          <w:lang w:eastAsia="zh-CN"/>
        </w:rPr>
        <w:t>投标人</w:t>
      </w:r>
      <w:r>
        <w:rPr>
          <w:rFonts w:hint="eastAsia" w:ascii="宋体" w:hAnsi="宋体" w:eastAsia="宋体" w:cs="宋体"/>
          <w:color w:val="auto"/>
          <w:spacing w:val="4"/>
          <w:szCs w:val="21"/>
          <w:highlight w:val="none"/>
        </w:rPr>
        <w:t>的投标文件由同一单位或者个人编制；</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4.2不同</w:t>
      </w:r>
      <w:r>
        <w:rPr>
          <w:rFonts w:hint="eastAsia" w:hAnsi="宋体" w:cs="宋体"/>
          <w:color w:val="auto"/>
          <w:spacing w:val="4"/>
          <w:szCs w:val="21"/>
          <w:highlight w:val="none"/>
          <w:lang w:eastAsia="zh-CN"/>
        </w:rPr>
        <w:t>投标人</w:t>
      </w:r>
      <w:r>
        <w:rPr>
          <w:rFonts w:hint="eastAsia" w:ascii="宋体" w:hAnsi="宋体" w:eastAsia="宋体" w:cs="宋体"/>
          <w:color w:val="auto"/>
          <w:spacing w:val="4"/>
          <w:szCs w:val="21"/>
          <w:highlight w:val="none"/>
        </w:rPr>
        <w:t>委托同一单位或者个人办理投标事宜；</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4.3不同</w:t>
      </w:r>
      <w:r>
        <w:rPr>
          <w:rFonts w:hint="eastAsia" w:hAnsi="宋体" w:cs="宋体"/>
          <w:color w:val="auto"/>
          <w:spacing w:val="4"/>
          <w:szCs w:val="21"/>
          <w:highlight w:val="none"/>
          <w:lang w:eastAsia="zh-CN"/>
        </w:rPr>
        <w:t>投标人</w:t>
      </w:r>
      <w:r>
        <w:rPr>
          <w:rFonts w:hint="eastAsia" w:ascii="宋体" w:hAnsi="宋体" w:eastAsia="宋体" w:cs="宋体"/>
          <w:color w:val="auto"/>
          <w:spacing w:val="4"/>
          <w:szCs w:val="21"/>
          <w:highlight w:val="none"/>
        </w:rPr>
        <w:t>的投标文件载明的项目管理成员或者联系人员为同一人；</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4.4不同</w:t>
      </w:r>
      <w:r>
        <w:rPr>
          <w:rFonts w:hint="eastAsia" w:hAnsi="宋体" w:cs="宋体"/>
          <w:color w:val="auto"/>
          <w:spacing w:val="4"/>
          <w:szCs w:val="21"/>
          <w:highlight w:val="none"/>
          <w:lang w:eastAsia="zh-CN"/>
        </w:rPr>
        <w:t>投标人</w:t>
      </w:r>
      <w:r>
        <w:rPr>
          <w:rFonts w:hint="eastAsia" w:ascii="宋体" w:hAnsi="宋体" w:eastAsia="宋体" w:cs="宋体"/>
          <w:color w:val="auto"/>
          <w:spacing w:val="4"/>
          <w:szCs w:val="21"/>
          <w:highlight w:val="none"/>
        </w:rPr>
        <w:t>的投标文件异常一致或者投标报价呈规律性差异；</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4.5不同</w:t>
      </w:r>
      <w:r>
        <w:rPr>
          <w:rFonts w:hint="eastAsia" w:hAnsi="宋体" w:cs="宋体"/>
          <w:color w:val="auto"/>
          <w:spacing w:val="4"/>
          <w:szCs w:val="21"/>
          <w:highlight w:val="none"/>
          <w:lang w:eastAsia="zh-CN"/>
        </w:rPr>
        <w:t>投标人</w:t>
      </w:r>
      <w:r>
        <w:rPr>
          <w:rFonts w:hint="eastAsia" w:ascii="宋体" w:hAnsi="宋体" w:eastAsia="宋体" w:cs="宋体"/>
          <w:color w:val="auto"/>
          <w:spacing w:val="4"/>
          <w:szCs w:val="21"/>
          <w:highlight w:val="none"/>
        </w:rPr>
        <w:t>的投标文件相互混装；</w:t>
      </w:r>
    </w:p>
    <w:p>
      <w:pP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五、评审标准</w:t>
      </w:r>
    </w:p>
    <w:p>
      <w:pPr>
        <w:tabs>
          <w:tab w:val="left" w:pos="0"/>
        </w:tabs>
        <w:adjustRightInd w:val="0"/>
        <w:snapToGrid w:val="0"/>
        <w:spacing w:line="500" w:lineRule="exact"/>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5.1初步评审标准：</w:t>
      </w:r>
    </w:p>
    <w:p>
      <w:pPr>
        <w:tabs>
          <w:tab w:val="left" w:pos="0"/>
        </w:tabs>
        <w:adjustRightInd w:val="0"/>
        <w:snapToGrid w:val="0"/>
        <w:spacing w:line="500" w:lineRule="exact"/>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5.1.1资格评审标准：见附件1初步审查要素表</w:t>
      </w:r>
    </w:p>
    <w:p>
      <w:pPr>
        <w:tabs>
          <w:tab w:val="left" w:pos="0"/>
        </w:tabs>
        <w:adjustRightInd w:val="0"/>
        <w:snapToGrid w:val="0"/>
        <w:spacing w:line="500" w:lineRule="exact"/>
        <w:ind w:firstLine="470" w:firstLineChars="196"/>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5.1.2符合性评审标准：见</w:t>
      </w:r>
      <w:r>
        <w:rPr>
          <w:rFonts w:hint="eastAsia" w:ascii="宋体" w:hAnsi="宋体" w:eastAsia="宋体" w:cs="宋体"/>
          <w:color w:val="auto"/>
          <w:szCs w:val="24"/>
          <w:highlight w:val="none"/>
        </w:rPr>
        <w:t>附件</w:t>
      </w:r>
      <w:r>
        <w:rPr>
          <w:rFonts w:hint="eastAsia" w:hAnsi="宋体" w:cs="宋体"/>
          <w:color w:val="auto"/>
          <w:szCs w:val="24"/>
          <w:highlight w:val="none"/>
          <w:lang w:val="en-US" w:eastAsia="zh-CN"/>
        </w:rPr>
        <w:t>2</w:t>
      </w:r>
      <w:r>
        <w:rPr>
          <w:rFonts w:hint="eastAsia" w:ascii="宋体" w:hAnsi="宋体" w:eastAsia="宋体" w:cs="宋体"/>
          <w:color w:val="auto"/>
          <w:szCs w:val="24"/>
          <w:highlight w:val="none"/>
        </w:rPr>
        <w:t>初步审查要素表</w:t>
      </w:r>
    </w:p>
    <w:p>
      <w:pPr>
        <w:tabs>
          <w:tab w:val="left" w:pos="0"/>
        </w:tabs>
        <w:adjustRightInd w:val="0"/>
        <w:snapToGrid w:val="0"/>
        <w:spacing w:line="500" w:lineRule="exact"/>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5.2分值构成与评分标准</w:t>
      </w:r>
      <w:r>
        <w:rPr>
          <w:rFonts w:hint="eastAsia" w:ascii="宋体" w:hAnsi="宋体" w:eastAsia="宋体" w:cs="宋体"/>
          <w:b/>
          <w:color w:val="auto"/>
          <w:szCs w:val="24"/>
          <w:highlight w:val="none"/>
        </w:rPr>
        <w:t>:</w:t>
      </w:r>
      <w:r>
        <w:rPr>
          <w:rFonts w:hint="eastAsia" w:ascii="宋体" w:hAnsi="宋体" w:eastAsia="宋体" w:cs="宋体"/>
          <w:bCs/>
          <w:color w:val="auto"/>
          <w:szCs w:val="24"/>
          <w:highlight w:val="none"/>
        </w:rPr>
        <w:t>见附件</w:t>
      </w:r>
      <w:r>
        <w:rPr>
          <w:rFonts w:hint="eastAsia" w:hAnsi="宋体" w:cs="宋体"/>
          <w:bCs/>
          <w:color w:val="auto"/>
          <w:szCs w:val="24"/>
          <w:highlight w:val="none"/>
          <w:lang w:val="en-US" w:eastAsia="zh-CN"/>
        </w:rPr>
        <w:t>3</w:t>
      </w:r>
      <w:r>
        <w:rPr>
          <w:rFonts w:hint="eastAsia" w:ascii="宋体" w:hAnsi="宋体" w:eastAsia="宋体" w:cs="宋体"/>
          <w:bCs/>
          <w:color w:val="auto"/>
          <w:szCs w:val="24"/>
          <w:highlight w:val="none"/>
        </w:rPr>
        <w:t>评标因素及权重分值表</w:t>
      </w:r>
    </w:p>
    <w:p>
      <w:pP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六、评审程序</w:t>
      </w:r>
    </w:p>
    <w:p>
      <w:pP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6.1本采购项目评标按照下列工作程序进行</w:t>
      </w:r>
      <w:r>
        <w:rPr>
          <w:rFonts w:hint="eastAsia" w:ascii="宋体" w:hAnsi="宋体" w:eastAsia="宋体" w:cs="宋体"/>
          <w:bCs/>
          <w:color w:val="auto"/>
          <w:highlight w:val="none"/>
        </w:rPr>
        <w:t>（在上一步评审中被认定无效投标者，不进入下一步的评审）</w:t>
      </w:r>
      <w:r>
        <w:rPr>
          <w:rFonts w:hint="eastAsia" w:ascii="宋体" w:hAnsi="宋体" w:eastAsia="宋体" w:cs="宋体"/>
          <w:b/>
          <w:color w:val="auto"/>
          <w:highlight w:val="none"/>
        </w:rPr>
        <w:t>。</w:t>
      </w:r>
    </w:p>
    <w:p>
      <w:pP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（1）投标文件初审；</w:t>
      </w:r>
    </w:p>
    <w:p>
      <w:pP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（2）澄清有关问题；</w:t>
      </w:r>
    </w:p>
    <w:p>
      <w:pP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（3）比较与评价；</w:t>
      </w:r>
    </w:p>
    <w:p>
      <w:pP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（4）推荐中标候选人名单。</w:t>
      </w:r>
    </w:p>
    <w:p>
      <w:pP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6.2投标文件初审</w:t>
      </w:r>
    </w:p>
    <w:p>
      <w:pP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采购人或采购代理机构根据本章第5.1.1项规定的评审标准对投标文件进行资格性审查。有一项不符合评审标准的，将被认定为无效投标。</w:t>
      </w:r>
    </w:p>
    <w:p>
      <w:pP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评标委员会根据本章第5.1.2项规定的评审标准对投标文件进行符合性评审。有一项不符合评审标准的，评标委员会应当否决其投标。</w:t>
      </w:r>
    </w:p>
    <w:p>
      <w:pP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在资格性审查阶段，不符合招标文件要求的，不得进入符合性审查，在符合性审查时未通过的，不得进入后续评审环节。</w:t>
      </w:r>
    </w:p>
    <w:p>
      <w:pP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6.3投标文件的澄清</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6.3.1为有助于投标文件的审查、比较和评价，评标委员会可要求</w:t>
      </w:r>
      <w:r>
        <w:rPr>
          <w:rFonts w:hint="eastAsia" w:hAnsi="宋体" w:cs="宋体"/>
          <w:color w:val="auto"/>
          <w:highlight w:val="none"/>
          <w:lang w:eastAsia="zh-CN"/>
        </w:rPr>
        <w:t>投标人</w:t>
      </w:r>
      <w:r>
        <w:rPr>
          <w:rFonts w:hint="eastAsia" w:ascii="宋体" w:hAnsi="宋体" w:eastAsia="宋体" w:cs="宋体"/>
          <w:color w:val="auto"/>
          <w:highlight w:val="none"/>
        </w:rPr>
        <w:t>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w:t>
      </w:r>
      <w:r>
        <w:rPr>
          <w:rFonts w:hint="eastAsia" w:hAnsi="宋体" w:cs="宋体"/>
          <w:color w:val="auto"/>
          <w:highlight w:val="none"/>
          <w:lang w:eastAsia="zh-CN"/>
        </w:rPr>
        <w:t>投标人</w:t>
      </w:r>
      <w:r>
        <w:rPr>
          <w:rFonts w:hint="eastAsia" w:ascii="宋体" w:hAnsi="宋体" w:eastAsia="宋体" w:cs="宋体"/>
          <w:color w:val="auto"/>
          <w:highlight w:val="none"/>
        </w:rPr>
        <w:t>的澄清、说明或者补正不得超出投标文件的范围或者改变投标文件的实质性内容。评标委员会不接受</w:t>
      </w:r>
      <w:r>
        <w:rPr>
          <w:rFonts w:hint="eastAsia" w:hAnsi="宋体" w:cs="宋体"/>
          <w:color w:val="auto"/>
          <w:highlight w:val="none"/>
          <w:lang w:eastAsia="zh-CN"/>
        </w:rPr>
        <w:t>投标人</w:t>
      </w:r>
      <w:r>
        <w:rPr>
          <w:rFonts w:hint="eastAsia" w:ascii="宋体" w:hAnsi="宋体" w:eastAsia="宋体" w:cs="宋体"/>
          <w:color w:val="auto"/>
          <w:highlight w:val="none"/>
        </w:rPr>
        <w:t>主动提出的澄清、说明。</w:t>
      </w:r>
    </w:p>
    <w:p>
      <w:pPr>
        <w:tabs>
          <w:tab w:val="left" w:pos="851"/>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6.3.2评标委员会认为</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的报价明显低于其他通过符合性审查</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的报价，有可能影响产品质量或者不能诚信履约的，应当要求其在评标现场合理的时间内提供书面说明，必要时提交相关证明材料；</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不能证明其报价合理性的，评标委员会应当将其作为无效投标处理。</w:t>
      </w:r>
    </w:p>
    <w:p>
      <w:pP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6.4投标文件比较与评价</w:t>
      </w:r>
    </w:p>
    <w:p>
      <w:pPr>
        <w:tabs>
          <w:tab w:val="left" w:pos="0"/>
        </w:tabs>
        <w:adjustRightInd w:val="0"/>
        <w:snapToGrid w:val="0"/>
        <w:spacing w:before="12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6.4.1</w:t>
      </w:r>
      <w:r>
        <w:rPr>
          <w:rFonts w:hint="eastAsia" w:ascii="宋体" w:hAnsi="宋体" w:eastAsia="宋体" w:cs="宋体"/>
          <w:bCs/>
          <w:color w:val="auto"/>
          <w:highlight w:val="none"/>
        </w:rPr>
        <w:t>评委会应按照招标文件中规定的评标方法</w:t>
      </w:r>
      <w:r>
        <w:rPr>
          <w:rFonts w:hint="eastAsia" w:ascii="宋体" w:hAnsi="宋体" w:eastAsia="宋体" w:cs="宋体"/>
          <w:color w:val="auto"/>
          <w:highlight w:val="none"/>
        </w:rPr>
        <w:t>和标准，</w:t>
      </w:r>
      <w:r>
        <w:rPr>
          <w:rFonts w:hint="eastAsia" w:ascii="宋体" w:hAnsi="宋体" w:eastAsia="宋体" w:cs="宋体"/>
          <w:bCs/>
          <w:color w:val="auto"/>
          <w:highlight w:val="none"/>
        </w:rPr>
        <w:t>对</w:t>
      </w:r>
      <w:r>
        <w:rPr>
          <w:rFonts w:hint="eastAsia" w:ascii="宋体" w:hAnsi="宋体" w:eastAsia="宋体" w:cs="宋体"/>
          <w:color w:val="auto"/>
          <w:highlight w:val="none"/>
        </w:rPr>
        <w:t>资格性检查和符合性检查</w:t>
      </w:r>
      <w:r>
        <w:rPr>
          <w:rFonts w:hint="eastAsia" w:ascii="宋体" w:hAnsi="宋体" w:eastAsia="宋体" w:cs="宋体"/>
          <w:bCs/>
          <w:color w:val="auto"/>
          <w:highlight w:val="none"/>
        </w:rPr>
        <w:t>合格的投标文件进行商务和技术评估，综合比较与评价。</w:t>
      </w:r>
    </w:p>
    <w:p>
      <w:pPr>
        <w:spacing w:line="500" w:lineRule="exact"/>
        <w:ind w:firstLine="470" w:firstLineChars="196"/>
        <w:rPr>
          <w:rFonts w:hint="eastAsia" w:ascii="宋体" w:hAnsi="宋体" w:eastAsia="宋体" w:cs="宋体"/>
          <w:color w:val="auto"/>
          <w:szCs w:val="24"/>
          <w:highlight w:val="none"/>
        </w:rPr>
      </w:pPr>
      <w:r>
        <w:rPr>
          <w:rFonts w:hint="eastAsia" w:ascii="宋体" w:hAnsi="宋体" w:eastAsia="宋体" w:cs="宋体"/>
          <w:color w:val="auto"/>
          <w:highlight w:val="none"/>
        </w:rPr>
        <w:t>6.4.2如果投标文件没有实质性响应招标文件的要求，评委会将予以拒绝。</w:t>
      </w:r>
      <w:r>
        <w:rPr>
          <w:rFonts w:hint="eastAsia" w:hAnsi="宋体" w:cs="宋体"/>
          <w:color w:val="auto"/>
          <w:highlight w:val="none"/>
          <w:lang w:eastAsia="zh-CN"/>
        </w:rPr>
        <w:t>投标人</w:t>
      </w:r>
      <w:r>
        <w:rPr>
          <w:rFonts w:hint="eastAsia" w:ascii="宋体" w:hAnsi="宋体" w:eastAsia="宋体" w:cs="宋体"/>
          <w:color w:val="auto"/>
          <w:highlight w:val="none"/>
        </w:rPr>
        <w:t>不得通过修正或撤销不合要求的偏离或保留，从而使其投标成为实质性响应的投标。</w:t>
      </w:r>
    </w:p>
    <w:p>
      <w:pPr>
        <w:spacing w:line="500" w:lineRule="exact"/>
        <w:ind w:firstLine="120" w:firstLineChars="50"/>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七、政策性扣减</w:t>
      </w:r>
    </w:p>
    <w:p>
      <w:pPr>
        <w:spacing w:line="360" w:lineRule="auto"/>
        <w:ind w:firstLine="361" w:firstLineChars="150"/>
        <w:rPr>
          <w:rFonts w:hint="eastAsia"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.1落实促进支持中小企业、监狱企业、残疾人福利性单位发展的政策</w:t>
      </w:r>
    </w:p>
    <w:p>
      <w:pPr>
        <w:spacing w:line="360" w:lineRule="auto"/>
        <w:ind w:firstLine="360" w:firstLineChars="150"/>
        <w:rPr>
          <w:rFonts w:hint="eastAsia" w:ascii="宋体" w:hAnsi="宋体" w:cs="宋体"/>
          <w:sz w:val="24"/>
        </w:rPr>
      </w:pPr>
      <w:r>
        <w:rPr>
          <w:rFonts w:hint="eastAsia" w:ascii="宋体" w:hAnsi="宋体" w:cs="宋体"/>
          <w:sz w:val="24"/>
        </w:rPr>
        <w:t>(如为专门面向中小企业的采购项目（或采购包），不执行（1）、（2）、（3）条款的价格扣除或加分。)</w:t>
      </w:r>
    </w:p>
    <w:p>
      <w:pPr>
        <w:spacing w:line="360" w:lineRule="auto"/>
        <w:ind w:firstLine="360" w:firstLineChars="150"/>
        <w:rPr>
          <w:rFonts w:hint="eastAsia" w:ascii="宋体" w:hAnsi="宋体" w:cs="宋体"/>
          <w:sz w:val="24"/>
        </w:rPr>
      </w:pPr>
      <w:r>
        <w:rPr>
          <w:rFonts w:hint="eastAsia" w:ascii="宋体" w:hAnsi="宋体" w:cs="宋体"/>
          <w:sz w:val="24"/>
        </w:rPr>
        <w:t>（1） 《政府采购促进中小企业发展管理办法》（财库〔2020〕46号）、《关于进一步加大政府采购支持中小企业力度的通知》（财库〔2022〕19号）在政府采购活动中，</w:t>
      </w:r>
      <w:r>
        <w:rPr>
          <w:rFonts w:hint="eastAsia" w:hAnsi="宋体" w:cs="宋体"/>
          <w:sz w:val="24"/>
          <w:lang w:eastAsia="zh-CN"/>
        </w:rPr>
        <w:t>投标人</w:t>
      </w:r>
      <w:r>
        <w:rPr>
          <w:rFonts w:hint="eastAsia" w:ascii="宋体" w:hAnsi="宋体" w:cs="宋体"/>
          <w:sz w:val="24"/>
        </w:rPr>
        <w:t>提供的货物、工程或者服务符合下列情形的，享受《办法》规定的中小企业扶持政策：</w:t>
      </w:r>
    </w:p>
    <w:p>
      <w:pPr>
        <w:spacing w:line="360" w:lineRule="auto"/>
        <w:ind w:firstLine="360" w:firstLineChars="150"/>
        <w:rPr>
          <w:rFonts w:hint="eastAsia" w:ascii="宋体" w:hAnsi="宋体" w:cs="宋体"/>
          <w:sz w:val="24"/>
        </w:rPr>
      </w:pPr>
      <w:r>
        <w:rPr>
          <w:rFonts w:hint="eastAsia" w:ascii="宋体" w:hAnsi="宋体" w:cs="宋体"/>
          <w:sz w:val="24"/>
        </w:rPr>
        <w:t>(一)在货物采购项目中，货物由中小企业制造，即货物由中小企业生产且使用该中小企业商号或者注册商标；</w:t>
      </w:r>
    </w:p>
    <w:p>
      <w:pPr>
        <w:spacing w:line="360" w:lineRule="auto"/>
        <w:ind w:firstLine="360" w:firstLineChars="150"/>
        <w:rPr>
          <w:rFonts w:hint="eastAsia" w:ascii="宋体" w:hAnsi="宋体" w:cs="宋体"/>
          <w:sz w:val="24"/>
        </w:rPr>
      </w:pPr>
      <w:r>
        <w:rPr>
          <w:rFonts w:hint="eastAsia" w:ascii="宋体" w:hAnsi="宋体" w:cs="宋体"/>
          <w:sz w:val="24"/>
        </w:rPr>
        <w:t>(二)在工程采购项目中，工程由中小企业承建，即工程施工单位为中小企业；</w:t>
      </w:r>
    </w:p>
    <w:p>
      <w:pPr>
        <w:spacing w:line="360" w:lineRule="auto"/>
        <w:ind w:firstLine="360" w:firstLineChars="150"/>
        <w:rPr>
          <w:rFonts w:hint="eastAsia" w:ascii="宋体" w:hAnsi="宋体" w:cs="宋体"/>
          <w:sz w:val="24"/>
        </w:rPr>
      </w:pPr>
      <w:r>
        <w:rPr>
          <w:rFonts w:hint="eastAsia" w:ascii="宋体" w:hAnsi="宋体" w:cs="宋体"/>
          <w:sz w:val="24"/>
        </w:rPr>
        <w:t>(三)在服务采购项目中，服务由中小企业承接，即提供服务的人员为中小企业依照《中华人民共和国劳动民法典》订立劳动合同的从业人员。</w:t>
      </w:r>
    </w:p>
    <w:p>
      <w:pPr>
        <w:spacing w:line="360" w:lineRule="auto"/>
        <w:ind w:firstLine="360" w:firstLineChars="150"/>
        <w:rPr>
          <w:rFonts w:hint="eastAsia" w:ascii="宋体" w:hAnsi="宋体" w:cs="宋体"/>
          <w:sz w:val="24"/>
        </w:rPr>
      </w:pPr>
      <w:r>
        <w:rPr>
          <w:rFonts w:hint="eastAsia" w:ascii="宋体" w:hAnsi="宋体" w:cs="宋体"/>
          <w:sz w:val="24"/>
        </w:rPr>
        <w:t>在货物采购项目中，</w:t>
      </w:r>
      <w:r>
        <w:rPr>
          <w:rFonts w:hint="eastAsia" w:hAnsi="宋体" w:cs="宋体"/>
          <w:sz w:val="24"/>
          <w:lang w:eastAsia="zh-CN"/>
        </w:rPr>
        <w:t>投标人</w:t>
      </w:r>
      <w:r>
        <w:rPr>
          <w:rFonts w:hint="eastAsia" w:ascii="宋体" w:hAnsi="宋体" w:cs="宋体"/>
          <w:sz w:val="24"/>
        </w:rPr>
        <w:t>提供的货物既有中小企业制造货物，也有大型企业制造货物的，不享受《办法》规定的中小企业扶持政策。</w:t>
      </w:r>
    </w:p>
    <w:p>
      <w:pPr>
        <w:spacing w:line="360" w:lineRule="auto"/>
        <w:ind w:firstLine="360" w:firstLineChars="150"/>
        <w:rPr>
          <w:rFonts w:hint="eastAsia"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spacing w:line="360" w:lineRule="auto"/>
        <w:ind w:firstLine="360" w:firstLineChars="150"/>
        <w:rPr>
          <w:rFonts w:hint="eastAsia" w:ascii="宋体" w:hAnsi="宋体" w:cs="宋体"/>
          <w:sz w:val="24"/>
        </w:rPr>
      </w:pPr>
      <w:r>
        <w:rPr>
          <w:rFonts w:hint="eastAsia" w:ascii="宋体" w:hAnsi="宋体" w:cs="宋体"/>
          <w:sz w:val="24"/>
        </w:rPr>
        <w:t>依据《办法》规定享受扶持政策获得政府采购合同的，小微企业不得将合同分包给大中型企业，中型企业不得将合同分包给大型企业。</w:t>
      </w:r>
    </w:p>
    <w:p>
      <w:pPr>
        <w:spacing w:line="360" w:lineRule="auto"/>
        <w:ind w:firstLine="360" w:firstLineChars="150"/>
        <w:rPr>
          <w:rFonts w:hint="eastAsia" w:ascii="宋体" w:hAnsi="宋体" w:cs="宋体"/>
          <w:sz w:val="24"/>
        </w:rPr>
      </w:pPr>
      <w:r>
        <w:rPr>
          <w:rFonts w:hint="eastAsia" w:ascii="宋体" w:hAnsi="宋体" w:cs="宋体"/>
          <w:sz w:val="24"/>
        </w:rPr>
        <w:t>根据《政府采购促进中小企业发展管理办法》的通知（财库〔2020〕46号）规定，参加政府采购活动的中小企业应当提供《中小企业声明函》。</w:t>
      </w:r>
      <w:r>
        <w:rPr>
          <w:rFonts w:hint="eastAsia" w:hAnsi="宋体" w:cs="宋体"/>
          <w:sz w:val="24"/>
          <w:lang w:eastAsia="zh-CN"/>
        </w:rPr>
        <w:t>投标人</w:t>
      </w:r>
      <w:r>
        <w:rPr>
          <w:rFonts w:hint="eastAsia" w:ascii="宋体" w:hAnsi="宋体" w:cs="宋体"/>
          <w:sz w:val="24"/>
        </w:rPr>
        <w:t>提供的《中小企业声明函》原件必须真实，否则，按照有关规定予以处理。</w:t>
      </w:r>
    </w:p>
    <w:p>
      <w:pPr>
        <w:spacing w:line="360" w:lineRule="auto"/>
        <w:ind w:firstLine="360" w:firstLineChars="150"/>
        <w:rPr>
          <w:rFonts w:hint="eastAsia" w:ascii="宋体" w:hAnsi="宋体" w:cs="宋体"/>
          <w:sz w:val="24"/>
        </w:rPr>
      </w:pPr>
      <w:r>
        <w:rPr>
          <w:rFonts w:hint="eastAsia" w:ascii="宋体" w:hAnsi="宋体" w:cs="宋体"/>
          <w:sz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pacing w:line="360" w:lineRule="auto"/>
        <w:ind w:firstLine="360" w:firstLineChars="150"/>
        <w:rPr>
          <w:rFonts w:hint="eastAsia" w:ascii="宋体" w:hAnsi="宋体" w:cs="宋体"/>
          <w:sz w:val="24"/>
        </w:rPr>
      </w:pPr>
      <w:r>
        <w:rPr>
          <w:rFonts w:hint="eastAsia" w:ascii="宋体" w:hAnsi="宋体" w:cs="宋体"/>
          <w:sz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pacing w:line="360" w:lineRule="auto"/>
        <w:ind w:firstLine="360" w:firstLineChars="150"/>
        <w:rPr>
          <w:rFonts w:hint="eastAsia" w:ascii="宋体" w:hAnsi="宋体" w:cs="宋体"/>
          <w:sz w:val="24"/>
        </w:rPr>
      </w:pPr>
      <w:r>
        <w:rPr>
          <w:rFonts w:hint="eastAsia" w:ascii="宋体" w:hAnsi="宋体" w:cs="宋体"/>
          <w:sz w:val="24"/>
        </w:rPr>
        <w:t xml:space="preserve">（2） 《财政部 司法部关于政府采购支持监狱企业发展有关问题的通知》（财库〔2014〕68号） </w:t>
      </w:r>
    </w:p>
    <w:p>
      <w:pPr>
        <w:spacing w:line="360" w:lineRule="auto"/>
        <w:ind w:firstLine="360" w:firstLineChars="150"/>
        <w:rPr>
          <w:rFonts w:hint="eastAsia"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监狱企业参加政府采购活动时，应当提供由省级以上监狱管理局、戒毒管理局（含新疆生产建设兵团）出具的属于监狱企业的证明文件。在政府采购活动中，监狱企业视同小型、微型企业。</w:t>
      </w:r>
    </w:p>
    <w:p>
      <w:pPr>
        <w:spacing w:line="360" w:lineRule="auto"/>
        <w:ind w:firstLine="360" w:firstLineChars="150"/>
        <w:rPr>
          <w:rFonts w:hint="eastAsia" w:ascii="宋体" w:hAnsi="宋体" w:cs="宋体"/>
          <w:sz w:val="24"/>
        </w:rPr>
      </w:pPr>
      <w:r>
        <w:rPr>
          <w:rFonts w:hint="eastAsia" w:ascii="宋体" w:hAnsi="宋体" w:cs="宋体"/>
          <w:sz w:val="24"/>
        </w:rPr>
        <w:t>（3） 《三部门联合发布关于促进残疾人就业政府采购政策的通知》（财库〔2017〕141号）；</w:t>
      </w:r>
    </w:p>
    <w:p>
      <w:pPr>
        <w:spacing w:line="360" w:lineRule="auto"/>
        <w:ind w:firstLine="360" w:firstLineChars="150"/>
        <w:rPr>
          <w:rFonts w:hint="eastAsia" w:ascii="宋体" w:hAnsi="宋体" w:cs="宋体"/>
          <w:sz w:val="24"/>
        </w:rPr>
      </w:pPr>
      <w:r>
        <w:rPr>
          <w:rFonts w:hint="eastAsia" w:ascii="宋体" w:hAnsi="宋体" w:cs="宋体"/>
          <w:sz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spacing w:line="360" w:lineRule="auto"/>
        <w:ind w:firstLine="360" w:firstLineChars="150"/>
        <w:rPr>
          <w:rFonts w:hint="eastAsia" w:ascii="宋体" w:hAnsi="宋体" w:cs="宋体"/>
          <w:sz w:val="24"/>
        </w:rPr>
      </w:pPr>
      <w:r>
        <w:rPr>
          <w:rFonts w:hint="eastAsia" w:ascii="宋体" w:hAnsi="宋体" w:cs="宋体"/>
          <w:sz w:val="24"/>
        </w:rPr>
        <w:t>（4） 《关于运用政府采购政策支持乡村产业振兴的通知》（财库〔2021〕19号）</w:t>
      </w:r>
    </w:p>
    <w:p>
      <w:pPr>
        <w:spacing w:line="360" w:lineRule="auto"/>
        <w:ind w:firstLine="361" w:firstLineChars="150"/>
        <w:rPr>
          <w:rFonts w:hint="eastAsia" w:ascii="宋体" w:hAnsi="宋体" w:cs="宋体"/>
          <w:sz w:val="24"/>
        </w:rPr>
      </w:pPr>
      <w:r>
        <w:rPr>
          <w:rFonts w:hint="eastAsia" w:ascii="宋体" w:hAnsi="宋体" w:cs="宋体"/>
          <w:b/>
          <w:bCs/>
          <w:sz w:val="24"/>
          <w:lang w:val="en-US" w:eastAsia="zh-CN"/>
        </w:rPr>
        <w:t>7.2</w:t>
      </w:r>
      <w:r>
        <w:rPr>
          <w:rFonts w:hint="eastAsia" w:ascii="宋体" w:hAnsi="宋体" w:cs="宋体"/>
          <w:b/>
          <w:bCs/>
          <w:sz w:val="24"/>
        </w:rPr>
        <w:t>落实优先采购节能、环保产品的政策</w:t>
      </w:r>
    </w:p>
    <w:p>
      <w:pPr>
        <w:spacing w:line="360" w:lineRule="auto"/>
        <w:ind w:firstLine="360" w:firstLineChars="150"/>
        <w:rPr>
          <w:rFonts w:hint="eastAsia" w:ascii="宋体" w:hAnsi="宋体" w:cs="宋体"/>
          <w:sz w:val="24"/>
        </w:rPr>
      </w:pPr>
      <w:r>
        <w:rPr>
          <w:rFonts w:hint="eastAsia" w:ascii="宋体" w:hAnsi="宋体" w:cs="宋体"/>
          <w:sz w:val="24"/>
        </w:rPr>
        <w:t>（</w:t>
      </w:r>
      <w:r>
        <w:rPr>
          <w:rFonts w:hint="eastAsia" w:hAnsi="宋体" w:cs="宋体"/>
          <w:sz w:val="24"/>
          <w:lang w:val="en-US" w:eastAsia="zh-CN"/>
        </w:rPr>
        <w:t>1</w:t>
      </w:r>
      <w:r>
        <w:rPr>
          <w:rFonts w:hint="eastAsia" w:ascii="宋体" w:hAnsi="宋体" w:cs="宋体"/>
          <w:sz w:val="24"/>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360" w:firstLineChars="150"/>
        <w:rPr>
          <w:rFonts w:hint="eastAsia" w:ascii="宋体" w:hAnsi="宋体" w:cs="宋体"/>
          <w:sz w:val="24"/>
        </w:rPr>
      </w:pPr>
      <w:r>
        <w:rPr>
          <w:rFonts w:hint="eastAsia" w:ascii="宋体" w:hAnsi="宋体" w:cs="宋体"/>
          <w:sz w:val="24"/>
        </w:rPr>
        <w:t>所有投标产品进入“节能产品政府采购品目清单”的，应提供相关证书扫描件，相关证书的颁发机构应来自《参与实施政府采购节能产品认证机构名录》。</w:t>
      </w:r>
    </w:p>
    <w:p>
      <w:pPr>
        <w:spacing w:line="360" w:lineRule="auto"/>
        <w:ind w:firstLine="360" w:firstLineChars="150"/>
        <w:rPr>
          <w:rFonts w:hint="eastAsia" w:ascii="宋体" w:hAnsi="宋体" w:eastAsia="宋体" w:cs="宋体"/>
          <w:color w:val="auto"/>
          <w:szCs w:val="24"/>
          <w:highlight w:val="none"/>
        </w:rPr>
      </w:pPr>
      <w:r>
        <w:rPr>
          <w:rFonts w:hint="eastAsia" w:ascii="宋体" w:hAnsi="宋体" w:cs="宋体"/>
          <w:sz w:val="24"/>
        </w:rPr>
        <w:t>所有投标产品进入“环境标志产品政府采购品目清单”的，应提供相关证书扫描件，相关证书的颁发机构应来自《参与实施政府采购环境标志产品认证机构名录》</w:t>
      </w:r>
      <w:r>
        <w:rPr>
          <w:rFonts w:hint="eastAsia" w:ascii="宋体" w:hAnsi="宋体" w:eastAsia="宋体" w:cs="宋体"/>
          <w:color w:val="auto"/>
          <w:szCs w:val="24"/>
          <w:highlight w:val="none"/>
        </w:rPr>
        <w:t>。</w:t>
      </w:r>
    </w:p>
    <w:p>
      <w:pPr>
        <w:pStyle w:val="22"/>
        <w:spacing w:before="0" w:beforeAutospacing="0" w:after="0" w:afterAutospacing="0" w:line="50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八、特殊情况的处理</w:t>
      </w:r>
    </w:p>
    <w:p>
      <w:pPr>
        <w:pStyle w:val="22"/>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8.1单一产品采购项目中，提供相同品牌的产品的不同</w:t>
      </w:r>
      <w:r>
        <w:rPr>
          <w:rFonts w:hint="eastAsia" w:cs="宋体"/>
          <w:bCs/>
          <w:color w:val="auto"/>
          <w:kern w:val="2"/>
          <w:highlight w:val="none"/>
          <w:lang w:eastAsia="zh-CN"/>
        </w:rPr>
        <w:t>投标人</w:t>
      </w:r>
      <w:r>
        <w:rPr>
          <w:rFonts w:hint="eastAsia" w:ascii="宋体" w:hAnsi="宋体" w:eastAsia="宋体" w:cs="宋体"/>
          <w:bCs/>
          <w:color w:val="auto"/>
          <w:kern w:val="2"/>
          <w:highlight w:val="none"/>
        </w:rPr>
        <w:t>参加同一合同项下投标的，按以下方法处理：</w:t>
      </w:r>
    </w:p>
    <w:p>
      <w:pPr>
        <w:pStyle w:val="22"/>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8.1.1使用最低评标价法的采购项目，提供相同品牌产品的不同</w:t>
      </w:r>
      <w:r>
        <w:rPr>
          <w:rFonts w:hint="eastAsia" w:cs="宋体"/>
          <w:bCs/>
          <w:color w:val="auto"/>
          <w:kern w:val="2"/>
          <w:highlight w:val="none"/>
          <w:lang w:eastAsia="zh-CN"/>
        </w:rPr>
        <w:t>投标人</w:t>
      </w:r>
      <w:r>
        <w:rPr>
          <w:rFonts w:hint="eastAsia" w:ascii="宋体" w:hAnsi="宋体" w:eastAsia="宋体" w:cs="宋体"/>
          <w:bCs/>
          <w:color w:val="auto"/>
          <w:kern w:val="2"/>
          <w:highlight w:val="none"/>
        </w:rPr>
        <w:t>参加同一合同项下投标的，以其中通过资格审查、符合性审查且报价最低的参加评标；报价相同的，由采购人及评标委员会按照技术方案、售后服务等内容择优选择确定一个参加评标的</w:t>
      </w:r>
      <w:r>
        <w:rPr>
          <w:rFonts w:hint="eastAsia" w:cs="宋体"/>
          <w:bCs/>
          <w:color w:val="auto"/>
          <w:kern w:val="2"/>
          <w:highlight w:val="none"/>
          <w:lang w:eastAsia="zh-CN"/>
        </w:rPr>
        <w:t>投标人</w:t>
      </w:r>
      <w:r>
        <w:rPr>
          <w:rFonts w:hint="eastAsia" w:ascii="宋体" w:hAnsi="宋体" w:eastAsia="宋体" w:cs="宋体"/>
          <w:bCs/>
          <w:color w:val="auto"/>
          <w:kern w:val="2"/>
          <w:highlight w:val="none"/>
        </w:rPr>
        <w:t>，其他投标无效。</w:t>
      </w:r>
    </w:p>
    <w:p>
      <w:pPr>
        <w:pStyle w:val="22"/>
        <w:spacing w:before="0" w:beforeAutospacing="0" w:after="0" w:afterAutospacing="0" w:line="500" w:lineRule="exact"/>
        <w:ind w:firstLine="480" w:firstLineChars="200"/>
        <w:jc w:val="both"/>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8.1.2使用综合评分法的采购项目，提供相同品牌产品且通过资格审查、符合性审查的不同</w:t>
      </w:r>
      <w:r>
        <w:rPr>
          <w:rFonts w:hint="eastAsia" w:cs="宋体"/>
          <w:bCs/>
          <w:color w:val="auto"/>
          <w:kern w:val="2"/>
          <w:highlight w:val="none"/>
          <w:lang w:eastAsia="zh-CN"/>
        </w:rPr>
        <w:t>投标人</w:t>
      </w:r>
      <w:r>
        <w:rPr>
          <w:rFonts w:hint="eastAsia" w:ascii="宋体" w:hAnsi="宋体" w:eastAsia="宋体" w:cs="宋体"/>
          <w:bCs/>
          <w:color w:val="auto"/>
          <w:kern w:val="2"/>
          <w:highlight w:val="none"/>
        </w:rPr>
        <w:t>参加同一合同项下投标的，按一家</w:t>
      </w:r>
      <w:r>
        <w:rPr>
          <w:rFonts w:hint="eastAsia" w:cs="宋体"/>
          <w:bCs/>
          <w:color w:val="auto"/>
          <w:kern w:val="2"/>
          <w:highlight w:val="none"/>
          <w:lang w:eastAsia="zh-CN"/>
        </w:rPr>
        <w:t>投标人</w:t>
      </w:r>
      <w:r>
        <w:rPr>
          <w:rFonts w:hint="eastAsia" w:ascii="宋体" w:hAnsi="宋体" w:eastAsia="宋体" w:cs="宋体"/>
          <w:bCs/>
          <w:color w:val="auto"/>
          <w:kern w:val="2"/>
          <w:highlight w:val="none"/>
        </w:rPr>
        <w:t>计算，评审后得分最高的同品牌</w:t>
      </w:r>
      <w:r>
        <w:rPr>
          <w:rFonts w:hint="eastAsia" w:cs="宋体"/>
          <w:bCs/>
          <w:color w:val="auto"/>
          <w:kern w:val="2"/>
          <w:highlight w:val="none"/>
          <w:lang w:eastAsia="zh-CN"/>
        </w:rPr>
        <w:t>投标人</w:t>
      </w:r>
      <w:r>
        <w:rPr>
          <w:rFonts w:hint="eastAsia" w:ascii="宋体" w:hAnsi="宋体" w:eastAsia="宋体" w:cs="宋体"/>
          <w:bCs/>
          <w:color w:val="auto"/>
          <w:kern w:val="2"/>
          <w:highlight w:val="none"/>
        </w:rPr>
        <w:t>获得中标人推荐资格；评审得分相同的，由采购人及评标委员会按照投标报价最低的方式确定一个</w:t>
      </w:r>
      <w:r>
        <w:rPr>
          <w:rFonts w:hint="eastAsia" w:cs="宋体"/>
          <w:bCs/>
          <w:color w:val="auto"/>
          <w:kern w:val="2"/>
          <w:highlight w:val="none"/>
          <w:lang w:eastAsia="zh-CN"/>
        </w:rPr>
        <w:t>投标人</w:t>
      </w:r>
      <w:r>
        <w:rPr>
          <w:rFonts w:hint="eastAsia" w:ascii="宋体" w:hAnsi="宋体" w:eastAsia="宋体" w:cs="宋体"/>
          <w:bCs/>
          <w:color w:val="auto"/>
          <w:kern w:val="2"/>
          <w:highlight w:val="none"/>
        </w:rPr>
        <w:t>获得中标人推荐资格，其他同品牌</w:t>
      </w:r>
      <w:r>
        <w:rPr>
          <w:rFonts w:hint="eastAsia" w:cs="宋体"/>
          <w:bCs/>
          <w:color w:val="auto"/>
          <w:kern w:val="2"/>
          <w:highlight w:val="none"/>
          <w:lang w:eastAsia="zh-CN"/>
        </w:rPr>
        <w:t>投标人</w:t>
      </w:r>
      <w:r>
        <w:rPr>
          <w:rFonts w:hint="eastAsia" w:ascii="宋体" w:hAnsi="宋体" w:eastAsia="宋体" w:cs="宋体"/>
          <w:bCs/>
          <w:color w:val="auto"/>
          <w:kern w:val="2"/>
          <w:highlight w:val="none"/>
        </w:rPr>
        <w:t>不作为中标候选人。</w:t>
      </w:r>
    </w:p>
    <w:p>
      <w:pPr>
        <w:widowControl/>
        <w:spacing w:line="500" w:lineRule="exact"/>
        <w:ind w:right="-226" w:rightChars="-94"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8.2非单一产品采购项目中，提供相同品牌的核心产品的不同</w:t>
      </w:r>
      <w:r>
        <w:rPr>
          <w:rFonts w:hint="eastAsia" w:hAnsi="宋体" w:cs="宋体"/>
          <w:bCs/>
          <w:color w:val="auto"/>
          <w:kern w:val="2"/>
          <w:sz w:val="24"/>
          <w:szCs w:val="24"/>
          <w:highlight w:val="none"/>
          <w:lang w:val="en-US" w:eastAsia="zh-CN" w:bidi="ar-SA"/>
        </w:rPr>
        <w:t>投标人</w:t>
      </w:r>
      <w:r>
        <w:rPr>
          <w:rFonts w:hint="eastAsia" w:ascii="宋体" w:hAnsi="宋体" w:eastAsia="宋体" w:cs="宋体"/>
          <w:bCs/>
          <w:color w:val="auto"/>
          <w:kern w:val="2"/>
          <w:sz w:val="24"/>
          <w:szCs w:val="24"/>
          <w:highlight w:val="none"/>
          <w:lang w:val="en-US" w:eastAsia="zh-CN" w:bidi="ar-SA"/>
        </w:rPr>
        <w:t>参加同一合同项下投标的，按以下方法处理：</w:t>
      </w:r>
    </w:p>
    <w:p>
      <w:pPr>
        <w:pStyle w:val="22"/>
        <w:spacing w:before="0" w:beforeAutospacing="0" w:after="0" w:afterAutospacing="0" w:line="500" w:lineRule="exact"/>
        <w:ind w:firstLine="480" w:firstLineChars="20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8.2.1使用最低评标价法的采购项目，提供相同品牌核心产品的不同</w:t>
      </w:r>
      <w:r>
        <w:rPr>
          <w:rFonts w:hint="eastAsia" w:cs="宋体"/>
          <w:bCs/>
          <w:color w:val="auto"/>
          <w:kern w:val="2"/>
          <w:sz w:val="24"/>
          <w:szCs w:val="24"/>
          <w:highlight w:val="none"/>
          <w:lang w:val="en-US" w:eastAsia="zh-CN" w:bidi="ar-SA"/>
        </w:rPr>
        <w:t>投标人</w:t>
      </w:r>
      <w:r>
        <w:rPr>
          <w:rFonts w:hint="eastAsia" w:ascii="宋体" w:hAnsi="宋体" w:eastAsia="宋体" w:cs="宋体"/>
          <w:bCs/>
          <w:color w:val="auto"/>
          <w:kern w:val="2"/>
          <w:sz w:val="24"/>
          <w:szCs w:val="24"/>
          <w:highlight w:val="none"/>
          <w:lang w:val="en-US" w:eastAsia="zh-CN" w:bidi="ar-SA"/>
        </w:rPr>
        <w:t>参加同一合同项下投标的，以其中通过资格审查、符合性审查且投标报价最低的参加评标；投标报价相同的，由采购人及评标委员会按照技术方案、售后服务等内容择优选择确定一个参加评标的</w:t>
      </w:r>
      <w:r>
        <w:rPr>
          <w:rFonts w:hint="eastAsia" w:cs="宋体"/>
          <w:bCs/>
          <w:color w:val="auto"/>
          <w:kern w:val="2"/>
          <w:sz w:val="24"/>
          <w:szCs w:val="24"/>
          <w:highlight w:val="none"/>
          <w:lang w:val="en-US" w:eastAsia="zh-CN" w:bidi="ar-SA"/>
        </w:rPr>
        <w:t>投标人</w:t>
      </w:r>
      <w:r>
        <w:rPr>
          <w:rFonts w:hint="eastAsia" w:ascii="宋体" w:hAnsi="宋体" w:eastAsia="宋体" w:cs="宋体"/>
          <w:bCs/>
          <w:color w:val="auto"/>
          <w:kern w:val="2"/>
          <w:sz w:val="24"/>
          <w:szCs w:val="24"/>
          <w:highlight w:val="none"/>
          <w:lang w:val="en-US" w:eastAsia="zh-CN" w:bidi="ar-SA"/>
        </w:rPr>
        <w:t>，其他投标无效。</w:t>
      </w:r>
    </w:p>
    <w:p>
      <w:pPr>
        <w:pStyle w:val="22"/>
        <w:spacing w:before="0" w:beforeAutospacing="0" w:after="0" w:afterAutospacing="0" w:line="500" w:lineRule="exact"/>
        <w:ind w:firstLine="480" w:firstLineChars="20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8.2.2使用综合评分法的采购项目，提供相同品牌核心产品且通过资格审查、符合性审查的不同</w:t>
      </w:r>
      <w:r>
        <w:rPr>
          <w:rFonts w:hint="eastAsia" w:cs="宋体"/>
          <w:bCs/>
          <w:color w:val="auto"/>
          <w:kern w:val="2"/>
          <w:sz w:val="24"/>
          <w:szCs w:val="24"/>
          <w:highlight w:val="none"/>
          <w:lang w:val="en-US" w:eastAsia="zh-CN" w:bidi="ar-SA"/>
        </w:rPr>
        <w:t>投标人</w:t>
      </w:r>
      <w:r>
        <w:rPr>
          <w:rFonts w:hint="eastAsia" w:ascii="宋体" w:hAnsi="宋体" w:eastAsia="宋体" w:cs="宋体"/>
          <w:bCs/>
          <w:color w:val="auto"/>
          <w:kern w:val="2"/>
          <w:sz w:val="24"/>
          <w:szCs w:val="24"/>
          <w:highlight w:val="none"/>
          <w:lang w:val="en-US" w:eastAsia="zh-CN" w:bidi="ar-SA"/>
        </w:rPr>
        <w:t>参加同一合同项下投标的，按一家</w:t>
      </w:r>
      <w:r>
        <w:rPr>
          <w:rFonts w:hint="eastAsia" w:cs="宋体"/>
          <w:bCs/>
          <w:color w:val="auto"/>
          <w:kern w:val="2"/>
          <w:sz w:val="24"/>
          <w:szCs w:val="24"/>
          <w:highlight w:val="none"/>
          <w:lang w:val="en-US" w:eastAsia="zh-CN" w:bidi="ar-SA"/>
        </w:rPr>
        <w:t>投标人</w:t>
      </w:r>
      <w:r>
        <w:rPr>
          <w:rFonts w:hint="eastAsia" w:ascii="宋体" w:hAnsi="宋体" w:eastAsia="宋体" w:cs="宋体"/>
          <w:bCs/>
          <w:color w:val="auto"/>
          <w:kern w:val="2"/>
          <w:sz w:val="24"/>
          <w:szCs w:val="24"/>
          <w:highlight w:val="none"/>
          <w:lang w:val="en-US" w:eastAsia="zh-CN" w:bidi="ar-SA"/>
        </w:rPr>
        <w:t>计算，评审后得分最高的同品牌</w:t>
      </w:r>
      <w:r>
        <w:rPr>
          <w:rFonts w:hint="eastAsia" w:cs="宋体"/>
          <w:bCs/>
          <w:color w:val="auto"/>
          <w:kern w:val="2"/>
          <w:sz w:val="24"/>
          <w:szCs w:val="24"/>
          <w:highlight w:val="none"/>
          <w:lang w:val="en-US" w:eastAsia="zh-CN" w:bidi="ar-SA"/>
        </w:rPr>
        <w:t>投标人</w:t>
      </w:r>
      <w:r>
        <w:rPr>
          <w:rFonts w:hint="eastAsia" w:ascii="宋体" w:hAnsi="宋体" w:eastAsia="宋体" w:cs="宋体"/>
          <w:bCs/>
          <w:color w:val="auto"/>
          <w:kern w:val="2"/>
          <w:sz w:val="24"/>
          <w:szCs w:val="24"/>
          <w:highlight w:val="none"/>
          <w:lang w:val="en-US" w:eastAsia="zh-CN" w:bidi="ar-SA"/>
        </w:rPr>
        <w:t>获得中标人推荐资格；评审得分相同的，由采购人及评标委员会按照投标报价最低的方式确定一个</w:t>
      </w:r>
      <w:r>
        <w:rPr>
          <w:rFonts w:hint="eastAsia" w:cs="宋体"/>
          <w:bCs/>
          <w:color w:val="auto"/>
          <w:kern w:val="2"/>
          <w:sz w:val="24"/>
          <w:szCs w:val="24"/>
          <w:highlight w:val="none"/>
          <w:lang w:val="en-US" w:eastAsia="zh-CN" w:bidi="ar-SA"/>
        </w:rPr>
        <w:t>投标人</w:t>
      </w:r>
      <w:r>
        <w:rPr>
          <w:rFonts w:hint="eastAsia" w:ascii="宋体" w:hAnsi="宋体" w:eastAsia="宋体" w:cs="宋体"/>
          <w:bCs/>
          <w:color w:val="auto"/>
          <w:kern w:val="2"/>
          <w:sz w:val="24"/>
          <w:szCs w:val="24"/>
          <w:highlight w:val="none"/>
          <w:lang w:val="en-US" w:eastAsia="zh-CN" w:bidi="ar-SA"/>
        </w:rPr>
        <w:t>获得中标人推荐资格，其他同品牌</w:t>
      </w:r>
      <w:r>
        <w:rPr>
          <w:rFonts w:hint="eastAsia" w:cs="宋体"/>
          <w:bCs/>
          <w:color w:val="auto"/>
          <w:kern w:val="2"/>
          <w:sz w:val="24"/>
          <w:szCs w:val="24"/>
          <w:highlight w:val="none"/>
          <w:lang w:val="en-US" w:eastAsia="zh-CN" w:bidi="ar-SA"/>
        </w:rPr>
        <w:t>投标人</w:t>
      </w:r>
      <w:r>
        <w:rPr>
          <w:rFonts w:hint="eastAsia" w:ascii="宋体" w:hAnsi="宋体" w:eastAsia="宋体" w:cs="宋体"/>
          <w:bCs/>
          <w:color w:val="auto"/>
          <w:kern w:val="2"/>
          <w:sz w:val="24"/>
          <w:szCs w:val="24"/>
          <w:highlight w:val="none"/>
          <w:lang w:val="en-US" w:eastAsia="zh-CN" w:bidi="ar-SA"/>
        </w:rPr>
        <w:t>不作为中标候选人。</w:t>
      </w:r>
    </w:p>
    <w:p>
      <w:pPr>
        <w:pStyle w:val="22"/>
        <w:spacing w:before="0" w:beforeAutospacing="0" w:after="0" w:afterAutospacing="0" w:line="500" w:lineRule="exac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8.2.3核心产品为两个及以上时，当所有核心产品品牌均相同时，在评审时按同一</w:t>
      </w:r>
      <w:r>
        <w:rPr>
          <w:rFonts w:hint="eastAsia" w:cs="宋体"/>
          <w:bCs/>
          <w:color w:val="auto"/>
          <w:kern w:val="2"/>
          <w:sz w:val="24"/>
          <w:szCs w:val="24"/>
          <w:highlight w:val="none"/>
          <w:lang w:val="en-US" w:eastAsia="zh-CN" w:bidi="ar-SA"/>
        </w:rPr>
        <w:t>投标人</w:t>
      </w:r>
      <w:r>
        <w:rPr>
          <w:rFonts w:hint="eastAsia" w:ascii="宋体" w:hAnsi="宋体" w:eastAsia="宋体" w:cs="宋体"/>
          <w:bCs/>
          <w:color w:val="auto"/>
          <w:kern w:val="2"/>
          <w:sz w:val="24"/>
          <w:szCs w:val="24"/>
          <w:highlight w:val="none"/>
          <w:lang w:val="en-US" w:eastAsia="zh-CN" w:bidi="ar-SA"/>
        </w:rPr>
        <w:t>计算；部分核心产品品牌相同时按</w:t>
      </w:r>
      <w:r>
        <w:rPr>
          <w:rFonts w:hint="eastAsia" w:cs="宋体"/>
          <w:bCs/>
          <w:color w:val="auto"/>
          <w:kern w:val="2"/>
          <w:sz w:val="24"/>
          <w:szCs w:val="24"/>
          <w:highlight w:val="none"/>
          <w:lang w:val="en-US" w:eastAsia="zh-CN" w:bidi="ar-SA"/>
        </w:rPr>
        <w:t>相同投标人</w:t>
      </w:r>
      <w:r>
        <w:rPr>
          <w:rFonts w:hint="eastAsia" w:ascii="宋体" w:hAnsi="宋体" w:eastAsia="宋体" w:cs="宋体"/>
          <w:bCs/>
          <w:color w:val="auto"/>
          <w:kern w:val="2"/>
          <w:sz w:val="24"/>
          <w:szCs w:val="24"/>
          <w:highlight w:val="none"/>
          <w:lang w:val="en-US" w:eastAsia="zh-CN" w:bidi="ar-SA"/>
        </w:rPr>
        <w:t>计算。</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bCs/>
          <w:color w:val="auto"/>
          <w:kern w:val="2"/>
          <w:sz w:val="24"/>
          <w:szCs w:val="24"/>
          <w:highlight w:val="none"/>
          <w:lang w:val="en-US" w:eastAsia="zh-CN" w:bidi="ar-SA"/>
        </w:rPr>
        <w:t>8.3投标文件报价出现前后不一致的，按照下列规定修正：</w:t>
      </w:r>
    </w:p>
    <w:p>
      <w:pPr>
        <w:numPr>
          <w:ilvl w:val="0"/>
          <w:numId w:val="4"/>
        </w:num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投标文件的大写金额和小写金额不一致的，以大写金额为准；</w:t>
      </w:r>
    </w:p>
    <w:p>
      <w:pPr>
        <w:numPr>
          <w:ilvl w:val="0"/>
          <w:numId w:val="4"/>
        </w:num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pPr>
        <w:widowControl/>
        <w:autoSpaceDE w:val="0"/>
        <w:autoSpaceDN w:val="0"/>
        <w:spacing w:line="480" w:lineRule="exact"/>
        <w:ind w:right="51" w:firstLine="482" w:firstLineChars="200"/>
        <w:textAlignment w:val="bottom"/>
        <w:rPr>
          <w:rFonts w:hint="eastAsia" w:ascii="宋体" w:hAnsi="宋体" w:eastAsia="宋体" w:cs="宋体"/>
          <w:color w:val="auto"/>
          <w:szCs w:val="24"/>
          <w:highlight w:val="none"/>
        </w:rPr>
      </w:pPr>
      <w:r>
        <w:rPr>
          <w:rFonts w:hint="eastAsia" w:ascii="宋体" w:hAnsi="宋体" w:eastAsia="宋体" w:cs="宋体"/>
          <w:b/>
          <w:color w:val="auto"/>
          <w:highlight w:val="none"/>
        </w:rPr>
        <w:t>按上述修正的顺序和方法调整的投标报价应对</w:t>
      </w:r>
      <w:r>
        <w:rPr>
          <w:rFonts w:hint="eastAsia" w:hAnsi="宋体" w:cs="宋体"/>
          <w:b/>
          <w:color w:val="auto"/>
          <w:highlight w:val="none"/>
          <w:lang w:eastAsia="zh-CN"/>
        </w:rPr>
        <w:t>投标人</w:t>
      </w:r>
      <w:r>
        <w:rPr>
          <w:rFonts w:hint="eastAsia" w:ascii="宋体" w:hAnsi="宋体" w:eastAsia="宋体" w:cs="宋体"/>
          <w:b/>
          <w:color w:val="auto"/>
          <w:highlight w:val="none"/>
        </w:rPr>
        <w:t>具有约束力。如果</w:t>
      </w:r>
      <w:r>
        <w:rPr>
          <w:rFonts w:hint="eastAsia" w:hAnsi="宋体" w:cs="宋体"/>
          <w:b/>
          <w:color w:val="auto"/>
          <w:highlight w:val="none"/>
          <w:lang w:eastAsia="zh-CN"/>
        </w:rPr>
        <w:t>投标人</w:t>
      </w:r>
      <w:r>
        <w:rPr>
          <w:rFonts w:hint="eastAsia" w:ascii="宋体" w:hAnsi="宋体" w:eastAsia="宋体" w:cs="宋体"/>
          <w:b/>
          <w:color w:val="auto"/>
          <w:highlight w:val="none"/>
        </w:rPr>
        <w:t>不接受修正后的价格，其投标将按无效投标处理。</w:t>
      </w:r>
    </w:p>
    <w:p>
      <w:pPr>
        <w:spacing w:line="500" w:lineRule="exact"/>
        <w:outlineLvl w:val="1"/>
        <w:rPr>
          <w:rFonts w:hint="eastAsia" w:ascii="宋体" w:hAnsi="宋体" w:eastAsia="宋体" w:cs="宋体"/>
          <w:b/>
          <w:color w:val="auto"/>
          <w:spacing w:val="4"/>
          <w:szCs w:val="24"/>
          <w:highlight w:val="none"/>
        </w:rPr>
      </w:pPr>
      <w:r>
        <w:rPr>
          <w:rFonts w:hint="eastAsia" w:ascii="宋体" w:hAnsi="宋体" w:eastAsia="宋体" w:cs="宋体"/>
          <w:b/>
          <w:color w:val="auto"/>
          <w:spacing w:val="4"/>
          <w:szCs w:val="24"/>
          <w:highlight w:val="none"/>
        </w:rPr>
        <w:t>九、定标：</w:t>
      </w:r>
    </w:p>
    <w:p>
      <w:pPr>
        <w:pStyle w:val="22"/>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9.1评标结果由全体评标委员会成员签字确认。</w:t>
      </w:r>
    </w:p>
    <w:p>
      <w:pPr>
        <w:pStyle w:val="22"/>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9.2采购人根据评标报告中推荐的中标候选人排列顺序确定中标人，以复函通知采购代理机构。</w:t>
      </w:r>
    </w:p>
    <w:p>
      <w:pPr>
        <w:pStyle w:val="11"/>
        <w:rPr>
          <w:rFonts w:hint="eastAsia" w:ascii="宋体" w:hAnsi="宋体" w:eastAsia="宋体" w:cs="宋体"/>
          <w:color w:val="auto"/>
          <w:szCs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rPr>
        <w:t>附件1：</w:t>
      </w:r>
    </w:p>
    <w:p>
      <w:pPr>
        <w:pStyle w:val="11"/>
        <w:jc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资格性审查表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63"/>
        <w:gridCol w:w="2155"/>
        <w:gridCol w:w="62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tcBorders>
              <w:top w:val="single" w:color="auto" w:sz="12" w:space="0"/>
              <w:bottom w:val="single" w:color="auto" w:sz="2" w:space="0"/>
            </w:tcBorders>
            <w:shd w:val="clear" w:color="auto" w:fill="F1F1F1"/>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pct"/>
            <w:tcBorders>
              <w:top w:val="single" w:color="auto" w:sz="12" w:space="0"/>
              <w:bottom w:val="single" w:color="auto" w:sz="2" w:space="0"/>
            </w:tcBorders>
            <w:shd w:val="clear" w:color="auto" w:fill="F1F1F1"/>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资格项</w:t>
            </w:r>
          </w:p>
        </w:tc>
        <w:tc>
          <w:tcPr>
            <w:tcW w:w="3375" w:type="pct"/>
            <w:tcBorders>
              <w:top w:val="single" w:color="auto" w:sz="12" w:space="0"/>
              <w:bottom w:val="single" w:color="auto" w:sz="2" w:space="0"/>
            </w:tcBorders>
            <w:shd w:val="clear" w:color="auto" w:fill="F1F1F1"/>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tcBorders>
              <w:top w:val="single" w:color="auto" w:sz="2" w:space="0"/>
            </w:tcBorders>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4535" w:type="pct"/>
            <w:gridSpan w:val="2"/>
            <w:tcBorders>
              <w:top w:val="single" w:color="auto" w:sz="2" w:space="0"/>
            </w:tcBorders>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2" w:hRule="atLeast"/>
          <w:jc w:val="center"/>
        </w:trPr>
        <w:tc>
          <w:tcPr>
            <w:tcW w:w="464" w:type="pct"/>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16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营业执照等主体资格证明文件</w:t>
            </w:r>
          </w:p>
        </w:tc>
        <w:tc>
          <w:tcPr>
            <w:tcW w:w="3375" w:type="pct"/>
            <w:noWrap/>
            <w:vAlign w:val="center"/>
          </w:tcPr>
          <w:p>
            <w:pPr>
              <w:pStyle w:val="75"/>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供应商为合法注册的法人或其他组织或自然人，提供营业执照（或事业法人证）；自然人提供身份证明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3" w:hRule="atLeast"/>
          <w:jc w:val="center"/>
        </w:trPr>
        <w:tc>
          <w:tcPr>
            <w:tcW w:w="464" w:type="pct"/>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60" w:type="pct"/>
            <w:noWrap/>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基本资格条件承诺函</w:t>
            </w:r>
          </w:p>
        </w:tc>
        <w:tc>
          <w:tcPr>
            <w:tcW w:w="3375" w:type="pct"/>
            <w:noWrap/>
            <w:vAlign w:val="center"/>
          </w:tcPr>
          <w:p>
            <w:pPr>
              <w:pStyle w:val="75"/>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提供《基本资格条件承诺函》 ，供应商应对承诺内容的真实性、合法性、有效性负责。经调查核实为虚假承诺的，视同为“提供虚假材料谋取中标、成交”的违法行为，依照《中华人民共和国政府采购法》等法律法规追究相应责任。承诺函格式详情见招标文件第六章投标文件格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二</w:t>
            </w:r>
          </w:p>
        </w:tc>
        <w:tc>
          <w:tcPr>
            <w:tcW w:w="4535" w:type="pct"/>
            <w:gridSpan w:val="2"/>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464" w:type="pct"/>
            <w:noWrap/>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160" w:type="pct"/>
            <w:noWrap/>
            <w:vAlign w:val="center"/>
          </w:tcPr>
          <w:p>
            <w:pPr>
              <w:pStyle w:val="75"/>
              <w:ind w:left="0" w:leftChars="0"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法定代表人身份证明</w:t>
            </w:r>
            <w:r>
              <w:rPr>
                <w:rFonts w:hint="eastAsia" w:ascii="宋体" w:hAnsi="宋体" w:cs="宋体"/>
                <w:color w:val="auto"/>
                <w:sz w:val="24"/>
                <w:szCs w:val="24"/>
                <w:lang w:val="en-US" w:eastAsia="zh-CN"/>
              </w:rPr>
              <w:t>/法定代表人授权书</w:t>
            </w:r>
          </w:p>
        </w:tc>
        <w:tc>
          <w:tcPr>
            <w:tcW w:w="3375" w:type="pct"/>
            <w:noWrap/>
            <w:vAlign w:val="center"/>
          </w:tcPr>
          <w:p>
            <w:pPr>
              <w:pStyle w:val="75"/>
              <w:ind w:left="0" w:leftChars="0" w:firstLine="0" w:firstLineChars="0"/>
              <w:jc w:val="left"/>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none"/>
                <w:lang w:val="en-US" w:eastAsia="zh-CN"/>
              </w:rPr>
              <w:t>法定代表人授权书及被授权人身份证（法定代表人直接参与投标的，只须提交其身份证）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03" w:hRule="atLeast"/>
          <w:jc w:val="center"/>
        </w:trPr>
        <w:tc>
          <w:tcPr>
            <w:tcW w:w="464" w:type="pct"/>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60" w:type="pct"/>
            <w:noWrap/>
            <w:vAlign w:val="center"/>
          </w:tcPr>
          <w:p>
            <w:pPr>
              <w:pStyle w:val="75"/>
              <w:ind w:firstLine="48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信用查询</w:t>
            </w:r>
          </w:p>
        </w:tc>
        <w:tc>
          <w:tcPr>
            <w:tcW w:w="3375" w:type="pct"/>
            <w:noWrap/>
            <w:vAlign w:val="center"/>
          </w:tcPr>
          <w:p>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由代理机构现场网查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3" w:hRule="atLeast"/>
          <w:jc w:val="center"/>
        </w:trPr>
        <w:tc>
          <w:tcPr>
            <w:tcW w:w="464" w:type="pct"/>
            <w:noWrap/>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60" w:type="pct"/>
            <w:noWrap/>
            <w:vAlign w:val="center"/>
          </w:tcPr>
          <w:p>
            <w:pPr>
              <w:pStyle w:val="75"/>
              <w:ind w:left="0" w:leftChars="0" w:firstLine="240" w:firstLineChars="1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非联合体投标</w:t>
            </w:r>
          </w:p>
        </w:tc>
        <w:tc>
          <w:tcPr>
            <w:tcW w:w="3375" w:type="pct"/>
            <w:noWrap/>
            <w:vAlign w:val="center"/>
          </w:tcPr>
          <w:p>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本项目不接受联合体投标（提供非联合体承诺书）；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noWrap/>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60" w:type="pct"/>
            <w:noWrap/>
            <w:vAlign w:val="center"/>
          </w:tcPr>
          <w:p>
            <w:pPr>
              <w:pStyle w:val="75"/>
              <w:ind w:firstLine="48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企业关系</w:t>
            </w:r>
          </w:p>
        </w:tc>
        <w:tc>
          <w:tcPr>
            <w:tcW w:w="3375" w:type="pct"/>
            <w:noWrap/>
            <w:vAlign w:val="center"/>
          </w:tcPr>
          <w:p>
            <w:pPr>
              <w:keepNext/>
              <w:spacing w:before="210" w:beforeLines="50" w:after="210" w:afterLines="50"/>
              <w:jc w:val="left"/>
              <w:outlineLvl w:val="3"/>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w:t>
            </w:r>
            <w:r>
              <w:rPr>
                <w:rFonts w:hint="eastAsia" w:ascii="宋体" w:hAnsi="宋体" w:eastAsia="宋体" w:cs="宋体"/>
                <w:b w:val="0"/>
                <w:bCs w:val="0"/>
                <w:kern w:val="2"/>
                <w:sz w:val="24"/>
                <w:szCs w:val="24"/>
                <w:lang w:val="en-US" w:eastAsia="zh-CN" w:bidi="ar-SA"/>
              </w:rPr>
              <w:t>提供供应商企业关系关联承诺书</w:t>
            </w:r>
            <w:r>
              <w:rPr>
                <w:rFonts w:hint="eastAsia" w:ascii="宋体" w:hAnsi="宋体" w:eastAsia="宋体" w:cs="宋体"/>
                <w:color w:val="auto"/>
                <w:sz w:val="24"/>
                <w:szCs w:val="24"/>
                <w:highlight w:val="none"/>
                <w:lang w:val="en-US" w:eastAsia="zh-CN"/>
              </w:rPr>
              <w:t>）。</w:t>
            </w:r>
          </w:p>
        </w:tc>
      </w:tr>
    </w:tbl>
    <w:p>
      <w:pPr>
        <w:rPr>
          <w:rFonts w:hint="eastAsia"/>
        </w:rPr>
      </w:pPr>
    </w:p>
    <w:p>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附件2：</w:t>
      </w:r>
    </w:p>
    <w:p>
      <w:pPr>
        <w:pStyle w:val="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符合性</w:t>
      </w:r>
      <w:r>
        <w:rPr>
          <w:rFonts w:hint="eastAsia" w:ascii="宋体" w:hAnsi="宋体" w:eastAsia="宋体" w:cs="宋体"/>
          <w:b/>
          <w:bCs/>
          <w:color w:val="auto"/>
          <w:sz w:val="24"/>
          <w:szCs w:val="24"/>
          <w:highlight w:val="none"/>
        </w:rPr>
        <w:t>审查表</w:t>
      </w:r>
    </w:p>
    <w:tbl>
      <w:tblPr>
        <w:tblStyle w:val="25"/>
        <w:tblW w:w="4996"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26"/>
        <w:gridCol w:w="2122"/>
        <w:gridCol w:w="643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tcBorders>
              <w:top w:val="single" w:color="auto" w:sz="12" w:space="0"/>
              <w:bottom w:val="single" w:color="auto" w:sz="2" w:space="0"/>
            </w:tcBorders>
            <w:shd w:val="clear" w:color="auto" w:fill="F1F1F1" w:themeFill="background1" w:themeFillShade="F2"/>
            <w:vAlign w:val="center"/>
          </w:tcPr>
          <w:p>
            <w:pPr>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43" w:type="pct"/>
            <w:tcBorders>
              <w:top w:val="single" w:color="auto" w:sz="12" w:space="0"/>
              <w:bottom w:val="single" w:color="auto" w:sz="2" w:space="0"/>
            </w:tcBorders>
            <w:shd w:val="clear" w:color="auto" w:fill="F1F1F1" w:themeFill="background1" w:themeFillShade="F2"/>
            <w:vAlign w:val="center"/>
          </w:tcPr>
          <w:p>
            <w:pPr>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符合性审查项</w:t>
            </w:r>
          </w:p>
        </w:tc>
        <w:tc>
          <w:tcPr>
            <w:tcW w:w="3465" w:type="pct"/>
            <w:tcBorders>
              <w:top w:val="single" w:color="auto" w:sz="12" w:space="0"/>
              <w:bottom w:val="single" w:color="auto" w:sz="2" w:space="0"/>
            </w:tcBorders>
            <w:shd w:val="clear" w:color="auto" w:fill="F1F1F1" w:themeFill="background1" w:themeFillShade="F2"/>
            <w:vAlign w:val="center"/>
          </w:tcPr>
          <w:p>
            <w:pPr>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tcBorders>
              <w:top w:val="single" w:color="auto" w:sz="2" w:space="0"/>
            </w:tcBorders>
            <w:vAlign w:val="center"/>
          </w:tcPr>
          <w:p>
            <w:pPr>
              <w:pStyle w:val="77"/>
              <w:pageBreakBefore w:val="0"/>
              <w:numPr>
                <w:ilvl w:val="0"/>
                <w:numId w:val="5"/>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143" w:type="pct"/>
            <w:tcBorders>
              <w:top w:val="single" w:color="auto" w:sz="2" w:space="0"/>
            </w:tcBorders>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与项目的一致性</w:t>
            </w:r>
          </w:p>
        </w:tc>
        <w:tc>
          <w:tcPr>
            <w:tcW w:w="3465" w:type="pct"/>
            <w:tcBorders>
              <w:top w:val="single" w:color="auto" w:sz="2" w:space="0"/>
            </w:tcBorders>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至少以下三处的项目名称、项目编号</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标段</w:t>
            </w:r>
            <w:r>
              <w:rPr>
                <w:rFonts w:hint="eastAsia" w:ascii="宋体" w:hAnsi="宋体" w:eastAsia="宋体" w:cs="宋体"/>
                <w:bCs/>
                <w:sz w:val="24"/>
                <w:szCs w:val="24"/>
              </w:rPr>
              <w:t>与本项目完全一致：</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（1）投标文件封面</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（2）投标函</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（3）法定代表人（主要负责人）委托授权书</w:t>
            </w:r>
            <w:r>
              <w:rPr>
                <w:rFonts w:hint="eastAsia" w:ascii="宋体" w:hAnsi="宋体" w:eastAsia="宋体" w:cs="宋体"/>
                <w:bCs/>
                <w:sz w:val="24"/>
                <w:szCs w:val="24"/>
                <w:lang w:val="en-US" w:eastAsia="zh-CN"/>
              </w:rPr>
              <w:t>/</w:t>
            </w:r>
            <w:r>
              <w:rPr>
                <w:rFonts w:hint="eastAsia" w:ascii="宋体" w:hAnsi="宋体" w:eastAsia="宋体" w:cs="宋体"/>
                <w:bCs/>
                <w:sz w:val="24"/>
                <w:szCs w:val="24"/>
              </w:rPr>
              <w:t>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7"/>
              <w:pageBreakBefore w:val="0"/>
              <w:numPr>
                <w:ilvl w:val="0"/>
                <w:numId w:val="5"/>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投标文件组成</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投标文件应包含以下部分：</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投标函</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sz w:val="24"/>
                <w:szCs w:val="24"/>
              </w:rPr>
              <w:t>报价表</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rPr>
              <w:t>）</w:t>
            </w:r>
            <w:r>
              <w:rPr>
                <w:rFonts w:hint="eastAsia" w:ascii="宋体" w:hAnsi="宋体" w:eastAsia="宋体" w:cs="宋体"/>
                <w:sz w:val="24"/>
                <w:szCs w:val="24"/>
              </w:rPr>
              <w:t>投标方案说明书</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4</w:t>
            </w:r>
            <w:r>
              <w:rPr>
                <w:rFonts w:hint="eastAsia" w:ascii="宋体" w:hAnsi="宋体" w:eastAsia="宋体" w:cs="宋体"/>
                <w:bCs/>
                <w:sz w:val="24"/>
                <w:szCs w:val="24"/>
              </w:rPr>
              <w:t>）</w:t>
            </w:r>
            <w:r>
              <w:rPr>
                <w:rFonts w:hint="eastAsia" w:ascii="宋体" w:hAnsi="宋体" w:eastAsia="宋体" w:cs="宋体"/>
                <w:sz w:val="24"/>
                <w:szCs w:val="24"/>
              </w:rPr>
              <w:t>商务条款偏离表</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sz w:val="24"/>
                <w:szCs w:val="24"/>
              </w:rPr>
              <w:t>供应商拒绝政府采购领域商业贿赂承诺书</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6</w:t>
            </w:r>
            <w:r>
              <w:rPr>
                <w:rFonts w:hint="eastAsia" w:ascii="宋体" w:hAnsi="宋体" w:eastAsia="宋体" w:cs="宋体"/>
                <w:bCs/>
                <w:sz w:val="24"/>
                <w:szCs w:val="24"/>
              </w:rPr>
              <w:t>）</w:t>
            </w:r>
            <w:r>
              <w:rPr>
                <w:rFonts w:hint="eastAsia" w:ascii="宋体" w:hAnsi="宋体" w:eastAsia="宋体" w:cs="宋体"/>
                <w:sz w:val="24"/>
                <w:szCs w:val="24"/>
              </w:rPr>
              <w:t>资格证明文件</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7</w:t>
            </w:r>
            <w:r>
              <w:rPr>
                <w:rFonts w:hint="eastAsia" w:ascii="宋体" w:hAnsi="宋体" w:eastAsia="宋体" w:cs="宋体"/>
                <w:bCs/>
                <w:sz w:val="24"/>
                <w:szCs w:val="24"/>
              </w:rPr>
              <w:t>）</w:t>
            </w:r>
            <w:r>
              <w:rPr>
                <w:rFonts w:hint="eastAsia" w:ascii="宋体" w:hAnsi="宋体" w:eastAsia="宋体" w:cs="宋体"/>
                <w:sz w:val="24"/>
                <w:szCs w:val="24"/>
              </w:rPr>
              <w:t>其他资料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7"/>
              <w:pageBreakBefore w:val="0"/>
              <w:numPr>
                <w:ilvl w:val="0"/>
                <w:numId w:val="5"/>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签章</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签章均符合招标文件要求，且无遗漏。</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lang w:val="en-US" w:eastAsia="zh-CN"/>
              </w:rPr>
            </w:pPr>
            <w:r>
              <w:rPr>
                <w:rFonts w:hint="eastAsia" w:ascii="宋体" w:hAnsi="宋体" w:eastAsia="宋体" w:cs="宋体"/>
                <w:b/>
                <w:bCs w:val="0"/>
                <w:sz w:val="24"/>
                <w:szCs w:val="24"/>
                <w:lang w:val="en-US" w:eastAsia="zh-CN"/>
              </w:rPr>
              <w:t>备注：凡要求法定代表人签字或盖章之处，非法人单位负责人可参照执行。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391" w:type="pct"/>
            <w:vAlign w:val="center"/>
          </w:tcPr>
          <w:p>
            <w:pPr>
              <w:pStyle w:val="77"/>
              <w:pageBreakBefore w:val="0"/>
              <w:numPr>
                <w:ilvl w:val="0"/>
                <w:numId w:val="5"/>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语言和计量单位</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sz w:val="24"/>
                <w:szCs w:val="24"/>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7"/>
              <w:pageBreakBefore w:val="0"/>
              <w:numPr>
                <w:ilvl w:val="0"/>
                <w:numId w:val="5"/>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投标文件有效期</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
                <w:bCs/>
                <w:sz w:val="24"/>
                <w:szCs w:val="24"/>
              </w:rPr>
            </w:pPr>
            <w:r>
              <w:rPr>
                <w:rFonts w:hint="eastAsia" w:ascii="宋体" w:hAnsi="宋体" w:eastAsia="宋体" w:cs="宋体"/>
                <w:sz w:val="24"/>
                <w:szCs w:val="24"/>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1" w:type="pct"/>
            <w:vAlign w:val="center"/>
          </w:tcPr>
          <w:p>
            <w:pPr>
              <w:pStyle w:val="77"/>
              <w:pageBreakBefore w:val="0"/>
              <w:numPr>
                <w:ilvl w:val="0"/>
                <w:numId w:val="5"/>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投标报价</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同时满足以下条款：</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（1）货币单位符合招标文件要求</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（2）报价符合唯一性要求</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（3）投标人的投标报价</w:t>
            </w:r>
            <w:r>
              <w:rPr>
                <w:rFonts w:hint="eastAsia" w:ascii="宋体" w:hAnsi="宋体" w:eastAsia="宋体" w:cs="宋体"/>
                <w:bCs/>
                <w:sz w:val="24"/>
                <w:szCs w:val="24"/>
                <w:lang w:val="en-US" w:eastAsia="zh-CN"/>
              </w:rPr>
              <w:t>未</w:t>
            </w:r>
            <w:r>
              <w:rPr>
                <w:rFonts w:hint="eastAsia" w:ascii="宋体" w:hAnsi="宋体" w:eastAsia="宋体" w:cs="宋体"/>
                <w:bCs/>
                <w:sz w:val="24"/>
                <w:szCs w:val="24"/>
                <w:highlight w:val="none"/>
              </w:rPr>
              <w:t>超出采购预算、最高限价</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bCs/>
                <w:sz w:val="24"/>
                <w:szCs w:val="24"/>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7"/>
              <w:pageBreakBefore w:val="0"/>
              <w:numPr>
                <w:ilvl w:val="0"/>
                <w:numId w:val="5"/>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投标文件内容</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投标文件内容齐全、无遗漏。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7"/>
              <w:pageBreakBefore w:val="0"/>
              <w:numPr>
                <w:ilvl w:val="0"/>
                <w:numId w:val="5"/>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合同条款响</w:t>
            </w:r>
            <w:r>
              <w:rPr>
                <w:rFonts w:hint="eastAsia" w:ascii="宋体" w:hAnsi="宋体" w:eastAsia="宋体" w:cs="宋体"/>
                <w:bCs/>
                <w:w w:val="1"/>
                <w:sz w:val="24"/>
                <w:szCs w:val="24"/>
              </w:rPr>
              <w:t xml:space="preserve"> </w:t>
            </w:r>
            <w:r>
              <w:rPr>
                <w:rFonts w:hint="eastAsia" w:ascii="宋体" w:hAnsi="宋体" w:eastAsia="宋体" w:cs="宋体"/>
                <w:bCs/>
                <w:sz w:val="24"/>
                <w:szCs w:val="24"/>
              </w:rPr>
              <w:t>应</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sz w:val="24"/>
                <w:szCs w:val="24"/>
              </w:rPr>
              <w:t>完全理解并响</w:t>
            </w:r>
            <w:r>
              <w:rPr>
                <w:rFonts w:hint="eastAsia" w:ascii="宋体" w:hAnsi="宋体" w:eastAsia="宋体" w:cs="宋体"/>
                <w:w w:val="1"/>
                <w:sz w:val="24"/>
                <w:szCs w:val="24"/>
              </w:rPr>
              <w:t xml:space="preserve"> </w:t>
            </w:r>
            <w:r>
              <w:rPr>
                <w:rFonts w:hint="eastAsia" w:ascii="宋体" w:hAnsi="宋体" w:eastAsia="宋体" w:cs="宋体"/>
                <w:sz w:val="24"/>
                <w:szCs w:val="24"/>
              </w:rPr>
              <w:t>应招标文件合同条款的要求，且未含有采购人不能接受的附加条件。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7"/>
              <w:pageBreakBefore w:val="0"/>
              <w:numPr>
                <w:ilvl w:val="0"/>
                <w:numId w:val="5"/>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color w:val="000000"/>
                <w:sz w:val="24"/>
                <w:szCs w:val="24"/>
              </w:rPr>
              <w:t>电子投标文件雷同性分析</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bCs/>
                <w:color w:val="000000"/>
                <w:sz w:val="24"/>
                <w:szCs w:val="24"/>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7"/>
              <w:pageBreakBefore w:val="0"/>
              <w:numPr>
                <w:ilvl w:val="0"/>
                <w:numId w:val="5"/>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sz w:val="24"/>
                <w:szCs w:val="24"/>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其他</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sz w:val="24"/>
                <w:szCs w:val="24"/>
              </w:rPr>
              <w:t>完全理解并接受法律法规和招标文件对</w:t>
            </w:r>
            <w:r>
              <w:rPr>
                <w:rFonts w:hint="eastAsia" w:ascii="宋体" w:hAnsi="宋体" w:eastAsia="宋体" w:cs="宋体"/>
                <w:sz w:val="24"/>
                <w:szCs w:val="24"/>
                <w:lang w:val="en-US" w:eastAsia="zh-CN"/>
              </w:rPr>
              <w:t>投标人</w:t>
            </w:r>
            <w:r>
              <w:rPr>
                <w:rFonts w:hint="eastAsia" w:ascii="宋体" w:hAnsi="宋体" w:eastAsia="宋体" w:cs="宋体"/>
                <w:sz w:val="24"/>
                <w:szCs w:val="24"/>
              </w:rPr>
              <w:t>合法经营的各类规</w:t>
            </w:r>
            <w:r>
              <w:rPr>
                <w:rFonts w:hint="eastAsia" w:ascii="宋体" w:hAnsi="宋体" w:eastAsia="宋体" w:cs="宋体"/>
                <w:sz w:val="24"/>
                <w:szCs w:val="24"/>
                <w:lang w:val="en-US" w:eastAsia="zh-CN"/>
              </w:rPr>
              <w:t>定</w:t>
            </w:r>
            <w:r>
              <w:rPr>
                <w:rFonts w:hint="eastAsia" w:ascii="宋体" w:hAnsi="宋体" w:eastAsia="宋体" w:cs="宋体"/>
                <w:sz w:val="24"/>
                <w:szCs w:val="24"/>
              </w:rPr>
              <w:t>和责任义务要求，没有出现法律法规或招标文件规定的其他无效情形。</w:t>
            </w:r>
          </w:p>
        </w:tc>
      </w:tr>
    </w:tbl>
    <w:p>
      <w:pPr>
        <w:pStyle w:val="2"/>
        <w:rPr>
          <w:rFonts w:hint="eastAsia" w:ascii="宋体" w:hAnsi="宋体" w:eastAsia="宋体" w:cs="宋体"/>
          <w:color w:val="auto"/>
          <w:highlight w:val="none"/>
        </w:rPr>
        <w:sectPr>
          <w:pgSz w:w="11906" w:h="16838"/>
          <w:pgMar w:top="1417" w:right="1417" w:bottom="1417" w:left="1417" w:header="1134" w:footer="1134" w:gutter="0"/>
          <w:pgNumType w:fmt="decimal"/>
          <w:cols w:space="0" w:num="1"/>
          <w:docGrid w:type="lines" w:linePitch="336" w:charSpace="0"/>
        </w:sectPr>
      </w:pPr>
    </w:p>
    <w:p>
      <w:pPr>
        <w:pStyle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p>
    <w:p>
      <w:pPr>
        <w:pStyle w:val="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评标因素及权重分值表</w:t>
      </w:r>
    </w:p>
    <w:tbl>
      <w:tblPr>
        <w:tblStyle w:val="25"/>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588"/>
        <w:gridCol w:w="625"/>
        <w:gridCol w:w="5954"/>
        <w:gridCol w:w="736"/>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blHeader/>
          <w:jc w:val="center"/>
        </w:trPr>
        <w:tc>
          <w:tcPr>
            <w:tcW w:w="1100" w:type="dxa"/>
            <w:vAlign w:val="center"/>
          </w:tcPr>
          <w:p>
            <w:pPr>
              <w:pStyle w:val="17"/>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类别</w:t>
            </w:r>
          </w:p>
        </w:tc>
        <w:tc>
          <w:tcPr>
            <w:tcW w:w="58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总分</w:t>
            </w:r>
          </w:p>
        </w:tc>
        <w:tc>
          <w:tcPr>
            <w:tcW w:w="6579" w:type="dxa"/>
            <w:gridSpan w:val="2"/>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评标因素</w:t>
            </w:r>
          </w:p>
        </w:tc>
        <w:tc>
          <w:tcPr>
            <w:tcW w:w="736"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最高</w:t>
            </w:r>
          </w:p>
          <w:p>
            <w:pPr>
              <w:jc w:val="center"/>
              <w:rPr>
                <w:rFonts w:hint="eastAsia" w:ascii="宋体" w:hAnsi="宋体" w:eastAsia="宋体" w:cs="宋体"/>
                <w:b/>
                <w:bCs/>
                <w:sz w:val="24"/>
                <w:szCs w:val="24"/>
              </w:rPr>
            </w:pPr>
            <w:r>
              <w:rPr>
                <w:rFonts w:hint="eastAsia" w:ascii="宋体" w:hAnsi="宋体" w:eastAsia="宋体" w:cs="宋体"/>
                <w:b/>
                <w:bCs/>
                <w:sz w:val="24"/>
                <w:szCs w:val="24"/>
              </w:rPr>
              <w:t>得分</w:t>
            </w:r>
          </w:p>
        </w:tc>
        <w:tc>
          <w:tcPr>
            <w:tcW w:w="808" w:type="dxa"/>
            <w:vAlign w:val="center"/>
          </w:tcPr>
          <w:p>
            <w:pPr>
              <w:widowControl/>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0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投标</w:t>
            </w:r>
          </w:p>
          <w:p>
            <w:pPr>
              <w:jc w:val="center"/>
              <w:rPr>
                <w:rFonts w:hint="eastAsia" w:ascii="宋体" w:hAnsi="宋体" w:eastAsia="宋体" w:cs="宋体"/>
                <w:b/>
                <w:sz w:val="24"/>
                <w:szCs w:val="24"/>
              </w:rPr>
            </w:pPr>
            <w:r>
              <w:rPr>
                <w:rFonts w:hint="eastAsia" w:ascii="宋体" w:hAnsi="宋体" w:eastAsia="宋体" w:cs="宋体"/>
                <w:b/>
                <w:sz w:val="24"/>
                <w:szCs w:val="24"/>
              </w:rPr>
              <w:t>价格</w:t>
            </w:r>
          </w:p>
        </w:tc>
        <w:tc>
          <w:tcPr>
            <w:tcW w:w="588" w:type="dxa"/>
            <w:vAlign w:val="center"/>
          </w:tcPr>
          <w:p>
            <w:pPr>
              <w:spacing w:line="560" w:lineRule="exact"/>
              <w:rPr>
                <w:rFonts w:hint="eastAsia" w:ascii="宋体" w:hAnsi="宋体" w:eastAsia="宋体" w:cs="宋体"/>
                <w:b/>
                <w:sz w:val="24"/>
                <w:szCs w:val="24"/>
              </w:rPr>
            </w:pPr>
            <w:r>
              <w:rPr>
                <w:rFonts w:hint="eastAsia" w:ascii="宋体" w:hAnsi="宋体" w:eastAsia="宋体" w:cs="宋体"/>
                <w:b/>
                <w:sz w:val="24"/>
                <w:szCs w:val="24"/>
              </w:rPr>
              <w:t>30分</w:t>
            </w:r>
          </w:p>
        </w:tc>
        <w:tc>
          <w:tcPr>
            <w:tcW w:w="6579" w:type="dxa"/>
            <w:gridSpan w:val="2"/>
            <w:vAlign w:val="center"/>
          </w:tcPr>
          <w:p>
            <w:pPr>
              <w:numPr>
                <w:ilvl w:val="0"/>
                <w:numId w:val="6"/>
              </w:numPr>
              <w:spacing w:line="288" w:lineRule="auto"/>
              <w:ind w:left="-108" w:leftChars="-45" w:firstLine="120" w:firstLineChars="50"/>
              <w:rPr>
                <w:rFonts w:hint="eastAsia" w:ascii="宋体" w:hAnsi="宋体" w:eastAsia="宋体" w:cs="宋体"/>
                <w:sz w:val="24"/>
                <w:szCs w:val="24"/>
              </w:rPr>
            </w:pPr>
            <w:r>
              <w:rPr>
                <w:rFonts w:hint="eastAsia" w:ascii="宋体" w:hAnsi="宋体" w:eastAsia="宋体" w:cs="宋体"/>
                <w:sz w:val="24"/>
                <w:szCs w:val="24"/>
              </w:rPr>
              <w:t>经初审合格的投标文件，通过符合性审查的投标报价为有效报价。对符合政策性扣减的有效投标报价进行政策性扣减，并依据扣减后的价格（评审价格）进行价格评审。</w:t>
            </w:r>
          </w:p>
          <w:p>
            <w:pPr>
              <w:numPr>
                <w:ilvl w:val="0"/>
                <w:numId w:val="6"/>
              </w:numPr>
              <w:spacing w:line="288" w:lineRule="auto"/>
              <w:ind w:left="-108" w:leftChars="-45" w:firstLine="120" w:firstLineChars="50"/>
              <w:rPr>
                <w:rFonts w:hint="eastAsia" w:ascii="宋体" w:hAnsi="宋体" w:eastAsia="宋体" w:cs="宋体"/>
                <w:sz w:val="24"/>
                <w:szCs w:val="24"/>
              </w:rPr>
            </w:pPr>
            <w:r>
              <w:rPr>
                <w:rFonts w:hint="eastAsia" w:ascii="宋体" w:hAnsi="宋体" w:eastAsia="宋体" w:cs="宋体"/>
                <w:sz w:val="24"/>
                <w:szCs w:val="24"/>
              </w:rPr>
              <w:t>有效最低报价为基准价得30分。</w:t>
            </w:r>
          </w:p>
          <w:p>
            <w:pPr>
              <w:spacing w:line="288" w:lineRule="auto"/>
              <w:ind w:left="-108" w:leftChars="-45" w:firstLine="120" w:firstLineChars="50"/>
              <w:rPr>
                <w:rFonts w:hint="eastAsia" w:ascii="宋体" w:hAnsi="宋体" w:eastAsia="宋体" w:cs="宋体"/>
                <w:sz w:val="24"/>
                <w:szCs w:val="24"/>
              </w:rPr>
            </w:pPr>
            <w:r>
              <w:rPr>
                <w:rFonts w:hint="eastAsia" w:ascii="宋体" w:hAnsi="宋体" w:eastAsia="宋体" w:cs="宋体"/>
                <w:sz w:val="24"/>
                <w:szCs w:val="24"/>
              </w:rPr>
              <w:t>3.按（有效最低报价/有效投标报价）×30的公式计算其得分。</w:t>
            </w:r>
          </w:p>
          <w:p>
            <w:pPr>
              <w:spacing w:line="288" w:lineRule="auto"/>
              <w:ind w:left="-108" w:leftChars="-45" w:firstLine="120" w:firstLineChars="50"/>
              <w:rPr>
                <w:rFonts w:hint="eastAsia" w:ascii="宋体" w:hAnsi="宋体" w:eastAsia="宋体" w:cs="宋体"/>
                <w:sz w:val="24"/>
                <w:szCs w:val="24"/>
              </w:rPr>
            </w:pPr>
            <w:r>
              <w:rPr>
                <w:rFonts w:hint="eastAsia" w:ascii="宋体" w:hAnsi="宋体" w:eastAsia="宋体" w:cs="宋体"/>
                <w:sz w:val="24"/>
                <w:szCs w:val="24"/>
              </w:rPr>
              <w:t>4.投标报价不完整的，不进入评标基准价的计算，本项得0分。</w:t>
            </w:r>
          </w:p>
        </w:tc>
        <w:tc>
          <w:tcPr>
            <w:tcW w:w="736" w:type="dxa"/>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30分</w:t>
            </w:r>
          </w:p>
        </w:tc>
        <w:tc>
          <w:tcPr>
            <w:tcW w:w="808" w:type="dxa"/>
            <w:vMerge w:val="restart"/>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根</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据</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标</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文</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件</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的</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响</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应</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程  度</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按</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差</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别</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计</w:t>
            </w:r>
          </w:p>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分</w:t>
            </w:r>
          </w:p>
          <w:p>
            <w:pPr>
              <w:spacing w:line="560" w:lineRule="exact"/>
              <w:jc w:val="center"/>
              <w:rPr>
                <w:rFonts w:hint="eastAsia" w:ascii="宋体" w:hAnsi="宋体" w:eastAsia="宋体" w:cs="宋体"/>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1100" w:type="dxa"/>
            <w:vMerge w:val="restar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技术</w:t>
            </w:r>
          </w:p>
          <w:p>
            <w:pPr>
              <w:jc w:val="center"/>
              <w:rPr>
                <w:rFonts w:hint="eastAsia" w:ascii="宋体" w:hAnsi="宋体" w:eastAsia="宋体" w:cs="宋体"/>
                <w:b/>
                <w:sz w:val="24"/>
                <w:szCs w:val="24"/>
              </w:rPr>
            </w:pPr>
            <w:r>
              <w:rPr>
                <w:rFonts w:hint="eastAsia" w:ascii="宋体" w:hAnsi="宋体" w:eastAsia="宋体" w:cs="宋体"/>
                <w:b/>
                <w:sz w:val="24"/>
                <w:szCs w:val="24"/>
              </w:rPr>
              <w:t>评审</w:t>
            </w:r>
          </w:p>
        </w:tc>
        <w:tc>
          <w:tcPr>
            <w:tcW w:w="588" w:type="dxa"/>
            <w:vMerge w:val="restart"/>
            <w:vAlign w:val="center"/>
          </w:tcPr>
          <w:p>
            <w:pPr>
              <w:spacing w:line="56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50</w:t>
            </w:r>
            <w:r>
              <w:rPr>
                <w:rFonts w:hint="eastAsia" w:ascii="宋体" w:hAnsi="宋体" w:eastAsia="宋体" w:cs="宋体"/>
                <w:b/>
                <w:bCs/>
                <w:sz w:val="24"/>
                <w:szCs w:val="24"/>
              </w:rPr>
              <w:t>分</w:t>
            </w:r>
          </w:p>
        </w:tc>
        <w:tc>
          <w:tcPr>
            <w:tcW w:w="625" w:type="dxa"/>
            <w:vAlign w:val="center"/>
          </w:tcPr>
          <w:p>
            <w:pPr>
              <w:numPr>
                <w:ilvl w:val="0"/>
                <w:numId w:val="7"/>
              </w:numPr>
              <w:spacing w:line="288" w:lineRule="auto"/>
              <w:jc w:val="both"/>
              <w:rPr>
                <w:rFonts w:hint="eastAsia" w:ascii="宋体" w:hAnsi="宋体" w:eastAsia="宋体" w:cs="宋体"/>
                <w:sz w:val="24"/>
                <w:szCs w:val="24"/>
              </w:rPr>
            </w:pPr>
          </w:p>
        </w:tc>
        <w:tc>
          <w:tcPr>
            <w:tcW w:w="5954" w:type="dxa"/>
            <w:vAlign w:val="center"/>
          </w:tcPr>
          <w:p>
            <w:pPr>
              <w:spacing w:line="288" w:lineRule="auto"/>
              <w:rPr>
                <w:rFonts w:hint="eastAsia" w:ascii="宋体" w:hAnsi="宋体" w:eastAsia="宋体" w:cs="宋体"/>
                <w:color w:val="auto"/>
                <w:sz w:val="24"/>
                <w:szCs w:val="24"/>
                <w:highlight w:val="none"/>
              </w:rPr>
            </w:pPr>
            <w:r>
              <w:rPr>
                <w:rFonts w:hint="eastAsia" w:ascii="宋体" w:hAnsi="宋体" w:eastAsia="宋体" w:cs="宋体"/>
                <w:b/>
                <w:bCs/>
                <w:sz w:val="24"/>
                <w:szCs w:val="24"/>
                <w:lang w:val="en-US" w:eastAsia="zh-CN"/>
              </w:rPr>
              <w:t>产品选型及配置</w:t>
            </w:r>
            <w:r>
              <w:rPr>
                <w:rFonts w:hint="eastAsia" w:hAnsi="宋体" w:cs="宋体"/>
                <w:b/>
                <w:bCs/>
                <w:sz w:val="24"/>
                <w:szCs w:val="24"/>
                <w:lang w:val="en-US" w:eastAsia="zh-CN"/>
              </w:rPr>
              <w:t>:</w:t>
            </w:r>
            <w:r>
              <w:rPr>
                <w:rFonts w:hint="eastAsia" w:ascii="宋体" w:hAnsi="宋体" w:eastAsia="宋体" w:cs="宋体"/>
                <w:sz w:val="24"/>
                <w:szCs w:val="24"/>
              </w:rPr>
              <w:t>评</w:t>
            </w:r>
            <w:r>
              <w:rPr>
                <w:rFonts w:hint="eastAsia" w:ascii="宋体" w:hAnsi="宋体" w:eastAsia="宋体" w:cs="宋体"/>
                <w:sz w:val="24"/>
                <w:szCs w:val="24"/>
                <w:highlight w:val="none"/>
              </w:rPr>
              <w:t>标委员会根据供应商提供的《技术规格响应表》对所投产品的技术指标进行比较和评价，参数完全满足招标文件要求计30分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rPr>
              <w:t>标项参数每负偏离一项扣</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分，非</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rPr>
              <w:t>标项参数每负偏离一项扣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p>
            <w:pPr>
              <w:pStyle w:val="10"/>
              <w:rPr>
                <w:rFonts w:hint="eastAsia" w:ascii="宋体" w:hAnsi="宋体" w:eastAsia="宋体" w:cs="宋体"/>
                <w:sz w:val="24"/>
                <w:szCs w:val="24"/>
              </w:rPr>
            </w:pPr>
            <w:r>
              <w:rPr>
                <w:rFonts w:hint="eastAsia" w:ascii="宋体" w:hAnsi="宋体" w:eastAsia="宋体" w:cs="宋体"/>
                <w:color w:val="auto"/>
                <w:sz w:val="24"/>
                <w:szCs w:val="24"/>
                <w:lang w:val="en-US" w:eastAsia="zh-CN" w:bidi="ar-SA"/>
              </w:rPr>
              <w:t>备注：1、技术指标偏</w:t>
            </w:r>
            <w:r>
              <w:rPr>
                <w:rFonts w:hint="eastAsia" w:ascii="宋体" w:hAnsi="宋体" w:eastAsia="宋体" w:cs="宋体"/>
                <w:sz w:val="24"/>
                <w:szCs w:val="24"/>
                <w:lang w:val="en-US" w:eastAsia="zh-CN" w:bidi="ar-SA"/>
              </w:rPr>
              <w:t>差表完全复制招标文件技术参数的，专家可给予5分的扣减。</w:t>
            </w:r>
          </w:p>
        </w:tc>
        <w:tc>
          <w:tcPr>
            <w:tcW w:w="736" w:type="dxa"/>
            <w:vAlign w:val="center"/>
          </w:tcPr>
          <w:p>
            <w:pPr>
              <w:spacing w:line="560" w:lineRule="exact"/>
              <w:rPr>
                <w:rFonts w:hint="eastAsia" w:ascii="宋体" w:hAnsi="宋体" w:eastAsia="宋体" w:cs="宋体"/>
                <w:sz w:val="24"/>
                <w:szCs w:val="24"/>
              </w:rPr>
            </w:pPr>
            <w:r>
              <w:rPr>
                <w:rFonts w:hint="eastAsia" w:ascii="宋体" w:hAnsi="宋体" w:eastAsia="宋体" w:cs="宋体"/>
                <w:sz w:val="24"/>
                <w:szCs w:val="24"/>
              </w:rPr>
              <w:t>30分</w:t>
            </w:r>
          </w:p>
        </w:tc>
        <w:tc>
          <w:tcPr>
            <w:tcW w:w="808" w:type="dxa"/>
            <w:vMerge w:val="continue"/>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1100" w:type="dxa"/>
            <w:vMerge w:val="continue"/>
            <w:vAlign w:val="center"/>
          </w:tcPr>
          <w:p>
            <w:pPr>
              <w:spacing w:line="560" w:lineRule="exact"/>
              <w:rPr>
                <w:rFonts w:hint="eastAsia" w:ascii="宋体" w:hAnsi="宋体" w:eastAsia="宋体" w:cs="宋体"/>
                <w:b/>
                <w:sz w:val="24"/>
                <w:szCs w:val="24"/>
              </w:rPr>
            </w:pPr>
          </w:p>
        </w:tc>
        <w:tc>
          <w:tcPr>
            <w:tcW w:w="588" w:type="dxa"/>
            <w:vMerge w:val="continue"/>
            <w:vAlign w:val="center"/>
          </w:tcPr>
          <w:p>
            <w:pPr>
              <w:spacing w:line="560" w:lineRule="exact"/>
              <w:rPr>
                <w:rFonts w:hint="eastAsia" w:ascii="宋体" w:hAnsi="宋体" w:eastAsia="宋体" w:cs="宋体"/>
                <w:b/>
                <w:bCs/>
                <w:sz w:val="24"/>
                <w:szCs w:val="24"/>
              </w:rPr>
            </w:pPr>
          </w:p>
        </w:tc>
        <w:tc>
          <w:tcPr>
            <w:tcW w:w="625" w:type="dxa"/>
            <w:vAlign w:val="center"/>
          </w:tcPr>
          <w:p>
            <w:pPr>
              <w:numPr>
                <w:ilvl w:val="0"/>
                <w:numId w:val="7"/>
              </w:numPr>
              <w:spacing w:line="288" w:lineRule="auto"/>
              <w:jc w:val="center"/>
              <w:rPr>
                <w:rFonts w:hint="eastAsia" w:ascii="宋体" w:hAnsi="宋体" w:eastAsia="宋体" w:cs="宋体"/>
                <w:sz w:val="24"/>
                <w:szCs w:val="24"/>
              </w:rPr>
            </w:pPr>
          </w:p>
        </w:tc>
        <w:tc>
          <w:tcPr>
            <w:tcW w:w="5954" w:type="dxa"/>
            <w:vAlign w:val="center"/>
          </w:tcPr>
          <w:p>
            <w:pPr>
              <w:spacing w:line="288" w:lineRule="auto"/>
              <w:rPr>
                <w:rFonts w:hint="eastAsia" w:ascii="宋体" w:hAnsi="宋体" w:eastAsia="宋体" w:cs="宋体"/>
                <w:sz w:val="24"/>
                <w:szCs w:val="24"/>
              </w:rPr>
            </w:pPr>
            <w:r>
              <w:rPr>
                <w:rFonts w:hint="eastAsia" w:ascii="宋体" w:hAnsi="宋体" w:eastAsia="宋体" w:cs="宋体"/>
                <w:b/>
                <w:bCs/>
                <w:sz w:val="24"/>
                <w:szCs w:val="24"/>
                <w:lang w:val="en-US" w:eastAsia="zh-CN"/>
              </w:rPr>
              <w:t>产品货源渠道</w:t>
            </w:r>
            <w:r>
              <w:rPr>
                <w:rFonts w:hint="eastAsia" w:hAnsi="宋体" w:cs="宋体"/>
                <w:b/>
                <w:bCs/>
                <w:sz w:val="24"/>
                <w:szCs w:val="24"/>
                <w:lang w:val="en-US" w:eastAsia="zh-CN"/>
              </w:rPr>
              <w:t>:</w:t>
            </w:r>
            <w:r>
              <w:rPr>
                <w:rFonts w:hint="eastAsia" w:ascii="宋体" w:hAnsi="宋体" w:eastAsia="宋体" w:cs="宋体"/>
                <w:sz w:val="24"/>
                <w:szCs w:val="24"/>
              </w:rPr>
              <w:t>投标产品货源渠道正规、有质量保证，无劣质、假冒、瑕疵产品及产权纠纷，提供产品来源渠道合法的证明文件（包括但不限于销售协议、代理协议、原厂授权等）；相关产品的证明材料完善、合法有效，无产权纠纷，提供的相关资料齐全，计</w:t>
            </w:r>
            <w:r>
              <w:rPr>
                <w:rFonts w:hint="eastAsia" w:ascii="宋体" w:hAnsi="宋体" w:eastAsia="宋体" w:cs="宋体"/>
                <w:sz w:val="24"/>
                <w:szCs w:val="24"/>
                <w:lang w:val="en-US" w:eastAsia="zh-CN"/>
              </w:rPr>
              <w:t>7.1</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分；有部分证明材料和资料，计</w:t>
            </w:r>
            <w:r>
              <w:rPr>
                <w:rFonts w:hint="eastAsia" w:ascii="宋体" w:hAnsi="宋体" w:eastAsia="宋体" w:cs="宋体"/>
                <w:sz w:val="24"/>
                <w:szCs w:val="24"/>
                <w:lang w:val="en-US" w:eastAsia="zh-CN"/>
              </w:rPr>
              <w:t>4.1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分；证明材料和资料缺失严重，计1-</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未提供不得分。</w:t>
            </w:r>
          </w:p>
        </w:tc>
        <w:tc>
          <w:tcPr>
            <w:tcW w:w="736" w:type="dxa"/>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808" w:type="dxa"/>
            <w:vMerge w:val="continue"/>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100" w:type="dxa"/>
            <w:vMerge w:val="continue"/>
            <w:vAlign w:val="center"/>
          </w:tcPr>
          <w:p>
            <w:pPr>
              <w:spacing w:line="560" w:lineRule="exact"/>
              <w:rPr>
                <w:rFonts w:hint="eastAsia" w:ascii="宋体" w:hAnsi="宋体" w:eastAsia="宋体" w:cs="宋体"/>
                <w:b/>
                <w:sz w:val="24"/>
                <w:szCs w:val="24"/>
              </w:rPr>
            </w:pPr>
          </w:p>
        </w:tc>
        <w:tc>
          <w:tcPr>
            <w:tcW w:w="588" w:type="dxa"/>
            <w:vMerge w:val="continue"/>
            <w:vAlign w:val="center"/>
          </w:tcPr>
          <w:p>
            <w:pPr>
              <w:spacing w:line="560" w:lineRule="exact"/>
              <w:rPr>
                <w:rFonts w:hint="eastAsia" w:ascii="宋体" w:hAnsi="宋体" w:eastAsia="宋体" w:cs="宋体"/>
                <w:b/>
                <w:bCs/>
                <w:sz w:val="24"/>
                <w:szCs w:val="24"/>
              </w:rPr>
            </w:pPr>
          </w:p>
        </w:tc>
        <w:tc>
          <w:tcPr>
            <w:tcW w:w="625" w:type="dxa"/>
            <w:vAlign w:val="center"/>
          </w:tcPr>
          <w:p>
            <w:pPr>
              <w:numPr>
                <w:ilvl w:val="0"/>
                <w:numId w:val="7"/>
              </w:numPr>
              <w:spacing w:line="288" w:lineRule="auto"/>
              <w:jc w:val="center"/>
              <w:rPr>
                <w:rFonts w:hint="eastAsia" w:ascii="宋体" w:hAnsi="宋体" w:eastAsia="宋体" w:cs="宋体"/>
                <w:sz w:val="24"/>
                <w:szCs w:val="24"/>
              </w:rPr>
            </w:pPr>
          </w:p>
        </w:tc>
        <w:tc>
          <w:tcPr>
            <w:tcW w:w="5954" w:type="dxa"/>
            <w:vAlign w:val="center"/>
          </w:tcPr>
          <w:p>
            <w:pPr>
              <w:pStyle w:val="6"/>
              <w:tabs>
                <w:tab w:val="left" w:pos="864"/>
              </w:tabs>
              <w:spacing w:before="0"/>
              <w:ind w:left="0" w:firstLine="0"/>
              <w:rPr>
                <w:rFonts w:hint="eastAsia" w:ascii="宋体" w:hAnsi="宋体" w:eastAsia="宋体" w:cs="宋体"/>
                <w:color w:val="auto"/>
                <w:sz w:val="24"/>
                <w:szCs w:val="24"/>
                <w:u w:val="none"/>
                <w:lang w:val="en-US" w:eastAsia="zh-CN" w:bidi="ar-SA"/>
              </w:rPr>
            </w:pPr>
            <w:r>
              <w:rPr>
                <w:rFonts w:hint="eastAsia" w:ascii="宋体" w:hAnsi="宋体" w:eastAsia="宋体" w:cs="宋体"/>
                <w:b/>
                <w:bCs/>
                <w:color w:val="auto"/>
                <w:sz w:val="24"/>
                <w:szCs w:val="24"/>
                <w:u w:val="none"/>
                <w:lang w:val="en-US" w:eastAsia="zh-CN" w:bidi="ar-SA"/>
              </w:rPr>
              <w:t>实施方案:</w:t>
            </w:r>
            <w:r>
              <w:rPr>
                <w:rFonts w:hint="eastAsia" w:ascii="宋体" w:hAnsi="宋体" w:eastAsia="宋体" w:cs="宋体"/>
                <w:color w:val="auto"/>
                <w:sz w:val="24"/>
                <w:szCs w:val="24"/>
                <w:u w:val="none"/>
                <w:lang w:val="en-US" w:eastAsia="zh-CN" w:bidi="ar-SA"/>
              </w:rPr>
              <w:t>供应商对本项目的供货、安装调试、验收组织、人员配备等方面制订具体的实施方案，做出合理计划及制订工作保障措施。方案完整、科学合理、操作性强，计4.1-5分；方案较完整，工作目标不明确、工作保障措施不到位，2.1-4分；方案可执行性差，计1-2分；未提供不计分。</w:t>
            </w:r>
          </w:p>
        </w:tc>
        <w:tc>
          <w:tcPr>
            <w:tcW w:w="736" w:type="dxa"/>
            <w:vAlign w:val="center"/>
          </w:tcPr>
          <w:p>
            <w:pPr>
              <w:spacing w:line="560" w:lineRule="exact"/>
              <w:jc w:val="center"/>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5分</w:t>
            </w:r>
          </w:p>
        </w:tc>
        <w:tc>
          <w:tcPr>
            <w:tcW w:w="808" w:type="dxa"/>
            <w:vMerge w:val="continue"/>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1100" w:type="dxa"/>
            <w:vMerge w:val="continue"/>
            <w:vAlign w:val="center"/>
          </w:tcPr>
          <w:p>
            <w:pPr>
              <w:spacing w:line="560" w:lineRule="exact"/>
              <w:rPr>
                <w:rFonts w:hint="eastAsia" w:ascii="宋体" w:hAnsi="宋体" w:eastAsia="宋体" w:cs="宋体"/>
                <w:b/>
                <w:sz w:val="24"/>
                <w:szCs w:val="24"/>
              </w:rPr>
            </w:pPr>
          </w:p>
        </w:tc>
        <w:tc>
          <w:tcPr>
            <w:tcW w:w="588" w:type="dxa"/>
            <w:vMerge w:val="continue"/>
            <w:vAlign w:val="center"/>
          </w:tcPr>
          <w:p>
            <w:pPr>
              <w:spacing w:line="560" w:lineRule="exact"/>
              <w:rPr>
                <w:rFonts w:hint="eastAsia" w:ascii="宋体" w:hAnsi="宋体" w:eastAsia="宋体" w:cs="宋体"/>
                <w:b/>
                <w:bCs/>
                <w:sz w:val="24"/>
                <w:szCs w:val="24"/>
              </w:rPr>
            </w:pPr>
          </w:p>
        </w:tc>
        <w:tc>
          <w:tcPr>
            <w:tcW w:w="625" w:type="dxa"/>
            <w:vAlign w:val="center"/>
          </w:tcPr>
          <w:p>
            <w:pPr>
              <w:numPr>
                <w:ilvl w:val="0"/>
                <w:numId w:val="7"/>
              </w:numPr>
              <w:spacing w:line="288" w:lineRule="auto"/>
              <w:jc w:val="center"/>
              <w:rPr>
                <w:rFonts w:hint="eastAsia" w:ascii="宋体" w:hAnsi="宋体" w:eastAsia="宋体" w:cs="宋体"/>
                <w:sz w:val="24"/>
                <w:szCs w:val="24"/>
              </w:rPr>
            </w:pPr>
          </w:p>
        </w:tc>
        <w:tc>
          <w:tcPr>
            <w:tcW w:w="5954" w:type="dxa"/>
            <w:vAlign w:val="center"/>
          </w:tcPr>
          <w:p>
            <w:pPr>
              <w:pStyle w:val="6"/>
              <w:tabs>
                <w:tab w:val="left" w:pos="864"/>
              </w:tabs>
              <w:spacing w:before="0"/>
              <w:ind w:left="0" w:firstLine="0"/>
              <w:rPr>
                <w:rFonts w:hint="eastAsia" w:ascii="宋体" w:hAnsi="宋体" w:eastAsia="宋体" w:cs="宋体"/>
                <w:color w:val="auto"/>
                <w:sz w:val="24"/>
                <w:szCs w:val="24"/>
                <w:u w:val="none"/>
                <w:lang w:val="en-US" w:eastAsia="zh-CN" w:bidi="ar-SA"/>
              </w:rPr>
            </w:pPr>
            <w:r>
              <w:rPr>
                <w:rFonts w:hint="eastAsia" w:hAnsi="宋体" w:cs="宋体"/>
                <w:b/>
                <w:bCs/>
                <w:color w:val="auto"/>
                <w:sz w:val="24"/>
                <w:szCs w:val="24"/>
                <w:u w:val="none"/>
                <w:lang w:val="en-US" w:eastAsia="zh-CN" w:bidi="ar-SA"/>
              </w:rPr>
              <w:t>人员配备</w:t>
            </w:r>
            <w:r>
              <w:rPr>
                <w:rFonts w:hint="eastAsia" w:ascii="宋体" w:hAnsi="宋体" w:eastAsia="宋体" w:cs="宋体"/>
                <w:b/>
                <w:bCs/>
                <w:color w:val="auto"/>
                <w:sz w:val="24"/>
                <w:szCs w:val="24"/>
                <w:u w:val="none"/>
                <w:lang w:val="en-US" w:eastAsia="zh-CN" w:bidi="ar-SA"/>
              </w:rPr>
              <w:t>：</w:t>
            </w:r>
            <w:r>
              <w:rPr>
                <w:rFonts w:hint="eastAsia" w:ascii="宋体" w:hAnsi="宋体" w:eastAsia="宋体" w:cs="宋体"/>
                <w:color w:val="auto"/>
                <w:sz w:val="24"/>
                <w:szCs w:val="24"/>
                <w:u w:val="none"/>
                <w:lang w:val="en-US" w:eastAsia="zh-CN" w:bidi="ar-SA"/>
              </w:rPr>
              <w:t>有专业的服务团队和技术人员支持（以投标文件中供应商人员情况表为依据）。</w:t>
            </w:r>
          </w:p>
          <w:p>
            <w:pPr>
              <w:pStyle w:val="6"/>
              <w:tabs>
                <w:tab w:val="left" w:pos="864"/>
              </w:tabs>
              <w:spacing w:before="0"/>
              <w:ind w:left="0" w:firstLine="0"/>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团队架构清晰、人员配备齐全（如项目负责人、技术人员、辅助人员等），计4.1-5分；团队架构不清晰，人员配备基本满足招标要求，计2.1-4分；团队架构混乱，人员配备不足，无法满足招标要求，计1-2分；未提供不计分。</w:t>
            </w:r>
          </w:p>
        </w:tc>
        <w:tc>
          <w:tcPr>
            <w:tcW w:w="736" w:type="dxa"/>
            <w:vAlign w:val="center"/>
          </w:tcPr>
          <w:p>
            <w:pPr>
              <w:spacing w:line="560" w:lineRule="exact"/>
              <w:jc w:val="center"/>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5分</w:t>
            </w:r>
          </w:p>
        </w:tc>
        <w:tc>
          <w:tcPr>
            <w:tcW w:w="808" w:type="dxa"/>
            <w:vMerge w:val="continue"/>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0" w:type="dxa"/>
            <w:vMerge w:val="restart"/>
            <w:vAlign w:val="center"/>
          </w:tcPr>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履</w:t>
            </w:r>
          </w:p>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约</w:t>
            </w:r>
          </w:p>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能</w:t>
            </w:r>
          </w:p>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力</w:t>
            </w:r>
          </w:p>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及</w:t>
            </w:r>
          </w:p>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服</w:t>
            </w:r>
          </w:p>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务</w:t>
            </w:r>
          </w:p>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承</w:t>
            </w:r>
          </w:p>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诺</w:t>
            </w:r>
          </w:p>
        </w:tc>
        <w:tc>
          <w:tcPr>
            <w:tcW w:w="588" w:type="dxa"/>
            <w:vMerge w:val="restart"/>
            <w:vAlign w:val="center"/>
          </w:tcPr>
          <w:p>
            <w:pPr>
              <w:spacing w:line="560" w:lineRule="exact"/>
              <w:rPr>
                <w:rFonts w:hint="eastAsia" w:ascii="宋体" w:hAnsi="宋体" w:eastAsia="宋体" w:cs="宋体"/>
                <w:b/>
                <w:bCs/>
                <w:sz w:val="24"/>
                <w:szCs w:val="24"/>
                <w:lang w:val="en-US" w:eastAsia="zh-CN"/>
              </w:rPr>
            </w:pPr>
          </w:p>
          <w:p>
            <w:pPr>
              <w:spacing w:line="560" w:lineRule="exact"/>
              <w:rPr>
                <w:rFonts w:hint="eastAsia" w:ascii="宋体" w:hAnsi="宋体" w:eastAsia="宋体" w:cs="宋体"/>
                <w:b/>
                <w:bCs/>
                <w:sz w:val="24"/>
                <w:szCs w:val="24"/>
                <w:lang w:val="en-US" w:eastAsia="zh-CN"/>
              </w:rPr>
            </w:pPr>
          </w:p>
          <w:p>
            <w:pPr>
              <w:spacing w:line="560" w:lineRule="exact"/>
              <w:rPr>
                <w:rFonts w:hint="eastAsia" w:ascii="宋体" w:hAnsi="宋体" w:eastAsia="宋体" w:cs="宋体"/>
                <w:b/>
                <w:bCs/>
                <w:sz w:val="24"/>
                <w:szCs w:val="24"/>
                <w:lang w:val="en-US" w:eastAsia="zh-CN"/>
              </w:rPr>
            </w:pPr>
          </w:p>
          <w:p>
            <w:pPr>
              <w:spacing w:line="560" w:lineRule="exact"/>
              <w:rPr>
                <w:rFonts w:hint="eastAsia" w:ascii="宋体" w:hAnsi="宋体" w:eastAsia="宋体" w:cs="宋体"/>
                <w:b/>
                <w:bCs/>
                <w:sz w:val="24"/>
                <w:szCs w:val="24"/>
                <w:lang w:val="en-US" w:eastAsia="zh-CN"/>
              </w:rPr>
            </w:pPr>
          </w:p>
          <w:p>
            <w:pPr>
              <w:spacing w:line="560" w:lineRule="exact"/>
              <w:rPr>
                <w:rFonts w:hint="eastAsia" w:ascii="宋体" w:hAnsi="宋体" w:eastAsia="宋体" w:cs="宋体"/>
                <w:b/>
                <w:bCs/>
                <w:sz w:val="24"/>
                <w:szCs w:val="24"/>
                <w:lang w:val="en-US" w:eastAsia="zh-CN"/>
              </w:rPr>
            </w:pPr>
          </w:p>
          <w:p>
            <w:pPr>
              <w:spacing w:line="560" w:lineRule="exact"/>
              <w:rPr>
                <w:rFonts w:hint="eastAsia" w:ascii="宋体" w:hAnsi="宋体" w:eastAsia="宋体" w:cs="宋体"/>
                <w:b/>
                <w:bCs/>
                <w:sz w:val="24"/>
                <w:szCs w:val="24"/>
                <w:lang w:val="en-US" w:eastAsia="zh-CN"/>
              </w:rPr>
            </w:pPr>
          </w:p>
          <w:p>
            <w:pPr>
              <w:spacing w:line="560" w:lineRule="exact"/>
              <w:rPr>
                <w:rFonts w:hint="eastAsia" w:ascii="宋体" w:hAnsi="宋体" w:eastAsia="宋体" w:cs="宋体"/>
                <w:b/>
                <w:bCs/>
                <w:sz w:val="24"/>
                <w:szCs w:val="24"/>
                <w:lang w:val="en-US" w:eastAsia="zh-CN"/>
              </w:rPr>
            </w:pPr>
          </w:p>
          <w:p>
            <w:pPr>
              <w:spacing w:line="560" w:lineRule="exact"/>
              <w:rPr>
                <w:rFonts w:hint="eastAsia" w:ascii="宋体" w:hAnsi="宋体" w:eastAsia="宋体" w:cs="宋体"/>
                <w:sz w:val="24"/>
                <w:szCs w:val="24"/>
              </w:rPr>
            </w:pPr>
            <w:r>
              <w:rPr>
                <w:rFonts w:hint="eastAsia" w:hAnsi="宋体" w:cs="宋体"/>
                <w:b/>
                <w:bCs/>
                <w:sz w:val="24"/>
                <w:szCs w:val="24"/>
                <w:lang w:val="en-US" w:eastAsia="zh-CN"/>
              </w:rPr>
              <w:t>17</w:t>
            </w:r>
            <w:r>
              <w:rPr>
                <w:rFonts w:hint="eastAsia" w:ascii="宋体" w:hAnsi="宋体" w:eastAsia="宋体" w:cs="宋体"/>
                <w:b/>
                <w:bCs/>
                <w:sz w:val="24"/>
                <w:szCs w:val="24"/>
              </w:rPr>
              <w:t>分</w:t>
            </w:r>
          </w:p>
        </w:tc>
        <w:tc>
          <w:tcPr>
            <w:tcW w:w="625" w:type="dxa"/>
            <w:vAlign w:val="center"/>
          </w:tcPr>
          <w:p>
            <w:pPr>
              <w:numPr>
                <w:ilvl w:val="0"/>
                <w:numId w:val="8"/>
              </w:numPr>
              <w:spacing w:line="288" w:lineRule="auto"/>
              <w:jc w:val="center"/>
              <w:rPr>
                <w:rFonts w:hint="eastAsia" w:ascii="宋体" w:hAnsi="宋体" w:eastAsia="宋体" w:cs="宋体"/>
                <w:sz w:val="24"/>
                <w:szCs w:val="24"/>
              </w:rPr>
            </w:pPr>
          </w:p>
        </w:tc>
        <w:tc>
          <w:tcPr>
            <w:tcW w:w="5954" w:type="dxa"/>
            <w:vAlign w:val="center"/>
          </w:tcPr>
          <w:p>
            <w:pPr>
              <w:pStyle w:val="11"/>
              <w:rPr>
                <w:rFonts w:hint="eastAsia" w:ascii="宋体" w:hAnsi="宋体" w:eastAsia="宋体" w:cs="宋体"/>
                <w:color w:val="auto"/>
                <w:kern w:val="0"/>
                <w:sz w:val="24"/>
                <w:szCs w:val="24"/>
                <w:u w:val="none"/>
                <w:lang w:val="en-US" w:eastAsia="zh-CN" w:bidi="ar-SA"/>
              </w:rPr>
            </w:pPr>
            <w:r>
              <w:rPr>
                <w:rFonts w:hint="eastAsia" w:ascii="宋体" w:hAnsi="宋体" w:eastAsia="宋体" w:cs="宋体"/>
                <w:b/>
                <w:bCs/>
                <w:color w:val="auto"/>
                <w:kern w:val="0"/>
                <w:sz w:val="24"/>
                <w:szCs w:val="24"/>
                <w:u w:val="none"/>
                <w:lang w:val="en-US" w:eastAsia="zh-CN" w:bidi="ar-SA"/>
              </w:rPr>
              <w:t>业绩：</w:t>
            </w:r>
            <w:r>
              <w:rPr>
                <w:rFonts w:hint="eastAsia" w:ascii="宋体" w:hAnsi="宋体" w:eastAsia="宋体" w:cs="宋体"/>
                <w:color w:val="auto"/>
                <w:kern w:val="0"/>
                <w:sz w:val="24"/>
                <w:szCs w:val="24"/>
                <w:u w:val="none"/>
                <w:lang w:val="en-US" w:eastAsia="zh-CN" w:bidi="ar-SA"/>
              </w:rPr>
              <w:t>供应商提供202</w:t>
            </w:r>
            <w:r>
              <w:rPr>
                <w:rFonts w:hint="eastAsia" w:ascii="宋体" w:hAnsi="宋体" w:cs="宋体"/>
                <w:color w:val="auto"/>
                <w:kern w:val="0"/>
                <w:sz w:val="24"/>
                <w:szCs w:val="24"/>
                <w:u w:val="none"/>
                <w:lang w:val="en-US" w:eastAsia="zh-CN" w:bidi="ar-SA"/>
              </w:rPr>
              <w:t>1</w:t>
            </w:r>
            <w:r>
              <w:rPr>
                <w:rFonts w:hint="eastAsia" w:ascii="宋体" w:hAnsi="宋体" w:eastAsia="宋体" w:cs="宋体"/>
                <w:color w:val="auto"/>
                <w:kern w:val="0"/>
                <w:sz w:val="24"/>
                <w:szCs w:val="24"/>
                <w:u w:val="none"/>
                <w:lang w:val="en-US" w:eastAsia="zh-CN" w:bidi="ar-SA"/>
              </w:rPr>
              <w:t>年</w:t>
            </w:r>
            <w:r>
              <w:rPr>
                <w:rFonts w:hint="eastAsia" w:ascii="宋体" w:hAnsi="宋体" w:cs="宋体"/>
                <w:color w:val="auto"/>
                <w:kern w:val="0"/>
                <w:sz w:val="24"/>
                <w:szCs w:val="24"/>
                <w:u w:val="none"/>
                <w:lang w:val="en-US" w:eastAsia="zh-CN" w:bidi="ar-SA"/>
              </w:rPr>
              <w:t>5</w:t>
            </w:r>
            <w:r>
              <w:rPr>
                <w:rFonts w:hint="eastAsia" w:ascii="宋体" w:hAnsi="宋体" w:eastAsia="宋体" w:cs="宋体"/>
                <w:color w:val="auto"/>
                <w:kern w:val="0"/>
                <w:sz w:val="24"/>
                <w:szCs w:val="24"/>
                <w:u w:val="none"/>
                <w:lang w:val="en-US" w:eastAsia="zh-CN" w:bidi="ar-SA"/>
              </w:rPr>
              <w:t>月1日至今承担过类似项目业绩，每提供1份类似项目业绩计1分，（类似项目业绩以供应商在投标文件中提供的合同复印件加盖供应商公章为准）本项满分</w:t>
            </w:r>
            <w:r>
              <w:rPr>
                <w:rFonts w:hint="eastAsia" w:ascii="宋体" w:hAnsi="宋体" w:cs="宋体"/>
                <w:color w:val="auto"/>
                <w:kern w:val="0"/>
                <w:sz w:val="24"/>
                <w:szCs w:val="24"/>
                <w:u w:val="none"/>
                <w:lang w:val="en-US" w:eastAsia="zh-CN" w:bidi="ar-SA"/>
              </w:rPr>
              <w:t>3</w:t>
            </w:r>
            <w:r>
              <w:rPr>
                <w:rFonts w:hint="eastAsia" w:ascii="宋体" w:hAnsi="宋体" w:eastAsia="宋体" w:cs="宋体"/>
                <w:color w:val="auto"/>
                <w:kern w:val="0"/>
                <w:sz w:val="24"/>
                <w:szCs w:val="24"/>
                <w:u w:val="none"/>
                <w:lang w:val="en-US" w:eastAsia="zh-CN" w:bidi="ar-SA"/>
              </w:rPr>
              <w:t>分。所提供的业绩证明材料清晰可辨，否则评标委员会可对所提供的业绩证明材料视为不合格业绩，不得分。</w:t>
            </w:r>
          </w:p>
        </w:tc>
        <w:tc>
          <w:tcPr>
            <w:tcW w:w="736" w:type="dxa"/>
            <w:vAlign w:val="center"/>
          </w:tcPr>
          <w:p>
            <w:pPr>
              <w:spacing w:line="560" w:lineRule="exact"/>
              <w:jc w:val="center"/>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分</w:t>
            </w:r>
          </w:p>
        </w:tc>
        <w:tc>
          <w:tcPr>
            <w:tcW w:w="808" w:type="dxa"/>
            <w:vMerge w:val="continue"/>
            <w:vAlign w:val="center"/>
          </w:tcPr>
          <w:p>
            <w:pPr>
              <w:spacing w:line="5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100" w:type="dxa"/>
            <w:vMerge w:val="continue"/>
            <w:vAlign w:val="center"/>
          </w:tcPr>
          <w:p>
            <w:pPr>
              <w:spacing w:line="560" w:lineRule="exact"/>
              <w:jc w:val="center"/>
              <w:rPr>
                <w:rFonts w:hint="eastAsia" w:ascii="宋体" w:hAnsi="宋体" w:eastAsia="宋体" w:cs="宋体"/>
                <w:b/>
                <w:sz w:val="24"/>
                <w:szCs w:val="24"/>
              </w:rPr>
            </w:pPr>
          </w:p>
        </w:tc>
        <w:tc>
          <w:tcPr>
            <w:tcW w:w="588" w:type="dxa"/>
            <w:vMerge w:val="continue"/>
            <w:vAlign w:val="center"/>
          </w:tcPr>
          <w:p>
            <w:pPr>
              <w:spacing w:line="560" w:lineRule="exact"/>
              <w:rPr>
                <w:rFonts w:hint="eastAsia" w:ascii="宋体" w:hAnsi="宋体" w:eastAsia="宋体" w:cs="宋体"/>
                <w:b/>
                <w:bCs/>
                <w:sz w:val="24"/>
                <w:szCs w:val="24"/>
              </w:rPr>
            </w:pPr>
          </w:p>
        </w:tc>
        <w:tc>
          <w:tcPr>
            <w:tcW w:w="625" w:type="dxa"/>
            <w:vAlign w:val="center"/>
          </w:tcPr>
          <w:p>
            <w:pPr>
              <w:numPr>
                <w:ilvl w:val="0"/>
                <w:numId w:val="8"/>
              </w:numPr>
              <w:spacing w:line="288" w:lineRule="auto"/>
              <w:jc w:val="center"/>
              <w:rPr>
                <w:rFonts w:hint="eastAsia" w:ascii="宋体" w:hAnsi="宋体" w:eastAsia="宋体" w:cs="宋体"/>
                <w:sz w:val="24"/>
                <w:szCs w:val="24"/>
              </w:rPr>
            </w:pPr>
          </w:p>
        </w:tc>
        <w:tc>
          <w:tcPr>
            <w:tcW w:w="5954" w:type="dxa"/>
            <w:vAlign w:val="center"/>
          </w:tcPr>
          <w:p>
            <w:pPr>
              <w:spacing w:line="288" w:lineRule="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b/>
                <w:bCs/>
                <w:color w:val="auto"/>
                <w:kern w:val="0"/>
                <w:sz w:val="24"/>
                <w:szCs w:val="24"/>
                <w:u w:val="none"/>
                <w:lang w:val="en-US" w:eastAsia="zh-CN" w:bidi="ar-SA"/>
              </w:rPr>
              <w:t>售后服务</w:t>
            </w:r>
            <w:r>
              <w:rPr>
                <w:rFonts w:hint="eastAsia" w:hAnsi="宋体" w:cs="宋体"/>
                <w:b/>
                <w:bCs/>
                <w:color w:val="auto"/>
                <w:kern w:val="0"/>
                <w:sz w:val="24"/>
                <w:szCs w:val="24"/>
                <w:u w:val="none"/>
                <w:lang w:val="en-US" w:eastAsia="zh-CN" w:bidi="ar-SA"/>
              </w:rPr>
              <w:t>：</w:t>
            </w:r>
            <w:r>
              <w:rPr>
                <w:rFonts w:hint="eastAsia" w:ascii="宋体" w:hAnsi="宋体" w:eastAsia="宋体" w:cs="宋体"/>
                <w:color w:val="auto"/>
                <w:kern w:val="0"/>
                <w:sz w:val="24"/>
                <w:szCs w:val="24"/>
                <w:u w:val="none"/>
                <w:lang w:val="en-US" w:eastAsia="zh-CN" w:bidi="ar-SA"/>
              </w:rPr>
              <w:t>根据供应商提供的针对本项目特点的售后服务评分。方案完善、科学合理，针对性强、服务承诺明确，计4.1-5分，方案较完整、合理可行、特点和承诺不明确，计2.1-4分，方案较差，计1-2分；未提供不计分。</w:t>
            </w:r>
          </w:p>
        </w:tc>
        <w:tc>
          <w:tcPr>
            <w:tcW w:w="736" w:type="dxa"/>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808" w:type="dxa"/>
            <w:vMerge w:val="continue"/>
            <w:vAlign w:val="center"/>
          </w:tcPr>
          <w:p>
            <w:pPr>
              <w:spacing w:line="5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100" w:type="dxa"/>
            <w:vMerge w:val="continue"/>
            <w:vAlign w:val="center"/>
          </w:tcPr>
          <w:p>
            <w:pPr>
              <w:spacing w:line="560" w:lineRule="exact"/>
              <w:jc w:val="center"/>
              <w:rPr>
                <w:rFonts w:hint="eastAsia" w:ascii="宋体" w:hAnsi="宋体" w:eastAsia="宋体" w:cs="宋体"/>
                <w:b/>
                <w:sz w:val="24"/>
                <w:szCs w:val="24"/>
              </w:rPr>
            </w:pPr>
          </w:p>
        </w:tc>
        <w:tc>
          <w:tcPr>
            <w:tcW w:w="588" w:type="dxa"/>
            <w:vMerge w:val="continue"/>
            <w:vAlign w:val="center"/>
          </w:tcPr>
          <w:p>
            <w:pPr>
              <w:spacing w:line="560" w:lineRule="exact"/>
              <w:rPr>
                <w:rFonts w:hint="eastAsia" w:ascii="宋体" w:hAnsi="宋体" w:eastAsia="宋体" w:cs="宋体"/>
                <w:b/>
                <w:bCs/>
                <w:sz w:val="24"/>
                <w:szCs w:val="24"/>
              </w:rPr>
            </w:pPr>
          </w:p>
        </w:tc>
        <w:tc>
          <w:tcPr>
            <w:tcW w:w="625" w:type="dxa"/>
            <w:vAlign w:val="center"/>
          </w:tcPr>
          <w:p>
            <w:pPr>
              <w:numPr>
                <w:ilvl w:val="0"/>
                <w:numId w:val="8"/>
              </w:numPr>
              <w:spacing w:line="288" w:lineRule="auto"/>
              <w:jc w:val="center"/>
              <w:rPr>
                <w:rFonts w:hint="eastAsia" w:ascii="宋体" w:hAnsi="宋体" w:eastAsia="宋体" w:cs="宋体"/>
                <w:sz w:val="24"/>
                <w:szCs w:val="24"/>
              </w:rPr>
            </w:pPr>
          </w:p>
        </w:tc>
        <w:tc>
          <w:tcPr>
            <w:tcW w:w="5954" w:type="dxa"/>
            <w:vAlign w:val="center"/>
          </w:tcPr>
          <w:p>
            <w:pPr>
              <w:spacing w:line="288" w:lineRule="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b/>
                <w:bCs/>
                <w:color w:val="auto"/>
                <w:kern w:val="0"/>
                <w:sz w:val="24"/>
                <w:szCs w:val="24"/>
                <w:u w:val="none"/>
                <w:lang w:val="en-US" w:eastAsia="zh-CN" w:bidi="ar-SA"/>
              </w:rPr>
              <w:t>培训方案及培训效果保证措施</w:t>
            </w:r>
            <w:r>
              <w:rPr>
                <w:rFonts w:hint="eastAsia" w:hAnsi="宋体" w:cs="宋体"/>
                <w:b/>
                <w:bCs/>
                <w:color w:val="auto"/>
                <w:kern w:val="0"/>
                <w:sz w:val="24"/>
                <w:szCs w:val="24"/>
                <w:u w:val="none"/>
                <w:lang w:val="en-US" w:eastAsia="zh-CN" w:bidi="ar-SA"/>
              </w:rPr>
              <w:t>：</w:t>
            </w:r>
            <w:r>
              <w:rPr>
                <w:rFonts w:hint="eastAsia" w:ascii="宋体" w:hAnsi="宋体" w:eastAsia="宋体" w:cs="宋体"/>
                <w:color w:val="auto"/>
                <w:kern w:val="0"/>
                <w:sz w:val="24"/>
                <w:szCs w:val="24"/>
                <w:u w:val="none"/>
                <w:lang w:val="en-US" w:eastAsia="zh-CN" w:bidi="ar-SA"/>
              </w:rPr>
              <w:t>根据供应商提供的培训方案及培训效果保证措施等进行评分，方案完善、工作目标明确、科学合理、培训效果保证措施充分，计4.1-5分，有培训方案、目标较明确、措施和各项工作目标、条理性不强，计2.1-4分，方案较差，计1-2分，未提供不计分。</w:t>
            </w:r>
          </w:p>
        </w:tc>
        <w:tc>
          <w:tcPr>
            <w:tcW w:w="736" w:type="dxa"/>
            <w:vAlign w:val="center"/>
          </w:tcPr>
          <w:p>
            <w:pPr>
              <w:spacing w:line="5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5分</w:t>
            </w:r>
          </w:p>
        </w:tc>
        <w:tc>
          <w:tcPr>
            <w:tcW w:w="808" w:type="dxa"/>
            <w:vAlign w:val="center"/>
          </w:tcPr>
          <w:p>
            <w:pPr>
              <w:spacing w:line="5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100" w:type="dxa"/>
            <w:vMerge w:val="continue"/>
            <w:vAlign w:val="center"/>
          </w:tcPr>
          <w:p>
            <w:pPr>
              <w:spacing w:line="560" w:lineRule="exact"/>
              <w:jc w:val="center"/>
              <w:rPr>
                <w:rFonts w:hint="eastAsia" w:ascii="宋体" w:hAnsi="宋体" w:eastAsia="宋体" w:cs="宋体"/>
                <w:b/>
                <w:sz w:val="24"/>
                <w:szCs w:val="24"/>
              </w:rPr>
            </w:pPr>
          </w:p>
        </w:tc>
        <w:tc>
          <w:tcPr>
            <w:tcW w:w="588" w:type="dxa"/>
            <w:vMerge w:val="continue"/>
            <w:vAlign w:val="center"/>
          </w:tcPr>
          <w:p>
            <w:pPr>
              <w:spacing w:line="560" w:lineRule="exact"/>
              <w:rPr>
                <w:rFonts w:hint="eastAsia" w:ascii="宋体" w:hAnsi="宋体" w:eastAsia="宋体" w:cs="宋体"/>
                <w:b/>
                <w:bCs/>
                <w:sz w:val="24"/>
                <w:szCs w:val="24"/>
              </w:rPr>
            </w:pPr>
          </w:p>
        </w:tc>
        <w:tc>
          <w:tcPr>
            <w:tcW w:w="625" w:type="dxa"/>
            <w:vAlign w:val="center"/>
          </w:tcPr>
          <w:p>
            <w:pPr>
              <w:numPr>
                <w:ilvl w:val="0"/>
                <w:numId w:val="8"/>
              </w:numPr>
              <w:spacing w:line="288" w:lineRule="auto"/>
              <w:jc w:val="center"/>
              <w:rPr>
                <w:rFonts w:hint="eastAsia" w:ascii="宋体" w:hAnsi="宋体" w:eastAsia="宋体" w:cs="宋体"/>
                <w:sz w:val="24"/>
                <w:szCs w:val="24"/>
              </w:rPr>
            </w:pPr>
          </w:p>
        </w:tc>
        <w:tc>
          <w:tcPr>
            <w:tcW w:w="5954" w:type="dxa"/>
            <w:vAlign w:val="center"/>
          </w:tcPr>
          <w:p>
            <w:pPr>
              <w:numPr>
                <w:ilvl w:val="0"/>
                <w:numId w:val="0"/>
              </w:numPr>
              <w:spacing w:line="288" w:lineRule="auto"/>
              <w:ind w:leftChars="0"/>
              <w:rPr>
                <w:rFonts w:hint="eastAsia" w:ascii="宋体" w:hAnsi="宋体" w:eastAsia="宋体" w:cs="宋体"/>
                <w:color w:val="auto"/>
                <w:kern w:val="0"/>
                <w:sz w:val="24"/>
                <w:szCs w:val="24"/>
                <w:u w:val="none"/>
                <w:lang w:val="en-US" w:eastAsia="zh-CN" w:bidi="ar-SA"/>
              </w:rPr>
            </w:pPr>
            <w:r>
              <w:rPr>
                <w:rFonts w:hint="eastAsia" w:hAnsi="宋体" w:cs="宋体"/>
                <w:b/>
                <w:bCs/>
                <w:color w:val="auto"/>
                <w:kern w:val="0"/>
                <w:sz w:val="24"/>
                <w:szCs w:val="24"/>
                <w:u w:val="none"/>
                <w:lang w:val="en-US" w:eastAsia="zh-CN" w:bidi="ar-SA"/>
              </w:rPr>
              <w:t>体系认证：</w:t>
            </w:r>
            <w:r>
              <w:rPr>
                <w:rFonts w:hint="eastAsia" w:ascii="宋体" w:hAnsi="宋体" w:eastAsia="宋体" w:cs="宋体"/>
                <w:color w:val="auto"/>
                <w:kern w:val="0"/>
                <w:sz w:val="24"/>
                <w:szCs w:val="24"/>
                <w:u w:val="none"/>
                <w:lang w:val="en-US" w:eastAsia="zh-CN" w:bidi="ar-SA"/>
              </w:rPr>
              <w:t>所投产品生产厂家或供应商具有IS09001质量管理体系认证证书、ISO14001环境管理体系认证证书，ISO45001职业健康安全管理体系认证证书，ISO27001信息安全管理体系认证的每有一项计</w:t>
            </w:r>
            <w:r>
              <w:rPr>
                <w:rFonts w:hint="eastAsia" w:hAnsi="宋体" w:cs="宋体"/>
                <w:color w:val="auto"/>
                <w:kern w:val="0"/>
                <w:sz w:val="24"/>
                <w:szCs w:val="24"/>
                <w:u w:val="none"/>
                <w:lang w:val="en-US" w:eastAsia="zh-CN" w:bidi="ar-SA"/>
              </w:rPr>
              <w:t>0.5</w:t>
            </w:r>
            <w:r>
              <w:rPr>
                <w:rFonts w:hint="eastAsia" w:ascii="宋体" w:hAnsi="宋体" w:eastAsia="宋体" w:cs="宋体"/>
                <w:color w:val="auto"/>
                <w:kern w:val="0"/>
                <w:sz w:val="24"/>
                <w:szCs w:val="24"/>
                <w:u w:val="none"/>
                <w:lang w:val="en-US" w:eastAsia="zh-CN" w:bidi="ar-SA"/>
              </w:rPr>
              <w:t>分，最高计</w:t>
            </w:r>
            <w:r>
              <w:rPr>
                <w:rFonts w:hint="eastAsia" w:hAnsi="宋体" w:cs="宋体"/>
                <w:color w:val="auto"/>
                <w:kern w:val="0"/>
                <w:sz w:val="24"/>
                <w:szCs w:val="24"/>
                <w:u w:val="none"/>
                <w:lang w:val="en-US" w:eastAsia="zh-CN" w:bidi="ar-SA"/>
              </w:rPr>
              <w:t>2</w:t>
            </w:r>
            <w:r>
              <w:rPr>
                <w:rFonts w:hint="eastAsia" w:ascii="宋体" w:hAnsi="宋体" w:eastAsia="宋体" w:cs="宋体"/>
                <w:color w:val="auto"/>
                <w:kern w:val="0"/>
                <w:sz w:val="24"/>
                <w:szCs w:val="24"/>
                <w:u w:val="none"/>
                <w:lang w:val="en-US" w:eastAsia="zh-CN" w:bidi="ar-SA"/>
              </w:rPr>
              <w:t>分</w:t>
            </w:r>
            <w:r>
              <w:rPr>
                <w:rFonts w:hint="eastAsia" w:hAnsi="宋体" w:cs="宋体"/>
                <w:color w:val="auto"/>
                <w:kern w:val="0"/>
                <w:sz w:val="24"/>
                <w:szCs w:val="24"/>
                <w:u w:val="none"/>
                <w:lang w:val="en-US" w:eastAsia="zh-CN" w:bidi="ar-SA"/>
              </w:rPr>
              <w:t>；</w:t>
            </w:r>
            <w:r>
              <w:rPr>
                <w:rFonts w:hint="eastAsia" w:ascii="宋体" w:hAnsi="宋体" w:eastAsia="宋体" w:cs="宋体"/>
                <w:color w:val="auto"/>
                <w:kern w:val="0"/>
                <w:sz w:val="24"/>
                <w:szCs w:val="24"/>
                <w:u w:val="none"/>
                <w:lang w:val="en-US" w:eastAsia="zh-CN" w:bidi="ar-SA"/>
              </w:rPr>
              <w:t>投标人通过知识产权管理体系认证，得</w:t>
            </w:r>
            <w:r>
              <w:rPr>
                <w:rFonts w:hint="eastAsia" w:hAnsi="宋体" w:cs="宋体"/>
                <w:color w:val="auto"/>
                <w:kern w:val="0"/>
                <w:sz w:val="24"/>
                <w:szCs w:val="24"/>
                <w:u w:val="none"/>
                <w:lang w:val="en-US" w:eastAsia="zh-CN" w:bidi="ar-SA"/>
              </w:rPr>
              <w:t>1</w:t>
            </w:r>
            <w:r>
              <w:rPr>
                <w:rFonts w:hint="eastAsia" w:ascii="宋体" w:hAnsi="宋体" w:eastAsia="宋体" w:cs="宋体"/>
                <w:color w:val="auto"/>
                <w:kern w:val="0"/>
                <w:sz w:val="24"/>
                <w:szCs w:val="24"/>
                <w:u w:val="none"/>
                <w:lang w:val="en-US" w:eastAsia="zh-CN" w:bidi="ar-SA"/>
              </w:rPr>
              <w:t>分</w:t>
            </w:r>
            <w:r>
              <w:rPr>
                <w:rFonts w:hint="eastAsia" w:hAnsi="宋体" w:cs="宋体"/>
                <w:color w:val="auto"/>
                <w:kern w:val="0"/>
                <w:sz w:val="24"/>
                <w:szCs w:val="24"/>
                <w:u w:val="none"/>
                <w:lang w:val="en-US" w:eastAsia="zh-CN" w:bidi="ar-SA"/>
              </w:rPr>
              <w:t>；投标人具有ITSS信息技术服务运行维护符合性证书的，得1分；投标人具有产品责任保险得1分，提供责任保险单及发票复印件。</w:t>
            </w:r>
            <w:r>
              <w:rPr>
                <w:rFonts w:hint="eastAsia" w:ascii="宋体" w:hAnsi="宋体" w:eastAsia="宋体" w:cs="宋体"/>
                <w:color w:val="auto"/>
                <w:kern w:val="0"/>
                <w:sz w:val="24"/>
                <w:szCs w:val="24"/>
                <w:u w:val="none"/>
                <w:lang w:val="en-US" w:eastAsia="zh-CN" w:bidi="ar-SA"/>
              </w:rPr>
              <w:t>（提供相关证书</w:t>
            </w:r>
            <w:r>
              <w:rPr>
                <w:rFonts w:hint="eastAsia" w:hAnsi="宋体" w:cs="宋体"/>
                <w:color w:val="auto"/>
                <w:kern w:val="0"/>
                <w:sz w:val="24"/>
                <w:szCs w:val="24"/>
                <w:u w:val="none"/>
                <w:lang w:val="en-US" w:eastAsia="zh-CN" w:bidi="ar-SA"/>
              </w:rPr>
              <w:t>或证明资料</w:t>
            </w:r>
            <w:r>
              <w:rPr>
                <w:rFonts w:hint="eastAsia" w:ascii="宋体" w:hAnsi="宋体" w:eastAsia="宋体" w:cs="宋体"/>
                <w:color w:val="auto"/>
                <w:kern w:val="0"/>
                <w:sz w:val="24"/>
                <w:szCs w:val="24"/>
                <w:u w:val="none"/>
                <w:lang w:val="en-US" w:eastAsia="zh-CN" w:bidi="ar-SA"/>
              </w:rPr>
              <w:t>复印件加盖公章）</w:t>
            </w:r>
          </w:p>
        </w:tc>
        <w:tc>
          <w:tcPr>
            <w:tcW w:w="736" w:type="dxa"/>
            <w:vAlign w:val="center"/>
          </w:tcPr>
          <w:p>
            <w:pPr>
              <w:spacing w:line="56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分</w:t>
            </w:r>
          </w:p>
        </w:tc>
        <w:tc>
          <w:tcPr>
            <w:tcW w:w="808" w:type="dxa"/>
            <w:vAlign w:val="center"/>
          </w:tcPr>
          <w:p>
            <w:pPr>
              <w:spacing w:line="5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100" w:type="dxa"/>
            <w:vAlign w:val="center"/>
          </w:tcPr>
          <w:p>
            <w:pP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节能环保产品</w:t>
            </w:r>
          </w:p>
        </w:tc>
        <w:tc>
          <w:tcPr>
            <w:tcW w:w="1213" w:type="dxa"/>
            <w:gridSpan w:val="2"/>
            <w:vAlign w:val="center"/>
          </w:tcPr>
          <w:p>
            <w:pPr>
              <w:spacing w:line="288" w:lineRule="auto"/>
              <w:jc w:val="center"/>
              <w:rPr>
                <w:rFonts w:hint="eastAsia" w:ascii="宋体" w:hAnsi="宋体" w:eastAsia="宋体" w:cs="宋体"/>
                <w:color w:val="auto"/>
                <w:sz w:val="24"/>
                <w:szCs w:val="24"/>
                <w:highlight w:val="none"/>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tc>
        <w:tc>
          <w:tcPr>
            <w:tcW w:w="5954" w:type="dxa"/>
            <w:vAlign w:val="center"/>
          </w:tcPr>
          <w:p>
            <w:pPr>
              <w:pStyle w:val="6"/>
              <w:tabs>
                <w:tab w:val="left" w:pos="864"/>
              </w:tabs>
              <w:spacing w:before="0"/>
              <w:ind w:left="0" w:firstLine="0"/>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投标产品为节能、环境标志产品品目清单中优先采购的产品，须提供国家确定的认证机构出具的、处于有效期之内的节能、环境标志产品认证证书，每提供一个得</w:t>
            </w:r>
            <w:r>
              <w:rPr>
                <w:rFonts w:hint="eastAsia" w:hAnsi="宋体" w:cs="宋体"/>
                <w:color w:val="auto"/>
                <w:kern w:val="0"/>
                <w:sz w:val="24"/>
                <w:szCs w:val="24"/>
                <w:highlight w:val="none"/>
                <w:u w:val="none"/>
                <w:lang w:val="en-US" w:eastAsia="zh-CN" w:bidi="ar-SA"/>
              </w:rPr>
              <w:t>0.5</w:t>
            </w:r>
            <w:r>
              <w:rPr>
                <w:rFonts w:hint="eastAsia" w:ascii="宋体" w:hAnsi="宋体" w:eastAsia="宋体" w:cs="宋体"/>
                <w:color w:val="auto"/>
                <w:kern w:val="0"/>
                <w:sz w:val="24"/>
                <w:szCs w:val="24"/>
                <w:highlight w:val="none"/>
                <w:u w:val="none"/>
                <w:lang w:val="en-US" w:eastAsia="zh-CN" w:bidi="ar-SA"/>
              </w:rPr>
              <w:t>分，共计</w:t>
            </w:r>
            <w:r>
              <w:rPr>
                <w:rFonts w:hint="eastAsia" w:hAnsi="宋体" w:cs="宋体"/>
                <w:color w:val="auto"/>
                <w:kern w:val="0"/>
                <w:sz w:val="24"/>
                <w:szCs w:val="24"/>
                <w:highlight w:val="none"/>
                <w:u w:val="none"/>
                <w:lang w:val="en-US" w:eastAsia="zh-CN" w:bidi="ar-SA"/>
              </w:rPr>
              <w:t>2</w:t>
            </w:r>
            <w:r>
              <w:rPr>
                <w:rFonts w:hint="eastAsia" w:ascii="宋体" w:hAnsi="宋体" w:eastAsia="宋体" w:cs="宋体"/>
                <w:color w:val="auto"/>
                <w:kern w:val="0"/>
                <w:sz w:val="24"/>
                <w:szCs w:val="24"/>
                <w:highlight w:val="none"/>
                <w:u w:val="none"/>
                <w:lang w:val="en-US" w:eastAsia="zh-CN" w:bidi="ar-SA"/>
              </w:rPr>
              <w:t>分。</w:t>
            </w:r>
          </w:p>
        </w:tc>
        <w:tc>
          <w:tcPr>
            <w:tcW w:w="736" w:type="dxa"/>
            <w:vAlign w:val="center"/>
          </w:tcPr>
          <w:p>
            <w:pPr>
              <w:spacing w:line="560" w:lineRule="exact"/>
              <w:jc w:val="center"/>
              <w:rPr>
                <w:rFonts w:hint="eastAsia" w:ascii="宋体" w:hAnsi="宋体" w:eastAsia="宋体" w:cs="宋体"/>
                <w:color w:val="auto"/>
                <w:sz w:val="24"/>
                <w:szCs w:val="24"/>
              </w:rPr>
            </w:pPr>
            <w:r>
              <w:rPr>
                <w:rFonts w:hint="eastAsia" w:hAnsi="宋体" w:cs="宋体"/>
                <w:color w:val="auto"/>
                <w:sz w:val="24"/>
                <w:szCs w:val="24"/>
                <w:lang w:val="en-US" w:eastAsia="zh-CN"/>
              </w:rPr>
              <w:t>2</w:t>
            </w:r>
            <w:r>
              <w:rPr>
                <w:rFonts w:hint="eastAsia" w:ascii="宋体" w:hAnsi="宋体" w:eastAsia="宋体" w:cs="宋体"/>
                <w:color w:val="auto"/>
                <w:sz w:val="24"/>
                <w:szCs w:val="24"/>
              </w:rPr>
              <w:t>分</w:t>
            </w:r>
          </w:p>
        </w:tc>
        <w:tc>
          <w:tcPr>
            <w:tcW w:w="808" w:type="dxa"/>
            <w:vAlign w:val="center"/>
          </w:tcPr>
          <w:p>
            <w:pPr>
              <w:spacing w:line="5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100" w:type="dxa"/>
            <w:vAlign w:val="center"/>
          </w:tcPr>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c>
          <w:tcPr>
            <w:tcW w:w="8711" w:type="dxa"/>
            <w:gridSpan w:val="5"/>
            <w:tcBorders>
              <w:top w:val="single" w:color="auto" w:sz="4" w:space="0"/>
              <w:bottom w:val="single" w:color="auto" w:sz="4" w:space="0"/>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1.各评委应按照本评标方法独立打分。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2.分项评分超出评分标准范围或评标委员会成员对客观评审因素评分不一致时，采购代理机构可以要求评标委员会复核或者书面说明理由，评标委员会拒绝的，应予记录并向本级财政部门报告。</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若出现综合得分并列时，比较价格得分，此分项得分高者排序在前；若价格得分仍相同，比较技术得分，此分项得分高者排序在前；若技术得分仍相同，则由全体评标委员会成员无记名投票，得票高者排序在前。</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4.各种计算采用插入法，数字均保留两位小数，第三位“四舍五入”。</w:t>
            </w:r>
          </w:p>
          <w:p>
            <w:pPr>
              <w:spacing w:line="560" w:lineRule="exact"/>
              <w:rPr>
                <w:rFonts w:hint="eastAsia" w:ascii="宋体" w:hAnsi="宋体" w:eastAsia="宋体" w:cs="宋体"/>
                <w:sz w:val="24"/>
                <w:szCs w:val="24"/>
              </w:rPr>
            </w:pPr>
            <w:r>
              <w:rPr>
                <w:rFonts w:hint="eastAsia" w:ascii="宋体" w:hAnsi="宋体" w:eastAsia="宋体" w:cs="宋体"/>
                <w:sz w:val="24"/>
                <w:szCs w:val="24"/>
              </w:rPr>
              <w:t>5.评标过程中，若出现特殊情况时，由评标委员会决定暂停评标，并提出具体处理意见。</w:t>
            </w:r>
          </w:p>
        </w:tc>
      </w:tr>
    </w:tbl>
    <w:p>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center"/>
        <w:rPr>
          <w:rFonts w:hint="eastAsia" w:ascii="宋体" w:hAnsi="宋体" w:eastAsia="宋体" w:cs="宋体"/>
          <w:b/>
          <w:bCs/>
          <w:color w:val="auto"/>
          <w:sz w:val="36"/>
          <w:szCs w:val="36"/>
          <w:highlight w:val="none"/>
        </w:rPr>
      </w:pP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第六章 投标文件构成及格式</w:t>
      </w:r>
    </w:p>
    <w:p>
      <w:pPr>
        <w:rPr>
          <w:rFonts w:hint="eastAsia" w:ascii="宋体" w:hAnsi="宋体" w:eastAsia="宋体" w:cs="宋体"/>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投标文件格式是投标</w:t>
      </w:r>
      <w:r>
        <w:rPr>
          <w:rFonts w:hint="eastAsia" w:hAnsi="宋体" w:cs="宋体"/>
          <w:color w:val="000000"/>
          <w:sz w:val="24"/>
          <w:highlight w:val="none"/>
          <w:lang w:eastAsia="zh-CN"/>
        </w:rPr>
        <w:t>投标人</w:t>
      </w:r>
      <w:r>
        <w:rPr>
          <w:rFonts w:hint="eastAsia" w:ascii="宋体" w:hAnsi="宋体" w:cs="宋体"/>
          <w:color w:val="000000"/>
          <w:sz w:val="24"/>
          <w:highlight w:val="none"/>
        </w:rPr>
        <w:t>的部分投标文件格式，投标</w:t>
      </w:r>
      <w:r>
        <w:rPr>
          <w:rFonts w:hint="eastAsia" w:hAnsi="宋体" w:cs="宋体"/>
          <w:color w:val="000000"/>
          <w:sz w:val="24"/>
          <w:highlight w:val="none"/>
          <w:lang w:eastAsia="zh-CN"/>
        </w:rPr>
        <w:t>投标人</w:t>
      </w:r>
      <w:r>
        <w:rPr>
          <w:rFonts w:hint="eastAsia" w:ascii="宋体" w:hAnsi="宋体" w:cs="宋体"/>
          <w:color w:val="000000"/>
          <w:sz w:val="24"/>
          <w:highlight w:val="none"/>
        </w:rPr>
        <w:t>应按照这些格式编制投标文件。编制投标文件前，请详细阅读招标文件，理解文件中的每一项要求，做出逐一实质性响应，认为有必要，可做补充说明。</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jc w:val="center"/>
        <w:textAlignment w:val="auto"/>
        <w:rPr>
          <w:rFonts w:hint="eastAsia" w:ascii="宋体" w:hAnsi="宋体" w:cs="宋体"/>
          <w:b/>
          <w:color w:val="000000"/>
          <w:sz w:val="2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textAlignment w:val="auto"/>
        <w:rPr>
          <w:rFonts w:hint="eastAsia" w:ascii="宋体" w:hAnsi="宋体" w:cs="宋体"/>
          <w:color w:val="000000"/>
          <w:sz w:val="24"/>
          <w:highlight w:val="none"/>
        </w:rPr>
      </w:pPr>
      <w:r>
        <w:rPr>
          <w:rFonts w:hint="eastAsia" w:ascii="宋体" w:hAnsi="宋体" w:cs="宋体"/>
          <w:color w:val="000000"/>
          <w:sz w:val="24"/>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textAlignment w:val="auto"/>
        <w:rPr>
          <w:rFonts w:hint="eastAsia" w:ascii="宋体" w:hAnsi="宋体" w:cs="宋体"/>
          <w:b/>
          <w:bCs/>
          <w:color w:val="000000"/>
          <w:sz w:val="24"/>
          <w:highlight w:val="none"/>
        </w:rPr>
      </w:pPr>
      <w:r>
        <w:rPr>
          <w:rFonts w:hint="eastAsia" w:ascii="宋体" w:hAnsi="宋体" w:cs="宋体"/>
          <w:b/>
          <w:bCs/>
          <w:color w:val="000000"/>
          <w:sz w:val="24"/>
          <w:highlight w:val="none"/>
        </w:rPr>
        <w:t>注：非独立企业法人参与本次投标的，投标文件内涉及到法人签字盖章的部分均可由负责人签字盖章，授权书格式参照法人代表授权书。</w:t>
      </w:r>
    </w:p>
    <w:p>
      <w:pPr>
        <w:rPr>
          <w:rFonts w:hint="eastAsia" w:ascii="宋体" w:hAnsi="宋体" w:eastAsia="宋体" w:cs="宋体"/>
          <w:b/>
          <w:bCs/>
          <w:color w:val="auto"/>
          <w:sz w:val="28"/>
          <w:szCs w:val="21"/>
          <w:highlight w:val="none"/>
        </w:rPr>
      </w:pPr>
    </w:p>
    <w:p>
      <w:pPr>
        <w:rPr>
          <w:rFonts w:hint="eastAsia" w:ascii="宋体" w:hAnsi="宋体" w:eastAsia="宋体" w:cs="宋体"/>
          <w:b/>
          <w:bCs/>
          <w:color w:val="auto"/>
          <w:sz w:val="28"/>
          <w:szCs w:val="21"/>
          <w:highlight w:val="none"/>
        </w:rPr>
      </w:pPr>
    </w:p>
    <w:p>
      <w:pP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br w:type="page"/>
      </w:r>
    </w:p>
    <w:p>
      <w:pPr>
        <w:rPr>
          <w:rFonts w:hint="eastAsia" w:ascii="宋体" w:hAnsi="宋体" w:eastAsia="宋体" w:cs="宋体"/>
          <w:b/>
          <w:bCs/>
          <w:color w:val="auto"/>
          <w:sz w:val="28"/>
          <w:szCs w:val="21"/>
          <w:highlight w:val="none"/>
        </w:rPr>
      </w:pPr>
    </w:p>
    <w:p>
      <w:pPr>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rPr>
        <w:t>项目编号：</w:t>
      </w:r>
      <w:r>
        <w:rPr>
          <w:rFonts w:hint="eastAsia" w:hAnsi="宋体" w:cs="宋体"/>
          <w:b/>
          <w:bCs/>
          <w:color w:val="auto"/>
          <w:sz w:val="28"/>
          <w:szCs w:val="21"/>
          <w:highlight w:val="none"/>
          <w:lang w:eastAsia="zh-CN"/>
        </w:rPr>
        <w:t>TWZB2024-058</w:t>
      </w: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pStyle w:val="11"/>
        <w:jc w:val="center"/>
        <w:rPr>
          <w:rFonts w:hint="eastAsia" w:ascii="宋体" w:hAnsi="宋体" w:eastAsia="宋体" w:cs="宋体"/>
          <w:b/>
          <w:bCs/>
          <w:color w:val="auto"/>
          <w:sz w:val="52"/>
          <w:szCs w:val="52"/>
          <w:highlight w:val="none"/>
        </w:rPr>
      </w:pPr>
      <w:r>
        <w:rPr>
          <w:rFonts w:hint="eastAsia" w:ascii="宋体" w:hAnsi="宋体" w:cs="宋体"/>
          <w:b/>
          <w:color w:val="auto"/>
          <w:sz w:val="44"/>
          <w:szCs w:val="44"/>
          <w:highlight w:val="none"/>
          <w:lang w:val="en-US" w:eastAsia="zh-CN"/>
        </w:rPr>
        <w:t xml:space="preserve">西咸新区泾河新城第四小学2024年设备续采项目 </w:t>
      </w:r>
    </w:p>
    <w:p>
      <w:pPr>
        <w:jc w:val="center"/>
        <w:rPr>
          <w:rFonts w:hint="eastAsia" w:ascii="宋体" w:hAnsi="宋体" w:eastAsia="宋体" w:cs="宋体"/>
          <w:b/>
          <w:bCs/>
          <w:color w:val="auto"/>
          <w:sz w:val="30"/>
          <w:szCs w:val="30"/>
          <w:highlight w:val="none"/>
        </w:rPr>
      </w:pPr>
    </w:p>
    <w:p>
      <w:pPr>
        <w:jc w:val="center"/>
        <w:rPr>
          <w:rFonts w:hint="eastAsia" w:ascii="宋体" w:hAnsi="宋体" w:eastAsia="宋体" w:cs="宋体"/>
          <w:b/>
          <w:bCs/>
          <w:color w:val="auto"/>
          <w:sz w:val="56"/>
          <w:szCs w:val="32"/>
          <w:highlight w:val="none"/>
        </w:rPr>
      </w:pPr>
    </w:p>
    <w:p>
      <w:pPr>
        <w:jc w:val="center"/>
        <w:rPr>
          <w:rFonts w:hint="eastAsia" w:ascii="宋体" w:hAnsi="宋体" w:eastAsia="宋体" w:cs="宋体"/>
          <w:b/>
          <w:bCs/>
          <w:color w:val="auto"/>
          <w:sz w:val="56"/>
          <w:szCs w:val="32"/>
          <w:highlight w:val="none"/>
        </w:rPr>
      </w:pPr>
      <w:r>
        <w:rPr>
          <w:rFonts w:hint="eastAsia" w:ascii="宋体" w:hAnsi="宋体" w:eastAsia="宋体" w:cs="宋体"/>
          <w:b/>
          <w:bCs/>
          <w:color w:val="auto"/>
          <w:sz w:val="56"/>
          <w:szCs w:val="32"/>
          <w:highlight w:val="none"/>
        </w:rPr>
        <w:t>投标文件</w:t>
      </w:r>
    </w:p>
    <w:p>
      <w:pPr>
        <w:jc w:val="center"/>
        <w:rPr>
          <w:rFonts w:hint="eastAsia" w:ascii="宋体" w:hAnsi="宋体" w:eastAsia="宋体" w:cs="宋体"/>
          <w:b/>
          <w:bCs/>
          <w:color w:val="auto"/>
          <w:sz w:val="44"/>
          <w:szCs w:val="32"/>
          <w:highlight w:val="none"/>
        </w:rPr>
      </w:pPr>
    </w:p>
    <w:p>
      <w:pP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tabs>
          <w:tab w:val="center" w:pos="5346"/>
        </w:tabs>
        <w:spacing w:line="720" w:lineRule="auto"/>
        <w:ind w:firstLine="1285" w:firstLineChars="400"/>
        <w:jc w:val="both"/>
        <w:rPr>
          <w:rFonts w:hint="eastAsia" w:ascii="宋体" w:hAnsi="宋体" w:eastAsia="宋体" w:cs="宋体"/>
          <w:b/>
          <w:color w:val="auto"/>
          <w:sz w:val="32"/>
          <w:szCs w:val="32"/>
          <w:highlight w:val="none"/>
        </w:rPr>
      </w:pPr>
      <w:r>
        <w:rPr>
          <w:rFonts w:hint="eastAsia" w:hAnsi="宋体" w:cs="宋体"/>
          <w:b/>
          <w:color w:val="auto"/>
          <w:sz w:val="32"/>
          <w:szCs w:val="32"/>
          <w:highlight w:val="none"/>
          <w:lang w:eastAsia="zh-CN"/>
        </w:rPr>
        <w:t>投标投标人</w:t>
      </w:r>
      <w:r>
        <w:rPr>
          <w:rFonts w:hint="eastAsia" w:ascii="宋体" w:hAnsi="宋体" w:eastAsia="宋体" w:cs="宋体"/>
          <w:b/>
          <w:color w:val="auto"/>
          <w:sz w:val="32"/>
          <w:szCs w:val="32"/>
          <w:highlight w:val="none"/>
        </w:rPr>
        <w:t>：</w:t>
      </w:r>
      <w:r>
        <w:rPr>
          <w:rFonts w:hint="eastAsia" w:hAnsi="宋体" w:cs="宋体"/>
          <w:b w:val="0"/>
          <w:bCs/>
          <w:i w:val="0"/>
          <w:iCs w:val="0"/>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（单位盖章）</w:t>
      </w:r>
    </w:p>
    <w:p>
      <w:pPr>
        <w:tabs>
          <w:tab w:val="center" w:pos="5346"/>
        </w:tabs>
        <w:spacing w:line="720" w:lineRule="auto"/>
        <w:jc w:val="center"/>
        <w:rPr>
          <w:rFonts w:hint="eastAsia" w:ascii="宋体" w:hAnsi="宋体" w:eastAsia="宋体" w:cs="宋体"/>
          <w:b/>
          <w:color w:val="auto"/>
          <w:sz w:val="32"/>
          <w:szCs w:val="32"/>
          <w:highlight w:val="none"/>
        </w:rPr>
      </w:pPr>
      <w:r>
        <w:rPr>
          <w:rFonts w:hint="eastAsia"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法定代表人或其被授权人：</w:t>
      </w: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（签名或盖章）</w:t>
      </w:r>
    </w:p>
    <w:p>
      <w:pPr>
        <w:spacing w:line="720" w:lineRule="auto"/>
        <w:ind w:firstLine="1285" w:firstLineChars="400"/>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时  间：</w:t>
      </w:r>
      <w:r>
        <w:rPr>
          <w:rFonts w:hint="eastAsia"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年   月  日</w:t>
      </w:r>
      <w:r>
        <w:rPr>
          <w:rFonts w:hint="eastAsia" w:ascii="宋体" w:hAnsi="宋体" w:eastAsia="宋体" w:cs="宋体"/>
          <w:b/>
          <w:color w:val="auto"/>
          <w:sz w:val="36"/>
          <w:szCs w:val="36"/>
          <w:highlight w:val="none"/>
        </w:rPr>
        <w:br w:type="page"/>
      </w:r>
    </w:p>
    <w:p>
      <w:pPr>
        <w:pStyle w:val="16"/>
        <w:rPr>
          <w:rFonts w:hint="eastAsia" w:ascii="宋体" w:hAnsi="宋体" w:eastAsia="宋体" w:cs="宋体"/>
          <w:b/>
          <w:color w:val="auto"/>
          <w:sz w:val="36"/>
          <w:szCs w:val="36"/>
          <w:highlight w:val="none"/>
        </w:rPr>
      </w:pPr>
    </w:p>
    <w:p>
      <w:pPr>
        <w:pStyle w:val="16"/>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numPr>
          <w:ilvl w:val="0"/>
          <w:numId w:val="9"/>
        </w:numP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投标函</w:t>
      </w:r>
    </w:p>
    <w:p>
      <w:pPr>
        <w:numPr>
          <w:ilvl w:val="0"/>
          <w:numId w:val="9"/>
        </w:numP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报价表</w:t>
      </w:r>
    </w:p>
    <w:p>
      <w:pPr>
        <w:numPr>
          <w:ilvl w:val="0"/>
          <w:numId w:val="9"/>
        </w:numP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投标方案说明书</w:t>
      </w:r>
    </w:p>
    <w:p>
      <w:pPr>
        <w:numPr>
          <w:ilvl w:val="0"/>
          <w:numId w:val="9"/>
        </w:numP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商务条款偏离表</w:t>
      </w:r>
    </w:p>
    <w:p>
      <w:pPr>
        <w:numPr>
          <w:ilvl w:val="0"/>
          <w:numId w:val="9"/>
        </w:numP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拒绝政府采购领域商业贿赂承诺书</w:t>
      </w:r>
    </w:p>
    <w:p>
      <w:pPr>
        <w:numPr>
          <w:ilvl w:val="0"/>
          <w:numId w:val="9"/>
        </w:numP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资格证明文件</w:t>
      </w:r>
    </w:p>
    <w:p>
      <w:pPr>
        <w:numPr>
          <w:ilvl w:val="0"/>
          <w:numId w:val="9"/>
        </w:numPr>
        <w:tabs>
          <w:tab w:val="left" w:pos="1418"/>
        </w:tabs>
        <w:spacing w:line="720" w:lineRule="auto"/>
        <w:ind w:left="1920" w:leftChars="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其他资料</w:t>
      </w:r>
    </w:p>
    <w:p>
      <w:pPr>
        <w:spacing w:line="480" w:lineRule="auto"/>
        <w:ind w:firstLine="1574" w:firstLineChars="635"/>
        <w:rPr>
          <w:rFonts w:hint="eastAsia" w:ascii="宋体" w:hAnsi="宋体" w:eastAsia="宋体" w:cs="宋体"/>
          <w:color w:val="auto"/>
          <w:spacing w:val="4"/>
          <w:szCs w:val="24"/>
          <w:highlight w:val="none"/>
        </w:rPr>
      </w:pPr>
    </w:p>
    <w:p>
      <w:pPr>
        <w:spacing w:line="480" w:lineRule="auto"/>
        <w:ind w:left="105"/>
        <w:rPr>
          <w:rFonts w:hint="eastAsia" w:ascii="宋体" w:hAnsi="宋体" w:eastAsia="宋体" w:cs="宋体"/>
          <w:color w:val="auto"/>
          <w:spacing w:val="4"/>
          <w:szCs w:val="24"/>
          <w:highlight w:val="none"/>
        </w:rPr>
      </w:pPr>
    </w:p>
    <w:p>
      <w:pPr>
        <w:pStyle w:val="4"/>
        <w:keepNext w:val="0"/>
        <w:keepLines w:val="0"/>
        <w:widowControl w:val="0"/>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32"/>
          <w:highlight w:val="none"/>
        </w:rPr>
        <w:t>一、投标函</w:t>
      </w:r>
    </w:p>
    <w:p>
      <w:pPr>
        <w:spacing w:line="500" w:lineRule="exact"/>
        <w:jc w:val="left"/>
        <w:rPr>
          <w:rFonts w:hint="eastAsia" w:ascii="宋体" w:hAnsi="宋体" w:eastAsia="宋体" w:cs="宋体"/>
          <w:color w:val="auto"/>
          <w:spacing w:val="4"/>
          <w:szCs w:val="24"/>
          <w:highlight w:val="none"/>
          <w:u w:val="single"/>
          <w:lang w:eastAsia="zh-CN"/>
        </w:rPr>
      </w:pPr>
      <w:r>
        <w:rPr>
          <w:rFonts w:hint="eastAsia" w:ascii="宋体" w:hAnsi="宋体" w:eastAsia="宋体" w:cs="宋体"/>
          <w:b/>
          <w:color w:val="auto"/>
          <w:spacing w:val="4"/>
          <w:szCs w:val="24"/>
          <w:highlight w:val="none"/>
        </w:rPr>
        <w:t>致：</w:t>
      </w:r>
      <w:r>
        <w:rPr>
          <w:rFonts w:hint="eastAsia" w:ascii="宋体" w:hAnsi="宋体" w:eastAsia="宋体" w:cs="宋体"/>
          <w:b/>
          <w:color w:val="auto"/>
          <w:spacing w:val="4"/>
          <w:szCs w:val="24"/>
          <w:highlight w:val="none"/>
          <w:u w:val="single"/>
        </w:rPr>
        <w:t>采购人名称/</w:t>
      </w:r>
      <w:r>
        <w:rPr>
          <w:rFonts w:hint="eastAsia" w:ascii="宋体" w:hAnsi="宋体" w:eastAsia="宋体" w:cs="宋体"/>
          <w:b/>
          <w:color w:val="auto"/>
          <w:spacing w:val="4"/>
          <w:szCs w:val="24"/>
          <w:highlight w:val="none"/>
          <w:u w:val="single"/>
          <w:lang w:eastAsia="zh-CN"/>
        </w:rPr>
        <w:t>陕西天沃工程项目管理有限公司</w:t>
      </w:r>
    </w:p>
    <w:p>
      <w:pPr>
        <w:spacing w:line="500" w:lineRule="exact"/>
        <w:ind w:firstLine="496" w:firstLine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我单位收到贵公司</w:t>
      </w:r>
      <w:r>
        <w:rPr>
          <w:rFonts w:hint="eastAsia" w:ascii="宋体" w:hAnsi="宋体" w:eastAsia="宋体" w:cs="宋体"/>
          <w:color w:val="auto"/>
          <w:spacing w:val="4"/>
          <w:highlight w:val="none"/>
          <w:u w:val="single"/>
        </w:rPr>
        <w:t xml:space="preserve">   （项目名称）（项目编号</w:t>
      </w:r>
      <w:r>
        <w:rPr>
          <w:rFonts w:hint="eastAsia" w:hAnsi="宋体" w:cs="宋体"/>
          <w:color w:val="auto"/>
          <w:spacing w:val="4"/>
          <w:highlight w:val="none"/>
          <w:u w:val="single"/>
          <w:lang w:eastAsia="zh-CN"/>
        </w:rPr>
        <w:t>：</w:t>
      </w:r>
      <w:r>
        <w:rPr>
          <w:rFonts w:hint="eastAsia" w:ascii="宋体" w:hAnsi="宋体" w:eastAsia="宋体" w:cs="宋体"/>
          <w:color w:val="auto"/>
          <w:spacing w:val="4"/>
          <w:highlight w:val="none"/>
          <w:u w:val="single"/>
        </w:rPr>
        <w:t>）</w:t>
      </w:r>
      <w:r>
        <w:rPr>
          <w:rFonts w:hint="eastAsia" w:ascii="宋体" w:hAnsi="宋体" w:eastAsia="宋体" w:cs="宋体"/>
          <w:color w:val="auto"/>
          <w:spacing w:val="4"/>
          <w:highlight w:val="none"/>
        </w:rPr>
        <w:t>的招标文件，经详细研究，我们决定参加该项目投标活动，并参与投标会议。为此，我方郑重声明以下诸点，并负法律责任：</w:t>
      </w:r>
    </w:p>
    <w:p>
      <w:pPr>
        <w:tabs>
          <w:tab w:val="left" w:pos="2160"/>
        </w:tabs>
        <w:spacing w:line="500" w:lineRule="exact"/>
        <w:ind w:firstLine="496" w:firstLineChars="200"/>
        <w:jc w:val="left"/>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rPr>
        <w:t xml:space="preserve">1.投标报价为： </w:t>
      </w:r>
      <w:r>
        <w:rPr>
          <w:rFonts w:hint="eastAsia" w:ascii="宋体" w:hAnsi="宋体" w:cs="宋体"/>
          <w:bCs/>
          <w:sz w:val="24"/>
          <w:szCs w:val="24"/>
          <w:highlight w:val="none"/>
        </w:rPr>
        <w:t>大写</w:t>
      </w:r>
      <w:r>
        <w:rPr>
          <w:rFonts w:hint="eastAsia" w:ascii="宋体" w:hAnsi="宋体" w:cs="宋体"/>
          <w:bCs/>
          <w:sz w:val="24"/>
          <w:szCs w:val="24"/>
          <w:highlight w:val="none"/>
          <w:u w:val="single"/>
        </w:rPr>
        <w:t xml:space="preserve"> </w:t>
      </w:r>
      <w:r>
        <w:rPr>
          <w:rFonts w:hint="eastAsia" w:hAnsi="宋体" w:cs="宋体"/>
          <w:bCs/>
          <w:sz w:val="24"/>
          <w:szCs w:val="24"/>
          <w:highlight w:val="none"/>
          <w:u w:val="single"/>
          <w:lang w:val="en-US" w:eastAsia="zh-CN"/>
        </w:rPr>
        <w:t xml:space="preserve">        </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元，￥</w:t>
      </w:r>
      <w:r>
        <w:rPr>
          <w:rFonts w:hint="eastAsia" w:ascii="宋体" w:hAnsi="宋体" w:cs="宋体"/>
          <w:bCs/>
          <w:sz w:val="24"/>
          <w:szCs w:val="24"/>
          <w:highlight w:val="none"/>
          <w:u w:val="single"/>
        </w:rPr>
        <w:t xml:space="preserve"> </w:t>
      </w:r>
      <w:r>
        <w:rPr>
          <w:rFonts w:hint="eastAsia" w:hAnsi="宋体" w:cs="宋体"/>
          <w:bCs/>
          <w:sz w:val="24"/>
          <w:szCs w:val="24"/>
          <w:highlight w:val="none"/>
          <w:u w:val="single"/>
          <w:lang w:val="en-US" w:eastAsia="zh-CN"/>
        </w:rPr>
        <w:t xml:space="preserve">       </w:t>
      </w:r>
      <w:r>
        <w:rPr>
          <w:rFonts w:hint="eastAsia" w:ascii="宋体" w:hAnsi="宋体" w:cs="宋体"/>
          <w:bCs/>
          <w:sz w:val="24"/>
          <w:szCs w:val="24"/>
          <w:highlight w:val="none"/>
          <w:u w:val="single"/>
        </w:rPr>
        <w:t xml:space="preserve">   </w:t>
      </w:r>
      <w:r>
        <w:rPr>
          <w:rFonts w:hint="eastAsia" w:ascii="宋体" w:hAnsi="宋体" w:eastAsia="宋体" w:cs="宋体"/>
          <w:color w:val="auto"/>
          <w:spacing w:val="4"/>
          <w:highlight w:val="none"/>
        </w:rPr>
        <w:t>；</w:t>
      </w:r>
      <w:r>
        <w:rPr>
          <w:rFonts w:hint="eastAsia" w:hAnsi="宋体" w:cs="宋体"/>
          <w:color w:val="auto"/>
          <w:spacing w:val="4"/>
          <w:highlight w:val="none"/>
          <w:lang w:val="en-US" w:eastAsia="zh-CN"/>
        </w:rPr>
        <w:t xml:space="preserve"> </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2.如果中标，我们根据招标文件的规定，履行合同的责任和义务。</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3.我们已详细阅读和审核全部招标文件（含修改部分，如有的话）及有关附件，我们知道必须放弃提出含糊不清或误解的问题的权利。</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4.我们同意在投标有效期内（</w:t>
      </w:r>
      <w:r>
        <w:rPr>
          <w:rFonts w:hint="eastAsia" w:ascii="宋体" w:hAnsi="宋体" w:eastAsia="宋体" w:cs="宋体"/>
          <w:color w:val="auto"/>
          <w:spacing w:val="4"/>
          <w:highlight w:val="none"/>
          <w:u w:val="single"/>
        </w:rPr>
        <w:t>自开标之日起</w:t>
      </w:r>
      <w:r>
        <w:rPr>
          <w:rFonts w:hint="eastAsia" w:hAnsi="宋体" w:cs="宋体"/>
          <w:color w:val="auto"/>
          <w:spacing w:val="4"/>
          <w:highlight w:val="none"/>
          <w:u w:val="single"/>
          <w:lang w:val="en-US" w:eastAsia="zh-CN"/>
        </w:rPr>
        <w:t>90</w:t>
      </w:r>
      <w:r>
        <w:rPr>
          <w:rFonts w:hint="eastAsia" w:ascii="宋体" w:hAnsi="宋体" w:eastAsia="宋体" w:cs="宋体"/>
          <w:color w:val="auto"/>
          <w:spacing w:val="4"/>
          <w:highlight w:val="none"/>
          <w:u w:val="single"/>
        </w:rPr>
        <w:t>天</w:t>
      </w:r>
      <w:r>
        <w:rPr>
          <w:rFonts w:hint="eastAsia" w:ascii="宋体" w:hAnsi="宋体" w:eastAsia="宋体" w:cs="宋体"/>
          <w:color w:val="auto"/>
          <w:spacing w:val="4"/>
          <w:highlight w:val="none"/>
        </w:rPr>
        <w:t>），本投标函对我方具有约束力。</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 xml:space="preserve">5.同意提供贵方可能另外要求的与本投标有关的任何证据和资料。 </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6.若我方中标，我方将在领取中标通知书时提交纸质投标文件正本一套、副本两套、电子文件一份。</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6.我们同意，如果中标，向</w:t>
      </w:r>
      <w:r>
        <w:rPr>
          <w:rFonts w:hint="eastAsia" w:ascii="宋体" w:hAnsi="宋体" w:eastAsia="宋体" w:cs="宋体"/>
          <w:color w:val="auto"/>
          <w:spacing w:val="4"/>
          <w:highlight w:val="none"/>
          <w:lang w:eastAsia="zh-CN"/>
        </w:rPr>
        <w:t>陕西天沃工程项目管理有限公司</w:t>
      </w:r>
      <w:r>
        <w:rPr>
          <w:rFonts w:hint="eastAsia" w:ascii="宋体" w:hAnsi="宋体" w:eastAsia="宋体" w:cs="宋体"/>
          <w:color w:val="auto"/>
          <w:spacing w:val="4"/>
          <w:highlight w:val="none"/>
        </w:rPr>
        <w:t>交纳招标代理服务费。</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7.与本投标有关的一切正式往来通讯为：</w:t>
      </w:r>
    </w:p>
    <w:p>
      <w:pPr>
        <w:spacing w:line="500" w:lineRule="exact"/>
        <w:ind w:firstLine="1240" w:firstLineChars="500"/>
        <w:jc w:val="left"/>
        <w:rPr>
          <w:rFonts w:hint="default"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联系地址：</w:t>
      </w:r>
      <w:r>
        <w:rPr>
          <w:rFonts w:hint="eastAsia" w:hAnsi="宋体" w:cs="宋体"/>
          <w:color w:val="auto"/>
          <w:spacing w:val="4"/>
          <w:highlight w:val="none"/>
          <w:u w:val="single"/>
          <w:lang w:val="en-US" w:eastAsia="zh-CN"/>
        </w:rPr>
        <w:t xml:space="preserve">                           </w:t>
      </w:r>
    </w:p>
    <w:p>
      <w:pPr>
        <w:spacing w:line="500" w:lineRule="exact"/>
        <w:ind w:firstLine="1240" w:firstLineChars="500"/>
        <w:jc w:val="left"/>
        <w:rPr>
          <w:rFonts w:hint="eastAsia" w:hAnsi="宋体" w:cs="宋体"/>
          <w:color w:val="auto"/>
          <w:spacing w:val="4"/>
          <w:highlight w:val="none"/>
          <w:u w:val="single"/>
          <w:lang w:val="en-US" w:eastAsia="zh-CN"/>
        </w:rPr>
      </w:pPr>
      <w:r>
        <w:rPr>
          <w:rFonts w:hint="eastAsia" w:ascii="宋体" w:hAnsi="宋体" w:eastAsia="宋体" w:cs="宋体"/>
          <w:color w:val="auto"/>
          <w:spacing w:val="4"/>
          <w:highlight w:val="none"/>
        </w:rPr>
        <w:t>邮政编码：</w:t>
      </w:r>
      <w:r>
        <w:rPr>
          <w:rFonts w:hint="eastAsia" w:hAnsi="宋体" w:cs="宋体"/>
          <w:color w:val="auto"/>
          <w:spacing w:val="4"/>
          <w:highlight w:val="none"/>
          <w:u w:val="single"/>
          <w:lang w:val="en-US" w:eastAsia="zh-CN"/>
        </w:rPr>
        <w:t xml:space="preserve">                           </w:t>
      </w:r>
    </w:p>
    <w:p>
      <w:pPr>
        <w:spacing w:line="500" w:lineRule="exact"/>
        <w:ind w:firstLine="1240" w:firstLineChars="500"/>
        <w:jc w:val="left"/>
        <w:rPr>
          <w:rFonts w:hint="eastAsia"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电    话：</w:t>
      </w:r>
      <w:r>
        <w:rPr>
          <w:rFonts w:hint="eastAsia" w:hAnsi="宋体" w:cs="宋体"/>
          <w:color w:val="auto"/>
          <w:spacing w:val="4"/>
          <w:highlight w:val="none"/>
          <w:u w:val="single"/>
          <w:lang w:val="en-US" w:eastAsia="zh-CN"/>
        </w:rPr>
        <w:t xml:space="preserve">                           </w:t>
      </w:r>
      <w:r>
        <w:rPr>
          <w:rFonts w:hint="eastAsia" w:hAnsi="宋体" w:cs="宋体"/>
          <w:color w:val="auto"/>
          <w:spacing w:val="4"/>
          <w:highlight w:val="none"/>
          <w:lang w:val="en-US" w:eastAsia="zh-CN"/>
        </w:rPr>
        <w:t xml:space="preserve">       </w:t>
      </w:r>
    </w:p>
    <w:p>
      <w:pPr>
        <w:spacing w:line="500" w:lineRule="exact"/>
        <w:ind w:firstLine="1240" w:firstLineChars="500"/>
        <w:jc w:val="left"/>
        <w:rPr>
          <w:rFonts w:hint="default"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传    真：</w:t>
      </w:r>
      <w:r>
        <w:rPr>
          <w:rFonts w:hint="eastAsia" w:hAnsi="宋体" w:cs="宋体"/>
          <w:color w:val="auto"/>
          <w:spacing w:val="4"/>
          <w:highlight w:val="none"/>
          <w:u w:val="single"/>
          <w:lang w:val="en-US" w:eastAsia="zh-CN"/>
        </w:rPr>
        <w:t xml:space="preserve">                           </w:t>
      </w:r>
    </w:p>
    <w:p>
      <w:pPr>
        <w:spacing w:line="500" w:lineRule="exact"/>
        <w:ind w:firstLine="1240" w:firstLineChars="500"/>
        <w:jc w:val="left"/>
        <w:rPr>
          <w:rFonts w:hint="eastAsia" w:ascii="宋体" w:hAnsi="宋体" w:eastAsia="宋体" w:cs="宋体"/>
          <w:color w:val="auto"/>
          <w:spacing w:val="4"/>
          <w:highlight w:val="none"/>
        </w:rPr>
      </w:pPr>
      <w:r>
        <w:rPr>
          <w:rFonts w:hint="eastAsia" w:hAnsi="宋体" w:cs="宋体"/>
          <w:color w:val="auto"/>
          <w:spacing w:val="4"/>
          <w:highlight w:val="none"/>
          <w:lang w:eastAsia="zh-CN"/>
        </w:rPr>
        <w:t>投标人</w:t>
      </w:r>
      <w:r>
        <w:rPr>
          <w:rFonts w:hint="eastAsia" w:ascii="宋体" w:hAnsi="宋体" w:eastAsia="宋体" w:cs="宋体"/>
          <w:color w:val="auto"/>
          <w:spacing w:val="4"/>
          <w:highlight w:val="none"/>
        </w:rPr>
        <w:t>名称：</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（盖单位公章）</w:t>
      </w:r>
    </w:p>
    <w:p>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日    期：</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年</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月</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日</w:t>
      </w:r>
    </w:p>
    <w:p>
      <w:pPr>
        <w:pStyle w:val="4"/>
        <w:ind w:left="0"/>
        <w:jc w:val="center"/>
        <w:rPr>
          <w:rFonts w:hint="eastAsia" w:ascii="宋体" w:hAnsi="宋体" w:eastAsia="宋体" w:cs="宋体"/>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32"/>
          <w:highlight w:val="none"/>
        </w:rPr>
        <w:t>二、报价表</w:t>
      </w:r>
    </w:p>
    <w:p>
      <w:pPr>
        <w:spacing w:line="360" w:lineRule="auto"/>
        <w:jc w:val="center"/>
        <w:rPr>
          <w:rFonts w:hint="eastAsia" w:ascii="宋体" w:hAnsi="宋体" w:eastAsia="宋体" w:cs="宋体"/>
          <w:b/>
          <w:color w:val="auto"/>
          <w:sz w:val="32"/>
          <w:szCs w:val="30"/>
          <w:highlight w:val="none"/>
        </w:rPr>
      </w:pPr>
      <w:r>
        <w:rPr>
          <w:rFonts w:hint="eastAsia" w:ascii="宋体" w:hAnsi="宋体" w:eastAsia="宋体" w:cs="宋体"/>
          <w:b/>
          <w:color w:val="auto"/>
          <w:sz w:val="28"/>
          <w:szCs w:val="24"/>
          <w:highlight w:val="none"/>
        </w:rPr>
        <w:t>2.1报价一览表</w:t>
      </w:r>
    </w:p>
    <w:p>
      <w:pPr>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rPr>
          <w:rFonts w:hint="eastAsia" w:ascii="宋体" w:hAnsi="宋体" w:eastAsia="宋体" w:cs="宋体"/>
          <w:color w:val="auto"/>
          <w:szCs w:val="22"/>
          <w:highlight w:val="none"/>
        </w:rPr>
      </w:pPr>
      <w:r>
        <w:rPr>
          <w:rFonts w:hint="eastAsia" w:ascii="宋体" w:hAnsi="宋体" w:eastAsia="宋体" w:cs="宋体"/>
          <w:color w:val="auto"/>
          <w:highlight w:val="none"/>
        </w:rPr>
        <w:t>项目编</w:t>
      </w:r>
      <w:r>
        <w:rPr>
          <w:rFonts w:hint="eastAsia" w:ascii="宋体" w:hAnsi="宋体" w:eastAsia="宋体" w:cs="宋体"/>
          <w:color w:val="auto"/>
          <w:szCs w:val="22"/>
          <w:highlight w:val="none"/>
        </w:rPr>
        <w:t>号：</w:t>
      </w:r>
    </w:p>
    <w:tbl>
      <w:tblPr>
        <w:tblStyle w:val="25"/>
        <w:tblpPr w:leftFromText="180" w:rightFromText="180" w:vertAnchor="text" w:horzAnchor="page" w:tblpX="1618" w:tblpY="335"/>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3122"/>
        <w:gridCol w:w="198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515" w:type="dxa"/>
            <w:vAlign w:val="center"/>
          </w:tcPr>
          <w:p>
            <w:pPr>
              <w:jc w:val="center"/>
              <w:rPr>
                <w:rFonts w:hint="eastAsia" w:ascii="宋体" w:hAnsi="宋体" w:eastAsia="宋体" w:cs="宋体"/>
                <w:szCs w:val="24"/>
              </w:rPr>
            </w:pPr>
            <w:r>
              <w:rPr>
                <w:rFonts w:hint="eastAsia" w:ascii="宋体" w:hAnsi="宋体" w:eastAsia="宋体" w:cs="宋体"/>
                <w:szCs w:val="24"/>
              </w:rPr>
              <w:t>投标报价</w:t>
            </w:r>
          </w:p>
          <w:p>
            <w:pPr>
              <w:jc w:val="center"/>
              <w:rPr>
                <w:rFonts w:hint="eastAsia" w:ascii="宋体" w:hAnsi="宋体" w:eastAsia="宋体" w:cs="宋体"/>
                <w:szCs w:val="24"/>
              </w:rPr>
            </w:pPr>
            <w:r>
              <w:rPr>
                <w:rFonts w:hint="eastAsia" w:ascii="宋体" w:hAnsi="宋体" w:eastAsia="宋体" w:cs="宋体"/>
                <w:szCs w:val="24"/>
              </w:rPr>
              <w:t>（元）</w:t>
            </w:r>
          </w:p>
        </w:tc>
        <w:tc>
          <w:tcPr>
            <w:tcW w:w="3122" w:type="dxa"/>
            <w:vAlign w:val="center"/>
          </w:tcPr>
          <w:p>
            <w:pPr>
              <w:jc w:val="center"/>
              <w:rPr>
                <w:rFonts w:hint="eastAsia" w:ascii="宋体" w:hAnsi="宋体" w:eastAsia="宋体" w:cs="宋体"/>
                <w:color w:val="auto"/>
                <w:szCs w:val="24"/>
              </w:rPr>
            </w:pPr>
            <w:r>
              <w:rPr>
                <w:rFonts w:hint="eastAsia" w:ascii="宋体" w:hAnsi="宋体" w:eastAsia="宋体" w:cs="宋体"/>
                <w:color w:val="auto"/>
                <w:szCs w:val="24"/>
              </w:rPr>
              <w:t>交货期</w:t>
            </w:r>
          </w:p>
          <w:p>
            <w:pPr>
              <w:jc w:val="center"/>
              <w:rPr>
                <w:rFonts w:hint="eastAsia" w:ascii="宋体" w:hAnsi="宋体" w:eastAsia="宋体" w:cs="宋体"/>
                <w:color w:val="FF0000"/>
                <w:szCs w:val="24"/>
              </w:rPr>
            </w:pPr>
            <w:r>
              <w:rPr>
                <w:rFonts w:hint="eastAsia" w:ascii="宋体" w:hAnsi="宋体" w:eastAsia="宋体" w:cs="宋体"/>
                <w:color w:val="auto"/>
                <w:szCs w:val="24"/>
              </w:rPr>
              <w:t>（合同签订之日起日历日）</w:t>
            </w:r>
          </w:p>
        </w:tc>
        <w:tc>
          <w:tcPr>
            <w:tcW w:w="1984" w:type="dxa"/>
            <w:vAlign w:val="center"/>
          </w:tcPr>
          <w:p>
            <w:pPr>
              <w:jc w:val="center"/>
              <w:rPr>
                <w:rFonts w:hint="eastAsia" w:ascii="宋体" w:hAnsi="宋体" w:eastAsia="宋体" w:cs="宋体"/>
                <w:szCs w:val="24"/>
              </w:rPr>
            </w:pPr>
            <w:r>
              <w:rPr>
                <w:rFonts w:hint="eastAsia" w:ascii="宋体" w:hAnsi="宋体" w:eastAsia="宋体" w:cs="宋体"/>
                <w:szCs w:val="24"/>
              </w:rPr>
              <w:t>质保期</w:t>
            </w:r>
          </w:p>
          <w:p>
            <w:pPr>
              <w:jc w:val="center"/>
              <w:rPr>
                <w:rFonts w:hint="eastAsia" w:ascii="宋体" w:hAnsi="宋体" w:eastAsia="宋体" w:cs="宋体"/>
                <w:szCs w:val="24"/>
              </w:rPr>
            </w:pPr>
            <w:r>
              <w:rPr>
                <w:rFonts w:hint="eastAsia" w:ascii="宋体" w:hAnsi="宋体" w:eastAsia="宋体" w:cs="宋体"/>
                <w:szCs w:val="24"/>
              </w:rPr>
              <w:t>（年）</w:t>
            </w:r>
          </w:p>
        </w:tc>
        <w:tc>
          <w:tcPr>
            <w:tcW w:w="1279" w:type="dxa"/>
            <w:vAlign w:val="center"/>
          </w:tcPr>
          <w:p>
            <w:pPr>
              <w:jc w:val="center"/>
              <w:rPr>
                <w:rFonts w:hint="eastAsia" w:ascii="宋体" w:hAnsi="宋体" w:eastAsia="宋体" w:cs="宋体"/>
                <w:szCs w:val="24"/>
              </w:rPr>
            </w:pPr>
            <w:r>
              <w:rPr>
                <w:rFonts w:hint="eastAsia" w:ascii="宋体" w:hAnsi="宋体" w:eastAsia="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515" w:type="dxa"/>
            <w:vAlign w:val="center"/>
          </w:tcPr>
          <w:p>
            <w:pPr>
              <w:jc w:val="center"/>
              <w:rPr>
                <w:rFonts w:hint="eastAsia" w:ascii="宋体" w:hAnsi="宋体" w:eastAsia="宋体" w:cs="宋体"/>
                <w:szCs w:val="24"/>
              </w:rPr>
            </w:pPr>
          </w:p>
        </w:tc>
        <w:tc>
          <w:tcPr>
            <w:tcW w:w="3122" w:type="dxa"/>
            <w:vAlign w:val="center"/>
          </w:tcPr>
          <w:p>
            <w:pPr>
              <w:jc w:val="center"/>
              <w:rPr>
                <w:rFonts w:hint="eastAsia" w:ascii="宋体" w:hAnsi="宋体" w:eastAsia="宋体" w:cs="宋体"/>
                <w:color w:val="FF0000"/>
                <w:szCs w:val="24"/>
              </w:rPr>
            </w:pPr>
          </w:p>
        </w:tc>
        <w:tc>
          <w:tcPr>
            <w:tcW w:w="1984" w:type="dxa"/>
            <w:vAlign w:val="center"/>
          </w:tcPr>
          <w:p>
            <w:pPr>
              <w:jc w:val="center"/>
              <w:rPr>
                <w:rFonts w:hint="eastAsia" w:ascii="宋体" w:hAnsi="宋体" w:eastAsia="宋体" w:cs="宋体"/>
                <w:szCs w:val="24"/>
              </w:rPr>
            </w:pPr>
          </w:p>
        </w:tc>
        <w:tc>
          <w:tcPr>
            <w:tcW w:w="1279" w:type="dxa"/>
            <w:vAlign w:val="center"/>
          </w:tcPr>
          <w:p>
            <w:pPr>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pPr>
              <w:rPr>
                <w:rFonts w:hint="eastAsia" w:ascii="宋体" w:hAnsi="宋体" w:eastAsia="宋体" w:cs="宋体"/>
                <w:szCs w:val="24"/>
              </w:rPr>
            </w:pPr>
            <w:r>
              <w:rPr>
                <w:rFonts w:hint="eastAsia" w:ascii="宋体" w:hAnsi="宋体" w:eastAsia="宋体" w:cs="宋体"/>
                <w:szCs w:val="24"/>
              </w:rPr>
              <w:t>投标报价（大写）：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pPr>
              <w:jc w:val="left"/>
              <w:rPr>
                <w:rFonts w:hint="eastAsia" w:ascii="宋体" w:hAnsi="宋体" w:eastAsia="宋体" w:cs="宋体"/>
                <w:szCs w:val="24"/>
              </w:rPr>
            </w:pPr>
            <w:r>
              <w:rPr>
                <w:rFonts w:hint="eastAsia" w:ascii="宋体" w:hAnsi="宋体" w:eastAsia="宋体" w:cs="宋体"/>
                <w:szCs w:val="24"/>
              </w:rPr>
              <w:t>备注：表内报价内容以元为单位，保留小数点后（</w:t>
            </w:r>
            <w:r>
              <w:rPr>
                <w:rFonts w:hint="eastAsia" w:ascii="宋体" w:hAnsi="宋体" w:eastAsia="宋体" w:cs="宋体"/>
                <w:b/>
                <w:szCs w:val="24"/>
              </w:rPr>
              <w:t>两位</w:t>
            </w:r>
            <w:r>
              <w:rPr>
                <w:rFonts w:hint="eastAsia" w:ascii="宋体" w:hAnsi="宋体" w:eastAsia="宋体" w:cs="宋体"/>
                <w:szCs w:val="24"/>
              </w:rPr>
              <w:t>）。</w:t>
            </w:r>
          </w:p>
        </w:tc>
      </w:tr>
    </w:tbl>
    <w:p>
      <w:pPr>
        <w:rPr>
          <w:rFonts w:hint="eastAsia" w:ascii="宋体" w:hAnsi="宋体" w:eastAsia="宋体" w:cs="宋体"/>
          <w:color w:val="auto"/>
          <w:szCs w:val="24"/>
          <w:highlight w:val="none"/>
        </w:rPr>
      </w:pPr>
    </w:p>
    <w:p>
      <w:pPr>
        <w:spacing w:line="600" w:lineRule="auto"/>
        <w:ind w:right="617" w:rightChars="257"/>
        <w:jc w:val="left"/>
        <w:rPr>
          <w:rFonts w:hint="eastAsia" w:ascii="宋体" w:hAnsi="宋体" w:eastAsia="宋体" w:cs="宋体"/>
          <w:color w:val="auto"/>
          <w:szCs w:val="24"/>
          <w:highlight w:val="none"/>
        </w:rPr>
      </w:pP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名称：</w:t>
      </w:r>
      <w:r>
        <w:rPr>
          <w:rFonts w:hint="eastAsia" w:ascii="宋体" w:hAnsi="宋体" w:eastAsia="宋体" w:cs="宋体"/>
          <w:color w:val="auto"/>
          <w:szCs w:val="24"/>
          <w:highlight w:val="none"/>
          <w:u w:val="single"/>
        </w:rPr>
        <w:t>（加盖单位公章）</w:t>
      </w:r>
    </w:p>
    <w:p>
      <w:pPr>
        <w:spacing w:line="600" w:lineRule="auto"/>
        <w:ind w:right="617" w:rightChars="25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法定代表人/被授权人签字</w:t>
      </w:r>
      <w:r>
        <w:rPr>
          <w:rFonts w:hint="eastAsia" w:ascii="宋体" w:hAnsi="宋体" w:eastAsia="宋体" w:cs="宋体"/>
          <w:color w:val="auto"/>
          <w:spacing w:val="4"/>
          <w:highlight w:val="none"/>
        </w:rPr>
        <w:t>或盖章</w:t>
      </w:r>
      <w:r>
        <w:rPr>
          <w:rFonts w:hint="eastAsia" w:ascii="宋体" w:hAnsi="宋体" w:eastAsia="宋体" w:cs="宋体"/>
          <w:color w:val="auto"/>
          <w:szCs w:val="24"/>
          <w:highlight w:val="none"/>
        </w:rPr>
        <w:t>：</w:t>
      </w:r>
    </w:p>
    <w:p>
      <w:pPr>
        <w:spacing w:line="600" w:lineRule="auto"/>
        <w:ind w:right="617" w:right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p>
    <w:p>
      <w:pPr>
        <w:spacing w:before="168" w:beforeLines="50" w:after="168" w:afterLines="50" w:line="400" w:lineRule="atLeast"/>
        <w:ind w:firstLine="480" w:firstLineChars="200"/>
        <w:rPr>
          <w:rFonts w:hint="eastAsia" w:ascii="宋体" w:hAnsi="宋体" w:eastAsia="宋体" w:cs="宋体"/>
          <w:color w:val="auto"/>
          <w:sz w:val="22"/>
          <w:szCs w:val="18"/>
          <w:highlight w:val="none"/>
        </w:rPr>
      </w:pPr>
      <w:r>
        <w:rPr>
          <w:rFonts w:hint="eastAsia" w:ascii="宋体" w:hAnsi="宋体" w:eastAsia="宋体" w:cs="宋体"/>
          <w:color w:val="auto"/>
          <w:szCs w:val="24"/>
          <w:highlight w:val="none"/>
        </w:rPr>
        <w:t>注：电子化开标一览表填写时，“投标总价（合计）”值须按本栏所填写值填写，若不按照本规则填写，可能导致电子化系统无法识别报价，后果自负。</w:t>
      </w:r>
    </w:p>
    <w:p>
      <w:pPr>
        <w:jc w:val="center"/>
        <w:rPr>
          <w:rFonts w:hint="eastAsia" w:ascii="宋体" w:hAnsi="宋体" w:eastAsia="宋体" w:cs="宋体"/>
          <w:color w:val="auto"/>
          <w:highlight w:val="none"/>
          <w:u w:val="single"/>
        </w:rPr>
      </w:pPr>
    </w:p>
    <w:p>
      <w:pPr>
        <w:jc w:val="center"/>
        <w:outlineLvl w:val="1"/>
        <w:rPr>
          <w:rFonts w:hint="eastAsia" w:ascii="宋体" w:hAnsi="宋体" w:eastAsia="宋体" w:cs="宋体"/>
          <w:b/>
          <w:bCs/>
          <w:color w:val="auto"/>
          <w:sz w:val="32"/>
          <w:szCs w:val="32"/>
          <w:highlight w:val="none"/>
        </w:rPr>
      </w:pPr>
    </w:p>
    <w:p>
      <w:pPr>
        <w:pStyle w:val="16"/>
        <w:rPr>
          <w:rFonts w:hint="eastAsia" w:ascii="宋体" w:hAnsi="宋体" w:eastAsia="宋体" w:cs="宋体"/>
          <w:b/>
          <w:bCs/>
          <w:color w:val="auto"/>
          <w:sz w:val="32"/>
          <w:szCs w:val="32"/>
          <w:highlight w:val="none"/>
        </w:rPr>
      </w:pPr>
    </w:p>
    <w:p>
      <w:pPr>
        <w:pStyle w:val="16"/>
        <w:rPr>
          <w:rFonts w:hint="eastAsia" w:ascii="宋体" w:hAnsi="宋体" w:eastAsia="宋体" w:cs="宋体"/>
          <w:b/>
          <w:bCs/>
          <w:color w:val="auto"/>
          <w:sz w:val="32"/>
          <w:szCs w:val="32"/>
          <w:highlight w:val="none"/>
        </w:rPr>
      </w:pPr>
    </w:p>
    <w:p>
      <w:pPr>
        <w:pStyle w:val="16"/>
        <w:rPr>
          <w:rFonts w:hint="eastAsia" w:ascii="宋体" w:hAnsi="宋体" w:eastAsia="宋体" w:cs="宋体"/>
          <w:color w:val="auto"/>
          <w:highlight w:val="none"/>
        </w:rPr>
      </w:pPr>
    </w:p>
    <w:p>
      <w:pPr>
        <w:jc w:val="center"/>
        <w:rPr>
          <w:rFonts w:hint="eastAsia" w:ascii="宋体" w:hAnsi="宋体" w:eastAsia="宋体" w:cs="宋体"/>
        </w:rPr>
      </w:pPr>
      <w:r>
        <w:rPr>
          <w:rFonts w:hint="eastAsia" w:ascii="宋体" w:hAnsi="宋体" w:eastAsia="宋体" w:cs="宋体"/>
          <w:b/>
          <w:sz w:val="30"/>
          <w:szCs w:val="30"/>
        </w:rPr>
        <w:t>2.2投标分项报价表</w:t>
      </w:r>
      <w:r>
        <w:rPr>
          <w:rFonts w:hint="eastAsia" w:ascii="宋体" w:hAnsi="宋体" w:eastAsia="宋体" w:cs="宋体"/>
        </w:rPr>
        <w:t xml:space="preserve">      </w:t>
      </w:r>
    </w:p>
    <w:p>
      <w:pPr>
        <w:jc w:val="left"/>
        <w:rPr>
          <w:rFonts w:hint="eastAsia" w:ascii="宋体" w:hAnsi="宋体" w:eastAsia="宋体" w:cs="宋体"/>
          <w:bCs/>
          <w:szCs w:val="24"/>
        </w:rPr>
      </w:pPr>
      <w:r>
        <w:rPr>
          <w:rFonts w:hint="eastAsia" w:ascii="宋体" w:hAnsi="宋体" w:eastAsia="宋体" w:cs="宋体"/>
          <w:bCs/>
          <w:szCs w:val="24"/>
        </w:rPr>
        <w:t xml:space="preserve">    项目名称：</w:t>
      </w:r>
    </w:p>
    <w:p>
      <w:pPr>
        <w:ind w:firstLine="480"/>
        <w:jc w:val="left"/>
        <w:rPr>
          <w:rFonts w:hint="eastAsia" w:ascii="宋体" w:hAnsi="宋体" w:eastAsia="宋体" w:cs="宋体"/>
          <w:bCs/>
          <w:szCs w:val="24"/>
        </w:rPr>
      </w:pPr>
      <w:r>
        <w:rPr>
          <w:rFonts w:hint="eastAsia" w:ascii="宋体" w:hAnsi="宋体" w:eastAsia="宋体" w:cs="宋体"/>
          <w:bCs/>
          <w:szCs w:val="24"/>
        </w:rPr>
        <w:t>项目编号：</w:t>
      </w:r>
    </w:p>
    <w:tbl>
      <w:tblPr>
        <w:tblStyle w:val="25"/>
        <w:tblW w:w="8899" w:type="dxa"/>
        <w:jc w:val="center"/>
        <w:tblLayout w:type="fixed"/>
        <w:tblCellMar>
          <w:top w:w="0" w:type="dxa"/>
          <w:left w:w="28" w:type="dxa"/>
          <w:bottom w:w="0" w:type="dxa"/>
          <w:right w:w="28" w:type="dxa"/>
        </w:tblCellMar>
      </w:tblPr>
      <w:tblGrid>
        <w:gridCol w:w="875"/>
        <w:gridCol w:w="536"/>
        <w:gridCol w:w="797"/>
        <w:gridCol w:w="723"/>
        <w:gridCol w:w="1094"/>
        <w:gridCol w:w="1561"/>
        <w:gridCol w:w="960"/>
        <w:gridCol w:w="1175"/>
        <w:gridCol w:w="1178"/>
      </w:tblGrid>
      <w:tr>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pPr>
              <w:spacing w:after="120"/>
              <w:jc w:val="center"/>
              <w:rPr>
                <w:rFonts w:hint="eastAsia" w:ascii="宋体" w:hAnsi="宋体" w:eastAsia="宋体" w:cs="宋体"/>
                <w:szCs w:val="24"/>
              </w:rPr>
            </w:pPr>
            <w:r>
              <w:rPr>
                <w:rFonts w:hint="eastAsia" w:ascii="宋体" w:hAnsi="宋体" w:eastAsia="宋体" w:cs="宋体"/>
              </w:rPr>
              <w:t xml:space="preserve">                           </w:t>
            </w:r>
            <w:r>
              <w:rPr>
                <w:rFonts w:hint="eastAsia" w:ascii="宋体" w:hAnsi="宋体" w:eastAsia="宋体" w:cs="宋体"/>
                <w:szCs w:val="24"/>
              </w:rPr>
              <w:t>产品</w:t>
            </w:r>
          </w:p>
          <w:p>
            <w:pPr>
              <w:spacing w:after="120"/>
              <w:jc w:val="center"/>
              <w:rPr>
                <w:rFonts w:hint="eastAsia" w:ascii="宋体" w:hAnsi="宋体" w:eastAsia="宋体" w:cs="宋体"/>
              </w:rPr>
            </w:pPr>
            <w:r>
              <w:rPr>
                <w:rFonts w:hint="eastAsia" w:ascii="宋体" w:hAnsi="宋体" w:eastAsia="宋体" w:cs="宋体"/>
                <w:szCs w:val="24"/>
              </w:rPr>
              <w:t>费用</w:t>
            </w:r>
          </w:p>
        </w:tc>
        <w:tc>
          <w:tcPr>
            <w:tcW w:w="536" w:type="dxa"/>
            <w:tcBorders>
              <w:top w:val="single" w:color="auto" w:sz="6" w:space="0"/>
              <w:left w:val="single" w:color="auto" w:sz="4" w:space="0"/>
              <w:bottom w:val="single" w:color="auto" w:sz="6" w:space="0"/>
            </w:tcBorders>
            <w:vAlign w:val="center"/>
          </w:tcPr>
          <w:p>
            <w:pPr>
              <w:spacing w:after="120"/>
              <w:jc w:val="center"/>
              <w:rPr>
                <w:rFonts w:hint="eastAsia" w:ascii="宋体" w:hAnsi="宋体" w:eastAsia="宋体" w:cs="宋体"/>
              </w:rPr>
            </w:pPr>
            <w:r>
              <w:rPr>
                <w:rFonts w:hint="eastAsia" w:ascii="宋体" w:hAnsi="宋体" w:eastAsia="宋体" w:cs="宋体"/>
              </w:rPr>
              <w:t>序号</w:t>
            </w:r>
          </w:p>
        </w:tc>
        <w:tc>
          <w:tcPr>
            <w:tcW w:w="79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rPr>
            </w:pPr>
            <w:r>
              <w:rPr>
                <w:rFonts w:hint="eastAsia" w:ascii="宋体" w:hAnsi="宋体" w:eastAsia="宋体" w:cs="宋体"/>
              </w:rPr>
              <w:t>名称</w:t>
            </w:r>
          </w:p>
        </w:tc>
        <w:tc>
          <w:tcPr>
            <w:tcW w:w="723" w:type="dxa"/>
            <w:tcBorders>
              <w:top w:val="single" w:color="auto" w:sz="6" w:space="0"/>
              <w:left w:val="single" w:color="auto" w:sz="6" w:space="0"/>
              <w:bottom w:val="single" w:color="auto" w:sz="6" w:space="0"/>
              <w:right w:val="single" w:color="auto" w:sz="4" w:space="0"/>
            </w:tcBorders>
            <w:vAlign w:val="center"/>
          </w:tcPr>
          <w:p>
            <w:pPr>
              <w:spacing w:after="120"/>
              <w:jc w:val="center"/>
              <w:rPr>
                <w:rFonts w:hint="eastAsia" w:ascii="宋体" w:hAnsi="宋体" w:eastAsia="宋体" w:cs="宋体"/>
              </w:rPr>
            </w:pPr>
            <w:r>
              <w:rPr>
                <w:rFonts w:hint="eastAsia" w:ascii="宋体" w:hAnsi="宋体" w:eastAsia="宋体" w:cs="宋体"/>
              </w:rPr>
              <w:t>品牌</w:t>
            </w:r>
          </w:p>
        </w:tc>
        <w:tc>
          <w:tcPr>
            <w:tcW w:w="1094" w:type="dxa"/>
            <w:tcBorders>
              <w:top w:val="single" w:color="auto" w:sz="6" w:space="0"/>
              <w:left w:val="single" w:color="auto" w:sz="4" w:space="0"/>
              <w:bottom w:val="single" w:color="auto" w:sz="6" w:space="0"/>
              <w:right w:val="single" w:color="auto" w:sz="6" w:space="0"/>
            </w:tcBorders>
            <w:vAlign w:val="center"/>
          </w:tcPr>
          <w:p>
            <w:pPr>
              <w:spacing w:after="120"/>
              <w:jc w:val="center"/>
              <w:rPr>
                <w:rFonts w:hint="eastAsia" w:ascii="宋体" w:hAnsi="宋体" w:eastAsia="宋体" w:cs="宋体"/>
              </w:rPr>
            </w:pPr>
            <w:r>
              <w:rPr>
                <w:rFonts w:hint="eastAsia" w:ascii="宋体" w:hAnsi="宋体" w:eastAsia="宋体" w:cs="宋体"/>
              </w:rPr>
              <w:t>型号规格</w:t>
            </w:r>
          </w:p>
        </w:tc>
        <w:tc>
          <w:tcPr>
            <w:tcW w:w="1561" w:type="dxa"/>
            <w:tcBorders>
              <w:top w:val="single" w:color="auto" w:sz="6" w:space="0"/>
              <w:left w:val="single" w:color="auto" w:sz="6" w:space="0"/>
              <w:bottom w:val="single" w:color="auto" w:sz="6" w:space="0"/>
              <w:right w:val="single" w:color="auto" w:sz="6" w:space="0"/>
            </w:tcBorders>
            <w:vAlign w:val="center"/>
          </w:tcPr>
          <w:p>
            <w:pPr>
              <w:spacing w:before="166" w:beforeLines="50" w:after="120"/>
              <w:jc w:val="center"/>
              <w:rPr>
                <w:rFonts w:hint="eastAsia" w:ascii="宋体" w:hAnsi="宋体" w:eastAsia="宋体" w:cs="宋体"/>
              </w:rPr>
            </w:pPr>
            <w:r>
              <w:rPr>
                <w:rFonts w:hint="eastAsia" w:ascii="宋体" w:hAnsi="宋体" w:eastAsia="宋体" w:cs="宋体"/>
              </w:rPr>
              <w:t>原产地及制造厂名</w:t>
            </w:r>
          </w:p>
        </w:tc>
        <w:tc>
          <w:tcPr>
            <w:tcW w:w="960"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rPr>
            </w:pPr>
            <w:r>
              <w:rPr>
                <w:rFonts w:hint="eastAsia" w:ascii="宋体" w:hAnsi="宋体" w:eastAsia="宋体" w:cs="宋体"/>
              </w:rPr>
              <w:t>数量</w:t>
            </w:r>
          </w:p>
        </w:tc>
        <w:tc>
          <w:tcPr>
            <w:tcW w:w="117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rPr>
            </w:pPr>
            <w:r>
              <w:rPr>
                <w:rFonts w:hint="eastAsia" w:ascii="宋体" w:hAnsi="宋体" w:eastAsia="宋体" w:cs="宋体"/>
              </w:rPr>
              <w:t>单价</w:t>
            </w:r>
          </w:p>
          <w:p>
            <w:pPr>
              <w:spacing w:after="120"/>
              <w:jc w:val="center"/>
              <w:rPr>
                <w:rFonts w:hint="eastAsia" w:ascii="宋体" w:hAnsi="宋体" w:eastAsia="宋体" w:cs="宋体"/>
                <w:bCs/>
              </w:rPr>
            </w:pPr>
            <w:r>
              <w:rPr>
                <w:rFonts w:hint="eastAsia" w:ascii="宋体" w:hAnsi="宋体" w:eastAsia="宋体" w:cs="宋体"/>
              </w:rPr>
              <w:t>（元）</w:t>
            </w:r>
          </w:p>
        </w:tc>
        <w:tc>
          <w:tcPr>
            <w:tcW w:w="117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bCs/>
              </w:rPr>
            </w:pPr>
            <w:r>
              <w:rPr>
                <w:rFonts w:hint="eastAsia" w:ascii="宋体" w:hAnsi="宋体" w:eastAsia="宋体" w:cs="宋体"/>
                <w:bCs/>
              </w:rPr>
              <w:t>总价</w:t>
            </w:r>
          </w:p>
          <w:p>
            <w:pPr>
              <w:spacing w:after="120"/>
              <w:jc w:val="center"/>
              <w:rPr>
                <w:rFonts w:hint="eastAsia" w:ascii="宋体" w:hAnsi="宋体" w:eastAsia="宋体" w:cs="宋体"/>
                <w:bCs/>
              </w:rPr>
            </w:pPr>
            <w:r>
              <w:rPr>
                <w:rFonts w:hint="eastAsia" w:ascii="宋体" w:hAnsi="宋体" w:eastAsia="宋体" w:cs="宋体"/>
                <w:bCs/>
              </w:rPr>
              <w:t>（元）</w:t>
            </w: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pPr>
              <w:spacing w:before="333" w:beforeLines="100"/>
              <w:jc w:val="center"/>
              <w:rPr>
                <w:rFonts w:hint="eastAsia" w:ascii="宋体" w:hAnsi="宋体" w:eastAsia="宋体" w:cs="宋体"/>
              </w:rPr>
            </w:pPr>
          </w:p>
        </w:tc>
        <w:tc>
          <w:tcPr>
            <w:tcW w:w="536" w:type="dxa"/>
            <w:tcBorders>
              <w:top w:val="single" w:color="auto" w:sz="6" w:space="0"/>
              <w:left w:val="single" w:color="auto" w:sz="4" w:space="0"/>
              <w:bottom w:val="single" w:color="auto" w:sz="4" w:space="0"/>
            </w:tcBorders>
            <w:vAlign w:val="center"/>
          </w:tcPr>
          <w:p>
            <w:pPr>
              <w:spacing w:before="333" w:beforeLines="100"/>
              <w:jc w:val="center"/>
              <w:rPr>
                <w:rFonts w:hint="eastAsia" w:ascii="宋体" w:hAnsi="宋体" w:eastAsia="宋体" w:cs="宋体"/>
              </w:rPr>
            </w:pPr>
            <w:r>
              <w:rPr>
                <w:rFonts w:hint="eastAsia" w:ascii="宋体" w:hAnsi="宋体" w:eastAsia="宋体" w:cs="宋体"/>
              </w:rPr>
              <w:t>1</w:t>
            </w:r>
          </w:p>
        </w:tc>
        <w:tc>
          <w:tcPr>
            <w:tcW w:w="797"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rPr>
            </w:pPr>
          </w:p>
        </w:tc>
        <w:tc>
          <w:tcPr>
            <w:tcW w:w="723" w:type="dxa"/>
            <w:tcBorders>
              <w:top w:val="single" w:color="auto" w:sz="6" w:space="0"/>
              <w:left w:val="single" w:color="auto" w:sz="6" w:space="0"/>
              <w:bottom w:val="single" w:color="auto" w:sz="4" w:space="0"/>
              <w:right w:val="single" w:color="auto" w:sz="4" w:space="0"/>
            </w:tcBorders>
            <w:vAlign w:val="center"/>
          </w:tcPr>
          <w:p>
            <w:pPr>
              <w:spacing w:before="166" w:beforeLines="50"/>
              <w:jc w:val="center"/>
              <w:rPr>
                <w:rFonts w:hint="eastAsia" w:ascii="宋体" w:hAnsi="宋体" w:eastAsia="宋体" w:cs="宋体"/>
              </w:rPr>
            </w:pPr>
          </w:p>
        </w:tc>
        <w:tc>
          <w:tcPr>
            <w:tcW w:w="1094" w:type="dxa"/>
            <w:tcBorders>
              <w:top w:val="single" w:color="auto" w:sz="6" w:space="0"/>
              <w:left w:val="single" w:color="auto" w:sz="4" w:space="0"/>
              <w:bottom w:val="single" w:color="auto" w:sz="4" w:space="0"/>
              <w:right w:val="single" w:color="auto" w:sz="6" w:space="0"/>
            </w:tcBorders>
            <w:vAlign w:val="center"/>
          </w:tcPr>
          <w:p>
            <w:pPr>
              <w:spacing w:before="166" w:beforeLines="50"/>
              <w:jc w:val="center"/>
              <w:rPr>
                <w:rFonts w:hint="eastAsia" w:ascii="宋体" w:hAnsi="宋体" w:eastAsia="宋体" w:cs="宋体"/>
              </w:rPr>
            </w:pPr>
          </w:p>
        </w:tc>
        <w:tc>
          <w:tcPr>
            <w:tcW w:w="1561"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rPr>
            </w:pPr>
          </w:p>
        </w:tc>
        <w:tc>
          <w:tcPr>
            <w:tcW w:w="960"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rPr>
            </w:pPr>
          </w:p>
        </w:tc>
        <w:tc>
          <w:tcPr>
            <w:tcW w:w="1175"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rPr>
            </w:pPr>
          </w:p>
        </w:tc>
        <w:tc>
          <w:tcPr>
            <w:tcW w:w="1178"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pPr>
              <w:spacing w:before="333" w:beforeLines="100"/>
              <w:jc w:val="center"/>
              <w:rPr>
                <w:rFonts w:hint="eastAsia" w:ascii="宋体" w:hAnsi="宋体" w:eastAsia="宋体" w:cs="宋体"/>
              </w:rPr>
            </w:pPr>
          </w:p>
        </w:tc>
        <w:tc>
          <w:tcPr>
            <w:tcW w:w="536" w:type="dxa"/>
            <w:tcBorders>
              <w:top w:val="single" w:color="auto" w:sz="4" w:space="0"/>
              <w:left w:val="single" w:color="auto" w:sz="4" w:space="0"/>
              <w:bottom w:val="single" w:color="auto" w:sz="6" w:space="0"/>
            </w:tcBorders>
            <w:vAlign w:val="center"/>
          </w:tcPr>
          <w:p>
            <w:pPr>
              <w:spacing w:before="333" w:beforeLines="100"/>
              <w:jc w:val="center"/>
              <w:rPr>
                <w:rFonts w:hint="eastAsia" w:ascii="宋体" w:hAnsi="宋体" w:eastAsia="宋体" w:cs="宋体"/>
              </w:rPr>
            </w:pPr>
            <w:r>
              <w:rPr>
                <w:rFonts w:hint="eastAsia" w:ascii="宋体" w:hAnsi="宋体" w:eastAsia="宋体" w:cs="宋体"/>
              </w:rPr>
              <w:t>2</w:t>
            </w:r>
          </w:p>
        </w:tc>
        <w:tc>
          <w:tcPr>
            <w:tcW w:w="797" w:type="dxa"/>
            <w:tcBorders>
              <w:top w:val="single" w:color="auto" w:sz="4" w:space="0"/>
              <w:left w:val="single" w:color="auto" w:sz="6" w:space="0"/>
              <w:bottom w:val="single" w:color="auto" w:sz="6" w:space="0"/>
              <w:right w:val="single" w:color="auto" w:sz="6" w:space="0"/>
            </w:tcBorders>
            <w:vAlign w:val="center"/>
          </w:tcPr>
          <w:p>
            <w:pPr>
              <w:spacing w:before="333" w:beforeLines="100"/>
              <w:jc w:val="center"/>
              <w:rPr>
                <w:rFonts w:hint="eastAsia" w:ascii="宋体" w:hAnsi="宋体" w:eastAsia="宋体" w:cs="宋体"/>
              </w:rPr>
            </w:pPr>
          </w:p>
        </w:tc>
        <w:tc>
          <w:tcPr>
            <w:tcW w:w="723" w:type="dxa"/>
            <w:tcBorders>
              <w:top w:val="single" w:color="auto" w:sz="4" w:space="0"/>
              <w:left w:val="single" w:color="auto" w:sz="6" w:space="0"/>
              <w:bottom w:val="single" w:color="auto" w:sz="6" w:space="0"/>
              <w:right w:val="single" w:color="auto" w:sz="4" w:space="0"/>
            </w:tcBorders>
            <w:vAlign w:val="center"/>
          </w:tcPr>
          <w:p>
            <w:pPr>
              <w:spacing w:before="166" w:beforeLines="50"/>
              <w:jc w:val="center"/>
              <w:rPr>
                <w:rFonts w:hint="eastAsia" w:ascii="宋体" w:hAnsi="宋体" w:eastAsia="宋体" w:cs="宋体"/>
              </w:rPr>
            </w:pPr>
          </w:p>
        </w:tc>
        <w:tc>
          <w:tcPr>
            <w:tcW w:w="1094" w:type="dxa"/>
            <w:tcBorders>
              <w:top w:val="single" w:color="auto" w:sz="4" w:space="0"/>
              <w:left w:val="single" w:color="auto" w:sz="4"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561"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96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175"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178"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pPr>
              <w:spacing w:before="333" w:beforeLines="100"/>
              <w:jc w:val="center"/>
              <w:rPr>
                <w:rFonts w:hint="eastAsia" w:ascii="宋体" w:hAnsi="宋体" w:eastAsia="宋体" w:cs="宋体"/>
              </w:rPr>
            </w:pPr>
          </w:p>
        </w:tc>
        <w:tc>
          <w:tcPr>
            <w:tcW w:w="536" w:type="dxa"/>
            <w:tcBorders>
              <w:top w:val="single" w:color="auto" w:sz="4" w:space="0"/>
              <w:left w:val="single" w:color="auto" w:sz="4" w:space="0"/>
              <w:bottom w:val="single" w:color="auto" w:sz="6" w:space="0"/>
            </w:tcBorders>
            <w:vAlign w:val="center"/>
          </w:tcPr>
          <w:p>
            <w:pPr>
              <w:spacing w:before="333" w:beforeLines="100"/>
              <w:jc w:val="center"/>
              <w:rPr>
                <w:rFonts w:hint="eastAsia" w:ascii="宋体" w:hAnsi="宋体" w:eastAsia="宋体" w:cs="宋体"/>
              </w:rPr>
            </w:pPr>
            <w:r>
              <w:rPr>
                <w:rFonts w:hint="eastAsia" w:ascii="宋体" w:hAnsi="宋体" w:eastAsia="宋体" w:cs="宋体"/>
              </w:rPr>
              <w:t>3</w:t>
            </w:r>
          </w:p>
        </w:tc>
        <w:tc>
          <w:tcPr>
            <w:tcW w:w="797" w:type="dxa"/>
            <w:tcBorders>
              <w:top w:val="single" w:color="auto" w:sz="4" w:space="0"/>
              <w:left w:val="single" w:color="auto" w:sz="6" w:space="0"/>
              <w:bottom w:val="single" w:color="auto" w:sz="6" w:space="0"/>
              <w:right w:val="single" w:color="auto" w:sz="6" w:space="0"/>
            </w:tcBorders>
            <w:vAlign w:val="center"/>
          </w:tcPr>
          <w:p>
            <w:pPr>
              <w:spacing w:before="333" w:beforeLines="100"/>
              <w:jc w:val="center"/>
              <w:rPr>
                <w:rFonts w:hint="eastAsia" w:ascii="宋体" w:hAnsi="宋体" w:eastAsia="宋体" w:cs="宋体"/>
              </w:rPr>
            </w:pPr>
          </w:p>
        </w:tc>
        <w:tc>
          <w:tcPr>
            <w:tcW w:w="723" w:type="dxa"/>
            <w:tcBorders>
              <w:top w:val="single" w:color="auto" w:sz="4" w:space="0"/>
              <w:left w:val="single" w:color="auto" w:sz="6" w:space="0"/>
              <w:bottom w:val="single" w:color="auto" w:sz="6" w:space="0"/>
              <w:right w:val="single" w:color="auto" w:sz="4" w:space="0"/>
            </w:tcBorders>
            <w:vAlign w:val="center"/>
          </w:tcPr>
          <w:p>
            <w:pPr>
              <w:spacing w:before="166" w:beforeLines="50"/>
              <w:jc w:val="center"/>
              <w:rPr>
                <w:rFonts w:hint="eastAsia" w:ascii="宋体" w:hAnsi="宋体" w:eastAsia="宋体" w:cs="宋体"/>
              </w:rPr>
            </w:pPr>
          </w:p>
        </w:tc>
        <w:tc>
          <w:tcPr>
            <w:tcW w:w="1094" w:type="dxa"/>
            <w:tcBorders>
              <w:top w:val="single" w:color="auto" w:sz="4" w:space="0"/>
              <w:left w:val="single" w:color="auto" w:sz="4"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561"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96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175"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178"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pPr>
              <w:spacing w:before="333" w:beforeLines="100"/>
              <w:jc w:val="center"/>
              <w:rPr>
                <w:rFonts w:hint="eastAsia" w:ascii="宋体" w:hAnsi="宋体" w:eastAsia="宋体" w:cs="宋体"/>
              </w:rPr>
            </w:pPr>
          </w:p>
        </w:tc>
        <w:tc>
          <w:tcPr>
            <w:tcW w:w="536" w:type="dxa"/>
            <w:tcBorders>
              <w:top w:val="single" w:color="auto" w:sz="4" w:space="0"/>
              <w:left w:val="single" w:color="auto" w:sz="4" w:space="0"/>
              <w:bottom w:val="single" w:color="auto" w:sz="6" w:space="0"/>
            </w:tcBorders>
            <w:vAlign w:val="center"/>
          </w:tcPr>
          <w:p>
            <w:pPr>
              <w:spacing w:before="333" w:beforeLines="100"/>
              <w:jc w:val="center"/>
              <w:rPr>
                <w:rFonts w:hint="eastAsia" w:ascii="宋体" w:hAnsi="宋体" w:eastAsia="宋体" w:cs="宋体"/>
              </w:rPr>
            </w:pPr>
            <w:r>
              <w:rPr>
                <w:rFonts w:hint="eastAsia" w:ascii="宋体" w:hAnsi="宋体" w:eastAsia="宋体" w:cs="宋体"/>
                <w:szCs w:val="24"/>
              </w:rPr>
              <w:t>……</w:t>
            </w:r>
          </w:p>
        </w:tc>
        <w:tc>
          <w:tcPr>
            <w:tcW w:w="797"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723" w:type="dxa"/>
            <w:tcBorders>
              <w:top w:val="single" w:color="auto" w:sz="4" w:space="0"/>
              <w:left w:val="single" w:color="auto" w:sz="6" w:space="0"/>
              <w:bottom w:val="single" w:color="auto" w:sz="6" w:space="0"/>
              <w:right w:val="single" w:color="auto" w:sz="4" w:space="0"/>
            </w:tcBorders>
            <w:vAlign w:val="center"/>
          </w:tcPr>
          <w:p>
            <w:pPr>
              <w:spacing w:before="166" w:beforeLines="50"/>
              <w:jc w:val="center"/>
              <w:rPr>
                <w:rFonts w:hint="eastAsia" w:ascii="宋体" w:hAnsi="宋体" w:eastAsia="宋体" w:cs="宋体"/>
              </w:rPr>
            </w:pPr>
          </w:p>
        </w:tc>
        <w:tc>
          <w:tcPr>
            <w:tcW w:w="1094" w:type="dxa"/>
            <w:tcBorders>
              <w:top w:val="single" w:color="auto" w:sz="4" w:space="0"/>
              <w:left w:val="single" w:color="auto" w:sz="4"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561"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96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175"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178"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pPr>
              <w:spacing w:before="333" w:beforeLines="100"/>
              <w:jc w:val="center"/>
              <w:rPr>
                <w:rFonts w:hint="eastAsia" w:ascii="宋体" w:hAnsi="宋体" w:eastAsia="宋体" w:cs="宋体"/>
              </w:rPr>
            </w:pPr>
          </w:p>
        </w:tc>
        <w:tc>
          <w:tcPr>
            <w:tcW w:w="536" w:type="dxa"/>
            <w:tcBorders>
              <w:top w:val="single" w:color="auto" w:sz="4" w:space="0"/>
              <w:left w:val="single" w:color="auto" w:sz="4" w:space="0"/>
              <w:bottom w:val="single" w:color="auto" w:sz="6" w:space="0"/>
            </w:tcBorders>
            <w:vAlign w:val="center"/>
          </w:tcPr>
          <w:p>
            <w:pPr>
              <w:spacing w:before="333" w:beforeLines="100"/>
              <w:jc w:val="center"/>
              <w:rPr>
                <w:rFonts w:hint="eastAsia" w:ascii="宋体" w:hAnsi="宋体" w:eastAsia="宋体" w:cs="宋体"/>
                <w:b/>
              </w:rPr>
            </w:pPr>
            <w:r>
              <w:rPr>
                <w:rFonts w:hint="eastAsia" w:ascii="宋体" w:hAnsi="宋体" w:eastAsia="宋体" w:cs="宋体"/>
                <w:szCs w:val="24"/>
              </w:rPr>
              <w:t>……</w:t>
            </w:r>
          </w:p>
        </w:tc>
        <w:tc>
          <w:tcPr>
            <w:tcW w:w="797"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723" w:type="dxa"/>
            <w:tcBorders>
              <w:top w:val="single" w:color="auto" w:sz="4" w:space="0"/>
              <w:left w:val="single" w:color="auto" w:sz="6" w:space="0"/>
              <w:bottom w:val="single" w:color="auto" w:sz="6" w:space="0"/>
              <w:right w:val="single" w:color="auto" w:sz="4" w:space="0"/>
            </w:tcBorders>
            <w:vAlign w:val="center"/>
          </w:tcPr>
          <w:p>
            <w:pPr>
              <w:spacing w:before="166" w:beforeLines="50"/>
              <w:jc w:val="center"/>
              <w:rPr>
                <w:rFonts w:hint="eastAsia" w:ascii="宋体" w:hAnsi="宋体" w:eastAsia="宋体" w:cs="宋体"/>
              </w:rPr>
            </w:pPr>
          </w:p>
        </w:tc>
        <w:tc>
          <w:tcPr>
            <w:tcW w:w="1094" w:type="dxa"/>
            <w:tcBorders>
              <w:top w:val="single" w:color="auto" w:sz="4" w:space="0"/>
              <w:left w:val="single" w:color="auto" w:sz="4"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561"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96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175"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178"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r>
      <w:tr>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pPr>
              <w:jc w:val="center"/>
              <w:rPr>
                <w:rFonts w:hint="eastAsia" w:ascii="宋体" w:hAnsi="宋体" w:eastAsia="宋体" w:cs="宋体"/>
                <w:szCs w:val="24"/>
              </w:rPr>
            </w:pPr>
            <w:r>
              <w:rPr>
                <w:rFonts w:hint="eastAsia" w:ascii="宋体" w:hAnsi="宋体" w:eastAsia="宋体" w:cs="宋体"/>
                <w:szCs w:val="24"/>
              </w:rPr>
              <w:t>投标总报价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pPr>
              <w:spacing w:before="166" w:beforeLines="50"/>
              <w:rPr>
                <w:rFonts w:hint="eastAsia" w:ascii="宋体" w:hAnsi="宋体" w:eastAsia="宋体" w:cs="宋体"/>
                <w:szCs w:val="24"/>
              </w:rPr>
            </w:pPr>
            <w:r>
              <w:rPr>
                <w:rFonts w:hint="eastAsia" w:ascii="宋体" w:hAnsi="宋体" w:eastAsia="宋体" w:cs="宋体"/>
                <w:szCs w:val="24"/>
              </w:rPr>
              <w:t>大写：                           小写：</w:t>
            </w:r>
          </w:p>
        </w:tc>
      </w:tr>
      <w:tr>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pPr>
              <w:jc w:val="center"/>
              <w:rPr>
                <w:rFonts w:hint="eastAsia" w:ascii="宋体" w:hAnsi="宋体" w:eastAsia="宋体" w:cs="宋体"/>
                <w:szCs w:val="24"/>
              </w:rPr>
            </w:pPr>
            <w:r>
              <w:rPr>
                <w:rFonts w:hint="eastAsia" w:ascii="宋体" w:hAnsi="宋体" w:eastAsia="宋体" w:cs="宋体"/>
                <w:szCs w:val="24"/>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pPr>
              <w:spacing w:before="166" w:beforeLines="50"/>
              <w:rPr>
                <w:rFonts w:hint="eastAsia" w:ascii="宋体" w:hAnsi="宋体" w:eastAsia="宋体" w:cs="宋体"/>
                <w:szCs w:val="24"/>
              </w:rPr>
            </w:pPr>
            <w:r>
              <w:rPr>
                <w:rFonts w:hint="eastAsia" w:ascii="宋体" w:hAnsi="宋体" w:eastAsia="宋体" w:cs="宋体"/>
                <w:spacing w:val="-6"/>
                <w:szCs w:val="24"/>
              </w:rPr>
              <w:t>保留小数点后两位。</w:t>
            </w:r>
          </w:p>
        </w:tc>
      </w:tr>
    </w:tbl>
    <w:p>
      <w:pPr>
        <w:rPr>
          <w:rFonts w:hint="eastAsia" w:ascii="宋体" w:hAnsi="宋体" w:eastAsia="宋体" w:cs="宋体"/>
        </w:rPr>
      </w:pPr>
    </w:p>
    <w:p>
      <w:pPr>
        <w:spacing w:line="720" w:lineRule="auto"/>
        <w:ind w:firstLine="480" w:firstLineChars="200"/>
        <w:jc w:val="left"/>
        <w:rPr>
          <w:rFonts w:hint="eastAsia" w:ascii="宋体" w:hAnsi="宋体" w:eastAsia="宋体" w:cs="宋体"/>
          <w:u w:val="single"/>
        </w:rPr>
      </w:pPr>
      <w:r>
        <w:rPr>
          <w:rFonts w:hint="eastAsia" w:hAnsi="宋体" w:cs="宋体"/>
          <w:lang w:eastAsia="zh-CN"/>
        </w:rPr>
        <w:t>投标人</w:t>
      </w:r>
      <w:r>
        <w:rPr>
          <w:rFonts w:hint="eastAsia" w:ascii="宋体" w:hAnsi="宋体" w:eastAsia="宋体" w:cs="宋体"/>
        </w:rPr>
        <w:t>名称：</w:t>
      </w:r>
      <w:r>
        <w:rPr>
          <w:rFonts w:hint="eastAsia" w:ascii="宋体" w:hAnsi="宋体" w:eastAsia="宋体" w:cs="宋体"/>
          <w:u w:val="single"/>
        </w:rPr>
        <w:t xml:space="preserve">                        </w:t>
      </w:r>
      <w:r>
        <w:rPr>
          <w:rFonts w:hint="eastAsia" w:ascii="宋体" w:hAnsi="宋体" w:eastAsia="宋体" w:cs="宋体"/>
        </w:rPr>
        <w:t>（盖单位公章）</w:t>
      </w:r>
    </w:p>
    <w:p>
      <w:pPr>
        <w:spacing w:line="720" w:lineRule="auto"/>
        <w:ind w:firstLine="496" w:firstLineChars="200"/>
        <w:jc w:val="left"/>
        <w:rPr>
          <w:rFonts w:hint="eastAsia" w:ascii="宋体" w:hAnsi="宋体" w:eastAsia="宋体" w:cs="宋体"/>
          <w:spacing w:val="4"/>
        </w:rPr>
      </w:pPr>
      <w:r>
        <w:rPr>
          <w:rFonts w:hint="eastAsia" w:ascii="宋体" w:hAnsi="宋体" w:eastAsia="宋体" w:cs="宋体"/>
          <w:spacing w:val="4"/>
        </w:rPr>
        <w:t>法定代表人或被授权人：</w:t>
      </w:r>
      <w:r>
        <w:rPr>
          <w:rFonts w:hint="eastAsia" w:ascii="宋体" w:hAnsi="宋体" w:eastAsia="宋体" w:cs="宋体"/>
          <w:spacing w:val="4"/>
          <w:u w:val="single"/>
        </w:rPr>
        <w:t xml:space="preserve">            </w:t>
      </w:r>
      <w:r>
        <w:rPr>
          <w:rFonts w:hint="eastAsia" w:ascii="宋体" w:hAnsi="宋体" w:eastAsia="宋体" w:cs="宋体"/>
          <w:spacing w:val="4"/>
        </w:rPr>
        <w:t>（签字或盖章）</w:t>
      </w:r>
    </w:p>
    <w:p>
      <w:pPr>
        <w:spacing w:line="720" w:lineRule="auto"/>
        <w:ind w:firstLine="480" w:firstLineChars="200"/>
        <w:rPr>
          <w:rFonts w:hint="eastAsia" w:ascii="宋体" w:hAnsi="宋体" w:eastAsia="宋体" w:cs="宋体"/>
        </w:rPr>
      </w:pPr>
      <w:r>
        <w:rPr>
          <w:rFonts w:hint="eastAsia" w:ascii="宋体" w:hAnsi="宋体" w:eastAsia="宋体" w:cs="宋体"/>
        </w:rPr>
        <w:t>日    期：      年   月    日</w:t>
      </w:r>
    </w:p>
    <w:p>
      <w:pPr>
        <w:jc w:val="center"/>
        <w:outlineLvl w:val="1"/>
        <w:rPr>
          <w:rFonts w:hint="eastAsia" w:ascii="宋体" w:hAnsi="宋体" w:eastAsia="宋体" w:cs="宋体"/>
          <w:b/>
          <w:bCs/>
          <w:color w:val="auto"/>
          <w:sz w:val="32"/>
          <w:szCs w:val="32"/>
          <w:highlight w:val="none"/>
        </w:rPr>
      </w:pPr>
    </w:p>
    <w:p>
      <w:pPr>
        <w:jc w:val="center"/>
        <w:outlineLvl w:val="1"/>
        <w:rPr>
          <w:rFonts w:hint="eastAsia" w:ascii="宋体" w:hAnsi="宋体" w:eastAsia="宋体" w:cs="宋体"/>
          <w:b/>
          <w:bCs/>
          <w:color w:val="auto"/>
          <w:sz w:val="32"/>
          <w:szCs w:val="32"/>
          <w:highlight w:val="none"/>
        </w:rPr>
      </w:pPr>
    </w:p>
    <w:p>
      <w:pPr>
        <w:jc w:val="center"/>
        <w:outlineLvl w:val="1"/>
        <w:rPr>
          <w:rFonts w:hint="eastAsia" w:ascii="宋体" w:hAnsi="宋体" w:eastAsia="宋体" w:cs="宋体"/>
          <w:b/>
          <w:bCs/>
          <w:color w:val="auto"/>
          <w:sz w:val="32"/>
          <w:szCs w:val="32"/>
          <w:highlight w:val="none"/>
        </w:rPr>
      </w:pPr>
    </w:p>
    <w:p>
      <w:pPr>
        <w:jc w:val="center"/>
        <w:outlineLvl w:val="1"/>
        <w:rPr>
          <w:rFonts w:hint="eastAsia" w:ascii="宋体" w:hAnsi="宋体" w:eastAsia="宋体" w:cs="宋体"/>
          <w:b/>
          <w:bCs/>
          <w:color w:val="auto"/>
          <w:sz w:val="32"/>
          <w:szCs w:val="32"/>
          <w:highlight w:val="none"/>
        </w:rPr>
      </w:pPr>
    </w:p>
    <w:p>
      <w:pPr>
        <w:jc w:val="center"/>
        <w:outlineLvl w:val="1"/>
        <w:rPr>
          <w:rFonts w:hint="eastAsia" w:ascii="宋体" w:hAnsi="宋体" w:eastAsia="宋体" w:cs="宋体"/>
          <w:b/>
          <w:bCs/>
          <w:color w:val="auto"/>
          <w:sz w:val="32"/>
          <w:szCs w:val="32"/>
          <w:highlight w:val="none"/>
        </w:rPr>
      </w:pPr>
    </w:p>
    <w:p>
      <w:pPr>
        <w:spacing w:before="166" w:beforeLines="50" w:line="360" w:lineRule="auto"/>
        <w:jc w:val="center"/>
        <w:rPr>
          <w:rFonts w:hint="eastAsia" w:ascii="宋体" w:hAnsi="宋体" w:eastAsia="宋体" w:cs="宋体"/>
          <w:bCs/>
          <w:szCs w:val="24"/>
        </w:rPr>
      </w:pPr>
      <w:r>
        <w:rPr>
          <w:rFonts w:hint="eastAsia" w:ascii="宋体" w:hAnsi="宋体" w:eastAsia="宋体" w:cs="宋体"/>
          <w:b/>
          <w:sz w:val="30"/>
          <w:szCs w:val="30"/>
        </w:rPr>
        <w:t>2.3关键零部件及备品备件清单</w:t>
      </w:r>
      <w:r>
        <w:rPr>
          <w:rFonts w:hint="eastAsia" w:ascii="宋体" w:hAnsi="宋体" w:eastAsia="宋体" w:cs="宋体"/>
          <w:bCs/>
          <w:szCs w:val="24"/>
        </w:rPr>
        <w:t xml:space="preserve"> </w:t>
      </w:r>
      <w:r>
        <w:rPr>
          <w:rFonts w:hint="eastAsia" w:ascii="宋体" w:hAnsi="宋体" w:eastAsia="宋体" w:cs="宋体"/>
          <w:b/>
          <w:sz w:val="30"/>
          <w:szCs w:val="30"/>
        </w:rPr>
        <w:t>（如有）</w:t>
      </w:r>
      <w:r>
        <w:rPr>
          <w:rFonts w:hint="eastAsia" w:ascii="宋体" w:hAnsi="宋体" w:eastAsia="宋体" w:cs="宋体"/>
          <w:bCs/>
          <w:spacing w:val="4"/>
          <w:szCs w:val="24"/>
        </w:rPr>
        <w:t xml:space="preserve"> </w:t>
      </w:r>
      <w:r>
        <w:rPr>
          <w:rFonts w:hint="eastAsia" w:ascii="宋体" w:hAnsi="宋体" w:eastAsia="宋体" w:cs="宋体"/>
          <w:bCs/>
          <w:szCs w:val="24"/>
        </w:rPr>
        <w:t xml:space="preserve">                    </w:t>
      </w:r>
    </w:p>
    <w:tbl>
      <w:tblPr>
        <w:tblStyle w:val="25"/>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1746"/>
        <w:gridCol w:w="1820"/>
        <w:gridCol w:w="1542"/>
        <w:gridCol w:w="1517"/>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序号</w:t>
            </w:r>
          </w:p>
        </w:tc>
        <w:tc>
          <w:tcPr>
            <w:tcW w:w="1746"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名称</w:t>
            </w:r>
          </w:p>
        </w:tc>
        <w:tc>
          <w:tcPr>
            <w:tcW w:w="1820"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型号、规格</w:t>
            </w:r>
          </w:p>
        </w:tc>
        <w:tc>
          <w:tcPr>
            <w:tcW w:w="1542"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国别、制造商</w:t>
            </w:r>
          </w:p>
        </w:tc>
        <w:tc>
          <w:tcPr>
            <w:tcW w:w="1517" w:type="dxa"/>
            <w:vAlign w:val="center"/>
          </w:tcPr>
          <w:p>
            <w:pPr>
              <w:spacing w:line="440" w:lineRule="exact"/>
              <w:jc w:val="center"/>
              <w:rPr>
                <w:rStyle w:val="37"/>
                <w:rFonts w:hint="eastAsia" w:ascii="宋体" w:hAnsi="宋体" w:eastAsia="宋体" w:cs="宋体"/>
              </w:rPr>
            </w:pPr>
            <w:r>
              <w:rPr>
                <w:rFonts w:hint="eastAsia" w:ascii="宋体" w:hAnsi="宋体" w:eastAsia="宋体" w:cs="宋体"/>
                <w:szCs w:val="24"/>
              </w:rPr>
              <w:t>单价</w:t>
            </w:r>
          </w:p>
          <w:p>
            <w:pPr>
              <w:spacing w:line="440" w:lineRule="exact"/>
              <w:jc w:val="center"/>
              <w:rPr>
                <w:rStyle w:val="37"/>
                <w:rFonts w:hint="eastAsia" w:ascii="宋体" w:hAnsi="宋体" w:eastAsia="宋体" w:cs="宋体"/>
              </w:rPr>
            </w:pPr>
            <w:r>
              <w:rPr>
                <w:rFonts w:hint="eastAsia" w:ascii="宋体" w:hAnsi="宋体" w:eastAsia="宋体" w:cs="宋体"/>
                <w:szCs w:val="24"/>
              </w:rPr>
              <w:t>（元）</w:t>
            </w:r>
          </w:p>
        </w:tc>
        <w:tc>
          <w:tcPr>
            <w:tcW w:w="1499"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1</w:t>
            </w:r>
          </w:p>
        </w:tc>
        <w:tc>
          <w:tcPr>
            <w:tcW w:w="1746"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w:t>
            </w: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2</w:t>
            </w:r>
          </w:p>
        </w:tc>
        <w:tc>
          <w:tcPr>
            <w:tcW w:w="1746"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w:t>
            </w: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w:t>
            </w:r>
          </w:p>
        </w:tc>
        <w:tc>
          <w:tcPr>
            <w:tcW w:w="1746" w:type="dxa"/>
            <w:vAlign w:val="center"/>
          </w:tcPr>
          <w:p>
            <w:pPr>
              <w:spacing w:line="440" w:lineRule="exact"/>
              <w:jc w:val="center"/>
              <w:rPr>
                <w:rFonts w:hint="eastAsia" w:ascii="宋体" w:hAnsi="宋体" w:eastAsia="宋体" w:cs="宋体"/>
                <w:szCs w:val="24"/>
              </w:rPr>
            </w:pP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spacing w:line="440" w:lineRule="exact"/>
              <w:jc w:val="center"/>
              <w:rPr>
                <w:rFonts w:hint="eastAsia" w:ascii="宋体" w:hAnsi="宋体" w:eastAsia="宋体" w:cs="宋体"/>
                <w:szCs w:val="24"/>
              </w:rPr>
            </w:pPr>
          </w:p>
        </w:tc>
        <w:tc>
          <w:tcPr>
            <w:tcW w:w="1746" w:type="dxa"/>
            <w:vAlign w:val="center"/>
          </w:tcPr>
          <w:p>
            <w:pPr>
              <w:spacing w:line="440" w:lineRule="exact"/>
              <w:jc w:val="center"/>
              <w:rPr>
                <w:rFonts w:hint="eastAsia" w:ascii="宋体" w:hAnsi="宋体" w:eastAsia="宋体" w:cs="宋体"/>
                <w:szCs w:val="24"/>
              </w:rPr>
            </w:pP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spacing w:line="440" w:lineRule="exact"/>
              <w:jc w:val="center"/>
              <w:rPr>
                <w:rFonts w:hint="eastAsia" w:ascii="宋体" w:hAnsi="宋体" w:eastAsia="宋体" w:cs="宋体"/>
                <w:szCs w:val="24"/>
              </w:rPr>
            </w:pPr>
          </w:p>
        </w:tc>
        <w:tc>
          <w:tcPr>
            <w:tcW w:w="1746" w:type="dxa"/>
            <w:vAlign w:val="center"/>
          </w:tcPr>
          <w:p>
            <w:pPr>
              <w:spacing w:line="440" w:lineRule="exact"/>
              <w:jc w:val="center"/>
              <w:rPr>
                <w:rFonts w:hint="eastAsia" w:ascii="宋体" w:hAnsi="宋体" w:eastAsia="宋体" w:cs="宋体"/>
                <w:szCs w:val="24"/>
              </w:rPr>
            </w:pP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spacing w:line="440" w:lineRule="exact"/>
              <w:jc w:val="center"/>
              <w:rPr>
                <w:rFonts w:hint="eastAsia" w:ascii="宋体" w:hAnsi="宋体" w:eastAsia="宋体" w:cs="宋体"/>
                <w:szCs w:val="24"/>
              </w:rPr>
            </w:pPr>
          </w:p>
        </w:tc>
        <w:tc>
          <w:tcPr>
            <w:tcW w:w="1746" w:type="dxa"/>
            <w:vAlign w:val="center"/>
          </w:tcPr>
          <w:p>
            <w:pPr>
              <w:spacing w:line="440" w:lineRule="exact"/>
              <w:jc w:val="center"/>
              <w:rPr>
                <w:rFonts w:hint="eastAsia" w:ascii="宋体" w:hAnsi="宋体" w:eastAsia="宋体" w:cs="宋体"/>
                <w:szCs w:val="24"/>
              </w:rPr>
            </w:pP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spacing w:line="440" w:lineRule="exact"/>
              <w:jc w:val="center"/>
              <w:rPr>
                <w:rFonts w:hint="eastAsia" w:ascii="宋体" w:hAnsi="宋体" w:eastAsia="宋体" w:cs="宋体"/>
                <w:szCs w:val="24"/>
              </w:rPr>
            </w:pPr>
          </w:p>
        </w:tc>
        <w:tc>
          <w:tcPr>
            <w:tcW w:w="1746" w:type="dxa"/>
            <w:vAlign w:val="center"/>
          </w:tcPr>
          <w:p>
            <w:pPr>
              <w:spacing w:line="440" w:lineRule="exact"/>
              <w:jc w:val="center"/>
              <w:rPr>
                <w:rFonts w:hint="eastAsia" w:ascii="宋体" w:hAnsi="宋体" w:eastAsia="宋体" w:cs="宋体"/>
                <w:szCs w:val="24"/>
              </w:rPr>
            </w:pP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spacing w:line="440" w:lineRule="exact"/>
              <w:jc w:val="center"/>
              <w:rPr>
                <w:rFonts w:hint="eastAsia" w:ascii="宋体" w:hAnsi="宋体" w:eastAsia="宋体" w:cs="宋体"/>
                <w:szCs w:val="24"/>
              </w:rPr>
            </w:pPr>
          </w:p>
        </w:tc>
        <w:tc>
          <w:tcPr>
            <w:tcW w:w="1746" w:type="dxa"/>
            <w:vAlign w:val="center"/>
          </w:tcPr>
          <w:p>
            <w:pPr>
              <w:spacing w:line="440" w:lineRule="exact"/>
              <w:jc w:val="center"/>
              <w:rPr>
                <w:rFonts w:hint="eastAsia" w:ascii="宋体" w:hAnsi="宋体" w:eastAsia="宋体" w:cs="宋体"/>
                <w:szCs w:val="24"/>
              </w:rPr>
            </w:pP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bl>
    <w:p>
      <w:pPr>
        <w:spacing w:line="520" w:lineRule="exact"/>
        <w:rPr>
          <w:rFonts w:hint="eastAsia" w:ascii="宋体" w:hAnsi="宋体" w:eastAsia="宋体" w:cs="宋体"/>
          <w:szCs w:val="24"/>
        </w:rPr>
      </w:pPr>
    </w:p>
    <w:p>
      <w:pPr>
        <w:spacing w:line="360" w:lineRule="auto"/>
        <w:ind w:firstLine="480" w:firstLineChars="200"/>
        <w:jc w:val="left"/>
        <w:rPr>
          <w:rFonts w:hint="eastAsia" w:ascii="宋体" w:hAnsi="宋体" w:eastAsia="宋体" w:cs="宋体"/>
        </w:rPr>
      </w:pPr>
      <w:r>
        <w:rPr>
          <w:rFonts w:hint="eastAsia" w:hAnsi="宋体" w:cs="宋体"/>
          <w:lang w:eastAsia="zh-CN"/>
        </w:rPr>
        <w:t>投标人</w:t>
      </w:r>
      <w:r>
        <w:rPr>
          <w:rFonts w:hint="eastAsia" w:ascii="宋体" w:hAnsi="宋体" w:eastAsia="宋体" w:cs="宋体"/>
        </w:rPr>
        <w:t>名称：</w:t>
      </w:r>
      <w:r>
        <w:rPr>
          <w:rFonts w:hint="eastAsia" w:ascii="宋体" w:hAnsi="宋体" w:eastAsia="宋体" w:cs="宋体"/>
          <w:u w:val="single"/>
        </w:rPr>
        <w:t xml:space="preserve">                        </w:t>
      </w:r>
      <w:r>
        <w:rPr>
          <w:rFonts w:hint="eastAsia" w:ascii="宋体" w:hAnsi="宋体" w:eastAsia="宋体" w:cs="宋体"/>
        </w:rPr>
        <w:t>（盖单位公章）</w:t>
      </w:r>
    </w:p>
    <w:p>
      <w:pPr>
        <w:pStyle w:val="11"/>
        <w:spacing w:line="360" w:lineRule="auto"/>
        <w:ind w:firstLine="420" w:firstLineChars="200"/>
        <w:rPr>
          <w:rFonts w:hint="eastAsia" w:ascii="宋体" w:hAnsi="宋体" w:eastAsia="宋体" w:cs="宋体"/>
        </w:rPr>
      </w:pPr>
    </w:p>
    <w:p>
      <w:pPr>
        <w:spacing w:line="360" w:lineRule="auto"/>
        <w:ind w:firstLine="496" w:firstLineChars="200"/>
        <w:jc w:val="left"/>
        <w:rPr>
          <w:rFonts w:hint="eastAsia" w:ascii="宋体" w:hAnsi="宋体" w:eastAsia="宋体" w:cs="宋体"/>
          <w:spacing w:val="4"/>
        </w:rPr>
      </w:pPr>
      <w:r>
        <w:rPr>
          <w:rFonts w:hint="eastAsia" w:ascii="宋体" w:hAnsi="宋体" w:eastAsia="宋体" w:cs="宋体"/>
          <w:spacing w:val="4"/>
        </w:rPr>
        <w:t>法定代表人或被授权人：</w:t>
      </w:r>
      <w:r>
        <w:rPr>
          <w:rFonts w:hint="eastAsia" w:ascii="宋体" w:hAnsi="宋体" w:eastAsia="宋体" w:cs="宋体"/>
          <w:spacing w:val="4"/>
          <w:u w:val="single"/>
        </w:rPr>
        <w:t xml:space="preserve">      </w:t>
      </w:r>
      <w:r>
        <w:rPr>
          <w:rFonts w:hint="eastAsia" w:ascii="宋体" w:hAnsi="宋体" w:eastAsia="宋体" w:cs="宋体"/>
          <w:spacing w:val="4"/>
        </w:rPr>
        <w:t>（签字或盖章）</w:t>
      </w:r>
    </w:p>
    <w:p>
      <w:pPr>
        <w:spacing w:line="360" w:lineRule="auto"/>
        <w:ind w:firstLine="480" w:firstLineChars="200"/>
        <w:rPr>
          <w:rFonts w:hint="eastAsia" w:ascii="宋体" w:hAnsi="宋体" w:eastAsia="宋体" w:cs="宋体"/>
          <w:szCs w:val="24"/>
        </w:rPr>
      </w:pP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日      期：      年   月    日</w:t>
      </w:r>
    </w:p>
    <w:p>
      <w:pPr>
        <w:spacing w:line="440" w:lineRule="exact"/>
        <w:rPr>
          <w:rFonts w:hint="eastAsia" w:ascii="宋体" w:hAnsi="宋体" w:eastAsia="宋体" w:cs="宋体"/>
        </w:rPr>
      </w:pPr>
    </w:p>
    <w:p>
      <w:pPr>
        <w:jc w:val="both"/>
        <w:outlineLvl w:val="1"/>
        <w:rPr>
          <w:rFonts w:hint="eastAsia" w:ascii="宋体" w:hAnsi="宋体" w:eastAsia="宋体" w:cs="宋体"/>
          <w:b/>
          <w:bCs/>
          <w:color w:val="auto"/>
          <w:sz w:val="32"/>
          <w:szCs w:val="32"/>
          <w:highlight w:val="none"/>
        </w:rPr>
      </w:pPr>
      <w:r>
        <w:rPr>
          <w:rFonts w:hint="eastAsia" w:ascii="宋体" w:hAnsi="宋体" w:eastAsia="宋体" w:cs="宋体"/>
        </w:rPr>
        <w:t>注：1、</w:t>
      </w:r>
      <w:r>
        <w:rPr>
          <w:rFonts w:hint="eastAsia" w:hAnsi="宋体" w:cs="宋体"/>
          <w:bCs/>
          <w:lang w:eastAsia="zh-CN"/>
        </w:rPr>
        <w:t>投标人</w:t>
      </w:r>
      <w:r>
        <w:rPr>
          <w:rFonts w:hint="eastAsia" w:ascii="宋体" w:hAnsi="宋体" w:eastAsia="宋体" w:cs="宋体"/>
          <w:bCs/>
        </w:rPr>
        <w:t>可适当调整该表格式，但不得减少信息内容。</w:t>
      </w:r>
    </w:p>
    <w:p>
      <w:pPr>
        <w:jc w:val="center"/>
        <w:outlineLvl w:val="1"/>
        <w:rPr>
          <w:rFonts w:hint="eastAsia" w:ascii="宋体" w:hAnsi="宋体" w:eastAsia="宋体" w:cs="宋体"/>
          <w:b/>
          <w:bCs/>
          <w:color w:val="auto"/>
          <w:sz w:val="32"/>
          <w:szCs w:val="32"/>
          <w:highlight w:val="none"/>
        </w:rPr>
      </w:pPr>
    </w:p>
    <w:p>
      <w:pPr>
        <w:jc w:val="center"/>
        <w:outlineLvl w:val="1"/>
        <w:rPr>
          <w:rFonts w:hint="eastAsia" w:ascii="宋体" w:hAnsi="宋体" w:eastAsia="宋体" w:cs="宋体"/>
          <w:b/>
          <w:bCs/>
          <w:color w:val="auto"/>
          <w:sz w:val="32"/>
          <w:szCs w:val="32"/>
          <w:highlight w:val="none"/>
        </w:rPr>
      </w:pPr>
    </w:p>
    <w:p>
      <w:pPr>
        <w:pStyle w:val="4"/>
        <w:keepNext w:val="0"/>
        <w:keepLines w:val="0"/>
        <w:widowControl w:val="0"/>
        <w:spacing w:before="166" w:beforeLines="50" w:after="0" w:line="360" w:lineRule="auto"/>
        <w:ind w:left="0"/>
        <w:jc w:val="center"/>
        <w:rPr>
          <w:rFonts w:hint="eastAsia" w:ascii="宋体" w:hAnsi="宋体" w:eastAsia="宋体" w:cs="宋体"/>
          <w:b/>
          <w:bCs w:val="0"/>
        </w:rPr>
      </w:pPr>
      <w:r>
        <w:rPr>
          <w:rFonts w:hint="eastAsia" w:ascii="宋体" w:hAnsi="宋体" w:eastAsia="宋体" w:cs="宋体"/>
          <w:b/>
          <w:bCs w:val="0"/>
          <w:sz w:val="32"/>
        </w:rPr>
        <w:t>三、投标方案说明书</w:t>
      </w:r>
    </w:p>
    <w:p>
      <w:pPr>
        <w:spacing w:line="440" w:lineRule="exact"/>
        <w:ind w:firstLine="480" w:firstLineChars="200"/>
        <w:rPr>
          <w:rFonts w:hint="eastAsia" w:ascii="宋体" w:hAnsi="宋体" w:eastAsia="宋体" w:cs="宋体"/>
          <w:b/>
          <w:szCs w:val="24"/>
        </w:rPr>
      </w:pPr>
      <w:r>
        <w:rPr>
          <w:rFonts w:hint="eastAsia" w:hAnsi="宋体" w:cs="宋体"/>
          <w:szCs w:val="24"/>
          <w:lang w:eastAsia="zh-CN"/>
        </w:rPr>
        <w:t>投标人</w:t>
      </w:r>
      <w:r>
        <w:rPr>
          <w:rFonts w:hint="eastAsia" w:ascii="宋体" w:hAnsi="宋体" w:eastAsia="宋体" w:cs="宋体"/>
          <w:szCs w:val="24"/>
        </w:rPr>
        <w:t>按招标文件的要求，依据评审方法附件</w:t>
      </w:r>
      <w:r>
        <w:rPr>
          <w:rFonts w:hint="eastAsia" w:hAnsi="宋体" w:cs="宋体"/>
          <w:szCs w:val="24"/>
          <w:lang w:val="en-US" w:eastAsia="zh-CN"/>
        </w:rPr>
        <w:t>3</w:t>
      </w:r>
      <w:r>
        <w:rPr>
          <w:rFonts w:hint="eastAsia" w:ascii="宋体" w:hAnsi="宋体" w:eastAsia="宋体" w:cs="宋体"/>
          <w:szCs w:val="24"/>
        </w:rPr>
        <w:t>“</w:t>
      </w:r>
      <w:r>
        <w:rPr>
          <w:rFonts w:hint="eastAsia" w:ascii="宋体" w:hAnsi="宋体" w:eastAsia="宋体" w:cs="宋体"/>
          <w:b/>
          <w:spacing w:val="4"/>
          <w:szCs w:val="24"/>
        </w:rPr>
        <w:t>评标因素及权重分值表</w:t>
      </w:r>
      <w:r>
        <w:rPr>
          <w:rFonts w:hint="eastAsia" w:ascii="宋体" w:hAnsi="宋体" w:eastAsia="宋体" w:cs="宋体"/>
          <w:szCs w:val="24"/>
        </w:rPr>
        <w:t>”相关内容编写，格式自拟。</w:t>
      </w:r>
      <w:r>
        <w:rPr>
          <w:rFonts w:hint="eastAsia" w:ascii="宋体" w:hAnsi="宋体" w:eastAsia="宋体" w:cs="宋体"/>
          <w:b/>
          <w:color w:val="auto"/>
          <w:szCs w:val="24"/>
          <w:highlight w:val="none"/>
        </w:rPr>
        <w:br w:type="page"/>
      </w:r>
      <w:r>
        <w:rPr>
          <w:rFonts w:hint="eastAsia" w:ascii="宋体" w:hAnsi="宋体" w:eastAsia="宋体" w:cs="宋体"/>
          <w:b/>
          <w:szCs w:val="24"/>
        </w:rPr>
        <w:t>附表1</w:t>
      </w:r>
    </w:p>
    <w:p>
      <w:pPr>
        <w:spacing w:after="120"/>
        <w:jc w:val="center"/>
        <w:rPr>
          <w:rFonts w:hint="eastAsia" w:ascii="宋体" w:hAnsi="宋体" w:eastAsia="宋体" w:cs="宋体"/>
          <w:b/>
          <w:sz w:val="32"/>
          <w:szCs w:val="32"/>
        </w:rPr>
      </w:pPr>
      <w:r>
        <w:rPr>
          <w:rFonts w:hint="eastAsia" w:ascii="宋体" w:hAnsi="宋体" w:eastAsia="宋体" w:cs="宋体"/>
          <w:b/>
          <w:sz w:val="32"/>
          <w:szCs w:val="32"/>
        </w:rPr>
        <w:t>技术规格响应表</w:t>
      </w:r>
    </w:p>
    <w:p>
      <w:pPr>
        <w:spacing w:after="120"/>
        <w:ind w:firstLine="120" w:firstLineChars="50"/>
        <w:rPr>
          <w:rFonts w:hint="eastAsia" w:ascii="宋体" w:hAnsi="宋体" w:eastAsia="宋体" w:cs="宋体"/>
          <w:szCs w:val="24"/>
        </w:rPr>
      </w:pPr>
      <w:r>
        <w:rPr>
          <w:rFonts w:hint="eastAsia" w:ascii="宋体" w:hAnsi="宋体" w:eastAsia="宋体" w:cs="宋体"/>
          <w:szCs w:val="24"/>
        </w:rPr>
        <w:t xml:space="preserve">                                      </w:t>
      </w:r>
    </w:p>
    <w:tbl>
      <w:tblPr>
        <w:tblStyle w:val="25"/>
        <w:tblW w:w="9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28"/>
        <w:gridCol w:w="1353"/>
        <w:gridCol w:w="1714"/>
        <w:gridCol w:w="2566"/>
        <w:gridCol w:w="1290"/>
        <w:gridCol w:w="8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vAlign w:val="center"/>
          </w:tcPr>
          <w:p>
            <w:pPr>
              <w:spacing w:before="166" w:beforeLines="50"/>
              <w:jc w:val="center"/>
              <w:rPr>
                <w:rFonts w:hint="eastAsia" w:ascii="宋体" w:hAnsi="宋体" w:eastAsia="宋体" w:cs="宋体"/>
                <w:szCs w:val="24"/>
              </w:rPr>
            </w:pPr>
            <w:r>
              <w:rPr>
                <w:rFonts w:hint="eastAsia" w:ascii="宋体" w:hAnsi="宋体" w:eastAsia="宋体" w:cs="宋体"/>
                <w:szCs w:val="24"/>
              </w:rPr>
              <w:t>序号</w:t>
            </w:r>
          </w:p>
        </w:tc>
        <w:tc>
          <w:tcPr>
            <w:tcW w:w="1353" w:type="dxa"/>
            <w:tcBorders>
              <w:tl2br w:val="nil"/>
              <w:tr2bl w:val="nil"/>
            </w:tcBorders>
            <w:vAlign w:val="center"/>
          </w:tcPr>
          <w:p>
            <w:pPr>
              <w:spacing w:before="166" w:beforeLines="50"/>
              <w:jc w:val="center"/>
              <w:rPr>
                <w:rFonts w:hint="eastAsia" w:ascii="宋体" w:hAnsi="宋体" w:eastAsia="宋体" w:cs="宋体"/>
                <w:szCs w:val="24"/>
              </w:rPr>
            </w:pPr>
            <w:r>
              <w:rPr>
                <w:rFonts w:hint="eastAsia" w:ascii="宋体" w:hAnsi="宋体" w:eastAsia="宋体" w:cs="宋体"/>
              </w:rPr>
              <w:t>品目</w:t>
            </w:r>
          </w:p>
        </w:tc>
        <w:tc>
          <w:tcPr>
            <w:tcW w:w="1714" w:type="dxa"/>
            <w:tcBorders>
              <w:tl2br w:val="nil"/>
              <w:tr2bl w:val="nil"/>
            </w:tcBorders>
            <w:vAlign w:val="center"/>
          </w:tcPr>
          <w:p>
            <w:pPr>
              <w:spacing w:before="166" w:beforeLines="50"/>
              <w:jc w:val="center"/>
              <w:rPr>
                <w:rFonts w:hint="eastAsia" w:ascii="宋体" w:hAnsi="宋体" w:eastAsia="宋体" w:cs="宋体"/>
                <w:szCs w:val="24"/>
              </w:rPr>
            </w:pPr>
            <w:r>
              <w:rPr>
                <w:rFonts w:hint="eastAsia" w:ascii="宋体" w:hAnsi="宋体" w:eastAsia="宋体" w:cs="宋体"/>
                <w:szCs w:val="24"/>
              </w:rPr>
              <w:t>招标规格 ☆1</w:t>
            </w:r>
          </w:p>
        </w:tc>
        <w:tc>
          <w:tcPr>
            <w:tcW w:w="2566" w:type="dxa"/>
            <w:tcBorders>
              <w:tl2br w:val="nil"/>
              <w:tr2bl w:val="nil"/>
            </w:tcBorders>
            <w:vAlign w:val="center"/>
          </w:tcPr>
          <w:p>
            <w:pPr>
              <w:spacing w:before="166" w:beforeLines="50"/>
              <w:jc w:val="center"/>
              <w:rPr>
                <w:rFonts w:hint="eastAsia" w:ascii="宋体" w:hAnsi="宋体" w:eastAsia="宋体" w:cs="宋体"/>
                <w:szCs w:val="24"/>
              </w:rPr>
            </w:pPr>
            <w:r>
              <w:rPr>
                <w:rFonts w:hint="eastAsia" w:ascii="宋体" w:hAnsi="宋体" w:eastAsia="宋体" w:cs="宋体"/>
                <w:szCs w:val="24"/>
              </w:rPr>
              <w:t>投标规格 ☆2</w:t>
            </w:r>
          </w:p>
        </w:tc>
        <w:tc>
          <w:tcPr>
            <w:tcW w:w="1290" w:type="dxa"/>
            <w:tcBorders>
              <w:tl2br w:val="nil"/>
              <w:tr2bl w:val="nil"/>
            </w:tcBorders>
            <w:vAlign w:val="center"/>
          </w:tcPr>
          <w:p>
            <w:pPr>
              <w:spacing w:before="166" w:beforeLines="50"/>
              <w:jc w:val="center"/>
              <w:rPr>
                <w:rFonts w:hint="eastAsia" w:ascii="宋体" w:hAnsi="宋体" w:eastAsia="宋体" w:cs="宋体"/>
                <w:szCs w:val="24"/>
              </w:rPr>
            </w:pPr>
            <w:r>
              <w:rPr>
                <w:rFonts w:hint="eastAsia" w:ascii="宋体" w:hAnsi="宋体" w:eastAsia="宋体" w:cs="宋体"/>
                <w:szCs w:val="24"/>
              </w:rPr>
              <w:t>偏离说明</w:t>
            </w:r>
          </w:p>
        </w:tc>
        <w:tc>
          <w:tcPr>
            <w:tcW w:w="880" w:type="dxa"/>
            <w:tcBorders>
              <w:tl2br w:val="nil"/>
              <w:tr2bl w:val="nil"/>
            </w:tcBorders>
            <w:vAlign w:val="center"/>
          </w:tcPr>
          <w:p>
            <w:pPr>
              <w:spacing w:before="166" w:beforeLines="50"/>
              <w:jc w:val="center"/>
              <w:rPr>
                <w:rFonts w:hint="eastAsia" w:ascii="宋体" w:hAnsi="宋体" w:eastAsia="宋体" w:cs="宋体"/>
                <w:szCs w:val="24"/>
              </w:rPr>
            </w:pPr>
            <w:r>
              <w:rPr>
                <w:rFonts w:hint="eastAsia" w:ascii="宋体" w:hAnsi="宋体" w:eastAsia="宋体" w:cs="宋体"/>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pPr>
              <w:rPr>
                <w:rFonts w:hint="eastAsia" w:ascii="宋体" w:hAnsi="宋体" w:eastAsia="宋体" w:cs="宋体"/>
                <w:szCs w:val="24"/>
              </w:rPr>
            </w:pPr>
          </w:p>
        </w:tc>
        <w:tc>
          <w:tcPr>
            <w:tcW w:w="1353" w:type="dxa"/>
            <w:tcBorders>
              <w:tl2br w:val="nil"/>
              <w:tr2bl w:val="nil"/>
            </w:tcBorders>
          </w:tcPr>
          <w:p>
            <w:pPr>
              <w:rPr>
                <w:rFonts w:hint="eastAsia" w:ascii="宋体" w:hAnsi="宋体" w:eastAsia="宋体" w:cs="宋体"/>
                <w:szCs w:val="24"/>
              </w:rPr>
            </w:pPr>
          </w:p>
        </w:tc>
        <w:tc>
          <w:tcPr>
            <w:tcW w:w="1714" w:type="dxa"/>
            <w:tcBorders>
              <w:tl2br w:val="nil"/>
              <w:tr2bl w:val="nil"/>
            </w:tcBorders>
          </w:tcPr>
          <w:p>
            <w:pPr>
              <w:rPr>
                <w:rFonts w:hint="eastAsia" w:ascii="宋体" w:hAnsi="宋体" w:eastAsia="宋体" w:cs="宋体"/>
                <w:szCs w:val="24"/>
              </w:rPr>
            </w:pPr>
          </w:p>
        </w:tc>
        <w:tc>
          <w:tcPr>
            <w:tcW w:w="2566" w:type="dxa"/>
            <w:tcBorders>
              <w:tl2br w:val="nil"/>
              <w:tr2bl w:val="nil"/>
            </w:tcBorders>
          </w:tcPr>
          <w:p>
            <w:pPr>
              <w:rPr>
                <w:rFonts w:hint="eastAsia" w:ascii="宋体" w:hAnsi="宋体" w:eastAsia="宋体" w:cs="宋体"/>
                <w:szCs w:val="24"/>
              </w:rPr>
            </w:pPr>
          </w:p>
        </w:tc>
        <w:tc>
          <w:tcPr>
            <w:tcW w:w="1290" w:type="dxa"/>
            <w:tcBorders>
              <w:tl2br w:val="nil"/>
              <w:tr2bl w:val="nil"/>
            </w:tcBorders>
          </w:tcPr>
          <w:p>
            <w:pPr>
              <w:rPr>
                <w:rFonts w:hint="eastAsia" w:ascii="宋体" w:hAnsi="宋体" w:eastAsia="宋体" w:cs="宋体"/>
                <w:szCs w:val="24"/>
              </w:rPr>
            </w:pPr>
          </w:p>
        </w:tc>
        <w:tc>
          <w:tcPr>
            <w:tcW w:w="880" w:type="dxa"/>
            <w:tcBorders>
              <w:tl2br w:val="nil"/>
              <w:tr2bl w:val="nil"/>
            </w:tcBorders>
          </w:tcPr>
          <w:p>
            <w:pPr>
              <w:rPr>
                <w:rFonts w:hint="eastAsia" w:ascii="宋体" w:hAnsi="宋体" w:eastAsia="宋体"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pPr>
              <w:rPr>
                <w:rFonts w:hint="eastAsia" w:ascii="宋体" w:hAnsi="宋体" w:eastAsia="宋体" w:cs="宋体"/>
                <w:szCs w:val="24"/>
              </w:rPr>
            </w:pPr>
          </w:p>
        </w:tc>
        <w:tc>
          <w:tcPr>
            <w:tcW w:w="1353" w:type="dxa"/>
            <w:tcBorders>
              <w:tl2br w:val="nil"/>
              <w:tr2bl w:val="nil"/>
            </w:tcBorders>
          </w:tcPr>
          <w:p>
            <w:pPr>
              <w:rPr>
                <w:rFonts w:hint="eastAsia" w:ascii="宋体" w:hAnsi="宋体" w:eastAsia="宋体" w:cs="宋体"/>
                <w:szCs w:val="24"/>
              </w:rPr>
            </w:pPr>
          </w:p>
        </w:tc>
        <w:tc>
          <w:tcPr>
            <w:tcW w:w="1714" w:type="dxa"/>
            <w:tcBorders>
              <w:tl2br w:val="nil"/>
              <w:tr2bl w:val="nil"/>
            </w:tcBorders>
          </w:tcPr>
          <w:p>
            <w:pPr>
              <w:rPr>
                <w:rFonts w:hint="eastAsia" w:ascii="宋体" w:hAnsi="宋体" w:eastAsia="宋体" w:cs="宋体"/>
                <w:szCs w:val="24"/>
              </w:rPr>
            </w:pPr>
          </w:p>
        </w:tc>
        <w:tc>
          <w:tcPr>
            <w:tcW w:w="2566" w:type="dxa"/>
            <w:tcBorders>
              <w:tl2br w:val="nil"/>
              <w:tr2bl w:val="nil"/>
            </w:tcBorders>
          </w:tcPr>
          <w:p>
            <w:pPr>
              <w:rPr>
                <w:rFonts w:hint="eastAsia" w:ascii="宋体" w:hAnsi="宋体" w:eastAsia="宋体" w:cs="宋体"/>
                <w:szCs w:val="24"/>
              </w:rPr>
            </w:pPr>
          </w:p>
        </w:tc>
        <w:tc>
          <w:tcPr>
            <w:tcW w:w="1290" w:type="dxa"/>
            <w:tcBorders>
              <w:tl2br w:val="nil"/>
              <w:tr2bl w:val="nil"/>
            </w:tcBorders>
          </w:tcPr>
          <w:p>
            <w:pPr>
              <w:rPr>
                <w:rFonts w:hint="eastAsia" w:ascii="宋体" w:hAnsi="宋体" w:eastAsia="宋体" w:cs="宋体"/>
                <w:szCs w:val="24"/>
              </w:rPr>
            </w:pPr>
          </w:p>
        </w:tc>
        <w:tc>
          <w:tcPr>
            <w:tcW w:w="880" w:type="dxa"/>
            <w:tcBorders>
              <w:tl2br w:val="nil"/>
              <w:tr2bl w:val="nil"/>
            </w:tcBorders>
          </w:tcPr>
          <w:p>
            <w:pPr>
              <w:rPr>
                <w:rFonts w:hint="eastAsia" w:ascii="宋体" w:hAnsi="宋体" w:eastAsia="宋体"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pPr>
              <w:rPr>
                <w:rFonts w:hint="eastAsia" w:ascii="宋体" w:hAnsi="宋体" w:eastAsia="宋体" w:cs="宋体"/>
                <w:szCs w:val="24"/>
              </w:rPr>
            </w:pPr>
          </w:p>
        </w:tc>
        <w:tc>
          <w:tcPr>
            <w:tcW w:w="1353" w:type="dxa"/>
            <w:tcBorders>
              <w:tl2br w:val="nil"/>
              <w:tr2bl w:val="nil"/>
            </w:tcBorders>
          </w:tcPr>
          <w:p>
            <w:pPr>
              <w:rPr>
                <w:rFonts w:hint="eastAsia" w:ascii="宋体" w:hAnsi="宋体" w:eastAsia="宋体" w:cs="宋体"/>
                <w:szCs w:val="24"/>
              </w:rPr>
            </w:pPr>
          </w:p>
        </w:tc>
        <w:tc>
          <w:tcPr>
            <w:tcW w:w="1714" w:type="dxa"/>
            <w:tcBorders>
              <w:tl2br w:val="nil"/>
              <w:tr2bl w:val="nil"/>
            </w:tcBorders>
          </w:tcPr>
          <w:p>
            <w:pPr>
              <w:rPr>
                <w:rFonts w:hint="eastAsia" w:ascii="宋体" w:hAnsi="宋体" w:eastAsia="宋体" w:cs="宋体"/>
                <w:szCs w:val="24"/>
              </w:rPr>
            </w:pPr>
          </w:p>
        </w:tc>
        <w:tc>
          <w:tcPr>
            <w:tcW w:w="2566" w:type="dxa"/>
            <w:tcBorders>
              <w:tl2br w:val="nil"/>
              <w:tr2bl w:val="nil"/>
            </w:tcBorders>
          </w:tcPr>
          <w:p>
            <w:pPr>
              <w:rPr>
                <w:rFonts w:hint="eastAsia" w:ascii="宋体" w:hAnsi="宋体" w:eastAsia="宋体" w:cs="宋体"/>
                <w:szCs w:val="24"/>
              </w:rPr>
            </w:pPr>
          </w:p>
        </w:tc>
        <w:tc>
          <w:tcPr>
            <w:tcW w:w="1290" w:type="dxa"/>
            <w:tcBorders>
              <w:tl2br w:val="nil"/>
              <w:tr2bl w:val="nil"/>
            </w:tcBorders>
          </w:tcPr>
          <w:p>
            <w:pPr>
              <w:rPr>
                <w:rFonts w:hint="eastAsia" w:ascii="宋体" w:hAnsi="宋体" w:eastAsia="宋体" w:cs="宋体"/>
                <w:szCs w:val="24"/>
              </w:rPr>
            </w:pPr>
          </w:p>
        </w:tc>
        <w:tc>
          <w:tcPr>
            <w:tcW w:w="880" w:type="dxa"/>
            <w:tcBorders>
              <w:tl2br w:val="nil"/>
              <w:tr2bl w:val="nil"/>
            </w:tcBorders>
          </w:tcPr>
          <w:p>
            <w:pPr>
              <w:rPr>
                <w:rFonts w:hint="eastAsia" w:ascii="宋体" w:hAnsi="宋体" w:eastAsia="宋体"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pPr>
              <w:rPr>
                <w:rFonts w:hint="eastAsia" w:ascii="宋体" w:hAnsi="宋体" w:eastAsia="宋体" w:cs="宋体"/>
                <w:szCs w:val="24"/>
              </w:rPr>
            </w:pPr>
          </w:p>
        </w:tc>
        <w:tc>
          <w:tcPr>
            <w:tcW w:w="1353" w:type="dxa"/>
            <w:tcBorders>
              <w:tl2br w:val="nil"/>
              <w:tr2bl w:val="nil"/>
            </w:tcBorders>
          </w:tcPr>
          <w:p>
            <w:pPr>
              <w:rPr>
                <w:rFonts w:hint="eastAsia" w:ascii="宋体" w:hAnsi="宋体" w:eastAsia="宋体" w:cs="宋体"/>
                <w:szCs w:val="24"/>
              </w:rPr>
            </w:pPr>
          </w:p>
        </w:tc>
        <w:tc>
          <w:tcPr>
            <w:tcW w:w="1714" w:type="dxa"/>
            <w:tcBorders>
              <w:tl2br w:val="nil"/>
              <w:tr2bl w:val="nil"/>
            </w:tcBorders>
          </w:tcPr>
          <w:p>
            <w:pPr>
              <w:rPr>
                <w:rFonts w:hint="eastAsia" w:ascii="宋体" w:hAnsi="宋体" w:eastAsia="宋体" w:cs="宋体"/>
                <w:szCs w:val="24"/>
              </w:rPr>
            </w:pPr>
          </w:p>
        </w:tc>
        <w:tc>
          <w:tcPr>
            <w:tcW w:w="2566" w:type="dxa"/>
            <w:tcBorders>
              <w:tl2br w:val="nil"/>
              <w:tr2bl w:val="nil"/>
            </w:tcBorders>
          </w:tcPr>
          <w:p>
            <w:pPr>
              <w:rPr>
                <w:rFonts w:hint="eastAsia" w:ascii="宋体" w:hAnsi="宋体" w:eastAsia="宋体" w:cs="宋体"/>
                <w:szCs w:val="24"/>
              </w:rPr>
            </w:pPr>
          </w:p>
        </w:tc>
        <w:tc>
          <w:tcPr>
            <w:tcW w:w="1290" w:type="dxa"/>
            <w:tcBorders>
              <w:tl2br w:val="nil"/>
              <w:tr2bl w:val="nil"/>
            </w:tcBorders>
          </w:tcPr>
          <w:p>
            <w:pPr>
              <w:rPr>
                <w:rFonts w:hint="eastAsia" w:ascii="宋体" w:hAnsi="宋体" w:eastAsia="宋体" w:cs="宋体"/>
                <w:szCs w:val="24"/>
              </w:rPr>
            </w:pPr>
          </w:p>
        </w:tc>
        <w:tc>
          <w:tcPr>
            <w:tcW w:w="880" w:type="dxa"/>
            <w:tcBorders>
              <w:tl2br w:val="nil"/>
              <w:tr2bl w:val="nil"/>
            </w:tcBorders>
          </w:tcPr>
          <w:p>
            <w:pPr>
              <w:rPr>
                <w:rFonts w:hint="eastAsia" w:ascii="宋体" w:hAnsi="宋体" w:eastAsia="宋体"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pPr>
              <w:rPr>
                <w:rFonts w:hint="eastAsia" w:ascii="宋体" w:hAnsi="宋体" w:eastAsia="宋体" w:cs="宋体"/>
                <w:szCs w:val="24"/>
              </w:rPr>
            </w:pPr>
          </w:p>
        </w:tc>
        <w:tc>
          <w:tcPr>
            <w:tcW w:w="1353" w:type="dxa"/>
            <w:tcBorders>
              <w:tl2br w:val="nil"/>
              <w:tr2bl w:val="nil"/>
            </w:tcBorders>
          </w:tcPr>
          <w:p>
            <w:pPr>
              <w:rPr>
                <w:rFonts w:hint="eastAsia" w:ascii="宋体" w:hAnsi="宋体" w:eastAsia="宋体" w:cs="宋体"/>
                <w:szCs w:val="24"/>
              </w:rPr>
            </w:pPr>
          </w:p>
        </w:tc>
        <w:tc>
          <w:tcPr>
            <w:tcW w:w="1714" w:type="dxa"/>
            <w:tcBorders>
              <w:tl2br w:val="nil"/>
              <w:tr2bl w:val="nil"/>
            </w:tcBorders>
          </w:tcPr>
          <w:p>
            <w:pPr>
              <w:rPr>
                <w:rFonts w:hint="eastAsia" w:ascii="宋体" w:hAnsi="宋体" w:eastAsia="宋体" w:cs="宋体"/>
                <w:szCs w:val="24"/>
              </w:rPr>
            </w:pPr>
          </w:p>
        </w:tc>
        <w:tc>
          <w:tcPr>
            <w:tcW w:w="2566" w:type="dxa"/>
            <w:tcBorders>
              <w:tl2br w:val="nil"/>
              <w:tr2bl w:val="nil"/>
            </w:tcBorders>
          </w:tcPr>
          <w:p>
            <w:pPr>
              <w:rPr>
                <w:rFonts w:hint="eastAsia" w:ascii="宋体" w:hAnsi="宋体" w:eastAsia="宋体" w:cs="宋体"/>
                <w:szCs w:val="24"/>
              </w:rPr>
            </w:pPr>
          </w:p>
        </w:tc>
        <w:tc>
          <w:tcPr>
            <w:tcW w:w="1290" w:type="dxa"/>
            <w:tcBorders>
              <w:tl2br w:val="nil"/>
              <w:tr2bl w:val="nil"/>
            </w:tcBorders>
          </w:tcPr>
          <w:p>
            <w:pPr>
              <w:rPr>
                <w:rFonts w:hint="eastAsia" w:ascii="宋体" w:hAnsi="宋体" w:eastAsia="宋体" w:cs="宋体"/>
                <w:szCs w:val="24"/>
              </w:rPr>
            </w:pPr>
          </w:p>
        </w:tc>
        <w:tc>
          <w:tcPr>
            <w:tcW w:w="880" w:type="dxa"/>
            <w:tcBorders>
              <w:tl2br w:val="nil"/>
              <w:tr2bl w:val="nil"/>
            </w:tcBorders>
          </w:tcPr>
          <w:p>
            <w:pPr>
              <w:rPr>
                <w:rFonts w:hint="eastAsia" w:ascii="宋体" w:hAnsi="宋体" w:eastAsia="宋体" w:cs="宋体"/>
                <w:szCs w:val="24"/>
              </w:rPr>
            </w:pPr>
          </w:p>
        </w:tc>
      </w:tr>
    </w:tbl>
    <w:p>
      <w:pPr>
        <w:rPr>
          <w:rFonts w:hint="eastAsia" w:ascii="宋体" w:hAnsi="宋体" w:eastAsia="宋体" w:cs="宋体"/>
        </w:rPr>
      </w:pPr>
    </w:p>
    <w:p>
      <w:pPr>
        <w:rPr>
          <w:rFonts w:hint="eastAsia" w:ascii="宋体" w:hAnsi="宋体" w:eastAsia="宋体" w:cs="宋体"/>
          <w:szCs w:val="24"/>
        </w:rPr>
      </w:pPr>
    </w:p>
    <w:p>
      <w:pPr>
        <w:spacing w:line="520" w:lineRule="exact"/>
        <w:ind w:firstLine="480" w:firstLineChars="200"/>
        <w:rPr>
          <w:rFonts w:hint="eastAsia" w:ascii="宋体" w:hAnsi="宋体" w:eastAsia="宋体" w:cs="宋体"/>
          <w:szCs w:val="24"/>
        </w:rPr>
      </w:pPr>
      <w:r>
        <w:rPr>
          <w:rFonts w:hint="eastAsia" w:hAnsi="宋体" w:cs="宋体"/>
          <w:szCs w:val="24"/>
          <w:lang w:eastAsia="zh-CN"/>
        </w:rPr>
        <w:t>投标人</w:t>
      </w:r>
      <w:r>
        <w:rPr>
          <w:rFonts w:hint="eastAsia" w:ascii="宋体" w:hAnsi="宋体" w:eastAsia="宋体" w:cs="宋体"/>
          <w:szCs w:val="24"/>
        </w:rPr>
        <w:t>名称：</w:t>
      </w:r>
      <w:r>
        <w:rPr>
          <w:rFonts w:hint="eastAsia" w:ascii="宋体" w:hAnsi="宋体" w:eastAsia="宋体" w:cs="宋体"/>
          <w:szCs w:val="24"/>
          <w:u w:val="single"/>
        </w:rPr>
        <w:t xml:space="preserve">                        </w:t>
      </w:r>
      <w:r>
        <w:rPr>
          <w:rFonts w:hint="eastAsia" w:ascii="宋体" w:hAnsi="宋体" w:eastAsia="宋体" w:cs="宋体"/>
          <w:szCs w:val="24"/>
        </w:rPr>
        <w:t>（盖单位公章）</w:t>
      </w:r>
    </w:p>
    <w:p>
      <w:pPr>
        <w:spacing w:line="500" w:lineRule="exact"/>
        <w:ind w:firstLine="496" w:firstLineChars="200"/>
        <w:jc w:val="left"/>
        <w:rPr>
          <w:rFonts w:hint="eastAsia" w:ascii="宋体" w:hAnsi="宋体" w:eastAsia="宋体" w:cs="宋体"/>
          <w:spacing w:val="4"/>
        </w:rPr>
      </w:pPr>
    </w:p>
    <w:p>
      <w:pPr>
        <w:spacing w:line="500" w:lineRule="exact"/>
        <w:ind w:firstLine="496" w:firstLineChars="200"/>
        <w:jc w:val="left"/>
        <w:rPr>
          <w:rFonts w:hint="eastAsia" w:ascii="宋体" w:hAnsi="宋体" w:eastAsia="宋体" w:cs="宋体"/>
          <w:spacing w:val="4"/>
        </w:rPr>
      </w:pPr>
      <w:r>
        <w:rPr>
          <w:rFonts w:hint="eastAsia" w:ascii="宋体" w:hAnsi="宋体" w:eastAsia="宋体" w:cs="宋体"/>
          <w:spacing w:val="4"/>
        </w:rPr>
        <w:t>法定代表人或被授权人：</w:t>
      </w:r>
      <w:r>
        <w:rPr>
          <w:rFonts w:hint="eastAsia" w:ascii="宋体" w:hAnsi="宋体" w:eastAsia="宋体" w:cs="宋体"/>
          <w:spacing w:val="4"/>
          <w:u w:val="single"/>
        </w:rPr>
        <w:t xml:space="preserve">      </w:t>
      </w:r>
      <w:r>
        <w:rPr>
          <w:rFonts w:hint="eastAsia" w:ascii="宋体" w:hAnsi="宋体" w:eastAsia="宋体" w:cs="宋体"/>
          <w:spacing w:val="4"/>
        </w:rPr>
        <w:t>（签字或盖章）</w:t>
      </w:r>
    </w:p>
    <w:p>
      <w:pPr>
        <w:spacing w:line="520" w:lineRule="exact"/>
        <w:ind w:firstLine="480" w:firstLineChars="200"/>
        <w:rPr>
          <w:rFonts w:hint="eastAsia" w:ascii="宋体" w:hAnsi="宋体" w:eastAsia="宋体" w:cs="宋体"/>
          <w:szCs w:val="24"/>
        </w:rPr>
      </w:pPr>
    </w:p>
    <w:p>
      <w:pPr>
        <w:spacing w:line="520" w:lineRule="exact"/>
        <w:ind w:firstLine="480" w:firstLineChars="200"/>
        <w:rPr>
          <w:rFonts w:hint="eastAsia" w:ascii="宋体" w:hAnsi="宋体" w:eastAsia="宋体" w:cs="宋体"/>
          <w:szCs w:val="24"/>
        </w:rPr>
      </w:pPr>
      <w:r>
        <w:rPr>
          <w:rFonts w:hint="eastAsia" w:ascii="宋体" w:hAnsi="宋体" w:eastAsia="宋体" w:cs="宋体"/>
          <w:szCs w:val="24"/>
        </w:rPr>
        <w:t>日      期：      年   月    日</w:t>
      </w:r>
    </w:p>
    <w:p>
      <w:pPr>
        <w:adjustRightInd w:val="0"/>
        <w:snapToGrid w:val="0"/>
        <w:spacing w:line="440" w:lineRule="exact"/>
        <w:ind w:left="137" w:leftChars="57" w:firstLine="1446" w:firstLineChars="600"/>
        <w:rPr>
          <w:rFonts w:hint="eastAsia" w:ascii="宋体" w:hAnsi="宋体" w:eastAsia="宋体" w:cs="宋体"/>
          <w:b/>
          <w:bCs/>
          <w:szCs w:val="24"/>
        </w:rPr>
      </w:pPr>
    </w:p>
    <w:p>
      <w:pPr>
        <w:rPr>
          <w:rFonts w:hint="eastAsia" w:ascii="宋体" w:hAnsi="宋体" w:eastAsia="宋体" w:cs="宋体"/>
          <w:szCs w:val="24"/>
        </w:rPr>
      </w:pPr>
    </w:p>
    <w:p>
      <w:pPr>
        <w:pStyle w:val="70"/>
        <w:rPr>
          <w:rFonts w:hint="eastAsia" w:ascii="宋体" w:hAnsi="宋体" w:eastAsia="宋体" w:cs="宋体"/>
          <w:szCs w:val="24"/>
        </w:rPr>
      </w:pPr>
      <w:r>
        <w:rPr>
          <w:rFonts w:hint="eastAsia" w:ascii="宋体" w:hAnsi="宋体" w:eastAsia="宋体" w:cs="宋体"/>
          <w:szCs w:val="24"/>
        </w:rPr>
        <w:t>注:  1、 ☆1指招标文件中的技术规格(参数),</w:t>
      </w:r>
      <w:r>
        <w:rPr>
          <w:rFonts w:hint="eastAsia" w:hAnsi="宋体" w:cs="宋体"/>
          <w:szCs w:val="24"/>
          <w:lang w:eastAsia="zh-CN"/>
        </w:rPr>
        <w:t>投标人</w:t>
      </w:r>
      <w:r>
        <w:rPr>
          <w:rFonts w:hint="eastAsia" w:ascii="宋体" w:hAnsi="宋体" w:eastAsia="宋体" w:cs="宋体"/>
          <w:szCs w:val="24"/>
        </w:rPr>
        <w:t>应按照招标文件中的内容逐项响应。</w:t>
      </w:r>
    </w:p>
    <w:p>
      <w:pPr>
        <w:pStyle w:val="70"/>
        <w:numPr>
          <w:ilvl w:val="0"/>
          <w:numId w:val="10"/>
        </w:numPr>
        <w:rPr>
          <w:rFonts w:hint="eastAsia" w:ascii="宋体" w:hAnsi="宋体" w:eastAsia="宋体" w:cs="宋体"/>
          <w:szCs w:val="24"/>
        </w:rPr>
      </w:pPr>
      <w:r>
        <w:rPr>
          <w:rFonts w:hint="eastAsia" w:ascii="宋体" w:hAnsi="宋体" w:eastAsia="宋体" w:cs="宋体"/>
          <w:szCs w:val="24"/>
        </w:rPr>
        <w:t>☆2 指</w:t>
      </w:r>
      <w:r>
        <w:rPr>
          <w:rFonts w:hint="eastAsia" w:hAnsi="宋体" w:cs="宋体"/>
          <w:szCs w:val="24"/>
          <w:lang w:eastAsia="zh-CN"/>
        </w:rPr>
        <w:t>投标人</w:t>
      </w:r>
      <w:r>
        <w:rPr>
          <w:rFonts w:hint="eastAsia" w:ascii="宋体" w:hAnsi="宋体" w:eastAsia="宋体" w:cs="宋体"/>
          <w:szCs w:val="24"/>
        </w:rPr>
        <w:t>拟提供的投标产品的功能及技术规格(参数),</w:t>
      </w:r>
      <w:r>
        <w:rPr>
          <w:rFonts w:hint="eastAsia" w:hAnsi="宋体" w:cs="宋体"/>
          <w:szCs w:val="24"/>
          <w:lang w:eastAsia="zh-CN"/>
        </w:rPr>
        <w:t>投标人</w:t>
      </w:r>
      <w:r>
        <w:rPr>
          <w:rFonts w:hint="eastAsia" w:ascii="宋体" w:hAnsi="宋体" w:eastAsia="宋体" w:cs="宋体"/>
          <w:szCs w:val="24"/>
        </w:rPr>
        <w:t xml:space="preserve">应逐条如实填写并提供相应的支持文件。 </w:t>
      </w:r>
    </w:p>
    <w:p>
      <w:pPr>
        <w:pStyle w:val="70"/>
        <w:numPr>
          <w:ilvl w:val="0"/>
          <w:numId w:val="10"/>
        </w:numPr>
        <w:rPr>
          <w:rFonts w:hint="eastAsia" w:ascii="宋体" w:hAnsi="宋体" w:eastAsia="宋体" w:cs="宋体"/>
          <w:szCs w:val="24"/>
        </w:rPr>
      </w:pPr>
      <w:r>
        <w:rPr>
          <w:rFonts w:hint="eastAsia" w:ascii="宋体" w:hAnsi="宋体" w:eastAsia="宋体" w:cs="宋体"/>
          <w:szCs w:val="24"/>
        </w:rPr>
        <w:t>偏离说明填写：优于、满足或低于。</w:t>
      </w:r>
    </w:p>
    <w:p>
      <w:pPr>
        <w:rPr>
          <w:rFonts w:hint="eastAsia" w:ascii="宋体" w:hAnsi="宋体" w:eastAsia="宋体" w:cs="宋体"/>
          <w:szCs w:val="24"/>
        </w:rPr>
      </w:pPr>
      <w:r>
        <w:rPr>
          <w:rFonts w:hint="eastAsia" w:ascii="宋体" w:hAnsi="宋体" w:eastAsia="宋体" w:cs="宋体"/>
          <w:szCs w:val="24"/>
        </w:rPr>
        <w:t xml:space="preserve">     </w:t>
      </w:r>
    </w:p>
    <w:p>
      <w:pPr>
        <w:spacing w:line="360" w:lineRule="auto"/>
        <w:rPr>
          <w:rFonts w:hint="eastAsia" w:ascii="宋体" w:hAnsi="宋体" w:eastAsia="宋体" w:cs="宋体"/>
          <w:szCs w:val="24"/>
        </w:rPr>
      </w:pPr>
      <w:r>
        <w:rPr>
          <w:rFonts w:hint="eastAsia" w:ascii="宋体" w:hAnsi="宋体" w:eastAsia="宋体" w:cs="宋体"/>
          <w:b/>
          <w:szCs w:val="24"/>
        </w:rPr>
        <w:br w:type="page"/>
      </w:r>
      <w:r>
        <w:rPr>
          <w:rFonts w:hint="eastAsia" w:ascii="宋体" w:hAnsi="宋体" w:eastAsia="宋体" w:cs="宋体"/>
          <w:b/>
          <w:szCs w:val="24"/>
        </w:rPr>
        <w:t>附表2 本项目拟投入人员汇总表</w:t>
      </w:r>
    </w:p>
    <w:p>
      <w:pPr>
        <w:pStyle w:val="46"/>
        <w:spacing w:before="166" w:beforeLines="50" w:line="360" w:lineRule="auto"/>
        <w:ind w:firstLine="0" w:firstLineChars="0"/>
        <w:jc w:val="center"/>
        <w:outlineLvl w:val="9"/>
        <w:rPr>
          <w:rFonts w:hint="eastAsia" w:ascii="宋体" w:hAnsi="宋体" w:eastAsia="宋体" w:cs="宋体"/>
          <w:color w:val="auto"/>
          <w:szCs w:val="24"/>
        </w:rPr>
      </w:pPr>
      <w:r>
        <w:rPr>
          <w:rFonts w:hint="eastAsia" w:ascii="宋体" w:hAnsi="宋体" w:eastAsia="宋体" w:cs="宋体"/>
          <w:color w:val="auto"/>
          <w:szCs w:val="24"/>
        </w:rPr>
        <w:t>（一）本项目拟投入人员汇总表</w:t>
      </w:r>
    </w:p>
    <w:tbl>
      <w:tblPr>
        <w:tblStyle w:val="25"/>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jc w:val="center"/>
        </w:trPr>
        <w:tc>
          <w:tcPr>
            <w:tcW w:w="557"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序号</w:t>
            </w:r>
          </w:p>
        </w:tc>
        <w:tc>
          <w:tcPr>
            <w:tcW w:w="1240"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姓  名</w:t>
            </w:r>
          </w:p>
        </w:tc>
        <w:tc>
          <w:tcPr>
            <w:tcW w:w="570"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性别</w:t>
            </w:r>
          </w:p>
        </w:tc>
        <w:tc>
          <w:tcPr>
            <w:tcW w:w="570"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年龄</w:t>
            </w:r>
          </w:p>
        </w:tc>
        <w:tc>
          <w:tcPr>
            <w:tcW w:w="570"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学历</w:t>
            </w:r>
          </w:p>
        </w:tc>
        <w:tc>
          <w:tcPr>
            <w:tcW w:w="835"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技术</w:t>
            </w:r>
          </w:p>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职称</w:t>
            </w:r>
          </w:p>
        </w:tc>
        <w:tc>
          <w:tcPr>
            <w:tcW w:w="1157" w:type="dxa"/>
            <w:tcMar>
              <w:top w:w="15" w:type="dxa"/>
              <w:left w:w="15" w:type="dxa"/>
              <w:bottom w:w="0" w:type="dxa"/>
              <w:right w:w="15" w:type="dxa"/>
            </w:tcMa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资格证</w:t>
            </w:r>
          </w:p>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书种类</w:t>
            </w:r>
          </w:p>
        </w:tc>
        <w:tc>
          <w:tcPr>
            <w:tcW w:w="748"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工作</w:t>
            </w:r>
          </w:p>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年限</w:t>
            </w:r>
          </w:p>
        </w:tc>
        <w:tc>
          <w:tcPr>
            <w:tcW w:w="1877"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拟担任的职务</w:t>
            </w:r>
          </w:p>
        </w:tc>
        <w:tc>
          <w:tcPr>
            <w:tcW w:w="680"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岗位</w:t>
            </w:r>
          </w:p>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bl>
    <w:p>
      <w:pPr>
        <w:pStyle w:val="48"/>
        <w:tabs>
          <w:tab w:val="left" w:pos="2040"/>
        </w:tabs>
        <w:spacing w:beforeLines="0" w:line="400" w:lineRule="exact"/>
        <w:ind w:left="0" w:firstLine="480" w:firstLineChars="200"/>
        <w:rPr>
          <w:rFonts w:hint="eastAsia" w:ascii="宋体" w:hAnsi="宋体" w:eastAsia="宋体" w:cs="宋体"/>
          <w:color w:val="auto"/>
          <w:szCs w:val="21"/>
        </w:rPr>
      </w:pPr>
      <w:r>
        <w:rPr>
          <w:rFonts w:hint="eastAsia" w:ascii="宋体" w:hAnsi="宋体" w:eastAsia="宋体" w:cs="宋体"/>
          <w:color w:val="auto"/>
          <w:szCs w:val="21"/>
        </w:rPr>
        <w:t>注：1、“岗位情况”须注明该人在本单位是在岗、返聘还是外聘。</w:t>
      </w:r>
    </w:p>
    <w:p>
      <w:pPr>
        <w:pStyle w:val="48"/>
        <w:tabs>
          <w:tab w:val="left" w:pos="2040"/>
        </w:tabs>
        <w:spacing w:beforeLines="0" w:line="400" w:lineRule="exact"/>
        <w:ind w:left="0" w:firstLine="960" w:firstLineChars="400"/>
        <w:rPr>
          <w:rFonts w:hint="eastAsia" w:ascii="宋体" w:hAnsi="宋体" w:eastAsia="宋体" w:cs="宋体"/>
          <w:color w:val="auto"/>
          <w:szCs w:val="21"/>
        </w:rPr>
      </w:pPr>
      <w:r>
        <w:rPr>
          <w:rFonts w:hint="eastAsia" w:ascii="宋体" w:hAnsi="宋体" w:eastAsia="宋体" w:cs="宋体"/>
          <w:color w:val="auto"/>
          <w:szCs w:val="21"/>
        </w:rPr>
        <w:t>2、</w:t>
      </w:r>
      <w:r>
        <w:rPr>
          <w:rFonts w:hint="eastAsia" w:hAnsi="宋体" w:eastAsia="宋体" w:cs="宋体"/>
          <w:color w:val="auto"/>
          <w:szCs w:val="21"/>
          <w:lang w:eastAsia="zh-CN"/>
        </w:rPr>
        <w:t>投标人</w:t>
      </w:r>
      <w:r>
        <w:rPr>
          <w:rFonts w:hint="eastAsia" w:ascii="宋体" w:hAnsi="宋体" w:eastAsia="宋体" w:cs="宋体"/>
          <w:color w:val="auto"/>
          <w:szCs w:val="21"/>
        </w:rPr>
        <w:t>可适当调整该表格式，但不得减少信息内容。</w:t>
      </w:r>
    </w:p>
    <w:p>
      <w:pPr>
        <w:pStyle w:val="49"/>
        <w:spacing w:beforeLines="0" w:afterLines="0" w:line="400" w:lineRule="exact"/>
        <w:ind w:left="0" w:leftChars="0" w:firstLine="420" w:firstLineChars="200"/>
        <w:jc w:val="both"/>
        <w:rPr>
          <w:rFonts w:hint="eastAsia" w:ascii="宋体" w:hAnsi="宋体" w:eastAsia="宋体" w:cs="宋体"/>
          <w:b w:val="0"/>
          <w:color w:val="auto"/>
          <w:sz w:val="21"/>
        </w:rPr>
      </w:pPr>
    </w:p>
    <w:p>
      <w:pPr>
        <w:pStyle w:val="46"/>
        <w:spacing w:line="360" w:lineRule="auto"/>
        <w:ind w:firstLine="0" w:firstLineChars="0"/>
        <w:jc w:val="center"/>
        <w:outlineLvl w:val="9"/>
        <w:rPr>
          <w:rFonts w:hint="eastAsia" w:ascii="宋体" w:hAnsi="宋体" w:eastAsia="宋体" w:cs="宋体"/>
          <w:color w:val="auto"/>
          <w:szCs w:val="24"/>
        </w:rPr>
      </w:pPr>
      <w:r>
        <w:rPr>
          <w:rFonts w:hint="eastAsia" w:ascii="宋体" w:hAnsi="宋体" w:eastAsia="宋体" w:cs="宋体"/>
          <w:color w:val="auto"/>
          <w:szCs w:val="24"/>
        </w:rPr>
        <w:br w:type="page"/>
      </w:r>
      <w:r>
        <w:rPr>
          <w:rFonts w:hint="eastAsia" w:ascii="宋体" w:hAnsi="宋体" w:eastAsia="宋体" w:cs="宋体"/>
          <w:color w:val="auto"/>
          <w:szCs w:val="24"/>
        </w:rPr>
        <w:t>（二） 本项目拟投入主要人员简历表</w:t>
      </w:r>
    </w:p>
    <w:p>
      <w:pPr>
        <w:pStyle w:val="46"/>
        <w:spacing w:line="360" w:lineRule="auto"/>
        <w:ind w:firstLine="0" w:firstLineChars="0"/>
        <w:jc w:val="center"/>
        <w:outlineLvl w:val="9"/>
        <w:rPr>
          <w:rFonts w:hint="eastAsia" w:ascii="宋体" w:hAnsi="宋体" w:eastAsia="宋体" w:cs="宋体"/>
          <w:color w:val="auto"/>
          <w:szCs w:val="24"/>
        </w:rPr>
      </w:pPr>
      <w:r>
        <w:rPr>
          <w:rFonts w:hint="eastAsia" w:ascii="宋体" w:hAnsi="宋体" w:eastAsia="宋体" w:cs="宋体"/>
          <w:color w:val="auto"/>
          <w:szCs w:val="24"/>
        </w:rPr>
        <w:t>本项目拟投入主要人员简历表</w:t>
      </w:r>
    </w:p>
    <w:tbl>
      <w:tblPr>
        <w:tblStyle w:val="25"/>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2"/>
        <w:gridCol w:w="1577"/>
        <w:gridCol w:w="1525"/>
        <w:gridCol w:w="1286"/>
        <w:gridCol w:w="45"/>
        <w:gridCol w:w="1709"/>
        <w:gridCol w:w="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姓  名</w:t>
            </w:r>
          </w:p>
        </w:tc>
        <w:tc>
          <w:tcPr>
            <w:tcW w:w="1577" w:type="dxa"/>
            <w:vAlign w:val="center"/>
          </w:tcPr>
          <w:p>
            <w:pPr>
              <w:pStyle w:val="47"/>
              <w:spacing w:line="400" w:lineRule="exact"/>
              <w:ind w:left="0" w:leftChars="0"/>
              <w:rPr>
                <w:rFonts w:hint="eastAsia" w:ascii="宋体" w:hAnsi="宋体" w:eastAsia="宋体" w:cs="宋体"/>
              </w:rPr>
            </w:pPr>
          </w:p>
        </w:tc>
        <w:tc>
          <w:tcPr>
            <w:tcW w:w="1525"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性 别</w:t>
            </w:r>
          </w:p>
        </w:tc>
        <w:tc>
          <w:tcPr>
            <w:tcW w:w="1331" w:type="dxa"/>
            <w:gridSpan w:val="2"/>
            <w:vAlign w:val="center"/>
          </w:tcPr>
          <w:p>
            <w:pPr>
              <w:pStyle w:val="47"/>
              <w:spacing w:line="400" w:lineRule="exact"/>
              <w:ind w:left="0" w:leftChars="0"/>
              <w:rPr>
                <w:rFonts w:hint="eastAsia" w:ascii="宋体" w:hAnsi="宋体" w:eastAsia="宋体" w:cs="宋体"/>
              </w:rPr>
            </w:pPr>
          </w:p>
        </w:tc>
        <w:tc>
          <w:tcPr>
            <w:tcW w:w="1709"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年 龄</w:t>
            </w:r>
          </w:p>
        </w:tc>
        <w:tc>
          <w:tcPr>
            <w:tcW w:w="1139" w:type="dxa"/>
            <w:gridSpan w:val="2"/>
            <w:vAlign w:val="center"/>
          </w:tcPr>
          <w:p>
            <w:pPr>
              <w:pStyle w:val="47"/>
              <w:spacing w:line="400" w:lineRule="exact"/>
              <w:ind w:left="0" w:leftChars="0" w:firstLine="48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2" w:type="dxa"/>
            <w:gridSpan w:val="2"/>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职  称</w:t>
            </w:r>
          </w:p>
        </w:tc>
        <w:tc>
          <w:tcPr>
            <w:tcW w:w="1577" w:type="dxa"/>
            <w:vAlign w:val="center"/>
          </w:tcPr>
          <w:p>
            <w:pPr>
              <w:pStyle w:val="47"/>
              <w:spacing w:line="400" w:lineRule="exact"/>
              <w:ind w:left="0" w:leftChars="0"/>
              <w:rPr>
                <w:rFonts w:hint="eastAsia" w:ascii="宋体" w:hAnsi="宋体" w:eastAsia="宋体" w:cs="宋体"/>
              </w:rPr>
            </w:pPr>
          </w:p>
        </w:tc>
        <w:tc>
          <w:tcPr>
            <w:tcW w:w="1525"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身份证号</w:t>
            </w:r>
          </w:p>
        </w:tc>
        <w:tc>
          <w:tcPr>
            <w:tcW w:w="1331" w:type="dxa"/>
            <w:gridSpan w:val="2"/>
            <w:vAlign w:val="center"/>
          </w:tcPr>
          <w:p>
            <w:pPr>
              <w:pStyle w:val="47"/>
              <w:spacing w:line="400" w:lineRule="exact"/>
              <w:ind w:left="0" w:leftChars="0"/>
              <w:rPr>
                <w:rFonts w:hint="eastAsia" w:ascii="宋体" w:hAnsi="宋体" w:eastAsia="宋体" w:cs="宋体"/>
              </w:rPr>
            </w:pPr>
          </w:p>
        </w:tc>
        <w:tc>
          <w:tcPr>
            <w:tcW w:w="1709"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专业/年限</w:t>
            </w:r>
          </w:p>
        </w:tc>
        <w:tc>
          <w:tcPr>
            <w:tcW w:w="1139" w:type="dxa"/>
            <w:gridSpan w:val="2"/>
            <w:vAlign w:val="center"/>
          </w:tcPr>
          <w:p>
            <w:pPr>
              <w:pStyle w:val="47"/>
              <w:spacing w:line="400" w:lineRule="exact"/>
              <w:ind w:left="0" w:leftChars="0" w:firstLine="48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毕业时间</w:t>
            </w:r>
          </w:p>
        </w:tc>
        <w:tc>
          <w:tcPr>
            <w:tcW w:w="1577" w:type="dxa"/>
            <w:vAlign w:val="center"/>
          </w:tcPr>
          <w:p>
            <w:pPr>
              <w:pStyle w:val="47"/>
              <w:spacing w:line="400" w:lineRule="exact"/>
              <w:ind w:left="0" w:leftChars="0"/>
              <w:rPr>
                <w:rFonts w:hint="eastAsia" w:ascii="宋体" w:hAnsi="宋体" w:eastAsia="宋体" w:cs="宋体"/>
              </w:rPr>
            </w:pPr>
          </w:p>
        </w:tc>
        <w:tc>
          <w:tcPr>
            <w:tcW w:w="1525"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毕业学校</w:t>
            </w:r>
          </w:p>
        </w:tc>
        <w:tc>
          <w:tcPr>
            <w:tcW w:w="1331" w:type="dxa"/>
            <w:gridSpan w:val="2"/>
            <w:vAlign w:val="center"/>
          </w:tcPr>
          <w:p>
            <w:pPr>
              <w:pStyle w:val="47"/>
              <w:spacing w:line="400" w:lineRule="exact"/>
              <w:ind w:left="0" w:leftChars="0"/>
              <w:rPr>
                <w:rFonts w:hint="eastAsia" w:ascii="宋体" w:hAnsi="宋体" w:eastAsia="宋体" w:cs="宋体"/>
              </w:rPr>
            </w:pPr>
          </w:p>
        </w:tc>
        <w:tc>
          <w:tcPr>
            <w:tcW w:w="1709"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学历/专业</w:t>
            </w:r>
          </w:p>
        </w:tc>
        <w:tc>
          <w:tcPr>
            <w:tcW w:w="1139" w:type="dxa"/>
            <w:gridSpan w:val="2"/>
            <w:vAlign w:val="center"/>
          </w:tcPr>
          <w:p>
            <w:pPr>
              <w:pStyle w:val="47"/>
              <w:spacing w:line="400" w:lineRule="exact"/>
              <w:ind w:left="0" w:leftChars="0" w:firstLine="48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资格证书</w:t>
            </w:r>
          </w:p>
        </w:tc>
        <w:tc>
          <w:tcPr>
            <w:tcW w:w="1577" w:type="dxa"/>
            <w:vAlign w:val="center"/>
          </w:tcPr>
          <w:p>
            <w:pPr>
              <w:pStyle w:val="47"/>
              <w:spacing w:line="400" w:lineRule="exact"/>
              <w:ind w:left="0" w:leftChars="0"/>
              <w:rPr>
                <w:rFonts w:hint="eastAsia" w:ascii="宋体" w:hAnsi="宋体" w:eastAsia="宋体" w:cs="宋体"/>
              </w:rPr>
            </w:pPr>
          </w:p>
        </w:tc>
        <w:tc>
          <w:tcPr>
            <w:tcW w:w="1525"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注册时间</w:t>
            </w:r>
          </w:p>
        </w:tc>
        <w:tc>
          <w:tcPr>
            <w:tcW w:w="1331" w:type="dxa"/>
            <w:gridSpan w:val="2"/>
            <w:vAlign w:val="center"/>
          </w:tcPr>
          <w:p>
            <w:pPr>
              <w:pStyle w:val="47"/>
              <w:spacing w:line="400" w:lineRule="exact"/>
              <w:ind w:left="0" w:leftChars="0"/>
              <w:rPr>
                <w:rFonts w:hint="eastAsia" w:ascii="宋体" w:hAnsi="宋体" w:eastAsia="宋体" w:cs="宋体"/>
              </w:rPr>
            </w:pPr>
          </w:p>
        </w:tc>
        <w:tc>
          <w:tcPr>
            <w:tcW w:w="1709"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从业时间</w:t>
            </w:r>
          </w:p>
        </w:tc>
        <w:tc>
          <w:tcPr>
            <w:tcW w:w="1139" w:type="dxa"/>
            <w:gridSpan w:val="2"/>
            <w:vAlign w:val="center"/>
          </w:tcPr>
          <w:p>
            <w:pPr>
              <w:pStyle w:val="47"/>
              <w:spacing w:line="400" w:lineRule="exact"/>
              <w:ind w:left="0" w:leftChars="0" w:firstLine="48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349" w:type="dxa"/>
            <w:gridSpan w:val="3"/>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是否属</w:t>
            </w:r>
            <w:r>
              <w:rPr>
                <w:rFonts w:hint="eastAsia" w:hAnsi="宋体" w:cs="宋体"/>
                <w:lang w:eastAsia="zh-CN"/>
              </w:rPr>
              <w:t>投标人</w:t>
            </w:r>
            <w:r>
              <w:rPr>
                <w:rFonts w:hint="eastAsia" w:ascii="宋体" w:hAnsi="宋体" w:eastAsia="宋体" w:cs="宋体"/>
              </w:rPr>
              <w:t>固定雇员</w:t>
            </w:r>
          </w:p>
        </w:tc>
        <w:tc>
          <w:tcPr>
            <w:tcW w:w="1525" w:type="dxa"/>
            <w:vAlign w:val="center"/>
          </w:tcPr>
          <w:p>
            <w:pPr>
              <w:pStyle w:val="47"/>
              <w:spacing w:line="400" w:lineRule="exact"/>
              <w:ind w:left="0" w:leftChars="0"/>
              <w:rPr>
                <w:rFonts w:hint="eastAsia" w:ascii="宋体" w:hAnsi="宋体" w:eastAsia="宋体" w:cs="宋体"/>
              </w:rPr>
            </w:pPr>
          </w:p>
        </w:tc>
        <w:tc>
          <w:tcPr>
            <w:tcW w:w="3040" w:type="dxa"/>
            <w:gridSpan w:val="3"/>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为</w:t>
            </w:r>
            <w:r>
              <w:rPr>
                <w:rFonts w:hint="eastAsia" w:hAnsi="宋体" w:cs="宋体"/>
                <w:lang w:eastAsia="zh-CN"/>
              </w:rPr>
              <w:t>投标人</w:t>
            </w:r>
            <w:r>
              <w:rPr>
                <w:rFonts w:hint="eastAsia" w:ascii="宋体" w:hAnsi="宋体" w:eastAsia="宋体" w:cs="宋体"/>
              </w:rPr>
              <w:t>服务时间</w:t>
            </w:r>
          </w:p>
        </w:tc>
        <w:tc>
          <w:tcPr>
            <w:tcW w:w="1139" w:type="dxa"/>
            <w:gridSpan w:val="2"/>
            <w:vAlign w:val="center"/>
          </w:tcPr>
          <w:p>
            <w:pPr>
              <w:pStyle w:val="47"/>
              <w:spacing w:line="400" w:lineRule="exact"/>
              <w:ind w:left="0" w:leftChars="0" w:firstLine="48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9" w:type="dxa"/>
            <w:gridSpan w:val="3"/>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拟在本项目担任职务</w:t>
            </w:r>
          </w:p>
        </w:tc>
        <w:tc>
          <w:tcPr>
            <w:tcW w:w="5704" w:type="dxa"/>
            <w:gridSpan w:val="6"/>
            <w:vAlign w:val="center"/>
          </w:tcPr>
          <w:p>
            <w:pPr>
              <w:pStyle w:val="47"/>
              <w:spacing w:line="400" w:lineRule="exact"/>
              <w:ind w:left="0" w:left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53" w:type="dxa"/>
            <w:gridSpan w:val="9"/>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教育和培训背景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053" w:type="dxa"/>
            <w:gridSpan w:val="9"/>
          </w:tcPr>
          <w:p>
            <w:pPr>
              <w:pStyle w:val="47"/>
              <w:spacing w:line="400" w:lineRule="exact"/>
              <w:ind w:left="0" w:leftChars="0"/>
              <w:jc w:val="both"/>
              <w:rPr>
                <w:rFonts w:hint="eastAsia" w:ascii="宋体" w:hAnsi="宋体" w:eastAsia="宋体" w:cs="宋体"/>
              </w:rPr>
            </w:pPr>
            <w:r>
              <w:rPr>
                <w:rFonts w:hint="eastAsia" w:ascii="宋体" w:hAnsi="宋体" w:eastAsia="宋体" w:cs="宋体"/>
              </w:rPr>
              <w:t>（教育背景从大学开始，包括毕业院校名称、专业、起始时间。培训填写与专业技术、业务有关的内容）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3" w:type="dxa"/>
            <w:gridSpan w:val="9"/>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时  间</w:t>
            </w:r>
          </w:p>
        </w:tc>
        <w:tc>
          <w:tcPr>
            <w:tcW w:w="3374" w:type="dxa"/>
            <w:gridSpan w:val="3"/>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参加过的项目名称</w:t>
            </w:r>
          </w:p>
          <w:p>
            <w:pPr>
              <w:pStyle w:val="47"/>
              <w:spacing w:line="400" w:lineRule="exact"/>
              <w:ind w:left="0" w:leftChars="0"/>
              <w:rPr>
                <w:rFonts w:hint="eastAsia" w:ascii="宋体" w:hAnsi="宋体" w:eastAsia="宋体" w:cs="宋体"/>
              </w:rPr>
            </w:pPr>
            <w:r>
              <w:rPr>
                <w:rFonts w:hint="eastAsia" w:ascii="宋体" w:hAnsi="宋体" w:eastAsia="宋体" w:cs="宋体"/>
              </w:rPr>
              <w:t>及当时所在单位</w:t>
            </w:r>
          </w:p>
        </w:tc>
        <w:tc>
          <w:tcPr>
            <w:tcW w:w="1286"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担任何职</w:t>
            </w:r>
          </w:p>
        </w:tc>
        <w:tc>
          <w:tcPr>
            <w:tcW w:w="1761" w:type="dxa"/>
            <w:gridSpan w:val="3"/>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主要工作内容</w:t>
            </w:r>
          </w:p>
        </w:tc>
        <w:tc>
          <w:tcPr>
            <w:tcW w:w="1132"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47"/>
              <w:spacing w:line="400" w:lineRule="exact"/>
              <w:ind w:left="0" w:leftChars="0"/>
              <w:jc w:val="both"/>
              <w:rPr>
                <w:rFonts w:hint="eastAsia" w:ascii="宋体" w:hAnsi="宋体" w:eastAsia="宋体" w:cs="宋体"/>
              </w:rPr>
            </w:pPr>
          </w:p>
        </w:tc>
        <w:tc>
          <w:tcPr>
            <w:tcW w:w="3374" w:type="dxa"/>
            <w:gridSpan w:val="3"/>
            <w:vAlign w:val="center"/>
          </w:tcPr>
          <w:p>
            <w:pPr>
              <w:pStyle w:val="47"/>
              <w:spacing w:line="400" w:lineRule="exact"/>
              <w:ind w:left="0" w:leftChars="0"/>
              <w:jc w:val="both"/>
              <w:rPr>
                <w:rFonts w:hint="eastAsia" w:ascii="宋体" w:hAnsi="宋体" w:eastAsia="宋体" w:cs="宋体"/>
              </w:rPr>
            </w:pPr>
          </w:p>
        </w:tc>
        <w:tc>
          <w:tcPr>
            <w:tcW w:w="1286" w:type="dxa"/>
            <w:vAlign w:val="center"/>
          </w:tcPr>
          <w:p>
            <w:pPr>
              <w:pStyle w:val="47"/>
              <w:spacing w:line="400" w:lineRule="exact"/>
              <w:ind w:left="0" w:leftChars="0"/>
              <w:jc w:val="both"/>
              <w:rPr>
                <w:rFonts w:hint="eastAsia" w:ascii="宋体" w:hAnsi="宋体" w:eastAsia="宋体" w:cs="宋体"/>
              </w:rPr>
            </w:pPr>
          </w:p>
        </w:tc>
        <w:tc>
          <w:tcPr>
            <w:tcW w:w="1761" w:type="dxa"/>
            <w:gridSpan w:val="3"/>
            <w:vAlign w:val="center"/>
          </w:tcPr>
          <w:p>
            <w:pPr>
              <w:pStyle w:val="47"/>
              <w:spacing w:line="400" w:lineRule="exact"/>
              <w:ind w:left="0" w:leftChars="0"/>
              <w:jc w:val="both"/>
              <w:rPr>
                <w:rFonts w:hint="eastAsia" w:ascii="宋体" w:hAnsi="宋体" w:eastAsia="宋体" w:cs="宋体"/>
              </w:rPr>
            </w:pPr>
          </w:p>
        </w:tc>
        <w:tc>
          <w:tcPr>
            <w:tcW w:w="1132" w:type="dxa"/>
            <w:vAlign w:val="center"/>
          </w:tcPr>
          <w:p>
            <w:pPr>
              <w:pStyle w:val="47"/>
              <w:spacing w:line="400" w:lineRule="exact"/>
              <w:ind w:left="0" w:leftChars="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0" w:type="dxa"/>
            <w:vAlign w:val="center"/>
          </w:tcPr>
          <w:p>
            <w:pPr>
              <w:pStyle w:val="47"/>
              <w:spacing w:line="400" w:lineRule="exact"/>
              <w:ind w:left="0" w:leftChars="0"/>
              <w:jc w:val="both"/>
              <w:rPr>
                <w:rFonts w:hint="eastAsia" w:ascii="宋体" w:hAnsi="宋体" w:eastAsia="宋体" w:cs="宋体"/>
              </w:rPr>
            </w:pPr>
          </w:p>
        </w:tc>
        <w:tc>
          <w:tcPr>
            <w:tcW w:w="3374" w:type="dxa"/>
            <w:gridSpan w:val="3"/>
            <w:vAlign w:val="center"/>
          </w:tcPr>
          <w:p>
            <w:pPr>
              <w:pStyle w:val="47"/>
              <w:spacing w:line="400" w:lineRule="exact"/>
              <w:ind w:left="0" w:leftChars="0"/>
              <w:jc w:val="both"/>
              <w:rPr>
                <w:rFonts w:hint="eastAsia" w:ascii="宋体" w:hAnsi="宋体" w:eastAsia="宋体" w:cs="宋体"/>
              </w:rPr>
            </w:pPr>
          </w:p>
        </w:tc>
        <w:tc>
          <w:tcPr>
            <w:tcW w:w="1286" w:type="dxa"/>
            <w:vAlign w:val="center"/>
          </w:tcPr>
          <w:p>
            <w:pPr>
              <w:pStyle w:val="47"/>
              <w:spacing w:line="400" w:lineRule="exact"/>
              <w:ind w:left="0" w:leftChars="0"/>
              <w:jc w:val="both"/>
              <w:rPr>
                <w:rFonts w:hint="eastAsia" w:ascii="宋体" w:hAnsi="宋体" w:eastAsia="宋体" w:cs="宋体"/>
              </w:rPr>
            </w:pPr>
          </w:p>
        </w:tc>
        <w:tc>
          <w:tcPr>
            <w:tcW w:w="1761" w:type="dxa"/>
            <w:gridSpan w:val="3"/>
            <w:vAlign w:val="center"/>
          </w:tcPr>
          <w:p>
            <w:pPr>
              <w:pStyle w:val="47"/>
              <w:spacing w:line="400" w:lineRule="exact"/>
              <w:ind w:left="0" w:leftChars="0"/>
              <w:jc w:val="both"/>
              <w:rPr>
                <w:rFonts w:hint="eastAsia" w:ascii="宋体" w:hAnsi="宋体" w:eastAsia="宋体" w:cs="宋体"/>
              </w:rPr>
            </w:pPr>
          </w:p>
        </w:tc>
        <w:tc>
          <w:tcPr>
            <w:tcW w:w="1132" w:type="dxa"/>
            <w:vAlign w:val="center"/>
          </w:tcPr>
          <w:p>
            <w:pPr>
              <w:pStyle w:val="47"/>
              <w:spacing w:line="400" w:lineRule="exact"/>
              <w:ind w:left="0" w:leftChars="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47"/>
              <w:spacing w:line="400" w:lineRule="exact"/>
              <w:ind w:left="0" w:leftChars="0"/>
              <w:jc w:val="both"/>
              <w:rPr>
                <w:rFonts w:hint="eastAsia" w:ascii="宋体" w:hAnsi="宋体" w:eastAsia="宋体" w:cs="宋体"/>
              </w:rPr>
            </w:pPr>
          </w:p>
        </w:tc>
        <w:tc>
          <w:tcPr>
            <w:tcW w:w="3374" w:type="dxa"/>
            <w:gridSpan w:val="3"/>
            <w:vAlign w:val="center"/>
          </w:tcPr>
          <w:p>
            <w:pPr>
              <w:pStyle w:val="47"/>
              <w:spacing w:line="400" w:lineRule="exact"/>
              <w:ind w:left="0" w:leftChars="0"/>
              <w:jc w:val="both"/>
              <w:rPr>
                <w:rFonts w:hint="eastAsia" w:ascii="宋体" w:hAnsi="宋体" w:eastAsia="宋体" w:cs="宋体"/>
              </w:rPr>
            </w:pPr>
          </w:p>
        </w:tc>
        <w:tc>
          <w:tcPr>
            <w:tcW w:w="1286" w:type="dxa"/>
            <w:vAlign w:val="center"/>
          </w:tcPr>
          <w:p>
            <w:pPr>
              <w:pStyle w:val="47"/>
              <w:spacing w:line="400" w:lineRule="exact"/>
              <w:ind w:left="0" w:leftChars="0"/>
              <w:jc w:val="both"/>
              <w:rPr>
                <w:rFonts w:hint="eastAsia" w:ascii="宋体" w:hAnsi="宋体" w:eastAsia="宋体" w:cs="宋体"/>
              </w:rPr>
            </w:pPr>
          </w:p>
        </w:tc>
        <w:tc>
          <w:tcPr>
            <w:tcW w:w="1761" w:type="dxa"/>
            <w:gridSpan w:val="3"/>
            <w:vAlign w:val="center"/>
          </w:tcPr>
          <w:p>
            <w:pPr>
              <w:pStyle w:val="47"/>
              <w:spacing w:line="400" w:lineRule="exact"/>
              <w:ind w:left="0" w:leftChars="0"/>
              <w:jc w:val="both"/>
              <w:rPr>
                <w:rFonts w:hint="eastAsia" w:ascii="宋体" w:hAnsi="宋体" w:eastAsia="宋体" w:cs="宋体"/>
              </w:rPr>
            </w:pPr>
          </w:p>
        </w:tc>
        <w:tc>
          <w:tcPr>
            <w:tcW w:w="1132" w:type="dxa"/>
            <w:vAlign w:val="center"/>
          </w:tcPr>
          <w:p>
            <w:pPr>
              <w:pStyle w:val="47"/>
              <w:spacing w:line="400" w:lineRule="exact"/>
              <w:ind w:left="0" w:leftChars="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47"/>
              <w:spacing w:line="400" w:lineRule="exact"/>
              <w:ind w:left="0" w:leftChars="0"/>
              <w:jc w:val="both"/>
              <w:rPr>
                <w:rFonts w:hint="eastAsia" w:ascii="宋体" w:hAnsi="宋体" w:eastAsia="宋体" w:cs="宋体"/>
              </w:rPr>
            </w:pPr>
          </w:p>
        </w:tc>
        <w:tc>
          <w:tcPr>
            <w:tcW w:w="3374" w:type="dxa"/>
            <w:gridSpan w:val="3"/>
            <w:vAlign w:val="center"/>
          </w:tcPr>
          <w:p>
            <w:pPr>
              <w:pStyle w:val="47"/>
              <w:spacing w:line="400" w:lineRule="exact"/>
              <w:ind w:left="0" w:leftChars="0"/>
              <w:jc w:val="both"/>
              <w:rPr>
                <w:rFonts w:hint="eastAsia" w:ascii="宋体" w:hAnsi="宋体" w:eastAsia="宋体" w:cs="宋体"/>
              </w:rPr>
            </w:pPr>
          </w:p>
        </w:tc>
        <w:tc>
          <w:tcPr>
            <w:tcW w:w="1286" w:type="dxa"/>
            <w:vAlign w:val="center"/>
          </w:tcPr>
          <w:p>
            <w:pPr>
              <w:pStyle w:val="47"/>
              <w:spacing w:line="400" w:lineRule="exact"/>
              <w:ind w:left="0" w:leftChars="0"/>
              <w:jc w:val="both"/>
              <w:rPr>
                <w:rFonts w:hint="eastAsia" w:ascii="宋体" w:hAnsi="宋体" w:eastAsia="宋体" w:cs="宋体"/>
              </w:rPr>
            </w:pPr>
          </w:p>
        </w:tc>
        <w:tc>
          <w:tcPr>
            <w:tcW w:w="1761" w:type="dxa"/>
            <w:gridSpan w:val="3"/>
            <w:vAlign w:val="center"/>
          </w:tcPr>
          <w:p>
            <w:pPr>
              <w:pStyle w:val="47"/>
              <w:spacing w:line="400" w:lineRule="exact"/>
              <w:ind w:left="0" w:leftChars="0"/>
              <w:jc w:val="both"/>
              <w:rPr>
                <w:rFonts w:hint="eastAsia" w:ascii="宋体" w:hAnsi="宋体" w:eastAsia="宋体" w:cs="宋体"/>
              </w:rPr>
            </w:pPr>
          </w:p>
        </w:tc>
        <w:tc>
          <w:tcPr>
            <w:tcW w:w="1132" w:type="dxa"/>
            <w:vAlign w:val="center"/>
          </w:tcPr>
          <w:p>
            <w:pPr>
              <w:pStyle w:val="47"/>
              <w:spacing w:line="400" w:lineRule="exact"/>
              <w:ind w:left="0" w:leftChars="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47"/>
              <w:spacing w:line="400" w:lineRule="exact"/>
              <w:ind w:left="0" w:leftChars="0" w:firstLine="480" w:firstLineChars="200"/>
              <w:jc w:val="both"/>
              <w:rPr>
                <w:rFonts w:hint="eastAsia" w:ascii="宋体" w:hAnsi="宋体" w:eastAsia="宋体" w:cs="宋体"/>
              </w:rPr>
            </w:pPr>
          </w:p>
        </w:tc>
        <w:tc>
          <w:tcPr>
            <w:tcW w:w="3374" w:type="dxa"/>
            <w:gridSpan w:val="3"/>
            <w:vAlign w:val="center"/>
          </w:tcPr>
          <w:p>
            <w:pPr>
              <w:pStyle w:val="47"/>
              <w:spacing w:line="400" w:lineRule="exact"/>
              <w:ind w:left="0" w:leftChars="0" w:firstLine="480" w:firstLineChars="200"/>
              <w:jc w:val="both"/>
              <w:rPr>
                <w:rFonts w:hint="eastAsia" w:ascii="宋体" w:hAnsi="宋体" w:eastAsia="宋体" w:cs="宋体"/>
              </w:rPr>
            </w:pPr>
          </w:p>
        </w:tc>
        <w:tc>
          <w:tcPr>
            <w:tcW w:w="1286" w:type="dxa"/>
            <w:vAlign w:val="center"/>
          </w:tcPr>
          <w:p>
            <w:pPr>
              <w:pStyle w:val="47"/>
              <w:spacing w:line="400" w:lineRule="exact"/>
              <w:ind w:left="0" w:leftChars="0" w:firstLine="480" w:firstLineChars="200"/>
              <w:jc w:val="both"/>
              <w:rPr>
                <w:rFonts w:hint="eastAsia" w:ascii="宋体" w:hAnsi="宋体" w:eastAsia="宋体" w:cs="宋体"/>
              </w:rPr>
            </w:pPr>
          </w:p>
        </w:tc>
        <w:tc>
          <w:tcPr>
            <w:tcW w:w="1761" w:type="dxa"/>
            <w:gridSpan w:val="3"/>
            <w:vAlign w:val="center"/>
          </w:tcPr>
          <w:p>
            <w:pPr>
              <w:pStyle w:val="47"/>
              <w:spacing w:line="400" w:lineRule="exact"/>
              <w:ind w:left="0" w:leftChars="0" w:firstLine="480" w:firstLineChars="200"/>
              <w:jc w:val="both"/>
              <w:rPr>
                <w:rFonts w:hint="eastAsia" w:ascii="宋体" w:hAnsi="宋体" w:eastAsia="宋体" w:cs="宋体"/>
              </w:rPr>
            </w:pPr>
          </w:p>
        </w:tc>
        <w:tc>
          <w:tcPr>
            <w:tcW w:w="1132" w:type="dxa"/>
            <w:vAlign w:val="center"/>
          </w:tcPr>
          <w:p>
            <w:pPr>
              <w:pStyle w:val="47"/>
              <w:spacing w:line="400" w:lineRule="exact"/>
              <w:ind w:left="0" w:leftChars="0" w:firstLine="480" w:firstLineChars="20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47"/>
              <w:spacing w:line="400" w:lineRule="exact"/>
              <w:ind w:left="0" w:leftChars="0" w:firstLine="480" w:firstLineChars="200"/>
              <w:jc w:val="both"/>
              <w:rPr>
                <w:rFonts w:hint="eastAsia" w:ascii="宋体" w:hAnsi="宋体" w:eastAsia="宋体" w:cs="宋体"/>
              </w:rPr>
            </w:pPr>
          </w:p>
        </w:tc>
        <w:tc>
          <w:tcPr>
            <w:tcW w:w="3374" w:type="dxa"/>
            <w:gridSpan w:val="3"/>
            <w:vAlign w:val="center"/>
          </w:tcPr>
          <w:p>
            <w:pPr>
              <w:pStyle w:val="47"/>
              <w:spacing w:line="400" w:lineRule="exact"/>
              <w:ind w:left="0" w:leftChars="0" w:firstLine="480" w:firstLineChars="200"/>
              <w:jc w:val="both"/>
              <w:rPr>
                <w:rFonts w:hint="eastAsia" w:ascii="宋体" w:hAnsi="宋体" w:eastAsia="宋体" w:cs="宋体"/>
              </w:rPr>
            </w:pPr>
          </w:p>
        </w:tc>
        <w:tc>
          <w:tcPr>
            <w:tcW w:w="1286" w:type="dxa"/>
            <w:vAlign w:val="center"/>
          </w:tcPr>
          <w:p>
            <w:pPr>
              <w:pStyle w:val="47"/>
              <w:spacing w:line="400" w:lineRule="exact"/>
              <w:ind w:left="0" w:leftChars="0" w:firstLine="480" w:firstLineChars="200"/>
              <w:jc w:val="both"/>
              <w:rPr>
                <w:rFonts w:hint="eastAsia" w:ascii="宋体" w:hAnsi="宋体" w:eastAsia="宋体" w:cs="宋体"/>
              </w:rPr>
            </w:pPr>
          </w:p>
        </w:tc>
        <w:tc>
          <w:tcPr>
            <w:tcW w:w="1761" w:type="dxa"/>
            <w:gridSpan w:val="3"/>
            <w:vAlign w:val="center"/>
          </w:tcPr>
          <w:p>
            <w:pPr>
              <w:pStyle w:val="47"/>
              <w:spacing w:line="400" w:lineRule="exact"/>
              <w:ind w:left="0" w:leftChars="0" w:firstLine="480" w:firstLineChars="200"/>
              <w:jc w:val="both"/>
              <w:rPr>
                <w:rFonts w:hint="eastAsia" w:ascii="宋体" w:hAnsi="宋体" w:eastAsia="宋体" w:cs="宋体"/>
              </w:rPr>
            </w:pPr>
          </w:p>
        </w:tc>
        <w:tc>
          <w:tcPr>
            <w:tcW w:w="1132" w:type="dxa"/>
            <w:vAlign w:val="center"/>
          </w:tcPr>
          <w:p>
            <w:pPr>
              <w:pStyle w:val="47"/>
              <w:spacing w:line="400" w:lineRule="exact"/>
              <w:ind w:left="0" w:leftChars="0" w:firstLine="480" w:firstLineChars="200"/>
              <w:jc w:val="both"/>
              <w:rPr>
                <w:rFonts w:hint="eastAsia" w:ascii="宋体" w:hAnsi="宋体" w:eastAsia="宋体" w:cs="宋体"/>
              </w:rPr>
            </w:pPr>
          </w:p>
        </w:tc>
      </w:tr>
    </w:tbl>
    <w:p>
      <w:pPr>
        <w:pStyle w:val="48"/>
        <w:tabs>
          <w:tab w:val="left" w:pos="2040"/>
        </w:tabs>
        <w:spacing w:beforeLines="0" w:line="400" w:lineRule="exact"/>
        <w:ind w:left="0" w:firstLine="480" w:firstLineChars="200"/>
        <w:rPr>
          <w:rFonts w:hint="eastAsia" w:ascii="宋体" w:hAnsi="宋体" w:eastAsia="宋体" w:cs="宋体"/>
          <w:color w:val="auto"/>
          <w:szCs w:val="21"/>
        </w:rPr>
      </w:pPr>
    </w:p>
    <w:p>
      <w:pPr>
        <w:pStyle w:val="48"/>
        <w:tabs>
          <w:tab w:val="left" w:pos="2040"/>
        </w:tabs>
        <w:spacing w:beforeLines="0" w:line="400" w:lineRule="exact"/>
        <w:ind w:left="0" w:firstLine="480" w:firstLineChars="200"/>
        <w:rPr>
          <w:rFonts w:hint="eastAsia" w:ascii="宋体" w:hAnsi="宋体" w:eastAsia="宋体" w:cs="宋体"/>
          <w:color w:val="auto"/>
          <w:highlight w:val="none"/>
        </w:rPr>
      </w:pPr>
      <w:r>
        <w:rPr>
          <w:rFonts w:hint="eastAsia" w:ascii="宋体" w:hAnsi="宋体" w:eastAsia="宋体" w:cs="宋体"/>
          <w:color w:val="auto"/>
          <w:szCs w:val="21"/>
        </w:rPr>
        <w:t>注：</w:t>
      </w:r>
      <w:r>
        <w:rPr>
          <w:rFonts w:hint="eastAsia" w:ascii="宋体" w:hAnsi="宋体" w:eastAsia="宋体" w:cs="宋体"/>
          <w:color w:val="auto"/>
        </w:rPr>
        <w:t>表后附身份证、毕业证、职称证、执业资格证、获奖证书（如果有）复印件。</w:t>
      </w:r>
    </w:p>
    <w:p>
      <w:pPr>
        <w:rPr>
          <w:rFonts w:hint="eastAsia" w:ascii="宋体" w:hAnsi="宋体" w:eastAsia="宋体" w:cs="宋体"/>
          <w:color w:val="auto"/>
          <w:highlight w:val="none"/>
        </w:rPr>
      </w:pPr>
    </w:p>
    <w:p>
      <w:pPr>
        <w:pStyle w:val="4"/>
        <w:keepNext w:val="0"/>
        <w:keepLines w:val="0"/>
        <w:widowControl w:val="0"/>
        <w:spacing w:before="168" w:beforeLines="50" w:after="0" w:line="360" w:lineRule="auto"/>
        <w:ind w:left="0"/>
        <w:jc w:val="center"/>
        <w:rPr>
          <w:rFonts w:hint="eastAsia" w:ascii="宋体" w:hAnsi="宋体" w:eastAsia="宋体" w:cs="宋体"/>
          <w:b/>
          <w:bCs w:val="0"/>
          <w:sz w:val="32"/>
        </w:rPr>
      </w:pPr>
      <w:r>
        <w:rPr>
          <w:rFonts w:hint="eastAsia" w:ascii="宋体" w:hAnsi="宋体" w:eastAsia="宋体" w:cs="宋体"/>
          <w:color w:val="auto"/>
          <w:sz w:val="32"/>
          <w:highlight w:val="none"/>
        </w:rPr>
        <w:br w:type="page"/>
      </w:r>
      <w:r>
        <w:rPr>
          <w:rFonts w:hint="eastAsia" w:ascii="宋体" w:hAnsi="宋体" w:eastAsia="宋体" w:cs="宋体"/>
          <w:b/>
          <w:bCs w:val="0"/>
          <w:sz w:val="32"/>
        </w:rPr>
        <w:t>四、商务条款偏离表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922"/>
        <w:gridCol w:w="2400"/>
        <w:gridCol w:w="2461"/>
        <w:gridCol w:w="758"/>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03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招标文件条目号</w:t>
            </w:r>
          </w:p>
        </w:tc>
        <w:tc>
          <w:tcPr>
            <w:tcW w:w="1291"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招标文件的商务条款</w:t>
            </w:r>
          </w:p>
        </w:tc>
        <w:tc>
          <w:tcPr>
            <w:tcW w:w="132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投标文件的商务条款</w:t>
            </w:r>
          </w:p>
        </w:tc>
        <w:tc>
          <w:tcPr>
            <w:tcW w:w="40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51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bl>
    <w:p>
      <w:pPr>
        <w:pStyle w:val="22"/>
        <w:widowControl w:val="0"/>
        <w:spacing w:before="0" w:beforeAutospacing="0" w:after="0" w:afterAutospacing="0"/>
        <w:rPr>
          <w:rFonts w:hint="eastAsia" w:ascii="宋体" w:hAnsi="宋体" w:eastAsia="宋体" w:cs="宋体"/>
          <w:color w:val="auto"/>
          <w:highlight w:val="none"/>
        </w:rPr>
      </w:pPr>
      <w:r>
        <w:rPr>
          <w:rFonts w:hint="eastAsia" w:ascii="宋体" w:hAnsi="宋体" w:eastAsia="宋体" w:cs="宋体"/>
          <w:color w:val="auto"/>
          <w:highlight w:val="none"/>
        </w:rPr>
        <w:t>说明：</w:t>
      </w:r>
    </w:p>
    <w:p>
      <w:pPr>
        <w:pStyle w:val="22"/>
        <w:widowControl w:val="0"/>
        <w:spacing w:before="0" w:beforeAutospacing="0" w:after="0" w:afterAutospacing="0" w:line="500" w:lineRule="exact"/>
        <w:ind w:firstLine="482" w:firstLineChars="20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1.本表只填写投标文件中与招标文件有偏离（包括正偏离和负偏离）的内容，投标文件中商务响应与招标文件要求完全一致的，不用在此表中列出，但必须提交空白表。</w:t>
      </w:r>
    </w:p>
    <w:p>
      <w:pPr>
        <w:pStyle w:val="22"/>
        <w:widowControl w:val="0"/>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2.供应商必须据实填写，不得虚假响应，否则将取消其中标资格，并按有关规定进行处罚。</w:t>
      </w:r>
    </w:p>
    <w:p>
      <w:pPr>
        <w:pStyle w:val="22"/>
        <w:widowControl w:val="0"/>
        <w:spacing w:before="0" w:beforeAutospacing="0" w:after="0" w:afterAutospacing="0" w:line="500" w:lineRule="exact"/>
        <w:rPr>
          <w:rFonts w:hint="eastAsia" w:ascii="宋体" w:hAnsi="宋体" w:eastAsia="宋体" w:cs="宋体"/>
          <w:szCs w:val="21"/>
          <w:highlight w:val="none"/>
          <w:lang w:val="en-US" w:eastAsia="zh-CN"/>
        </w:rPr>
      </w:pPr>
    </w:p>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p>
      <w:pPr>
        <w:pStyle w:val="22"/>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cs="宋体"/>
          <w:color w:val="auto"/>
          <w:highlight w:val="none"/>
          <w:lang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p>
      <w:pPr>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pPr>
        <w:pStyle w:val="22"/>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pPr>
        <w:widowControl/>
        <w:numPr>
          <w:ilvl w:val="0"/>
          <w:numId w:val="0"/>
        </w:numPr>
        <w:spacing w:line="408" w:lineRule="auto"/>
        <w:jc w:val="center"/>
        <w:rPr>
          <w:rFonts w:hint="eastAsia" w:ascii="宋体" w:hAnsi="宋体" w:eastAsia="宋体" w:cs="宋体"/>
          <w:b/>
          <w:bCs w:val="0"/>
          <w:sz w:val="32"/>
          <w:szCs w:val="32"/>
          <w:lang w:val="en-US" w:eastAsia="zh-CN" w:bidi="ar-SA"/>
        </w:rPr>
      </w:pPr>
      <w:r>
        <w:rPr>
          <w:rFonts w:hint="eastAsia" w:ascii="宋体" w:hAnsi="宋体" w:eastAsia="宋体" w:cs="宋体"/>
          <w:color w:val="auto"/>
          <w:highlight w:val="none"/>
        </w:rPr>
        <w:br w:type="page"/>
      </w:r>
      <w:r>
        <w:rPr>
          <w:rFonts w:hint="eastAsia" w:ascii="宋体" w:hAnsi="宋体" w:eastAsia="宋体" w:cs="宋体"/>
          <w:b/>
          <w:bCs w:val="0"/>
          <w:sz w:val="32"/>
          <w:szCs w:val="32"/>
          <w:lang w:val="en-US" w:eastAsia="zh-CN" w:bidi="ar-SA"/>
        </w:rPr>
        <w:t>五、</w:t>
      </w:r>
      <w:r>
        <w:rPr>
          <w:rFonts w:hint="eastAsia" w:hAnsi="宋体" w:cs="宋体"/>
          <w:b/>
          <w:bCs w:val="0"/>
          <w:sz w:val="32"/>
          <w:szCs w:val="32"/>
          <w:lang w:val="en-US" w:eastAsia="zh-CN" w:bidi="ar-SA"/>
        </w:rPr>
        <w:t>投标人</w:t>
      </w:r>
      <w:r>
        <w:rPr>
          <w:rFonts w:hint="eastAsia" w:ascii="宋体" w:hAnsi="宋体" w:eastAsia="宋体" w:cs="宋体"/>
          <w:b/>
          <w:bCs w:val="0"/>
          <w:sz w:val="32"/>
          <w:szCs w:val="32"/>
          <w:lang w:val="en-US" w:eastAsia="zh-CN" w:bidi="ar-SA"/>
        </w:rPr>
        <w:t>拒绝政府采购领域商业贿赂承诺书</w:t>
      </w:r>
    </w:p>
    <w:p>
      <w:pPr>
        <w:widowControl/>
        <w:numPr>
          <w:ilvl w:val="0"/>
          <w:numId w:val="0"/>
        </w:numPr>
        <w:spacing w:line="408"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为响应党中央、国务院关于治理政府采购领域商业贿赂行为的号召，我公司在此庄严承诺：</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1.在参与政府采购活动中遵纪守法、诚信经营、公平竞标。</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2.不向政府采购人、采购代理机构和政府采购评审专家进行任何形式的商业贿赂以谋取交易机会。</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3.不向政府采购代理机构和采购人提供虚假资质文件或采用虚假应标方式参与政府采购市场竞争并谋取中标、成交。</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4.不采取“围标、陪标”等商业欺诈手段获得政府采购定单。</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5.不采取不正当手段诋毁、排挤其他</w:t>
      </w:r>
      <w:r>
        <w:rPr>
          <w:rFonts w:hint="eastAsia" w:hAnsi="宋体" w:cs="宋体"/>
          <w:color w:val="auto"/>
          <w:highlight w:val="none"/>
          <w:lang w:eastAsia="zh-CN"/>
        </w:rPr>
        <w:t>投标人</w:t>
      </w:r>
      <w:r>
        <w:rPr>
          <w:rFonts w:hint="eastAsia" w:ascii="宋体" w:hAnsi="宋体" w:eastAsia="宋体" w:cs="宋体"/>
          <w:color w:val="auto"/>
          <w:highlight w:val="none"/>
        </w:rPr>
        <w:t>。</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6.不再提供商品和服务时“偷梁换柱、以次充好”损害采购人的合法权益。</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7.不与采购人、采购代理机构政府采购评审专家或其它</w:t>
      </w:r>
      <w:r>
        <w:rPr>
          <w:rFonts w:hint="eastAsia" w:hAnsi="宋体" w:cs="宋体"/>
          <w:color w:val="auto"/>
          <w:highlight w:val="none"/>
          <w:lang w:eastAsia="zh-CN"/>
        </w:rPr>
        <w:t>投标人</w:t>
      </w:r>
      <w:r>
        <w:rPr>
          <w:rFonts w:hint="eastAsia" w:ascii="宋体" w:hAnsi="宋体" w:eastAsia="宋体" w:cs="宋体"/>
          <w:color w:val="auto"/>
          <w:highlight w:val="none"/>
        </w:rPr>
        <w:t>恶意串通，进行质疑和投诉，维护政府采购市场秩序。</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8.尊重和接受政府采购监督管理部门的监督和政府采购代理机构招标采购要求，承担因违约行为给采购人造成的损失。</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9.不发生其他有悖于政府采购公开、公平、公正和诚信原则的行为。</w:t>
      </w:r>
    </w:p>
    <w:p>
      <w:pPr>
        <w:widowControl/>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承诺单位：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widowControl/>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szCs w:val="24"/>
          <w:highlight w:val="none"/>
        </w:rPr>
        <w:t>法定代表人或</w:t>
      </w:r>
      <w:r>
        <w:rPr>
          <w:rFonts w:hint="eastAsia" w:ascii="宋体" w:hAnsi="宋体" w:eastAsia="宋体" w:cs="宋体"/>
          <w:color w:val="auto"/>
          <w:highlight w:val="none"/>
        </w:rPr>
        <w:t>被授权人：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4"/>
          <w:highlight w:val="none"/>
        </w:rPr>
        <w:t>签字</w:t>
      </w:r>
      <w:r>
        <w:rPr>
          <w:rFonts w:hint="eastAsia" w:ascii="宋体" w:hAnsi="宋体" w:eastAsia="宋体" w:cs="宋体"/>
          <w:color w:val="auto"/>
          <w:highlight w:val="none"/>
        </w:rPr>
        <w:t>）</w:t>
      </w:r>
    </w:p>
    <w:p>
      <w:pPr>
        <w:widowControl/>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w:t>
      </w:r>
    </w:p>
    <w:p>
      <w:pPr>
        <w:widowControl/>
        <w:spacing w:line="408" w:lineRule="auto"/>
        <w:ind w:left="274" w:leftChars="114"/>
        <w:jc w:val="left"/>
        <w:rPr>
          <w:rFonts w:hint="eastAsia" w:ascii="宋体" w:hAnsi="宋体" w:eastAsia="宋体" w:cs="宋体"/>
          <w:color w:val="auto"/>
          <w:highlight w:val="none"/>
          <w:u w:val="single"/>
        </w:rPr>
      </w:pPr>
      <w:r>
        <w:rPr>
          <w:rFonts w:hint="eastAsia" w:ascii="宋体" w:hAnsi="宋体" w:eastAsia="宋体" w:cs="宋体"/>
          <w:color w:val="auto"/>
          <w:highlight w:val="none"/>
        </w:rPr>
        <w:t>邮  编：</w:t>
      </w:r>
      <w:r>
        <w:rPr>
          <w:rFonts w:hint="eastAsia" w:ascii="宋体" w:hAnsi="宋体" w:eastAsia="宋体" w:cs="宋体"/>
          <w:color w:val="auto"/>
          <w:highlight w:val="none"/>
          <w:u w:val="single"/>
        </w:rPr>
        <w:t xml:space="preserve">                         </w:t>
      </w:r>
    </w:p>
    <w:p>
      <w:pPr>
        <w:widowControl/>
        <w:spacing w:line="408" w:lineRule="auto"/>
        <w:ind w:left="1234" w:leftChars="114" w:hanging="960" w:hangingChars="4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r>
        <w:rPr>
          <w:rFonts w:hint="eastAsia" w:hAnsi="宋体" w:cs="宋体"/>
          <w:color w:val="auto"/>
          <w:highlight w:val="none"/>
          <w:lang w:val="en-US" w:eastAsia="zh-CN"/>
        </w:rPr>
        <w:t xml:space="preserve">    </w:t>
      </w:r>
    </w:p>
    <w:p>
      <w:pPr>
        <w:widowControl/>
        <w:spacing w:line="408" w:lineRule="auto"/>
        <w:ind w:left="994" w:leftChars="114" w:hanging="720" w:hangingChars="300"/>
        <w:jc w:val="left"/>
        <w:rPr>
          <w:rFonts w:hint="eastAsia" w:ascii="宋体" w:hAnsi="宋体" w:eastAsia="宋体" w:cs="宋体"/>
          <w:color w:val="auto"/>
          <w:highlight w:val="none"/>
          <w:lang w:eastAsia="zh-CN"/>
        </w:rPr>
      </w:pPr>
      <w:r>
        <w:rPr>
          <w:rFonts w:hint="eastAsia" w:hAnsi="宋体" w:cs="宋体"/>
          <w:color w:val="auto"/>
          <w:highlight w:val="none"/>
          <w:lang w:eastAsia="zh-CN"/>
        </w:rPr>
        <w:t>日</w:t>
      </w:r>
      <w:r>
        <w:rPr>
          <w:rFonts w:hint="eastAsia" w:hAnsi="宋体" w:cs="宋体"/>
          <w:color w:val="auto"/>
          <w:highlight w:val="none"/>
          <w:lang w:val="en-US" w:eastAsia="zh-CN"/>
        </w:rPr>
        <w:t xml:space="preserve">    </w:t>
      </w:r>
      <w:r>
        <w:rPr>
          <w:rFonts w:hint="eastAsia" w:hAnsi="宋体" w:cs="宋体"/>
          <w:color w:val="auto"/>
          <w:highlight w:val="none"/>
          <w:lang w:eastAsia="zh-CN"/>
        </w:rPr>
        <w:t>期：</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w:t>
      </w:r>
    </w:p>
    <w:p>
      <w:pPr>
        <w:spacing w:line="500" w:lineRule="exact"/>
        <w:jc w:val="both"/>
        <w:rPr>
          <w:rFonts w:hint="eastAsia" w:ascii="宋体" w:hAnsi="宋体" w:eastAsia="宋体" w:cs="宋体"/>
          <w:color w:val="auto"/>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2"/>
          <w:highlight w:val="none"/>
        </w:rPr>
      </w:pPr>
      <w:r>
        <w:rPr>
          <w:rFonts w:hint="eastAsia" w:ascii="宋体" w:hAnsi="宋体" w:eastAsia="宋体" w:cs="宋体"/>
          <w:color w:val="auto"/>
          <w:sz w:val="32"/>
          <w:highlight w:val="none"/>
        </w:rPr>
        <w:br w:type="column"/>
      </w:r>
      <w:r>
        <w:rPr>
          <w:rFonts w:hint="eastAsia" w:ascii="宋体" w:hAnsi="宋体" w:eastAsia="宋体" w:cs="宋体"/>
          <w:b/>
          <w:bCs w:val="0"/>
          <w:color w:val="auto"/>
          <w:sz w:val="32"/>
          <w:highlight w:val="none"/>
        </w:rPr>
        <w:t>六、资格证明文件</w:t>
      </w:r>
    </w:p>
    <w:p>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（一）基本资格条件：符合《中华人民共和国政府采购法》第二十二条的规定，并提供以下资料；</w:t>
      </w:r>
    </w:p>
    <w:p>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1.提供合格有效的法人或者其他组织的营业执照等证明文件，自然人的身份证明；</w:t>
      </w:r>
    </w:p>
    <w:p>
      <w:pPr>
        <w:spacing w:line="520" w:lineRule="exact"/>
        <w:ind w:firstLine="480"/>
        <w:rPr>
          <w:rFonts w:hint="eastAsia" w:ascii="宋体" w:hAnsi="宋体" w:eastAsia="宋体" w:cs="宋体"/>
          <w:color w:val="auto"/>
          <w:szCs w:val="24"/>
          <w:highlight w:val="none"/>
        </w:rPr>
      </w:pP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是法人或其他组织的应提供营业执照等证明文件，</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是自然人的应提供有效的自然人身份证明；</w:t>
      </w:r>
    </w:p>
    <w:p>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应提供基本资格条件承诺函（格式见附件）。</w:t>
      </w:r>
    </w:p>
    <w:p>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（二）特定资格条件：</w:t>
      </w:r>
    </w:p>
    <w:p>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（1）法定代表人授权书（附法定代表人、被授权人身份证复印件），法定代表人直接参加投标，须提供法定代表人身份证明及身份证复印件（格式见附件）；</w:t>
      </w:r>
    </w:p>
    <w:p>
      <w:pPr>
        <w:spacing w:line="520" w:lineRule="exact"/>
        <w:ind w:firstLine="480"/>
        <w:rPr>
          <w:rFonts w:hint="eastAsia" w:ascii="宋体" w:hAnsi="宋体" w:eastAsia="宋体" w:cs="宋体"/>
          <w:color w:val="auto"/>
          <w:szCs w:val="24"/>
          <w:highlight w:val="none"/>
        </w:rPr>
      </w:pPr>
      <w:r>
        <w:rPr>
          <w:rFonts w:hint="eastAsia" w:hAnsi="宋体" w:cs="宋体"/>
          <w:color w:val="auto"/>
          <w:szCs w:val="24"/>
          <w:highlight w:val="none"/>
          <w:lang w:eastAsia="zh-CN"/>
        </w:rPr>
        <w:t>（</w:t>
      </w:r>
      <w:r>
        <w:rPr>
          <w:rFonts w:hint="eastAsia" w:hAnsi="宋体" w:cs="宋体"/>
          <w:color w:val="auto"/>
          <w:szCs w:val="24"/>
          <w:highlight w:val="none"/>
          <w:lang w:val="en-US" w:eastAsia="zh-CN"/>
        </w:rPr>
        <w:t>2</w:t>
      </w:r>
      <w:r>
        <w:rPr>
          <w:rFonts w:hint="eastAsia" w:hAnsi="宋体" w:cs="宋体"/>
          <w:color w:val="auto"/>
          <w:szCs w:val="24"/>
          <w:highlight w:val="none"/>
          <w:lang w:eastAsia="zh-CN"/>
        </w:rPr>
        <w:t>）</w:t>
      </w:r>
      <w:r>
        <w:rPr>
          <w:rFonts w:hint="eastAsia" w:ascii="宋体" w:hAnsi="宋体" w:eastAsia="宋体" w:cs="宋体"/>
          <w:color w:val="auto"/>
          <w:szCs w:val="24"/>
          <w:highlight w:val="none"/>
        </w:rPr>
        <w:t>单位负责人为同一人或者存在控股、管理关系的不同单位不得同时投标（提供</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企业关系关联承诺书）（格式见附件）；</w:t>
      </w:r>
    </w:p>
    <w:p>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hAnsi="宋体" w:cs="宋体"/>
          <w:color w:val="auto"/>
          <w:szCs w:val="24"/>
          <w:highlight w:val="none"/>
          <w:lang w:val="en-US" w:eastAsia="zh-CN"/>
        </w:rPr>
        <w:t>3</w:t>
      </w:r>
      <w:r>
        <w:rPr>
          <w:rFonts w:hint="eastAsia" w:ascii="宋体" w:hAnsi="宋体" w:eastAsia="宋体" w:cs="宋体"/>
          <w:color w:val="auto"/>
          <w:szCs w:val="24"/>
          <w:highlight w:val="none"/>
        </w:rPr>
        <w:t>）不接受联合体投标（提供非联合体承诺书）（格式见附件）。</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pPr>
        <w:spacing w:line="480" w:lineRule="auto"/>
        <w:jc w:val="left"/>
        <w:rPr>
          <w:rFonts w:hint="eastAsia" w:hAnsi="宋体" w:cs="宋体"/>
          <w:b/>
          <w:bCs/>
          <w:sz w:val="30"/>
          <w:szCs w:val="30"/>
          <w:lang w:val="en-US" w:eastAsia="zh-CN"/>
        </w:rPr>
      </w:pPr>
      <w:r>
        <w:rPr>
          <w:rFonts w:hint="eastAsia" w:hAnsi="宋体" w:cs="宋体"/>
          <w:b/>
          <w:bCs/>
          <w:sz w:val="30"/>
          <w:szCs w:val="30"/>
          <w:lang w:val="en-US" w:eastAsia="zh-CN"/>
        </w:rPr>
        <w:t>附件1：</w:t>
      </w:r>
    </w:p>
    <w:tbl>
      <w:tblPr>
        <w:tblStyle w:val="25"/>
        <w:tblpPr w:leftFromText="180" w:rightFromText="180" w:vertAnchor="page" w:horzAnchor="page" w:tblpX="1475" w:tblpY="27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38"/>
        <w:gridCol w:w="1047"/>
        <w:gridCol w:w="1447"/>
        <w:gridCol w:w="1432"/>
        <w:gridCol w:w="126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hAnsi="宋体" w:cs="宋体"/>
                <w:kern w:val="0"/>
                <w:szCs w:val="21"/>
                <w:highlight w:val="none"/>
                <w:lang w:eastAsia="zh-CN"/>
              </w:rPr>
              <w:t>投标人</w:t>
            </w:r>
            <w:r>
              <w:rPr>
                <w:rFonts w:hint="eastAsia" w:ascii="宋体" w:hAnsi="宋体" w:cs="宋体"/>
                <w:kern w:val="0"/>
                <w:szCs w:val="21"/>
                <w:highlight w:val="none"/>
              </w:rPr>
              <w:t>名称</w:t>
            </w:r>
          </w:p>
        </w:tc>
        <w:tc>
          <w:tcPr>
            <w:tcW w:w="7292" w:type="dxa"/>
            <w:gridSpan w:val="6"/>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注册地址</w:t>
            </w:r>
          </w:p>
        </w:tc>
        <w:tc>
          <w:tcPr>
            <w:tcW w:w="3432" w:type="dxa"/>
            <w:gridSpan w:val="3"/>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邮政编码</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809" w:type="dxa"/>
            <w:vMerge w:val="restart"/>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联系方式</w:t>
            </w:r>
          </w:p>
        </w:tc>
        <w:tc>
          <w:tcPr>
            <w:tcW w:w="938"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联系人</w:t>
            </w:r>
          </w:p>
        </w:tc>
        <w:tc>
          <w:tcPr>
            <w:tcW w:w="2494"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电话</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809" w:type="dxa"/>
            <w:vMerge w:val="continue"/>
            <w:noWrap w:val="0"/>
            <w:vAlign w:val="center"/>
          </w:tcPr>
          <w:p>
            <w:pPr>
              <w:widowControl/>
              <w:shd w:val="clear" w:color="auto" w:fill="auto"/>
              <w:spacing w:line="240" w:lineRule="auto"/>
              <w:ind w:firstLine="420"/>
              <w:jc w:val="center"/>
              <w:rPr>
                <w:rFonts w:hint="eastAsia" w:ascii="宋体" w:hAnsi="宋体" w:cs="宋体"/>
                <w:kern w:val="0"/>
                <w:szCs w:val="21"/>
                <w:highlight w:val="none"/>
              </w:rPr>
            </w:pPr>
          </w:p>
        </w:tc>
        <w:tc>
          <w:tcPr>
            <w:tcW w:w="938"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传真</w:t>
            </w:r>
          </w:p>
        </w:tc>
        <w:tc>
          <w:tcPr>
            <w:tcW w:w="2494"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网址</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单位性质</w:t>
            </w:r>
          </w:p>
        </w:tc>
        <w:tc>
          <w:tcPr>
            <w:tcW w:w="7292" w:type="dxa"/>
            <w:gridSpan w:val="6"/>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法定代表人</w:t>
            </w:r>
          </w:p>
        </w:tc>
        <w:tc>
          <w:tcPr>
            <w:tcW w:w="938"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姓名</w:t>
            </w:r>
          </w:p>
        </w:tc>
        <w:tc>
          <w:tcPr>
            <w:tcW w:w="1047" w:type="dxa"/>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447"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技术职称</w:t>
            </w:r>
          </w:p>
        </w:tc>
        <w:tc>
          <w:tcPr>
            <w:tcW w:w="1432" w:type="dxa"/>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261"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电话</w:t>
            </w:r>
          </w:p>
        </w:tc>
        <w:tc>
          <w:tcPr>
            <w:tcW w:w="1167" w:type="dxa"/>
            <w:noWrap w:val="0"/>
            <w:vAlign w:val="center"/>
          </w:tcPr>
          <w:p>
            <w:pPr>
              <w:shd w:val="clear" w:color="auto" w:fill="auto"/>
              <w:autoSpaceDE w:val="0"/>
              <w:autoSpaceDN w:val="0"/>
              <w:adjustRightInd w:val="0"/>
              <w:spacing w:line="240" w:lineRule="auto"/>
              <w:ind w:firstLine="422"/>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技术负责人</w:t>
            </w:r>
          </w:p>
        </w:tc>
        <w:tc>
          <w:tcPr>
            <w:tcW w:w="938"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姓名</w:t>
            </w:r>
          </w:p>
        </w:tc>
        <w:tc>
          <w:tcPr>
            <w:tcW w:w="1047" w:type="dxa"/>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447"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技术职称</w:t>
            </w:r>
          </w:p>
        </w:tc>
        <w:tc>
          <w:tcPr>
            <w:tcW w:w="1432" w:type="dxa"/>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261"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电话</w:t>
            </w:r>
          </w:p>
        </w:tc>
        <w:tc>
          <w:tcPr>
            <w:tcW w:w="1167" w:type="dxa"/>
            <w:noWrap w:val="0"/>
            <w:vAlign w:val="center"/>
          </w:tcPr>
          <w:p>
            <w:pPr>
              <w:shd w:val="clear" w:color="auto" w:fill="auto"/>
              <w:autoSpaceDE w:val="0"/>
              <w:autoSpaceDN w:val="0"/>
              <w:adjustRightInd w:val="0"/>
              <w:spacing w:line="240" w:lineRule="auto"/>
              <w:ind w:firstLine="422"/>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企业资质等级</w:t>
            </w:r>
          </w:p>
        </w:tc>
        <w:tc>
          <w:tcPr>
            <w:tcW w:w="1985"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bCs/>
                <w:kern w:val="0"/>
                <w:szCs w:val="21"/>
                <w:highlight w:val="none"/>
              </w:rPr>
            </w:pPr>
          </w:p>
        </w:tc>
        <w:tc>
          <w:tcPr>
            <w:tcW w:w="1447"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bCs/>
                <w:kern w:val="0"/>
                <w:szCs w:val="21"/>
                <w:highlight w:val="none"/>
              </w:rPr>
            </w:pPr>
            <w:r>
              <w:rPr>
                <w:rFonts w:hint="eastAsia" w:ascii="宋体" w:hAnsi="宋体" w:cs="宋体"/>
                <w:kern w:val="0"/>
                <w:szCs w:val="21"/>
                <w:highlight w:val="none"/>
              </w:rPr>
              <w:t>成立时间</w:t>
            </w:r>
          </w:p>
        </w:tc>
        <w:tc>
          <w:tcPr>
            <w:tcW w:w="3860" w:type="dxa"/>
            <w:gridSpan w:val="3"/>
            <w:noWrap w:val="0"/>
            <w:vAlign w:val="center"/>
          </w:tcPr>
          <w:p>
            <w:pPr>
              <w:shd w:val="clear" w:color="auto" w:fill="auto"/>
              <w:autoSpaceDE w:val="0"/>
              <w:autoSpaceDN w:val="0"/>
              <w:adjustRightInd w:val="0"/>
              <w:spacing w:line="240" w:lineRule="auto"/>
              <w:ind w:firstLine="420"/>
              <w:jc w:val="center"/>
              <w:rPr>
                <w:rFonts w:hint="eastAsia" w:ascii="宋体" w:hAnsi="宋体" w:cs="宋体"/>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注册资金</w:t>
            </w:r>
          </w:p>
        </w:tc>
        <w:tc>
          <w:tcPr>
            <w:tcW w:w="1985"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447" w:type="dxa"/>
            <w:vMerge w:val="restart"/>
            <w:noWrap w:val="0"/>
            <w:vAlign w:val="center"/>
          </w:tcPr>
          <w:p>
            <w:pPr>
              <w:widowControl/>
              <w:shd w:val="clear" w:color="auto" w:fill="auto"/>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固定资产</w:t>
            </w: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原值</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bCs/>
                <w:kern w:val="0"/>
                <w:szCs w:val="21"/>
                <w:highlight w:val="none"/>
              </w:rPr>
            </w:pPr>
            <w:r>
              <w:rPr>
                <w:rFonts w:hint="eastAsia" w:ascii="宋体" w:hAnsi="宋体" w:cs="宋体"/>
                <w:bCs/>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流动资金</w:t>
            </w:r>
          </w:p>
        </w:tc>
        <w:tc>
          <w:tcPr>
            <w:tcW w:w="1985"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447" w:type="dxa"/>
            <w:vMerge w:val="continue"/>
            <w:noWrap w:val="0"/>
            <w:vAlign w:val="center"/>
          </w:tcPr>
          <w:p>
            <w:pPr>
              <w:widowControl/>
              <w:shd w:val="clear" w:color="auto" w:fill="auto"/>
              <w:spacing w:line="240" w:lineRule="auto"/>
              <w:ind w:firstLine="420"/>
              <w:jc w:val="center"/>
              <w:rPr>
                <w:rFonts w:hint="eastAsia" w:ascii="宋体" w:hAnsi="宋体" w:cs="宋体"/>
                <w:kern w:val="0"/>
                <w:szCs w:val="21"/>
                <w:highlight w:val="none"/>
              </w:rPr>
            </w:pP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净值</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bCs/>
                <w:kern w:val="0"/>
                <w:szCs w:val="21"/>
                <w:highlight w:val="none"/>
              </w:rPr>
            </w:pPr>
            <w:r>
              <w:rPr>
                <w:rFonts w:hint="eastAsia" w:ascii="宋体" w:hAnsi="宋体" w:cs="宋体"/>
                <w:bCs/>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开户银行</w:t>
            </w:r>
          </w:p>
        </w:tc>
        <w:tc>
          <w:tcPr>
            <w:tcW w:w="1985"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447" w:type="dxa"/>
            <w:vMerge w:val="restart"/>
            <w:noWrap w:val="0"/>
            <w:vAlign w:val="center"/>
          </w:tcPr>
          <w:p>
            <w:pPr>
              <w:widowControl/>
              <w:shd w:val="clear" w:color="auto" w:fill="auto"/>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职工总数  XX人</w:t>
            </w: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生产工人</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bCs/>
                <w:kern w:val="0"/>
                <w:szCs w:val="21"/>
                <w:highlight w:val="none"/>
              </w:rPr>
            </w:pPr>
            <w:r>
              <w:rPr>
                <w:rFonts w:hint="eastAsia" w:ascii="宋体" w:hAnsi="宋体" w:cs="宋体"/>
                <w:bCs/>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账号</w:t>
            </w:r>
          </w:p>
        </w:tc>
        <w:tc>
          <w:tcPr>
            <w:tcW w:w="1985" w:type="dxa"/>
            <w:gridSpan w:val="2"/>
            <w:noWrap w:val="0"/>
            <w:vAlign w:val="center"/>
          </w:tcPr>
          <w:p>
            <w:pPr>
              <w:shd w:val="clear" w:color="auto" w:fill="auto"/>
              <w:autoSpaceDE w:val="0"/>
              <w:autoSpaceDN w:val="0"/>
              <w:adjustRightInd w:val="0"/>
              <w:spacing w:line="240" w:lineRule="auto"/>
              <w:ind w:firstLine="228" w:firstLineChars="95"/>
              <w:jc w:val="center"/>
              <w:rPr>
                <w:rFonts w:hint="eastAsia" w:ascii="宋体" w:hAnsi="宋体" w:cs="宋体"/>
                <w:kern w:val="0"/>
                <w:szCs w:val="21"/>
                <w:highlight w:val="none"/>
              </w:rPr>
            </w:pPr>
            <w:r>
              <w:rPr>
                <w:rFonts w:hint="eastAsia" w:ascii="宋体" w:hAnsi="宋体" w:cs="宋体"/>
                <w:kern w:val="0"/>
                <w:szCs w:val="21"/>
                <w:highlight w:val="none"/>
              </w:rPr>
              <w:t>基本银行账号</w:t>
            </w:r>
          </w:p>
        </w:tc>
        <w:tc>
          <w:tcPr>
            <w:tcW w:w="1447" w:type="dxa"/>
            <w:vMerge w:val="continue"/>
            <w:noWrap w:val="0"/>
            <w:vAlign w:val="center"/>
          </w:tcPr>
          <w:p>
            <w:pPr>
              <w:widowControl/>
              <w:shd w:val="clear" w:color="auto" w:fill="auto"/>
              <w:spacing w:line="240" w:lineRule="auto"/>
              <w:ind w:firstLine="420"/>
              <w:jc w:val="center"/>
              <w:rPr>
                <w:rFonts w:hint="eastAsia" w:ascii="宋体" w:hAnsi="宋体" w:cs="宋体"/>
                <w:kern w:val="0"/>
                <w:szCs w:val="21"/>
                <w:highlight w:val="none"/>
              </w:rPr>
            </w:pP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技术人员</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bCs/>
                <w:kern w:val="0"/>
                <w:szCs w:val="21"/>
                <w:highlight w:val="none"/>
              </w:rPr>
            </w:pPr>
            <w:r>
              <w:rPr>
                <w:rFonts w:hint="eastAsia" w:ascii="宋体" w:hAnsi="宋体" w:cs="宋体"/>
                <w:bCs/>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经营范围</w:t>
            </w:r>
          </w:p>
        </w:tc>
        <w:tc>
          <w:tcPr>
            <w:tcW w:w="7292" w:type="dxa"/>
            <w:gridSpan w:val="6"/>
            <w:noWrap w:val="0"/>
            <w:vAlign w:val="center"/>
          </w:tcPr>
          <w:p>
            <w:pPr>
              <w:shd w:val="clear" w:color="auto" w:fill="auto"/>
              <w:autoSpaceDE w:val="0"/>
              <w:autoSpaceDN w:val="0"/>
              <w:adjustRightInd w:val="0"/>
              <w:spacing w:line="240" w:lineRule="auto"/>
              <w:ind w:firstLine="422"/>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备注</w:t>
            </w:r>
          </w:p>
        </w:tc>
        <w:tc>
          <w:tcPr>
            <w:tcW w:w="7292" w:type="dxa"/>
            <w:gridSpan w:val="6"/>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r>
    </w:tbl>
    <w:p>
      <w:pPr>
        <w:spacing w:line="480" w:lineRule="auto"/>
        <w:jc w:val="center"/>
        <w:rPr>
          <w:rFonts w:hint="eastAsia" w:ascii="宋体" w:hAnsi="宋体" w:eastAsia="宋体" w:cs="宋体"/>
          <w:b/>
          <w:bCs/>
          <w:sz w:val="30"/>
          <w:szCs w:val="30"/>
          <w:lang w:val="en-US" w:eastAsia="zh-CN"/>
        </w:rPr>
      </w:pPr>
      <w:r>
        <w:rPr>
          <w:rFonts w:hint="eastAsia" w:hAnsi="宋体" w:cs="宋体"/>
          <w:b/>
          <w:bCs/>
          <w:sz w:val="30"/>
          <w:szCs w:val="30"/>
          <w:lang w:val="en-US" w:eastAsia="zh-CN"/>
        </w:rPr>
        <w:t>投标人</w:t>
      </w:r>
      <w:r>
        <w:rPr>
          <w:rFonts w:hint="eastAsia" w:ascii="宋体" w:hAnsi="宋体" w:eastAsia="宋体" w:cs="宋体"/>
          <w:b/>
          <w:bCs/>
          <w:sz w:val="30"/>
          <w:szCs w:val="30"/>
          <w:lang w:val="en-US" w:eastAsia="zh-CN"/>
        </w:rPr>
        <w:t>基本情况表</w:t>
      </w:r>
    </w:p>
    <w:p>
      <w:pPr>
        <w:keepNext w:val="0"/>
        <w:keepLines w:val="0"/>
        <w:pageBreakBefore w:val="0"/>
        <w:widowControl w:val="0"/>
        <w:kinsoku/>
        <w:wordWrap/>
        <w:overflowPunct/>
        <w:topLinePunct w:val="0"/>
        <w:autoSpaceDE/>
        <w:autoSpaceDN/>
        <w:bidi w:val="0"/>
        <w:adjustRightInd/>
        <w:snapToGrid/>
        <w:spacing w:line="480" w:lineRule="auto"/>
        <w:ind w:right="617" w:rightChars="257"/>
        <w:jc w:val="left"/>
        <w:textAlignment w:val="auto"/>
        <w:rPr>
          <w:rFonts w:hint="eastAsia" w:ascii="宋体" w:hAnsi="宋体" w:eastAsia="宋体" w:cs="宋体"/>
          <w:color w:val="auto"/>
          <w:sz w:val="24"/>
          <w:szCs w:val="24"/>
          <w:highlight w:val="none"/>
          <w:u w:val="single"/>
          <w:lang w:eastAsia="zh-CN"/>
        </w:rPr>
      </w:pPr>
      <w:r>
        <w:rPr>
          <w:rFonts w:hint="eastAsia" w:hAnsi="宋体"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u w:val="single"/>
          <w:lang w:eastAsia="zh-CN"/>
        </w:rPr>
        <w:t xml:space="preserve">        （盖章）</w:t>
      </w:r>
    </w:p>
    <w:p>
      <w:pPr>
        <w:keepNext w:val="0"/>
        <w:keepLines w:val="0"/>
        <w:pageBreakBefore w:val="0"/>
        <w:widowControl w:val="0"/>
        <w:kinsoku/>
        <w:wordWrap/>
        <w:overflowPunct/>
        <w:topLinePunct w:val="0"/>
        <w:autoSpaceDE/>
        <w:autoSpaceDN/>
        <w:bidi w:val="0"/>
        <w:adjustRightInd/>
        <w:snapToGrid/>
        <w:spacing w:line="480" w:lineRule="auto"/>
        <w:ind w:right="617" w:rightChars="257"/>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法定代表人或被授权人： </w:t>
      </w:r>
      <w:r>
        <w:rPr>
          <w:rFonts w:hint="eastAsia" w:ascii="宋体" w:hAnsi="宋体" w:eastAsia="宋体" w:cs="宋体"/>
          <w:color w:val="auto"/>
          <w:sz w:val="24"/>
          <w:szCs w:val="24"/>
          <w:highlight w:val="none"/>
          <w:u w:val="single"/>
          <w:lang w:eastAsia="zh-CN"/>
        </w:rPr>
        <w:t xml:space="preserve"> （签名或盖章）：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spacing w:line="520" w:lineRule="exact"/>
        <w:ind w:firstLine="48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br w:type="page"/>
      </w:r>
    </w:p>
    <w:p>
      <w:pPr>
        <w:shd w:val="clear" w:color="auto" w:fill="auto"/>
        <w:adjustRightInd w:val="0"/>
        <w:snapToGrid w:val="0"/>
        <w:spacing w:line="520" w:lineRule="exact"/>
        <w:jc w:val="left"/>
        <w:rPr>
          <w:rFonts w:hint="eastAsia" w:ascii="宋体" w:hAnsi="宋体" w:eastAsia="宋体" w:cs="宋体"/>
          <w:b/>
          <w:bCs w:val="0"/>
          <w:sz w:val="24"/>
          <w:szCs w:val="24"/>
          <w:highlight w:val="none"/>
          <w:lang w:val="en-US" w:eastAsia="zh-CN"/>
        </w:rPr>
      </w:pPr>
      <w:r>
        <w:rPr>
          <w:rFonts w:hint="eastAsia" w:hAnsi="宋体" w:cs="宋体"/>
          <w:b/>
          <w:bCs w:val="0"/>
          <w:sz w:val="24"/>
          <w:szCs w:val="24"/>
          <w:highlight w:val="none"/>
          <w:lang w:val="en-US" w:eastAsia="zh-CN"/>
        </w:rPr>
        <w:t>投标人</w:t>
      </w:r>
      <w:r>
        <w:rPr>
          <w:rFonts w:hint="eastAsia" w:ascii="宋体" w:hAnsi="宋体" w:eastAsia="宋体" w:cs="宋体"/>
          <w:b/>
          <w:bCs w:val="0"/>
          <w:sz w:val="24"/>
          <w:szCs w:val="24"/>
          <w:highlight w:val="none"/>
          <w:lang w:val="en-US" w:eastAsia="zh-CN"/>
        </w:rPr>
        <w:t>为合法注册的法人或其他组织或自然人，提供营业执照（或事业法人证）,自然人的身份证明</w:t>
      </w:r>
    </w:p>
    <w:p>
      <w:pPr>
        <w:shd w:val="clear" w:color="auto" w:fill="auto"/>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说明：</w:t>
      </w:r>
    </w:p>
    <w:p>
      <w:pPr>
        <w:shd w:val="clear" w:color="auto" w:fill="auto"/>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（1）企业单位参加投标提供有效的营业执照（3证合1或多证合1）；</w:t>
      </w:r>
    </w:p>
    <w:p>
      <w:pPr>
        <w:shd w:val="clear" w:color="auto" w:fill="auto"/>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（2）事业单位参加投标提供有效的法人证书（带有社会统一信用代码）；</w:t>
      </w:r>
    </w:p>
    <w:p>
      <w:pPr>
        <w:shd w:val="clear" w:color="auto" w:fill="auto"/>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（3）其他组织参加投标提供有效的登记证书（带有社会统一信用代码）；</w:t>
      </w:r>
    </w:p>
    <w:p>
      <w:pPr>
        <w:shd w:val="clear" w:color="auto" w:fill="auto"/>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（4）自然人参加投标提供有效的身份证复印件；</w:t>
      </w:r>
    </w:p>
    <w:p>
      <w:pPr>
        <w:shd w:val="clear" w:color="auto" w:fill="auto"/>
        <w:adjustRightInd w:val="0"/>
        <w:snapToGrid w:val="0"/>
        <w:spacing w:line="520" w:lineRule="exact"/>
        <w:jc w:val="left"/>
        <w:rPr>
          <w:rFonts w:hint="eastAsia"/>
          <w:highlight w:val="none"/>
        </w:rPr>
      </w:pPr>
      <w:r>
        <w:rPr>
          <w:rFonts w:hint="eastAsia" w:ascii="宋体" w:hAnsi="宋体" w:eastAsia="宋体" w:cs="宋体"/>
          <w:b w:val="0"/>
          <w:bCs/>
          <w:sz w:val="24"/>
          <w:szCs w:val="24"/>
          <w:highlight w:val="none"/>
          <w:lang w:val="zh-CN"/>
        </w:rPr>
        <w:t>（5）（1）-（3）为副本复印件，须加盖</w:t>
      </w:r>
      <w:r>
        <w:rPr>
          <w:rFonts w:hint="eastAsia" w:hAnsi="宋体" w:cs="宋体"/>
          <w:b w:val="0"/>
          <w:bCs/>
          <w:sz w:val="24"/>
          <w:szCs w:val="24"/>
          <w:highlight w:val="none"/>
          <w:lang w:val="zh-CN"/>
        </w:rPr>
        <w:t>投标人</w:t>
      </w:r>
      <w:r>
        <w:rPr>
          <w:rFonts w:hint="eastAsia" w:ascii="宋体" w:hAnsi="宋体" w:eastAsia="宋体" w:cs="宋体"/>
          <w:b w:val="0"/>
          <w:bCs/>
          <w:sz w:val="24"/>
          <w:szCs w:val="24"/>
          <w:highlight w:val="none"/>
          <w:lang w:val="zh-CN"/>
        </w:rPr>
        <w:t>单位章。</w:t>
      </w: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spacing w:before="336" w:beforeLines="1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附件</w:t>
      </w:r>
      <w:r>
        <w:rPr>
          <w:rFonts w:hint="eastAsia" w:hAnsi="宋体" w:cs="宋体"/>
          <w:b/>
          <w:color w:val="auto"/>
          <w:sz w:val="30"/>
          <w:szCs w:val="30"/>
          <w:highlight w:val="none"/>
          <w:lang w:val="en-US" w:eastAsia="zh-CN"/>
        </w:rPr>
        <w:t>2：</w:t>
      </w:r>
    </w:p>
    <w:p>
      <w:pPr>
        <w:spacing w:line="480" w:lineRule="auto"/>
        <w:jc w:val="center"/>
        <w:rPr>
          <w:rFonts w:hint="eastAsia" w:ascii="宋体" w:hAnsi="宋体" w:eastAsia="宋体" w:cs="宋体"/>
          <w:b/>
          <w:bCs/>
          <w:sz w:val="30"/>
          <w:szCs w:val="30"/>
        </w:rPr>
      </w:pPr>
      <w:r>
        <w:rPr>
          <w:rFonts w:hint="eastAsia" w:ascii="宋体" w:hAnsi="宋体" w:cs="宋体"/>
          <w:b/>
          <w:bCs/>
          <w:sz w:val="32"/>
          <w:szCs w:val="32"/>
          <w:lang w:val="en-US" w:eastAsia="zh-CN"/>
        </w:rPr>
        <w:t xml:space="preserve"> </w:t>
      </w:r>
      <w:r>
        <w:rPr>
          <w:rFonts w:hint="eastAsia" w:ascii="宋体" w:hAnsi="宋体" w:eastAsia="宋体" w:cs="宋体"/>
          <w:b/>
          <w:bCs/>
          <w:sz w:val="30"/>
          <w:szCs w:val="30"/>
        </w:rPr>
        <w:t>法定代表人身份证明书</w:t>
      </w:r>
    </w:p>
    <w:p>
      <w:pPr>
        <w:pStyle w:val="2"/>
        <w:spacing w:line="480" w:lineRule="auto"/>
        <w:rPr>
          <w:rFonts w:hint="eastAsia"/>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sz w:val="24"/>
          <w:szCs w:val="24"/>
          <w:u w:val="single"/>
          <w:lang w:val="en-US" w:eastAsia="zh-CN"/>
        </w:rPr>
      </w:pPr>
      <w:r>
        <w:rPr>
          <w:rFonts w:hint="eastAsia" w:hAnsi="宋体" w:cs="宋体"/>
          <w:sz w:val="24"/>
          <w:szCs w:val="24"/>
          <w:lang w:eastAsia="zh-CN"/>
        </w:rPr>
        <w:t>投标人</w:t>
      </w:r>
      <w:r>
        <w:rPr>
          <w:rFonts w:hint="eastAsia" w:ascii="宋体" w:hAnsi="宋体" w:eastAsia="宋体" w:cs="宋体"/>
          <w:sz w:val="24"/>
          <w:szCs w:val="24"/>
          <w:lang w:eastAsia="zh-CN"/>
        </w:rPr>
        <w:t>名称</w:t>
      </w:r>
      <w:r>
        <w:rPr>
          <w:rFonts w:hint="eastAsia" w:ascii="宋体" w:hAnsi="宋体" w:eastAsia="宋体" w:cs="宋体"/>
          <w:sz w:val="24"/>
          <w:szCs w:val="24"/>
        </w:rPr>
        <w:t>：</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性别：</w:t>
      </w:r>
      <w:r>
        <w:rPr>
          <w:rFonts w:hint="eastAsia" w:ascii="宋体" w:hAnsi="宋体" w:eastAsia="宋体" w:cs="宋体"/>
          <w:i w:val="0"/>
          <w:iCs w:val="0"/>
          <w:sz w:val="24"/>
          <w:szCs w:val="24"/>
          <w:u w:val="single"/>
          <w:lang w:val="en-US" w:eastAsia="zh-CN"/>
        </w:rPr>
        <w:t xml:space="preserve">      </w:t>
      </w:r>
      <w:r>
        <w:rPr>
          <w:rFonts w:hint="eastAsia" w:ascii="宋体" w:hAnsi="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sz w:val="24"/>
          <w:szCs w:val="24"/>
        </w:rPr>
        <w:t>年龄：</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职务：</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w:t>
      </w:r>
      <w:r>
        <w:rPr>
          <w:rFonts w:hint="eastAsia" w:hAnsi="宋体" w:cs="宋体"/>
          <w:sz w:val="24"/>
          <w:szCs w:val="24"/>
          <w:u w:val="none"/>
          <w:lang w:eastAsia="zh-CN"/>
        </w:rPr>
        <w:t>投标人</w:t>
      </w:r>
      <w:r>
        <w:rPr>
          <w:rFonts w:hint="eastAsia" w:ascii="宋体" w:hAnsi="宋体" w:eastAsia="宋体" w:cs="宋体"/>
          <w:sz w:val="24"/>
          <w:szCs w:val="24"/>
          <w:u w:val="none"/>
        </w:rPr>
        <w:t>名称）</w:t>
      </w:r>
      <w:r>
        <w:rPr>
          <w:rFonts w:hint="eastAsia" w:ascii="宋体" w:hAnsi="宋体" w:eastAsia="宋体" w:cs="宋体"/>
          <w:sz w:val="24"/>
          <w:szCs w:val="24"/>
        </w:rPr>
        <w:t>的法定代表人</w:t>
      </w:r>
      <w:r>
        <w:rPr>
          <w:rFonts w:hint="eastAsia" w:ascii="宋体" w:hAnsi="宋体" w:eastAsia="宋体" w:cs="宋体"/>
          <w:color w:val="auto"/>
          <w:kern w:val="0"/>
          <w:sz w:val="24"/>
          <w:szCs w:val="24"/>
          <w:highlight w:val="none"/>
        </w:rPr>
        <w:t>（单位负责人）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特此证明。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法定代表人身份证复印件</w:t>
      </w:r>
    </w:p>
    <w:tbl>
      <w:tblPr>
        <w:tblStyle w:val="2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00"/>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77" w:hRule="atLeast"/>
          <w:jc w:val="center"/>
        </w:trPr>
        <w:tc>
          <w:tcPr>
            <w:tcW w:w="4300" w:type="dxa"/>
            <w:shd w:val="clear" w:color="auto" w:fill="E0E0E0"/>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身份证复印件</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正面</w:t>
            </w:r>
            <w:r>
              <w:rPr>
                <w:rFonts w:hint="eastAsia" w:ascii="宋体" w:hAnsi="宋体" w:eastAsia="宋体" w:cs="宋体"/>
                <w:sz w:val="24"/>
                <w:szCs w:val="24"/>
                <w:lang w:eastAsia="zh-CN"/>
              </w:rPr>
              <w:t>）</w:t>
            </w:r>
          </w:p>
        </w:tc>
        <w:tc>
          <w:tcPr>
            <w:tcW w:w="4300" w:type="dxa"/>
            <w:shd w:val="clear" w:color="auto" w:fill="E0E0E0"/>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身份证复印件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反面</w:t>
            </w:r>
            <w:r>
              <w:rPr>
                <w:rFonts w:hint="eastAsia" w:ascii="宋体" w:hAnsi="宋体" w:eastAsia="宋体" w:cs="宋体"/>
                <w:sz w:val="24"/>
                <w:szCs w:val="24"/>
                <w:lang w:eastAsia="zh-CN"/>
              </w:rPr>
              <w:t>）</w:t>
            </w:r>
          </w:p>
        </w:tc>
      </w:tr>
    </w:tbl>
    <w:p>
      <w:pPr>
        <w:spacing w:line="360" w:lineRule="auto"/>
        <w:rPr>
          <w:rFonts w:hint="eastAsia" w:ascii="宋体" w:hAnsi="宋体" w:eastAsia="宋体" w:cs="宋体"/>
          <w:sz w:val="24"/>
          <w:szCs w:val="24"/>
        </w:rPr>
      </w:pPr>
    </w:p>
    <w:p>
      <w:pPr>
        <w:spacing w:line="360" w:lineRule="auto"/>
        <w:ind w:firstLine="3600" w:firstLineChars="1500"/>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hAnsi="宋体" w:cs="宋体"/>
          <w:sz w:val="24"/>
          <w:szCs w:val="24"/>
          <w:lang w:val="en-US" w:eastAsia="zh-CN"/>
        </w:rPr>
        <w:t>投标人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（全称并盖公章）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附件</w:t>
      </w:r>
      <w:r>
        <w:rPr>
          <w:rFonts w:hint="eastAsia" w:hAnsi="宋体" w:cs="宋体"/>
          <w:b/>
          <w:color w:val="auto"/>
          <w:sz w:val="30"/>
          <w:szCs w:val="30"/>
          <w:highlight w:val="none"/>
          <w:lang w:val="en-US" w:eastAsia="zh-CN"/>
        </w:rPr>
        <w:t>3：</w:t>
      </w:r>
    </w:p>
    <w:p>
      <w:pPr>
        <w:pStyle w:val="16"/>
        <w:spacing w:line="600" w:lineRule="auto"/>
        <w:jc w:val="center"/>
        <w:rPr>
          <w:rFonts w:hint="eastAsia" w:ascii="宋体" w:hAnsi="宋体" w:eastAsia="宋体" w:cs="宋体"/>
          <w:b/>
          <w:bCs/>
          <w:color w:val="000000"/>
          <w:kern w:val="2"/>
          <w:sz w:val="30"/>
          <w:szCs w:val="30"/>
          <w:lang w:val="en-US" w:eastAsia="zh-CN" w:bidi="ar-SA"/>
        </w:rPr>
      </w:pPr>
      <w:r>
        <w:rPr>
          <w:rFonts w:hint="eastAsia" w:hAnsi="宋体" w:cs="宋体"/>
          <w:b/>
          <w:bCs/>
          <w:sz w:val="28"/>
          <w:szCs w:val="28"/>
          <w:lang w:val="en-US" w:eastAsia="zh-CN"/>
        </w:rPr>
        <w:t xml:space="preserve">  </w:t>
      </w:r>
      <w:r>
        <w:rPr>
          <w:rFonts w:hint="eastAsia" w:ascii="宋体" w:hAnsi="宋体" w:eastAsia="宋体" w:cs="宋体"/>
          <w:b/>
          <w:bCs/>
          <w:color w:val="000000"/>
          <w:kern w:val="2"/>
          <w:sz w:val="30"/>
          <w:szCs w:val="30"/>
          <w:lang w:val="en-US" w:eastAsia="zh-CN" w:bidi="ar-SA"/>
        </w:rPr>
        <w:t>法定代表人授权委托书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 xml:space="preserve">本人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none"/>
          <w:lang w:val="zh-CN"/>
        </w:rPr>
        <w:t xml:space="preserve"> （姓名）</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none"/>
          <w:lang w:val="zh-CN"/>
        </w:rPr>
        <w:t>（</w:t>
      </w:r>
      <w:r>
        <w:rPr>
          <w:rFonts w:hint="eastAsia" w:hAnsi="宋体" w:cs="宋体"/>
          <w:sz w:val="24"/>
          <w:szCs w:val="24"/>
          <w:u w:val="none"/>
          <w:lang w:val="zh-CN"/>
        </w:rPr>
        <w:t>投标人</w:t>
      </w:r>
      <w:r>
        <w:rPr>
          <w:rFonts w:hint="eastAsia" w:ascii="宋体" w:hAnsi="宋体" w:eastAsia="宋体" w:cs="宋体"/>
          <w:sz w:val="24"/>
          <w:szCs w:val="24"/>
          <w:u w:val="none"/>
          <w:lang w:val="zh-CN"/>
        </w:rPr>
        <w:t>名称）</w:t>
      </w:r>
      <w:r>
        <w:rPr>
          <w:rFonts w:hint="eastAsia" w:ascii="宋体" w:hAnsi="宋体" w:eastAsia="宋体" w:cs="宋体"/>
          <w:sz w:val="24"/>
          <w:szCs w:val="24"/>
          <w:lang w:val="zh-CN"/>
        </w:rPr>
        <w:t>的法定代表人，现委托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none"/>
          <w:lang w:val="zh-CN"/>
        </w:rPr>
        <w:t>（被委托人姓名）</w:t>
      </w:r>
      <w:r>
        <w:rPr>
          <w:rFonts w:hint="eastAsia" w:ascii="宋体" w:hAnsi="宋体" w:eastAsia="宋体" w:cs="宋体"/>
          <w:sz w:val="24"/>
          <w:szCs w:val="24"/>
          <w:lang w:val="zh-CN"/>
        </w:rPr>
        <w:t>为我方被授权人。被授权人根据授权，以我方的名义签署、澄清确认、递交、撤回、修改</w:t>
      </w:r>
      <w:r>
        <w:rPr>
          <w:rFonts w:hint="eastAsia" w:ascii="宋体" w:hAnsi="宋体" w:eastAsia="宋体" w:cs="宋体"/>
          <w:sz w:val="24"/>
          <w:szCs w:val="24"/>
          <w:u w:val="single"/>
          <w:lang w:val="zh-CN"/>
        </w:rPr>
        <w:t xml:space="preserve">  （项目</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cs="宋体"/>
          <w:sz w:val="24"/>
          <w:szCs w:val="24"/>
          <w:u w:val="none"/>
          <w:lang w:val="en-US" w:eastAsia="zh-CN"/>
        </w:rPr>
        <w:t>的投标文件</w:t>
      </w:r>
      <w:r>
        <w:rPr>
          <w:rFonts w:hint="eastAsia" w:ascii="宋体" w:hAnsi="宋体" w:eastAsia="宋体" w:cs="宋体"/>
          <w:sz w:val="24"/>
          <w:szCs w:val="24"/>
          <w:lang w:val="zh-CN"/>
        </w:rPr>
        <w:t>、签订合同和全权处理一切与之有关的事宜，</w:t>
      </w:r>
      <w:r>
        <w:rPr>
          <w:rFonts w:hint="eastAsia" w:ascii="宋体" w:hAnsi="宋体" w:eastAsia="宋体" w:cs="宋体"/>
          <w:sz w:val="24"/>
          <w:szCs w:val="24"/>
        </w:rPr>
        <w:t>其法律后果由我方承担。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委托期限：本授权委托书有效期自开标之日起90天</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代理人无转委托书。</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附：</w:t>
      </w:r>
      <w:r>
        <w:rPr>
          <w:rFonts w:hint="eastAsia" w:ascii="宋体" w:hAnsi="宋体" w:eastAsia="宋体" w:cs="宋体"/>
          <w:sz w:val="24"/>
          <w:szCs w:val="24"/>
          <w:lang w:val="zh-CN"/>
        </w:rPr>
        <w:t>法定代表人（单位负责人）身份证复印件</w:t>
      </w:r>
      <w:r>
        <w:rPr>
          <w:rFonts w:hint="eastAsia" w:ascii="宋体" w:hAnsi="宋体" w:eastAsia="宋体" w:cs="宋体"/>
          <w:sz w:val="24"/>
          <w:szCs w:val="24"/>
        </w:rPr>
        <w:t>、被授权人</w:t>
      </w:r>
      <w:r>
        <w:rPr>
          <w:rFonts w:hint="eastAsia" w:ascii="宋体" w:hAnsi="宋体" w:eastAsia="宋体" w:cs="宋体"/>
          <w:sz w:val="24"/>
          <w:szCs w:val="24"/>
          <w:lang w:val="zh-CN"/>
        </w:rPr>
        <w:t>身份证复印件。</w:t>
      </w:r>
    </w:p>
    <w:tbl>
      <w:tblPr>
        <w:tblStyle w:val="2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38"/>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172" w:hRule="atLeast"/>
          <w:jc w:val="center"/>
        </w:trPr>
        <w:tc>
          <w:tcPr>
            <w:tcW w:w="4338" w:type="dxa"/>
            <w:shd w:val="clear" w:color="auto" w:fill="E0E0E0"/>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正面</w:t>
            </w:r>
            <w:r>
              <w:rPr>
                <w:rFonts w:hint="eastAsia" w:ascii="宋体" w:hAnsi="宋体" w:eastAsia="宋体" w:cs="宋体"/>
                <w:sz w:val="24"/>
                <w:szCs w:val="24"/>
                <w:lang w:eastAsia="zh-CN"/>
              </w:rPr>
              <w:t>）</w:t>
            </w:r>
          </w:p>
        </w:tc>
        <w:tc>
          <w:tcPr>
            <w:tcW w:w="4441" w:type="dxa"/>
            <w:shd w:val="clear" w:color="auto" w:fill="E0E0E0"/>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被授权人身份证复印件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正面</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jc w:val="center"/>
        </w:trPr>
        <w:tc>
          <w:tcPr>
            <w:tcW w:w="4338" w:type="dxa"/>
            <w:shd w:val="clear" w:color="auto" w:fill="E0E0E0"/>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反面</w:t>
            </w:r>
            <w:r>
              <w:rPr>
                <w:rFonts w:hint="eastAsia" w:ascii="宋体" w:hAnsi="宋体" w:eastAsia="宋体" w:cs="宋体"/>
                <w:sz w:val="24"/>
                <w:szCs w:val="24"/>
                <w:lang w:eastAsia="zh-CN"/>
              </w:rPr>
              <w:t>）</w:t>
            </w:r>
          </w:p>
        </w:tc>
        <w:tc>
          <w:tcPr>
            <w:tcW w:w="4441" w:type="dxa"/>
            <w:shd w:val="clear" w:color="auto" w:fill="E0E0E0"/>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被授权人身份证复印件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反面</w:t>
            </w:r>
            <w:r>
              <w:rPr>
                <w:rFonts w:hint="eastAsia" w:ascii="宋体" w:hAnsi="宋体" w:eastAsia="宋体" w:cs="宋体"/>
                <w:sz w:val="24"/>
                <w:szCs w:val="24"/>
                <w:lang w:eastAsia="zh-CN"/>
              </w:rPr>
              <w:t>）</w:t>
            </w:r>
          </w:p>
        </w:tc>
      </w:tr>
    </w:tbl>
    <w:p>
      <w:pPr>
        <w:spacing w:line="360" w:lineRule="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hAnsi="宋体" w:cs="宋体"/>
          <w:sz w:val="24"/>
          <w:szCs w:val="24"/>
          <w:lang w:eastAsia="zh-CN"/>
        </w:rPr>
        <w:t>投标人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zh-CN"/>
        </w:rPr>
        <w:t>（单位负责人）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r>
        <w:rPr>
          <w:rFonts w:hint="eastAsia" w:ascii="宋体" w:hAnsi="宋体" w:eastAsia="宋体" w:cs="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身 份 证 号：</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被授权人：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身 份 证 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授权日期：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topLinePunct/>
        <w:spacing w:line="440" w:lineRule="exact"/>
        <w:jc w:val="both"/>
        <w:rPr>
          <w:rFonts w:hint="eastAsia" w:ascii="宋体" w:hAnsi="宋体" w:eastAsia="宋体" w:cs="宋体"/>
          <w:b/>
          <w:bCs/>
          <w:sz w:val="24"/>
          <w:szCs w:val="24"/>
          <w:lang w:val="en-US" w:eastAsia="zh-CN"/>
        </w:rPr>
      </w:pPr>
      <w:r>
        <w:rPr>
          <w:rFonts w:hint="eastAsia" w:ascii="宋体" w:hAnsi="宋体" w:eastAsia="宋体" w:cs="宋体"/>
          <w:sz w:val="24"/>
          <w:szCs w:val="24"/>
          <w:lang w:val="zh-CN"/>
        </w:rPr>
        <w:t>说明：本授权委托书仅限被授权人参加投标时提供。</w:t>
      </w:r>
      <w:r>
        <w:rPr>
          <w:rFonts w:hint="eastAsia" w:ascii="宋体" w:hAnsi="宋体" w:eastAsia="宋体" w:cs="宋体"/>
          <w:b/>
          <w:bCs/>
          <w:sz w:val="24"/>
          <w:szCs w:val="24"/>
          <w:lang w:val="en-US" w:eastAsia="zh-CN"/>
        </w:rPr>
        <w:t xml:space="preserve"> </w:t>
      </w:r>
    </w:p>
    <w:p>
      <w:pPr>
        <w:rPr>
          <w:rFonts w:hint="eastAsia" w:ascii="宋体" w:hAnsi="宋体" w:eastAsia="宋体" w:cs="宋体"/>
          <w:b/>
          <w:color w:val="auto"/>
          <w:sz w:val="28"/>
          <w:szCs w:val="28"/>
          <w:highlight w:val="none"/>
        </w:rPr>
      </w:pPr>
    </w:p>
    <w:p>
      <w:pP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4：</w:t>
      </w:r>
    </w:p>
    <w:p>
      <w:pPr>
        <w:jc w:val="center"/>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基本资格条件承诺函</w:t>
      </w:r>
    </w:p>
    <w:p>
      <w:pPr>
        <w:rPr>
          <w:rFonts w:hint="eastAsia" w:ascii="宋体" w:hAnsi="宋体" w:eastAsia="宋体" w:cs="宋体"/>
          <w:color w:val="auto"/>
          <w:szCs w:val="24"/>
          <w:highlight w:val="none"/>
        </w:rPr>
      </w:pPr>
    </w:p>
    <w:p>
      <w:pPr>
        <w:spacing w:line="6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(采购代理机构名称):</w:t>
      </w:r>
    </w:p>
    <w:p>
      <w:pPr>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名称)郑重承诺:</w:t>
      </w:r>
    </w:p>
    <w:p>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2.我方未列入在信用中国网(www.creditchina.gov.cn)“失信被执行人”、“</w:t>
      </w:r>
      <w:r>
        <w:rPr>
          <w:rFonts w:hint="eastAsia" w:hAnsi="宋体" w:cs="宋体"/>
          <w:color w:val="auto"/>
          <w:szCs w:val="24"/>
          <w:highlight w:val="none"/>
          <w:lang w:eastAsia="zh-CN"/>
        </w:rPr>
        <w:t>重大税收违法失信主体</w:t>
      </w:r>
      <w:r>
        <w:rPr>
          <w:rFonts w:hint="eastAsia" w:ascii="宋体" w:hAnsi="宋体" w:eastAsia="宋体" w:cs="宋体"/>
          <w:color w:val="auto"/>
          <w:szCs w:val="24"/>
          <w:highlight w:val="none"/>
        </w:rPr>
        <w:t>”中，也未列入中国政府采购网 (www.ccgp.gov.cn)“政府采购严重违法失信行为记录名单”中。</w:t>
      </w:r>
    </w:p>
    <w:p>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3.我方在采购项目评审 (评标) 环节结束后，随时接受采购人、采购代理机构的检查验证，配合提供相关证明材料，证明符合《中华人民共和国政府采购法》规定的</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基本资格条件。</w:t>
      </w:r>
    </w:p>
    <w:p>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我方对以上承诺负全部法律责任。</w:t>
      </w:r>
    </w:p>
    <w:p>
      <w:pPr>
        <w:spacing w:line="600" w:lineRule="exact"/>
        <w:ind w:firstLine="48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4"/>
          <w:highlight w:val="none"/>
        </w:rPr>
        <w:t>特此承诺。</w:t>
      </w:r>
    </w:p>
    <w:p>
      <w:pPr>
        <w:pStyle w:val="11"/>
        <w:rPr>
          <w:rFonts w:hint="eastAsia" w:ascii="宋体" w:hAnsi="宋体" w:eastAsia="宋体" w:cs="宋体"/>
          <w:color w:val="auto"/>
          <w:spacing w:val="4"/>
          <w:sz w:val="24"/>
          <w:szCs w:val="24"/>
          <w:highlight w:val="none"/>
        </w:rPr>
      </w:pPr>
    </w:p>
    <w:p>
      <w:pPr>
        <w:pStyle w:val="11"/>
        <w:rPr>
          <w:rFonts w:hint="eastAsia" w:ascii="宋体" w:hAnsi="宋体" w:eastAsia="宋体" w:cs="宋体"/>
          <w:color w:val="auto"/>
          <w:spacing w:val="4"/>
          <w:sz w:val="24"/>
          <w:szCs w:val="24"/>
          <w:highlight w:val="none"/>
        </w:rPr>
      </w:pPr>
    </w:p>
    <w:p>
      <w:pPr>
        <w:pStyle w:val="11"/>
        <w:rPr>
          <w:rFonts w:hint="eastAsia" w:ascii="宋体" w:hAnsi="宋体" w:eastAsia="宋体" w:cs="宋体"/>
          <w:color w:val="auto"/>
          <w:spacing w:val="4"/>
          <w:sz w:val="24"/>
          <w:szCs w:val="24"/>
          <w:highlight w:val="none"/>
        </w:rPr>
      </w:pPr>
    </w:p>
    <w:p>
      <w:pPr>
        <w:pStyle w:val="11"/>
        <w:rPr>
          <w:rFonts w:hint="eastAsia" w:ascii="宋体" w:hAnsi="宋体" w:eastAsia="宋体" w:cs="宋体"/>
          <w:color w:val="auto"/>
          <w:spacing w:val="4"/>
          <w:sz w:val="24"/>
          <w:szCs w:val="24"/>
          <w:highlight w:val="none"/>
        </w:rPr>
      </w:pPr>
    </w:p>
    <w:p>
      <w:pPr>
        <w:spacing w:line="360" w:lineRule="auto"/>
        <w:ind w:firstLine="2640" w:firstLineChars="1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法定代表人或被授权代表：</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pPr>
        <w:spacing w:line="360" w:lineRule="auto"/>
        <w:ind w:firstLine="2640" w:firstLineChars="1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供    应   商  公  章：</w:t>
      </w:r>
      <w:r>
        <w:rPr>
          <w:rFonts w:hint="eastAsia" w:ascii="宋体" w:hAnsi="宋体" w:eastAsia="宋体" w:cs="宋体"/>
          <w:color w:val="auto"/>
          <w:szCs w:val="24"/>
          <w:highlight w:val="none"/>
          <w:u w:val="single"/>
        </w:rPr>
        <w:t xml:space="preserve">                                 </w:t>
      </w:r>
    </w:p>
    <w:p>
      <w:pPr>
        <w:pStyle w:val="4"/>
        <w:keepNext w:val="0"/>
        <w:keepLines w:val="0"/>
        <w:widowControl w:val="0"/>
        <w:spacing w:before="168" w:beforeLines="50" w:after="0" w:line="360" w:lineRule="auto"/>
        <w:ind w:firstLine="2400" w:firstLineChars="1000"/>
        <w:jc w:val="both"/>
        <w:rPr>
          <w:rFonts w:hint="eastAsia" w:ascii="宋体" w:hAnsi="宋体" w:eastAsia="宋体" w:cs="宋体"/>
          <w:color w:val="auto"/>
          <w:szCs w:val="28"/>
          <w:highlight w:val="none"/>
        </w:rPr>
      </w:pPr>
      <w:r>
        <w:rPr>
          <w:rFonts w:hint="eastAsia" w:ascii="宋体" w:hAnsi="宋体" w:eastAsia="宋体" w:cs="宋体"/>
          <w:b w:val="0"/>
          <w:color w:val="auto"/>
          <w:sz w:val="24"/>
          <w:highlight w:val="none"/>
        </w:rPr>
        <w:t>日                 期：</w:t>
      </w:r>
      <w:r>
        <w:rPr>
          <w:rFonts w:hint="eastAsia" w:ascii="宋体" w:hAnsi="宋体" w:eastAsia="宋体" w:cs="宋体"/>
          <w:b w:val="0"/>
          <w:color w:val="auto"/>
          <w:sz w:val="24"/>
          <w:highlight w:val="none"/>
          <w:u w:val="single"/>
        </w:rPr>
        <w:t xml:space="preserve">                                </w:t>
      </w:r>
    </w:p>
    <w:p>
      <w:pPr>
        <w:pStyle w:val="4"/>
        <w:keepNext w:val="0"/>
        <w:keepLines w:val="0"/>
        <w:widowControl w:val="0"/>
        <w:spacing w:before="168" w:beforeLines="50" w:after="0" w:line="360" w:lineRule="auto"/>
        <w:ind w:left="0"/>
        <w:jc w:val="both"/>
        <w:rPr>
          <w:rFonts w:hint="eastAsia" w:ascii="宋体" w:hAnsi="宋体" w:eastAsia="宋体" w:cs="宋体"/>
          <w:color w:val="auto"/>
          <w:szCs w:val="28"/>
          <w:highlight w:val="none"/>
        </w:rPr>
      </w:pPr>
    </w:p>
    <w:p>
      <w:pPr>
        <w:spacing w:before="336" w:beforeLines="1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5:</w:t>
      </w:r>
    </w:p>
    <w:p>
      <w:pPr>
        <w:jc w:val="center"/>
        <w:rPr>
          <w:rFonts w:hint="eastAsia" w:ascii="宋体" w:hAnsi="宋体" w:eastAsia="宋体" w:cs="宋体"/>
          <w:b/>
          <w:bCs/>
          <w:color w:val="auto"/>
          <w:sz w:val="32"/>
          <w:szCs w:val="32"/>
          <w:highlight w:val="none"/>
          <w:lang w:val="zh-CN"/>
        </w:rPr>
      </w:pPr>
      <w:r>
        <w:rPr>
          <w:rFonts w:hint="eastAsia" w:hAnsi="宋体" w:cs="宋体"/>
          <w:b/>
          <w:bCs/>
          <w:color w:val="auto"/>
          <w:sz w:val="32"/>
          <w:szCs w:val="32"/>
          <w:highlight w:val="none"/>
          <w:lang w:val="zh-CN"/>
        </w:rPr>
        <w:t>投标人</w:t>
      </w:r>
      <w:r>
        <w:rPr>
          <w:rFonts w:hint="eastAsia" w:ascii="宋体" w:hAnsi="宋体" w:eastAsia="宋体" w:cs="宋体"/>
          <w:b/>
          <w:bCs/>
          <w:color w:val="auto"/>
          <w:sz w:val="32"/>
          <w:szCs w:val="32"/>
          <w:highlight w:val="none"/>
          <w:lang w:val="zh-CN"/>
        </w:rPr>
        <w:t>企业关系关联承诺书</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股东及股权证明。</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在本项目投标中，不存在与其它</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负责人为同一人，有控股、管理等关联关系承诺：</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2.1管理关系说明：</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我单位管理的具有独立法人的下属单位有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我单位的上级管理单位有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2.2股权关系说明：</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我单位控股的单位有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单位控股。</w:t>
      </w:r>
    </w:p>
    <w:p>
      <w:pP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2.3、单位负责人：</w:t>
      </w:r>
      <w:r>
        <w:rPr>
          <w:rFonts w:hint="eastAsia" w:ascii="宋体" w:hAnsi="宋体" w:eastAsia="宋体" w:cs="宋体"/>
          <w:color w:val="auto"/>
          <w:szCs w:val="24"/>
          <w:highlight w:val="none"/>
          <w:u w:val="single"/>
        </w:rPr>
        <w:t xml:space="preserve">                </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u w:val="single"/>
        </w:rPr>
        <w:t xml:space="preserve">              </w:t>
      </w:r>
      <w:r>
        <w:rPr>
          <w:rFonts w:hint="eastAsia" w:ascii="宋体" w:hAnsi="宋体" w:eastAsia="宋体" w:cs="宋体"/>
          <w:b/>
          <w:color w:val="auto"/>
          <w:szCs w:val="24"/>
          <w:highlight w:val="none"/>
        </w:rPr>
        <w:t>（是或否）为采购项目提供整体设计、规范编制或者项目管理、监理、检测等服务的</w:t>
      </w:r>
      <w:r>
        <w:rPr>
          <w:rFonts w:hint="eastAsia" w:hAnsi="宋体" w:cs="宋体"/>
          <w:b/>
          <w:color w:val="auto"/>
          <w:szCs w:val="24"/>
          <w:highlight w:val="none"/>
          <w:lang w:eastAsia="zh-CN"/>
        </w:rPr>
        <w:t>投标人</w:t>
      </w:r>
      <w:r>
        <w:rPr>
          <w:rFonts w:hint="eastAsia" w:ascii="宋体" w:hAnsi="宋体" w:eastAsia="宋体" w:cs="宋体"/>
          <w:b/>
          <w:color w:val="auto"/>
          <w:szCs w:val="24"/>
          <w:highlight w:val="none"/>
        </w:rPr>
        <w:t>。</w:t>
      </w:r>
    </w:p>
    <w:p>
      <w:pP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4.其他与本项目有关的利害关系说明：</w:t>
      </w:r>
      <w:r>
        <w:rPr>
          <w:rFonts w:hint="eastAsia" w:ascii="宋体" w:hAnsi="宋体" w:eastAsia="宋体" w:cs="宋体"/>
          <w:color w:val="auto"/>
          <w:szCs w:val="24"/>
          <w:highlight w:val="none"/>
          <w:u w:val="single"/>
        </w:rPr>
        <w:t xml:space="preserve">                               .</w:t>
      </w:r>
    </w:p>
    <w:p>
      <w:pPr>
        <w:pStyle w:val="11"/>
        <w:rPr>
          <w:rFonts w:hint="eastAsia" w:ascii="宋体" w:hAnsi="宋体" w:eastAsia="宋体" w:cs="宋体"/>
          <w:color w:val="auto"/>
          <w:highlight w:val="none"/>
        </w:rPr>
      </w:pP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我单位承诺以上说明真实有效，无虚假内容或隐瞒。</w:t>
      </w:r>
    </w:p>
    <w:p>
      <w:pPr>
        <w:spacing w:line="500" w:lineRule="exact"/>
        <w:ind w:firstLine="240" w:firstLineChars="100"/>
        <w:rPr>
          <w:rFonts w:hint="eastAsia" w:ascii="宋体" w:hAnsi="宋体" w:eastAsia="宋体" w:cs="宋体"/>
          <w:color w:val="auto"/>
          <w:szCs w:val="24"/>
          <w:highlight w:val="none"/>
        </w:rPr>
      </w:pPr>
    </w:p>
    <w:p>
      <w:pPr>
        <w:pStyle w:val="11"/>
        <w:rPr>
          <w:rFonts w:hint="eastAsia" w:ascii="宋体" w:hAnsi="宋体" w:eastAsia="宋体" w:cs="宋体"/>
          <w:color w:val="auto"/>
          <w:highlight w:val="none"/>
        </w:rPr>
      </w:pPr>
    </w:p>
    <w:p>
      <w:pPr>
        <w:spacing w:line="500" w:lineRule="exact"/>
        <w:ind w:firstLine="2400" w:firstLineChars="1000"/>
        <w:rPr>
          <w:rFonts w:hint="eastAsia" w:ascii="宋体" w:hAnsi="宋体" w:eastAsia="宋体" w:cs="宋体"/>
          <w:color w:val="auto"/>
          <w:szCs w:val="24"/>
          <w:highlight w:val="none"/>
        </w:rPr>
      </w:pP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（盖单位公章）</w:t>
      </w:r>
    </w:p>
    <w:p>
      <w:pPr>
        <w:spacing w:line="500" w:lineRule="exact"/>
        <w:ind w:firstLine="240" w:firstLineChars="100"/>
        <w:rPr>
          <w:rFonts w:hint="eastAsia" w:ascii="宋体" w:hAnsi="宋体" w:eastAsia="宋体" w:cs="宋体"/>
          <w:color w:val="auto"/>
          <w:szCs w:val="24"/>
          <w:highlight w:val="none"/>
        </w:rPr>
      </w:pPr>
    </w:p>
    <w:p>
      <w:pPr>
        <w:spacing w:line="500" w:lineRule="exact"/>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法定代表人或被授权人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ind w:firstLine="2400" w:firstLineChars="1000"/>
        <w:jc w:val="both"/>
        <w:rPr>
          <w:rFonts w:hint="eastAsia" w:ascii="宋体" w:hAnsi="宋体" w:eastAsia="宋体" w:cs="宋体"/>
          <w:color w:val="auto"/>
          <w:sz w:val="32"/>
          <w:highlight w:val="none"/>
          <w:lang w:val="zh-CN"/>
        </w:rPr>
      </w:pPr>
      <w:r>
        <w:rPr>
          <w:rFonts w:hint="eastAsia" w:ascii="宋体" w:hAnsi="宋体" w:eastAsia="宋体" w:cs="宋体"/>
          <w:color w:val="auto"/>
          <w:szCs w:val="24"/>
          <w:highlight w:val="none"/>
        </w:rPr>
        <w:t>日      期：      年   月    日</w:t>
      </w:r>
      <w:r>
        <w:rPr>
          <w:rFonts w:hint="eastAsia" w:ascii="宋体" w:hAnsi="宋体" w:eastAsia="宋体" w:cs="宋体"/>
          <w:color w:val="auto"/>
          <w:sz w:val="32"/>
          <w:highlight w:val="none"/>
          <w:lang w:val="zh-CN"/>
        </w:rPr>
        <w:br w:type="page"/>
      </w:r>
    </w:p>
    <w:p>
      <w:pP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zh-CN"/>
        </w:rPr>
        <w:t>附件</w:t>
      </w:r>
      <w:r>
        <w:rPr>
          <w:rFonts w:hint="eastAsia" w:ascii="宋体" w:hAnsi="宋体" w:eastAsia="宋体" w:cs="宋体"/>
          <w:b/>
          <w:color w:val="auto"/>
          <w:sz w:val="30"/>
          <w:szCs w:val="30"/>
          <w:highlight w:val="none"/>
          <w:lang w:val="en-US" w:eastAsia="zh-CN"/>
        </w:rPr>
        <w:t>6：</w:t>
      </w:r>
    </w:p>
    <w:p>
      <w:pPr>
        <w:pStyle w:val="4"/>
        <w:keepNext w:val="0"/>
        <w:keepLines w:val="0"/>
        <w:widowControl w:val="0"/>
        <w:spacing w:before="168" w:beforeLines="50" w:after="0" w:line="360" w:lineRule="auto"/>
        <w:ind w:left="0"/>
        <w:jc w:val="center"/>
        <w:rPr>
          <w:rFonts w:hint="eastAsia" w:ascii="宋体" w:hAnsi="宋体" w:eastAsia="宋体" w:cs="宋体"/>
          <w:b/>
          <w:bCs w:val="0"/>
          <w:color w:val="auto"/>
          <w:sz w:val="32"/>
          <w:highlight w:val="none"/>
        </w:rPr>
        <w:sectPr>
          <w:pgSz w:w="11906" w:h="16838"/>
          <w:pgMar w:top="1417" w:right="1417" w:bottom="1417" w:left="1417" w:header="1134" w:footer="1134" w:gutter="0"/>
          <w:pgNumType w:fmt="decimal"/>
          <w:cols w:space="0" w:num="1"/>
          <w:docGrid w:type="lines" w:linePitch="336" w:charSpace="0"/>
        </w:sectPr>
      </w:pPr>
      <w:r>
        <w:rPr>
          <w:rFonts w:hint="eastAsia" w:ascii="宋体" w:hAnsi="宋体" w:cs="宋体"/>
          <w:b/>
          <w:bCs w:val="0"/>
          <w:color w:val="auto"/>
          <w:sz w:val="32"/>
          <w:highlight w:val="none"/>
          <w:lang w:eastAsia="zh-CN"/>
        </w:rPr>
        <w:t>非联合体承诺书</w:t>
      </w:r>
      <w:r>
        <w:rPr>
          <w:rFonts w:hint="eastAsia" w:ascii="宋体" w:hAnsi="宋体" w:eastAsia="宋体" w:cs="宋体"/>
          <w:b/>
          <w:bCs w:val="0"/>
          <w:color w:val="auto"/>
          <w:sz w:val="32"/>
          <w:highlight w:val="none"/>
        </w:rPr>
        <w:t>（格式自拟）</w:t>
      </w:r>
    </w:p>
    <w:p>
      <w:pPr>
        <w:pStyle w:val="4"/>
        <w:keepNext w:val="0"/>
        <w:keepLines w:val="0"/>
        <w:widowControl w:val="0"/>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b/>
          <w:bCs w:val="0"/>
          <w:color w:val="auto"/>
          <w:sz w:val="32"/>
          <w:highlight w:val="none"/>
        </w:rPr>
        <w:t>七、其他资料</w:t>
      </w:r>
    </w:p>
    <w:p>
      <w:pPr>
        <w:spacing w:after="240"/>
        <w:jc w:val="center"/>
        <w:rPr>
          <w:rFonts w:hint="eastAsia" w:ascii="宋体" w:hAnsi="宋体" w:eastAsia="宋体" w:cs="宋体"/>
          <w:b/>
          <w:bCs/>
          <w:sz w:val="28"/>
          <w:szCs w:val="28"/>
        </w:rPr>
      </w:pPr>
      <w:r>
        <w:rPr>
          <w:rFonts w:hint="eastAsia" w:ascii="宋体" w:hAnsi="宋体" w:eastAsia="宋体" w:cs="宋体"/>
          <w:b/>
          <w:bCs/>
          <w:sz w:val="24"/>
          <w:szCs w:val="24"/>
          <w:lang w:val="en-US" w:eastAsia="zh-CN"/>
        </w:rPr>
        <w:t>1、</w:t>
      </w:r>
      <w:r>
        <w:rPr>
          <w:rFonts w:hint="eastAsia" w:hAnsi="宋体" w:cs="宋体"/>
          <w:b/>
          <w:bCs/>
          <w:sz w:val="24"/>
          <w:szCs w:val="24"/>
          <w:lang w:eastAsia="zh-CN"/>
        </w:rPr>
        <w:t>投标人</w:t>
      </w:r>
      <w:r>
        <w:rPr>
          <w:rFonts w:hint="eastAsia" w:ascii="宋体" w:hAnsi="宋体" w:eastAsia="宋体" w:cs="宋体"/>
          <w:b/>
          <w:sz w:val="24"/>
          <w:szCs w:val="24"/>
        </w:rPr>
        <w:t>20</w:t>
      </w:r>
      <w:r>
        <w:rPr>
          <w:rFonts w:hint="eastAsia" w:ascii="宋体" w:hAnsi="宋体" w:eastAsia="宋体" w:cs="宋体"/>
          <w:b/>
          <w:sz w:val="24"/>
          <w:szCs w:val="24"/>
          <w:lang w:val="en-US" w:eastAsia="zh-CN"/>
        </w:rPr>
        <w:t>2</w:t>
      </w:r>
      <w:r>
        <w:rPr>
          <w:rFonts w:hint="eastAsia" w:hAnsi="宋体" w:cs="宋体"/>
          <w:b/>
          <w:sz w:val="24"/>
          <w:szCs w:val="24"/>
          <w:lang w:val="en-US" w:eastAsia="zh-CN"/>
        </w:rPr>
        <w:t>1</w:t>
      </w:r>
      <w:r>
        <w:rPr>
          <w:rFonts w:hint="eastAsia" w:ascii="宋体" w:hAnsi="宋体" w:eastAsia="宋体" w:cs="宋体"/>
          <w:b/>
          <w:sz w:val="24"/>
          <w:szCs w:val="24"/>
        </w:rPr>
        <w:t>年</w:t>
      </w:r>
      <w:r>
        <w:rPr>
          <w:rFonts w:hint="eastAsia" w:hAnsi="宋体" w:cs="宋体"/>
          <w:b/>
          <w:sz w:val="24"/>
          <w:szCs w:val="24"/>
          <w:lang w:val="en-US" w:eastAsia="zh-CN"/>
        </w:rPr>
        <w:t>5</w:t>
      </w:r>
      <w:r>
        <w:rPr>
          <w:rFonts w:hint="eastAsia" w:ascii="宋体" w:hAnsi="宋体" w:eastAsia="宋体" w:cs="宋体"/>
          <w:b/>
          <w:sz w:val="24"/>
          <w:szCs w:val="24"/>
          <w:lang w:val="en-US" w:eastAsia="zh-CN"/>
        </w:rPr>
        <w:t>月</w:t>
      </w:r>
      <w:r>
        <w:rPr>
          <w:rFonts w:hint="eastAsia" w:ascii="宋体" w:hAnsi="宋体" w:eastAsia="宋体" w:cs="宋体"/>
          <w:b/>
          <w:sz w:val="24"/>
          <w:szCs w:val="24"/>
        </w:rPr>
        <w:t>至今（以合同签订时间为准）</w:t>
      </w:r>
      <w:r>
        <w:rPr>
          <w:rFonts w:hint="eastAsia" w:ascii="宋体" w:hAnsi="宋体" w:eastAsia="宋体" w:cs="宋体"/>
          <w:b/>
          <w:sz w:val="24"/>
          <w:szCs w:val="24"/>
          <w:lang w:val="en-US" w:eastAsia="zh-CN"/>
        </w:rPr>
        <w:t>类似</w:t>
      </w:r>
      <w:r>
        <w:rPr>
          <w:rFonts w:hint="eastAsia" w:ascii="宋体" w:hAnsi="宋体" w:eastAsia="宋体" w:cs="宋体"/>
          <w:b/>
          <w:sz w:val="24"/>
          <w:szCs w:val="24"/>
        </w:rPr>
        <w:t>项目业绩一览表</w:t>
      </w:r>
    </w:p>
    <w:p>
      <w:pPr>
        <w:ind w:firstLine="120" w:firstLineChars="50"/>
        <w:rPr>
          <w:rFonts w:hint="eastAsia" w:ascii="宋体" w:hAnsi="宋体" w:eastAsia="宋体" w:cs="宋体"/>
          <w:b w:val="0"/>
          <w:bCs w:val="0"/>
          <w:szCs w:val="21"/>
        </w:rPr>
      </w:pPr>
      <w:r>
        <w:rPr>
          <w:rFonts w:hint="eastAsia" w:hAnsi="宋体" w:cs="宋体"/>
          <w:b w:val="0"/>
          <w:bCs w:val="0"/>
          <w:szCs w:val="21"/>
          <w:lang w:eastAsia="zh-CN"/>
        </w:rPr>
        <w:t>投标人</w:t>
      </w:r>
      <w:r>
        <w:rPr>
          <w:rFonts w:hint="eastAsia" w:ascii="宋体" w:hAnsi="宋体" w:eastAsia="宋体" w:cs="宋体"/>
          <w:b w:val="0"/>
          <w:bCs w:val="0"/>
          <w:szCs w:val="21"/>
        </w:rPr>
        <w:t>名称：                                                     单位：万元</w:t>
      </w:r>
    </w:p>
    <w:tbl>
      <w:tblPr>
        <w:tblStyle w:val="25"/>
        <w:tblpPr w:leftFromText="180" w:rightFromText="180" w:vertAnchor="text" w:horzAnchor="page" w:tblpX="1636"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61"/>
        <w:gridCol w:w="2185"/>
        <w:gridCol w:w="154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6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2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采购人单位名称</w:t>
            </w:r>
          </w:p>
        </w:tc>
        <w:tc>
          <w:tcPr>
            <w:tcW w:w="15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合同金额</w:t>
            </w:r>
          </w:p>
        </w:tc>
        <w:tc>
          <w:tcPr>
            <w:tcW w:w="16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7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7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747"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1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15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16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r>
    </w:tbl>
    <w:p>
      <w:pPr>
        <w:pStyle w:val="7"/>
        <w:rPr>
          <w:rFonts w:hint="eastAsia" w:ascii="宋体" w:hAnsi="宋体" w:eastAsia="宋体" w:cs="宋体"/>
        </w:rPr>
      </w:pPr>
    </w:p>
    <w:p>
      <w:pPr>
        <w:spacing w:line="400" w:lineRule="exact"/>
        <w:ind w:left="360"/>
        <w:jc w:val="left"/>
        <w:rPr>
          <w:rFonts w:hint="eastAsia" w:ascii="宋体" w:hAnsi="宋体" w:eastAsia="宋体" w:cs="宋体"/>
          <w:szCs w:val="21"/>
        </w:rPr>
      </w:pPr>
      <w:r>
        <w:rPr>
          <w:rFonts w:hint="eastAsia" w:ascii="宋体" w:hAnsi="宋体" w:eastAsia="宋体" w:cs="宋体"/>
          <w:szCs w:val="21"/>
        </w:rPr>
        <w:t xml:space="preserve">注：1、项目业绩需提供合同协议复印件并加盖公章； </w:t>
      </w:r>
    </w:p>
    <w:p>
      <w:pPr>
        <w:spacing w:line="400" w:lineRule="exact"/>
        <w:ind w:left="360"/>
        <w:jc w:val="left"/>
        <w:rPr>
          <w:rFonts w:hint="eastAsia" w:ascii="宋体" w:hAnsi="宋体" w:eastAsia="宋体" w:cs="宋体"/>
          <w:szCs w:val="21"/>
        </w:rPr>
      </w:pPr>
      <w:r>
        <w:rPr>
          <w:rFonts w:hint="eastAsia" w:ascii="宋体" w:hAnsi="宋体" w:eastAsia="宋体" w:cs="宋体"/>
          <w:szCs w:val="21"/>
        </w:rPr>
        <w:t xml:space="preserve">    2、</w:t>
      </w:r>
      <w:r>
        <w:rPr>
          <w:rFonts w:hint="eastAsia" w:hAnsi="宋体" w:cs="宋体"/>
          <w:szCs w:val="21"/>
          <w:lang w:eastAsia="zh-CN"/>
        </w:rPr>
        <w:t>投标人</w:t>
      </w:r>
      <w:r>
        <w:rPr>
          <w:rFonts w:hint="eastAsia" w:ascii="宋体" w:hAnsi="宋体" w:eastAsia="宋体" w:cs="宋体"/>
          <w:szCs w:val="21"/>
        </w:rPr>
        <w:t>应如实列出以上情况，如有隐瞒，一经查实将导致其</w:t>
      </w:r>
      <w:r>
        <w:rPr>
          <w:rFonts w:hint="eastAsia" w:ascii="宋体" w:hAnsi="宋体" w:eastAsia="宋体" w:cs="宋体"/>
          <w:szCs w:val="21"/>
          <w:lang w:eastAsia="zh-CN"/>
        </w:rPr>
        <w:t>投标</w:t>
      </w:r>
      <w:r>
        <w:rPr>
          <w:rFonts w:hint="eastAsia" w:ascii="宋体" w:hAnsi="宋体" w:eastAsia="宋体" w:cs="宋体"/>
          <w:szCs w:val="21"/>
        </w:rPr>
        <w:t>申请被拒绝。</w:t>
      </w:r>
    </w:p>
    <w:p>
      <w:pPr>
        <w:spacing w:line="400" w:lineRule="exact"/>
        <w:ind w:left="360" w:firstLine="480" w:firstLineChars="200"/>
        <w:jc w:val="left"/>
        <w:rPr>
          <w:rFonts w:hint="eastAsia" w:ascii="宋体" w:hAnsi="宋体" w:eastAsia="宋体" w:cs="宋体"/>
          <w:szCs w:val="21"/>
        </w:rPr>
      </w:pPr>
      <w:r>
        <w:rPr>
          <w:rFonts w:hint="eastAsia" w:ascii="宋体" w:hAnsi="宋体" w:eastAsia="宋体" w:cs="宋体"/>
          <w:szCs w:val="21"/>
        </w:rPr>
        <w:t>3、如有多个类似项目，可按此表格扩展</w:t>
      </w:r>
    </w:p>
    <w:p>
      <w:pPr>
        <w:spacing w:line="400" w:lineRule="exact"/>
        <w:ind w:left="360"/>
        <w:jc w:val="center"/>
        <w:rPr>
          <w:rFonts w:hint="eastAsia" w:ascii="宋体" w:hAnsi="宋体" w:eastAsia="宋体" w:cs="宋体"/>
          <w:szCs w:val="21"/>
        </w:rPr>
      </w:pPr>
    </w:p>
    <w:p>
      <w:pPr>
        <w:adjustRightInd w:val="0"/>
        <w:spacing w:line="400" w:lineRule="exact"/>
        <w:jc w:val="left"/>
        <w:rPr>
          <w:rFonts w:hint="eastAsia" w:ascii="宋体" w:hAnsi="宋体" w:eastAsia="宋体" w:cs="宋体"/>
          <w:sz w:val="24"/>
          <w:szCs w:val="24"/>
        </w:rPr>
      </w:pPr>
      <w:r>
        <w:rPr>
          <w:rFonts w:hint="eastAsia" w:hAnsi="宋体" w:cs="宋体"/>
          <w:sz w:val="24"/>
          <w:szCs w:val="24"/>
          <w:lang w:eastAsia="zh-CN"/>
        </w:rPr>
        <w:t>投标人</w:t>
      </w:r>
      <w:r>
        <w:rPr>
          <w:rFonts w:hint="eastAsia" w:ascii="宋体" w:hAnsi="宋体" w:eastAsia="宋体" w:cs="宋体"/>
          <w:sz w:val="24"/>
          <w:szCs w:val="24"/>
        </w:rPr>
        <w:t>名称：         （盖章）</w:t>
      </w:r>
    </w:p>
    <w:p>
      <w:pPr>
        <w:autoSpaceDE w:val="0"/>
        <w:autoSpaceDN w:val="0"/>
        <w:adjustRightInd w:val="0"/>
        <w:spacing w:line="520" w:lineRule="exact"/>
        <w:rPr>
          <w:rFonts w:hint="eastAsia" w:ascii="宋体" w:hAnsi="宋体" w:eastAsia="宋体" w:cs="宋体"/>
          <w:bCs/>
          <w:sz w:val="24"/>
          <w:szCs w:val="24"/>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被授权人</w:t>
      </w:r>
      <w:r>
        <w:rPr>
          <w:rFonts w:hint="eastAsia" w:ascii="宋体" w:hAnsi="宋体" w:eastAsia="宋体" w:cs="宋体"/>
          <w:sz w:val="24"/>
          <w:szCs w:val="24"/>
        </w:rPr>
        <w:t>（签名或盖章）</w:t>
      </w:r>
      <w:r>
        <w:rPr>
          <w:rFonts w:hint="eastAsia" w:ascii="宋体" w:hAnsi="宋体" w:eastAsia="宋体" w:cs="宋体"/>
          <w:bCs/>
          <w:sz w:val="24"/>
          <w:szCs w:val="24"/>
        </w:rPr>
        <w:t xml:space="preserve">：             </w:t>
      </w:r>
    </w:p>
    <w:p>
      <w:pPr>
        <w:autoSpaceDE w:val="0"/>
        <w:autoSpaceDN w:val="0"/>
        <w:adjustRightInd w:val="0"/>
        <w:spacing w:line="520" w:lineRule="exact"/>
        <w:rPr>
          <w:rFonts w:hint="eastAsia" w:ascii="宋体" w:hAnsi="宋体" w:eastAsia="宋体" w:cs="宋体"/>
          <w:sz w:val="24"/>
          <w:szCs w:val="24"/>
        </w:rPr>
      </w:pPr>
      <w:r>
        <w:rPr>
          <w:rFonts w:hint="eastAsia" w:ascii="宋体" w:hAnsi="宋体" w:eastAsia="宋体" w:cs="宋体"/>
          <w:bCs/>
          <w:sz w:val="24"/>
          <w:szCs w:val="24"/>
          <w:lang w:eastAsia="zh-CN"/>
        </w:rPr>
        <w:t>投标</w:t>
      </w:r>
      <w:r>
        <w:rPr>
          <w:rFonts w:hint="eastAsia" w:ascii="宋体" w:hAnsi="宋体" w:eastAsia="宋体" w:cs="宋体"/>
          <w:bCs/>
          <w:sz w:val="24"/>
          <w:szCs w:val="24"/>
        </w:rPr>
        <w:t>日期:</w:t>
      </w:r>
    </w:p>
    <w:p>
      <w:pP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br w:type="page"/>
      </w:r>
    </w:p>
    <w:p>
      <w:pPr>
        <w:spacing w:after="240"/>
        <w:jc w:val="center"/>
        <w:rPr>
          <w:rFonts w:hint="eastAsia" w:ascii="宋体" w:hAnsi="宋体" w:eastAsia="宋体" w:cs="宋体"/>
          <w:b/>
          <w:sz w:val="24"/>
          <w:szCs w:val="24"/>
          <w:lang w:val="en-US" w:eastAsia="zh-CN"/>
        </w:rPr>
      </w:pPr>
    </w:p>
    <w:p>
      <w:pPr>
        <w:spacing w:after="240"/>
        <w:jc w:val="center"/>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本项目</w:t>
      </w:r>
      <w:r>
        <w:rPr>
          <w:rFonts w:hint="eastAsia" w:ascii="宋体" w:hAnsi="宋体" w:eastAsia="宋体" w:cs="宋体"/>
          <w:b/>
          <w:sz w:val="24"/>
          <w:szCs w:val="24"/>
          <w:lang w:eastAsia="zh-CN"/>
        </w:rPr>
        <w:t>非</w:t>
      </w:r>
      <w:r>
        <w:rPr>
          <w:rFonts w:hint="eastAsia" w:ascii="宋体" w:hAnsi="宋体" w:eastAsia="宋体" w:cs="宋体"/>
          <w:b/>
          <w:sz w:val="24"/>
          <w:szCs w:val="24"/>
        </w:rPr>
        <w:t>专门面向中小企业</w:t>
      </w:r>
      <w:r>
        <w:rPr>
          <w:rFonts w:hint="eastAsia" w:ascii="宋体" w:hAnsi="宋体" w:eastAsia="宋体" w:cs="宋体"/>
          <w:b/>
          <w:sz w:val="24"/>
          <w:szCs w:val="24"/>
          <w:lang w:eastAsia="zh-CN"/>
        </w:rPr>
        <w:t>采购</w:t>
      </w:r>
      <w:r>
        <w:rPr>
          <w:rFonts w:hint="eastAsia" w:ascii="宋体" w:hAnsi="宋体" w:eastAsia="宋体" w:cs="宋体"/>
          <w:b/>
          <w:sz w:val="24"/>
          <w:szCs w:val="24"/>
        </w:rPr>
        <w:t>。</w:t>
      </w:r>
    </w:p>
    <w:p>
      <w:pPr>
        <w:tabs>
          <w:tab w:val="left" w:pos="5670"/>
        </w:tabs>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若为中型、小型、微型企业的，提供《中小企业声明函》（附件1），填写时请认真阅读《工业和信息化部、国家统计局、国家发展和改革委员会、财政部关于印发中小企业划型标准规定的通知》（工信部联企业[2011]300号）和《政府采购促进中小企业发展管理办法》（财库〔2020〕46号）相关规定；成交人享受中小企业扶持政策的，成交人的《中小企业声明函》或证明文件将随成交结果公告一同公布，接受社会监督。</w:t>
      </w:r>
    </w:p>
    <w:p>
      <w:pPr>
        <w:tabs>
          <w:tab w:val="left" w:pos="5670"/>
        </w:tabs>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若为残疾人福利性单位的，应提供《残疾人福利性单位声明函》（附件2）；</w:t>
      </w:r>
    </w:p>
    <w:p>
      <w:pPr>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（3）</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若为监狱企业的，应提供监狱企业的证明文件（附件3）；</w:t>
      </w: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附件1（如有）</w:t>
      </w:r>
    </w:p>
    <w:p>
      <w:pPr>
        <w:pStyle w:val="5"/>
        <w:spacing w:before="166" w:beforeLines="5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中小企业声明函（货物）</w:t>
      </w:r>
    </w:p>
    <w:p>
      <w:pPr>
        <w:pStyle w:val="11"/>
        <w:rPr>
          <w:rFonts w:hint="eastAsia" w:ascii="宋体" w:hAnsi="宋体" w:eastAsia="宋体" w:cs="宋体"/>
          <w:b/>
          <w:sz w:val="20"/>
        </w:rPr>
      </w:pPr>
    </w:p>
    <w:p>
      <w:pPr>
        <w:pStyle w:val="11"/>
        <w:tabs>
          <w:tab w:val="left" w:pos="9120"/>
        </w:tabs>
        <w:spacing w:before="55" w:after="0" w:line="360" w:lineRule="auto"/>
        <w:ind w:firstLine="640"/>
        <w:rPr>
          <w:rFonts w:hint="eastAsia" w:ascii="宋体" w:hAnsi="宋体" w:eastAsia="宋体" w:cs="宋体"/>
          <w:spacing w:val="-2"/>
          <w:sz w:val="24"/>
          <w:szCs w:val="24"/>
        </w:rPr>
      </w:pPr>
      <w:r>
        <w:rPr>
          <w:rFonts w:hint="eastAsia" w:ascii="宋体" w:hAnsi="宋体" w:eastAsia="宋体" w:cs="宋体"/>
          <w:spacing w:val="-2"/>
          <w:sz w:val="24"/>
          <w:szCs w:val="24"/>
        </w:rPr>
        <w:t>本公司</w:t>
      </w:r>
      <w:r>
        <w:rPr>
          <w:rFonts w:hint="eastAsia" w:ascii="宋体" w:hAnsi="宋体" w:eastAsia="宋体" w:cs="宋体"/>
          <w:sz w:val="24"/>
          <w:szCs w:val="24"/>
        </w:rPr>
        <w:t>（联合体</w:t>
      </w:r>
      <w:r>
        <w:rPr>
          <w:rFonts w:hint="eastAsia" w:ascii="宋体" w:hAnsi="宋体" w:eastAsia="宋体" w:cs="宋体"/>
          <w:spacing w:val="-5"/>
          <w:sz w:val="24"/>
          <w:szCs w:val="24"/>
        </w:rPr>
        <w:t>）</w:t>
      </w:r>
      <w:r>
        <w:rPr>
          <w:rFonts w:hint="eastAsia" w:ascii="宋体" w:hAnsi="宋体" w:eastAsia="宋体" w:cs="宋体"/>
          <w:spacing w:val="-2"/>
          <w:sz w:val="24"/>
          <w:szCs w:val="24"/>
        </w:rPr>
        <w:t>郑重声明，根据《政府采购促进中小</w:t>
      </w:r>
      <w:r>
        <w:rPr>
          <w:rFonts w:hint="eastAsia" w:ascii="宋体" w:hAnsi="宋体" w:eastAsia="宋体" w:cs="宋体"/>
          <w:spacing w:val="-18"/>
          <w:sz w:val="24"/>
          <w:szCs w:val="24"/>
        </w:rPr>
        <w:t>企业发展管理办法》</w:t>
      </w:r>
      <w:r>
        <w:rPr>
          <w:rFonts w:hint="eastAsia" w:ascii="宋体" w:hAnsi="宋体" w:eastAsia="宋体" w:cs="宋体"/>
          <w:sz w:val="24"/>
          <w:szCs w:val="24"/>
        </w:rPr>
        <w:t>（</w:t>
      </w:r>
      <w:r>
        <w:rPr>
          <w:rFonts w:hint="eastAsia" w:ascii="宋体" w:hAnsi="宋体" w:eastAsia="宋体" w:cs="宋体"/>
          <w:spacing w:val="5"/>
          <w:sz w:val="24"/>
          <w:szCs w:val="24"/>
        </w:rPr>
        <w:t>财库</w:t>
      </w:r>
      <w:r>
        <w:rPr>
          <w:rFonts w:hint="eastAsia" w:ascii="宋体" w:hAnsi="宋体" w:eastAsia="宋体" w:cs="宋体"/>
          <w:sz w:val="24"/>
          <w:szCs w:val="24"/>
        </w:rPr>
        <w:t>﹝2020﹞46</w:t>
      </w:r>
      <w:r>
        <w:rPr>
          <w:rFonts w:hint="eastAsia" w:ascii="宋体" w:hAnsi="宋体" w:eastAsia="宋体" w:cs="宋体"/>
          <w:spacing w:val="-38"/>
          <w:sz w:val="24"/>
          <w:szCs w:val="24"/>
        </w:rPr>
        <w:t xml:space="preserve"> 号</w:t>
      </w:r>
      <w:r>
        <w:rPr>
          <w:rFonts w:hint="eastAsia" w:ascii="宋体" w:hAnsi="宋体" w:eastAsia="宋体" w:cs="宋体"/>
          <w:spacing w:val="5"/>
          <w:sz w:val="24"/>
          <w:szCs w:val="24"/>
        </w:rPr>
        <w:t>）</w:t>
      </w:r>
      <w:r>
        <w:rPr>
          <w:rFonts w:hint="eastAsia" w:ascii="宋体" w:hAnsi="宋体" w:eastAsia="宋体" w:cs="宋体"/>
          <w:sz w:val="24"/>
          <w:szCs w:val="24"/>
        </w:rPr>
        <w:t>的规定，本公司（联合体）</w:t>
      </w:r>
      <w:r>
        <w:rPr>
          <w:rFonts w:hint="eastAsia" w:ascii="宋体" w:hAnsi="宋体" w:eastAsia="宋体" w:cs="宋体"/>
          <w:spacing w:val="-2"/>
          <w:sz w:val="24"/>
          <w:szCs w:val="24"/>
        </w:rPr>
        <w:t>参加</w:t>
      </w:r>
      <w:r>
        <w:rPr>
          <w:rFonts w:hint="eastAsia" w:ascii="宋体" w:hAnsi="宋体" w:eastAsia="宋体" w:cs="宋体"/>
          <w:spacing w:val="-2"/>
          <w:sz w:val="24"/>
          <w:szCs w:val="24"/>
          <w:u w:val="single"/>
          <w:lang w:val="zh-CN"/>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lang w:val="zh-CN"/>
        </w:rPr>
        <w:t>（项目名称）</w:t>
      </w:r>
      <w:r>
        <w:rPr>
          <w:rFonts w:hint="eastAsia" w:ascii="宋体" w:hAnsi="宋体" w:eastAsia="宋体" w:cs="宋体"/>
          <w:spacing w:val="-2"/>
          <w:sz w:val="24"/>
          <w:szCs w:val="24"/>
        </w:rPr>
        <w:t>采购活动，提供的货物全部由符合政策要求的中小企业制造。相关企业（含联合体中的中小企业、签订分包意向协议的中小企业） 的具体情况如下：</w:t>
      </w:r>
    </w:p>
    <w:p>
      <w:pPr>
        <w:pStyle w:val="11"/>
        <w:numPr>
          <w:ilvl w:val="0"/>
          <w:numId w:val="11"/>
        </w:numPr>
        <w:spacing w:before="2"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lang w:val="zh-CN"/>
        </w:rPr>
        <w:t>（标的名称）</w:t>
      </w:r>
      <w:r>
        <w:rPr>
          <w:rFonts w:hint="eastAsia" w:ascii="宋体" w:hAnsi="宋体" w:eastAsia="宋体" w:cs="宋体"/>
          <w:sz w:val="24"/>
          <w:szCs w:val="24"/>
        </w:rPr>
        <w:t>，属 于</w:t>
      </w:r>
      <w:r>
        <w:rPr>
          <w:rFonts w:hint="eastAsia" w:ascii="宋体" w:hAnsi="宋体" w:eastAsia="宋体" w:cs="宋体"/>
          <w:sz w:val="24"/>
          <w:szCs w:val="24"/>
          <w:u w:val="single"/>
        </w:rPr>
        <w:t xml:space="preserve"> </w:t>
      </w:r>
      <w:r>
        <w:rPr>
          <w:rFonts w:hint="eastAsia" w:ascii="宋体" w:hAnsi="宋体" w:eastAsia="宋体" w:cs="宋体"/>
          <w:kern w:val="0"/>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11"/>
        <w:numPr>
          <w:ilvl w:val="0"/>
          <w:numId w:val="11"/>
        </w:numPr>
        <w:spacing w:before="2"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u w:val="single"/>
        </w:rPr>
        <w:t>（标的名称）</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行业；制</w:t>
      </w:r>
      <w:r>
        <w:rPr>
          <w:rFonts w:hint="eastAsia" w:ascii="宋体" w:hAnsi="宋体" w:eastAsia="宋体" w:cs="宋体"/>
          <w:sz w:val="24"/>
          <w:szCs w:val="24"/>
        </w:rPr>
        <w:t>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11"/>
        <w:spacing w:before="2" w:line="360" w:lineRule="auto"/>
        <w:ind w:left="480" w:leftChars="200"/>
        <w:jc w:val="left"/>
        <w:rPr>
          <w:rFonts w:hint="eastAsia" w:ascii="宋体" w:hAnsi="宋体" w:eastAsia="宋体" w:cs="宋体"/>
          <w:sz w:val="24"/>
          <w:szCs w:val="24"/>
        </w:rPr>
      </w:pPr>
      <w:r>
        <w:rPr>
          <w:rFonts w:hint="eastAsia" w:ascii="宋体" w:hAnsi="宋体" w:eastAsia="宋体" w:cs="宋体"/>
          <w:sz w:val="24"/>
          <w:szCs w:val="24"/>
        </w:rPr>
        <w:t>……</w:t>
      </w:r>
    </w:p>
    <w:p>
      <w:pPr>
        <w:pStyle w:val="11"/>
        <w:spacing w:before="2" w:line="360" w:lineRule="auto"/>
        <w:ind w:firstLine="482" w:firstLineChars="200"/>
        <w:jc w:val="left"/>
        <w:rPr>
          <w:rFonts w:hint="eastAsia" w:ascii="宋体" w:hAnsi="宋体"/>
          <w:b/>
          <w:bCs/>
          <w:sz w:val="24"/>
          <w:highlight w:val="none"/>
          <w:lang w:eastAsia="zh-CN"/>
        </w:rPr>
      </w:pPr>
      <w:r>
        <w:rPr>
          <w:rFonts w:hint="eastAsia" w:ascii="宋体" w:hAnsi="宋体"/>
          <w:b/>
          <w:bCs/>
          <w:sz w:val="24"/>
          <w:highlight w:val="none"/>
          <w:lang w:eastAsia="zh-CN"/>
        </w:rPr>
        <w:t>本项目所属行业为工业。</w:t>
      </w:r>
    </w:p>
    <w:p>
      <w:pPr>
        <w:pStyle w:val="11"/>
        <w:spacing w:before="2"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pPr>
        <w:pStyle w:val="11"/>
        <w:spacing w:before="2" w:line="360" w:lineRule="auto"/>
        <w:ind w:left="480" w:leftChars="200"/>
        <w:jc w:val="left"/>
        <w:rPr>
          <w:rFonts w:hint="eastAsia"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pPr>
        <w:pStyle w:val="65"/>
        <w:spacing w:line="360" w:lineRule="auto"/>
        <w:ind w:firstLine="480"/>
        <w:rPr>
          <w:rFonts w:hint="eastAsia" w:ascii="宋体" w:hAnsi="宋体" w:eastAsia="宋体" w:cs="宋体"/>
          <w:szCs w:val="24"/>
        </w:rPr>
      </w:pPr>
    </w:p>
    <w:p>
      <w:pPr>
        <w:pStyle w:val="65"/>
        <w:spacing w:line="360" w:lineRule="auto"/>
        <w:ind w:firstLine="4560" w:firstLineChars="1900"/>
        <w:jc w:val="left"/>
        <w:rPr>
          <w:rFonts w:hint="eastAsia" w:ascii="宋体" w:hAnsi="宋体" w:eastAsia="宋体" w:cs="宋体"/>
          <w:szCs w:val="24"/>
        </w:rPr>
      </w:pPr>
      <w:r>
        <w:rPr>
          <w:rFonts w:hint="eastAsia" w:ascii="宋体" w:hAnsi="宋体" w:eastAsia="宋体" w:cs="宋体"/>
          <w:szCs w:val="24"/>
        </w:rPr>
        <w:t>企业名称（盖章）：</w:t>
      </w:r>
    </w:p>
    <w:p>
      <w:pPr>
        <w:pStyle w:val="65"/>
        <w:spacing w:line="360" w:lineRule="auto"/>
        <w:ind w:firstLine="4560" w:firstLineChars="1900"/>
        <w:jc w:val="left"/>
        <w:rPr>
          <w:rFonts w:hint="eastAsia" w:ascii="宋体" w:hAnsi="宋体" w:eastAsia="宋体" w:cs="宋体"/>
          <w:szCs w:val="24"/>
        </w:rPr>
      </w:pPr>
      <w:r>
        <w:rPr>
          <w:rFonts w:hint="eastAsia" w:ascii="宋体" w:hAnsi="宋体" w:eastAsia="宋体" w:cs="宋体"/>
          <w:szCs w:val="24"/>
        </w:rPr>
        <w:t>日期：</w:t>
      </w:r>
    </w:p>
    <w:p>
      <w:pPr>
        <w:pStyle w:val="65"/>
        <w:spacing w:line="360" w:lineRule="auto"/>
        <w:ind w:left="0" w:leftChars="0" w:firstLine="420" w:firstLineChars="200"/>
        <w:rPr>
          <w:rFonts w:hint="eastAsia" w:ascii="宋体" w:hAnsi="宋体" w:eastAsia="宋体" w:cs="宋体"/>
          <w:spacing w:val="-8"/>
          <w:sz w:val="21"/>
          <w:szCs w:val="21"/>
        </w:rPr>
      </w:pPr>
      <w:r>
        <w:rPr>
          <w:rFonts w:hint="eastAsia" w:ascii="宋体" w:hAnsi="宋体" w:eastAsia="宋体" w:cs="宋体"/>
          <w:sz w:val="21"/>
          <w:szCs w:val="21"/>
        </w:rPr>
        <w:t>备注：1、</w:t>
      </w:r>
      <w:r>
        <w:rPr>
          <w:rFonts w:hint="eastAsia" w:ascii="宋体" w:hAnsi="宋体" w:eastAsia="宋体" w:cs="宋体"/>
          <w:spacing w:val="-8"/>
          <w:sz w:val="21"/>
          <w:szCs w:val="21"/>
        </w:rPr>
        <w:t>中小企业参加政府采购活动，应当按照《政府采购促进中小企业发展管理办法》（财库〔2020〕46号）规定和《中小企业划型标准规定》（工信部联企业〔2011〕300号），如实填写并提交本《中小企业声明函》。</w:t>
      </w:r>
    </w:p>
    <w:p>
      <w:pPr>
        <w:pStyle w:val="65"/>
        <w:spacing w:line="360" w:lineRule="auto"/>
        <w:ind w:left="480" w:leftChars="200" w:firstLine="0" w:firstLineChars="0"/>
        <w:rPr>
          <w:rFonts w:hint="eastAsia" w:ascii="宋体" w:hAnsi="宋体" w:eastAsia="宋体" w:cs="宋体"/>
          <w:spacing w:val="-8"/>
          <w:sz w:val="21"/>
          <w:szCs w:val="21"/>
        </w:rPr>
      </w:pPr>
      <w:r>
        <w:rPr>
          <w:rFonts w:hint="eastAsia" w:ascii="宋体" w:hAnsi="宋体" w:eastAsia="宋体" w:cs="宋体"/>
          <w:spacing w:val="-8"/>
          <w:sz w:val="21"/>
          <w:szCs w:val="21"/>
        </w:rPr>
        <w:t>2、从业人员、营业收入、资产总额填报上一年度数据，无上一年度数据的新成立企业可不填报。</w:t>
      </w:r>
    </w:p>
    <w:p>
      <w:pPr>
        <w:tabs>
          <w:tab w:val="left" w:pos="0"/>
          <w:tab w:val="left" w:pos="7920"/>
        </w:tabs>
        <w:spacing w:line="500" w:lineRule="exact"/>
        <w:ind w:firstLine="390" w:firstLineChars="200"/>
        <w:rPr>
          <w:rFonts w:hint="eastAsia" w:ascii="宋体" w:hAnsi="宋体" w:eastAsia="宋体" w:cs="宋体"/>
          <w:color w:val="auto"/>
          <w:szCs w:val="24"/>
          <w:highlight w:val="none"/>
        </w:rPr>
      </w:pPr>
      <w:r>
        <w:rPr>
          <w:rFonts w:hint="eastAsia" w:ascii="宋体" w:hAnsi="宋体" w:eastAsia="宋体" w:cs="宋体"/>
          <w:b/>
          <w:bCs/>
          <w:spacing w:val="-8"/>
          <w:sz w:val="21"/>
          <w:szCs w:val="21"/>
        </w:rPr>
        <w:t>3、</w:t>
      </w:r>
      <w:r>
        <w:rPr>
          <w:rFonts w:hint="eastAsia" w:hAnsi="宋体" w:cs="宋体"/>
          <w:b/>
          <w:bCs/>
          <w:spacing w:val="-8"/>
          <w:sz w:val="21"/>
          <w:szCs w:val="21"/>
          <w:lang w:eastAsia="zh-CN"/>
        </w:rPr>
        <w:t>投标人</w:t>
      </w:r>
      <w:r>
        <w:rPr>
          <w:rFonts w:hint="eastAsia" w:ascii="宋体" w:hAnsi="宋体" w:eastAsia="宋体" w:cs="宋体"/>
          <w:b/>
          <w:bCs/>
          <w:spacing w:val="-8"/>
          <w:sz w:val="21"/>
          <w:szCs w:val="21"/>
        </w:rPr>
        <w:t>应对照第四章采购内容及技术要求对每个产品逐条声明。</w:t>
      </w:r>
    </w:p>
    <w:p>
      <w:pPr>
        <w:rPr>
          <w:rFonts w:hint="eastAsia" w:ascii="宋体" w:hAnsi="宋体" w:eastAsia="宋体" w:cs="宋体"/>
          <w:b/>
          <w:color w:val="auto"/>
          <w:szCs w:val="24"/>
          <w:highlight w:val="none"/>
        </w:rPr>
      </w:pPr>
    </w:p>
    <w:p>
      <w:pPr>
        <w:spacing w:line="500" w:lineRule="exact"/>
        <w:ind w:firstLine="482"/>
        <w:rPr>
          <w:rFonts w:ascii="宋体" w:hAnsi="宋体"/>
          <w:b/>
          <w:sz w:val="24"/>
        </w:rPr>
      </w:pPr>
      <w:r>
        <w:rPr>
          <w:rFonts w:hint="eastAsia" w:ascii="宋体" w:hAnsi="宋体"/>
          <w:b/>
          <w:sz w:val="24"/>
        </w:rPr>
        <w:t>附：《</w:t>
      </w:r>
      <w:r>
        <w:rPr>
          <w:rFonts w:ascii="宋体" w:hAnsi="宋体"/>
          <w:b/>
          <w:sz w:val="24"/>
        </w:rPr>
        <w:t>中小企业划型标准规定</w:t>
      </w:r>
      <w:r>
        <w:rPr>
          <w:rFonts w:hint="eastAsia" w:ascii="宋体" w:hAnsi="宋体"/>
          <w:b/>
          <w:sz w:val="24"/>
        </w:rPr>
        <w:t>》</w:t>
      </w:r>
      <w:r>
        <w:rPr>
          <w:rFonts w:ascii="宋体" w:hAnsi="宋体"/>
          <w:b/>
          <w:sz w:val="24"/>
        </w:rPr>
        <w:t>各行业划型标准</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（十六）其他未列明行业。从业人员300人以下的为中小微型企业。其中，从业人员100人及以上的为中型企业；从业人员10人及以上的为小型企业；从业人员10人以下的为微型企业。</w:t>
      </w: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附件2（如有）</w:t>
      </w:r>
    </w:p>
    <w:p>
      <w:pPr>
        <w:pStyle w:val="11"/>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pPr>
        <w:spacing w:line="588" w:lineRule="exact"/>
        <w:ind w:firstLine="504" w:firstLineChars="200"/>
        <w:rPr>
          <w:rFonts w:hint="eastAsia" w:ascii="宋体" w:hAnsi="宋体" w:eastAsia="宋体" w:cs="宋体"/>
          <w:color w:val="auto"/>
          <w:spacing w:val="6"/>
          <w:szCs w:val="24"/>
          <w:highlight w:val="none"/>
        </w:rPr>
      </w:pPr>
    </w:p>
    <w:p>
      <w:pPr>
        <w:spacing w:line="588" w:lineRule="exact"/>
        <w:ind w:firstLine="504" w:firstLineChars="200"/>
        <w:rPr>
          <w:rFonts w:hint="eastAsia" w:ascii="宋体" w:hAnsi="宋体" w:eastAsia="宋体" w:cs="宋体"/>
          <w:color w:val="auto"/>
          <w:spacing w:val="6"/>
          <w:szCs w:val="24"/>
          <w:highlight w:val="none"/>
        </w:rPr>
      </w:pPr>
    </w:p>
    <w:p>
      <w:pPr>
        <w:spacing w:line="588" w:lineRule="exact"/>
        <w:ind w:firstLine="504" w:firstLineChars="200"/>
        <w:rPr>
          <w:rFonts w:hint="eastAsia" w:ascii="宋体" w:hAnsi="宋体" w:eastAsia="宋体" w:cs="宋体"/>
          <w:color w:val="auto"/>
          <w:spacing w:val="6"/>
          <w:szCs w:val="24"/>
          <w:highlight w:val="none"/>
        </w:rPr>
      </w:pPr>
    </w:p>
    <w:p>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                 （盖章）</w:t>
      </w:r>
    </w:p>
    <w:p>
      <w:pPr>
        <w:spacing w:line="588" w:lineRule="exact"/>
        <w:ind w:firstLine="2520" w:firstLineChars="10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日     期：</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年</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月</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日</w:t>
      </w:r>
    </w:p>
    <w:p>
      <w:pPr>
        <w:tabs>
          <w:tab w:val="left" w:pos="1620"/>
          <w:tab w:val="left" w:pos="1800"/>
        </w:tabs>
        <w:spacing w:line="440" w:lineRule="exact"/>
        <w:ind w:right="617" w:rightChars="257"/>
        <w:rPr>
          <w:rFonts w:hint="eastAsia" w:ascii="宋体" w:hAnsi="宋体" w:eastAsia="宋体" w:cs="宋体"/>
          <w:color w:val="auto"/>
          <w:szCs w:val="24"/>
          <w:highlight w:val="none"/>
        </w:rPr>
      </w:pPr>
    </w:p>
    <w:p>
      <w:pPr>
        <w:pStyle w:val="2"/>
        <w:rPr>
          <w:rFonts w:hint="eastAsia" w:ascii="宋体" w:hAnsi="宋体" w:eastAsia="宋体" w:cs="宋体"/>
          <w:color w:val="auto"/>
          <w:highlight w:val="none"/>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应仔细阅读《财政部 民政部 中国残疾人联合会关于促进残疾人就业政府采购政策的通知》，并如实填写本表，符合条件的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未按上述要求提供、填写的，评审时不予以考虑。</w:t>
      </w:r>
    </w:p>
    <w:p>
      <w:pPr>
        <w:spacing w:line="500" w:lineRule="exact"/>
        <w:ind w:firstLine="480"/>
        <w:rPr>
          <w:rFonts w:hint="eastAsia" w:ascii="宋体" w:hAnsi="宋体" w:eastAsia="宋体" w:cs="Times New Roman"/>
          <w:b/>
          <w:sz w:val="24"/>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如不是该类企业则不需提供相关声明，若提供虚假材料谋取中标、成交的，将按照《中华人民共和国政府采购法》第七十七条规定对</w:t>
      </w:r>
      <w:r>
        <w:rPr>
          <w:rFonts w:hint="eastAsia" w:hAnsi="宋体" w:cs="宋体"/>
          <w:color w:val="auto"/>
          <w:sz w:val="24"/>
          <w:szCs w:val="24"/>
          <w:highlight w:val="none"/>
          <w:lang w:eastAsia="zh-CN"/>
        </w:rPr>
        <w:t>投标人</w:t>
      </w:r>
      <w:r>
        <w:rPr>
          <w:rFonts w:hint="eastAsia" w:ascii="宋体" w:hAnsi="宋体" w:eastAsia="宋体" w:cs="宋体"/>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s="宋体"/>
          <w:color w:val="auto"/>
          <w:sz w:val="24"/>
          <w:szCs w:val="24"/>
          <w:highlight w:val="none"/>
          <w:lang w:val="en-US" w:eastAsia="zh-CN"/>
        </w:rPr>
        <w:br w:type="page"/>
      </w:r>
      <w:r>
        <w:rPr>
          <w:rFonts w:hint="eastAsia" w:ascii="宋体" w:hAnsi="宋体" w:eastAsia="宋体" w:cs="Times New Roman"/>
          <w:b/>
          <w:sz w:val="24"/>
        </w:rPr>
        <w:t>附：《财政部 民政部 中国残疾人联合会关于促进残疾人就业政府采购政策的通知》</w:t>
      </w:r>
    </w:p>
    <w:p>
      <w:pPr>
        <w:spacing w:line="500" w:lineRule="exact"/>
        <w:ind w:firstLine="480"/>
        <w:rPr>
          <w:rFonts w:ascii="宋体" w:hAnsi="宋体" w:eastAsia="宋体" w:cs="Times New Roman"/>
          <w:sz w:val="24"/>
        </w:rPr>
      </w:pPr>
      <w:r>
        <w:rPr>
          <w:rFonts w:hint="eastAsia" w:ascii="宋体" w:hAnsi="宋体" w:eastAsia="宋体" w:cs="Times New Roman"/>
          <w:sz w:val="24"/>
        </w:rPr>
        <w:t>享受政府采购支持政策的残疾人福利性单位应当同时满足以下条件：</w:t>
      </w:r>
    </w:p>
    <w:p>
      <w:pPr>
        <w:spacing w:line="500" w:lineRule="exact"/>
        <w:ind w:firstLine="480"/>
        <w:rPr>
          <w:rFonts w:ascii="宋体" w:hAnsi="宋体" w:eastAsia="宋体" w:cs="Times New Roman"/>
          <w:sz w:val="24"/>
        </w:rPr>
      </w:pPr>
      <w:r>
        <w:rPr>
          <w:rFonts w:hint="eastAsia" w:ascii="宋体" w:hAnsi="宋体" w:eastAsia="宋体" w:cs="Times New Roman"/>
          <w:sz w:val="24"/>
        </w:rPr>
        <w:t>（1）安置的残疾人占本单位在职职工人数的比例不低于25%（含25%），并且安置的残疾人人数不少于10人（含10人）；</w:t>
      </w:r>
    </w:p>
    <w:p>
      <w:pPr>
        <w:spacing w:line="500" w:lineRule="exact"/>
        <w:ind w:firstLine="480"/>
        <w:rPr>
          <w:rFonts w:ascii="宋体" w:hAnsi="宋体" w:eastAsia="宋体" w:cs="Times New Roman"/>
          <w:sz w:val="24"/>
        </w:rPr>
      </w:pPr>
      <w:r>
        <w:rPr>
          <w:rFonts w:hint="eastAsia" w:ascii="宋体" w:hAnsi="宋体" w:eastAsia="宋体" w:cs="Times New Roman"/>
          <w:sz w:val="24"/>
        </w:rPr>
        <w:t>（2）依法与安置的每位残疾人签订了一年以上（含一年）的劳动合同或服务协议；</w:t>
      </w:r>
    </w:p>
    <w:p>
      <w:pPr>
        <w:spacing w:line="500" w:lineRule="exact"/>
        <w:ind w:firstLine="480"/>
        <w:rPr>
          <w:rFonts w:ascii="宋体" w:hAnsi="宋体" w:eastAsia="宋体" w:cs="Times New Roman"/>
          <w:sz w:val="24"/>
        </w:rPr>
      </w:pPr>
      <w:r>
        <w:rPr>
          <w:rFonts w:hint="eastAsia" w:ascii="宋体" w:hAnsi="宋体" w:eastAsia="宋体" w:cs="Times New Roman"/>
          <w:sz w:val="24"/>
        </w:rPr>
        <w:t>（3）为安置的每位残疾人按月足额缴纳了基本养老保险、基本医疗保险、失业保险、工伤保险和生育保险等社会保险费；</w:t>
      </w:r>
    </w:p>
    <w:p>
      <w:pPr>
        <w:spacing w:line="500" w:lineRule="exact"/>
        <w:ind w:firstLine="480"/>
        <w:rPr>
          <w:rFonts w:ascii="宋体" w:hAnsi="宋体" w:eastAsia="宋体" w:cs="Times New Roman"/>
          <w:sz w:val="24"/>
        </w:rPr>
      </w:pPr>
      <w:r>
        <w:rPr>
          <w:rFonts w:hint="eastAsia" w:ascii="宋体" w:hAnsi="宋体" w:eastAsia="宋体" w:cs="Times New Roman"/>
          <w:sz w:val="24"/>
        </w:rPr>
        <w:t>（4）通过银行等金融机构向安置的每位残疾人，按月支付了不低于单位所在区县适用的经省级人民政府批准的月最低工资标准的工资；</w:t>
      </w:r>
    </w:p>
    <w:p>
      <w:pPr>
        <w:spacing w:line="500" w:lineRule="exact"/>
        <w:ind w:firstLine="480"/>
        <w:rPr>
          <w:rFonts w:ascii="宋体" w:hAnsi="宋体" w:eastAsia="宋体" w:cs="Times New Roman"/>
          <w:sz w:val="24"/>
        </w:rPr>
      </w:pPr>
      <w:r>
        <w:rPr>
          <w:rFonts w:hint="eastAsia" w:ascii="宋体" w:hAnsi="宋体" w:eastAsia="宋体" w:cs="Times New Roman"/>
          <w:sz w:val="24"/>
        </w:rPr>
        <w:t>（5）提供本单位制造的货物、承担的工程或者服务（以下简称产品），或者提供其他残疾人福利性单位制造的货物（不包括使用非残疾人福利性单位注册商标的货物）。</w:t>
      </w:r>
    </w:p>
    <w:p>
      <w:pPr>
        <w:autoSpaceDE w:val="0"/>
        <w:autoSpaceDN w:val="0"/>
        <w:adjustRightInd w:val="0"/>
        <w:spacing w:line="500" w:lineRule="exact"/>
        <w:rPr>
          <w:rFonts w:hint="eastAsia" w:ascii="宋体" w:hAnsi="宋体" w:eastAsia="宋体" w:cs="宋体"/>
          <w:b/>
          <w:bCs/>
          <w:szCs w:val="28"/>
        </w:rPr>
      </w:pPr>
      <w:r>
        <w:rPr>
          <w:rFonts w:hint="eastAsia" w:ascii="宋体" w:hAnsi="宋体" w:eastAsia="宋体" w:cs="Times New Roman"/>
          <w:sz w:val="24"/>
        </w:rPr>
        <w:t>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bCs/>
          <w:color w:val="auto"/>
          <w:spacing w:val="6"/>
          <w:kern w:val="0"/>
          <w:sz w:val="24"/>
          <w:szCs w:val="24"/>
          <w:highlight w:val="none"/>
        </w:rPr>
      </w:pPr>
      <w:r>
        <w:rPr>
          <w:rFonts w:hint="eastAsia" w:ascii="宋体" w:hAnsi="宋体" w:eastAsia="宋体" w:cs="宋体"/>
          <w:b/>
          <w:bCs/>
          <w:color w:val="auto"/>
          <w:spacing w:val="6"/>
          <w:kern w:val="0"/>
          <w:sz w:val="24"/>
          <w:szCs w:val="24"/>
          <w:highlight w:val="none"/>
        </w:rPr>
        <w:br w:type="page"/>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kern w:val="0"/>
          <w:sz w:val="24"/>
          <w:szCs w:val="24"/>
          <w:highlight w:val="none"/>
        </w:rPr>
        <w:t>附件3</w:t>
      </w:r>
      <w:r>
        <w:rPr>
          <w:rFonts w:hint="eastAsia" w:ascii="宋体" w:hAnsi="宋体" w:eastAsia="宋体" w:cs="宋体"/>
          <w:b/>
          <w:bCs/>
          <w:color w:val="auto"/>
          <w:spacing w:val="6"/>
          <w:sz w:val="24"/>
          <w:szCs w:val="24"/>
          <w:highlight w:val="none"/>
        </w:rPr>
        <w:t>（如有）</w:t>
      </w:r>
    </w:p>
    <w:p>
      <w:pPr>
        <w:pStyle w:val="11"/>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监狱企业证明文件</w:t>
      </w:r>
    </w:p>
    <w:p>
      <w:pPr>
        <w:spacing w:line="500" w:lineRule="exact"/>
        <w:ind w:firstLine="480"/>
        <w:rPr>
          <w:rFonts w:hint="eastAsia" w:ascii="宋体" w:hAnsi="宋体" w:eastAsia="宋体" w:cs="Times New Roman"/>
          <w:sz w:val="24"/>
        </w:rPr>
      </w:pPr>
      <w:r>
        <w:rPr>
          <w:rFonts w:hint="eastAsia" w:ascii="宋体" w:hAnsi="宋体" w:eastAsia="宋体" w:cs="Times New Roman"/>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0"/>
        <w:rPr>
          <w:rFonts w:hint="eastAsia" w:ascii="宋体" w:hAnsi="宋体" w:eastAsia="宋体" w:cs="Times New Roman"/>
          <w:sz w:val="24"/>
        </w:rPr>
      </w:pPr>
      <w:r>
        <w:rPr>
          <w:rFonts w:hint="eastAsia" w:ascii="宋体" w:hAnsi="宋体" w:eastAsia="宋体" w:cs="Times New Roman"/>
          <w:sz w:val="24"/>
        </w:rPr>
        <w:t>监狱企业参加政府采购活动时，应当提供由省级以上监狱管理局、戒毒管理局（含新疆生产建设兵团）出具的属于监狱企业的证明文件。</w:t>
      </w:r>
    </w:p>
    <w:p>
      <w:pPr>
        <w:spacing w:line="500" w:lineRule="exact"/>
        <w:ind w:firstLine="480" w:firstLineChars="200"/>
        <w:jc w:val="left"/>
        <w:rPr>
          <w:rFonts w:hint="eastAsia" w:ascii="宋体" w:hAnsi="宋体" w:eastAsia="宋体" w:cs="宋体"/>
          <w:color w:val="auto"/>
          <w:szCs w:val="24"/>
          <w:highlight w:val="none"/>
        </w:rPr>
      </w:pPr>
    </w:p>
    <w:p>
      <w:pPr>
        <w:tabs>
          <w:tab w:val="left" w:pos="1620"/>
          <w:tab w:val="left" w:pos="1800"/>
        </w:tabs>
        <w:spacing w:line="440" w:lineRule="exact"/>
        <w:ind w:right="617" w:rightChars="257"/>
        <w:rPr>
          <w:rFonts w:hint="eastAsia" w:ascii="宋体" w:hAnsi="宋体" w:eastAsia="宋体" w:cs="宋体"/>
          <w:color w:val="auto"/>
          <w:highlight w:val="none"/>
        </w:rPr>
      </w:pPr>
    </w:p>
    <w:p>
      <w:pPr>
        <w:tabs>
          <w:tab w:val="left" w:pos="1620"/>
          <w:tab w:val="left" w:pos="1800"/>
        </w:tabs>
        <w:spacing w:line="440" w:lineRule="exact"/>
        <w:ind w:right="617" w:rightChars="257"/>
        <w:rPr>
          <w:rFonts w:hint="eastAsia" w:ascii="宋体" w:hAnsi="宋体" w:eastAsia="宋体" w:cs="宋体"/>
          <w:color w:val="auto"/>
          <w:highlight w:val="none"/>
        </w:rPr>
      </w:pPr>
    </w:p>
    <w:p>
      <w:pPr>
        <w:spacing w:line="500" w:lineRule="exact"/>
        <w:ind w:firstLine="480"/>
        <w:rPr>
          <w:rFonts w:hint="eastAsia" w:ascii="宋体" w:hAnsi="宋体" w:eastAsia="宋体" w:cs="Times New Roman"/>
          <w:sz w:val="24"/>
        </w:rPr>
      </w:pPr>
    </w:p>
    <w:p>
      <w:pPr>
        <w:spacing w:line="500" w:lineRule="exact"/>
        <w:ind w:firstLine="480"/>
        <w:rPr>
          <w:rFonts w:hint="eastAsia" w:ascii="宋体" w:hAnsi="宋体" w:eastAsia="宋体" w:cs="Times New Roman"/>
          <w:sz w:val="24"/>
          <w:lang w:val="en-US" w:eastAsia="zh-CN"/>
        </w:rPr>
      </w:pPr>
      <w:r>
        <w:rPr>
          <w:rFonts w:hint="eastAsia" w:ascii="宋体" w:hAnsi="宋体" w:eastAsia="宋体" w:cs="Times New Roman"/>
          <w:sz w:val="24"/>
          <w:lang w:val="en-US" w:eastAsia="zh-CN"/>
        </w:rPr>
        <w:t>说明：</w:t>
      </w:r>
    </w:p>
    <w:p>
      <w:pPr>
        <w:spacing w:line="500" w:lineRule="exact"/>
        <w:ind w:firstLine="480"/>
        <w:rPr>
          <w:rFonts w:hint="eastAsia" w:ascii="宋体" w:hAnsi="宋体" w:eastAsia="宋体" w:cs="Times New Roman"/>
          <w:sz w:val="24"/>
          <w:lang w:val="en-US" w:eastAsia="zh-CN"/>
        </w:rPr>
      </w:pPr>
      <w:r>
        <w:rPr>
          <w:rFonts w:hint="eastAsia" w:ascii="宋体" w:hAnsi="宋体" w:eastAsia="宋体" w:cs="Times New Roman"/>
          <w:sz w:val="24"/>
          <w:lang w:val="en-US" w:eastAsia="zh-CN"/>
        </w:rPr>
        <w:t>1、无格式要求，由出具监狱企业证明的单位自行拟定；</w:t>
      </w:r>
    </w:p>
    <w:p>
      <w:pPr>
        <w:spacing w:line="500" w:lineRule="exact"/>
        <w:ind w:firstLine="480"/>
        <w:rPr>
          <w:rFonts w:hint="eastAsia" w:ascii="宋体" w:hAnsi="宋体" w:eastAsia="宋体" w:cs="Times New Roman"/>
          <w:sz w:val="24"/>
        </w:rPr>
      </w:pPr>
      <w:r>
        <w:rPr>
          <w:rFonts w:hint="eastAsia" w:ascii="宋体" w:hAnsi="宋体" w:eastAsia="宋体" w:cs="Times New Roman"/>
          <w:sz w:val="24"/>
          <w:lang w:val="en-US" w:eastAsia="zh-CN"/>
        </w:rPr>
        <w:t>2、如不是该类企业则不需提供相关声明，若提供虚假材料谋取中标、成交的，将按照《中华人民共和国政府采购法》第七十七条规定对</w:t>
      </w:r>
      <w:r>
        <w:rPr>
          <w:rFonts w:hint="eastAsia" w:hAnsi="宋体" w:cs="Times New Roman"/>
          <w:sz w:val="24"/>
          <w:lang w:val="en-US" w:eastAsia="zh-CN"/>
        </w:rPr>
        <w:t>投标人</w:t>
      </w:r>
      <w:r>
        <w:rPr>
          <w:rFonts w:hint="eastAsia" w:ascii="宋体" w:hAnsi="宋体" w:eastAsia="宋体" w:cs="Times New Roman"/>
          <w:sz w:val="24"/>
          <w:lang w:val="en-US" w:eastAsia="zh-CN"/>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before="100" w:beforeAutospacing="1" w:after="168" w:afterLines="50" w:line="360" w:lineRule="auto"/>
        <w:jc w:val="center"/>
        <w:rPr>
          <w:rFonts w:hint="eastAsia" w:ascii="宋体" w:hAnsi="宋体" w:eastAsia="宋体" w:cs="宋体"/>
          <w:b/>
          <w:bCs w:val="0"/>
          <w:color w:val="auto"/>
          <w:szCs w:val="28"/>
          <w:highlight w:val="none"/>
        </w:rPr>
      </w:pPr>
      <w:r>
        <w:rPr>
          <w:rFonts w:hint="eastAsia" w:hAnsi="宋体" w:cs="宋体"/>
          <w:b/>
          <w:bCs w:val="0"/>
          <w:color w:val="auto"/>
          <w:szCs w:val="28"/>
          <w:highlight w:val="none"/>
          <w:lang w:val="en-US" w:eastAsia="zh-CN"/>
        </w:rPr>
        <w:t>3、</w:t>
      </w:r>
      <w:r>
        <w:rPr>
          <w:rFonts w:hint="eastAsia" w:ascii="宋体" w:hAnsi="宋体" w:eastAsia="宋体" w:cs="宋体"/>
          <w:b/>
          <w:bCs w:val="0"/>
          <w:color w:val="auto"/>
          <w:szCs w:val="28"/>
          <w:highlight w:val="none"/>
        </w:rPr>
        <w:t>依据招标文件要求，</w:t>
      </w:r>
      <w:r>
        <w:rPr>
          <w:rFonts w:hint="eastAsia" w:hAnsi="宋体" w:cs="宋体"/>
          <w:b/>
          <w:bCs w:val="0"/>
          <w:color w:val="auto"/>
          <w:szCs w:val="28"/>
          <w:highlight w:val="none"/>
          <w:lang w:eastAsia="zh-CN"/>
        </w:rPr>
        <w:t>投标人</w:t>
      </w:r>
      <w:r>
        <w:rPr>
          <w:rFonts w:hint="eastAsia" w:ascii="宋体" w:hAnsi="宋体" w:eastAsia="宋体" w:cs="宋体"/>
          <w:b/>
          <w:bCs w:val="0"/>
          <w:color w:val="auto"/>
          <w:szCs w:val="28"/>
          <w:highlight w:val="none"/>
        </w:rPr>
        <w:t>认为有必要说明的其他内容。</w:t>
      </w:r>
    </w:p>
    <w:p>
      <w:pP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br w:type="page"/>
      </w:r>
    </w:p>
    <w:p>
      <w:pPr>
        <w:spacing w:before="100" w:beforeAutospacing="1" w:after="168" w:afterLines="50" w:line="360" w:lineRule="auto"/>
        <w:jc w:val="center"/>
        <w:rPr>
          <w:rFonts w:hint="eastAsia" w:ascii="宋体" w:hAnsi="宋体" w:eastAsia="宋体" w:cs="宋体"/>
          <w:b/>
          <w:bCs w:val="0"/>
          <w:color w:val="auto"/>
          <w:szCs w:val="28"/>
          <w:highlight w:val="none"/>
        </w:rPr>
      </w:pPr>
      <w:r>
        <w:rPr>
          <w:rFonts w:hint="eastAsia" w:hAnsi="宋体" w:cs="宋体"/>
          <w:b/>
          <w:bCs w:val="0"/>
          <w:color w:val="auto"/>
          <w:szCs w:val="28"/>
          <w:highlight w:val="none"/>
          <w:lang w:val="en-US" w:eastAsia="zh-CN"/>
        </w:rPr>
        <w:tab/>
      </w:r>
      <w:r>
        <w:rPr>
          <w:rFonts w:hint="eastAsia" w:ascii="宋体" w:hAnsi="宋体" w:eastAsia="宋体" w:cs="宋体"/>
          <w:b/>
          <w:bCs w:val="0"/>
          <w:color w:val="auto"/>
          <w:szCs w:val="28"/>
          <w:highlight w:val="none"/>
          <w:lang w:val="en-US" w:eastAsia="zh-CN"/>
        </w:rPr>
        <w:t>4</w:t>
      </w:r>
      <w:r>
        <w:rPr>
          <w:rFonts w:hint="eastAsia" w:ascii="宋体" w:hAnsi="宋体" w:eastAsia="宋体" w:cs="宋体"/>
          <w:b/>
          <w:bCs w:val="0"/>
          <w:color w:val="auto"/>
          <w:szCs w:val="28"/>
          <w:highlight w:val="none"/>
        </w:rPr>
        <w:t>.其他可以证明</w:t>
      </w:r>
      <w:r>
        <w:rPr>
          <w:rFonts w:hint="eastAsia" w:hAnsi="宋体" w:cs="宋体"/>
          <w:b/>
          <w:bCs w:val="0"/>
          <w:color w:val="auto"/>
          <w:szCs w:val="28"/>
          <w:highlight w:val="none"/>
          <w:lang w:eastAsia="zh-CN"/>
        </w:rPr>
        <w:t>投标人</w:t>
      </w:r>
      <w:r>
        <w:rPr>
          <w:rFonts w:hint="eastAsia" w:ascii="宋体" w:hAnsi="宋体" w:eastAsia="宋体" w:cs="宋体"/>
          <w:b/>
          <w:bCs w:val="0"/>
          <w:color w:val="auto"/>
          <w:szCs w:val="28"/>
          <w:highlight w:val="none"/>
        </w:rPr>
        <w:t>实力的文件。</w:t>
      </w:r>
    </w:p>
    <w:p>
      <w:pPr>
        <w:jc w:val="cente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br w:type="page"/>
      </w: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陕西天沃工程项目管理有限公司</w:t>
      </w:r>
    </w:p>
    <w:p>
      <w:pP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11pt;height:0pt;width:423pt;z-index:251660288;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Kp9jTAAAA&#10;BgEAAA8AAAAAAAAAAQAgAAAAIgAAAGRycy9kb3ducmV2LnhtbFBLAQIUABQAAAAIAIdO4kAzb5PA&#10;6QEAALsDAAAOAAAAAAAAAAEAIAAAACIBAABkcnMvZTJvRG9jLnhtbFBLBQYAAAAABgAGAFkBAAB9&#10;BQAAAAA=&#10;">
                <v:fill on="f" focussize="0,0"/>
                <v:stroke weight="1.5pt" color="#000000" joinstyle="round"/>
                <v:imagedata o:title=""/>
                <o:lock v:ext="edit" aspectratio="f"/>
              </v:line>
            </w:pict>
          </mc:Fallback>
        </mc:AlternateContent>
      </w:r>
    </w:p>
    <w:p>
      <w:pP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spacing w:val="-6"/>
          <w:highlight w:val="none"/>
        </w:rPr>
        <w:t>：西安市经济开发区凤城十一路与文景路十字西北角文景广场C座1202室</w:t>
      </w:r>
    </w:p>
    <w:p>
      <w:pPr>
        <w:autoSpaceDE w:val="0"/>
        <w:autoSpaceDN w:val="0"/>
        <w:spacing w:line="440" w:lineRule="exact"/>
        <w:ind w:firstLine="120" w:firstLineChars="5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邮    编：</w:t>
      </w:r>
      <w:r>
        <w:rPr>
          <w:rFonts w:hint="eastAsia" w:hAnsi="宋体" w:cs="宋体"/>
          <w:color w:val="auto"/>
          <w:highlight w:val="none"/>
          <w:lang w:val="en-US" w:eastAsia="zh-CN"/>
        </w:rPr>
        <w:t>710018</w:t>
      </w:r>
    </w:p>
    <w:p>
      <w:pP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电    话：029-029-68539602</w:t>
      </w:r>
    </w:p>
    <w:p>
      <w:pPr>
        <w:autoSpaceDE w:val="0"/>
        <w:autoSpaceDN w:val="0"/>
        <w:spacing w:line="440" w:lineRule="exact"/>
        <w:ind w:firstLine="120"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开户银行：中国建设银行股份有限公司西安凤城十二路支行</w:t>
      </w:r>
    </w:p>
    <w:p>
      <w:pP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szCs w:val="22"/>
          <w:highlight w:val="none"/>
        </w:rPr>
        <w:t>账    号：</w:t>
      </w:r>
      <w:r>
        <w:rPr>
          <w:rFonts w:hint="eastAsia" w:ascii="宋体" w:hAnsi="宋体" w:eastAsia="宋体" w:cs="宋体"/>
          <w:color w:val="auto"/>
          <w:szCs w:val="22"/>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37.8pt;height:0pt;width:423pt;z-index:251659264;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vtYC0wAA&#10;AAYBAAAPAAAAAAAAAAEAIAAAACIAAABkcnMvZG93bnJldi54bWxQSwECFAAUAAAACACHTuJAjwNU&#10;bOoBAAC7AwAADgAAAAAAAAABACAAAAAiAQAAZHJzL2Uyb0RvYy54bWxQSwUGAAAAAAYABgBZAQAA&#10;fgUAAAAA&#10;">
                <v:fill on="f" focussize="0,0"/>
                <v:stroke weight="1.5pt" color="#000000" joinstyle="round"/>
                <v:imagedata o:title=""/>
                <o:lock v:ext="edit" aspectratio="f"/>
              </v:line>
            </w:pict>
          </mc:Fallback>
        </mc:AlternateContent>
      </w:r>
      <w:r>
        <w:rPr>
          <w:rFonts w:hint="eastAsia" w:ascii="宋体" w:hAnsi="宋体" w:eastAsia="宋体" w:cs="宋体"/>
          <w:color w:val="auto"/>
          <w:szCs w:val="22"/>
          <w:highlight w:val="none"/>
        </w:rPr>
        <w:t>6105 0177 0045 0000 0371</w:t>
      </w:r>
    </w:p>
    <w:sectPr>
      <w:footerReference r:id="rId12" w:type="default"/>
      <w:pgSz w:w="11906" w:h="16838"/>
      <w:pgMar w:top="1417" w:right="1417" w:bottom="1417" w:left="1417" w:header="1134" w:footer="1134" w:gutter="0"/>
      <w:pgNumType w:fmt="decimal"/>
      <w:cols w:space="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single" w:color="auto" w:sz="6" w:space="0"/>
      </w:pBdr>
      <w:tabs>
        <w:tab w:val="left" w:pos="8280"/>
        <w:tab w:val="right" w:pos="8460"/>
        <w:tab w:val="clear" w:pos="4153"/>
        <w:tab w:val="clear" w:pos="8306"/>
      </w:tabs>
      <w:ind w:right="-180"/>
    </w:pPr>
  </w:p>
  <w:p>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single" w:color="auto" w:sz="6" w:space="0"/>
      </w:pBdr>
      <w:tabs>
        <w:tab w:val="left" w:pos="8280"/>
        <w:tab w:val="right" w:pos="8460"/>
        <w:tab w:val="clear" w:pos="4153"/>
        <w:tab w:val="clear" w:pos="8306"/>
      </w:tabs>
      <w:ind w:right="-180"/>
      <w:rPr>
        <w:u w:val="non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u w:val="single"/>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eastAsia" w:cs="仿宋" w:asciiTheme="minorEastAsia" w:hAnsiTheme="minorEastAsia" w:eastAsiaTheme="minorEastAsia"/>
        <w:kern w:val="2"/>
        <w:sz w:val="18"/>
        <w:szCs w:val="18"/>
        <w:lang w:eastAsia="zh-CN"/>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-10795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rPr>
                              <w:rFonts w:hint="eastAsia" w:cs="仿宋" w:asciiTheme="minorEastAsia" w:hAnsiTheme="minorEastAsia" w:eastAsiaTheme="minorEastAsia"/>
                              <w:kern w:val="2"/>
                              <w:sz w:val="18"/>
                              <w:szCs w:val="18"/>
                              <w:lang w:val="en-US" w:eastAsia="zh-CN" w:bidi="ar-SA"/>
                            </w:rPr>
                          </w:pPr>
                          <w:r>
                            <w:rPr>
                              <w:rFonts w:hint="eastAsia" w:cs="仿宋" w:asciiTheme="minorEastAsia" w:hAnsiTheme="minorEastAsia" w:eastAsiaTheme="minorEastAsia"/>
                              <w:kern w:val="2"/>
                              <w:sz w:val="18"/>
                              <w:szCs w:val="18"/>
                              <w:lang w:val="en-US" w:eastAsia="zh-CN" w:bidi="ar-SA"/>
                            </w:rPr>
                            <w:t xml:space="preserve">第 </w:t>
                          </w:r>
                          <w:r>
                            <w:rPr>
                              <w:rFonts w:hint="eastAsia" w:cs="仿宋" w:asciiTheme="minorEastAsia" w:hAnsiTheme="minorEastAsia" w:eastAsiaTheme="minorEastAsia"/>
                              <w:kern w:val="2"/>
                              <w:sz w:val="18"/>
                              <w:szCs w:val="18"/>
                              <w:lang w:val="en-US" w:eastAsia="zh-CN" w:bidi="ar-SA"/>
                            </w:rPr>
                            <w:fldChar w:fldCharType="begin"/>
                          </w:r>
                          <w:r>
                            <w:rPr>
                              <w:rFonts w:hint="eastAsia" w:cs="仿宋" w:asciiTheme="minorEastAsia" w:hAnsiTheme="minorEastAsia" w:eastAsiaTheme="minorEastAsia"/>
                              <w:kern w:val="2"/>
                              <w:sz w:val="18"/>
                              <w:szCs w:val="18"/>
                              <w:lang w:val="en-US" w:eastAsia="zh-CN" w:bidi="ar-SA"/>
                            </w:rPr>
                            <w:instrText xml:space="preserve"> PAGE  \* MERGEFORMAT </w:instrText>
                          </w:r>
                          <w:r>
                            <w:rPr>
                              <w:rFonts w:hint="eastAsia" w:cs="仿宋" w:asciiTheme="minorEastAsia" w:hAnsiTheme="minorEastAsia" w:eastAsiaTheme="minorEastAsia"/>
                              <w:kern w:val="2"/>
                              <w:sz w:val="18"/>
                              <w:szCs w:val="18"/>
                              <w:lang w:val="en-US" w:eastAsia="zh-CN" w:bidi="ar-SA"/>
                            </w:rPr>
                            <w:fldChar w:fldCharType="separate"/>
                          </w:r>
                          <w:r>
                            <w:rPr>
                              <w:rFonts w:hint="eastAsia" w:cs="仿宋" w:asciiTheme="minorEastAsia" w:hAnsiTheme="minorEastAsia" w:eastAsiaTheme="minorEastAsia"/>
                              <w:kern w:val="2"/>
                              <w:sz w:val="18"/>
                              <w:szCs w:val="18"/>
                              <w:lang w:val="en-US" w:eastAsia="zh-CN" w:bidi="ar-SA"/>
                            </w:rPr>
                            <w:t>30</w:t>
                          </w:r>
                          <w:r>
                            <w:rPr>
                              <w:rFonts w:hint="eastAsia" w:cs="仿宋" w:asciiTheme="minorEastAsia" w:hAnsiTheme="minorEastAsia" w:eastAsiaTheme="minorEastAsia"/>
                              <w:kern w:val="2"/>
                              <w:sz w:val="18"/>
                              <w:szCs w:val="18"/>
                              <w:lang w:val="en-US" w:eastAsia="zh-CN" w:bidi="ar-SA"/>
                            </w:rPr>
                            <w:fldChar w:fldCharType="end"/>
                          </w:r>
                          <w:r>
                            <w:rPr>
                              <w:rFonts w:hint="eastAsia" w:cs="仿宋" w:asciiTheme="minorEastAsia" w:hAnsiTheme="minorEastAsia" w:eastAsiaTheme="minorEastAsia"/>
                              <w:kern w:val="2"/>
                              <w:sz w:val="18"/>
                              <w:szCs w:val="18"/>
                              <w:lang w:val="en-US" w:eastAsia="zh-CN" w:bidi="ar-SA"/>
                            </w:rPr>
                            <w:t xml:space="preserve"> 页 共96页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center;mso-position-horizontal-relative:margin;mso-wrap-style:none;z-index:251662336;mso-width-relative:page;mso-height-relative:page;" filled="f" stroked="f" coordsize="21600,21600" o:gfxdata="UEsDBAoAAAAAAIdO4kAAAAAAAAAAAAAAAAAEAAAAZHJzL1BLAwQUAAAACACHTuJAapFdb9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ZxDsrrKMF8fbsFmD&#10;LAv5n7/8BVBLAwQUAAAACACHTuJAApUg9DICAABhBAAADgAAAGRycy9lMm9Eb2MueG1srVTNjtMw&#10;EL4j8Q6W7zRpEatu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qRXW/VAAAABwEAAA8AAAAAAAAAAQAgAAAAIgAAAGRycy9kb3ducmV2LnhtbFBL&#10;AQIUABQAAAAIAIdO4kAClSD0MgIAAGEEAAAOAAAAAAAAAAEAIAAAACQBAABkcnMvZTJvRG9jLnht&#10;bFBLBQYAAAAABgAGAFkBAADIBQAAAAA=&#10;">
              <v:fill on="f" focussize="0,0"/>
              <v:stroke on="f" weight="0.5pt"/>
              <v:imagedata o:title=""/>
              <o:lock v:ext="edit" aspectratio="f"/>
              <v:textbox inset="0mm,0mm,0mm,0mm" style="mso-fit-shape-to-text:t;">
                <w:txbxContent>
                  <w:p>
                    <w:pPr>
                      <w:pStyle w:val="2"/>
                      <w:jc w:val="right"/>
                      <w:rPr>
                        <w:rFonts w:hint="eastAsia" w:cs="仿宋" w:asciiTheme="minorEastAsia" w:hAnsiTheme="minorEastAsia" w:eastAsiaTheme="minorEastAsia"/>
                        <w:kern w:val="2"/>
                        <w:sz w:val="18"/>
                        <w:szCs w:val="18"/>
                        <w:lang w:val="en-US" w:eastAsia="zh-CN" w:bidi="ar-SA"/>
                      </w:rPr>
                    </w:pPr>
                    <w:r>
                      <w:rPr>
                        <w:rFonts w:hint="eastAsia" w:cs="仿宋" w:asciiTheme="minorEastAsia" w:hAnsiTheme="minorEastAsia" w:eastAsiaTheme="minorEastAsia"/>
                        <w:kern w:val="2"/>
                        <w:sz w:val="18"/>
                        <w:szCs w:val="18"/>
                        <w:lang w:val="en-US" w:eastAsia="zh-CN" w:bidi="ar-SA"/>
                      </w:rPr>
                      <w:t xml:space="preserve">第 </w:t>
                    </w:r>
                    <w:r>
                      <w:rPr>
                        <w:rFonts w:hint="eastAsia" w:cs="仿宋" w:asciiTheme="minorEastAsia" w:hAnsiTheme="minorEastAsia" w:eastAsiaTheme="minorEastAsia"/>
                        <w:kern w:val="2"/>
                        <w:sz w:val="18"/>
                        <w:szCs w:val="18"/>
                        <w:lang w:val="en-US" w:eastAsia="zh-CN" w:bidi="ar-SA"/>
                      </w:rPr>
                      <w:fldChar w:fldCharType="begin"/>
                    </w:r>
                    <w:r>
                      <w:rPr>
                        <w:rFonts w:hint="eastAsia" w:cs="仿宋" w:asciiTheme="minorEastAsia" w:hAnsiTheme="minorEastAsia" w:eastAsiaTheme="minorEastAsia"/>
                        <w:kern w:val="2"/>
                        <w:sz w:val="18"/>
                        <w:szCs w:val="18"/>
                        <w:lang w:val="en-US" w:eastAsia="zh-CN" w:bidi="ar-SA"/>
                      </w:rPr>
                      <w:instrText xml:space="preserve"> PAGE  \* MERGEFORMAT </w:instrText>
                    </w:r>
                    <w:r>
                      <w:rPr>
                        <w:rFonts w:hint="eastAsia" w:cs="仿宋" w:asciiTheme="minorEastAsia" w:hAnsiTheme="minorEastAsia" w:eastAsiaTheme="minorEastAsia"/>
                        <w:kern w:val="2"/>
                        <w:sz w:val="18"/>
                        <w:szCs w:val="18"/>
                        <w:lang w:val="en-US" w:eastAsia="zh-CN" w:bidi="ar-SA"/>
                      </w:rPr>
                      <w:fldChar w:fldCharType="separate"/>
                    </w:r>
                    <w:r>
                      <w:rPr>
                        <w:rFonts w:hint="eastAsia" w:cs="仿宋" w:asciiTheme="minorEastAsia" w:hAnsiTheme="minorEastAsia" w:eastAsiaTheme="minorEastAsia"/>
                        <w:kern w:val="2"/>
                        <w:sz w:val="18"/>
                        <w:szCs w:val="18"/>
                        <w:lang w:val="en-US" w:eastAsia="zh-CN" w:bidi="ar-SA"/>
                      </w:rPr>
                      <w:t>30</w:t>
                    </w:r>
                    <w:r>
                      <w:rPr>
                        <w:rFonts w:hint="eastAsia" w:cs="仿宋" w:asciiTheme="minorEastAsia" w:hAnsiTheme="minorEastAsia" w:eastAsiaTheme="minorEastAsia"/>
                        <w:kern w:val="2"/>
                        <w:sz w:val="18"/>
                        <w:szCs w:val="18"/>
                        <w:lang w:val="en-US" w:eastAsia="zh-CN" w:bidi="ar-SA"/>
                      </w:rPr>
                      <w:fldChar w:fldCharType="end"/>
                    </w:r>
                    <w:r>
                      <w:rPr>
                        <w:rFonts w:hint="eastAsia" w:cs="仿宋" w:asciiTheme="minorEastAsia" w:hAnsiTheme="minorEastAsia" w:eastAsiaTheme="minorEastAsia"/>
                        <w:kern w:val="2"/>
                        <w:sz w:val="18"/>
                        <w:szCs w:val="18"/>
                        <w:lang w:val="en-US" w:eastAsia="zh-CN" w:bidi="ar-SA"/>
                      </w:rPr>
                      <w:t xml:space="preserve"> 页 共96页</w:t>
                    </w:r>
                  </w:p>
                </w:txbxContent>
              </v:textbox>
            </v:shape>
          </w:pict>
        </mc:Fallback>
      </mc:AlternateContent>
    </w:r>
    <w:r>
      <w:rPr>
        <w:rFonts w:hint="eastAsia" w:ascii="Arial"/>
        <w:sz w:val="2"/>
        <w:lang w:eastAsia="zh-CN"/>
      </w:rPr>
      <w:t>陕西天沃工程项目管理有限公司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eastAsia" w:cs="仿宋" w:asciiTheme="minorEastAsia" w:hAnsiTheme="minorEastAsia" w:eastAsiaTheme="minorEastAsia"/>
        <w:kern w:val="2"/>
        <w:sz w:val="18"/>
        <w:szCs w:val="18"/>
        <w:lang w:eastAsia="zh-CN"/>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-10795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cs="仿宋" w:asciiTheme="minorEastAsia" w:hAnsiTheme="minorEastAsia" w:eastAsiaTheme="minorEastAsia"/>
                              <w:kern w:val="2"/>
                              <w:sz w:val="18"/>
                              <w:szCs w:val="18"/>
                              <w:lang w:val="en-US" w:eastAsia="zh-CN" w:bidi="ar-SA"/>
                            </w:rPr>
                          </w:pPr>
                          <w:r>
                            <w:rPr>
                              <w:rFonts w:hint="eastAsia" w:cs="仿宋" w:asciiTheme="minorEastAsia" w:hAnsiTheme="minorEastAsia" w:eastAsiaTheme="minorEastAsia"/>
                              <w:kern w:val="2"/>
                              <w:sz w:val="18"/>
                              <w:szCs w:val="18"/>
                              <w:lang w:val="en-US" w:eastAsia="zh-CN" w:bidi="ar-SA"/>
                            </w:rPr>
                            <w:t xml:space="preserve">第 </w:t>
                          </w:r>
                          <w:r>
                            <w:rPr>
                              <w:rFonts w:hint="eastAsia" w:cs="仿宋" w:asciiTheme="minorEastAsia" w:hAnsiTheme="minorEastAsia" w:eastAsiaTheme="minorEastAsia"/>
                              <w:kern w:val="2"/>
                              <w:sz w:val="18"/>
                              <w:szCs w:val="18"/>
                              <w:lang w:val="en-US" w:eastAsia="zh-CN" w:bidi="ar-SA"/>
                            </w:rPr>
                            <w:fldChar w:fldCharType="begin"/>
                          </w:r>
                          <w:r>
                            <w:rPr>
                              <w:rFonts w:hint="eastAsia" w:cs="仿宋" w:asciiTheme="minorEastAsia" w:hAnsiTheme="minorEastAsia" w:eastAsiaTheme="minorEastAsia"/>
                              <w:kern w:val="2"/>
                              <w:sz w:val="18"/>
                              <w:szCs w:val="18"/>
                              <w:lang w:val="en-US" w:eastAsia="zh-CN" w:bidi="ar-SA"/>
                            </w:rPr>
                            <w:instrText xml:space="preserve"> PAGE  \* MERGEFORMAT </w:instrText>
                          </w:r>
                          <w:r>
                            <w:rPr>
                              <w:rFonts w:hint="eastAsia" w:cs="仿宋" w:asciiTheme="minorEastAsia" w:hAnsiTheme="minorEastAsia" w:eastAsiaTheme="minorEastAsia"/>
                              <w:kern w:val="2"/>
                              <w:sz w:val="18"/>
                              <w:szCs w:val="18"/>
                              <w:lang w:val="en-US" w:eastAsia="zh-CN" w:bidi="ar-SA"/>
                            </w:rPr>
                            <w:fldChar w:fldCharType="separate"/>
                          </w:r>
                          <w:r>
                            <w:rPr>
                              <w:rFonts w:hint="eastAsia" w:cs="仿宋" w:asciiTheme="minorEastAsia" w:hAnsiTheme="minorEastAsia" w:eastAsiaTheme="minorEastAsia"/>
                              <w:kern w:val="2"/>
                              <w:sz w:val="18"/>
                              <w:szCs w:val="18"/>
                              <w:lang w:val="en-US" w:eastAsia="zh-CN" w:bidi="ar-SA"/>
                            </w:rPr>
                            <w:t>30</w:t>
                          </w:r>
                          <w:r>
                            <w:rPr>
                              <w:rFonts w:hint="eastAsia" w:cs="仿宋" w:asciiTheme="minorEastAsia" w:hAnsiTheme="minorEastAsia" w:eastAsiaTheme="minorEastAsia"/>
                              <w:kern w:val="2"/>
                              <w:sz w:val="18"/>
                              <w:szCs w:val="18"/>
                              <w:lang w:val="en-US" w:eastAsia="zh-CN" w:bidi="ar-SA"/>
                            </w:rPr>
                            <w:fldChar w:fldCharType="end"/>
                          </w:r>
                          <w:r>
                            <w:rPr>
                              <w:rFonts w:hint="eastAsia" w:cs="仿宋" w:asciiTheme="minorEastAsia" w:hAnsiTheme="minorEastAsia" w:eastAsiaTheme="minorEastAsia"/>
                              <w:kern w:val="2"/>
                              <w:sz w:val="18"/>
                              <w:szCs w:val="18"/>
                              <w:lang w:val="en-US" w:eastAsia="zh-CN" w:bidi="ar-SA"/>
                            </w:rPr>
                            <w:t xml:space="preserve"> 页 共96页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center;mso-position-horizontal-relative:margin;mso-wrap-style:none;z-index:251661312;mso-width-relative:page;mso-height-relative:page;" filled="f" stroked="f" coordsize="21600,21600" o:gfxdata="UEsDBAoAAAAAAIdO4kAAAAAAAAAAAAAAAAAEAAAAZHJzL1BLAwQUAAAACACHTuJAapFdb9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ZxDsrrKMF8fbsFmD&#10;LAv5n7/8BV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qRXW/VAAAABw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pPr>
                      <w:pStyle w:val="2"/>
                      <w:rPr>
                        <w:rFonts w:hint="eastAsia" w:cs="仿宋" w:asciiTheme="minorEastAsia" w:hAnsiTheme="minorEastAsia" w:eastAsiaTheme="minorEastAsia"/>
                        <w:kern w:val="2"/>
                        <w:sz w:val="18"/>
                        <w:szCs w:val="18"/>
                        <w:lang w:val="en-US" w:eastAsia="zh-CN" w:bidi="ar-SA"/>
                      </w:rPr>
                    </w:pPr>
                    <w:r>
                      <w:rPr>
                        <w:rFonts w:hint="eastAsia" w:cs="仿宋" w:asciiTheme="minorEastAsia" w:hAnsiTheme="minorEastAsia" w:eastAsiaTheme="minorEastAsia"/>
                        <w:kern w:val="2"/>
                        <w:sz w:val="18"/>
                        <w:szCs w:val="18"/>
                        <w:lang w:val="en-US" w:eastAsia="zh-CN" w:bidi="ar-SA"/>
                      </w:rPr>
                      <w:t xml:space="preserve">第 </w:t>
                    </w:r>
                    <w:r>
                      <w:rPr>
                        <w:rFonts w:hint="eastAsia" w:cs="仿宋" w:asciiTheme="minorEastAsia" w:hAnsiTheme="minorEastAsia" w:eastAsiaTheme="minorEastAsia"/>
                        <w:kern w:val="2"/>
                        <w:sz w:val="18"/>
                        <w:szCs w:val="18"/>
                        <w:lang w:val="en-US" w:eastAsia="zh-CN" w:bidi="ar-SA"/>
                      </w:rPr>
                      <w:fldChar w:fldCharType="begin"/>
                    </w:r>
                    <w:r>
                      <w:rPr>
                        <w:rFonts w:hint="eastAsia" w:cs="仿宋" w:asciiTheme="minorEastAsia" w:hAnsiTheme="minorEastAsia" w:eastAsiaTheme="minorEastAsia"/>
                        <w:kern w:val="2"/>
                        <w:sz w:val="18"/>
                        <w:szCs w:val="18"/>
                        <w:lang w:val="en-US" w:eastAsia="zh-CN" w:bidi="ar-SA"/>
                      </w:rPr>
                      <w:instrText xml:space="preserve"> PAGE  \* MERGEFORMAT </w:instrText>
                    </w:r>
                    <w:r>
                      <w:rPr>
                        <w:rFonts w:hint="eastAsia" w:cs="仿宋" w:asciiTheme="minorEastAsia" w:hAnsiTheme="minorEastAsia" w:eastAsiaTheme="minorEastAsia"/>
                        <w:kern w:val="2"/>
                        <w:sz w:val="18"/>
                        <w:szCs w:val="18"/>
                        <w:lang w:val="en-US" w:eastAsia="zh-CN" w:bidi="ar-SA"/>
                      </w:rPr>
                      <w:fldChar w:fldCharType="separate"/>
                    </w:r>
                    <w:r>
                      <w:rPr>
                        <w:rFonts w:hint="eastAsia" w:cs="仿宋" w:asciiTheme="minorEastAsia" w:hAnsiTheme="minorEastAsia" w:eastAsiaTheme="minorEastAsia"/>
                        <w:kern w:val="2"/>
                        <w:sz w:val="18"/>
                        <w:szCs w:val="18"/>
                        <w:lang w:val="en-US" w:eastAsia="zh-CN" w:bidi="ar-SA"/>
                      </w:rPr>
                      <w:t>30</w:t>
                    </w:r>
                    <w:r>
                      <w:rPr>
                        <w:rFonts w:hint="eastAsia" w:cs="仿宋" w:asciiTheme="minorEastAsia" w:hAnsiTheme="minorEastAsia" w:eastAsiaTheme="minorEastAsia"/>
                        <w:kern w:val="2"/>
                        <w:sz w:val="18"/>
                        <w:szCs w:val="18"/>
                        <w:lang w:val="en-US" w:eastAsia="zh-CN" w:bidi="ar-SA"/>
                      </w:rPr>
                      <w:fldChar w:fldCharType="end"/>
                    </w:r>
                    <w:r>
                      <w:rPr>
                        <w:rFonts w:hint="eastAsia" w:cs="仿宋" w:asciiTheme="minorEastAsia" w:hAnsiTheme="minorEastAsia" w:eastAsiaTheme="minorEastAsia"/>
                        <w:kern w:val="2"/>
                        <w:sz w:val="18"/>
                        <w:szCs w:val="18"/>
                        <w:lang w:val="en-US" w:eastAsia="zh-CN" w:bidi="ar-SA"/>
                      </w:rPr>
                      <w:t xml:space="preserve"> 页 共96页</w:t>
                    </w:r>
                  </w:p>
                </w:txbxContent>
              </v:textbox>
            </v:shape>
          </w:pict>
        </mc:Fallback>
      </mc:AlternateContent>
    </w:r>
    <w:r>
      <w:rPr>
        <w:rFonts w:hint="eastAsia" w:ascii="Arial"/>
        <w:sz w:val="2"/>
        <w:lang w:eastAsia="zh-CN"/>
      </w:rPr>
      <w:t>陕西天沃工程项目管理有限公司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center"/>
      <w:rPr>
        <w:rFonts w:cs="宋体"/>
      </w:rPr>
    </w:pPr>
    <w:r>
      <w:rPr>
        <w:rFonts w:hint="eastAsia" w:cs="宋体"/>
        <w:lang w:eastAsia="zh-CN"/>
      </w:rPr>
      <w:t>西咸新区泾河新城第四小学2024年设备续采项目</w:t>
    </w:r>
    <w:r>
      <w:rPr>
        <w:rFonts w:hint="eastAsia" w:cs="宋体"/>
        <w:lang w:val="en-US" w:eastAsia="zh-CN"/>
      </w:rPr>
      <w:t xml:space="preserve">                                            </w:t>
    </w:r>
    <w:r>
      <w:rPr>
        <w:rFonts w:hint="eastAsia" w:cs="宋体"/>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F4820"/>
    <w:multiLevelType w:val="singleLevel"/>
    <w:tmpl w:val="DA4F4820"/>
    <w:lvl w:ilvl="0" w:tentative="0">
      <w:start w:val="2"/>
      <w:numFmt w:val="decimal"/>
      <w:suff w:val="space"/>
      <w:lvlText w:val="%1、"/>
      <w:lvlJc w:val="left"/>
      <w:pPr>
        <w:ind w:left="600" w:firstLine="0"/>
      </w:pPr>
    </w:lvl>
  </w:abstractNum>
  <w:abstractNum w:abstractNumId="1">
    <w:nsid w:val="E425ED71"/>
    <w:multiLevelType w:val="singleLevel"/>
    <w:tmpl w:val="E425ED71"/>
    <w:lvl w:ilvl="0" w:tentative="0">
      <w:start w:val="1"/>
      <w:numFmt w:val="chineseCounting"/>
      <w:suff w:val="nothing"/>
      <w:lvlText w:val="%1、"/>
      <w:lvlJc w:val="left"/>
      <w:rPr>
        <w:rFonts w:hint="eastAsia"/>
      </w:rPr>
    </w:lvl>
  </w:abstractNum>
  <w:abstractNum w:abstractNumId="2">
    <w:nsid w:val="FC0AC005"/>
    <w:multiLevelType w:val="singleLevel"/>
    <w:tmpl w:val="FC0AC005"/>
    <w:lvl w:ilvl="0" w:tentative="0">
      <w:start w:val="1"/>
      <w:numFmt w:val="decimal"/>
      <w:lvlText w:val="%1."/>
      <w:lvlJc w:val="left"/>
      <w:pPr>
        <w:tabs>
          <w:tab w:val="left" w:pos="312"/>
        </w:tabs>
      </w:pPr>
    </w:lvl>
  </w:abstractNum>
  <w:abstractNum w:abstractNumId="3">
    <w:nsid w:val="14B66CD3"/>
    <w:multiLevelType w:val="singleLevel"/>
    <w:tmpl w:val="14B66CD3"/>
    <w:lvl w:ilvl="0" w:tentative="0">
      <w:start w:val="1"/>
      <w:numFmt w:val="chineseCounting"/>
      <w:suff w:val="nothing"/>
      <w:lvlText w:val="%1、"/>
      <w:lvlJc w:val="left"/>
      <w:pPr>
        <w:ind w:left="1089"/>
      </w:pPr>
      <w:rPr>
        <w:rFonts w:hint="eastAsia"/>
      </w:rPr>
    </w:lvl>
  </w:abstractNum>
  <w:abstractNum w:abstractNumId="4">
    <w:nsid w:val="1F3C67F8"/>
    <w:multiLevelType w:val="singleLevel"/>
    <w:tmpl w:val="1F3C67F8"/>
    <w:lvl w:ilvl="0" w:tentative="0">
      <w:start w:val="1"/>
      <w:numFmt w:val="decimal"/>
      <w:suff w:val="nothing"/>
      <w:lvlText w:val="%1、"/>
      <w:lvlJc w:val="left"/>
      <w:pPr>
        <w:ind w:left="-48"/>
      </w:pPr>
    </w:lvl>
  </w:abstractNum>
  <w:abstractNum w:abstractNumId="5">
    <w:nsid w:val="23B22A7C"/>
    <w:multiLevelType w:val="multilevel"/>
    <w:tmpl w:val="23B22A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85810D"/>
    <w:multiLevelType w:val="singleLevel"/>
    <w:tmpl w:val="2C85810D"/>
    <w:lvl w:ilvl="0" w:tentative="0">
      <w:start w:val="1"/>
      <w:numFmt w:val="decimal"/>
      <w:suff w:val="space"/>
      <w:lvlText w:val="%1."/>
      <w:lvlJc w:val="left"/>
    </w:lvl>
  </w:abstractNum>
  <w:abstractNum w:abstractNumId="8">
    <w:nsid w:val="2E2861B5"/>
    <w:multiLevelType w:val="multilevel"/>
    <w:tmpl w:val="2E2861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B25AF4"/>
    <w:multiLevelType w:val="singleLevel"/>
    <w:tmpl w:val="59B25AF4"/>
    <w:lvl w:ilvl="0" w:tentative="0">
      <w:start w:val="1"/>
      <w:numFmt w:val="decimal"/>
      <w:suff w:val="nothing"/>
      <w:lvlText w:val="（%1）"/>
      <w:lvlJc w:val="left"/>
    </w:lvl>
  </w:abstractNum>
  <w:abstractNum w:abstractNumId="10">
    <w:nsid w:val="5B0CE37E"/>
    <w:multiLevelType w:val="singleLevel"/>
    <w:tmpl w:val="5B0CE37E"/>
    <w:lvl w:ilvl="0" w:tentative="0">
      <w:start w:val="1"/>
      <w:numFmt w:val="decimal"/>
      <w:suff w:val="nothing"/>
      <w:lvlText w:val="%1、"/>
      <w:lvlJc w:val="left"/>
    </w:lvl>
  </w:abstractNum>
  <w:num w:numId="1">
    <w:abstractNumId w:val="7"/>
  </w:num>
  <w:num w:numId="2">
    <w:abstractNumId w:val="4"/>
  </w:num>
  <w:num w:numId="3">
    <w:abstractNumId w:val="1"/>
  </w:num>
  <w:num w:numId="4">
    <w:abstractNumId w:val="9"/>
  </w:num>
  <w:num w:numId="5">
    <w:abstractNumId w:val="6"/>
  </w:num>
  <w:num w:numId="6">
    <w:abstractNumId w:val="2"/>
  </w:num>
  <w:num w:numId="7">
    <w:abstractNumId w:val="5"/>
  </w:num>
  <w:num w:numId="8">
    <w:abstractNumId w:val="8"/>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zZmQ0ZDk5YzU0YjllNTdjMTBiZDMxYTg3ZmM2YmYifQ=="/>
  </w:docVars>
  <w:rsids>
    <w:rsidRoot w:val="11975DCD"/>
    <w:rsid w:val="000033C6"/>
    <w:rsid w:val="00006272"/>
    <w:rsid w:val="0007760C"/>
    <w:rsid w:val="000A3DFB"/>
    <w:rsid w:val="00127154"/>
    <w:rsid w:val="0017633A"/>
    <w:rsid w:val="00177C7C"/>
    <w:rsid w:val="00190A7F"/>
    <w:rsid w:val="001918DB"/>
    <w:rsid w:val="001B19AE"/>
    <w:rsid w:val="001E254C"/>
    <w:rsid w:val="001E6DBE"/>
    <w:rsid w:val="001E6E6F"/>
    <w:rsid w:val="00221ABD"/>
    <w:rsid w:val="00225E99"/>
    <w:rsid w:val="002304E3"/>
    <w:rsid w:val="0028382D"/>
    <w:rsid w:val="002974AC"/>
    <w:rsid w:val="002E765E"/>
    <w:rsid w:val="003038B0"/>
    <w:rsid w:val="00304485"/>
    <w:rsid w:val="003243CD"/>
    <w:rsid w:val="00337586"/>
    <w:rsid w:val="00347620"/>
    <w:rsid w:val="00375576"/>
    <w:rsid w:val="003850F3"/>
    <w:rsid w:val="003E1814"/>
    <w:rsid w:val="003E22F2"/>
    <w:rsid w:val="003E495B"/>
    <w:rsid w:val="00412C27"/>
    <w:rsid w:val="004247C0"/>
    <w:rsid w:val="00426F46"/>
    <w:rsid w:val="004A1D3A"/>
    <w:rsid w:val="004F027F"/>
    <w:rsid w:val="00504B0B"/>
    <w:rsid w:val="00525863"/>
    <w:rsid w:val="005A7E17"/>
    <w:rsid w:val="005C6E0D"/>
    <w:rsid w:val="005D4E7B"/>
    <w:rsid w:val="005D6164"/>
    <w:rsid w:val="0061072A"/>
    <w:rsid w:val="00614990"/>
    <w:rsid w:val="00615DD6"/>
    <w:rsid w:val="006336E5"/>
    <w:rsid w:val="0066012D"/>
    <w:rsid w:val="006771E6"/>
    <w:rsid w:val="00682640"/>
    <w:rsid w:val="006854B7"/>
    <w:rsid w:val="006864FC"/>
    <w:rsid w:val="0068762B"/>
    <w:rsid w:val="00690ED3"/>
    <w:rsid w:val="006A2EA6"/>
    <w:rsid w:val="006A46C5"/>
    <w:rsid w:val="00720331"/>
    <w:rsid w:val="007226E5"/>
    <w:rsid w:val="00772A79"/>
    <w:rsid w:val="007740DF"/>
    <w:rsid w:val="007811C1"/>
    <w:rsid w:val="007F0909"/>
    <w:rsid w:val="0080610B"/>
    <w:rsid w:val="00834EBE"/>
    <w:rsid w:val="0084339E"/>
    <w:rsid w:val="008E317F"/>
    <w:rsid w:val="009435BC"/>
    <w:rsid w:val="009A2CDE"/>
    <w:rsid w:val="009B359D"/>
    <w:rsid w:val="009C2281"/>
    <w:rsid w:val="009C5796"/>
    <w:rsid w:val="009D64D0"/>
    <w:rsid w:val="009E20C6"/>
    <w:rsid w:val="00A13C08"/>
    <w:rsid w:val="00A23FE0"/>
    <w:rsid w:val="00A364B9"/>
    <w:rsid w:val="00A364C1"/>
    <w:rsid w:val="00AF73DD"/>
    <w:rsid w:val="00B00BE7"/>
    <w:rsid w:val="00B02F36"/>
    <w:rsid w:val="00B03CD7"/>
    <w:rsid w:val="00B047A9"/>
    <w:rsid w:val="00B16B49"/>
    <w:rsid w:val="00B4195B"/>
    <w:rsid w:val="00B54920"/>
    <w:rsid w:val="00B54A08"/>
    <w:rsid w:val="00BB21B0"/>
    <w:rsid w:val="00BD6C8A"/>
    <w:rsid w:val="00BE5D57"/>
    <w:rsid w:val="00BF5933"/>
    <w:rsid w:val="00C3724F"/>
    <w:rsid w:val="00C40B79"/>
    <w:rsid w:val="00C45E4D"/>
    <w:rsid w:val="00C661B1"/>
    <w:rsid w:val="00C82E7E"/>
    <w:rsid w:val="00C85F20"/>
    <w:rsid w:val="00CA238E"/>
    <w:rsid w:val="00CB3023"/>
    <w:rsid w:val="00D16492"/>
    <w:rsid w:val="00D40D69"/>
    <w:rsid w:val="00D70B52"/>
    <w:rsid w:val="00D73868"/>
    <w:rsid w:val="00D77ED5"/>
    <w:rsid w:val="00D801C1"/>
    <w:rsid w:val="00DA4B20"/>
    <w:rsid w:val="00DB417D"/>
    <w:rsid w:val="00DC6F52"/>
    <w:rsid w:val="00DC7B0D"/>
    <w:rsid w:val="00E04C39"/>
    <w:rsid w:val="00E24CA2"/>
    <w:rsid w:val="00E71E33"/>
    <w:rsid w:val="00EB7E1E"/>
    <w:rsid w:val="00EC07AF"/>
    <w:rsid w:val="00F011DC"/>
    <w:rsid w:val="00F40309"/>
    <w:rsid w:val="00F45C3C"/>
    <w:rsid w:val="00F75E00"/>
    <w:rsid w:val="00F96121"/>
    <w:rsid w:val="00FA15EA"/>
    <w:rsid w:val="00FB2B1F"/>
    <w:rsid w:val="00FD01F0"/>
    <w:rsid w:val="00FD2BA3"/>
    <w:rsid w:val="00FD34C0"/>
    <w:rsid w:val="00FF7E79"/>
    <w:rsid w:val="011D2710"/>
    <w:rsid w:val="01246253"/>
    <w:rsid w:val="013C690E"/>
    <w:rsid w:val="014A4B87"/>
    <w:rsid w:val="014B3CE9"/>
    <w:rsid w:val="015159C7"/>
    <w:rsid w:val="0156352C"/>
    <w:rsid w:val="0165136C"/>
    <w:rsid w:val="01C54B55"/>
    <w:rsid w:val="01EE5E5A"/>
    <w:rsid w:val="020531A4"/>
    <w:rsid w:val="02104022"/>
    <w:rsid w:val="02223D56"/>
    <w:rsid w:val="02535CBD"/>
    <w:rsid w:val="0256135A"/>
    <w:rsid w:val="026303E3"/>
    <w:rsid w:val="026C5261"/>
    <w:rsid w:val="02926D31"/>
    <w:rsid w:val="02BC1AB4"/>
    <w:rsid w:val="02C646E1"/>
    <w:rsid w:val="02CF3ED5"/>
    <w:rsid w:val="02E5725D"/>
    <w:rsid w:val="02F4124E"/>
    <w:rsid w:val="02F474A0"/>
    <w:rsid w:val="030516AD"/>
    <w:rsid w:val="0317318F"/>
    <w:rsid w:val="032C7F13"/>
    <w:rsid w:val="03353615"/>
    <w:rsid w:val="033631ED"/>
    <w:rsid w:val="035B236E"/>
    <w:rsid w:val="036F4D79"/>
    <w:rsid w:val="03C712E2"/>
    <w:rsid w:val="04071455"/>
    <w:rsid w:val="04180F6C"/>
    <w:rsid w:val="042A6EF2"/>
    <w:rsid w:val="043F1D3E"/>
    <w:rsid w:val="04455AD9"/>
    <w:rsid w:val="046479F8"/>
    <w:rsid w:val="046C750A"/>
    <w:rsid w:val="048900BC"/>
    <w:rsid w:val="049F168E"/>
    <w:rsid w:val="04AA138F"/>
    <w:rsid w:val="04C609C8"/>
    <w:rsid w:val="04DF5F2E"/>
    <w:rsid w:val="051F459A"/>
    <w:rsid w:val="05340028"/>
    <w:rsid w:val="0539563E"/>
    <w:rsid w:val="057A17B3"/>
    <w:rsid w:val="05AA02EA"/>
    <w:rsid w:val="05D60202"/>
    <w:rsid w:val="05E778DD"/>
    <w:rsid w:val="06113898"/>
    <w:rsid w:val="0636392C"/>
    <w:rsid w:val="06681D4A"/>
    <w:rsid w:val="066A7A79"/>
    <w:rsid w:val="066B6C2E"/>
    <w:rsid w:val="067A4160"/>
    <w:rsid w:val="06862B05"/>
    <w:rsid w:val="06CD2A07"/>
    <w:rsid w:val="06DC7BF8"/>
    <w:rsid w:val="072639A0"/>
    <w:rsid w:val="075F5DE8"/>
    <w:rsid w:val="078D720C"/>
    <w:rsid w:val="07A915E3"/>
    <w:rsid w:val="07B94814"/>
    <w:rsid w:val="07C5765D"/>
    <w:rsid w:val="07E311E1"/>
    <w:rsid w:val="08733DD1"/>
    <w:rsid w:val="08744BDF"/>
    <w:rsid w:val="087E7F9A"/>
    <w:rsid w:val="088C1F29"/>
    <w:rsid w:val="0890141F"/>
    <w:rsid w:val="08A234FA"/>
    <w:rsid w:val="08C2594B"/>
    <w:rsid w:val="08C416C3"/>
    <w:rsid w:val="08FA104A"/>
    <w:rsid w:val="09077801"/>
    <w:rsid w:val="09842C00"/>
    <w:rsid w:val="098B3F8E"/>
    <w:rsid w:val="09E65669"/>
    <w:rsid w:val="0A081D5A"/>
    <w:rsid w:val="0A3C5491"/>
    <w:rsid w:val="0A575703"/>
    <w:rsid w:val="0AA23C86"/>
    <w:rsid w:val="0AA55524"/>
    <w:rsid w:val="0ACA6E10"/>
    <w:rsid w:val="0AD120A5"/>
    <w:rsid w:val="0B0E30C9"/>
    <w:rsid w:val="0B2854DC"/>
    <w:rsid w:val="0B420FC5"/>
    <w:rsid w:val="0B485D8F"/>
    <w:rsid w:val="0B725406"/>
    <w:rsid w:val="0B984EA0"/>
    <w:rsid w:val="0BD47E6F"/>
    <w:rsid w:val="0BF63FFA"/>
    <w:rsid w:val="0C14470F"/>
    <w:rsid w:val="0C1A784C"/>
    <w:rsid w:val="0C7930D1"/>
    <w:rsid w:val="0C8C0749"/>
    <w:rsid w:val="0C8F0E0E"/>
    <w:rsid w:val="0CC04897"/>
    <w:rsid w:val="0D0B5B12"/>
    <w:rsid w:val="0D1129FD"/>
    <w:rsid w:val="0D2758D8"/>
    <w:rsid w:val="0D4B2512"/>
    <w:rsid w:val="0D73125D"/>
    <w:rsid w:val="0D86163D"/>
    <w:rsid w:val="0D9F70BA"/>
    <w:rsid w:val="0DA04024"/>
    <w:rsid w:val="0DA148D9"/>
    <w:rsid w:val="0DBF69E3"/>
    <w:rsid w:val="0DC52BE4"/>
    <w:rsid w:val="0DD95C10"/>
    <w:rsid w:val="0E084E96"/>
    <w:rsid w:val="0E0E478B"/>
    <w:rsid w:val="0E2A1FC8"/>
    <w:rsid w:val="0E323572"/>
    <w:rsid w:val="0E3F3599"/>
    <w:rsid w:val="0E5D18A0"/>
    <w:rsid w:val="0E5E1C72"/>
    <w:rsid w:val="0E683E02"/>
    <w:rsid w:val="0E7C47EE"/>
    <w:rsid w:val="0EA24254"/>
    <w:rsid w:val="0EA37073"/>
    <w:rsid w:val="0EAC3092"/>
    <w:rsid w:val="0EB2020F"/>
    <w:rsid w:val="0ECD1A9D"/>
    <w:rsid w:val="0ED675B0"/>
    <w:rsid w:val="0F046CBD"/>
    <w:rsid w:val="0F474DFC"/>
    <w:rsid w:val="0F515C7A"/>
    <w:rsid w:val="0F56503F"/>
    <w:rsid w:val="0F6459AD"/>
    <w:rsid w:val="0F706100"/>
    <w:rsid w:val="0F9A2F3D"/>
    <w:rsid w:val="0FCE1079"/>
    <w:rsid w:val="10022AD1"/>
    <w:rsid w:val="100B3384"/>
    <w:rsid w:val="10120910"/>
    <w:rsid w:val="101E5B5C"/>
    <w:rsid w:val="108300B5"/>
    <w:rsid w:val="10836FD3"/>
    <w:rsid w:val="109D3F3A"/>
    <w:rsid w:val="11162CD7"/>
    <w:rsid w:val="111927C8"/>
    <w:rsid w:val="11286567"/>
    <w:rsid w:val="112E0021"/>
    <w:rsid w:val="112E6273"/>
    <w:rsid w:val="11551A52"/>
    <w:rsid w:val="116002DE"/>
    <w:rsid w:val="116E664B"/>
    <w:rsid w:val="117C2B9D"/>
    <w:rsid w:val="118966C6"/>
    <w:rsid w:val="118E286E"/>
    <w:rsid w:val="11951E4E"/>
    <w:rsid w:val="11975DCD"/>
    <w:rsid w:val="11994F77"/>
    <w:rsid w:val="11A2456B"/>
    <w:rsid w:val="11A26319"/>
    <w:rsid w:val="11B43EFD"/>
    <w:rsid w:val="11BD63D9"/>
    <w:rsid w:val="11C12FBA"/>
    <w:rsid w:val="11C646FD"/>
    <w:rsid w:val="11C763DD"/>
    <w:rsid w:val="11DF1890"/>
    <w:rsid w:val="11E132E5"/>
    <w:rsid w:val="11FA43A7"/>
    <w:rsid w:val="1202502D"/>
    <w:rsid w:val="12080890"/>
    <w:rsid w:val="1209283C"/>
    <w:rsid w:val="12135469"/>
    <w:rsid w:val="12174F59"/>
    <w:rsid w:val="122D02D9"/>
    <w:rsid w:val="1231570E"/>
    <w:rsid w:val="12641821"/>
    <w:rsid w:val="126B0E01"/>
    <w:rsid w:val="126D2DCB"/>
    <w:rsid w:val="12B5207C"/>
    <w:rsid w:val="12BF3420"/>
    <w:rsid w:val="12CF1390"/>
    <w:rsid w:val="12E070F9"/>
    <w:rsid w:val="12E64A45"/>
    <w:rsid w:val="12FF165E"/>
    <w:rsid w:val="13051255"/>
    <w:rsid w:val="130F1070"/>
    <w:rsid w:val="134A5570"/>
    <w:rsid w:val="13581385"/>
    <w:rsid w:val="13637D2A"/>
    <w:rsid w:val="13641842"/>
    <w:rsid w:val="138A76EB"/>
    <w:rsid w:val="139D323C"/>
    <w:rsid w:val="13B32A60"/>
    <w:rsid w:val="13D6674E"/>
    <w:rsid w:val="13E250F3"/>
    <w:rsid w:val="13F07810"/>
    <w:rsid w:val="13FB7F63"/>
    <w:rsid w:val="14847F58"/>
    <w:rsid w:val="148D505F"/>
    <w:rsid w:val="14BF1A72"/>
    <w:rsid w:val="14CB5B87"/>
    <w:rsid w:val="14D507EA"/>
    <w:rsid w:val="14EA1102"/>
    <w:rsid w:val="15003A82"/>
    <w:rsid w:val="150D2643"/>
    <w:rsid w:val="155E4C4D"/>
    <w:rsid w:val="15CC1BB7"/>
    <w:rsid w:val="15D53ED6"/>
    <w:rsid w:val="15FF01DE"/>
    <w:rsid w:val="16105F47"/>
    <w:rsid w:val="1674297A"/>
    <w:rsid w:val="16866209"/>
    <w:rsid w:val="168D7598"/>
    <w:rsid w:val="168E3310"/>
    <w:rsid w:val="16AF39B2"/>
    <w:rsid w:val="16C14056"/>
    <w:rsid w:val="17045380"/>
    <w:rsid w:val="17977A93"/>
    <w:rsid w:val="17BD20FF"/>
    <w:rsid w:val="17BE0565"/>
    <w:rsid w:val="17C049E4"/>
    <w:rsid w:val="17D66D1D"/>
    <w:rsid w:val="17F13B56"/>
    <w:rsid w:val="17FB0CF5"/>
    <w:rsid w:val="17FF2717"/>
    <w:rsid w:val="18047D2E"/>
    <w:rsid w:val="182269B6"/>
    <w:rsid w:val="18273A1C"/>
    <w:rsid w:val="18494721"/>
    <w:rsid w:val="184B07E5"/>
    <w:rsid w:val="186D63A9"/>
    <w:rsid w:val="18721BFE"/>
    <w:rsid w:val="18743C88"/>
    <w:rsid w:val="18770844"/>
    <w:rsid w:val="18846AA3"/>
    <w:rsid w:val="189C28CC"/>
    <w:rsid w:val="18E15979"/>
    <w:rsid w:val="18E51F04"/>
    <w:rsid w:val="18EC71F7"/>
    <w:rsid w:val="192F68DB"/>
    <w:rsid w:val="1934019F"/>
    <w:rsid w:val="194859F8"/>
    <w:rsid w:val="197E141A"/>
    <w:rsid w:val="1981143D"/>
    <w:rsid w:val="19A7780A"/>
    <w:rsid w:val="19B25BFD"/>
    <w:rsid w:val="19B65058"/>
    <w:rsid w:val="19CC0E30"/>
    <w:rsid w:val="19D84590"/>
    <w:rsid w:val="19E5593D"/>
    <w:rsid w:val="19F41052"/>
    <w:rsid w:val="19F90CBD"/>
    <w:rsid w:val="1A023DF9"/>
    <w:rsid w:val="1A0555FA"/>
    <w:rsid w:val="1A37709D"/>
    <w:rsid w:val="1A441C67"/>
    <w:rsid w:val="1A5A3C35"/>
    <w:rsid w:val="1A5F749D"/>
    <w:rsid w:val="1A6525DA"/>
    <w:rsid w:val="1A7A6085"/>
    <w:rsid w:val="1A7B1208"/>
    <w:rsid w:val="1A8A5405"/>
    <w:rsid w:val="1AAB244B"/>
    <w:rsid w:val="1AB60F97"/>
    <w:rsid w:val="1AD67034"/>
    <w:rsid w:val="1AE25A13"/>
    <w:rsid w:val="1B1464DA"/>
    <w:rsid w:val="1B1B4F22"/>
    <w:rsid w:val="1B1E2EB4"/>
    <w:rsid w:val="1B3E1DB1"/>
    <w:rsid w:val="1B5300D1"/>
    <w:rsid w:val="1B5F527B"/>
    <w:rsid w:val="1B6805D3"/>
    <w:rsid w:val="1B925650"/>
    <w:rsid w:val="1BB630ED"/>
    <w:rsid w:val="1BB92589"/>
    <w:rsid w:val="1BC75073"/>
    <w:rsid w:val="1BF17928"/>
    <w:rsid w:val="1BFC2ACA"/>
    <w:rsid w:val="1BFE6842"/>
    <w:rsid w:val="1C381D54"/>
    <w:rsid w:val="1C3D55BC"/>
    <w:rsid w:val="1C40004C"/>
    <w:rsid w:val="1C46617C"/>
    <w:rsid w:val="1C5B1EE6"/>
    <w:rsid w:val="1C7B7E93"/>
    <w:rsid w:val="1CD5276D"/>
    <w:rsid w:val="1CDD1DDA"/>
    <w:rsid w:val="1CE2139F"/>
    <w:rsid w:val="1CED4D9A"/>
    <w:rsid w:val="1CFD2DEB"/>
    <w:rsid w:val="1CFD4D4B"/>
    <w:rsid w:val="1CFD77DD"/>
    <w:rsid w:val="1CFF2872"/>
    <w:rsid w:val="1D180B11"/>
    <w:rsid w:val="1D1F1166"/>
    <w:rsid w:val="1D291FE4"/>
    <w:rsid w:val="1D303373"/>
    <w:rsid w:val="1D3E15EC"/>
    <w:rsid w:val="1D440BCC"/>
    <w:rsid w:val="1D5C5F16"/>
    <w:rsid w:val="1D632E00"/>
    <w:rsid w:val="1DB06C26"/>
    <w:rsid w:val="1DB93368"/>
    <w:rsid w:val="1DE2466D"/>
    <w:rsid w:val="1DE657E0"/>
    <w:rsid w:val="1E0345E3"/>
    <w:rsid w:val="1E0D609F"/>
    <w:rsid w:val="1E370F6E"/>
    <w:rsid w:val="1E3E386E"/>
    <w:rsid w:val="1E41058F"/>
    <w:rsid w:val="1E4F7829"/>
    <w:rsid w:val="1E7827D7"/>
    <w:rsid w:val="1E82430E"/>
    <w:rsid w:val="1E827BFE"/>
    <w:rsid w:val="1E854EF6"/>
    <w:rsid w:val="1E8A0861"/>
    <w:rsid w:val="1E90231B"/>
    <w:rsid w:val="1EA062D6"/>
    <w:rsid w:val="1EA136A4"/>
    <w:rsid w:val="1EA6344A"/>
    <w:rsid w:val="1EA9518B"/>
    <w:rsid w:val="1EC100F7"/>
    <w:rsid w:val="1ED02718"/>
    <w:rsid w:val="1EDE0DC9"/>
    <w:rsid w:val="1EFB0FF7"/>
    <w:rsid w:val="1F016233"/>
    <w:rsid w:val="1F0839F5"/>
    <w:rsid w:val="1F483CAE"/>
    <w:rsid w:val="1F58270D"/>
    <w:rsid w:val="1F681955"/>
    <w:rsid w:val="1F96384E"/>
    <w:rsid w:val="1FA94D17"/>
    <w:rsid w:val="1FBF453A"/>
    <w:rsid w:val="1FC41516"/>
    <w:rsid w:val="1FCD0C41"/>
    <w:rsid w:val="1FE65F6B"/>
    <w:rsid w:val="20407429"/>
    <w:rsid w:val="205D3479"/>
    <w:rsid w:val="205D59B9"/>
    <w:rsid w:val="20B00A53"/>
    <w:rsid w:val="20DF30E6"/>
    <w:rsid w:val="20EE157B"/>
    <w:rsid w:val="21091F11"/>
    <w:rsid w:val="210E7DC4"/>
    <w:rsid w:val="211A2370"/>
    <w:rsid w:val="21375068"/>
    <w:rsid w:val="213827F6"/>
    <w:rsid w:val="217F21D3"/>
    <w:rsid w:val="218A7747"/>
    <w:rsid w:val="21CB18BC"/>
    <w:rsid w:val="21F229A5"/>
    <w:rsid w:val="2208666C"/>
    <w:rsid w:val="22673393"/>
    <w:rsid w:val="227A1204"/>
    <w:rsid w:val="2282102E"/>
    <w:rsid w:val="228850B7"/>
    <w:rsid w:val="22A75E85"/>
    <w:rsid w:val="22B45EAC"/>
    <w:rsid w:val="22C500B9"/>
    <w:rsid w:val="22E22A19"/>
    <w:rsid w:val="22F4274D"/>
    <w:rsid w:val="23030CDE"/>
    <w:rsid w:val="2305495A"/>
    <w:rsid w:val="230C5B45"/>
    <w:rsid w:val="232402E6"/>
    <w:rsid w:val="232474D6"/>
    <w:rsid w:val="233921C6"/>
    <w:rsid w:val="23566F63"/>
    <w:rsid w:val="237C132F"/>
    <w:rsid w:val="239301B8"/>
    <w:rsid w:val="23931162"/>
    <w:rsid w:val="23B57EEF"/>
    <w:rsid w:val="23B720F8"/>
    <w:rsid w:val="23BC770E"/>
    <w:rsid w:val="23CD5478"/>
    <w:rsid w:val="23F90398"/>
    <w:rsid w:val="244D0366"/>
    <w:rsid w:val="24507394"/>
    <w:rsid w:val="24581139"/>
    <w:rsid w:val="246062EC"/>
    <w:rsid w:val="247B1377"/>
    <w:rsid w:val="248B0E8F"/>
    <w:rsid w:val="249D12EE"/>
    <w:rsid w:val="24D63021"/>
    <w:rsid w:val="24D75511"/>
    <w:rsid w:val="24FE5B05"/>
    <w:rsid w:val="25113D95"/>
    <w:rsid w:val="256552FA"/>
    <w:rsid w:val="25781413"/>
    <w:rsid w:val="25C24D84"/>
    <w:rsid w:val="25C7239A"/>
    <w:rsid w:val="25D157F3"/>
    <w:rsid w:val="25E847EB"/>
    <w:rsid w:val="25F62C69"/>
    <w:rsid w:val="261F3F85"/>
    <w:rsid w:val="26323CB8"/>
    <w:rsid w:val="26361E29"/>
    <w:rsid w:val="265F3C06"/>
    <w:rsid w:val="266B0F78"/>
    <w:rsid w:val="267E6EFD"/>
    <w:rsid w:val="26A050C5"/>
    <w:rsid w:val="26A83F7A"/>
    <w:rsid w:val="26B80661"/>
    <w:rsid w:val="26B97F35"/>
    <w:rsid w:val="26D7660D"/>
    <w:rsid w:val="26F40F6D"/>
    <w:rsid w:val="26F86CAF"/>
    <w:rsid w:val="270D202F"/>
    <w:rsid w:val="273B094A"/>
    <w:rsid w:val="276F4A98"/>
    <w:rsid w:val="27773435"/>
    <w:rsid w:val="27781B9E"/>
    <w:rsid w:val="277F2F2D"/>
    <w:rsid w:val="27912C60"/>
    <w:rsid w:val="27987C12"/>
    <w:rsid w:val="27C035C2"/>
    <w:rsid w:val="27EB411E"/>
    <w:rsid w:val="27F4193C"/>
    <w:rsid w:val="28101DD7"/>
    <w:rsid w:val="285807C8"/>
    <w:rsid w:val="2876311D"/>
    <w:rsid w:val="288442E0"/>
    <w:rsid w:val="28B07116"/>
    <w:rsid w:val="28C610C5"/>
    <w:rsid w:val="28D70B46"/>
    <w:rsid w:val="28EB63A0"/>
    <w:rsid w:val="28EC2844"/>
    <w:rsid w:val="28ED7FCB"/>
    <w:rsid w:val="28F43F3F"/>
    <w:rsid w:val="29121CB1"/>
    <w:rsid w:val="29324B60"/>
    <w:rsid w:val="293B10D5"/>
    <w:rsid w:val="29656152"/>
    <w:rsid w:val="297E0FC2"/>
    <w:rsid w:val="298B6D36"/>
    <w:rsid w:val="29915199"/>
    <w:rsid w:val="29A25953"/>
    <w:rsid w:val="29A7676B"/>
    <w:rsid w:val="29B11398"/>
    <w:rsid w:val="29B34902"/>
    <w:rsid w:val="29C55971"/>
    <w:rsid w:val="29FA689B"/>
    <w:rsid w:val="2A070FB7"/>
    <w:rsid w:val="2A3F0751"/>
    <w:rsid w:val="2A4144C9"/>
    <w:rsid w:val="2A4B359A"/>
    <w:rsid w:val="2A4E308A"/>
    <w:rsid w:val="2A7E3970"/>
    <w:rsid w:val="2A7E571E"/>
    <w:rsid w:val="2A834BA7"/>
    <w:rsid w:val="2A95006B"/>
    <w:rsid w:val="2AA9206F"/>
    <w:rsid w:val="2AF14141"/>
    <w:rsid w:val="2B057BED"/>
    <w:rsid w:val="2B1C0A93"/>
    <w:rsid w:val="2B1E0CAF"/>
    <w:rsid w:val="2B262D88"/>
    <w:rsid w:val="2B3207F8"/>
    <w:rsid w:val="2B400C25"/>
    <w:rsid w:val="2B563FA5"/>
    <w:rsid w:val="2B6F150A"/>
    <w:rsid w:val="2BA54F2C"/>
    <w:rsid w:val="2BAA609E"/>
    <w:rsid w:val="2BBB4515"/>
    <w:rsid w:val="2BE21CDC"/>
    <w:rsid w:val="2BE24656"/>
    <w:rsid w:val="2C1C51EE"/>
    <w:rsid w:val="2C2E09A7"/>
    <w:rsid w:val="2C5D5807"/>
    <w:rsid w:val="2CA43435"/>
    <w:rsid w:val="2CAE7E10"/>
    <w:rsid w:val="2CB52F4D"/>
    <w:rsid w:val="2CCA3C29"/>
    <w:rsid w:val="2CDE06F5"/>
    <w:rsid w:val="2CE101E6"/>
    <w:rsid w:val="2D1862CC"/>
    <w:rsid w:val="2D3B78F6"/>
    <w:rsid w:val="2D9B0395"/>
    <w:rsid w:val="2DB3568C"/>
    <w:rsid w:val="2DB56CC6"/>
    <w:rsid w:val="2DC45B3D"/>
    <w:rsid w:val="2DDE5EB6"/>
    <w:rsid w:val="2DE41D3C"/>
    <w:rsid w:val="2DE57862"/>
    <w:rsid w:val="2E181D6C"/>
    <w:rsid w:val="2E1A11D6"/>
    <w:rsid w:val="2E3C41E8"/>
    <w:rsid w:val="2E41718E"/>
    <w:rsid w:val="2E4875EF"/>
    <w:rsid w:val="2E652751"/>
    <w:rsid w:val="2E9C43C4"/>
    <w:rsid w:val="2EBE559C"/>
    <w:rsid w:val="2ED95383"/>
    <w:rsid w:val="2EDD678B"/>
    <w:rsid w:val="2EE67D35"/>
    <w:rsid w:val="2F0E4B96"/>
    <w:rsid w:val="2F454A5C"/>
    <w:rsid w:val="2F7013AD"/>
    <w:rsid w:val="2F925B34"/>
    <w:rsid w:val="2F9C6646"/>
    <w:rsid w:val="2FB4250F"/>
    <w:rsid w:val="2FDE6C5E"/>
    <w:rsid w:val="2FFE77BC"/>
    <w:rsid w:val="30237A49"/>
    <w:rsid w:val="3025488D"/>
    <w:rsid w:val="302B5F95"/>
    <w:rsid w:val="302F1268"/>
    <w:rsid w:val="303D5733"/>
    <w:rsid w:val="304B1FAD"/>
    <w:rsid w:val="306727B0"/>
    <w:rsid w:val="30A112E4"/>
    <w:rsid w:val="30BD0622"/>
    <w:rsid w:val="30D37A08"/>
    <w:rsid w:val="30D51E0F"/>
    <w:rsid w:val="30D85348"/>
    <w:rsid w:val="30E42053"/>
    <w:rsid w:val="30E4417A"/>
    <w:rsid w:val="30EF3F80"/>
    <w:rsid w:val="30F43C8B"/>
    <w:rsid w:val="313E3BEF"/>
    <w:rsid w:val="314825E1"/>
    <w:rsid w:val="31547E00"/>
    <w:rsid w:val="316541BC"/>
    <w:rsid w:val="31A6555A"/>
    <w:rsid w:val="31AD5F79"/>
    <w:rsid w:val="31AD6854"/>
    <w:rsid w:val="31C46AEB"/>
    <w:rsid w:val="31EC7411"/>
    <w:rsid w:val="320C360F"/>
    <w:rsid w:val="322D3496"/>
    <w:rsid w:val="32557E30"/>
    <w:rsid w:val="326954EA"/>
    <w:rsid w:val="326B6556"/>
    <w:rsid w:val="327E2663"/>
    <w:rsid w:val="32892EB1"/>
    <w:rsid w:val="32CB34CA"/>
    <w:rsid w:val="32E91BA2"/>
    <w:rsid w:val="32F26CA9"/>
    <w:rsid w:val="332000AC"/>
    <w:rsid w:val="33457624"/>
    <w:rsid w:val="33524E23"/>
    <w:rsid w:val="33585F3A"/>
    <w:rsid w:val="33752509"/>
    <w:rsid w:val="33811DDB"/>
    <w:rsid w:val="33896EE1"/>
    <w:rsid w:val="338A5133"/>
    <w:rsid w:val="33DC5277"/>
    <w:rsid w:val="33E11919"/>
    <w:rsid w:val="34015F0C"/>
    <w:rsid w:val="342F1837"/>
    <w:rsid w:val="34687E1F"/>
    <w:rsid w:val="347A51A8"/>
    <w:rsid w:val="34A51AF9"/>
    <w:rsid w:val="34CC177B"/>
    <w:rsid w:val="35151F77"/>
    <w:rsid w:val="35441312"/>
    <w:rsid w:val="355359F9"/>
    <w:rsid w:val="35845BB2"/>
    <w:rsid w:val="35903676"/>
    <w:rsid w:val="35954D78"/>
    <w:rsid w:val="35966ADA"/>
    <w:rsid w:val="35977783"/>
    <w:rsid w:val="35BF7503"/>
    <w:rsid w:val="35C0308E"/>
    <w:rsid w:val="35DD75FE"/>
    <w:rsid w:val="35E01551"/>
    <w:rsid w:val="35E32B0A"/>
    <w:rsid w:val="35ED3757"/>
    <w:rsid w:val="35FD26BC"/>
    <w:rsid w:val="3600422E"/>
    <w:rsid w:val="360F36CE"/>
    <w:rsid w:val="362C0724"/>
    <w:rsid w:val="36413AA3"/>
    <w:rsid w:val="3651018A"/>
    <w:rsid w:val="36681030"/>
    <w:rsid w:val="36721EAF"/>
    <w:rsid w:val="367C3E2C"/>
    <w:rsid w:val="367D4B1B"/>
    <w:rsid w:val="36D44917"/>
    <w:rsid w:val="36FB00F6"/>
    <w:rsid w:val="370F70BA"/>
    <w:rsid w:val="37126588"/>
    <w:rsid w:val="372141AB"/>
    <w:rsid w:val="37296A11"/>
    <w:rsid w:val="375B29B7"/>
    <w:rsid w:val="375C63A0"/>
    <w:rsid w:val="378679C0"/>
    <w:rsid w:val="378E4C46"/>
    <w:rsid w:val="37D13785"/>
    <w:rsid w:val="37D44670"/>
    <w:rsid w:val="37D921E5"/>
    <w:rsid w:val="37F708BD"/>
    <w:rsid w:val="380D00E1"/>
    <w:rsid w:val="381D0D7D"/>
    <w:rsid w:val="38265E6E"/>
    <w:rsid w:val="3835615C"/>
    <w:rsid w:val="38437CB5"/>
    <w:rsid w:val="384F06F9"/>
    <w:rsid w:val="38983E4E"/>
    <w:rsid w:val="38A04AB1"/>
    <w:rsid w:val="38A74091"/>
    <w:rsid w:val="38BB7B3D"/>
    <w:rsid w:val="38CC1D4A"/>
    <w:rsid w:val="38CC58A6"/>
    <w:rsid w:val="38F863D4"/>
    <w:rsid w:val="3922196A"/>
    <w:rsid w:val="392456E2"/>
    <w:rsid w:val="39430206"/>
    <w:rsid w:val="395835DE"/>
    <w:rsid w:val="396B01B7"/>
    <w:rsid w:val="39783FDF"/>
    <w:rsid w:val="398443D3"/>
    <w:rsid w:val="39AD4232"/>
    <w:rsid w:val="39AE31FE"/>
    <w:rsid w:val="39BD1693"/>
    <w:rsid w:val="39C5288D"/>
    <w:rsid w:val="39D709A6"/>
    <w:rsid w:val="3A0F6392"/>
    <w:rsid w:val="3A1219DE"/>
    <w:rsid w:val="3A231E3E"/>
    <w:rsid w:val="3A371C54"/>
    <w:rsid w:val="3A647D60"/>
    <w:rsid w:val="3A6C475E"/>
    <w:rsid w:val="3A796F1C"/>
    <w:rsid w:val="3AC3738E"/>
    <w:rsid w:val="3AEE41FA"/>
    <w:rsid w:val="3B0F23C2"/>
    <w:rsid w:val="3B133C60"/>
    <w:rsid w:val="3B2C2F74"/>
    <w:rsid w:val="3B55139D"/>
    <w:rsid w:val="3B5A5F3A"/>
    <w:rsid w:val="3B60245A"/>
    <w:rsid w:val="3B6C15C2"/>
    <w:rsid w:val="3B974891"/>
    <w:rsid w:val="3B980F96"/>
    <w:rsid w:val="3B9B0B5E"/>
    <w:rsid w:val="3BA24FE4"/>
    <w:rsid w:val="3BA77DFC"/>
    <w:rsid w:val="3BA83A3B"/>
    <w:rsid w:val="3C395948"/>
    <w:rsid w:val="3C406CD7"/>
    <w:rsid w:val="3C5E4A95"/>
    <w:rsid w:val="3C862210"/>
    <w:rsid w:val="3C8D5C5F"/>
    <w:rsid w:val="3C912837"/>
    <w:rsid w:val="3CAA583B"/>
    <w:rsid w:val="3CB36861"/>
    <w:rsid w:val="3CB7686D"/>
    <w:rsid w:val="3CD70CBD"/>
    <w:rsid w:val="3CDC7F7A"/>
    <w:rsid w:val="3CF11D7F"/>
    <w:rsid w:val="3CFD4BC8"/>
    <w:rsid w:val="3D1B6DFC"/>
    <w:rsid w:val="3D29556C"/>
    <w:rsid w:val="3D3E02C6"/>
    <w:rsid w:val="3D640326"/>
    <w:rsid w:val="3D7A7A05"/>
    <w:rsid w:val="3D8449A1"/>
    <w:rsid w:val="3D9D5A63"/>
    <w:rsid w:val="3DAE562E"/>
    <w:rsid w:val="3DB64D77"/>
    <w:rsid w:val="3DB660A3"/>
    <w:rsid w:val="3DDD01B6"/>
    <w:rsid w:val="3E014244"/>
    <w:rsid w:val="3E1D52EA"/>
    <w:rsid w:val="3E361E88"/>
    <w:rsid w:val="3E391C30"/>
    <w:rsid w:val="3E402FFD"/>
    <w:rsid w:val="3E4124C1"/>
    <w:rsid w:val="3ED454B4"/>
    <w:rsid w:val="3ED5122D"/>
    <w:rsid w:val="3EDE23A4"/>
    <w:rsid w:val="3EE821AA"/>
    <w:rsid w:val="3F1C6E5B"/>
    <w:rsid w:val="3F202B4A"/>
    <w:rsid w:val="3F2A4F0C"/>
    <w:rsid w:val="3F310B59"/>
    <w:rsid w:val="3F37085A"/>
    <w:rsid w:val="3F4343E8"/>
    <w:rsid w:val="3F4E170B"/>
    <w:rsid w:val="3F516B05"/>
    <w:rsid w:val="3F525AD2"/>
    <w:rsid w:val="3F6A5E19"/>
    <w:rsid w:val="3F890995"/>
    <w:rsid w:val="3F93711E"/>
    <w:rsid w:val="3FA255B3"/>
    <w:rsid w:val="3FA27B7D"/>
    <w:rsid w:val="3FB23684"/>
    <w:rsid w:val="3FBA14D7"/>
    <w:rsid w:val="3FE27CAC"/>
    <w:rsid w:val="3FE94F8F"/>
    <w:rsid w:val="3FFC714D"/>
    <w:rsid w:val="3FFF3800"/>
    <w:rsid w:val="400C5122"/>
    <w:rsid w:val="401C148F"/>
    <w:rsid w:val="40414DCB"/>
    <w:rsid w:val="405368AD"/>
    <w:rsid w:val="40632F94"/>
    <w:rsid w:val="40795ACB"/>
    <w:rsid w:val="40A84E4B"/>
    <w:rsid w:val="40B82BB4"/>
    <w:rsid w:val="40BF2194"/>
    <w:rsid w:val="40C951F3"/>
    <w:rsid w:val="40CB28E7"/>
    <w:rsid w:val="40E669BC"/>
    <w:rsid w:val="410871DF"/>
    <w:rsid w:val="41134241"/>
    <w:rsid w:val="41384420"/>
    <w:rsid w:val="41387BDA"/>
    <w:rsid w:val="41524DB6"/>
    <w:rsid w:val="41662610"/>
    <w:rsid w:val="418C2651"/>
    <w:rsid w:val="41B6751F"/>
    <w:rsid w:val="41C23CEA"/>
    <w:rsid w:val="420C31B7"/>
    <w:rsid w:val="4219200F"/>
    <w:rsid w:val="424B0183"/>
    <w:rsid w:val="424E4AE2"/>
    <w:rsid w:val="425F3C2F"/>
    <w:rsid w:val="425F6FF8"/>
    <w:rsid w:val="426111F5"/>
    <w:rsid w:val="426E79CE"/>
    <w:rsid w:val="42925DB2"/>
    <w:rsid w:val="42A31D6D"/>
    <w:rsid w:val="42F425C9"/>
    <w:rsid w:val="432672A4"/>
    <w:rsid w:val="43284021"/>
    <w:rsid w:val="4338647E"/>
    <w:rsid w:val="43486471"/>
    <w:rsid w:val="435E1836"/>
    <w:rsid w:val="43702534"/>
    <w:rsid w:val="43731BFB"/>
    <w:rsid w:val="437702D4"/>
    <w:rsid w:val="43915208"/>
    <w:rsid w:val="43AA0EDA"/>
    <w:rsid w:val="43B458B4"/>
    <w:rsid w:val="43B835F7"/>
    <w:rsid w:val="43C83170"/>
    <w:rsid w:val="43C926B1"/>
    <w:rsid w:val="43EB55F8"/>
    <w:rsid w:val="43F14D5A"/>
    <w:rsid w:val="43FE2FD4"/>
    <w:rsid w:val="440E76BA"/>
    <w:rsid w:val="440F6F8F"/>
    <w:rsid w:val="44245B06"/>
    <w:rsid w:val="44474665"/>
    <w:rsid w:val="44496945"/>
    <w:rsid w:val="446B335D"/>
    <w:rsid w:val="44A1408B"/>
    <w:rsid w:val="44D0671E"/>
    <w:rsid w:val="44DB5F45"/>
    <w:rsid w:val="44F1284F"/>
    <w:rsid w:val="451A208F"/>
    <w:rsid w:val="45462E84"/>
    <w:rsid w:val="454B2248"/>
    <w:rsid w:val="4565330A"/>
    <w:rsid w:val="45A4113C"/>
    <w:rsid w:val="45B740EC"/>
    <w:rsid w:val="45EB3A89"/>
    <w:rsid w:val="45F45AFC"/>
    <w:rsid w:val="46004DE1"/>
    <w:rsid w:val="46333408"/>
    <w:rsid w:val="463605ED"/>
    <w:rsid w:val="463B56E4"/>
    <w:rsid w:val="4640345B"/>
    <w:rsid w:val="46445615"/>
    <w:rsid w:val="4672352C"/>
    <w:rsid w:val="46821C9A"/>
    <w:rsid w:val="469043B7"/>
    <w:rsid w:val="4691230A"/>
    <w:rsid w:val="46D44B1C"/>
    <w:rsid w:val="46D9702A"/>
    <w:rsid w:val="46E93AC7"/>
    <w:rsid w:val="46EE37D3"/>
    <w:rsid w:val="46F56910"/>
    <w:rsid w:val="471A6376"/>
    <w:rsid w:val="47433201"/>
    <w:rsid w:val="47482EE3"/>
    <w:rsid w:val="475F1FDB"/>
    <w:rsid w:val="47691D42"/>
    <w:rsid w:val="47944DD1"/>
    <w:rsid w:val="479A72AE"/>
    <w:rsid w:val="47A45C40"/>
    <w:rsid w:val="47B16CDB"/>
    <w:rsid w:val="47CF246A"/>
    <w:rsid w:val="47E32C0C"/>
    <w:rsid w:val="47FE7C9B"/>
    <w:rsid w:val="4800731A"/>
    <w:rsid w:val="48390A7E"/>
    <w:rsid w:val="48416614"/>
    <w:rsid w:val="484F3DFE"/>
    <w:rsid w:val="4892697B"/>
    <w:rsid w:val="48B85E47"/>
    <w:rsid w:val="49253725"/>
    <w:rsid w:val="492E0052"/>
    <w:rsid w:val="49415E3C"/>
    <w:rsid w:val="494A7DB3"/>
    <w:rsid w:val="494E0559"/>
    <w:rsid w:val="49507E2D"/>
    <w:rsid w:val="498B1120"/>
    <w:rsid w:val="49AF4E76"/>
    <w:rsid w:val="49BA174B"/>
    <w:rsid w:val="49CE0617"/>
    <w:rsid w:val="49D767A1"/>
    <w:rsid w:val="49EA14DE"/>
    <w:rsid w:val="49F91B1E"/>
    <w:rsid w:val="4A1447B8"/>
    <w:rsid w:val="4A196989"/>
    <w:rsid w:val="4A38723F"/>
    <w:rsid w:val="4A401D94"/>
    <w:rsid w:val="4A4A2ACF"/>
    <w:rsid w:val="4A4B1995"/>
    <w:rsid w:val="4A4D598D"/>
    <w:rsid w:val="4A5D6CA6"/>
    <w:rsid w:val="4A62250E"/>
    <w:rsid w:val="4A896E3F"/>
    <w:rsid w:val="4A8B748A"/>
    <w:rsid w:val="4A946440"/>
    <w:rsid w:val="4AAE12AF"/>
    <w:rsid w:val="4AC07235"/>
    <w:rsid w:val="4ACF1226"/>
    <w:rsid w:val="4AD8632C"/>
    <w:rsid w:val="4AD96526"/>
    <w:rsid w:val="4AF201DB"/>
    <w:rsid w:val="4AF31B5C"/>
    <w:rsid w:val="4AF33CC3"/>
    <w:rsid w:val="4B100EBF"/>
    <w:rsid w:val="4B6202EC"/>
    <w:rsid w:val="4B823029"/>
    <w:rsid w:val="4B920D66"/>
    <w:rsid w:val="4B970374"/>
    <w:rsid w:val="4BA36BA8"/>
    <w:rsid w:val="4BD5286C"/>
    <w:rsid w:val="4BFE6267"/>
    <w:rsid w:val="4C0E55FD"/>
    <w:rsid w:val="4C343AF5"/>
    <w:rsid w:val="4C6D5CD6"/>
    <w:rsid w:val="4C8A18A8"/>
    <w:rsid w:val="4CA007D8"/>
    <w:rsid w:val="4CAC7A71"/>
    <w:rsid w:val="4CE92A73"/>
    <w:rsid w:val="4CEC2563"/>
    <w:rsid w:val="4CF04630"/>
    <w:rsid w:val="4CF338F1"/>
    <w:rsid w:val="4CF97AB6"/>
    <w:rsid w:val="4D306E45"/>
    <w:rsid w:val="4D32260D"/>
    <w:rsid w:val="4D341814"/>
    <w:rsid w:val="4D3772A3"/>
    <w:rsid w:val="4D3F08E5"/>
    <w:rsid w:val="4D41465D"/>
    <w:rsid w:val="4D541496"/>
    <w:rsid w:val="4D702720"/>
    <w:rsid w:val="4D8E7176"/>
    <w:rsid w:val="4DDA0E2E"/>
    <w:rsid w:val="4DF162BC"/>
    <w:rsid w:val="4E10368E"/>
    <w:rsid w:val="4E1F105F"/>
    <w:rsid w:val="4E285E8B"/>
    <w:rsid w:val="4E370CD2"/>
    <w:rsid w:val="4E486284"/>
    <w:rsid w:val="4E5959D6"/>
    <w:rsid w:val="4EA16E8D"/>
    <w:rsid w:val="4EC15329"/>
    <w:rsid w:val="4F0A6CD0"/>
    <w:rsid w:val="4F1813ED"/>
    <w:rsid w:val="4F2C6C47"/>
    <w:rsid w:val="4F6B5B85"/>
    <w:rsid w:val="4F710579"/>
    <w:rsid w:val="4F84797E"/>
    <w:rsid w:val="4F8E380C"/>
    <w:rsid w:val="4F9A62A6"/>
    <w:rsid w:val="4FD20701"/>
    <w:rsid w:val="4FE65048"/>
    <w:rsid w:val="4FF45C63"/>
    <w:rsid w:val="500E7580"/>
    <w:rsid w:val="50205733"/>
    <w:rsid w:val="502A2FD7"/>
    <w:rsid w:val="507B7E86"/>
    <w:rsid w:val="50854189"/>
    <w:rsid w:val="50D852D8"/>
    <w:rsid w:val="512F6EC2"/>
    <w:rsid w:val="515E50B1"/>
    <w:rsid w:val="516A3A56"/>
    <w:rsid w:val="51894824"/>
    <w:rsid w:val="51937451"/>
    <w:rsid w:val="51A45B14"/>
    <w:rsid w:val="51AE7DE7"/>
    <w:rsid w:val="51B43196"/>
    <w:rsid w:val="51D04201"/>
    <w:rsid w:val="51D11D27"/>
    <w:rsid w:val="51D27F79"/>
    <w:rsid w:val="51DD2179"/>
    <w:rsid w:val="51E8779D"/>
    <w:rsid w:val="52301062"/>
    <w:rsid w:val="524D5852"/>
    <w:rsid w:val="52554706"/>
    <w:rsid w:val="52662470"/>
    <w:rsid w:val="526B5CD8"/>
    <w:rsid w:val="526D7CA2"/>
    <w:rsid w:val="5281374D"/>
    <w:rsid w:val="52881627"/>
    <w:rsid w:val="52B94C95"/>
    <w:rsid w:val="52BA18DC"/>
    <w:rsid w:val="52CB0DE9"/>
    <w:rsid w:val="52D006A7"/>
    <w:rsid w:val="52E87329"/>
    <w:rsid w:val="52F1442F"/>
    <w:rsid w:val="53261273"/>
    <w:rsid w:val="534053B7"/>
    <w:rsid w:val="53574B4E"/>
    <w:rsid w:val="53682217"/>
    <w:rsid w:val="537107A3"/>
    <w:rsid w:val="538C1553"/>
    <w:rsid w:val="53B55872"/>
    <w:rsid w:val="53CB2ED2"/>
    <w:rsid w:val="53E43099"/>
    <w:rsid w:val="541B1826"/>
    <w:rsid w:val="5437338A"/>
    <w:rsid w:val="54455E57"/>
    <w:rsid w:val="545C7FCE"/>
    <w:rsid w:val="54640C31"/>
    <w:rsid w:val="54BE2A37"/>
    <w:rsid w:val="54D933CD"/>
    <w:rsid w:val="54E81862"/>
    <w:rsid w:val="54F14BBA"/>
    <w:rsid w:val="54F76F4D"/>
    <w:rsid w:val="55217CBE"/>
    <w:rsid w:val="552E107A"/>
    <w:rsid w:val="555962BC"/>
    <w:rsid w:val="558A0B6B"/>
    <w:rsid w:val="55935C72"/>
    <w:rsid w:val="55A34CA2"/>
    <w:rsid w:val="55AF05D2"/>
    <w:rsid w:val="55BD21CC"/>
    <w:rsid w:val="55EB2FAE"/>
    <w:rsid w:val="55FB55C5"/>
    <w:rsid w:val="55FE6BD6"/>
    <w:rsid w:val="56097CE2"/>
    <w:rsid w:val="561A5A4B"/>
    <w:rsid w:val="56260894"/>
    <w:rsid w:val="56532D50"/>
    <w:rsid w:val="56786C15"/>
    <w:rsid w:val="56A24BF9"/>
    <w:rsid w:val="56C9275B"/>
    <w:rsid w:val="56D34701"/>
    <w:rsid w:val="56D57BC4"/>
    <w:rsid w:val="56E878F7"/>
    <w:rsid w:val="56FD7F9F"/>
    <w:rsid w:val="572D4CFA"/>
    <w:rsid w:val="577473DD"/>
    <w:rsid w:val="579B17C3"/>
    <w:rsid w:val="57A777B2"/>
    <w:rsid w:val="57A8352A"/>
    <w:rsid w:val="57FE314A"/>
    <w:rsid w:val="580F562A"/>
    <w:rsid w:val="58353010"/>
    <w:rsid w:val="58642482"/>
    <w:rsid w:val="5866358C"/>
    <w:rsid w:val="587358E6"/>
    <w:rsid w:val="58737694"/>
    <w:rsid w:val="588B0E82"/>
    <w:rsid w:val="58916521"/>
    <w:rsid w:val="58931AE5"/>
    <w:rsid w:val="58C0578C"/>
    <w:rsid w:val="58C64E7E"/>
    <w:rsid w:val="58D02414"/>
    <w:rsid w:val="58D565A1"/>
    <w:rsid w:val="58E862D4"/>
    <w:rsid w:val="58EB36CF"/>
    <w:rsid w:val="58F44C79"/>
    <w:rsid w:val="58F72073"/>
    <w:rsid w:val="590D4A54"/>
    <w:rsid w:val="593D47E0"/>
    <w:rsid w:val="594352B9"/>
    <w:rsid w:val="59457283"/>
    <w:rsid w:val="594678C4"/>
    <w:rsid w:val="59591ABB"/>
    <w:rsid w:val="596040BD"/>
    <w:rsid w:val="59735350"/>
    <w:rsid w:val="5980650D"/>
    <w:rsid w:val="59844497"/>
    <w:rsid w:val="598D4786"/>
    <w:rsid w:val="59BE7035"/>
    <w:rsid w:val="5A380B96"/>
    <w:rsid w:val="5A427C66"/>
    <w:rsid w:val="5A615AC5"/>
    <w:rsid w:val="5A7E2D2D"/>
    <w:rsid w:val="5AA4447D"/>
    <w:rsid w:val="5AA5193A"/>
    <w:rsid w:val="5AA63D51"/>
    <w:rsid w:val="5AEE74A6"/>
    <w:rsid w:val="5B247662"/>
    <w:rsid w:val="5B321A89"/>
    <w:rsid w:val="5B392E17"/>
    <w:rsid w:val="5B501255"/>
    <w:rsid w:val="5B6F4A8B"/>
    <w:rsid w:val="5B914A01"/>
    <w:rsid w:val="5BAA6020"/>
    <w:rsid w:val="5BB93F58"/>
    <w:rsid w:val="5BFA70A3"/>
    <w:rsid w:val="5C02145B"/>
    <w:rsid w:val="5C06575A"/>
    <w:rsid w:val="5C28765D"/>
    <w:rsid w:val="5C300297"/>
    <w:rsid w:val="5C5A5EEC"/>
    <w:rsid w:val="5C7B120D"/>
    <w:rsid w:val="5CAD227B"/>
    <w:rsid w:val="5CC52489"/>
    <w:rsid w:val="5CFB3EA6"/>
    <w:rsid w:val="5D0E5BDE"/>
    <w:rsid w:val="5D2D7194"/>
    <w:rsid w:val="5D445AA3"/>
    <w:rsid w:val="5D56526F"/>
    <w:rsid w:val="5D5850AB"/>
    <w:rsid w:val="5D5F7955"/>
    <w:rsid w:val="5D822474"/>
    <w:rsid w:val="5D8B0D5C"/>
    <w:rsid w:val="5D944335"/>
    <w:rsid w:val="5DCD0B7C"/>
    <w:rsid w:val="5DD010E5"/>
    <w:rsid w:val="5E2C0A11"/>
    <w:rsid w:val="5E4444D2"/>
    <w:rsid w:val="5E520C3C"/>
    <w:rsid w:val="5E5E2B95"/>
    <w:rsid w:val="5E802B0B"/>
    <w:rsid w:val="5EA26F25"/>
    <w:rsid w:val="5EAF155F"/>
    <w:rsid w:val="5EBD4C52"/>
    <w:rsid w:val="5EC94CEC"/>
    <w:rsid w:val="5ECB197B"/>
    <w:rsid w:val="5ED46E2D"/>
    <w:rsid w:val="5EE315DD"/>
    <w:rsid w:val="5EED5F2A"/>
    <w:rsid w:val="5EFA466C"/>
    <w:rsid w:val="5EFA7231"/>
    <w:rsid w:val="5F0125BA"/>
    <w:rsid w:val="5F2C537D"/>
    <w:rsid w:val="5F4B4EC7"/>
    <w:rsid w:val="5F58609A"/>
    <w:rsid w:val="5F645F89"/>
    <w:rsid w:val="5F6E5059"/>
    <w:rsid w:val="5F700DD2"/>
    <w:rsid w:val="5FD650D9"/>
    <w:rsid w:val="5FEA20BE"/>
    <w:rsid w:val="5FFB68ED"/>
    <w:rsid w:val="5FFD2F0B"/>
    <w:rsid w:val="60003F04"/>
    <w:rsid w:val="601755D7"/>
    <w:rsid w:val="601B6F8F"/>
    <w:rsid w:val="60200102"/>
    <w:rsid w:val="6021584B"/>
    <w:rsid w:val="60347E72"/>
    <w:rsid w:val="605465AA"/>
    <w:rsid w:val="60636240"/>
    <w:rsid w:val="606C1599"/>
    <w:rsid w:val="607C065D"/>
    <w:rsid w:val="60883EF9"/>
    <w:rsid w:val="608B1E53"/>
    <w:rsid w:val="60DA0BF8"/>
    <w:rsid w:val="60F02A2F"/>
    <w:rsid w:val="60FA4DF7"/>
    <w:rsid w:val="612B0164"/>
    <w:rsid w:val="613B7E89"/>
    <w:rsid w:val="61750921"/>
    <w:rsid w:val="617F52FC"/>
    <w:rsid w:val="61900636"/>
    <w:rsid w:val="619A0388"/>
    <w:rsid w:val="61BB1CB2"/>
    <w:rsid w:val="61DA0784"/>
    <w:rsid w:val="62516C98"/>
    <w:rsid w:val="625C2438"/>
    <w:rsid w:val="62E55633"/>
    <w:rsid w:val="62FF66F4"/>
    <w:rsid w:val="63091321"/>
    <w:rsid w:val="631D4DCC"/>
    <w:rsid w:val="632A3916"/>
    <w:rsid w:val="633A0C85"/>
    <w:rsid w:val="633F4D43"/>
    <w:rsid w:val="63424833"/>
    <w:rsid w:val="63634173"/>
    <w:rsid w:val="63654F68"/>
    <w:rsid w:val="63730E90"/>
    <w:rsid w:val="6375359F"/>
    <w:rsid w:val="63CE60C7"/>
    <w:rsid w:val="642259DE"/>
    <w:rsid w:val="64371EBE"/>
    <w:rsid w:val="64411318"/>
    <w:rsid w:val="645111D2"/>
    <w:rsid w:val="647749B0"/>
    <w:rsid w:val="647B5CEC"/>
    <w:rsid w:val="648844C8"/>
    <w:rsid w:val="648D1ADE"/>
    <w:rsid w:val="64912786"/>
    <w:rsid w:val="64B13A1E"/>
    <w:rsid w:val="64C51278"/>
    <w:rsid w:val="64D15E6F"/>
    <w:rsid w:val="64D94D23"/>
    <w:rsid w:val="64F63B27"/>
    <w:rsid w:val="64FC63F1"/>
    <w:rsid w:val="650049A6"/>
    <w:rsid w:val="65221D51"/>
    <w:rsid w:val="6530528B"/>
    <w:rsid w:val="65314B5F"/>
    <w:rsid w:val="65366619"/>
    <w:rsid w:val="6551649B"/>
    <w:rsid w:val="65622B02"/>
    <w:rsid w:val="65926283"/>
    <w:rsid w:val="659A3A0E"/>
    <w:rsid w:val="659C46CE"/>
    <w:rsid w:val="659F16FC"/>
    <w:rsid w:val="65A66FAD"/>
    <w:rsid w:val="661029C7"/>
    <w:rsid w:val="661A3845"/>
    <w:rsid w:val="66214CA4"/>
    <w:rsid w:val="662F5A11"/>
    <w:rsid w:val="66501015"/>
    <w:rsid w:val="66547FC2"/>
    <w:rsid w:val="665C20B0"/>
    <w:rsid w:val="6693550B"/>
    <w:rsid w:val="66993D4C"/>
    <w:rsid w:val="66996E60"/>
    <w:rsid w:val="66A3383B"/>
    <w:rsid w:val="66AD4137"/>
    <w:rsid w:val="66BB0B84"/>
    <w:rsid w:val="66CB1EF3"/>
    <w:rsid w:val="66CC1F36"/>
    <w:rsid w:val="66D32DDF"/>
    <w:rsid w:val="66E53E53"/>
    <w:rsid w:val="66F771C1"/>
    <w:rsid w:val="66FC2F4B"/>
    <w:rsid w:val="671A2A3A"/>
    <w:rsid w:val="671E1EC7"/>
    <w:rsid w:val="675235DE"/>
    <w:rsid w:val="67553005"/>
    <w:rsid w:val="676254A4"/>
    <w:rsid w:val="676B573A"/>
    <w:rsid w:val="676F196F"/>
    <w:rsid w:val="6773530A"/>
    <w:rsid w:val="677A0A3F"/>
    <w:rsid w:val="678D743D"/>
    <w:rsid w:val="67902011"/>
    <w:rsid w:val="679310D4"/>
    <w:rsid w:val="67955879"/>
    <w:rsid w:val="679943C8"/>
    <w:rsid w:val="67B904EC"/>
    <w:rsid w:val="67DD4B2A"/>
    <w:rsid w:val="67E1461B"/>
    <w:rsid w:val="680D18B3"/>
    <w:rsid w:val="681542C4"/>
    <w:rsid w:val="6821710D"/>
    <w:rsid w:val="682602A8"/>
    <w:rsid w:val="684419F9"/>
    <w:rsid w:val="684828EC"/>
    <w:rsid w:val="685F0900"/>
    <w:rsid w:val="68940524"/>
    <w:rsid w:val="68B47F81"/>
    <w:rsid w:val="68BB3748"/>
    <w:rsid w:val="68C31C42"/>
    <w:rsid w:val="68F55EA4"/>
    <w:rsid w:val="68FD2646"/>
    <w:rsid w:val="69085BD7"/>
    <w:rsid w:val="69124CA8"/>
    <w:rsid w:val="694942CB"/>
    <w:rsid w:val="697F6ADE"/>
    <w:rsid w:val="699F478D"/>
    <w:rsid w:val="69A34EA4"/>
    <w:rsid w:val="69E44896"/>
    <w:rsid w:val="6A290006"/>
    <w:rsid w:val="6A2B4273"/>
    <w:rsid w:val="6A58493C"/>
    <w:rsid w:val="6A813E93"/>
    <w:rsid w:val="6A857FD1"/>
    <w:rsid w:val="6A890F99"/>
    <w:rsid w:val="6A955B90"/>
    <w:rsid w:val="6A9E0EA5"/>
    <w:rsid w:val="6AF24D91"/>
    <w:rsid w:val="6AF26B3F"/>
    <w:rsid w:val="6B0845B4"/>
    <w:rsid w:val="6B2F7D93"/>
    <w:rsid w:val="6B3129B4"/>
    <w:rsid w:val="6B323550"/>
    <w:rsid w:val="6B32518D"/>
    <w:rsid w:val="6B43383E"/>
    <w:rsid w:val="6B517D09"/>
    <w:rsid w:val="6B563571"/>
    <w:rsid w:val="6B5F5CD9"/>
    <w:rsid w:val="6B6F2EBA"/>
    <w:rsid w:val="6B9419A4"/>
    <w:rsid w:val="6B985938"/>
    <w:rsid w:val="6BA4220D"/>
    <w:rsid w:val="6BC74333"/>
    <w:rsid w:val="6BD87DB7"/>
    <w:rsid w:val="6BDA6026"/>
    <w:rsid w:val="6C07661A"/>
    <w:rsid w:val="6C0E79A8"/>
    <w:rsid w:val="6C313697"/>
    <w:rsid w:val="6C515AE7"/>
    <w:rsid w:val="6C5A2BED"/>
    <w:rsid w:val="6C621AA2"/>
    <w:rsid w:val="6C755C79"/>
    <w:rsid w:val="6C991968"/>
    <w:rsid w:val="6CDC3602"/>
    <w:rsid w:val="6CF12F3C"/>
    <w:rsid w:val="6CF21078"/>
    <w:rsid w:val="6CF52916"/>
    <w:rsid w:val="6D0B733B"/>
    <w:rsid w:val="6D1159A2"/>
    <w:rsid w:val="6D140FEE"/>
    <w:rsid w:val="6D301BA0"/>
    <w:rsid w:val="6D443B19"/>
    <w:rsid w:val="6D667370"/>
    <w:rsid w:val="6D6C2BD8"/>
    <w:rsid w:val="6D870081"/>
    <w:rsid w:val="6D9E2FAE"/>
    <w:rsid w:val="6D9E4D5C"/>
    <w:rsid w:val="6DCE5641"/>
    <w:rsid w:val="6DDB5FB0"/>
    <w:rsid w:val="6E05302D"/>
    <w:rsid w:val="6E14501E"/>
    <w:rsid w:val="6E217E67"/>
    <w:rsid w:val="6E313E22"/>
    <w:rsid w:val="6E354A00"/>
    <w:rsid w:val="6E3F6E10"/>
    <w:rsid w:val="6E565636"/>
    <w:rsid w:val="6E766371"/>
    <w:rsid w:val="6EAE2137"/>
    <w:rsid w:val="6EC41C36"/>
    <w:rsid w:val="6ED177F6"/>
    <w:rsid w:val="6ED9710C"/>
    <w:rsid w:val="6EDF73DA"/>
    <w:rsid w:val="6EFC7F8C"/>
    <w:rsid w:val="6F3C2A7E"/>
    <w:rsid w:val="6F9A42D9"/>
    <w:rsid w:val="6FAA5C3A"/>
    <w:rsid w:val="6FB1521A"/>
    <w:rsid w:val="6FBA7DE4"/>
    <w:rsid w:val="6FF60E7F"/>
    <w:rsid w:val="6FF866F6"/>
    <w:rsid w:val="6FFB46E7"/>
    <w:rsid w:val="6FFC9813"/>
    <w:rsid w:val="700553CD"/>
    <w:rsid w:val="70194B6E"/>
    <w:rsid w:val="702A5D52"/>
    <w:rsid w:val="703379DD"/>
    <w:rsid w:val="7038498C"/>
    <w:rsid w:val="7053007F"/>
    <w:rsid w:val="70716758"/>
    <w:rsid w:val="70871AD7"/>
    <w:rsid w:val="70BD5F0A"/>
    <w:rsid w:val="70C10F0E"/>
    <w:rsid w:val="71325EE7"/>
    <w:rsid w:val="7137174F"/>
    <w:rsid w:val="7153716F"/>
    <w:rsid w:val="71601B1A"/>
    <w:rsid w:val="71787AB8"/>
    <w:rsid w:val="71A1306D"/>
    <w:rsid w:val="71C13613"/>
    <w:rsid w:val="71D92122"/>
    <w:rsid w:val="71E74F23"/>
    <w:rsid w:val="71FD7A4A"/>
    <w:rsid w:val="721E46BD"/>
    <w:rsid w:val="724265FE"/>
    <w:rsid w:val="724712D3"/>
    <w:rsid w:val="72697470"/>
    <w:rsid w:val="72734BFB"/>
    <w:rsid w:val="72750781"/>
    <w:rsid w:val="728A3B01"/>
    <w:rsid w:val="729A01E8"/>
    <w:rsid w:val="72AD392D"/>
    <w:rsid w:val="72B03567"/>
    <w:rsid w:val="72B55021"/>
    <w:rsid w:val="72CE5AB2"/>
    <w:rsid w:val="72D8645C"/>
    <w:rsid w:val="72DE07B1"/>
    <w:rsid w:val="73041B05"/>
    <w:rsid w:val="7318110C"/>
    <w:rsid w:val="739F538A"/>
    <w:rsid w:val="73DC038C"/>
    <w:rsid w:val="73E159A2"/>
    <w:rsid w:val="73EB36AE"/>
    <w:rsid w:val="742F670E"/>
    <w:rsid w:val="743C0E2B"/>
    <w:rsid w:val="7493649A"/>
    <w:rsid w:val="74D37506"/>
    <w:rsid w:val="74DA51A1"/>
    <w:rsid w:val="74EC767C"/>
    <w:rsid w:val="751853F4"/>
    <w:rsid w:val="753177C8"/>
    <w:rsid w:val="754E0E15"/>
    <w:rsid w:val="75620AF1"/>
    <w:rsid w:val="756D1BE3"/>
    <w:rsid w:val="75976C60"/>
    <w:rsid w:val="75D73501"/>
    <w:rsid w:val="75F57E3E"/>
    <w:rsid w:val="75FE45EA"/>
    <w:rsid w:val="760616F0"/>
    <w:rsid w:val="76117D49"/>
    <w:rsid w:val="76930A14"/>
    <w:rsid w:val="76995444"/>
    <w:rsid w:val="76B4114C"/>
    <w:rsid w:val="771804EF"/>
    <w:rsid w:val="771B0390"/>
    <w:rsid w:val="771D6C76"/>
    <w:rsid w:val="771E26E0"/>
    <w:rsid w:val="772938E8"/>
    <w:rsid w:val="7729410C"/>
    <w:rsid w:val="773109EF"/>
    <w:rsid w:val="77361931"/>
    <w:rsid w:val="77764653"/>
    <w:rsid w:val="779276DF"/>
    <w:rsid w:val="77F8367D"/>
    <w:rsid w:val="77FA5285"/>
    <w:rsid w:val="78215260"/>
    <w:rsid w:val="78316C12"/>
    <w:rsid w:val="784D1858"/>
    <w:rsid w:val="78680440"/>
    <w:rsid w:val="78715547"/>
    <w:rsid w:val="789357A2"/>
    <w:rsid w:val="78961451"/>
    <w:rsid w:val="78A90F15"/>
    <w:rsid w:val="78CC4E73"/>
    <w:rsid w:val="79202AC9"/>
    <w:rsid w:val="793F3D8C"/>
    <w:rsid w:val="794F33AE"/>
    <w:rsid w:val="794F6FA9"/>
    <w:rsid w:val="79534C4C"/>
    <w:rsid w:val="79660E24"/>
    <w:rsid w:val="79820B16"/>
    <w:rsid w:val="79874FE5"/>
    <w:rsid w:val="79A74F98"/>
    <w:rsid w:val="79BE0C60"/>
    <w:rsid w:val="79D1220E"/>
    <w:rsid w:val="7A10700A"/>
    <w:rsid w:val="7A1E0906"/>
    <w:rsid w:val="7A4C4F49"/>
    <w:rsid w:val="7A603EC4"/>
    <w:rsid w:val="7A6C06BC"/>
    <w:rsid w:val="7AA03EC1"/>
    <w:rsid w:val="7AB12572"/>
    <w:rsid w:val="7AB20098"/>
    <w:rsid w:val="7AD24297"/>
    <w:rsid w:val="7B2A7C2F"/>
    <w:rsid w:val="7B4505FE"/>
    <w:rsid w:val="7B671977"/>
    <w:rsid w:val="7B8657AD"/>
    <w:rsid w:val="7BB10350"/>
    <w:rsid w:val="7BC41E31"/>
    <w:rsid w:val="7BD77F8C"/>
    <w:rsid w:val="7BDA1655"/>
    <w:rsid w:val="7BDE0BC1"/>
    <w:rsid w:val="7BE349AD"/>
    <w:rsid w:val="7BE565EB"/>
    <w:rsid w:val="7C2069DC"/>
    <w:rsid w:val="7C3379EA"/>
    <w:rsid w:val="7C5F7DAC"/>
    <w:rsid w:val="7C63789C"/>
    <w:rsid w:val="7C8141C6"/>
    <w:rsid w:val="7C8A0E8D"/>
    <w:rsid w:val="7C8F0691"/>
    <w:rsid w:val="7C9061B7"/>
    <w:rsid w:val="7C9557F6"/>
    <w:rsid w:val="7C974402"/>
    <w:rsid w:val="7CA3413D"/>
    <w:rsid w:val="7CC27B8F"/>
    <w:rsid w:val="7CC333FB"/>
    <w:rsid w:val="7CCC227E"/>
    <w:rsid w:val="7CD17212"/>
    <w:rsid w:val="7CD95DB0"/>
    <w:rsid w:val="7CDC13FD"/>
    <w:rsid w:val="7D1961AD"/>
    <w:rsid w:val="7D225061"/>
    <w:rsid w:val="7D253BF4"/>
    <w:rsid w:val="7D2764D8"/>
    <w:rsid w:val="7D280177"/>
    <w:rsid w:val="7D6A6A08"/>
    <w:rsid w:val="7D7B369F"/>
    <w:rsid w:val="7D910439"/>
    <w:rsid w:val="7DC0487A"/>
    <w:rsid w:val="7DE96E91"/>
    <w:rsid w:val="7DF32EA2"/>
    <w:rsid w:val="7DFF344B"/>
    <w:rsid w:val="7E282B4B"/>
    <w:rsid w:val="7E2D37B3"/>
    <w:rsid w:val="7E2F0DD9"/>
    <w:rsid w:val="7E301A00"/>
    <w:rsid w:val="7E521976"/>
    <w:rsid w:val="7E713B09"/>
    <w:rsid w:val="7E7F0292"/>
    <w:rsid w:val="7E855509"/>
    <w:rsid w:val="7E9755DB"/>
    <w:rsid w:val="7E9C2156"/>
    <w:rsid w:val="7EA85A3A"/>
    <w:rsid w:val="7EFA0AAE"/>
    <w:rsid w:val="7F3D43D5"/>
    <w:rsid w:val="7F4503AC"/>
    <w:rsid w:val="7F471A5A"/>
    <w:rsid w:val="7F4B6968"/>
    <w:rsid w:val="7F4B6D8D"/>
    <w:rsid w:val="7F590AE3"/>
    <w:rsid w:val="7F5D6825"/>
    <w:rsid w:val="7F73228D"/>
    <w:rsid w:val="7F8F6BFA"/>
    <w:rsid w:val="7F9340FF"/>
    <w:rsid w:val="7FD10FC1"/>
    <w:rsid w:val="7FE707E4"/>
    <w:rsid w:val="7FF55D2D"/>
    <w:rsid w:val="EFDFE7A0"/>
    <w:rsid w:val="F79F81DF"/>
    <w:rsid w:val="FFFF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44"/>
    <w:autoRedefine/>
    <w:qFormat/>
    <w:uiPriority w:val="0"/>
    <w:pPr>
      <w:keepNext/>
      <w:outlineLvl w:val="0"/>
    </w:pPr>
    <w:rPr>
      <w:rFonts w:ascii="仿宋_GB2312" w:hAnsi="宋体" w:eastAsia="仿宋_GB2312"/>
      <w:b/>
      <w:kern w:val="2"/>
      <w:sz w:val="32"/>
    </w:rPr>
  </w:style>
  <w:style w:type="paragraph" w:styleId="4">
    <w:name w:val="heading 2"/>
    <w:basedOn w:val="1"/>
    <w:next w:val="1"/>
    <w:autoRedefine/>
    <w:qFormat/>
    <w:uiPriority w:val="9"/>
    <w:pPr>
      <w:keepLines/>
      <w:widowControl/>
      <w:spacing w:before="20" w:after="20"/>
      <w:ind w:left="283"/>
      <w:jc w:val="left"/>
      <w:outlineLvl w:val="1"/>
    </w:pPr>
    <w:rPr>
      <w:rFonts w:ascii="Arial" w:hAnsi="Arial"/>
      <w:bCs/>
      <w:sz w:val="28"/>
      <w:szCs w:val="32"/>
    </w:rPr>
  </w:style>
  <w:style w:type="paragraph" w:styleId="5">
    <w:name w:val="heading 3"/>
    <w:basedOn w:val="1"/>
    <w:next w:val="1"/>
    <w:autoRedefine/>
    <w:qFormat/>
    <w:uiPriority w:val="0"/>
    <w:pPr>
      <w:keepNext/>
      <w:spacing w:beforeLines="200" w:line="400" w:lineRule="exact"/>
      <w:jc w:val="center"/>
      <w:outlineLvl w:val="2"/>
    </w:pPr>
    <w:rPr>
      <w:rFonts w:ascii="Times New Roman"/>
      <w:b/>
      <w:bCs/>
      <w:kern w:val="2"/>
      <w:szCs w:val="24"/>
    </w:rPr>
  </w:style>
  <w:style w:type="paragraph" w:styleId="6">
    <w:name w:val="heading 4"/>
    <w:basedOn w:val="1"/>
    <w:next w:val="1"/>
    <w:autoRedefine/>
    <w:qFormat/>
    <w:uiPriority w:val="0"/>
    <w:pPr>
      <w:keepNext/>
      <w:outlineLvl w:val="3"/>
    </w:pPr>
    <w:rPr>
      <w:color w:val="FF0000"/>
      <w:sz w:val="28"/>
      <w:u w:val="single"/>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7">
    <w:name w:val="Normal Indent"/>
    <w:basedOn w:val="1"/>
    <w:next w:val="8"/>
    <w:autoRedefine/>
    <w:qFormat/>
    <w:uiPriority w:val="0"/>
    <w:pPr>
      <w:spacing w:line="300" w:lineRule="auto"/>
      <w:ind w:firstLine="420" w:firstLineChars="200"/>
    </w:pPr>
    <w:rPr>
      <w:rFonts w:ascii="Times New Roman"/>
      <w:kern w:val="2"/>
      <w:sz w:val="21"/>
      <w:szCs w:val="24"/>
    </w:rPr>
  </w:style>
  <w:style w:type="paragraph" w:styleId="8">
    <w:name w:val="Body Text First Indent 2"/>
    <w:basedOn w:val="9"/>
    <w:next w:val="10"/>
    <w:autoRedefine/>
    <w:qFormat/>
    <w:uiPriority w:val="0"/>
    <w:pPr>
      <w:ind w:firstLine="420" w:firstLineChars="200"/>
    </w:pPr>
  </w:style>
  <w:style w:type="paragraph" w:styleId="9">
    <w:name w:val="Body Text Indent"/>
    <w:basedOn w:val="1"/>
    <w:next w:val="1"/>
    <w:autoRedefine/>
    <w:qFormat/>
    <w:uiPriority w:val="0"/>
    <w:pPr>
      <w:widowControl/>
      <w:ind w:firstLine="652" w:firstLineChars="233"/>
    </w:pPr>
    <w:rPr>
      <w:rFonts w:ascii="Times New Roman"/>
      <w:sz w:val="28"/>
    </w:rPr>
  </w:style>
  <w:style w:type="paragraph" w:styleId="10">
    <w:name w:val="Body Text First Indent"/>
    <w:basedOn w:val="11"/>
    <w:autoRedefine/>
    <w:qFormat/>
    <w:uiPriority w:val="99"/>
    <w:pPr>
      <w:ind w:firstLine="420" w:firstLineChars="100"/>
    </w:pPr>
    <w:rPr>
      <w:rFonts w:ascii="宋体"/>
    </w:rPr>
  </w:style>
  <w:style w:type="paragraph" w:styleId="11">
    <w:name w:val="Body Text"/>
    <w:basedOn w:val="1"/>
    <w:next w:val="1"/>
    <w:link w:val="57"/>
    <w:autoRedefine/>
    <w:qFormat/>
    <w:uiPriority w:val="0"/>
    <w:pPr>
      <w:spacing w:after="120"/>
    </w:pPr>
    <w:rPr>
      <w:rFonts w:ascii="Times New Roman"/>
      <w:kern w:val="2"/>
      <w:sz w:val="21"/>
    </w:rPr>
  </w:style>
  <w:style w:type="paragraph" w:styleId="12">
    <w:name w:val="toa heading"/>
    <w:basedOn w:val="1"/>
    <w:next w:val="1"/>
    <w:autoRedefine/>
    <w:semiHidden/>
    <w:qFormat/>
    <w:uiPriority w:val="0"/>
    <w:pPr>
      <w:spacing w:before="120"/>
    </w:pPr>
    <w:rPr>
      <w:rFonts w:ascii="Arial" w:hAnsi="Arial" w:cs="Arial"/>
      <w:sz w:val="24"/>
      <w:szCs w:val="24"/>
    </w:rPr>
  </w:style>
  <w:style w:type="paragraph" w:styleId="13">
    <w:name w:val="annotation text"/>
    <w:basedOn w:val="1"/>
    <w:link w:val="68"/>
    <w:autoRedefine/>
    <w:qFormat/>
    <w:uiPriority w:val="0"/>
    <w:pPr>
      <w:jc w:val="left"/>
    </w:pPr>
  </w:style>
  <w:style w:type="paragraph" w:styleId="14">
    <w:name w:val="Body Text 3"/>
    <w:basedOn w:val="1"/>
    <w:autoRedefine/>
    <w:qFormat/>
    <w:uiPriority w:val="0"/>
    <w:rPr>
      <w:rFonts w:ascii="宋体"/>
      <w:sz w:val="24"/>
      <w:szCs w:val="20"/>
    </w:rPr>
  </w:style>
  <w:style w:type="paragraph" w:styleId="15">
    <w:name w:val="Block Text"/>
    <w:basedOn w:val="1"/>
    <w:autoRedefine/>
    <w:qFormat/>
    <w:uiPriority w:val="0"/>
    <w:pPr>
      <w:spacing w:after="120"/>
      <w:ind w:left="1440" w:leftChars="700" w:right="700" w:rightChars="700"/>
    </w:pPr>
    <w:rPr>
      <w:rFonts w:ascii="Times New Roman"/>
    </w:rPr>
  </w:style>
  <w:style w:type="paragraph" w:styleId="16">
    <w:name w:val="Plain Text"/>
    <w:basedOn w:val="1"/>
    <w:autoRedefine/>
    <w:qFormat/>
    <w:uiPriority w:val="0"/>
    <w:rPr>
      <w:rFonts w:hAnsi="Courier New"/>
      <w:kern w:val="2"/>
      <w:sz w:val="21"/>
    </w:rPr>
  </w:style>
  <w:style w:type="paragraph" w:styleId="17">
    <w:name w:val="Date"/>
    <w:basedOn w:val="1"/>
    <w:next w:val="1"/>
    <w:link w:val="50"/>
    <w:autoRedefine/>
    <w:qFormat/>
    <w:uiPriority w:val="0"/>
    <w:rPr>
      <w:rFonts w:ascii="Times New Roman"/>
      <w:kern w:val="2"/>
      <w:sz w:val="28"/>
    </w:rPr>
  </w:style>
  <w:style w:type="paragraph" w:styleId="18">
    <w:name w:val="envelope return"/>
    <w:basedOn w:val="1"/>
    <w:autoRedefine/>
    <w:qFormat/>
    <w:uiPriority w:val="99"/>
    <w:pPr>
      <w:snapToGrid w:val="0"/>
    </w:pPr>
    <w:rPr>
      <w:rFonts w:ascii="Arial" w:hAnsi="Arial" w:cs="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20">
    <w:name w:val="toc 1"/>
    <w:basedOn w:val="1"/>
    <w:next w:val="1"/>
    <w:autoRedefine/>
    <w:unhideWhenUsed/>
    <w:qFormat/>
    <w:uiPriority w:val="39"/>
    <w:pPr>
      <w:tabs>
        <w:tab w:val="left" w:pos="1418"/>
        <w:tab w:val="right" w:leader="dot" w:pos="8302"/>
      </w:tabs>
      <w:spacing w:line="960" w:lineRule="auto"/>
    </w:pPr>
  </w:style>
  <w:style w:type="paragraph" w:styleId="21">
    <w:name w:val="toc 4"/>
    <w:basedOn w:val="1"/>
    <w:next w:val="1"/>
    <w:autoRedefine/>
    <w:unhideWhenUsed/>
    <w:qFormat/>
    <w:uiPriority w:val="39"/>
    <w:pPr>
      <w:ind w:left="1260" w:leftChars="600"/>
    </w:pPr>
  </w:style>
  <w:style w:type="paragraph" w:styleId="22">
    <w:name w:val="Normal (Web)"/>
    <w:basedOn w:val="1"/>
    <w:autoRedefine/>
    <w:qFormat/>
    <w:uiPriority w:val="0"/>
    <w:pPr>
      <w:widowControl/>
      <w:spacing w:before="100" w:beforeAutospacing="1" w:after="100" w:afterAutospacing="1"/>
      <w:jc w:val="left"/>
    </w:pPr>
    <w:rPr>
      <w:rFonts w:hAnsi="宋体"/>
      <w:szCs w:val="24"/>
    </w:rPr>
  </w:style>
  <w:style w:type="paragraph" w:styleId="23">
    <w:name w:val="Title"/>
    <w:basedOn w:val="1"/>
    <w:next w:val="1"/>
    <w:autoRedefine/>
    <w:qFormat/>
    <w:uiPriority w:val="0"/>
    <w:pPr>
      <w:spacing w:before="240" w:after="60"/>
      <w:jc w:val="center"/>
      <w:outlineLvl w:val="0"/>
    </w:pPr>
    <w:rPr>
      <w:rFonts w:ascii="Cambria" w:hAnsi="Cambria"/>
      <w:b/>
      <w:bCs/>
      <w:kern w:val="2"/>
      <w:sz w:val="32"/>
      <w:szCs w:val="32"/>
    </w:rPr>
  </w:style>
  <w:style w:type="paragraph" w:styleId="24">
    <w:name w:val="annotation subject"/>
    <w:basedOn w:val="13"/>
    <w:next w:val="13"/>
    <w:link w:val="69"/>
    <w:autoRedefine/>
    <w:qFormat/>
    <w:uiPriority w:val="0"/>
    <w:rPr>
      <w:b/>
      <w:bCs/>
    </w:rPr>
  </w:style>
  <w:style w:type="table" w:styleId="26">
    <w:name w:val="Table Grid"/>
    <w:basedOn w:val="25"/>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22"/>
    <w:rPr>
      <w:b/>
      <w:bCs/>
    </w:rPr>
  </w:style>
  <w:style w:type="character" w:styleId="29">
    <w:name w:val="FollowedHyperlink"/>
    <w:basedOn w:val="27"/>
    <w:autoRedefine/>
    <w:qFormat/>
    <w:uiPriority w:val="0"/>
    <w:rPr>
      <w:color w:val="800080"/>
      <w:u w:val="none"/>
    </w:rPr>
  </w:style>
  <w:style w:type="character" w:styleId="30">
    <w:name w:val="Emphasis"/>
    <w:basedOn w:val="27"/>
    <w:autoRedefine/>
    <w:qFormat/>
    <w:uiPriority w:val="0"/>
    <w:rPr>
      <w:b/>
    </w:rPr>
  </w:style>
  <w:style w:type="character" w:styleId="31">
    <w:name w:val="HTML Definition"/>
    <w:basedOn w:val="27"/>
    <w:autoRedefine/>
    <w:qFormat/>
    <w:uiPriority w:val="0"/>
  </w:style>
  <w:style w:type="character" w:styleId="32">
    <w:name w:val="HTML Typewriter"/>
    <w:basedOn w:val="27"/>
    <w:autoRedefine/>
    <w:qFormat/>
    <w:uiPriority w:val="0"/>
    <w:rPr>
      <w:rFonts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99"/>
    <w:rPr>
      <w:color w:val="0000FF"/>
      <w:u w:val="none"/>
    </w:rPr>
  </w:style>
  <w:style w:type="character" w:styleId="36">
    <w:name w:val="HTML Code"/>
    <w:basedOn w:val="27"/>
    <w:autoRedefine/>
    <w:qFormat/>
    <w:uiPriority w:val="0"/>
    <w:rPr>
      <w:rFonts w:hint="default" w:ascii="monospace" w:hAnsi="monospace" w:eastAsia="monospace" w:cs="monospace"/>
      <w:sz w:val="20"/>
    </w:rPr>
  </w:style>
  <w:style w:type="character" w:styleId="37">
    <w:name w:val="annotation reference"/>
    <w:basedOn w:val="27"/>
    <w:autoRedefine/>
    <w:qFormat/>
    <w:uiPriority w:val="0"/>
    <w:rPr>
      <w:sz w:val="21"/>
      <w:szCs w:val="21"/>
    </w:rPr>
  </w:style>
  <w:style w:type="character" w:styleId="38">
    <w:name w:val="HTML Cite"/>
    <w:basedOn w:val="27"/>
    <w:autoRedefine/>
    <w:qFormat/>
    <w:uiPriority w:val="0"/>
    <w:rPr>
      <w:bdr w:val="single" w:color="D6D6D6" w:sz="4" w:space="0"/>
      <w:shd w:val="clear" w:color="auto" w:fill="FFFFFF"/>
    </w:rPr>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目录 11"/>
    <w:next w:val="1"/>
    <w:autoRedefine/>
    <w:qFormat/>
    <w:uiPriority w:val="99"/>
    <w:pPr>
      <w:wordWrap w:val="0"/>
      <w:jc w:val="both"/>
    </w:pPr>
    <w:rPr>
      <w:rFonts w:ascii="Calibri" w:hAnsi="Calibri" w:eastAsia="宋体" w:cs="Times New Roman"/>
      <w:sz w:val="21"/>
      <w:szCs w:val="22"/>
      <w:lang w:val="en-US" w:eastAsia="zh-CN" w:bidi="ar-SA"/>
    </w:rPr>
  </w:style>
  <w:style w:type="paragraph" w:customStyle="1" w:styleId="42">
    <w:name w:val="HTML 预设格式1"/>
    <w:basedOn w:val="1"/>
    <w:autoRedefine/>
    <w:qFormat/>
    <w:uiPriority w:val="0"/>
    <w:rPr>
      <w:rFonts w:ascii="Courier New" w:hAnsi="Courier New"/>
      <w:sz w:val="20"/>
    </w:rPr>
  </w:style>
  <w:style w:type="paragraph" w:customStyle="1" w:styleId="43">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44">
    <w:name w:val="标题 1 字符"/>
    <w:link w:val="3"/>
    <w:autoRedefine/>
    <w:qFormat/>
    <w:uiPriority w:val="0"/>
    <w:rPr>
      <w:rFonts w:ascii="仿宋_GB2312" w:hAnsi="宋体" w:eastAsia="仿宋_GB2312"/>
      <w:b/>
      <w:kern w:val="2"/>
      <w:sz w:val="32"/>
    </w:rPr>
  </w:style>
  <w:style w:type="paragraph" w:customStyle="1" w:styleId="45">
    <w:name w:val="列出段落1"/>
    <w:basedOn w:val="1"/>
    <w:autoRedefine/>
    <w:qFormat/>
    <w:uiPriority w:val="34"/>
    <w:pPr>
      <w:ind w:firstLine="420" w:firstLineChars="200"/>
    </w:pPr>
  </w:style>
  <w:style w:type="paragraph" w:customStyle="1" w:styleId="46">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47">
    <w:name w:val="表格文字中"/>
    <w:basedOn w:val="1"/>
    <w:autoRedefine/>
    <w:qFormat/>
    <w:uiPriority w:val="0"/>
    <w:pPr>
      <w:adjustRightInd w:val="0"/>
      <w:snapToGrid w:val="0"/>
      <w:ind w:left="22" w:leftChars="8"/>
      <w:jc w:val="center"/>
    </w:pPr>
    <w:rPr>
      <w:szCs w:val="24"/>
    </w:rPr>
  </w:style>
  <w:style w:type="paragraph" w:customStyle="1" w:styleId="48">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49">
    <w:name w:val="表格标题"/>
    <w:basedOn w:val="1"/>
    <w:autoRedefine/>
    <w:qFormat/>
    <w:uiPriority w:val="0"/>
    <w:pPr>
      <w:adjustRightInd w:val="0"/>
      <w:snapToGrid w:val="0"/>
      <w:spacing w:beforeLines="50" w:afterLines="50"/>
      <w:ind w:left="22" w:leftChars="8"/>
      <w:jc w:val="center"/>
    </w:pPr>
    <w:rPr>
      <w:b/>
      <w:bCs/>
      <w:color w:val="000000"/>
      <w:sz w:val="32"/>
      <w:szCs w:val="32"/>
    </w:rPr>
  </w:style>
  <w:style w:type="character" w:customStyle="1" w:styleId="50">
    <w:name w:val="日期 字符"/>
    <w:link w:val="17"/>
    <w:autoRedefine/>
    <w:qFormat/>
    <w:uiPriority w:val="0"/>
    <w:rPr>
      <w:kern w:val="2"/>
      <w:sz w:val="28"/>
    </w:rPr>
  </w:style>
  <w:style w:type="character" w:customStyle="1" w:styleId="51">
    <w:name w:val="日期 Char1"/>
    <w:basedOn w:val="27"/>
    <w:autoRedefine/>
    <w:qFormat/>
    <w:uiPriority w:val="0"/>
    <w:rPr>
      <w:rFonts w:ascii="宋体"/>
      <w:sz w:val="24"/>
    </w:rPr>
  </w:style>
  <w:style w:type="paragraph" w:customStyle="1" w:styleId="52">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Table Paragraph"/>
    <w:basedOn w:val="1"/>
    <w:autoRedefine/>
    <w:qFormat/>
    <w:uiPriority w:val="1"/>
    <w:pPr>
      <w:jc w:val="left"/>
    </w:pPr>
    <w:rPr>
      <w:rFonts w:ascii="Calibri" w:hAnsi="Calibri"/>
      <w:sz w:val="22"/>
      <w:szCs w:val="22"/>
      <w:lang w:eastAsia="en-US"/>
    </w:rPr>
  </w:style>
  <w:style w:type="paragraph" w:customStyle="1" w:styleId="54">
    <w:name w:val="小标"/>
    <w:basedOn w:val="1"/>
    <w:autoRedefine/>
    <w:qFormat/>
    <w:uiPriority w:val="0"/>
    <w:pPr>
      <w:autoSpaceDE w:val="0"/>
      <w:autoSpaceDN w:val="0"/>
      <w:adjustRightInd w:val="0"/>
      <w:spacing w:line="288" w:lineRule="auto"/>
      <w:ind w:firstLine="480"/>
      <w:jc w:val="left"/>
      <w:textAlignment w:val="baseline"/>
    </w:pPr>
    <w:rPr>
      <w:rFonts w:ascii="黑体" w:eastAsia="黑体"/>
      <w:sz w:val="28"/>
    </w:rPr>
  </w:style>
  <w:style w:type="paragraph" w:customStyle="1" w:styleId="55">
    <w:name w:val="大分"/>
    <w:basedOn w:val="1"/>
    <w:autoRedefine/>
    <w:qFormat/>
    <w:uiPriority w:val="0"/>
    <w:pPr>
      <w:autoSpaceDE w:val="0"/>
      <w:autoSpaceDN w:val="0"/>
      <w:adjustRightInd w:val="0"/>
      <w:spacing w:line="288" w:lineRule="auto"/>
      <w:ind w:firstLine="480"/>
      <w:jc w:val="left"/>
      <w:textAlignment w:val="baseline"/>
    </w:pPr>
  </w:style>
  <w:style w:type="table" w:customStyle="1" w:styleId="56">
    <w:name w:val="Table Normal"/>
    <w:autoRedefine/>
    <w:semiHidden/>
    <w:unhideWhenUsed/>
    <w:qFormat/>
    <w:uiPriority w:val="2"/>
    <w:tblPr>
      <w:tblCellMar>
        <w:top w:w="0" w:type="dxa"/>
        <w:left w:w="0" w:type="dxa"/>
        <w:bottom w:w="0" w:type="dxa"/>
        <w:right w:w="0" w:type="dxa"/>
      </w:tblCellMar>
    </w:tblPr>
  </w:style>
  <w:style w:type="character" w:customStyle="1" w:styleId="57">
    <w:name w:val="正文文本 字符"/>
    <w:link w:val="11"/>
    <w:autoRedefine/>
    <w:qFormat/>
    <w:uiPriority w:val="0"/>
    <w:rPr>
      <w:kern w:val="2"/>
      <w:sz w:val="21"/>
    </w:rPr>
  </w:style>
  <w:style w:type="paragraph" w:customStyle="1" w:styleId="58">
    <w:name w:val="无间隔1"/>
    <w:autoRedefine/>
    <w:qFormat/>
    <w:uiPriority w:val="1"/>
    <w:pPr>
      <w:widowControl w:val="0"/>
    </w:pPr>
    <w:rPr>
      <w:rFonts w:ascii="Calibri" w:hAnsi="Calibri" w:eastAsia="宋体" w:cs="Times New Roman"/>
      <w:kern w:val="2"/>
      <w:sz w:val="21"/>
      <w:szCs w:val="22"/>
      <w:lang w:val="en-US" w:eastAsia="zh-CN" w:bidi="ar-SA"/>
    </w:rPr>
  </w:style>
  <w:style w:type="paragraph" w:customStyle="1" w:styleId="59">
    <w:name w:val="正文 New"/>
    <w:autoRedefine/>
    <w:qFormat/>
    <w:uiPriority w:val="99"/>
    <w:pPr>
      <w:widowControl w:val="0"/>
      <w:jc w:val="both"/>
    </w:pPr>
    <w:rPr>
      <w:rFonts w:ascii="Calibri" w:hAnsi="Calibri" w:eastAsia="宋体" w:cs="Times New Roman"/>
      <w:lang w:val="en-US" w:eastAsia="zh-CN" w:bidi="ar-SA"/>
    </w:rPr>
  </w:style>
  <w:style w:type="paragraph" w:customStyle="1" w:styleId="60">
    <w:name w:val="样式 仿宋_GB2312 四号 行距: 1.5 倍行距"/>
    <w:basedOn w:val="1"/>
    <w:autoRedefine/>
    <w:qFormat/>
    <w:uiPriority w:val="0"/>
    <w:pPr>
      <w:spacing w:line="360" w:lineRule="auto"/>
      <w:ind w:firstLine="560" w:firstLineChars="200"/>
    </w:pPr>
    <w:rPr>
      <w:rFonts w:ascii="仿宋_GB2312" w:eastAsia="仿宋_GB2312" w:cs="宋体"/>
      <w:kern w:val="2"/>
      <w:sz w:val="28"/>
    </w:rPr>
  </w:style>
  <w:style w:type="character" w:customStyle="1" w:styleId="61">
    <w:name w:val="font41"/>
    <w:basedOn w:val="27"/>
    <w:autoRedefine/>
    <w:qFormat/>
    <w:uiPriority w:val="0"/>
    <w:rPr>
      <w:rFonts w:hint="eastAsia" w:ascii="宋体" w:hAnsi="宋体" w:eastAsia="宋体" w:cs="宋体"/>
      <w:b/>
      <w:bCs/>
      <w:color w:val="000000"/>
      <w:sz w:val="22"/>
      <w:szCs w:val="22"/>
      <w:u w:val="none"/>
    </w:rPr>
  </w:style>
  <w:style w:type="character" w:customStyle="1" w:styleId="62">
    <w:name w:val="font21"/>
    <w:basedOn w:val="27"/>
    <w:autoRedefine/>
    <w:qFormat/>
    <w:uiPriority w:val="0"/>
    <w:rPr>
      <w:rFonts w:hint="default" w:ascii="Times New Roman" w:hAnsi="Times New Roman" w:cs="Times New Roman"/>
      <w:b/>
      <w:bCs/>
      <w:color w:val="000000"/>
      <w:sz w:val="22"/>
      <w:szCs w:val="22"/>
      <w:u w:val="none"/>
    </w:rPr>
  </w:style>
  <w:style w:type="character" w:customStyle="1" w:styleId="63">
    <w:name w:val="font01"/>
    <w:basedOn w:val="27"/>
    <w:autoRedefine/>
    <w:qFormat/>
    <w:uiPriority w:val="0"/>
    <w:rPr>
      <w:rFonts w:hint="eastAsia" w:ascii="宋体" w:hAnsi="宋体" w:eastAsia="宋体" w:cs="宋体"/>
      <w:color w:val="000000"/>
      <w:sz w:val="22"/>
      <w:szCs w:val="22"/>
      <w:u w:val="none"/>
    </w:rPr>
  </w:style>
  <w:style w:type="character" w:customStyle="1" w:styleId="64">
    <w:name w:val="font31"/>
    <w:basedOn w:val="27"/>
    <w:autoRedefine/>
    <w:qFormat/>
    <w:uiPriority w:val="0"/>
    <w:rPr>
      <w:rFonts w:hint="default" w:ascii="Times New Roman" w:hAnsi="Times New Roman" w:cs="Times New Roman"/>
      <w:color w:val="000000"/>
      <w:sz w:val="22"/>
      <w:szCs w:val="22"/>
      <w:u w:val="none"/>
    </w:rPr>
  </w:style>
  <w:style w:type="paragraph" w:customStyle="1" w:styleId="65">
    <w:name w:val="正文缩进1"/>
    <w:basedOn w:val="1"/>
    <w:autoRedefine/>
    <w:qFormat/>
    <w:uiPriority w:val="0"/>
    <w:pPr>
      <w:ind w:firstLine="420" w:firstLineChars="200"/>
    </w:pPr>
  </w:style>
  <w:style w:type="paragraph" w:customStyle="1" w:styleId="66">
    <w:name w:val="正文文本1"/>
    <w:basedOn w:val="1"/>
    <w:autoRedefine/>
    <w:unhideWhenUsed/>
    <w:qFormat/>
    <w:uiPriority w:val="0"/>
    <w:pPr>
      <w:shd w:val="clear" w:color="auto" w:fill="FFFFFF"/>
      <w:spacing w:line="240" w:lineRule="atLeast"/>
      <w:jc w:val="left"/>
    </w:pPr>
    <w:rPr>
      <w:rFonts w:ascii="Times New Roman" w:eastAsia="Times New Roman"/>
      <w:sz w:val="11"/>
    </w:rPr>
  </w:style>
  <w:style w:type="paragraph" w:customStyle="1" w:styleId="67">
    <w:name w:val="Revision"/>
    <w:autoRedefine/>
    <w:hidden/>
    <w:semiHidden/>
    <w:qFormat/>
    <w:uiPriority w:val="99"/>
    <w:rPr>
      <w:rFonts w:ascii="宋体" w:hAnsi="Times New Roman" w:eastAsia="宋体" w:cs="Times New Roman"/>
      <w:sz w:val="24"/>
      <w:lang w:val="en-US" w:eastAsia="zh-CN" w:bidi="ar-SA"/>
    </w:rPr>
  </w:style>
  <w:style w:type="character" w:customStyle="1" w:styleId="68">
    <w:name w:val="批注文字 字符"/>
    <w:basedOn w:val="27"/>
    <w:link w:val="13"/>
    <w:autoRedefine/>
    <w:qFormat/>
    <w:uiPriority w:val="0"/>
    <w:rPr>
      <w:rFonts w:ascii="宋体"/>
      <w:sz w:val="24"/>
    </w:rPr>
  </w:style>
  <w:style w:type="character" w:customStyle="1" w:styleId="69">
    <w:name w:val="批注主题 字符"/>
    <w:basedOn w:val="68"/>
    <w:link w:val="24"/>
    <w:autoRedefine/>
    <w:qFormat/>
    <w:uiPriority w:val="0"/>
    <w:rPr>
      <w:rFonts w:ascii="宋体"/>
      <w:b/>
      <w:bCs/>
      <w:sz w:val="24"/>
    </w:rPr>
  </w:style>
  <w:style w:type="paragraph" w:customStyle="1" w:styleId="70">
    <w:name w:val="纯文本1"/>
    <w:basedOn w:val="1"/>
    <w:autoRedefine/>
    <w:qFormat/>
    <w:uiPriority w:val="0"/>
    <w:pPr>
      <w:spacing w:line="324" w:lineRule="auto"/>
    </w:pPr>
    <w:rPr>
      <w:rFonts w:hAnsi="Courier New" w:cs="Courier New"/>
      <w:szCs w:val="21"/>
    </w:rPr>
  </w:style>
  <w:style w:type="character" w:customStyle="1" w:styleId="71">
    <w:name w:val="font11"/>
    <w:basedOn w:val="27"/>
    <w:uiPriority w:val="0"/>
    <w:rPr>
      <w:rFonts w:hint="eastAsia" w:ascii="宋体" w:hAnsi="宋体" w:eastAsia="宋体" w:cs="宋体"/>
      <w:color w:val="000000"/>
      <w:sz w:val="32"/>
      <w:szCs w:val="32"/>
      <w:u w:val="none"/>
    </w:rPr>
  </w:style>
  <w:style w:type="character" w:customStyle="1" w:styleId="72">
    <w:name w:val="font61"/>
    <w:basedOn w:val="27"/>
    <w:qFormat/>
    <w:uiPriority w:val="0"/>
    <w:rPr>
      <w:rFonts w:hint="eastAsia" w:ascii="宋体" w:hAnsi="宋体" w:eastAsia="宋体" w:cs="宋体"/>
      <w:color w:val="000000"/>
      <w:sz w:val="22"/>
      <w:szCs w:val="22"/>
      <w:u w:val="none"/>
    </w:rPr>
  </w:style>
  <w:style w:type="character" w:customStyle="1" w:styleId="73">
    <w:name w:val="font101"/>
    <w:basedOn w:val="27"/>
    <w:qFormat/>
    <w:uiPriority w:val="0"/>
    <w:rPr>
      <w:rFonts w:ascii="Calibri" w:hAnsi="Calibri" w:cs="Calibri"/>
      <w:color w:val="000000"/>
      <w:sz w:val="22"/>
      <w:szCs w:val="22"/>
      <w:u w:val="none"/>
    </w:rPr>
  </w:style>
  <w:style w:type="character" w:customStyle="1" w:styleId="74">
    <w:name w:val="font71"/>
    <w:basedOn w:val="27"/>
    <w:uiPriority w:val="0"/>
    <w:rPr>
      <w:rFonts w:hint="eastAsia" w:ascii="宋体" w:hAnsi="宋体" w:eastAsia="宋体" w:cs="宋体"/>
      <w:color w:val="000000"/>
      <w:sz w:val="22"/>
      <w:szCs w:val="22"/>
      <w:u w:val="none"/>
    </w:rPr>
  </w:style>
  <w:style w:type="paragraph" w:customStyle="1" w:styleId="75">
    <w:name w:val="@正文"/>
    <w:basedOn w:val="76"/>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76">
    <w:name w:val="※正文"/>
    <w:basedOn w:val="1"/>
    <w:next w:val="1"/>
    <w:autoRedefine/>
    <w:qFormat/>
    <w:uiPriority w:val="0"/>
    <w:pPr>
      <w:wordWrap w:val="0"/>
      <w:spacing w:line="400" w:lineRule="exact"/>
    </w:pPr>
    <w:rPr>
      <w:rFonts w:ascii="Calibri Light" w:hAnsi="Calibri Light" w:eastAsia="华文仿宋"/>
      <w:sz w:val="28"/>
      <w:szCs w:val="28"/>
    </w:rPr>
  </w:style>
  <w:style w:type="paragraph" w:styleId="7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127</Pages>
  <Words>48465</Words>
  <Characters>53721</Characters>
  <Lines>322</Lines>
  <Paragraphs>90</Paragraphs>
  <TotalTime>328</TotalTime>
  <ScaleCrop>false</ScaleCrop>
  <LinksUpToDate>false</LinksUpToDate>
  <CharactersWithSpaces>56081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2023-08-04T03:33:00Z</dcterms:created>
  <dc:creator>权鑫</dc:creator>
  <cp:lastModifiedBy>张静静</cp:lastModifiedBy>
  <cp:lastPrinted>2023-09-25T01:20:00Z</cp:lastPrinted>
  <dcterms:modified xsi:type="dcterms:W3CDTF">2024-06-21T10:00:41Z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2816B8EE45DF4E108E89051592D56B4F_13</vt:lpwstr>
  </property>
</Properties>
</file>