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华文隶书" w:hAnsi="华文隶书" w:eastAsia="华文隶书" w:cs="华文隶书"/>
          <w:color w:val="auto"/>
          <w:sz w:val="21"/>
          <w:szCs w:val="21"/>
          <w:lang w:val="en-US" w:eastAsia="zh-CN"/>
        </w:rPr>
      </w:pPr>
      <w:r>
        <w:rPr>
          <w:rFonts w:hint="eastAsia" w:ascii="华文隶书" w:hAnsi="华文隶书" w:eastAsia="华文隶书" w:cs="华文隶书"/>
          <w:color w:val="auto"/>
          <w:sz w:val="21"/>
          <w:szCs w:val="21"/>
          <w:lang w:val="en-US" w:eastAsia="zh-CN"/>
        </w:rPr>
        <w:t>03</w:t>
      </w:r>
      <w:bookmarkStart w:id="280" w:name="_GoBack"/>
      <w:bookmarkEnd w:id="280"/>
      <w:r>
        <w:rPr>
          <w:rFonts w:hint="eastAsia" w:ascii="华文隶书" w:hAnsi="华文隶书" w:eastAsia="华文隶书" w:cs="华文隶书"/>
          <w:color w:val="auto"/>
          <w:sz w:val="21"/>
          <w:szCs w:val="21"/>
        </w:rPr>
        <w:t>项目编号：SXGT202</w:t>
      </w:r>
      <w:r>
        <w:rPr>
          <w:rFonts w:hint="eastAsia" w:ascii="华文隶书" w:hAnsi="华文隶书" w:eastAsia="华文隶书" w:cs="华文隶书"/>
          <w:color w:val="auto"/>
          <w:sz w:val="21"/>
          <w:szCs w:val="21"/>
          <w:lang w:val="en-US" w:eastAsia="zh-CN"/>
        </w:rPr>
        <w:t>4</w:t>
      </w:r>
      <w:r>
        <w:rPr>
          <w:rFonts w:hint="eastAsia" w:ascii="华文隶书" w:hAnsi="华文隶书" w:eastAsia="华文隶书" w:cs="华文隶书"/>
          <w:color w:val="auto"/>
          <w:sz w:val="21"/>
          <w:szCs w:val="21"/>
        </w:rPr>
        <w:t>-AK-0</w:t>
      </w:r>
      <w:r>
        <w:rPr>
          <w:rFonts w:hint="eastAsia" w:ascii="华文隶书" w:hAnsi="华文隶书" w:eastAsia="华文隶书" w:cs="华文隶书"/>
          <w:color w:val="auto"/>
          <w:sz w:val="21"/>
          <w:szCs w:val="21"/>
          <w:lang w:val="en-US" w:eastAsia="zh-CN"/>
        </w:rPr>
        <w:t>17</w:t>
      </w:r>
    </w:p>
    <w:p>
      <w:pPr>
        <w:rPr>
          <w:rFonts w:ascii="华文隶书" w:hAnsi="华文隶书" w:eastAsia="华文隶书" w:cs="华文隶书"/>
          <w:color w:val="auto"/>
          <w:szCs w:val="21"/>
        </w:rPr>
      </w:pPr>
    </w:p>
    <w:p>
      <w:pPr>
        <w:rPr>
          <w:rFonts w:ascii="华文隶书" w:hAnsi="华文隶书" w:eastAsia="华文隶书" w:cs="华文隶书"/>
          <w:color w:val="auto"/>
          <w:szCs w:val="21"/>
        </w:rPr>
      </w:pPr>
    </w:p>
    <w:p>
      <w:pPr>
        <w:rPr>
          <w:rFonts w:ascii="华文隶书" w:hAnsi="华文隶书" w:eastAsia="华文隶书" w:cs="华文隶书"/>
          <w:color w:val="auto"/>
          <w:szCs w:val="21"/>
        </w:rPr>
      </w:pPr>
    </w:p>
    <w:p>
      <w:pPr>
        <w:pStyle w:val="6"/>
        <w:spacing w:line="700" w:lineRule="exact"/>
        <w:jc w:val="center"/>
        <w:rPr>
          <w:rFonts w:hint="eastAsia" w:ascii="华文琥珀" w:hAnsi="华文琥珀" w:eastAsia="华文琥珀" w:cs="华文琥珀"/>
          <w:color w:val="auto"/>
          <w:sz w:val="48"/>
          <w:szCs w:val="48"/>
          <w:lang w:val="en-US" w:eastAsia="zh-CN"/>
        </w:rPr>
      </w:pPr>
      <w:r>
        <w:rPr>
          <w:rFonts w:hint="eastAsia" w:ascii="华文琥珀" w:hAnsi="华文琥珀" w:eastAsia="华文琥珀" w:cs="华文琥珀"/>
          <w:color w:val="auto"/>
          <w:sz w:val="48"/>
          <w:szCs w:val="48"/>
          <w:lang w:val="en-US" w:eastAsia="zh-CN"/>
        </w:rPr>
        <w:t>平利县人民法院机关办公楼后围墙维护工程及安检大厅改造装修工程项目</w:t>
      </w:r>
    </w:p>
    <w:p>
      <w:pPr>
        <w:pStyle w:val="6"/>
        <w:spacing w:line="700" w:lineRule="exact"/>
        <w:jc w:val="center"/>
        <w:rPr>
          <w:rFonts w:ascii="华文琥珀" w:hAnsi="华文琥珀" w:eastAsia="华文琥珀" w:cs="华文琥珀"/>
          <w:color w:val="auto"/>
          <w:sz w:val="48"/>
          <w:szCs w:val="48"/>
        </w:rPr>
      </w:pPr>
      <w:r>
        <w:rPr>
          <w:rFonts w:hint="eastAsia" w:ascii="华文琥珀" w:hAnsi="华文琥珀" w:eastAsia="华文琥珀" w:cs="华文琥珀"/>
          <w:color w:val="auto"/>
          <w:sz w:val="48"/>
          <w:szCs w:val="48"/>
        </w:rPr>
        <w:t>竞争性磋商文件</w:t>
      </w: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rPr>
          <w:rFonts w:ascii="华文琥珀" w:hAnsi="华文琥珀" w:eastAsia="华文琥珀" w:cs="华文琥珀"/>
          <w:color w:val="auto"/>
        </w:rPr>
      </w:pPr>
    </w:p>
    <w:p>
      <w:pPr>
        <w:pStyle w:val="11"/>
        <w:ind w:firstLine="420" w:firstLineChars="200"/>
        <w:jc w:val="center"/>
        <w:rPr>
          <w:rFonts w:ascii="华文琥珀" w:hAnsi="华文琥珀" w:eastAsia="华文琥珀" w:cs="华文琥珀"/>
          <w:color w:val="auto"/>
        </w:rPr>
      </w:pPr>
    </w:p>
    <w:p>
      <w:pPr>
        <w:pStyle w:val="11"/>
        <w:ind w:firstLine="1687" w:firstLineChars="600"/>
        <w:rPr>
          <w:rFonts w:hint="default" w:ascii="华文琥珀" w:hAnsi="华文琥珀" w:eastAsia="华文琥珀" w:cs="华文琥珀"/>
          <w:b/>
          <w:bCs/>
          <w:color w:val="auto"/>
          <w:sz w:val="28"/>
          <w:szCs w:val="28"/>
          <w:lang w:val="en-US"/>
        </w:rPr>
      </w:pPr>
      <w:r>
        <w:rPr>
          <w:rFonts w:hint="eastAsia" w:ascii="华文琥珀" w:hAnsi="华文琥珀" w:eastAsia="华文琥珀" w:cs="华文琥珀"/>
          <w:b/>
          <w:bCs/>
          <w:color w:val="auto"/>
          <w:sz w:val="28"/>
          <w:szCs w:val="28"/>
        </w:rPr>
        <w:t>采 购 人名称：</w:t>
      </w:r>
      <w:r>
        <w:rPr>
          <w:rFonts w:hint="eastAsia" w:ascii="华文琥珀" w:hAnsi="华文琥珀" w:eastAsia="华文琥珀" w:cs="华文琥珀"/>
          <w:b/>
          <w:bCs/>
          <w:color w:val="auto"/>
          <w:sz w:val="28"/>
          <w:szCs w:val="28"/>
          <w:lang w:val="en-US" w:eastAsia="zh-CN"/>
        </w:rPr>
        <w:t>平利县人民法院</w:t>
      </w:r>
    </w:p>
    <w:p>
      <w:pPr>
        <w:pStyle w:val="11"/>
        <w:ind w:firstLine="1687" w:firstLineChars="600"/>
        <w:rPr>
          <w:rFonts w:ascii="Times New Roman" w:hAnsi="Times New Roman" w:eastAsia="MingLiU_HKSCS" w:cs="Times New Roman"/>
          <w:b/>
          <w:bCs/>
          <w:color w:val="auto"/>
        </w:rPr>
      </w:pPr>
      <w:r>
        <w:rPr>
          <w:rFonts w:hint="eastAsia" w:ascii="华文琥珀" w:hAnsi="华文琥珀" w:eastAsia="华文琥珀" w:cs="华文琥珀"/>
          <w:b/>
          <w:bCs/>
          <w:color w:val="auto"/>
          <w:sz w:val="28"/>
          <w:szCs w:val="28"/>
        </w:rPr>
        <w:t>采购代理机构：陕西国泰招标代理有限公司</w:t>
      </w:r>
      <w:r>
        <w:rPr>
          <w:rFonts w:hint="eastAsia" w:ascii="华文琥珀" w:hAnsi="华文琥珀" w:eastAsia="华文琥珀" w:cs="华文琥珀"/>
          <w:b/>
          <w:bCs/>
          <w:color w:val="auto"/>
        </w:rPr>
        <w:t xml:space="preserve"> </w:t>
      </w:r>
    </w:p>
    <w:p>
      <w:pPr>
        <w:pStyle w:val="11"/>
        <w:ind w:firstLine="420" w:firstLineChars="200"/>
        <w:rPr>
          <w:rFonts w:ascii="Times New Roman" w:hAnsi="Times New Roman" w:eastAsia="MingLiU_HKSCS" w:cs="Times New Roman"/>
          <w:b/>
          <w:bCs/>
          <w:color w:val="auto"/>
        </w:rPr>
      </w:pPr>
    </w:p>
    <w:p>
      <w:pPr>
        <w:pStyle w:val="6"/>
        <w:spacing w:line="700" w:lineRule="exact"/>
        <w:jc w:val="center"/>
        <w:rPr>
          <w:rFonts w:ascii="华文琥珀" w:hAnsi="华文琥珀" w:eastAsia="华文琥珀" w:cs="华文琥珀"/>
          <w:color w:val="auto"/>
          <w:sz w:val="28"/>
          <w:szCs w:val="28"/>
        </w:rPr>
        <w:sectPr>
          <w:headerReference r:id="rId3" w:type="default"/>
          <w:pgSz w:w="11906" w:h="16838"/>
          <w:pgMar w:top="1440" w:right="1800" w:bottom="1440" w:left="1800" w:header="851" w:footer="992" w:gutter="0"/>
          <w:cols w:space="425" w:num="1"/>
          <w:titlePg/>
          <w:docGrid w:type="lines" w:linePitch="312" w:charSpace="0"/>
        </w:sectPr>
      </w:pPr>
      <w:r>
        <w:rPr>
          <w:rFonts w:hint="eastAsia" w:ascii="华文琥珀" w:hAnsi="华文琥珀" w:eastAsia="华文琥珀" w:cs="华文琥珀"/>
          <w:color w:val="auto"/>
          <w:sz w:val="28"/>
          <w:szCs w:val="28"/>
        </w:rPr>
        <w:t>二〇二</w:t>
      </w:r>
      <w:r>
        <w:rPr>
          <w:rFonts w:hint="eastAsia" w:ascii="华文琥珀" w:hAnsi="华文琥珀" w:eastAsia="华文琥珀" w:cs="华文琥珀"/>
          <w:color w:val="auto"/>
          <w:sz w:val="28"/>
          <w:szCs w:val="28"/>
          <w:lang w:val="en-US" w:eastAsia="zh-CN"/>
        </w:rPr>
        <w:t>四</w:t>
      </w:r>
      <w:r>
        <w:rPr>
          <w:rFonts w:hint="eastAsia" w:ascii="华文琥珀" w:hAnsi="华文琥珀" w:eastAsia="华文琥珀" w:cs="华文琥珀"/>
          <w:color w:val="auto"/>
          <w:sz w:val="28"/>
          <w:szCs w:val="28"/>
        </w:rPr>
        <w:t>年</w:t>
      </w:r>
      <w:r>
        <w:rPr>
          <w:rFonts w:hint="eastAsia" w:ascii="华文琥珀" w:hAnsi="华文琥珀" w:eastAsia="华文琥珀" w:cs="华文琥珀"/>
          <w:color w:val="auto"/>
          <w:sz w:val="28"/>
          <w:szCs w:val="28"/>
          <w:lang w:val="en-US" w:eastAsia="zh-CN"/>
        </w:rPr>
        <w:t>七</w:t>
      </w:r>
      <w:r>
        <w:rPr>
          <w:rFonts w:hint="eastAsia" w:ascii="华文琥珀" w:hAnsi="华文琥珀" w:eastAsia="华文琥珀" w:cs="华文琥珀"/>
          <w:color w:val="auto"/>
          <w:sz w:val="28"/>
          <w:szCs w:val="28"/>
        </w:rPr>
        <w:t>月</w:t>
      </w:r>
    </w:p>
    <w:p>
      <w:pPr>
        <w:rPr>
          <w:color w:val="auto"/>
        </w:rPr>
      </w:pPr>
    </w:p>
    <w:p>
      <w:pPr>
        <w:pStyle w:val="6"/>
        <w:spacing w:line="700" w:lineRule="exact"/>
        <w:jc w:val="center"/>
        <w:rPr>
          <w:rFonts w:ascii="黑体" w:hAnsi="黑体" w:eastAsia="黑体" w:cs="黑体"/>
          <w:b w:val="0"/>
          <w:bCs w:val="0"/>
          <w:color w:val="auto"/>
          <w:sz w:val="48"/>
          <w:szCs w:val="48"/>
        </w:rPr>
      </w:pPr>
    </w:p>
    <w:p>
      <w:pPr>
        <w:pStyle w:val="6"/>
        <w:spacing w:line="700" w:lineRule="exact"/>
        <w:jc w:val="center"/>
        <w:rPr>
          <w:rFonts w:ascii="黑体" w:hAnsi="黑体" w:eastAsia="黑体" w:cs="黑体"/>
          <w:color w:val="auto"/>
          <w:sz w:val="48"/>
          <w:szCs w:val="48"/>
        </w:rPr>
      </w:pPr>
      <w:r>
        <w:rPr>
          <w:rFonts w:hint="eastAsia" w:ascii="黑体" w:hAnsi="黑体" w:eastAsia="黑体" w:cs="黑体"/>
          <w:b w:val="0"/>
          <w:bCs w:val="0"/>
          <w:color w:val="auto"/>
          <w:sz w:val="48"/>
          <w:szCs w:val="48"/>
        </w:rPr>
        <w:t>目　  录</w:t>
      </w:r>
    </w:p>
    <w:p>
      <w:pPr>
        <w:jc w:val="center"/>
        <w:rPr>
          <w:rFonts w:ascii="黑体" w:hAnsi="黑体" w:eastAsia="黑体" w:cs="黑体"/>
          <w:color w:val="auto"/>
          <w:sz w:val="32"/>
          <w:szCs w:val="32"/>
        </w:rPr>
      </w:pPr>
    </w:p>
    <w:p>
      <w:pPr>
        <w:spacing w:line="800" w:lineRule="exact"/>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第一部分　商务部分</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第一章　磋商公告</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第二章　磋商须知</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第三章　评标方法及标准</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 xml:space="preserve">第四章　拟签订的合同文本 </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第五章　响应文件格式</w:t>
      </w:r>
    </w:p>
    <w:p>
      <w:pPr>
        <w:pStyle w:val="11"/>
        <w:spacing w:line="800" w:lineRule="exact"/>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第二部分　技术部分</w:t>
      </w:r>
    </w:p>
    <w:p>
      <w:pPr>
        <w:pStyle w:val="11"/>
        <w:spacing w:line="800" w:lineRule="exact"/>
        <w:rPr>
          <w:rFonts w:ascii="黑体" w:hAnsi="黑体" w:eastAsia="黑体" w:cs="黑体"/>
          <w:color w:val="auto"/>
          <w:sz w:val="28"/>
          <w:szCs w:val="28"/>
        </w:rPr>
      </w:pPr>
      <w:r>
        <w:rPr>
          <w:rFonts w:hint="eastAsia" w:ascii="黑体" w:hAnsi="黑体" w:eastAsia="黑体" w:cs="黑体"/>
          <w:color w:val="auto"/>
          <w:sz w:val="28"/>
          <w:szCs w:val="28"/>
        </w:rPr>
        <w:t>第六章　项目采购需求</w:t>
      </w: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rPr>
          <w:rFonts w:ascii="Times New Roman" w:hAnsi="Times New Roman" w:eastAsia="MingLiU_HKSCS" w:cs="Times New Roman"/>
          <w:color w:val="auto"/>
        </w:rPr>
      </w:pPr>
    </w:p>
    <w:p>
      <w:pPr>
        <w:pStyle w:val="11"/>
        <w:ind w:firstLine="420" w:firstLineChars="200"/>
        <w:jc w:val="center"/>
        <w:rPr>
          <w:rFonts w:ascii="Times New Roman" w:hAnsi="Times New Roman" w:cs="Times New Roman"/>
          <w:color w:val="auto"/>
        </w:rPr>
      </w:pPr>
    </w:p>
    <w:p>
      <w:pPr>
        <w:pStyle w:val="11"/>
        <w:ind w:firstLine="420" w:firstLineChars="200"/>
        <w:jc w:val="center"/>
        <w:rPr>
          <w:rFonts w:ascii="微软雅黑" w:hAnsi="微软雅黑" w:eastAsia="微软雅黑" w:cs="微软雅黑"/>
          <w:color w:val="auto"/>
        </w:rPr>
      </w:pPr>
    </w:p>
    <w:p>
      <w:pPr>
        <w:pStyle w:val="11"/>
        <w:ind w:firstLine="960" w:firstLineChars="200"/>
        <w:jc w:val="center"/>
        <w:rPr>
          <w:rFonts w:ascii="微软雅黑" w:hAnsi="微软雅黑" w:eastAsia="微软雅黑" w:cs="微软雅黑"/>
          <w:b/>
          <w:bCs/>
          <w:color w:val="auto"/>
          <w:sz w:val="48"/>
          <w:szCs w:val="48"/>
        </w:rPr>
      </w:pPr>
    </w:p>
    <w:p>
      <w:pPr>
        <w:pStyle w:val="11"/>
        <w:ind w:firstLine="960" w:firstLineChars="200"/>
        <w:jc w:val="center"/>
        <w:rPr>
          <w:rFonts w:ascii="微软雅黑" w:hAnsi="微软雅黑" w:eastAsia="微软雅黑" w:cs="微软雅黑"/>
          <w:b/>
          <w:bCs/>
          <w:color w:val="auto"/>
          <w:sz w:val="48"/>
          <w:szCs w:val="48"/>
        </w:rPr>
      </w:pPr>
    </w:p>
    <w:p>
      <w:pPr>
        <w:pStyle w:val="11"/>
        <w:ind w:firstLine="960" w:firstLineChars="200"/>
        <w:jc w:val="center"/>
        <w:rPr>
          <w:rFonts w:ascii="微软雅黑" w:hAnsi="微软雅黑" w:eastAsia="微软雅黑" w:cs="微软雅黑"/>
          <w:b/>
          <w:bCs/>
          <w:color w:val="auto"/>
          <w:sz w:val="48"/>
          <w:szCs w:val="48"/>
        </w:rPr>
      </w:pPr>
    </w:p>
    <w:p>
      <w:pPr>
        <w:pStyle w:val="11"/>
        <w:ind w:firstLine="960" w:firstLineChars="200"/>
        <w:jc w:val="center"/>
        <w:rPr>
          <w:rFonts w:ascii="微软雅黑" w:hAnsi="微软雅黑" w:eastAsia="微软雅黑" w:cs="微软雅黑"/>
          <w:b/>
          <w:bCs/>
          <w:color w:val="auto"/>
          <w:sz w:val="48"/>
          <w:szCs w:val="48"/>
        </w:rPr>
      </w:pPr>
    </w:p>
    <w:p>
      <w:pPr>
        <w:pStyle w:val="11"/>
        <w:ind w:firstLine="960" w:firstLineChars="200"/>
        <w:jc w:val="center"/>
        <w:rPr>
          <w:rFonts w:ascii="微软雅黑" w:hAnsi="微软雅黑" w:eastAsia="微软雅黑" w:cs="微软雅黑"/>
          <w:b/>
          <w:bCs/>
          <w:color w:val="auto"/>
          <w:sz w:val="48"/>
          <w:szCs w:val="48"/>
        </w:rPr>
      </w:pPr>
    </w:p>
    <w:p>
      <w:pPr>
        <w:pStyle w:val="11"/>
        <w:ind w:firstLine="960" w:firstLineChars="200"/>
        <w:jc w:val="center"/>
        <w:rPr>
          <w:rFonts w:ascii="微软雅黑" w:hAnsi="微软雅黑" w:eastAsia="微软雅黑" w:cs="微软雅黑"/>
          <w:b/>
          <w:bCs/>
          <w:color w:val="auto"/>
          <w:sz w:val="48"/>
          <w:szCs w:val="48"/>
        </w:rPr>
      </w:pPr>
      <w:r>
        <w:rPr>
          <w:rFonts w:hint="eastAsia" w:ascii="微软雅黑" w:hAnsi="微软雅黑" w:eastAsia="微软雅黑" w:cs="微软雅黑"/>
          <w:b/>
          <w:bCs/>
          <w:color w:val="auto"/>
          <w:sz w:val="48"/>
          <w:szCs w:val="48"/>
        </w:rPr>
        <w:t>第一部分　商务部分</w:t>
      </w:r>
    </w:p>
    <w:p>
      <w:pPr>
        <w:pStyle w:val="7"/>
        <w:jc w:val="center"/>
        <w:rPr>
          <w:rFonts w:ascii="微软雅黑" w:hAnsi="微软雅黑" w:eastAsia="微软雅黑" w:cs="微软雅黑"/>
          <w:color w:val="auto"/>
        </w:rPr>
      </w:pPr>
    </w:p>
    <w:p>
      <w:pPr>
        <w:rPr>
          <w:rFonts w:ascii="微软雅黑" w:hAnsi="微软雅黑" w:eastAsia="微软雅黑" w:cs="微软雅黑"/>
          <w:color w:val="auto"/>
        </w:rPr>
      </w:pPr>
    </w:p>
    <w:p>
      <w:pPr>
        <w:rPr>
          <w:rFonts w:ascii="微软雅黑" w:hAnsi="微软雅黑" w:eastAsia="微软雅黑" w:cs="微软雅黑"/>
          <w:color w:val="auto"/>
        </w:rPr>
      </w:pPr>
    </w:p>
    <w:p>
      <w:pPr>
        <w:rPr>
          <w:rFonts w:ascii="微软雅黑" w:hAnsi="微软雅黑" w:eastAsia="微软雅黑" w:cs="微软雅黑"/>
          <w:color w:val="auto"/>
        </w:rPr>
      </w:pPr>
    </w:p>
    <w:p>
      <w:pPr>
        <w:pStyle w:val="7"/>
        <w:jc w:val="center"/>
        <w:rPr>
          <w:rFonts w:ascii="微软雅黑" w:hAnsi="微软雅黑" w:eastAsia="微软雅黑" w:cs="微软雅黑"/>
          <w:color w:val="auto"/>
        </w:rPr>
      </w:pPr>
    </w:p>
    <w:p>
      <w:pPr>
        <w:rPr>
          <w:rFonts w:ascii="微软雅黑" w:hAnsi="微软雅黑" w:eastAsia="微软雅黑" w:cs="微软雅黑"/>
          <w:color w:val="auto"/>
        </w:rPr>
      </w:pPr>
    </w:p>
    <w:p>
      <w:pPr>
        <w:rPr>
          <w:rFonts w:ascii="微软雅黑" w:hAnsi="微软雅黑" w:eastAsia="微软雅黑" w:cs="微软雅黑"/>
          <w:color w:val="auto"/>
        </w:rPr>
      </w:pPr>
    </w:p>
    <w:p>
      <w:pPr>
        <w:rPr>
          <w:rFonts w:ascii="微软雅黑" w:hAnsi="微软雅黑" w:eastAsia="微软雅黑" w:cs="微软雅黑"/>
          <w:color w:val="auto"/>
        </w:rPr>
      </w:pPr>
    </w:p>
    <w:p>
      <w:pPr>
        <w:pStyle w:val="7"/>
        <w:spacing w:before="0" w:after="0" w:line="580" w:lineRule="exact"/>
        <w:rPr>
          <w:rFonts w:ascii="微软雅黑" w:hAnsi="微软雅黑" w:eastAsia="微软雅黑" w:cs="微软雅黑"/>
          <w:color w:val="auto"/>
          <w:sz w:val="32"/>
          <w:szCs w:val="32"/>
        </w:rPr>
      </w:pPr>
    </w:p>
    <w:p>
      <w:pPr>
        <w:rPr>
          <w:rFonts w:ascii="微软雅黑" w:hAnsi="微软雅黑" w:eastAsia="微软雅黑" w:cs="微软雅黑"/>
          <w:color w:val="auto"/>
          <w:sz w:val="32"/>
          <w:szCs w:val="32"/>
        </w:rPr>
      </w:pPr>
    </w:p>
    <w:p>
      <w:pPr>
        <w:pStyle w:val="32"/>
        <w:rPr>
          <w:color w:val="auto"/>
        </w:rPr>
      </w:pPr>
    </w:p>
    <w:p>
      <w:pPr>
        <w:pStyle w:val="7"/>
        <w:spacing w:before="0" w:after="0" w:line="580" w:lineRule="exact"/>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第一章　磋商公告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left"/>
        <w:textAlignment w:val="baseline"/>
        <w:rPr>
          <w:rFonts w:hint="eastAsia" w:ascii="微软雅黑" w:hAnsi="微软雅黑" w:eastAsia="微软雅黑" w:cs="微软雅黑"/>
          <w:b w:val="0"/>
          <w:bCs w:val="0"/>
          <w:color w:val="auto"/>
          <w:sz w:val="24"/>
          <w:szCs w:val="24"/>
        </w:rPr>
      </w:pPr>
      <w:r>
        <w:rPr>
          <w:rStyle w:val="21"/>
          <w:rFonts w:hint="eastAsia" w:ascii="微软雅黑" w:hAnsi="微软雅黑" w:eastAsia="微软雅黑" w:cs="微软雅黑"/>
          <w:b/>
          <w:bCs/>
          <w:i w:val="0"/>
          <w:iCs w:val="0"/>
          <w:caps w:val="0"/>
          <w:color w:val="auto"/>
          <w:spacing w:val="0"/>
          <w:sz w:val="24"/>
          <w:szCs w:val="24"/>
          <w:shd w:val="clear" w:fill="FFFFFF"/>
          <w:vertAlign w:val="baseline"/>
        </w:rPr>
        <w:t>项目概况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平利县人民法院机关办公楼后围墙维护工程及安检大厅改造装修工程项目</w:t>
      </w:r>
      <w:r>
        <w:rPr>
          <w:rFonts w:hint="eastAsia" w:ascii="微软雅黑" w:hAnsi="微软雅黑" w:eastAsia="微软雅黑" w:cs="微软雅黑"/>
          <w:i w:val="0"/>
          <w:iCs w:val="0"/>
          <w:caps w:val="0"/>
          <w:color w:val="auto"/>
          <w:spacing w:val="0"/>
          <w:sz w:val="24"/>
          <w:szCs w:val="24"/>
          <w:shd w:val="clear" w:fill="FFFFFF"/>
          <w:vertAlign w:val="baseline"/>
        </w:rPr>
        <w:t>潜在投标人应在全国公共资源交易平台（陕西省-安康市）获取招标文件，并于</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 202</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07</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18</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 xml:space="preserve">日 </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09</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时</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0分 （北京时间</w:t>
      </w:r>
      <w:r>
        <w:rPr>
          <w:rFonts w:hint="eastAsia" w:ascii="微软雅黑" w:hAnsi="微软雅黑" w:eastAsia="微软雅黑" w:cs="微软雅黑"/>
          <w:i w:val="0"/>
          <w:iCs w:val="0"/>
          <w:caps w:val="0"/>
          <w:color w:val="auto"/>
          <w:spacing w:val="0"/>
          <w:sz w:val="24"/>
          <w:szCs w:val="24"/>
          <w:shd w:val="clear" w:fill="FFFFFF"/>
          <w:vertAlign w:val="baseline"/>
        </w:rPr>
        <w:t>）前递交投标文件。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left"/>
        <w:textAlignment w:val="baseline"/>
        <w:rPr>
          <w:rFonts w:hint="eastAsia" w:ascii="微软雅黑" w:hAnsi="微软雅黑" w:eastAsia="微软雅黑" w:cs="微软雅黑"/>
          <w:b w:val="0"/>
          <w:bCs w:val="0"/>
          <w:i w:val="0"/>
          <w:iCs w:val="0"/>
          <w:caps w:val="0"/>
          <w:color w:val="auto"/>
          <w:spacing w:val="0"/>
          <w:sz w:val="24"/>
          <w:szCs w:val="24"/>
        </w:rPr>
      </w:pPr>
      <w:r>
        <w:rPr>
          <w:rStyle w:val="21"/>
          <w:rFonts w:hint="eastAsia" w:ascii="微软雅黑" w:hAnsi="微软雅黑" w:eastAsia="微软雅黑" w:cs="微软雅黑"/>
          <w:b/>
          <w:bCs/>
          <w:i w:val="0"/>
          <w:iCs w:val="0"/>
          <w:caps w:val="0"/>
          <w:color w:val="auto"/>
          <w:spacing w:val="0"/>
          <w:sz w:val="24"/>
          <w:szCs w:val="24"/>
          <w:shd w:val="clear" w:fill="FFFFFF"/>
          <w:vertAlign w:val="baseline"/>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default"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项目编号：SXGT20</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24</w:t>
      </w:r>
      <w:r>
        <w:rPr>
          <w:rFonts w:hint="eastAsia" w:ascii="微软雅黑" w:hAnsi="微软雅黑" w:eastAsia="微软雅黑" w:cs="微软雅黑"/>
          <w:i w:val="0"/>
          <w:iCs w:val="0"/>
          <w:caps w:val="0"/>
          <w:color w:val="auto"/>
          <w:spacing w:val="0"/>
          <w:sz w:val="24"/>
          <w:szCs w:val="24"/>
          <w:shd w:val="clear" w:fill="FFFFFF"/>
          <w:vertAlign w:val="baseline"/>
        </w:rPr>
        <w:t>-AK-0</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17</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479" w:leftChars="228" w:right="0" w:firstLine="0" w:firstLineChars="0"/>
        <w:jc w:val="both"/>
        <w:textAlignment w:val="baseline"/>
        <w:rPr>
          <w:rFonts w:hint="eastAsia"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项目名称：</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平利县人民法院机关办公楼后围墙维护工程及安检大厅改造装修工程项目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479" w:leftChars="228" w:right="0" w:firstLine="0" w:firstLineChars="0"/>
        <w:jc w:val="both"/>
        <w:textAlignment w:val="baseline"/>
        <w:rPr>
          <w:rFonts w:hint="default"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采购方式：</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竞争性磋商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采购需求：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合同包1(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机关办公楼后围墙维护工程及安检大厅改造装修</w:t>
      </w:r>
      <w:r>
        <w:rPr>
          <w:rFonts w:hint="eastAsia" w:ascii="微软雅黑" w:hAnsi="微软雅黑" w:eastAsia="微软雅黑" w:cs="微软雅黑"/>
          <w:i w:val="0"/>
          <w:iCs w:val="0"/>
          <w:caps w:val="0"/>
          <w:color w:val="auto"/>
          <w:spacing w:val="0"/>
          <w:sz w:val="24"/>
          <w:szCs w:val="24"/>
          <w:shd w:val="clear" w:fill="FFFFFF"/>
          <w:vertAlign w:val="baseline"/>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default" w:ascii="微软雅黑" w:hAnsi="微软雅黑" w:eastAsia="微软雅黑" w:cs="微软雅黑"/>
          <w:i w:val="0"/>
          <w:iCs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iCs w:val="0"/>
          <w:caps w:val="0"/>
          <w:color w:val="auto"/>
          <w:spacing w:val="0"/>
          <w:sz w:val="24"/>
          <w:szCs w:val="24"/>
          <w:shd w:val="clear" w:fill="FFFFFF"/>
          <w:vertAlign w:val="baseline"/>
        </w:rPr>
        <w:t>合同包预算金额：</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1,079,257.76</w:t>
      </w:r>
      <w:r>
        <w:rPr>
          <w:rFonts w:hint="eastAsia" w:ascii="微软雅黑" w:hAnsi="微软雅黑" w:eastAsia="微软雅黑" w:cs="微软雅黑"/>
          <w:i w:val="0"/>
          <w:iCs w:val="0"/>
          <w:caps w:val="0"/>
          <w:color w:val="auto"/>
          <w:spacing w:val="0"/>
          <w:sz w:val="24"/>
          <w:szCs w:val="24"/>
          <w:highlight w:val="none"/>
          <w:shd w:val="clear" w:fill="FFFFFF"/>
          <w:vertAlign w:val="baseline"/>
        </w:rPr>
        <w:t>元</w:t>
      </w:r>
      <w:r>
        <w:rPr>
          <w:rFonts w:hint="eastAsia" w:ascii="微软雅黑" w:hAnsi="微软雅黑" w:eastAsia="微软雅黑" w:cs="微软雅黑"/>
          <w:i w:val="0"/>
          <w:iCs w:val="0"/>
          <w:caps w:val="0"/>
          <w:color w:val="auto"/>
          <w:spacing w:val="0"/>
          <w:sz w:val="24"/>
          <w:szCs w:val="24"/>
          <w:highlight w:val="none"/>
          <w:shd w:val="clear" w:fill="FFFFFF"/>
          <w:vertAlign w:val="baseline"/>
          <w:lang w:val="en-US" w:eastAsia="zh-CN"/>
        </w:rPr>
        <w:t xml:space="preserve">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合同包最高限价：</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1,079,257.76</w:t>
      </w:r>
      <w:r>
        <w:rPr>
          <w:rFonts w:hint="eastAsia" w:ascii="微软雅黑" w:hAnsi="微软雅黑" w:eastAsia="微软雅黑" w:cs="微软雅黑"/>
          <w:i w:val="0"/>
          <w:iCs w:val="0"/>
          <w:caps w:val="0"/>
          <w:color w:val="auto"/>
          <w:spacing w:val="0"/>
          <w:sz w:val="24"/>
          <w:szCs w:val="24"/>
          <w:shd w:val="clear" w:fill="FFFFFF"/>
          <w:vertAlign w:val="baseline"/>
        </w:rPr>
        <w:t>元</w:t>
      </w:r>
    </w:p>
    <w:tbl>
      <w:tblPr>
        <w:tblStyle w:val="18"/>
        <w:tblW w:w="10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1"/>
        <w:gridCol w:w="1495"/>
        <w:gridCol w:w="1819"/>
        <w:gridCol w:w="1144"/>
        <w:gridCol w:w="1597"/>
        <w:gridCol w:w="1754"/>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85" w:hRule="atLeast"/>
          <w:tblHeader/>
          <w:jc w:val="center"/>
        </w:trPr>
        <w:tc>
          <w:tcPr>
            <w:tcW w:w="72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lang w:val="en-US" w:eastAsia="zh-CN" w:bidi="ar"/>
              </w:rPr>
              <w:t>品目号</w:t>
            </w:r>
          </w:p>
        </w:tc>
        <w:tc>
          <w:tcPr>
            <w:tcW w:w="149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kern w:val="0"/>
                <w:sz w:val="22"/>
                <w:szCs w:val="22"/>
                <w:lang w:val="en-US" w:eastAsia="zh-CN" w:bidi="ar"/>
              </w:rPr>
            </w:pPr>
            <w:r>
              <w:rPr>
                <w:rFonts w:hint="eastAsia" w:ascii="微软雅黑" w:hAnsi="微软雅黑" w:eastAsia="微软雅黑" w:cs="微软雅黑"/>
                <w:b/>
                <w:bCs/>
                <w:i w:val="0"/>
                <w:iCs w:val="0"/>
                <w:caps w:val="0"/>
                <w:color w:val="auto"/>
                <w:spacing w:val="0"/>
                <w:kern w:val="0"/>
                <w:sz w:val="21"/>
                <w:szCs w:val="21"/>
                <w:lang w:val="en-US" w:eastAsia="zh-CN" w:bidi="ar"/>
              </w:rPr>
              <w:t>品目名称</w:t>
            </w:r>
          </w:p>
        </w:tc>
        <w:tc>
          <w:tcPr>
            <w:tcW w:w="18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lang w:val="en-US" w:eastAsia="zh-CN" w:bidi="ar"/>
              </w:rPr>
              <w:t>采购标的</w:t>
            </w:r>
          </w:p>
        </w:tc>
        <w:tc>
          <w:tcPr>
            <w:tcW w:w="11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kern w:val="0"/>
                <w:sz w:val="22"/>
                <w:szCs w:val="22"/>
                <w:lang w:val="en-US" w:eastAsia="zh-CN" w:bidi="ar"/>
              </w:rPr>
            </w:pPr>
            <w:r>
              <w:rPr>
                <w:rFonts w:hint="eastAsia" w:ascii="微软雅黑" w:hAnsi="微软雅黑" w:eastAsia="微软雅黑" w:cs="微软雅黑"/>
                <w:b/>
                <w:bCs/>
                <w:color w:val="auto"/>
                <w:kern w:val="0"/>
                <w:sz w:val="22"/>
                <w:szCs w:val="22"/>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lang w:val="en-US" w:eastAsia="zh-CN" w:bidi="ar"/>
              </w:rPr>
              <w:t>（单位）</w:t>
            </w:r>
          </w:p>
        </w:tc>
        <w:tc>
          <w:tcPr>
            <w:tcW w:w="15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lang w:val="en-US" w:eastAsia="zh-CN" w:bidi="ar"/>
              </w:rPr>
              <w:t>技术规格、参数及要求</w:t>
            </w:r>
          </w:p>
        </w:tc>
        <w:tc>
          <w:tcPr>
            <w:tcW w:w="17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firstLine="210" w:firstLineChars="100"/>
              <w:jc w:val="both"/>
              <w:textAlignment w:val="center"/>
              <w:rPr>
                <w:rFonts w:hint="eastAsia" w:ascii="微软雅黑" w:hAnsi="微软雅黑" w:eastAsia="微软雅黑" w:cs="微软雅黑"/>
                <w:b/>
                <w:bCs/>
                <w:color w:val="auto"/>
                <w:sz w:val="22"/>
                <w:szCs w:val="22"/>
              </w:rPr>
            </w:pPr>
            <w:r>
              <w:rPr>
                <w:rFonts w:hint="eastAsia" w:ascii="微软雅黑" w:hAnsi="微软雅黑" w:eastAsia="微软雅黑" w:cs="微软雅黑"/>
                <w:b/>
                <w:bCs/>
                <w:i w:val="0"/>
                <w:iCs w:val="0"/>
                <w:caps w:val="0"/>
                <w:color w:val="auto"/>
                <w:spacing w:val="0"/>
                <w:kern w:val="0"/>
                <w:sz w:val="21"/>
                <w:szCs w:val="21"/>
                <w:lang w:val="en-US" w:eastAsia="zh-CN" w:bidi="ar"/>
              </w:rPr>
              <w:t>品目预算(元)</w:t>
            </w:r>
          </w:p>
        </w:tc>
        <w:tc>
          <w:tcPr>
            <w:tcW w:w="19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firstLine="220" w:firstLineChars="100"/>
              <w:jc w:val="both"/>
              <w:textAlignment w:val="center"/>
              <w:rPr>
                <w:rFonts w:hint="eastAsia" w:ascii="微软雅黑" w:hAnsi="微软雅黑" w:eastAsia="微软雅黑" w:cs="微软雅黑"/>
                <w:b/>
                <w:bCs/>
                <w:color w:val="auto"/>
                <w:kern w:val="0"/>
                <w:sz w:val="22"/>
                <w:szCs w:val="22"/>
                <w:lang w:val="en-US" w:eastAsia="zh-CN" w:bidi="ar"/>
              </w:rPr>
            </w:pPr>
            <w:r>
              <w:rPr>
                <w:rFonts w:hint="eastAsia" w:ascii="微软雅黑" w:hAnsi="微软雅黑" w:eastAsia="微软雅黑" w:cs="微软雅黑"/>
                <w:b/>
                <w:bCs/>
                <w:color w:val="auto"/>
                <w:kern w:val="0"/>
                <w:sz w:val="22"/>
                <w:szCs w:val="22"/>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4" w:hRule="atLeast"/>
          <w:jc w:val="center"/>
        </w:trPr>
        <w:tc>
          <w:tcPr>
            <w:tcW w:w="72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kern w:val="0"/>
                <w:sz w:val="22"/>
                <w:szCs w:val="22"/>
                <w:lang w:val="en-US" w:eastAsia="zh-CN" w:bidi="ar"/>
              </w:rPr>
              <w:t>1-1</w:t>
            </w:r>
          </w:p>
        </w:tc>
        <w:tc>
          <w:tcPr>
            <w:tcW w:w="149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default" w:ascii="微软雅黑" w:hAnsi="微软雅黑" w:eastAsia="微软雅黑" w:cs="微软雅黑"/>
                <w:color w:val="auto"/>
                <w:kern w:val="0"/>
                <w:sz w:val="22"/>
                <w:szCs w:val="22"/>
                <w:lang w:val="en-US" w:eastAsia="zh-CN" w:bidi="ar"/>
              </w:rPr>
            </w:pPr>
            <w:r>
              <w:rPr>
                <w:rFonts w:hint="default" w:ascii="微软雅黑" w:hAnsi="微软雅黑" w:eastAsia="微软雅黑" w:cs="微软雅黑"/>
                <w:color w:val="auto"/>
                <w:kern w:val="0"/>
                <w:sz w:val="22"/>
                <w:szCs w:val="22"/>
                <w:lang w:val="en-US" w:eastAsia="zh-CN" w:bidi="ar"/>
              </w:rPr>
              <w:t>其他建筑物、构筑物修缮</w:t>
            </w:r>
          </w:p>
        </w:tc>
        <w:tc>
          <w:tcPr>
            <w:tcW w:w="18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机关办公楼后围墙维护工程及安检大厅改造装修</w:t>
            </w:r>
          </w:p>
        </w:tc>
        <w:tc>
          <w:tcPr>
            <w:tcW w:w="11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center"/>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kern w:val="0"/>
                <w:sz w:val="22"/>
                <w:szCs w:val="22"/>
                <w:lang w:val="en-US" w:eastAsia="zh-CN" w:bidi="ar"/>
              </w:rPr>
              <w:t>1(项)</w:t>
            </w:r>
          </w:p>
        </w:tc>
        <w:tc>
          <w:tcPr>
            <w:tcW w:w="15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both"/>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kern w:val="0"/>
                <w:sz w:val="22"/>
                <w:szCs w:val="22"/>
                <w:lang w:val="en-US" w:eastAsia="zh-CN" w:bidi="ar"/>
              </w:rPr>
              <w:t>详见采购文件</w:t>
            </w:r>
          </w:p>
        </w:tc>
        <w:tc>
          <w:tcPr>
            <w:tcW w:w="17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both"/>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val="en-US" w:eastAsia="zh-CN"/>
              </w:rPr>
              <w:t>1,079,257.76</w:t>
            </w:r>
          </w:p>
        </w:tc>
        <w:tc>
          <w:tcPr>
            <w:tcW w:w="19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both"/>
              <w:textAlignment w:val="center"/>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1,079,257.76</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本合同包不接受联合体投标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baseline"/>
        <w:rPr>
          <w:rFonts w:hint="eastAsia" w:ascii="微软雅黑" w:hAnsi="微软雅黑" w:eastAsia="微软雅黑" w:cs="微软雅黑"/>
          <w:color w:val="auto"/>
          <w:kern w:val="2"/>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vertAlign w:val="baseline"/>
        </w:rPr>
        <w:t>合同履行期限：合同</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签订后90</w:t>
      </w:r>
      <w:r>
        <w:rPr>
          <w:rFonts w:hint="eastAsia" w:ascii="微软雅黑" w:hAnsi="微软雅黑" w:eastAsia="微软雅黑" w:cs="微软雅黑"/>
          <w:i w:val="0"/>
          <w:iCs w:val="0"/>
          <w:caps w:val="0"/>
          <w:color w:val="auto"/>
          <w:spacing w:val="0"/>
          <w:sz w:val="24"/>
          <w:szCs w:val="24"/>
          <w:shd w:val="clear" w:fill="FFFFFF"/>
          <w:vertAlign w:val="baseline"/>
        </w:rPr>
        <w:t>个</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日历日内</w:t>
      </w:r>
      <w:r>
        <w:rPr>
          <w:rFonts w:hint="eastAsia" w:ascii="微软雅黑" w:hAnsi="微软雅黑" w:eastAsia="微软雅黑" w:cs="微软雅黑"/>
          <w:i w:val="0"/>
          <w:iCs w:val="0"/>
          <w:caps w:val="0"/>
          <w:color w:val="auto"/>
          <w:spacing w:val="0"/>
          <w:sz w:val="24"/>
          <w:szCs w:val="24"/>
          <w:shd w:val="clear" w:fill="FFFFFF"/>
          <w:vertAlign w:val="baseli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auto"/>
          <w:spacing w:val="0"/>
          <w:sz w:val="24"/>
          <w:szCs w:val="24"/>
        </w:rPr>
      </w:pPr>
      <w:r>
        <w:rPr>
          <w:rStyle w:val="21"/>
          <w:rFonts w:hint="eastAsia" w:ascii="微软雅黑" w:hAnsi="微软雅黑" w:eastAsia="微软雅黑" w:cs="微软雅黑"/>
          <w:b/>
          <w:bCs/>
          <w:i w:val="0"/>
          <w:iCs w:val="0"/>
          <w:caps w:val="0"/>
          <w:color w:val="auto"/>
          <w:spacing w:val="0"/>
          <w:sz w:val="24"/>
          <w:szCs w:val="24"/>
          <w:shd w:val="clear" w:fill="FFFFFF"/>
          <w:vertAlign w:val="baseline"/>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color w:val="auto"/>
          <w:sz w:val="24"/>
          <w:szCs w:val="24"/>
        </w:rPr>
      </w:pPr>
      <w:r>
        <w:rPr>
          <w:rFonts w:hint="eastAsia" w:ascii="微软雅黑" w:hAnsi="微软雅黑" w:eastAsia="微软雅黑" w:cs="微软雅黑"/>
          <w:i w:val="0"/>
          <w:iCs w:val="0"/>
          <w:caps w:val="0"/>
          <w:color w:val="auto"/>
          <w:spacing w:val="0"/>
          <w:sz w:val="24"/>
          <w:szCs w:val="24"/>
          <w:shd w:val="clear" w:fill="FFFFFF"/>
          <w:vertAlign w:val="baseline"/>
        </w:rPr>
        <w:t>2.落实政府采购政策需满足的资格要求：</w:t>
      </w:r>
    </w:p>
    <w:p>
      <w:pPr>
        <w:keepNext w:val="0"/>
        <w:keepLines w:val="0"/>
        <w:pageBreakBefore w:val="0"/>
        <w:kinsoku/>
        <w:wordWrap/>
        <w:overflowPunct/>
        <w:topLinePunct w:val="0"/>
        <w:autoSpaceDE/>
        <w:autoSpaceDN/>
        <w:bidi w:val="0"/>
        <w:adjustRightInd/>
        <w:snapToGrid/>
        <w:spacing w:line="560" w:lineRule="exac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i w:val="0"/>
          <w:iCs w:val="0"/>
          <w:caps w:val="0"/>
          <w:color w:val="auto"/>
          <w:spacing w:val="0"/>
          <w:sz w:val="24"/>
          <w:szCs w:val="24"/>
          <w:shd w:val="clear" w:fill="FFFFFF"/>
          <w:vertAlign w:val="baseline"/>
        </w:rPr>
        <w:t>合同包1(</w:t>
      </w: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机关办公楼后围墙维护工程及安检大厅改造装修</w:t>
      </w:r>
      <w:r>
        <w:rPr>
          <w:rFonts w:hint="eastAsia" w:ascii="微软雅黑" w:hAnsi="微软雅黑" w:eastAsia="微软雅黑" w:cs="微软雅黑"/>
          <w:i w:val="0"/>
          <w:iCs w:val="0"/>
          <w:caps w:val="0"/>
          <w:color w:val="auto"/>
          <w:spacing w:val="0"/>
          <w:sz w:val="24"/>
          <w:szCs w:val="24"/>
          <w:shd w:val="clear" w:fill="FFFFFF"/>
          <w:vertAlign w:val="baseline"/>
        </w:rPr>
        <w:t>)落实政府采购政策需满足的资格要求如下:</w:t>
      </w:r>
      <w:r>
        <w:rPr>
          <w:rFonts w:hint="eastAsia" w:ascii="微软雅黑" w:hAnsi="微软雅黑" w:eastAsia="微软雅黑" w:cs="微软雅黑"/>
          <w:color w:val="auto"/>
          <w:sz w:val="24"/>
          <w:szCs w:val="24"/>
        </w:rPr>
        <w:t>《政府采购促进中小企业发展管理办法》（财库﹝2020﹞46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w:t>
      </w:r>
      <w:r>
        <w:rPr>
          <w:rFonts w:hint="eastAsia" w:ascii="微软雅黑" w:hAnsi="微软雅黑" w:eastAsia="微软雅黑" w:cs="微软雅黑"/>
          <w:color w:val="000000" w:themeColor="text1"/>
          <w:sz w:val="24"/>
          <w:szCs w:val="24"/>
          <w14:textFill>
            <w14:solidFill>
              <w14:schemeClr w14:val="tx1"/>
            </w14:solidFill>
          </w14:textFill>
        </w:rPr>
        <w:t>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《陕西省财政厅关于加快推进我省中小企业政府采购信用融资工作的通知》（陕财办采〔2020〕15号）；《陕西省中小企业政府采购信用融资办法》</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 xml:space="preserve">陕财办采〔2018〕23号 </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以及其他需要落实的政府采购政策。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3.本项目的特定资格要求：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合同包1(</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机关办公楼后围墙维护工程及安检大厅改造装修</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)特定资格要求如下:</w:t>
      </w:r>
    </w:p>
    <w:p>
      <w:pPr>
        <w:pStyle w:val="9"/>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3</w:t>
      </w:r>
      <w:r>
        <w:rPr>
          <w:rFonts w:ascii="微软雅黑" w:hAnsi="微软雅黑" w:eastAsia="微软雅黑" w:cs="微软雅黑"/>
          <w:color w:val="000000" w:themeColor="text1"/>
          <w:sz w:val="24"/>
          <w:szCs w:val="24"/>
          <w:highlight w:val="none"/>
          <w14:textFill>
            <w14:solidFill>
              <w14:schemeClr w14:val="tx1"/>
            </w14:solidFill>
          </w14:textFill>
        </w:rPr>
        <w:t>.1</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微软雅黑" w:hAnsi="微软雅黑" w:eastAsia="微软雅黑" w:cs="微软雅黑"/>
          <w:color w:val="000000" w:themeColor="text1"/>
          <w:sz w:val="24"/>
          <w:szCs w:val="24"/>
          <w:shd w:val="clear" w:color="auto" w:fill="FFFFFF"/>
          <w:lang w:val="en-US" w:eastAsia="zh-CN"/>
          <w14:textFill>
            <w14:solidFill>
              <w14:schemeClr w14:val="tx1"/>
            </w14:solidFill>
          </w14:textFill>
        </w:rPr>
        <w:t>具有独立承担民事责任能力的法人或其他组织，提供统一社会信用代码的营业执照。</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3.2、法定代表人授权书（附法定代表人身份证复印件）及被授</w:t>
      </w:r>
      <w:r>
        <w:rPr>
          <w:rFonts w:hint="eastAsia" w:ascii="微软雅黑" w:hAnsi="微软雅黑" w:eastAsia="微软雅黑" w:cs="微软雅黑"/>
          <w:color w:val="000000" w:themeColor="text1"/>
          <w:sz w:val="24"/>
          <w:szCs w:val="24"/>
          <w14:textFill>
            <w14:solidFill>
              <w14:schemeClr w14:val="tx1"/>
            </w14:solidFill>
          </w14:textFill>
        </w:rPr>
        <w:t>权人身份证。（法定代表人参加仅提供法定代表人身份证）。</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3.3、投标人必须提供参加政府采购活动前3年内在经营活动中没有重大违法记录的书面声明；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3.4、</w:t>
      </w:r>
      <w:r>
        <w:rPr>
          <w:rFonts w:hint="eastAsia" w:ascii="微软雅黑" w:hAnsi="微软雅黑" w:eastAsia="微软雅黑" w:cs="微软雅黑"/>
          <w:color w:val="000000" w:themeColor="text1"/>
          <w:sz w:val="24"/>
          <w:szCs w:val="24"/>
          <w14:textFill>
            <w14:solidFill>
              <w14:schemeClr w14:val="tx1"/>
            </w14:solidFill>
          </w14:textFill>
        </w:rPr>
        <w:t>财务状况报告：提供具有财务审计资质单位出具的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前一</w:t>
      </w:r>
      <w:r>
        <w:rPr>
          <w:rFonts w:hint="eastAsia" w:ascii="微软雅黑" w:hAnsi="微软雅黑" w:eastAsia="微软雅黑" w:cs="微软雅黑"/>
          <w:color w:val="000000" w:themeColor="text1"/>
          <w:sz w:val="24"/>
          <w:szCs w:val="24"/>
          <w14:textFill>
            <w14:solidFill>
              <w14:schemeClr w14:val="tx1"/>
            </w14:solidFill>
          </w14:textFill>
        </w:rPr>
        <w:t>年度财务报告（成立时间至投标截止时间不足一年的可提供成立后任意时段的资产负债表），或者投标截止时间六个月内基本开户银行出具的资信证明；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3.5</w:t>
      </w:r>
      <w:r>
        <w:rPr>
          <w:rFonts w:hint="eastAsia" w:ascii="微软雅黑" w:hAnsi="微软雅黑" w:eastAsia="微软雅黑" w:cs="微软雅黑"/>
          <w:color w:val="000000" w:themeColor="text1"/>
          <w:sz w:val="24"/>
          <w:szCs w:val="24"/>
          <w14:textFill>
            <w14:solidFill>
              <w14:schemeClr w14:val="tx1"/>
            </w14:solidFill>
          </w14:textFill>
        </w:rPr>
        <w:t>、税收缴纳证明：提供投标截止前</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一年</w:t>
      </w:r>
      <w:r>
        <w:rPr>
          <w:rFonts w:hint="eastAsia" w:ascii="微软雅黑" w:hAnsi="微软雅黑" w:eastAsia="微软雅黑" w:cs="微软雅黑"/>
          <w:color w:val="000000" w:themeColor="text1"/>
          <w:sz w:val="24"/>
          <w:szCs w:val="24"/>
          <w14:textFill>
            <w14:solidFill>
              <w14:schemeClr w14:val="tx1"/>
            </w14:solidFill>
          </w14:textFill>
        </w:rPr>
        <w:t>内已缴纳的至少提供</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个月的有效纳税凭证</w:t>
      </w:r>
      <w:r>
        <w:rPr>
          <w:rFonts w:hint="eastAsia" w:ascii="微软雅黑" w:hAnsi="微软雅黑" w:eastAsia="微软雅黑" w:cs="微软雅黑"/>
          <w:color w:val="000000" w:themeColor="text1"/>
          <w:sz w:val="24"/>
          <w:szCs w:val="21"/>
          <w:lang w:eastAsia="zh-CN"/>
          <w14:textFill>
            <w14:solidFill>
              <w14:schemeClr w14:val="tx1"/>
            </w14:solidFill>
          </w14:textFill>
        </w:rPr>
        <w:t>（</w:t>
      </w:r>
      <w:r>
        <w:rPr>
          <w:rFonts w:hint="eastAsia" w:ascii="微软雅黑" w:hAnsi="微软雅黑" w:eastAsia="微软雅黑" w:cs="微软雅黑"/>
          <w:color w:val="000000" w:themeColor="text1"/>
          <w:sz w:val="24"/>
          <w:szCs w:val="21"/>
          <w:lang w:val="en-US" w:eastAsia="zh-CN"/>
          <w14:textFill>
            <w14:solidFill>
              <w14:schemeClr w14:val="tx1"/>
            </w14:solidFill>
          </w14:textFill>
        </w:rPr>
        <w:t>企业所得税或营业税或增值税</w:t>
      </w:r>
      <w:r>
        <w:rPr>
          <w:rFonts w:hint="eastAsia" w:ascii="微软雅黑" w:hAnsi="微软雅黑" w:eastAsia="微软雅黑" w:cs="微软雅黑"/>
          <w:color w:val="000000" w:themeColor="text1"/>
          <w:sz w:val="24"/>
          <w:szCs w:val="21"/>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；（依法免税的申请人应提供相关文件证明）；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3.6</w:t>
      </w:r>
      <w:r>
        <w:rPr>
          <w:rFonts w:hint="eastAsia" w:ascii="微软雅黑" w:hAnsi="微软雅黑" w:eastAsia="微软雅黑" w:cs="微软雅黑"/>
          <w:color w:val="000000" w:themeColor="text1"/>
          <w:sz w:val="24"/>
          <w:szCs w:val="24"/>
          <w14:textFill>
            <w14:solidFill>
              <w14:schemeClr w14:val="tx1"/>
            </w14:solidFill>
          </w14:textFill>
        </w:rPr>
        <w:t>、社会保障资金缴纳证明：提供投标截止前一年内已缴存的至少</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个月的有效缴存单据或社保机构开具的社会保险参保缴费情况证明；（依法不需要缴纳社会保障资金的申请人应提供相关证明）；</w:t>
      </w:r>
    </w:p>
    <w:p>
      <w:pPr>
        <w:pStyle w:val="9"/>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7</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eastAsia="zh-CN"/>
          <w14:textFill>
            <w14:solidFill>
              <w14:schemeClr w14:val="tx1"/>
            </w14:solidFill>
          </w14:textFill>
        </w:rPr>
        <w:t>供应商</w:t>
      </w:r>
      <w:r>
        <w:rPr>
          <w:rFonts w:hint="eastAsia" w:ascii="微软雅黑" w:hAnsi="微软雅黑" w:eastAsia="微软雅黑" w:cs="微软雅黑"/>
          <w:color w:val="000000" w:themeColor="text1"/>
          <w:sz w:val="24"/>
          <w:szCs w:val="24"/>
          <w14:textFill>
            <w14:solidFill>
              <w14:schemeClr w14:val="tx1"/>
            </w14:solidFill>
          </w14:textFill>
        </w:rPr>
        <w:t>必须具备住建部门颁发的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建筑装修装饰工程专业</w:t>
      </w:r>
      <w:r>
        <w:rPr>
          <w:rFonts w:hint="eastAsia" w:ascii="微软雅黑" w:hAnsi="微软雅黑" w:eastAsia="微软雅黑" w:cs="微软雅黑"/>
          <w:color w:val="000000" w:themeColor="text1"/>
          <w:sz w:val="24"/>
          <w:szCs w:val="24"/>
          <w:lang w:eastAsia="zh-CN"/>
          <w14:textFill>
            <w14:solidFill>
              <w14:schemeClr w14:val="tx1"/>
            </w14:solidFill>
          </w14:textFill>
        </w:rPr>
        <w:t>承</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包二</w:t>
      </w:r>
      <w:r>
        <w:rPr>
          <w:rFonts w:hint="eastAsia" w:ascii="微软雅黑" w:hAnsi="微软雅黑" w:eastAsia="微软雅黑" w:cs="微软雅黑"/>
          <w:color w:val="000000" w:themeColor="text1"/>
          <w:sz w:val="24"/>
          <w:szCs w:val="24"/>
          <w14:textFill>
            <w14:solidFill>
              <w14:schemeClr w14:val="tx1"/>
            </w14:solidFill>
          </w14:textFill>
        </w:rPr>
        <w:t>级及以上资质和有效的安全生产许可证。</w:t>
      </w:r>
    </w:p>
    <w:p>
      <w:pPr>
        <w:pStyle w:val="9"/>
        <w:keepNext w:val="0"/>
        <w:keepLines w:val="0"/>
        <w:pageBreakBefore w:val="0"/>
        <w:kinsoku/>
        <w:wordWrap/>
        <w:overflowPunct/>
        <w:topLinePunct w:val="0"/>
        <w:autoSpaceDE/>
        <w:autoSpaceDN/>
        <w:bidi w:val="0"/>
        <w:adjustRightInd/>
        <w:snapToGrid/>
        <w:spacing w:line="560" w:lineRule="exact"/>
        <w:ind w:firstLine="480" w:firstLineChars="200"/>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3.8、供应商拟派项目经理必须具备二级及以上注册建造师执业资格和有效的安全生产考核合格证书，且无其他在建工程项目。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baseline"/>
        <w:rPr>
          <w:rStyle w:val="21"/>
          <w:rFonts w:hint="eastAsia" w:ascii="微软雅黑" w:hAnsi="微软雅黑" w:eastAsia="微软雅黑" w:cs="微软雅黑"/>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pPr>
      <w:r>
        <w:rPr>
          <w:rStyle w:val="21"/>
          <w:rFonts w:hint="eastAsia" w:ascii="微软雅黑" w:hAnsi="微软雅黑" w:eastAsia="微软雅黑" w:cs="微软雅黑"/>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3.9、本项目专门面向小微企业，供应商须提供中小企业声明函原件。根据《国民经济行业分类》（GB/T4754-2017）、《国家统计局关于印发&lt;统计上大中小微型企业划分办法（2017）&gt;的通知》国统字〔2017〕213号、工信部联企业〔2011〕300号文件本项目为建筑业，若声明与实际不符须承担相应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baseline"/>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三、获取招标文件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时间： 202</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07</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05</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日 至 202</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07</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11</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日 ，每天上午 09:00:00 至 1</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0:00 ，下午 14:</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0:00 至 17:00:00 （北京时间）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途径：全国公共资源交易平台（陕西省-安康市）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方式：</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线上</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获取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售价： 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四、提交投标文件截止时间、开标时间和地点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时间： 202</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07</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18</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 xml:space="preserve">日 </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09</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时</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0分00秒 （北京时间）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719" w:leftChars="228" w:right="0" w:hanging="240" w:hangingChars="100"/>
        <w:jc w:val="both"/>
        <w:textAlignment w:val="baseline"/>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提交投标文件地点：</w:t>
      </w: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安康市公共资源交易中心</w:t>
      </w: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官网不见面开标大厅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719" w:leftChars="228" w:right="0" w:hanging="240" w:hangingChars="100"/>
        <w:jc w:val="both"/>
        <w:textAlignment w:val="baseline"/>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开标地点：安康市公共资源交易中心</w:t>
      </w: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官网不见面开标大厅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五、公告期限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 xml:space="preserve">投标供应商使用捆绑陕西省公共资源交易平台的CA锁登录电子交易平台，通过政府采购系统企业端进入，点击“我要投标”并完善相关投标信息；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2</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 xml:space="preserve">投标供应商需在磋商公告发布之日起5个工作日内携带单位介绍信（或法人授权书）及本人身份证在代理机构处进行投标备案登记；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3</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 xml:space="preserve">投标供应商登录电子交易平台下载招标文件；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4</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本项目响应文件采用电子递交方式，不再接受纸质响应文件，相关操作流程详见全国公共资源交易平台（陕西省）网站[服务指南-下载专区]中的《陕西省公共资源交易中心政府采购项目投标指南》，开标前必需在全国公共资源交易平台（陕西省）网站上传电子文件。电子招标文件技术支持：4009280095、4009980000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5</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本项目采用远程不见面开标，相关操作流程详见全国公共资源交易平台（陕西省）网站〖首页〉服务指南〉下载专区〗中的《陕西省公共资源交易中心政府采购项目远程不见面开标操作手册（供应商版）》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val="en-US" w:eastAsia="zh-CN"/>
          <w14:textFill>
            <w14:solidFill>
              <w14:schemeClr w14:val="tx1"/>
            </w14:solidFill>
          </w14:textFill>
        </w:rPr>
        <w:t>6</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lang w:eastAsia="zh-CN"/>
          <w14:textFill>
            <w14:solidFill>
              <w14:schemeClr w14:val="tx1"/>
            </w14:solidFill>
          </w14:textFill>
        </w:rPr>
        <w:t>）</w:t>
      </w: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 xml:space="preserve">未完成网上投标成功的或未经招标代理公司备案登记确认的，无法完成后续流程。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（7）请各供应商下载磋商文件后，按照陕西省财政厅《关于政府采购供应商注册登记有关事项的通知》要求，通过陕西省政府采购网注册登记加入陕西省政府采购供应商库。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21"/>
          <w:rFonts w:hint="eastAsia" w:ascii="微软雅黑" w:hAnsi="微软雅黑" w:eastAsia="微软雅黑" w:cs="微软雅黑"/>
          <w:b/>
          <w:bCs/>
          <w:i w:val="0"/>
          <w:iCs w:val="0"/>
          <w:caps w:val="0"/>
          <w:color w:val="000000" w:themeColor="text1"/>
          <w:spacing w:val="0"/>
          <w:sz w:val="24"/>
          <w:szCs w:val="24"/>
          <w:shd w:val="clear" w:fill="FFFFFF"/>
          <w:vertAlign w:val="baseline"/>
          <w14:textFill>
            <w14:solidFill>
              <w14:schemeClr w14:val="tx1"/>
            </w14:solidFill>
          </w14:textFill>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1.采购人信息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4"/>
          <w:szCs w:val="24"/>
          <w:shd w:val="clear" w:fill="FFFFFF"/>
          <w:vertAlign w:val="baseline"/>
          <w:lang w:val="en-US" w:eastAsia="zh-CN"/>
          <w14:textFill>
            <w14:solidFill>
              <w14:schemeClr w14:val="tx1"/>
            </w14:solidFill>
          </w14:textFill>
        </w:rPr>
        <w:t>平利县人民法院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地址：陕西省安康市平利县城关镇东二路北端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联系</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方式</w:t>
      </w:r>
      <w:r>
        <w:rPr>
          <w:rFonts w:hint="eastAsia" w:ascii="微软雅黑" w:hAnsi="微软雅黑" w:eastAsia="微软雅黑" w:cs="微软雅黑"/>
          <w:color w:val="000000" w:themeColor="text1"/>
          <w:sz w:val="24"/>
          <w:szCs w:val="24"/>
          <w14:textFill>
            <w14:solidFill>
              <w14:schemeClr w14:val="tx1"/>
            </w14:solidFill>
          </w14:textFill>
        </w:rPr>
        <w:t>：0915-8428485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名称：陕西国泰招标代理有限公司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地址：安康市兴安中路44号君安大厦24楼（兴安公园斜对面）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联系方式：0915-3189913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baseline"/>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vertAlign w:val="baseline"/>
          <w14:textFill>
            <w14:solidFill>
              <w14:schemeClr w14:val="tx1"/>
            </w14:solidFill>
          </w14:textFill>
        </w:rPr>
        <w:t>项目联系人：徐倩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baseline"/>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4"/>
          <w:szCs w:val="24"/>
          <w:shd w:val="clear" w:fill="FFFFFF"/>
          <w:vertAlign w:val="baseline"/>
          <w14:textFill>
            <w14:solidFill>
              <w14:schemeClr w14:val="tx1"/>
            </w14:solidFill>
          </w14:textFill>
        </w:rPr>
        <w:t>电话：0915-3189913</w:t>
      </w:r>
    </w:p>
    <w:p>
      <w:pPr>
        <w:keepNext w:val="0"/>
        <w:keepLines w:val="0"/>
        <w:pageBreakBefore w:val="0"/>
        <w:kinsoku/>
        <w:wordWrap/>
        <w:overflowPunct/>
        <w:topLinePunct w:val="0"/>
        <w:autoSpaceDE/>
        <w:autoSpaceDN/>
        <w:bidi w:val="0"/>
        <w:adjustRightInd/>
        <w:snapToGrid/>
        <w:spacing w:line="560" w:lineRule="exact"/>
        <w:ind w:firstLine="480" w:firstLineChars="200"/>
        <w:jc w:val="right"/>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 xml:space="preserve"> 陕西国泰招标代理有限公司                             </w:t>
      </w:r>
    </w:p>
    <w:p>
      <w:pPr>
        <w:keepNext w:val="0"/>
        <w:keepLines w:val="0"/>
        <w:pageBreakBefore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b/>
          <w:color w:val="000000" w:themeColor="text1"/>
          <w:sz w:val="32"/>
          <w:szCs w:val="32"/>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202</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b w:val="0"/>
          <w:bCs/>
          <w:color w:val="000000" w:themeColor="text1"/>
          <w:sz w:val="24"/>
          <w:szCs w:val="24"/>
          <w14:textFill>
            <w14:solidFill>
              <w14:schemeClr w14:val="tx1"/>
            </w14:solidFill>
          </w14:textFill>
        </w:rPr>
        <w:t>年</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07</w:t>
      </w:r>
      <w:r>
        <w:rPr>
          <w:rFonts w:hint="eastAsia" w:ascii="微软雅黑" w:hAnsi="微软雅黑" w:eastAsia="微软雅黑" w:cs="微软雅黑"/>
          <w:b w:val="0"/>
          <w:bCs/>
          <w:color w:val="000000" w:themeColor="text1"/>
          <w:sz w:val="24"/>
          <w:szCs w:val="24"/>
          <w14:textFill>
            <w14:solidFill>
              <w14:schemeClr w14:val="tx1"/>
            </w14:solidFill>
          </w14:textFill>
        </w:rPr>
        <w:t>月</w:t>
      </w:r>
      <w:r>
        <w:rPr>
          <w:rFonts w:hint="eastAsia" w:ascii="微软雅黑" w:hAnsi="微软雅黑" w:eastAsia="微软雅黑" w:cs="微软雅黑"/>
          <w:b w:val="0"/>
          <w:bCs/>
          <w:color w:val="000000" w:themeColor="text1"/>
          <w:sz w:val="24"/>
          <w:szCs w:val="24"/>
          <w:lang w:val="en-US" w:eastAsia="zh-CN"/>
          <w14:textFill>
            <w14:solidFill>
              <w14:schemeClr w14:val="tx1"/>
            </w14:solidFill>
          </w14:textFill>
        </w:rPr>
        <w:t>04</w:t>
      </w:r>
      <w:r>
        <w:rPr>
          <w:rFonts w:hint="eastAsia" w:ascii="微软雅黑" w:hAnsi="微软雅黑" w:eastAsia="微软雅黑" w:cs="微软雅黑"/>
          <w:b w:val="0"/>
          <w:bCs/>
          <w:color w:val="000000" w:themeColor="text1"/>
          <w:sz w:val="24"/>
          <w:szCs w:val="24"/>
          <w14:textFill>
            <w14:solidFill>
              <w14:schemeClr w14:val="tx1"/>
            </w14:solidFill>
          </w14:textFill>
        </w:rPr>
        <w:t>日</w:t>
      </w:r>
    </w:p>
    <w:p>
      <w:pPr>
        <w:pStyle w:val="7"/>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微软雅黑" w:hAnsi="微软雅黑" w:eastAsia="微软雅黑" w:cs="微软雅黑"/>
          <w:color w:val="auto"/>
          <w:sz w:val="30"/>
          <w:szCs w:val="30"/>
        </w:rPr>
      </w:pPr>
    </w:p>
    <w:p>
      <w:pPr>
        <w:pStyle w:val="7"/>
        <w:keepNext/>
        <w:keepLines/>
        <w:pageBreakBefore w:val="0"/>
        <w:widowControl w:val="0"/>
        <w:kinsoku/>
        <w:wordWrap/>
        <w:overflowPunct/>
        <w:topLinePunct w:val="0"/>
        <w:autoSpaceDE/>
        <w:autoSpaceDN/>
        <w:bidi w:val="0"/>
        <w:adjustRightInd/>
        <w:snapToGrid/>
        <w:spacing w:before="0" w:after="0" w:line="600" w:lineRule="exact"/>
        <w:jc w:val="both"/>
        <w:textAlignment w:val="auto"/>
        <w:rPr>
          <w:rFonts w:hint="eastAsia" w:ascii="微软雅黑" w:hAnsi="微软雅黑" w:eastAsia="微软雅黑" w:cs="微软雅黑"/>
          <w:color w:val="auto"/>
          <w:sz w:val="30"/>
          <w:szCs w:val="30"/>
        </w:rPr>
      </w:pPr>
    </w:p>
    <w:p>
      <w:pPr>
        <w:rPr>
          <w:rFonts w:hint="eastAsia" w:ascii="微软雅黑" w:hAnsi="微软雅黑" w:eastAsia="微软雅黑" w:cs="微软雅黑"/>
          <w:color w:val="auto"/>
          <w:sz w:val="30"/>
          <w:szCs w:val="30"/>
        </w:rPr>
      </w:pPr>
    </w:p>
    <w:p>
      <w:pPr>
        <w:pStyle w:val="9"/>
        <w:rPr>
          <w:rFonts w:hint="eastAsia"/>
          <w:color w:val="auto"/>
        </w:rPr>
      </w:pPr>
    </w:p>
    <w:p>
      <w:pPr>
        <w:pStyle w:val="7"/>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微软雅黑" w:hAnsi="微软雅黑" w:eastAsia="微软雅黑" w:cs="微软雅黑"/>
          <w:color w:val="auto"/>
          <w:sz w:val="30"/>
          <w:szCs w:val="30"/>
        </w:rPr>
      </w:pPr>
      <w:r>
        <w:rPr>
          <w:rFonts w:hint="eastAsia" w:ascii="微软雅黑" w:hAnsi="微软雅黑" w:eastAsia="微软雅黑" w:cs="微软雅黑"/>
          <w:color w:val="auto"/>
          <w:sz w:val="30"/>
          <w:szCs w:val="30"/>
        </w:rPr>
        <w:t>第二章　磋商须知</w:t>
      </w:r>
    </w:p>
    <w:p>
      <w:pPr>
        <w:pStyle w:val="11"/>
        <w:ind w:firstLine="3080" w:firstLineChars="1100"/>
        <w:jc w:val="both"/>
        <w:rPr>
          <w:rFonts w:ascii="MingLiU_HKSCS" w:hAnsi="MingLiU_HKSCS" w:eastAsia="MingLiU_HKSCS" w:cs="MingLiU_HKSCS"/>
          <w:color w:val="auto"/>
          <w:sz w:val="28"/>
          <w:szCs w:val="28"/>
        </w:rPr>
      </w:pPr>
      <w:r>
        <w:rPr>
          <w:rFonts w:hint="eastAsia" w:ascii="Times New Roman" w:hAnsi="Times New Roman" w:eastAsia="黑体" w:cs="Times New Roman"/>
          <w:color w:val="auto"/>
          <w:sz w:val="28"/>
          <w:szCs w:val="28"/>
        </w:rPr>
        <w:t>磋商须知前附表</w:t>
      </w:r>
    </w:p>
    <w:tbl>
      <w:tblPr>
        <w:tblStyle w:val="18"/>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01"/>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序号</w:t>
            </w:r>
          </w:p>
        </w:tc>
        <w:tc>
          <w:tcPr>
            <w:tcW w:w="1701"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名称</w:t>
            </w:r>
          </w:p>
        </w:tc>
        <w:tc>
          <w:tcPr>
            <w:tcW w:w="638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vMerge w:val="restart"/>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采购项目</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lang w:val="en-US" w:eastAsia="zh-CN"/>
              </w:rPr>
              <w:t>平利县人民法院机关办公楼后围墙维护工程及安检大厅改造装修工程项目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11"/>
              <w:jc w:val="center"/>
              <w:rPr>
                <w:rFonts w:ascii="微软雅黑" w:hAnsi="微软雅黑" w:eastAsia="微软雅黑" w:cs="微软雅黑"/>
                <w:color w:val="auto"/>
              </w:rPr>
            </w:pPr>
          </w:p>
        </w:tc>
        <w:tc>
          <w:tcPr>
            <w:tcW w:w="1701" w:type="dxa"/>
            <w:vAlign w:val="center"/>
          </w:tcPr>
          <w:p>
            <w:pPr>
              <w:pStyle w:val="11"/>
              <w:jc w:val="both"/>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sz w:val="21"/>
                <w:szCs w:val="21"/>
              </w:rPr>
              <w:t>采购预算</w:t>
            </w:r>
          </w:p>
        </w:tc>
        <w:tc>
          <w:tcPr>
            <w:tcW w:w="6388" w:type="dxa"/>
            <w:vAlign w:val="center"/>
          </w:tcPr>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1,079,257.76元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11"/>
              <w:jc w:val="center"/>
              <w:rPr>
                <w:rFonts w:ascii="微软雅黑" w:hAnsi="微软雅黑" w:eastAsia="微软雅黑" w:cs="微软雅黑"/>
                <w:color w:val="auto"/>
              </w:rPr>
            </w:pPr>
          </w:p>
        </w:tc>
        <w:tc>
          <w:tcPr>
            <w:tcW w:w="170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本项目设定的</w:t>
            </w:r>
          </w:p>
          <w:p>
            <w:pPr>
              <w:pStyle w:val="11"/>
              <w:jc w:val="center"/>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sz w:val="21"/>
                <w:szCs w:val="21"/>
              </w:rPr>
              <w:t>最高限价</w:t>
            </w:r>
          </w:p>
        </w:tc>
        <w:tc>
          <w:tcPr>
            <w:tcW w:w="638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无</w:t>
            </w:r>
          </w:p>
          <w:p>
            <w:pPr>
              <w:pStyle w:val="11"/>
              <w:jc w:val="left"/>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有，金额：</w:t>
            </w:r>
            <w:r>
              <w:rPr>
                <w:rFonts w:hint="eastAsia" w:ascii="微软雅黑" w:hAnsi="微软雅黑" w:eastAsia="微软雅黑" w:cs="微软雅黑"/>
                <w:color w:val="auto"/>
                <w:sz w:val="21"/>
                <w:szCs w:val="21"/>
                <w:lang w:val="en-US" w:eastAsia="zh-CN"/>
              </w:rPr>
              <w:t>1,079,257.76</w:t>
            </w:r>
            <w:r>
              <w:rPr>
                <w:rFonts w:hint="eastAsia" w:ascii="微软雅黑" w:hAnsi="微软雅黑" w:eastAsia="微软雅黑" w:cs="微软雅黑"/>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11"/>
              <w:jc w:val="center"/>
              <w:rPr>
                <w:rFonts w:ascii="微软雅黑" w:hAnsi="微软雅黑" w:eastAsia="微软雅黑" w:cs="微软雅黑"/>
                <w:color w:val="auto"/>
              </w:rPr>
            </w:pP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公告媒体</w:t>
            </w:r>
          </w:p>
        </w:tc>
        <w:tc>
          <w:tcPr>
            <w:tcW w:w="6388" w:type="dxa"/>
            <w:vAlign w:val="center"/>
          </w:tcPr>
          <w:p>
            <w:pPr>
              <w:pStyle w:val="11"/>
              <w:jc w:val="left"/>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陕西省政府采购网及陕西省公共资源交易网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采购人</w:t>
            </w:r>
          </w:p>
        </w:tc>
        <w:tc>
          <w:tcPr>
            <w:tcW w:w="6388" w:type="dxa"/>
            <w:vAlign w:val="center"/>
          </w:tcPr>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rPr>
              <w:t>名称：</w:t>
            </w:r>
            <w:r>
              <w:rPr>
                <w:rFonts w:hint="eastAsia" w:ascii="微软雅黑" w:hAnsi="微软雅黑" w:eastAsia="微软雅黑" w:cs="微软雅黑"/>
                <w:color w:val="auto"/>
                <w:lang w:val="en-US" w:eastAsia="zh-CN"/>
              </w:rPr>
              <w:t>平利县人民法院</w:t>
            </w:r>
          </w:p>
          <w:p>
            <w:pPr>
              <w:pStyle w:val="11"/>
              <w:jc w:val="left"/>
              <w:rPr>
                <w:rFonts w:hint="eastAsia" w:ascii="微软雅黑" w:hAnsi="微软雅黑" w:eastAsia="微软雅黑" w:cs="微软雅黑"/>
                <w:color w:val="auto"/>
              </w:rPr>
            </w:pPr>
            <w:r>
              <w:rPr>
                <w:rFonts w:hint="eastAsia" w:ascii="微软雅黑" w:hAnsi="微软雅黑" w:eastAsia="微软雅黑" w:cs="微软雅黑"/>
                <w:color w:val="auto"/>
              </w:rPr>
              <w:t>地址：陕西省安康市平利县城关镇东二路北端</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电话：0915-8428485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3</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采购代理机构</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名称：陕西国泰招标代理有限公司</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地址：安康市兴安中路44号君安大厦24楼（兴安公园斜对面）</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电话：0915-3189913</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联系人：徐倩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4</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供应商产生方法</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公告</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□供应商库抽取</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□专家和采购人推荐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5</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供应商资格条件</w:t>
            </w:r>
          </w:p>
        </w:tc>
        <w:tc>
          <w:tcPr>
            <w:tcW w:w="6388" w:type="dxa"/>
            <w:vAlign w:val="center"/>
          </w:tcPr>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1.满足《中华人民共和国政府采购法》第二十二条规定;</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2.落实政府采购政策需满足的资格要求：</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合同包1(</w:t>
            </w:r>
            <w:r>
              <w:rPr>
                <w:rFonts w:hint="eastAsia" w:ascii="微软雅黑" w:hAnsi="微软雅黑" w:eastAsia="微软雅黑" w:cs="微软雅黑"/>
                <w:color w:val="auto"/>
                <w:lang w:val="en-US" w:eastAsia="zh-CN"/>
              </w:rPr>
              <w:t>机关办公楼后围墙维护工程及安检大厅改造装修</w:t>
            </w:r>
            <w:r>
              <w:rPr>
                <w:rFonts w:hint="eastAsia" w:ascii="微软雅黑" w:hAnsi="微软雅黑" w:eastAsia="微软雅黑" w:cs="微软雅黑"/>
                <w:color w:val="auto"/>
              </w:rPr>
              <w:t>)落实政府采购政策需满足的资格要求如下:《政府采购促进中小企业发展管理办法》（财库﹝2020﹞46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《陕西省财政厅关于加快推进我省中小企业政府采购信用融资工作的通知》（陕财办采〔2020〕15号）；《陕西省中小企业政府采购信用融资办法》</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 xml:space="preserve">陕财办采〔2018〕23号 </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以及其他需要落实的政府采购政策。</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b/>
                <w:bCs/>
                <w:color w:val="auto"/>
              </w:rPr>
            </w:pPr>
            <w:r>
              <w:rPr>
                <w:rFonts w:hint="eastAsia" w:ascii="微软雅黑" w:hAnsi="微软雅黑" w:eastAsia="微软雅黑" w:cs="微软雅黑"/>
                <w:b/>
                <w:bCs/>
                <w:color w:val="auto"/>
              </w:rPr>
              <w:t>3.本项目的特定资格要求：</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合同包1(</w:t>
            </w:r>
            <w:r>
              <w:rPr>
                <w:rFonts w:hint="eastAsia" w:ascii="微软雅黑" w:hAnsi="微软雅黑" w:eastAsia="微软雅黑" w:cs="微软雅黑"/>
                <w:color w:val="auto"/>
                <w:lang w:val="en-US" w:eastAsia="zh-CN"/>
              </w:rPr>
              <w:t>机关办公楼后围墙维护工程及安检大厅改造装修</w:t>
            </w:r>
            <w:r>
              <w:rPr>
                <w:rFonts w:hint="eastAsia" w:ascii="微软雅黑" w:hAnsi="微软雅黑" w:eastAsia="微软雅黑" w:cs="微软雅黑"/>
                <w:color w:val="auto"/>
              </w:rPr>
              <w:t>)特定资格要求如下:</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3.1、</w:t>
            </w:r>
            <w:r>
              <w:rPr>
                <w:rFonts w:hint="eastAsia" w:ascii="微软雅黑" w:hAnsi="微软雅黑" w:eastAsia="微软雅黑" w:cs="微软雅黑"/>
                <w:color w:val="auto"/>
                <w:lang w:val="en-US" w:eastAsia="zh-CN"/>
              </w:rPr>
              <w:t>具有独立承担民事责任能力的法人或其他组织，提供统一社会信用代码的营业执照。</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3.2、法定代表人授权书（附法定代表人身份证复印件）及被授权人身份证。（法定代表人参加仅提供法定代表人身份证）。</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3.3、投标人必须提供参加政府采购活动前3年内在经营活动中没有重大违法记录的书面声明；</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3.4、</w:t>
            </w:r>
            <w:r>
              <w:rPr>
                <w:rFonts w:hint="eastAsia" w:ascii="微软雅黑" w:hAnsi="微软雅黑" w:eastAsia="微软雅黑" w:cs="微软雅黑"/>
                <w:color w:val="auto"/>
              </w:rPr>
              <w:t>财务状况报告：提供具有财务审计资质单位出具的</w:t>
            </w:r>
            <w:r>
              <w:rPr>
                <w:rFonts w:hint="eastAsia" w:ascii="微软雅黑" w:hAnsi="微软雅黑" w:eastAsia="微软雅黑" w:cs="微软雅黑"/>
                <w:color w:val="auto"/>
                <w:lang w:val="en-US" w:eastAsia="zh-CN"/>
              </w:rPr>
              <w:t>前一</w:t>
            </w:r>
            <w:r>
              <w:rPr>
                <w:rFonts w:hint="eastAsia" w:ascii="微软雅黑" w:hAnsi="微软雅黑" w:eastAsia="微软雅黑" w:cs="微软雅黑"/>
                <w:color w:val="auto"/>
              </w:rPr>
              <w:t>年度财务报告（成立时间至投标截止时间不足一年的可提供成立后任意时段的资产负债表），或者投标截止时间六个月内基本开户银行出具的资信证明；</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3.5</w:t>
            </w:r>
            <w:r>
              <w:rPr>
                <w:rFonts w:hint="eastAsia" w:ascii="微软雅黑" w:hAnsi="微软雅黑" w:eastAsia="微软雅黑" w:cs="微软雅黑"/>
                <w:color w:val="auto"/>
              </w:rPr>
              <w:t>、税收缴纳证明：提供投标截止前</w:t>
            </w:r>
            <w:r>
              <w:rPr>
                <w:rFonts w:hint="eastAsia" w:ascii="微软雅黑" w:hAnsi="微软雅黑" w:eastAsia="微软雅黑" w:cs="微软雅黑"/>
                <w:color w:val="auto"/>
                <w:lang w:val="en-US" w:eastAsia="zh-CN"/>
              </w:rPr>
              <w:t>一年</w:t>
            </w:r>
            <w:r>
              <w:rPr>
                <w:rFonts w:hint="eastAsia" w:ascii="微软雅黑" w:hAnsi="微软雅黑" w:eastAsia="微软雅黑" w:cs="微软雅黑"/>
                <w:color w:val="auto"/>
              </w:rPr>
              <w:t>内已缴纳的至少提供</w:t>
            </w:r>
            <w:r>
              <w:rPr>
                <w:rFonts w:hint="eastAsia" w:ascii="微软雅黑" w:hAnsi="微软雅黑" w:eastAsia="微软雅黑" w:cs="微软雅黑"/>
                <w:color w:val="auto"/>
                <w:lang w:val="en-US" w:eastAsia="zh-CN"/>
              </w:rPr>
              <w:t>3</w:t>
            </w:r>
            <w:r>
              <w:rPr>
                <w:rFonts w:hint="eastAsia" w:ascii="微软雅黑" w:hAnsi="微软雅黑" w:eastAsia="微软雅黑" w:cs="微软雅黑"/>
                <w:color w:val="auto"/>
              </w:rPr>
              <w:t>个月的有效纳税凭证</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lang w:val="en-US" w:eastAsia="zh-CN"/>
              </w:rPr>
              <w:t>企业所得税或营业税或增值税</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；（依法免税的申请人应提供相关文件证明）；</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3.6</w:t>
            </w:r>
            <w:r>
              <w:rPr>
                <w:rFonts w:hint="eastAsia" w:ascii="微软雅黑" w:hAnsi="微软雅黑" w:eastAsia="微软雅黑" w:cs="微软雅黑"/>
                <w:color w:val="auto"/>
              </w:rPr>
              <w:t>、社会保障资金缴纳证明：提供投标截止前一年内已缴存的至少</w:t>
            </w:r>
            <w:r>
              <w:rPr>
                <w:rFonts w:hint="eastAsia" w:ascii="微软雅黑" w:hAnsi="微软雅黑" w:eastAsia="微软雅黑" w:cs="微软雅黑"/>
                <w:color w:val="auto"/>
                <w:lang w:val="en-US" w:eastAsia="zh-CN"/>
              </w:rPr>
              <w:t>3</w:t>
            </w:r>
            <w:r>
              <w:rPr>
                <w:rFonts w:hint="eastAsia" w:ascii="微软雅黑" w:hAnsi="微软雅黑" w:eastAsia="微软雅黑" w:cs="微软雅黑"/>
                <w:color w:val="auto"/>
              </w:rPr>
              <w:t>个月的有效缴存单据或社保机构开具的社会保险参保缴费情况证明；（依法不需要缴纳社会保障资金的申请人应提供相关证明）；</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3.</w:t>
            </w:r>
            <w:r>
              <w:rPr>
                <w:rFonts w:hint="eastAsia" w:ascii="微软雅黑" w:hAnsi="微软雅黑" w:eastAsia="微软雅黑" w:cs="微软雅黑"/>
                <w:color w:val="000000" w:themeColor="text1"/>
                <w:lang w:val="en-US" w:eastAsia="zh-CN"/>
                <w14:textFill>
                  <w14:solidFill>
                    <w14:schemeClr w14:val="tx1"/>
                  </w14:solidFill>
                </w14:textFill>
              </w:rPr>
              <w:t>7</w:t>
            </w:r>
            <w:r>
              <w:rPr>
                <w:rFonts w:hint="eastAsia" w:ascii="微软雅黑" w:hAnsi="微软雅黑" w:eastAsia="微软雅黑" w:cs="微软雅黑"/>
                <w:color w:val="000000" w:themeColor="text1"/>
                <w14:textFill>
                  <w14:solidFill>
                    <w14:schemeClr w14:val="tx1"/>
                  </w14:solidFill>
                </w14:textFill>
              </w:rPr>
              <w:t>、</w:t>
            </w:r>
            <w:r>
              <w:rPr>
                <w:rFonts w:hint="eastAsia" w:ascii="微软雅黑" w:hAnsi="微软雅黑" w:eastAsia="微软雅黑" w:cs="微软雅黑"/>
                <w:color w:val="000000" w:themeColor="text1"/>
                <w:lang w:eastAsia="zh-CN"/>
                <w14:textFill>
                  <w14:solidFill>
                    <w14:schemeClr w14:val="tx1"/>
                  </w14:solidFill>
                </w14:textFill>
              </w:rPr>
              <w:t>供应商</w:t>
            </w:r>
            <w:r>
              <w:rPr>
                <w:rFonts w:hint="eastAsia" w:ascii="微软雅黑" w:hAnsi="微软雅黑" w:eastAsia="微软雅黑" w:cs="微软雅黑"/>
                <w:color w:val="000000" w:themeColor="text1"/>
                <w14:textFill>
                  <w14:solidFill>
                    <w14:schemeClr w14:val="tx1"/>
                  </w14:solidFill>
                </w14:textFill>
              </w:rPr>
              <w:t>必须具备住建部门颁发的</w:t>
            </w:r>
            <w:r>
              <w:rPr>
                <w:rFonts w:hint="eastAsia" w:ascii="微软雅黑" w:hAnsi="微软雅黑" w:eastAsia="微软雅黑" w:cs="微软雅黑"/>
                <w:color w:val="000000" w:themeColor="text1"/>
                <w:lang w:val="en-US" w:eastAsia="zh-CN"/>
                <w14:textFill>
                  <w14:solidFill>
                    <w14:schemeClr w14:val="tx1"/>
                  </w14:solidFill>
                </w14:textFill>
              </w:rPr>
              <w:t>建筑装修装饰工程专业</w:t>
            </w:r>
            <w:r>
              <w:rPr>
                <w:rFonts w:hint="eastAsia" w:ascii="微软雅黑" w:hAnsi="微软雅黑" w:eastAsia="微软雅黑" w:cs="微软雅黑"/>
                <w:color w:val="000000" w:themeColor="text1"/>
                <w:lang w:eastAsia="zh-CN"/>
                <w14:textFill>
                  <w14:solidFill>
                    <w14:schemeClr w14:val="tx1"/>
                  </w14:solidFill>
                </w14:textFill>
              </w:rPr>
              <w:t>承</w:t>
            </w:r>
            <w:r>
              <w:rPr>
                <w:rFonts w:hint="eastAsia" w:ascii="微软雅黑" w:hAnsi="微软雅黑" w:eastAsia="微软雅黑" w:cs="微软雅黑"/>
                <w:color w:val="000000" w:themeColor="text1"/>
                <w:lang w:val="en-US" w:eastAsia="zh-CN"/>
                <w14:textFill>
                  <w14:solidFill>
                    <w14:schemeClr w14:val="tx1"/>
                  </w14:solidFill>
                </w14:textFill>
              </w:rPr>
              <w:t>包二</w:t>
            </w:r>
            <w:r>
              <w:rPr>
                <w:rFonts w:hint="eastAsia" w:ascii="微软雅黑" w:hAnsi="微软雅黑" w:eastAsia="微软雅黑" w:cs="微软雅黑"/>
                <w:color w:val="000000" w:themeColor="text1"/>
                <w14:textFill>
                  <w14:solidFill>
                    <w14:schemeClr w14:val="tx1"/>
                  </w14:solidFill>
                </w14:textFill>
              </w:rPr>
              <w:t>级及以上资质和有效的安全生产许可证。</w:t>
            </w:r>
          </w:p>
          <w:p>
            <w:pPr>
              <w:pStyle w:val="11"/>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3.8、供应商拟派项目经理必须具备二级及以上注册建造师执业资格和有效的安全生产考核合格证书，且无其他在建工程项目。</w:t>
            </w:r>
          </w:p>
          <w:p>
            <w:pPr>
              <w:pStyle w:val="11"/>
              <w:ind w:firstLine="420" w:firstLineChars="200"/>
              <w:jc w:val="left"/>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3.9、本项目专门面向小微企业，供应商须提供中小企业声明函原件。根据《国民经济行业分类》（GB/T4754-2017）、《国家统计局关于印发&lt;统计上大中小微型企业划分办法（2017）&gt;的通知》国统字〔2017〕213号、工信部联企业〔2011〕300号文件本项目为建筑业，若声明与实际不符须承担相应责任。</w:t>
            </w:r>
          </w:p>
          <w:p>
            <w:pPr>
              <w:pStyle w:val="11"/>
              <w:ind w:firstLine="420" w:firstLineChars="200"/>
              <w:jc w:val="left"/>
              <w:rPr>
                <w:rFonts w:ascii="微软雅黑" w:hAnsi="微软雅黑" w:eastAsia="微软雅黑" w:cs="微软雅黑"/>
                <w:color w:val="auto"/>
              </w:rPr>
            </w:pPr>
            <w:r>
              <w:rPr>
                <w:rFonts w:hint="eastAsia" w:ascii="微软雅黑" w:hAnsi="微软雅黑" w:eastAsia="微软雅黑" w:cs="微软雅黑"/>
                <w:color w:val="auto"/>
              </w:rPr>
              <w:t>以上</w:t>
            </w:r>
            <w:r>
              <w:rPr>
                <w:rFonts w:hint="eastAsia" w:ascii="微软雅黑" w:hAnsi="微软雅黑" w:eastAsia="微软雅黑" w:cs="微软雅黑"/>
                <w:b/>
                <w:bCs/>
                <w:color w:val="auto"/>
              </w:rPr>
              <w:t>特定资格要求</w:t>
            </w:r>
            <w:r>
              <w:rPr>
                <w:rFonts w:hint="eastAsia" w:ascii="微软雅黑" w:hAnsi="微软雅黑" w:eastAsia="微软雅黑" w:cs="微软雅黑"/>
                <w:color w:val="auto"/>
              </w:rPr>
              <w:t>内容均为必备投标要求，各投标人应按要求提供复印件加盖投标人鲜章，附在每份响应文件中。不符合招标文件投标要求的，其响应文件被视为无效标书，取消投标资格。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6</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项目现场勘察</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不组织</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□组织：____________________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7</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联合体</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不接受</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8</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进口产品</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本采购项目拒绝进口产品参加磋商</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□本采购项目已经财政部审核同意购买进口产品为：____________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restart"/>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9</w:t>
            </w: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政府采购强制采购：节能产品</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否</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□是，采购《节能产品政府采购清单》(第　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18" w:type="dxa"/>
            <w:vMerge w:val="continue"/>
            <w:vAlign w:val="center"/>
          </w:tcPr>
          <w:p>
            <w:pPr>
              <w:pStyle w:val="11"/>
              <w:jc w:val="center"/>
              <w:rPr>
                <w:rFonts w:ascii="微软雅黑" w:hAnsi="微软雅黑" w:eastAsia="微软雅黑" w:cs="微软雅黑"/>
                <w:color w:val="auto"/>
              </w:rPr>
            </w:pPr>
          </w:p>
        </w:tc>
        <w:tc>
          <w:tcPr>
            <w:tcW w:w="170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政府采购强制采购：信息安全认证</w:t>
            </w:r>
          </w:p>
        </w:tc>
        <w:tc>
          <w:tcPr>
            <w:tcW w:w="6388"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否</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818" w:type="dxa"/>
            <w:vMerge w:val="restart"/>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10</w:t>
            </w:r>
          </w:p>
        </w:tc>
        <w:tc>
          <w:tcPr>
            <w:tcW w:w="1701"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sz w:val="21"/>
                <w:szCs w:val="21"/>
              </w:rPr>
              <w:t>政府采购优先采购：节能产品(非强制类)</w:t>
            </w:r>
          </w:p>
        </w:tc>
        <w:tc>
          <w:tcPr>
            <w:tcW w:w="638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产品：</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对列入最新一期节能清单(非强制类)的产品在评审时予以加分，每项加</w:t>
            </w:r>
            <w:r>
              <w:rPr>
                <w:rFonts w:hint="eastAsia" w:ascii="微软雅黑" w:hAnsi="微软雅黑" w:eastAsia="微软雅黑" w:cs="微软雅黑"/>
                <w:color w:val="auto"/>
                <w:sz w:val="21"/>
                <w:szCs w:val="21"/>
                <w:u w:val="single"/>
                <w:lang w:val="en-US" w:eastAsia="zh-CN"/>
              </w:rPr>
              <w:t>0.5</w:t>
            </w:r>
            <w:r>
              <w:rPr>
                <w:rFonts w:hint="eastAsia" w:ascii="微软雅黑" w:hAnsi="微软雅黑" w:eastAsia="微软雅黑" w:cs="微软雅黑"/>
                <w:color w:val="auto"/>
                <w:sz w:val="21"/>
                <w:szCs w:val="21"/>
              </w:rPr>
              <w:t>分(最低评标价法不适用)</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sz w:val="21"/>
                <w:szCs w:val="21"/>
              </w:rPr>
              <w:t>□对列入最新一期节能清单(非强制类)的产品在评审时予以价格扣除，用扣除后的价格参与评审，本项目的扣除比例为：____%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18" w:type="dxa"/>
            <w:vMerge w:val="continue"/>
            <w:vAlign w:val="center"/>
          </w:tcPr>
          <w:p>
            <w:pPr>
              <w:pStyle w:val="11"/>
              <w:jc w:val="center"/>
              <w:rPr>
                <w:rFonts w:ascii="微软雅黑" w:hAnsi="微软雅黑" w:eastAsia="微软雅黑" w:cs="微软雅黑"/>
                <w:color w:val="auto"/>
              </w:rPr>
            </w:pPr>
          </w:p>
        </w:tc>
        <w:tc>
          <w:tcPr>
            <w:tcW w:w="1701"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sz w:val="21"/>
                <w:szCs w:val="21"/>
              </w:rPr>
              <w:t>政府采购优先采购：环境标志产品</w:t>
            </w:r>
          </w:p>
        </w:tc>
        <w:tc>
          <w:tcPr>
            <w:tcW w:w="638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产品：</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对列入最新一期环境标志产品清单(非强制类)的产品在评审时予以加分，每项加</w:t>
            </w:r>
            <w:r>
              <w:rPr>
                <w:rFonts w:hint="eastAsia" w:ascii="微软雅黑" w:hAnsi="微软雅黑" w:eastAsia="微软雅黑" w:cs="微软雅黑"/>
                <w:color w:val="auto"/>
                <w:sz w:val="21"/>
                <w:szCs w:val="21"/>
                <w:u w:val="single"/>
                <w:lang w:val="en-US" w:eastAsia="zh-CN"/>
              </w:rPr>
              <w:t>0.5</w:t>
            </w:r>
            <w:r>
              <w:rPr>
                <w:rFonts w:hint="eastAsia" w:ascii="微软雅黑" w:hAnsi="微软雅黑" w:eastAsia="微软雅黑" w:cs="微软雅黑"/>
                <w:color w:val="auto"/>
                <w:sz w:val="21"/>
                <w:szCs w:val="21"/>
              </w:rPr>
              <w:t>分(最低评标价法不适用)</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sz w:val="21"/>
                <w:szCs w:val="21"/>
              </w:rPr>
              <w:t>□对列入最新一期环境标志产品清单(非强制类)的产品在评审时予以价格扣除，用扣除后的价格参与评审，本项目的扣除比例为：____%</w:t>
            </w:r>
          </w:p>
        </w:tc>
      </w:tr>
    </w:tbl>
    <w:tbl>
      <w:tblPr>
        <w:tblStyle w:val="18"/>
        <w:tblpPr w:leftFromText="180" w:rightFromText="180" w:vertAnchor="text" w:horzAnchor="page" w:tblpX="1613" w:tblpY="164"/>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785"/>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0" w:hRule="atLeast"/>
        </w:trPr>
        <w:tc>
          <w:tcPr>
            <w:tcW w:w="824" w:type="dxa"/>
            <w:vMerge w:val="restart"/>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11</w:t>
            </w:r>
          </w:p>
        </w:tc>
        <w:tc>
          <w:tcPr>
            <w:tcW w:w="1785"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sz w:val="21"/>
                <w:szCs w:val="21"/>
              </w:rPr>
              <w:t>支持中小企业发展</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专门面向中小企业采购项目</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 xml:space="preserve"> 非专门面向中小企业采购项目(价格扣除)：</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①对小微型企业产品的价格给予</w:t>
            </w:r>
            <w:r>
              <w:rPr>
                <w:rFonts w:hint="eastAsia" w:ascii="微软雅黑" w:hAnsi="微软雅黑" w:eastAsia="微软雅黑" w:cs="微软雅黑"/>
                <w:color w:val="auto"/>
                <w:lang w:val="en-US" w:eastAsia="zh-CN"/>
              </w:rPr>
              <w:t>10</w:t>
            </w:r>
            <w:r>
              <w:rPr>
                <w:rFonts w:hint="eastAsia" w:ascii="微软雅黑" w:hAnsi="微软雅黑" w:eastAsia="微软雅黑" w:cs="微软雅黑"/>
                <w:color w:val="auto"/>
              </w:rPr>
              <w:t>%～</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0%（工程项目为3%—5%）的扣除，用扣除后的价格参与评审。本项目的扣除比例为：</w:t>
            </w:r>
            <w:r>
              <w:rPr>
                <w:rFonts w:hint="eastAsia" w:ascii="微软雅黑" w:hAnsi="微软雅黑" w:eastAsia="微软雅黑" w:cs="微软雅黑"/>
                <w:color w:val="auto"/>
                <w:u w:val="single"/>
                <w:lang w:val="en-US" w:eastAsia="zh-CN"/>
              </w:rPr>
              <w:t>3</w:t>
            </w:r>
            <w:r>
              <w:rPr>
                <w:rFonts w:hint="eastAsia" w:ascii="微软雅黑" w:hAnsi="微软雅黑" w:eastAsia="微软雅黑" w:cs="微软雅黑"/>
                <w:color w:val="auto"/>
              </w:rPr>
              <w:t>%。</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②本项目接受联合体投标的，若小型和微型企业的协议合同金额占到联合体协议合同总金额30%以上的，可给予联合体</w:t>
            </w:r>
            <w:r>
              <w:rPr>
                <w:rFonts w:hint="eastAsia" w:ascii="微软雅黑" w:hAnsi="微软雅黑" w:eastAsia="微软雅黑" w:cs="微软雅黑"/>
                <w:color w:val="auto"/>
                <w:lang w:val="en-US" w:eastAsia="zh-CN"/>
              </w:rPr>
              <w:t>4</w:t>
            </w:r>
            <w:r>
              <w:rPr>
                <w:rFonts w:hint="eastAsia" w:ascii="微软雅黑" w:hAnsi="微软雅黑" w:eastAsia="微软雅黑" w:cs="微软雅黑"/>
                <w:color w:val="auto"/>
              </w:rPr>
              <w:t>%～</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%（工程项目为1%—2%）的扣除，用扣除后的价格参与评审。本项目的扣除比例为：</w:t>
            </w:r>
            <w:r>
              <w:rPr>
                <w:rFonts w:hint="eastAsia" w:ascii="微软雅黑" w:hAnsi="微软雅黑" w:eastAsia="微软雅黑" w:cs="微软雅黑"/>
                <w:color w:val="auto"/>
                <w:u w:val="single"/>
              </w:rPr>
              <w:t>6%</w:t>
            </w:r>
            <w:r>
              <w:rPr>
                <w:rFonts w:hint="eastAsia" w:ascii="微软雅黑" w:hAnsi="微软雅黑" w:eastAsia="微软雅黑" w:cs="微软雅黑"/>
                <w:color w:val="auto"/>
              </w:rPr>
              <w:t>。</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□非专门面向中小企业采购项目(其他优惠)：</w:t>
            </w:r>
            <w:r>
              <w:rPr>
                <w:rFonts w:hint="eastAsia" w:ascii="微软雅黑" w:hAnsi="微软雅黑" w:eastAsia="微软雅黑" w:cs="微软雅黑"/>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824" w:type="dxa"/>
            <w:vMerge w:val="continue"/>
            <w:vAlign w:val="center"/>
          </w:tcPr>
          <w:p>
            <w:pPr>
              <w:pStyle w:val="11"/>
              <w:jc w:val="center"/>
              <w:rPr>
                <w:rFonts w:ascii="微软雅黑" w:hAnsi="微软雅黑" w:eastAsia="微软雅黑" w:cs="微软雅黑"/>
                <w:color w:val="auto"/>
              </w:rPr>
            </w:pPr>
          </w:p>
        </w:tc>
        <w:tc>
          <w:tcPr>
            <w:tcW w:w="1785"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sz w:val="21"/>
                <w:szCs w:val="21"/>
              </w:rPr>
              <w:t>支持监狱企业</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□专门面向监狱企业采购项目</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color w:val="auto"/>
                <w:u w:val="single"/>
              </w:rPr>
              <w:t>6</w:t>
            </w:r>
            <w:r>
              <w:rPr>
                <w:rFonts w:hint="eastAsia" w:ascii="微软雅黑" w:hAnsi="微软雅黑" w:eastAsia="微软雅黑" w:cs="微软雅黑"/>
                <w:color w:val="auto"/>
              </w:rPr>
              <w:t>%。</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□非专门面向监狱采购项目(其他优惠)：____________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12</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其他法律法规强制性规定的</w:t>
            </w:r>
          </w:p>
        </w:tc>
        <w:tc>
          <w:tcPr>
            <w:tcW w:w="6235" w:type="dxa"/>
            <w:vAlign w:val="center"/>
          </w:tcPr>
          <w:p>
            <w:pPr>
              <w:pStyle w:val="11"/>
              <w:jc w:val="left"/>
              <w:rPr>
                <w:rFonts w:ascii="微软雅黑" w:hAnsi="微软雅黑" w:eastAsia="微软雅黑" w:cs="微软雅黑"/>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13</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供应商须提供的其他资料</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供应商根据实际情况填写(如案例证明材料、人员投入情况)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14</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提交样品</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不要求提供</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□要求提供：____________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15</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澄清或者修改时间</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①、任何要求对竞争性磋商文件进行澄清的投标人，均应在磋商响应文件递交截止期5日前按竞争性磋商文件中的通讯地址以书面形式通知采购人和磋商组织机构，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②、在磋商响应文件递交截止前的任何时候，无论出于何种原因，磋商组织机构可主动地或在解答投标人提出的澄清问题时，对竞争性磋商文件进行修改；竞争性磋商文件的修改以书面形式通知所有投标人，并作为竞争性磋商文件的补充，与其具有同等法律效力；为使投标人编写磋商响应文件时，有充分时间对竞争性磋商文件的修改内容进行研究，磋商组织机构可以酌情延长谈判响应文件递交截止日期。</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③标书的解释权归采购人。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16</w:t>
            </w:r>
          </w:p>
        </w:tc>
        <w:tc>
          <w:tcPr>
            <w:tcW w:w="1785" w:type="dxa"/>
            <w:vAlign w:val="center"/>
          </w:tcPr>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递交磋商响应文件的截止时间和地点</w:t>
            </w:r>
          </w:p>
        </w:tc>
        <w:tc>
          <w:tcPr>
            <w:tcW w:w="6235" w:type="dxa"/>
            <w:vAlign w:val="center"/>
          </w:tcPr>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时间：</w:t>
            </w:r>
            <w:r>
              <w:rPr>
                <w:rFonts w:hint="eastAsia" w:ascii="微软雅黑" w:hAnsi="微软雅黑" w:eastAsia="微软雅黑" w:cs="微软雅黑"/>
                <w:color w:val="000000" w:themeColor="text1"/>
                <w:u w:val="single"/>
                <w14:textFill>
                  <w14:solidFill>
                    <w14:schemeClr w14:val="tx1"/>
                  </w14:solidFill>
                </w14:textFill>
              </w:rPr>
              <w:t>202</w:t>
            </w:r>
            <w:r>
              <w:rPr>
                <w:rFonts w:hint="eastAsia" w:ascii="微软雅黑" w:hAnsi="微软雅黑" w:eastAsia="微软雅黑" w:cs="微软雅黑"/>
                <w:color w:val="000000" w:themeColor="text1"/>
                <w:u w:val="single"/>
                <w:lang w:val="en-US" w:eastAsia="zh-CN"/>
                <w14:textFill>
                  <w14:solidFill>
                    <w14:schemeClr w14:val="tx1"/>
                  </w14:solidFill>
                </w14:textFill>
              </w:rPr>
              <w:t>4</w:t>
            </w:r>
            <w:r>
              <w:rPr>
                <w:rFonts w:hint="eastAsia" w:ascii="微软雅黑" w:hAnsi="微软雅黑" w:eastAsia="微软雅黑" w:cs="微软雅黑"/>
                <w:color w:val="000000" w:themeColor="text1"/>
                <w14:textFill>
                  <w14:solidFill>
                    <w14:schemeClr w14:val="tx1"/>
                  </w14:solidFill>
                </w14:textFill>
              </w:rPr>
              <w:t>年</w:t>
            </w:r>
            <w:r>
              <w:rPr>
                <w:rFonts w:hint="eastAsia" w:ascii="微软雅黑" w:hAnsi="微软雅黑" w:eastAsia="微软雅黑" w:cs="微软雅黑"/>
                <w:color w:val="000000" w:themeColor="text1"/>
                <w:u w:val="single"/>
                <w:lang w:val="en-US" w:eastAsia="zh-CN"/>
                <w14:textFill>
                  <w14:solidFill>
                    <w14:schemeClr w14:val="tx1"/>
                  </w14:solidFill>
                </w14:textFill>
              </w:rPr>
              <w:t>07</w:t>
            </w:r>
            <w:r>
              <w:rPr>
                <w:rFonts w:hint="eastAsia" w:ascii="微软雅黑" w:hAnsi="微软雅黑" w:eastAsia="微软雅黑" w:cs="微软雅黑"/>
                <w:color w:val="000000" w:themeColor="text1"/>
                <w14:textFill>
                  <w14:solidFill>
                    <w14:schemeClr w14:val="tx1"/>
                  </w14:solidFill>
                </w14:textFill>
              </w:rPr>
              <w:t>月</w:t>
            </w:r>
            <w:r>
              <w:rPr>
                <w:rFonts w:hint="eastAsia" w:ascii="微软雅黑" w:hAnsi="微软雅黑" w:eastAsia="微软雅黑" w:cs="微软雅黑"/>
                <w:color w:val="000000" w:themeColor="text1"/>
                <w:u w:val="single"/>
                <w:lang w:val="en-US" w:eastAsia="zh-CN"/>
                <w14:textFill>
                  <w14:solidFill>
                    <w14:schemeClr w14:val="tx1"/>
                  </w14:solidFill>
                </w14:textFill>
              </w:rPr>
              <w:t>18</w:t>
            </w:r>
            <w:r>
              <w:rPr>
                <w:rFonts w:hint="eastAsia" w:ascii="微软雅黑" w:hAnsi="微软雅黑" w:eastAsia="微软雅黑" w:cs="微软雅黑"/>
                <w:color w:val="000000" w:themeColor="text1"/>
                <w14:textFill>
                  <w14:solidFill>
                    <w14:schemeClr w14:val="tx1"/>
                  </w14:solidFill>
                </w14:textFill>
              </w:rPr>
              <w:t>日</w:t>
            </w:r>
            <w:r>
              <w:rPr>
                <w:rFonts w:hint="eastAsia" w:ascii="微软雅黑" w:hAnsi="微软雅黑" w:eastAsia="微软雅黑" w:cs="微软雅黑"/>
                <w:color w:val="000000" w:themeColor="text1"/>
                <w:u w:val="single"/>
                <w:lang w:val="en-US" w:eastAsia="zh-CN"/>
                <w14:textFill>
                  <w14:solidFill>
                    <w14:schemeClr w14:val="tx1"/>
                  </w14:solidFill>
                </w14:textFill>
              </w:rPr>
              <w:t>09</w:t>
            </w:r>
            <w:r>
              <w:rPr>
                <w:rFonts w:hint="eastAsia" w:ascii="微软雅黑" w:hAnsi="微软雅黑" w:eastAsia="微软雅黑" w:cs="微软雅黑"/>
                <w:color w:val="000000" w:themeColor="text1"/>
                <w14:textFill>
                  <w14:solidFill>
                    <w14:schemeClr w14:val="tx1"/>
                  </w14:solidFill>
                </w14:textFill>
              </w:rPr>
              <w:t>时</w:t>
            </w:r>
            <w:r>
              <w:rPr>
                <w:rFonts w:hint="eastAsia" w:ascii="微软雅黑" w:hAnsi="微软雅黑" w:eastAsia="微软雅黑" w:cs="微软雅黑"/>
                <w:color w:val="000000" w:themeColor="text1"/>
                <w:u w:val="single"/>
                <w:lang w:val="en-US" w:eastAsia="zh-CN"/>
                <w14:textFill>
                  <w14:solidFill>
                    <w14:schemeClr w14:val="tx1"/>
                  </w14:solidFill>
                </w14:textFill>
              </w:rPr>
              <w:t>0</w:t>
            </w:r>
            <w:r>
              <w:rPr>
                <w:rFonts w:hint="eastAsia" w:ascii="微软雅黑" w:hAnsi="微软雅黑" w:eastAsia="微软雅黑" w:cs="微软雅黑"/>
                <w:color w:val="000000" w:themeColor="text1"/>
                <w:u w:val="single"/>
                <w14:textFill>
                  <w14:solidFill>
                    <w14:schemeClr w14:val="tx1"/>
                  </w14:solidFill>
                </w14:textFill>
              </w:rPr>
              <w:t>0</w:t>
            </w:r>
            <w:r>
              <w:rPr>
                <w:rFonts w:hint="eastAsia" w:ascii="微软雅黑" w:hAnsi="微软雅黑" w:eastAsia="微软雅黑" w:cs="微软雅黑"/>
                <w:color w:val="000000" w:themeColor="text1"/>
                <w14:textFill>
                  <w14:solidFill>
                    <w14:schemeClr w14:val="tx1"/>
                  </w14:solidFill>
                </w14:textFill>
              </w:rPr>
              <w:t>分(北京时间)</w:t>
            </w:r>
          </w:p>
          <w:p>
            <w:pPr>
              <w:pStyle w:val="11"/>
              <w:ind w:left="420" w:hanging="420" w:hangingChars="200"/>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地点：安康市公共资源交易中心</w:t>
            </w:r>
            <w:r>
              <w:rPr>
                <w:rFonts w:hint="eastAsia" w:ascii="微软雅黑" w:hAnsi="微软雅黑" w:eastAsia="微软雅黑" w:cs="微软雅黑"/>
                <w:color w:val="000000" w:themeColor="text1"/>
                <w:lang w:val="en-US" w:eastAsia="zh-CN"/>
                <w14:textFill>
                  <w14:solidFill>
                    <w14:schemeClr w14:val="tx1"/>
                  </w14:solidFill>
                </w14:textFill>
              </w:rPr>
              <w:t>官网不见面开标大厅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17</w:t>
            </w:r>
          </w:p>
        </w:tc>
        <w:tc>
          <w:tcPr>
            <w:tcW w:w="1785" w:type="dxa"/>
            <w:vAlign w:val="center"/>
          </w:tcPr>
          <w:p>
            <w:pPr>
              <w:pStyle w:val="11"/>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开标时间、地点</w:t>
            </w:r>
          </w:p>
        </w:tc>
        <w:tc>
          <w:tcPr>
            <w:tcW w:w="6235" w:type="dxa"/>
            <w:vAlign w:val="center"/>
          </w:tcPr>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时间：</w:t>
            </w:r>
            <w:r>
              <w:rPr>
                <w:rFonts w:hint="eastAsia" w:ascii="微软雅黑" w:hAnsi="微软雅黑" w:eastAsia="微软雅黑" w:cs="微软雅黑"/>
                <w:color w:val="000000" w:themeColor="text1"/>
                <w:u w:val="single"/>
                <w14:textFill>
                  <w14:solidFill>
                    <w14:schemeClr w14:val="tx1"/>
                  </w14:solidFill>
                </w14:textFill>
              </w:rPr>
              <w:t>202</w:t>
            </w:r>
            <w:r>
              <w:rPr>
                <w:rFonts w:hint="eastAsia" w:ascii="微软雅黑" w:hAnsi="微软雅黑" w:eastAsia="微软雅黑" w:cs="微软雅黑"/>
                <w:color w:val="000000" w:themeColor="text1"/>
                <w:u w:val="single"/>
                <w:lang w:val="en-US" w:eastAsia="zh-CN"/>
                <w14:textFill>
                  <w14:solidFill>
                    <w14:schemeClr w14:val="tx1"/>
                  </w14:solidFill>
                </w14:textFill>
              </w:rPr>
              <w:t>4</w:t>
            </w:r>
            <w:r>
              <w:rPr>
                <w:rFonts w:hint="eastAsia" w:ascii="微软雅黑" w:hAnsi="微软雅黑" w:eastAsia="微软雅黑" w:cs="微软雅黑"/>
                <w:color w:val="000000" w:themeColor="text1"/>
                <w14:textFill>
                  <w14:solidFill>
                    <w14:schemeClr w14:val="tx1"/>
                  </w14:solidFill>
                </w14:textFill>
              </w:rPr>
              <w:t>年</w:t>
            </w:r>
            <w:r>
              <w:rPr>
                <w:rFonts w:hint="eastAsia" w:ascii="微软雅黑" w:hAnsi="微软雅黑" w:eastAsia="微软雅黑" w:cs="微软雅黑"/>
                <w:color w:val="000000" w:themeColor="text1"/>
                <w:u w:val="single"/>
                <w:lang w:val="en-US" w:eastAsia="zh-CN"/>
                <w14:textFill>
                  <w14:solidFill>
                    <w14:schemeClr w14:val="tx1"/>
                  </w14:solidFill>
                </w14:textFill>
              </w:rPr>
              <w:t>07</w:t>
            </w:r>
            <w:r>
              <w:rPr>
                <w:rFonts w:hint="eastAsia" w:ascii="微软雅黑" w:hAnsi="微软雅黑" w:eastAsia="微软雅黑" w:cs="微软雅黑"/>
                <w:color w:val="000000" w:themeColor="text1"/>
                <w14:textFill>
                  <w14:solidFill>
                    <w14:schemeClr w14:val="tx1"/>
                  </w14:solidFill>
                </w14:textFill>
              </w:rPr>
              <w:t>月</w:t>
            </w:r>
            <w:r>
              <w:rPr>
                <w:rFonts w:hint="eastAsia" w:ascii="微软雅黑" w:hAnsi="微软雅黑" w:eastAsia="微软雅黑" w:cs="微软雅黑"/>
                <w:color w:val="000000" w:themeColor="text1"/>
                <w:u w:val="single"/>
                <w:lang w:val="en-US" w:eastAsia="zh-CN"/>
                <w14:textFill>
                  <w14:solidFill>
                    <w14:schemeClr w14:val="tx1"/>
                  </w14:solidFill>
                </w14:textFill>
              </w:rPr>
              <w:t>18</w:t>
            </w:r>
            <w:r>
              <w:rPr>
                <w:rFonts w:hint="eastAsia" w:ascii="微软雅黑" w:hAnsi="微软雅黑" w:eastAsia="微软雅黑" w:cs="微软雅黑"/>
                <w:color w:val="000000" w:themeColor="text1"/>
                <w14:textFill>
                  <w14:solidFill>
                    <w14:schemeClr w14:val="tx1"/>
                  </w14:solidFill>
                </w14:textFill>
              </w:rPr>
              <w:t>日</w:t>
            </w:r>
            <w:r>
              <w:rPr>
                <w:rFonts w:hint="eastAsia" w:ascii="微软雅黑" w:hAnsi="微软雅黑" w:eastAsia="微软雅黑" w:cs="微软雅黑"/>
                <w:color w:val="000000" w:themeColor="text1"/>
                <w:u w:val="single"/>
                <w:lang w:val="en-US" w:eastAsia="zh-CN"/>
                <w14:textFill>
                  <w14:solidFill>
                    <w14:schemeClr w14:val="tx1"/>
                  </w14:solidFill>
                </w14:textFill>
              </w:rPr>
              <w:t>09</w:t>
            </w:r>
            <w:r>
              <w:rPr>
                <w:rFonts w:hint="eastAsia" w:ascii="微软雅黑" w:hAnsi="微软雅黑" w:eastAsia="微软雅黑" w:cs="微软雅黑"/>
                <w:color w:val="000000" w:themeColor="text1"/>
                <w14:textFill>
                  <w14:solidFill>
                    <w14:schemeClr w14:val="tx1"/>
                  </w14:solidFill>
                </w14:textFill>
              </w:rPr>
              <w:t>时</w:t>
            </w:r>
            <w:r>
              <w:rPr>
                <w:rFonts w:hint="eastAsia" w:ascii="微软雅黑" w:hAnsi="微软雅黑" w:eastAsia="微软雅黑" w:cs="微软雅黑"/>
                <w:color w:val="000000" w:themeColor="text1"/>
                <w:u w:val="single"/>
                <w:lang w:val="en-US" w:eastAsia="zh-CN"/>
                <w14:textFill>
                  <w14:solidFill>
                    <w14:schemeClr w14:val="tx1"/>
                  </w14:solidFill>
                </w14:textFill>
              </w:rPr>
              <w:t>0</w:t>
            </w:r>
            <w:r>
              <w:rPr>
                <w:rFonts w:hint="eastAsia" w:ascii="微软雅黑" w:hAnsi="微软雅黑" w:eastAsia="微软雅黑" w:cs="微软雅黑"/>
                <w:color w:val="000000" w:themeColor="text1"/>
                <w:u w:val="single"/>
                <w14:textFill>
                  <w14:solidFill>
                    <w14:schemeClr w14:val="tx1"/>
                  </w14:solidFill>
                </w14:textFill>
              </w:rPr>
              <w:t>0</w:t>
            </w:r>
            <w:r>
              <w:rPr>
                <w:rFonts w:hint="eastAsia" w:ascii="微软雅黑" w:hAnsi="微软雅黑" w:eastAsia="微软雅黑" w:cs="微软雅黑"/>
                <w:color w:val="000000" w:themeColor="text1"/>
                <w14:textFill>
                  <w14:solidFill>
                    <w14:schemeClr w14:val="tx1"/>
                  </w14:solidFill>
                </w14:textFill>
              </w:rPr>
              <w:t>分(北京时间)</w:t>
            </w:r>
          </w:p>
          <w:p>
            <w:pPr>
              <w:pStyle w:val="11"/>
              <w:jc w:val="left"/>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地点：</w:t>
            </w:r>
            <w:r>
              <w:rPr>
                <w:rFonts w:hint="eastAsia" w:ascii="微软雅黑" w:hAnsi="微软雅黑" w:eastAsia="微软雅黑" w:cs="微软雅黑"/>
                <w:color w:val="000000" w:themeColor="text1"/>
                <w:lang w:val="en-US" w:eastAsia="zh-CN"/>
                <w14:textFill>
                  <w14:solidFill>
                    <w14:schemeClr w14:val="tx1"/>
                  </w14:solidFill>
                </w14:textFill>
              </w:rPr>
              <w:t>(1)电子投标文件(*. SXSTF) 可于提交首次投标文件截止时间前任意时段登录陕西省安康市公共资源交易中心平台(http://ak. sxggzyjy.cn/)“电子交易平台-企业端” 进行提交，逾期系统将拒绝接收。</w:t>
            </w:r>
          </w:p>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(2)供应商可登录陕西省公共资源交易中心平台(http://sxggzyjy.cn/) [《首页》不见面开标]在线参与开评标过程，详见交易平台[首页〉服务指南〉下载专区]中的《陕西省公共资源交易政府采购项目远程不见面开标操作手册(供应商版)》，如遇困难，请拨打系统平台技术支持电话: 49980000。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18</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磋商响应有效期</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自响应文件截止时间起</w:t>
            </w:r>
            <w:r>
              <w:rPr>
                <w:rFonts w:hint="eastAsia" w:ascii="微软雅黑" w:hAnsi="微软雅黑" w:eastAsia="微软雅黑" w:cs="微软雅黑"/>
                <w:color w:val="auto"/>
                <w:u w:val="single"/>
              </w:rPr>
              <w:t>90</w:t>
            </w:r>
            <w:r>
              <w:rPr>
                <w:rFonts w:hint="eastAsia" w:ascii="微软雅黑" w:hAnsi="微软雅黑" w:eastAsia="微软雅黑" w:cs="微软雅黑"/>
                <w:color w:val="auto"/>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19</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响应文件份数</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电子文件</w:t>
            </w:r>
            <w:r>
              <w:rPr>
                <w:rFonts w:hint="eastAsia" w:ascii="微软雅黑" w:hAnsi="微软雅黑" w:eastAsia="微软雅黑" w:cs="微软雅黑"/>
                <w:color w:val="auto"/>
                <w:u w:val="single"/>
                <w:lang w:val="en-US" w:eastAsia="zh-CN"/>
              </w:rPr>
              <w:t>1</w:t>
            </w:r>
            <w:r>
              <w:rPr>
                <w:rFonts w:hint="eastAsia" w:ascii="微软雅黑" w:hAnsi="微软雅黑" w:eastAsia="微软雅黑" w:cs="微软雅黑"/>
                <w:color w:val="auto"/>
              </w:rPr>
              <w:t>份</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lang w:val="en-US" w:eastAsia="zh-CN"/>
              </w:rPr>
              <w:t>上传至陕西省公共资源交易平台网</w:t>
            </w:r>
            <w:r>
              <w:rPr>
                <w:rFonts w:hint="eastAsia" w:ascii="微软雅黑" w:hAnsi="微软雅黑" w:eastAsia="微软雅黑" w:cs="微软雅黑"/>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20</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响应文件封套上应载明的信息</w:t>
            </w:r>
          </w:p>
        </w:tc>
        <w:tc>
          <w:tcPr>
            <w:tcW w:w="623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（项目名称)投标响应文件</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项目编号：____________________</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在______年____月____日____时____分之前不得启封</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投标人名称：____________________</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trPr>
        <w:tc>
          <w:tcPr>
            <w:tcW w:w="824"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21</w:t>
            </w:r>
          </w:p>
        </w:tc>
        <w:tc>
          <w:tcPr>
            <w:tcW w:w="1785"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信用查询</w:t>
            </w:r>
          </w:p>
        </w:tc>
        <w:tc>
          <w:tcPr>
            <w:tcW w:w="6235" w:type="dxa"/>
            <w:vAlign w:val="center"/>
          </w:tcPr>
          <w:p>
            <w:pPr>
              <w:pStyle w:val="11"/>
              <w:jc w:val="left"/>
              <w:rPr>
                <w:rFonts w:ascii="微软雅黑" w:hAnsi="微软雅黑" w:eastAsia="微软雅黑" w:cs="微软雅黑"/>
                <w:color w:val="auto"/>
                <w:u w:val="single"/>
              </w:rPr>
            </w:pPr>
            <w:r>
              <w:rPr>
                <w:rFonts w:hint="eastAsia" w:ascii="微软雅黑" w:hAnsi="微软雅黑" w:eastAsia="微软雅黑" w:cs="微软雅黑"/>
                <w:color w:val="auto"/>
              </w:rPr>
              <w:t>□ 采购人或采购代理机构将通过“信用中国”网站(www. creditchina. gov.cn)、中国政府采购网(www.ccgp.gov.cn)查询相关主体信用记录。本次查询的信用记录打印的网页版将留存在评标报告中。本项目信用记录查询截止时点为</w:t>
            </w:r>
            <w:r>
              <w:rPr>
                <w:rFonts w:hint="eastAsia" w:ascii="微软雅黑" w:hAnsi="微软雅黑" w:eastAsia="微软雅黑" w:cs="微软雅黑"/>
                <w:color w:val="auto"/>
                <w:u w:val="single"/>
              </w:rPr>
              <w:t>开标前。_</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 供应商自行查询上述记录，如实提供无不良信用记录承诺并加盖供应商公章。联合体参加投标的，所有联合体成员均须加盖公章。本项目信用记录查询截止时点为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color w:val="auto"/>
                <w:u w:val="single"/>
              </w:rPr>
              <w:t>开标前。</w:t>
            </w:r>
          </w:p>
        </w:tc>
      </w:tr>
    </w:tbl>
    <w:p>
      <w:pPr>
        <w:pStyle w:val="11"/>
        <w:ind w:firstLine="420" w:firstLineChars="200"/>
        <w:rPr>
          <w:rFonts w:ascii="微软雅黑" w:hAnsi="微软雅黑" w:eastAsia="微软雅黑" w:cs="微软雅黑"/>
          <w:color w:val="auto"/>
        </w:rPr>
      </w:pPr>
    </w:p>
    <w:p>
      <w:pPr>
        <w:pStyle w:val="11"/>
        <w:ind w:firstLine="420" w:firstLineChars="200"/>
        <w:jc w:val="right"/>
        <w:rPr>
          <w:rFonts w:ascii="微软雅黑" w:hAnsi="微软雅黑" w:eastAsia="微软雅黑" w:cs="微软雅黑"/>
          <w:color w:val="auto"/>
        </w:rPr>
      </w:pPr>
      <w:r>
        <w:rPr>
          <w:rFonts w:hint="eastAsia" w:ascii="微软雅黑" w:hAnsi="微软雅黑" w:eastAsia="微软雅黑" w:cs="微软雅黑"/>
          <w:color w:val="auto"/>
        </w:rPr>
        <w:br w:type="page"/>
      </w:r>
    </w:p>
    <w:tbl>
      <w:tblPr>
        <w:tblStyle w:val="18"/>
        <w:tblpPr w:leftFromText="180" w:rightFromText="180" w:vertAnchor="text" w:horzAnchor="page" w:tblpX="1779" w:tblpY="263"/>
        <w:tblOverlap w:val="never"/>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93"/>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242"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22</w:t>
            </w:r>
          </w:p>
        </w:tc>
        <w:tc>
          <w:tcPr>
            <w:tcW w:w="1793"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交付和提供服务的时间、地点、方式</w:t>
            </w:r>
          </w:p>
        </w:tc>
        <w:tc>
          <w:tcPr>
            <w:tcW w:w="5581"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交付</w:t>
            </w:r>
            <w:r>
              <w:rPr>
                <w:rFonts w:hint="eastAsia" w:ascii="微软雅黑" w:hAnsi="微软雅黑" w:eastAsia="微软雅黑" w:cs="微软雅黑"/>
                <w:color w:val="auto"/>
                <w:lang w:val="en-US" w:eastAsia="zh-CN"/>
              </w:rPr>
              <w:t>期</w:t>
            </w:r>
            <w:r>
              <w:rPr>
                <w:rFonts w:hint="eastAsia" w:ascii="微软雅黑" w:hAnsi="微软雅黑" w:eastAsia="微软雅黑" w:cs="微软雅黑"/>
                <w:color w:val="auto"/>
              </w:rPr>
              <w:t>：合同</w:t>
            </w:r>
            <w:r>
              <w:rPr>
                <w:rFonts w:hint="eastAsia" w:ascii="微软雅黑" w:hAnsi="微软雅黑" w:eastAsia="微软雅黑" w:cs="微软雅黑"/>
                <w:color w:val="auto"/>
                <w:lang w:val="en-US" w:eastAsia="zh-CN"/>
              </w:rPr>
              <w:t>签订后90</w:t>
            </w:r>
            <w:r>
              <w:rPr>
                <w:rFonts w:hint="eastAsia" w:ascii="微软雅黑" w:hAnsi="微软雅黑" w:eastAsia="微软雅黑" w:cs="微软雅黑"/>
                <w:color w:val="auto"/>
              </w:rPr>
              <w:t>个</w:t>
            </w:r>
            <w:r>
              <w:rPr>
                <w:rFonts w:hint="eastAsia" w:ascii="微软雅黑" w:hAnsi="微软雅黑" w:eastAsia="微软雅黑" w:cs="微软雅黑"/>
                <w:color w:val="auto"/>
                <w:lang w:val="en-US" w:eastAsia="zh-CN"/>
              </w:rPr>
              <w:t>日历日内</w:t>
            </w:r>
            <w:r>
              <w:rPr>
                <w:rFonts w:hint="eastAsia" w:ascii="微软雅黑" w:hAnsi="微软雅黑" w:eastAsia="微软雅黑" w:cs="微软雅黑"/>
                <w:color w:val="auto"/>
              </w:rPr>
              <w:t>。（具体起止日期可随合同签订时间相应顺延）</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交付和提供服务的地点：</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①交付地点</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lang w:val="en-US" w:eastAsia="zh-CN"/>
              </w:rPr>
              <w:t>平利县人民法院</w:t>
            </w:r>
            <w:r>
              <w:rPr>
                <w:rFonts w:hint="eastAsia" w:ascii="微软雅黑" w:hAnsi="微软雅黑" w:eastAsia="微软雅黑" w:cs="微软雅黑"/>
                <w:color w:val="auto"/>
              </w:rPr>
              <w:t>指定地点</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②服务地点：</w:t>
            </w:r>
            <w:r>
              <w:rPr>
                <w:rFonts w:hint="eastAsia" w:ascii="微软雅黑" w:hAnsi="微软雅黑" w:eastAsia="微软雅黑" w:cs="微软雅黑"/>
                <w:color w:val="auto"/>
                <w:lang w:val="en-US" w:eastAsia="zh-CN"/>
              </w:rPr>
              <w:t>平利县人民法院</w:t>
            </w:r>
            <w:r>
              <w:rPr>
                <w:rFonts w:hint="eastAsia" w:ascii="微软雅黑" w:hAnsi="微软雅黑" w:eastAsia="微软雅黑" w:cs="微软雅黑"/>
                <w:color w:val="auto"/>
              </w:rPr>
              <w:t>指定地点</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交付和提供服务的方式：</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①运输方式：自行选择。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42"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23</w:t>
            </w:r>
          </w:p>
        </w:tc>
        <w:tc>
          <w:tcPr>
            <w:tcW w:w="1793" w:type="dxa"/>
            <w:vAlign w:val="center"/>
          </w:tcPr>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采购资金的支付方式和时间</w:t>
            </w:r>
          </w:p>
        </w:tc>
        <w:tc>
          <w:tcPr>
            <w:tcW w:w="5581" w:type="dxa"/>
            <w:vAlign w:val="center"/>
          </w:tcPr>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付款方式：</w:t>
            </w:r>
          </w:p>
          <w:p>
            <w:pPr>
              <w:pStyle w:val="11"/>
              <w:jc w:val="left"/>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zh-CN" w:eastAsia="zh-CN"/>
                <w14:textFill>
                  <w14:solidFill>
                    <w14:schemeClr w14:val="tx1"/>
                  </w14:solidFill>
                </w14:textFill>
              </w:rPr>
              <w:t>合同签订后，5天预付款合同价</w:t>
            </w:r>
            <w:r>
              <w:rPr>
                <w:rFonts w:hint="eastAsia" w:ascii="微软雅黑" w:hAnsi="微软雅黑" w:eastAsia="微软雅黑" w:cs="微软雅黑"/>
                <w:color w:val="000000" w:themeColor="text1"/>
                <w:lang w:val="en-US" w:eastAsia="zh-CN"/>
                <w14:textFill>
                  <w14:solidFill>
                    <w14:schemeClr w14:val="tx1"/>
                  </w14:solidFill>
                </w14:textFill>
              </w:rPr>
              <w:t>50</w:t>
            </w:r>
            <w:r>
              <w:rPr>
                <w:rFonts w:hint="eastAsia" w:ascii="微软雅黑" w:hAnsi="微软雅黑" w:eastAsia="微软雅黑" w:cs="微软雅黑"/>
                <w:color w:val="000000" w:themeColor="text1"/>
                <w:lang w:val="zh-CN" w:eastAsia="zh-CN"/>
                <w14:textFill>
                  <w14:solidFill>
                    <w14:schemeClr w14:val="tx1"/>
                  </w14:solidFill>
                </w14:textFill>
              </w:rPr>
              <w:t>%；</w:t>
            </w:r>
            <w:r>
              <w:rPr>
                <w:rFonts w:hint="eastAsia" w:ascii="微软雅黑" w:hAnsi="微软雅黑" w:eastAsia="微软雅黑" w:cs="微软雅黑"/>
                <w:color w:val="000000" w:themeColor="text1"/>
                <w:lang w:val="en-US" w:eastAsia="zh-CN"/>
                <w14:textFill>
                  <w14:solidFill>
                    <w14:schemeClr w14:val="tx1"/>
                  </w14:solidFill>
                </w14:textFill>
              </w:rPr>
              <w:t>施工进行整体工程60%时支付</w:t>
            </w:r>
            <w:r>
              <w:rPr>
                <w:rFonts w:hint="eastAsia" w:ascii="微软雅黑" w:hAnsi="微软雅黑" w:eastAsia="微软雅黑" w:cs="微软雅黑"/>
                <w:color w:val="000000" w:themeColor="text1"/>
                <w:lang w:val="zh-CN" w:eastAsia="zh-CN"/>
                <w14:textFill>
                  <w14:solidFill>
                    <w14:schemeClr w14:val="tx1"/>
                  </w14:solidFill>
                </w14:textFill>
              </w:rPr>
              <w:t>合同价款的</w:t>
            </w:r>
            <w:r>
              <w:rPr>
                <w:rFonts w:hint="eastAsia" w:ascii="微软雅黑" w:hAnsi="微软雅黑" w:eastAsia="微软雅黑" w:cs="微软雅黑"/>
                <w:color w:val="000000" w:themeColor="text1"/>
                <w:lang w:val="en-US" w:eastAsia="zh-CN"/>
                <w14:textFill>
                  <w14:solidFill>
                    <w14:schemeClr w14:val="tx1"/>
                  </w14:solidFill>
                </w14:textFill>
              </w:rPr>
              <w:t>85</w:t>
            </w:r>
            <w:r>
              <w:rPr>
                <w:rFonts w:hint="eastAsia" w:ascii="微软雅黑" w:hAnsi="微软雅黑" w:eastAsia="微软雅黑" w:cs="微软雅黑"/>
                <w:color w:val="000000" w:themeColor="text1"/>
                <w:lang w:val="zh-CN" w:eastAsia="zh-CN"/>
                <w14:textFill>
                  <w14:solidFill>
                    <w14:schemeClr w14:val="tx1"/>
                  </w14:solidFill>
                </w14:textFill>
              </w:rPr>
              <w:t>%；</w:t>
            </w:r>
            <w:r>
              <w:rPr>
                <w:rFonts w:hint="eastAsia" w:ascii="微软雅黑" w:hAnsi="微软雅黑" w:eastAsia="微软雅黑" w:cs="微软雅黑"/>
                <w:color w:val="000000" w:themeColor="text1"/>
                <w:lang w:val="en-US" w:eastAsia="zh-CN"/>
                <w14:textFill>
                  <w14:solidFill>
                    <w14:schemeClr w14:val="tx1"/>
                  </w14:solidFill>
                </w14:textFill>
              </w:rPr>
              <w:t>完工后付合同总价款的95%；待审计完成后付审定价的100%。</w:t>
            </w:r>
          </w:p>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结算方式：</w:t>
            </w:r>
          </w:p>
          <w:p>
            <w:pPr>
              <w:pStyle w:val="11"/>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由</w:t>
            </w:r>
            <w:r>
              <w:rPr>
                <w:rFonts w:hint="eastAsia" w:ascii="微软雅黑" w:hAnsi="微软雅黑" w:eastAsia="微软雅黑" w:cs="微软雅黑"/>
                <w:color w:val="000000" w:themeColor="text1"/>
                <w:lang w:val="en-US" w:eastAsia="zh-CN"/>
                <w14:textFill>
                  <w14:solidFill>
                    <w14:schemeClr w14:val="tx1"/>
                  </w14:solidFill>
                </w14:textFill>
              </w:rPr>
              <w:t>平利县人民法院</w:t>
            </w:r>
            <w:r>
              <w:rPr>
                <w:rFonts w:hint="eastAsia" w:ascii="微软雅黑" w:hAnsi="微软雅黑" w:eastAsia="微软雅黑" w:cs="微软雅黑"/>
                <w:color w:val="000000" w:themeColor="text1"/>
                <w14:textFill>
                  <w14:solidFill>
                    <w14:schemeClr w14:val="tx1"/>
                  </w14:solidFill>
                </w14:textFill>
              </w:rPr>
              <w:t>负责与中标单位结算。付款前，中标单位必须开具等额发票。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rPr>
              <w:t>24</w:t>
            </w:r>
          </w:p>
        </w:tc>
        <w:tc>
          <w:tcPr>
            <w:tcW w:w="1793"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采购代理服务费</w:t>
            </w:r>
          </w:p>
        </w:tc>
        <w:tc>
          <w:tcPr>
            <w:tcW w:w="5581" w:type="dxa"/>
            <w:vAlign w:val="center"/>
          </w:tcPr>
          <w:p>
            <w:pPr>
              <w:pStyle w:val="11"/>
              <w:jc w:val="left"/>
              <w:rPr>
                <w:rFonts w:hint="eastAsia" w:ascii="微软雅黑" w:hAnsi="微软雅黑" w:eastAsia="微软雅黑" w:cs="微软雅黑"/>
                <w:color w:val="auto"/>
              </w:rPr>
            </w:pPr>
            <w:r>
              <w:rPr>
                <w:rFonts w:hint="eastAsia" w:ascii="微软雅黑" w:hAnsi="微软雅黑" w:eastAsia="微软雅黑" w:cs="微软雅黑"/>
                <w:color w:val="auto"/>
              </w:rPr>
              <w:t>服务费按中标（成交）金额进行计取，由</w:t>
            </w:r>
            <w:r>
              <w:rPr>
                <w:rFonts w:hint="eastAsia" w:ascii="微软雅黑" w:hAnsi="微软雅黑" w:eastAsia="微软雅黑" w:cs="微软雅黑"/>
                <w:color w:val="auto"/>
                <w:lang w:val="en-US" w:eastAsia="zh-CN"/>
              </w:rPr>
              <w:t>采购</w:t>
            </w:r>
            <w:r>
              <w:rPr>
                <w:rFonts w:hint="eastAsia" w:ascii="微软雅黑" w:hAnsi="微软雅黑" w:eastAsia="微软雅黑" w:cs="微软雅黑"/>
                <w:color w:val="auto"/>
              </w:rPr>
              <w:t>单位支付。标准详见国家计委计价【2002】1980号文件。</w:t>
            </w:r>
          </w:p>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中标服务费账号：</w:t>
            </w:r>
          </w:p>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开户行：中国建设银行陕西省安康汉滨区支行</w:t>
            </w:r>
          </w:p>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账号：6100 1660 0330 5250 1513</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lang w:val="en-US" w:eastAsia="zh-CN"/>
              </w:rPr>
              <w:t>户名：陕西国泰招标代理有限公司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11"/>
              <w:jc w:val="center"/>
              <w:rPr>
                <w:rFonts w:ascii="微软雅黑" w:hAnsi="微软雅黑" w:eastAsia="微软雅黑" w:cs="微软雅黑"/>
                <w:color w:val="auto"/>
              </w:rPr>
            </w:pPr>
            <w:r>
              <w:rPr>
                <w:rFonts w:hint="eastAsia" w:ascii="微软雅黑" w:hAnsi="微软雅黑" w:eastAsia="微软雅黑" w:cs="微软雅黑"/>
                <w:color w:val="auto"/>
                <w:lang w:val="en-US" w:eastAsia="zh-CN"/>
              </w:rPr>
              <w:t>25</w:t>
            </w:r>
          </w:p>
        </w:tc>
        <w:tc>
          <w:tcPr>
            <w:tcW w:w="1793" w:type="dxa"/>
            <w:vAlign w:val="center"/>
          </w:tcPr>
          <w:p>
            <w:pPr>
              <w:pStyle w:val="11"/>
              <w:jc w:val="center"/>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电子投标</w:t>
            </w:r>
          </w:p>
          <w:p>
            <w:pPr>
              <w:pStyle w:val="11"/>
              <w:jc w:val="center"/>
              <w:rPr>
                <w:rFonts w:hint="eastAsia" w:ascii="微软雅黑" w:hAnsi="微软雅黑" w:eastAsia="微软雅黑" w:cs="微软雅黑"/>
                <w:color w:val="auto"/>
              </w:rPr>
            </w:pPr>
            <w:r>
              <w:rPr>
                <w:rFonts w:hint="eastAsia" w:ascii="微软雅黑" w:hAnsi="微软雅黑" w:eastAsia="微软雅黑" w:cs="微软雅黑"/>
                <w:color w:val="auto"/>
                <w:lang w:val="zh-CN"/>
              </w:rPr>
              <w:t>注意事项</w:t>
            </w:r>
          </w:p>
          <w:p>
            <w:pPr>
              <w:pStyle w:val="11"/>
              <w:jc w:val="left"/>
              <w:rPr>
                <w:rFonts w:ascii="微软雅黑" w:hAnsi="微软雅黑" w:eastAsia="微软雅黑" w:cs="微软雅黑"/>
                <w:color w:val="auto"/>
              </w:rPr>
            </w:pPr>
          </w:p>
        </w:tc>
        <w:tc>
          <w:tcPr>
            <w:tcW w:w="5581" w:type="dxa"/>
            <w:vAlign w:val="center"/>
          </w:tcPr>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rPr>
              <w:t xml:space="preserve"> </w:t>
            </w:r>
            <w:r>
              <w:rPr>
                <w:rFonts w:hint="eastAsia" w:ascii="微软雅黑" w:hAnsi="微软雅黑" w:eastAsia="微软雅黑" w:cs="微软雅黑"/>
                <w:color w:val="auto"/>
                <w:lang w:val="zh-CN"/>
              </w:rPr>
              <w:t>1、本项目采用电子化投标的方式投标，供应商须使用数字认证证书（CA锁）对电子投标文件进行签章、加密、递交及开标时解密等相关招投标事宜。开标时，按照工作人员要求进行解密，使用电子投标文件加密时所用的数字认证证书（CA锁）自行解密电子投标文件（超过系统默认解密时间未解密成功的视为解密失败，其投标文件按无效文件处理），投标单位需在解密时间规定内完成标书解密。所有投标单位解密完成后由开标人员将投标文件导入开评标系统。如因供应商自身原因造成无法在规定时间内解密投标文件的，按无效响应对待。</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lang w:val="zh-CN"/>
              </w:rPr>
              <w:t>、制作电子投标文件</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递交电子投标文件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电子化平台将予以记录。</w:t>
            </w:r>
          </w:p>
          <w:p>
            <w:pPr>
              <w:pStyle w:val="11"/>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4、不见面开标注意事项</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4.1、为了保证远程不见面开标顺利进行，供应商需使用配备音响和拾音设备的电脑</w:t>
            </w:r>
            <w:r>
              <w:rPr>
                <w:rFonts w:hint="eastAsia" w:ascii="微软雅黑" w:hAnsi="微软雅黑" w:eastAsia="微软雅黑" w:cs="微软雅黑"/>
                <w:b/>
                <w:bCs/>
                <w:color w:val="auto"/>
                <w:lang w:val="zh-CN"/>
              </w:rPr>
              <w:t>提前一个小时登录</w:t>
            </w:r>
            <w:r>
              <w:rPr>
                <w:rFonts w:hint="eastAsia" w:ascii="微软雅黑" w:hAnsi="微软雅黑" w:eastAsia="微软雅黑" w:cs="微软雅黑"/>
                <w:color w:val="auto"/>
                <w:lang w:val="zh-CN"/>
              </w:rPr>
              <w:t>网络开标大厅(陕西省安康市)自行调试(“不见面开标大厅”登录网址: http://122. 112. 246. 33/Bid</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Opening/bi dopeninghallaction/hal1/login)。并按照工作人员要求进行投标文件解密，远程观看开标直播。及时加入网络开标大厅公布的腾讯QQ号，以便澄清等情况处理。如遇困难，请拨打系统平台技术支</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 xml:space="preserve">持电话: 4009980000。 </w:t>
            </w:r>
          </w:p>
          <w:p>
            <w:pPr>
              <w:pStyle w:val="11"/>
              <w:jc w:val="left"/>
              <w:rPr>
                <w:rFonts w:hint="eastAsia" w:ascii="微软雅黑" w:hAnsi="微软雅黑" w:eastAsia="微软雅黑" w:cs="微软雅黑"/>
                <w:color w:val="auto"/>
                <w:lang w:val="zh-CN"/>
              </w:rPr>
            </w:pPr>
            <w:r>
              <w:rPr>
                <w:rFonts w:hint="eastAsia" w:ascii="微软雅黑" w:hAnsi="微软雅黑" w:eastAsia="微软雅黑" w:cs="微软雅黑"/>
                <w:color w:val="auto"/>
                <w:lang w:val="zh-CN"/>
              </w:rPr>
              <w:t>4.2、供应商需安装新点播放器，以便观看远程不见面开标直播画面(播放器下载链接为: https://download.bqpoint.com/down1oad/downloadprodetail.html?SourceFrom=Down&amp;SoftGuid554e06-c384-4005-bcb9-48932d410fd）</w:t>
            </w:r>
          </w:p>
          <w:p>
            <w:pPr>
              <w:pStyle w:val="11"/>
              <w:jc w:val="left"/>
              <w:rPr>
                <w:rFonts w:ascii="微软雅黑" w:hAnsi="微软雅黑" w:eastAsia="微软雅黑" w:cs="微软雅黑"/>
                <w:color w:val="auto"/>
              </w:rPr>
            </w:pPr>
            <w:r>
              <w:rPr>
                <w:rFonts w:hint="eastAsia" w:ascii="微软雅黑" w:hAnsi="微软雅黑" w:eastAsia="微软雅黑" w:cs="微软雅黑"/>
                <w:color w:val="auto"/>
                <w:lang w:val="zh-CN"/>
              </w:rPr>
              <w:t>4.3、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11"/>
              <w:jc w:val="center"/>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rPr>
              <w:t>2</w:t>
            </w:r>
            <w:r>
              <w:rPr>
                <w:rFonts w:hint="eastAsia" w:ascii="微软雅黑" w:hAnsi="微软雅黑" w:eastAsia="微软雅黑" w:cs="微软雅黑"/>
                <w:color w:val="auto"/>
                <w:lang w:val="en-US" w:eastAsia="zh-CN"/>
              </w:rPr>
              <w:t>6</w:t>
            </w:r>
          </w:p>
        </w:tc>
        <w:tc>
          <w:tcPr>
            <w:tcW w:w="1793" w:type="dxa"/>
            <w:vAlign w:val="center"/>
          </w:tcPr>
          <w:p>
            <w:pPr>
              <w:pStyle w:val="11"/>
              <w:jc w:val="left"/>
              <w:rPr>
                <w:rFonts w:ascii="微软雅黑" w:hAnsi="微软雅黑" w:eastAsia="微软雅黑" w:cs="微软雅黑"/>
                <w:color w:val="auto"/>
              </w:rPr>
            </w:pPr>
            <w:r>
              <w:rPr>
                <w:rFonts w:hint="eastAsia" w:ascii="微软雅黑" w:hAnsi="微软雅黑" w:eastAsia="微软雅黑" w:cs="微软雅黑"/>
                <w:color w:val="auto"/>
              </w:rPr>
              <w:t>其他规定</w:t>
            </w:r>
          </w:p>
        </w:tc>
        <w:tc>
          <w:tcPr>
            <w:tcW w:w="5581" w:type="dxa"/>
            <w:vAlign w:val="center"/>
          </w:tcPr>
          <w:p>
            <w:pPr>
              <w:pStyle w:val="11"/>
              <w:jc w:val="left"/>
              <w:rPr>
                <w:rFonts w:hint="eastAsia" w:ascii="微软雅黑" w:hAnsi="微软雅黑" w:eastAsia="微软雅黑" w:cs="微软雅黑"/>
                <w:color w:val="auto"/>
                <w:lang w:val="zh-CN"/>
              </w:rPr>
            </w:pPr>
          </w:p>
        </w:tc>
      </w:tr>
    </w:tbl>
    <w:p>
      <w:pPr>
        <w:pStyle w:val="11"/>
        <w:ind w:firstLine="420" w:firstLineChars="200"/>
        <w:rPr>
          <w:rFonts w:ascii="微软雅黑" w:hAnsi="微软雅黑" w:eastAsia="微软雅黑" w:cs="微软雅黑"/>
          <w:color w:val="auto"/>
        </w:rPr>
      </w:pPr>
    </w:p>
    <w:p>
      <w:pPr>
        <w:pStyle w:val="11"/>
        <w:ind w:firstLine="420" w:firstLineChars="200"/>
        <w:jc w:val="right"/>
        <w:rPr>
          <w:rFonts w:ascii="微软雅黑" w:hAnsi="微软雅黑" w:eastAsia="微软雅黑" w:cs="微软雅黑"/>
          <w:color w:val="auto"/>
        </w:rPr>
      </w:pPr>
      <w:r>
        <w:rPr>
          <w:rFonts w:hint="eastAsia" w:ascii="微软雅黑" w:hAnsi="微软雅黑" w:eastAsia="微软雅黑" w:cs="微软雅黑"/>
          <w:color w:val="auto"/>
        </w:rPr>
        <w:br w:type="page"/>
      </w:r>
    </w:p>
    <w:p>
      <w:pPr>
        <w:pStyle w:val="11"/>
        <w:jc w:val="center"/>
        <w:rPr>
          <w:rFonts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磋商须知正文</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一、总则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1.定义</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　“采购人”是指依法进行政府采购的国家机关、事业单位、团体组织。本次政府采购的采购人名称、地址、电话、联系人见磋商须知前附表。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　“采购代理机构”是指接受采购人委托，代理采购项目的集中采购机构和其他采购代理机构。本次政府采购的采购代理机构名称、地址、电话、联系人见磋商须知前附表。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　“供应商”是指响应磋商文件要求、参加竞争性磋商采购的法人、其他组织或者自然人。本次政府采购项目邀请的供应商通过磋商须知前附表所述方式产生。</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　“磋商小组”是依据《政府采购竞争性磋商采购方式管理暂行办法》有关规定组建，依法履行竞争性磋商采购活动职责的3人以上单数的磋商成员。</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　“设备”是指各种形态和种类的物品，包括原材料、燃料、设备、产品等。</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　“服务”是指除设备和工程以外的其他政府采购对象。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　“节能产品”或者“环保产品”是指国务院有关部门发布的《节能产品政府采购清单》或者《环境标志产品政府采购清单》的产品。</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　“进口产品”是指通过中国海关报关验放进入中国境内且产自关境外的产品。</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2.采购项目预算</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　本项目采购资金已列入政府采购预算，预算金额见磋商须知前附表。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3.供应商的资格要求</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供应商应当符合磋商须知前附表中规定的下列资格条件要求：</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　符合《政府采购法》第二十二条规定的供应商条件：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(1)具有独立承担民事责任的能力；</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(2)具有良好的商业信誉和健全的财务会计制度；</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(3)具有履行合同所必需的设备和专业技术能力；</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(4)有依法缴纳税收和社会保障资金的良好记录；</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(5)参加政府采购活动前三年内，在经营活动中没有重大违法记录；</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(6)政府采购法律法规相关规定的其他条件。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　政府强制采购资格条件。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3.1.3　其他特定资格条件。(详见磋商须知前附表)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供应商存在下列情形之一的不得参加竞争性磋商：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3.2.2　因违法经营受到刑事处罚或者责令停产停业、吊销许可证或者执照、较大数额罚款等行政处罚，或者存在财政部门认定的其他重大违法记录，以及在财政部门禁止参加政府采购活动期限以内的。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4.参与磋商的费用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　无论磋商的结果如何，供应商应自行承担所有与竞争性磋商采购活动有关的全部费用。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5.授权委托</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5.1　供应商代表为供应商法定代表人的，应持有法定代表人身份证明。供应商代表不是供应商法定代表人的，应持有法定代表人授权书，并附授权代表的身份证明。</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6.联合体形式</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6.1　本项目是否接受联合体参与及相关要求见磋商须知前附表。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6.2　供应商为联合体形式的，应同时遵守以下规定：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(1)联合体各方必须签订联合体协议书，明确联合体牵头人和各方权利、义务及分工、合同工作量比例；</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(2)联合体各方均应当符合本章第3.1款规定的供应商基本资格条件；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(3)除磋商须知前附表中另有规定，联合体各方中至少有一方应当符合本章第3.1款规定的供应商特定资格条件；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(4)联合体中有同类资质的供应商按照联合体分工承担相同工作的，应当按照资质等级较低的供应商确定资质等级；</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(5)联合体各方不得再单独或与其他供应商组成新的联合体参加同一项目的采购活动。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7.项目现场勘察</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7.1　本项目是否组织现场勘察见磋商须知前附表。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7.2　供应商应按磋商须知前附表中规定对采购项目现场和周围环境的现场考察。供应商未在指定时间进行勘察的，采购人不再另行组织。</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7.3　勘察现场的费用由供应商自己承担，勘察期间所发生的人身伤害及财产损失由供应商自己负责。</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7.4　采购人不对供应商据此而做出的推论、理解和结论负责。一旦成交，供应商不得以任何借口，提出额外补偿，或延长合同期限的要求。</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8.采购进口产品</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8.1　本项目是否采购进口产品及相关要求见磋商须知前附表。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9.政府采购政策支持与其他规定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9.1　产品属于政府强制采购节能产品范围，必须将是否列入最新一期节能清单作为采购产品的资格条件。本项目的详细要求见磋商须知前附表。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9.2　对列入最新一期节能清单(非强制类)、环保清单内的产品，应分别予以相应的加分或价格扣除；对于同时列入“两个清单”的产品，应当优先于只获得其中一项认证的产品。本项目的详细要求见磋商须知前附表。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9.3　供应商享受支持中小企业发展政策优惠的，可用扣除后的最后报价参与价格比较。本项目价格扣除比例及相关要求见磋商须知前附表。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9.4　监狱企业视同小型、微型企业，享受促进中小企业发展政策优惠，可用扣除后的最后报价参与价格比较。本项目价格扣除比例及相关要求见磋商须知前附表。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9.6　其他法律法规强制性规定。本项目的详细要求见磋商须知前附表。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二、磋商文件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10.磋商文件的组成</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10.1　磋商文件由下列文件组成：</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第一部分　商务部分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第一章　磋商邀请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第二章　磋商须知</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第三章　评审方法及标准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第四章　合同草案条款</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第五章　响应文件组成</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第二部分　技术部分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第六章　项目采购需求</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10.2　磋商须知前附表规定的提交首次响应文件截止时间5日前，对磋商文件进行澄清或者修改的内容，为磋商文件的组成部分。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10.3　磋商小组根据与供应商磋商情况可能实质性变动的内容，包括采购需求中的技术、服务要求以及合同草案条款，对磋商文件作出的实质性变动是磋商文件的有效组成部分。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10.4　供应商应仔细阅读磋商文件的全部内容，按照磋商文件要求编制响应文件。任何对磋商文件的忽略或误解不能作为响应文件存在缺陷或瑕疵的理由，其风险由供应商承担。</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11.磋商文件的澄清或者修改</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　在磋商须知前附表规定的提交首次响应文件截止之日5日前，采购人、采购代理机构或者磋商小组可以对已发出的磋商文件进行必要的澄清或者修改。</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　澄清或者修改的内容可能影响响应文件编制的，采购人、采购代理机构应当在磋商须知前附表规定的提交首次响应文件截止之日3日前，以书面形式通知所有接收磋商文件的供应商，不足3日的，顺延供应商提交首次响应文件截止时间。</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12.偏离</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　本条所称偏离为响应文件对磋商文件的偏离，即不满足或不响应磋商文件的要求。偏离分为实质性和非实质性要求条款偏离。</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　除政府采购法律法规相关规定外，磋商文件中用“拒绝”“不接受”“无效”“不得”“必须”“应当”等文字规定或标注“★”符号的条款为实质性要求条款(即重要条款)，对其中任何一条的偏离，在评审时将其视为无效响应。</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三、响应文件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13.一般要求</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13.1　供应商应仔细阅读磋商文件的所有内容，按磋商文件的要求编制响应文件，并保证所提供的全部资料的真实性，以使其响应文件对磋商文件做出实质性的响应。</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13.2　供应商提交的响应文件及供应商与采购人或采购代理机构、磋商小组就有关磋商的所有来往函电必须使用中文。供应商可以提交其他语言的资料，但应附中文注释，在有差异时以中文为准。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13.3　除技术要求另有规定外，本文件所要求使用的计量单位均采用国家法定的度、量、衡标准单位计量。未列明时亦默认为我国法定计量单位。</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13.4　供应商应按磋商文件中提供的响应文件格式填写。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13.5　磋商响应文件应采用书面形式，磋商文件中要求提供电子版的，必须按要求提供。</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14.响应文件的组成(采购人可根据实际情况对以下项目标注★)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　响应文件应包括但不限于下列内容：</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14.1.1　商务部分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(1)磋商响应声明</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(2)报价一览表及分项价格表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(3)商务条款偏离表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(4)供应商符合资格条件的证明文件</w:t>
      </w:r>
    </w:p>
    <w:p>
      <w:pPr>
        <w:pStyle w:val="11"/>
        <w:numPr>
          <w:ilvl w:val="0"/>
          <w:numId w:val="2"/>
        </w:numPr>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符合政府采购政策的证明材料</w:t>
      </w:r>
    </w:p>
    <w:p>
      <w:pPr>
        <w:pStyle w:val="11"/>
        <w:numPr>
          <w:ilvl w:val="0"/>
          <w:numId w:val="2"/>
        </w:numPr>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磋商须知前附表要求供应商须提供的其他资料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(7)供应商认为需提供的其他资料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14.1.2　技术部分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(1)设备说明一览表、服务方案、实施方案及技术方案</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（2）服务方案</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(3)售后服务承诺</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(4)用于本项目人员简历表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(5)磋商标的物符合磋商文件要求的相关证明文件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(6)其他资料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14.2　本项目是否要求提供样品的见磋商须知前附表。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14.3　磋商须知前附表规定供应商在磋商时提供样品的，供应商有以下情形之一的，在磋商时将其视为无效响应文件。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(1)未在磋商须知前附表规定的提交时间、地点提交的；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(2)供应商提供的样品与响应文件中型号、规格不一致的。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14.4　在磋商过程中，供应商根据磋商小组书面形式要求提交的最后报价(或者重新提交的响应文件和最后报价)是响应文件的有效组成部分。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14.5　磋商文件规定可能发生实质性变动的，供应商应当在《技术/商务响应与偏离表》中的对应内容处注明。</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14.6　供应商无论成交与否，其响应文件不予退还。</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15.1　供应商应按磋商文件规定的供货及服务要求、责任范围和合同条件，以人民币进行报价。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15.2　供应商必须按报价一览表和分项价格表的内容和格式要求填写各项设备及服务的分项价格和总价。供应商在磋商须知前附表规定的提交首次响应文件截止之日前修改报价一览表中的报价的，应同时修改其分项价格表中的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15.3　供应商的最终报价不得超过采购项目预算。本次采购项目的预算见磋商须知前附表。</w:t>
      </w:r>
    </w:p>
    <w:p>
      <w:pPr>
        <w:pStyle w:val="11"/>
        <w:spacing w:line="6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16.投标保证金</w:t>
      </w:r>
    </w:p>
    <w:p>
      <w:pPr>
        <w:pStyle w:val="11"/>
        <w:spacing w:line="6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责任，赔偿金额不超过采购预算金额的2%。</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17.磋商响应有效期</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17.1　磋商响应有效期见磋商须知前附表，在此期间响应文件对供应商具有法律约束力。响应文件有效期从磋商须知前附表规定的提交首次响应文件截止时间之日起计算。磋商响应有效期不足的将被视为无效响应。</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18.响应文件的签署及规定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18.1　供应商应根据磋商须知前附表规定提交响应文件。纸质文件的正本和副本应装订成册。正本和副本的封面应注明“正本”或“副本”的字样，当正本和副本、电子版不一致时，以正本为准。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18.2　响应文件应用不褪色的材料打印或书写，并按磋商文件要求在签字盖章处盖单位章和由法定代表人或其授权代表签字或盖章（电子版文件和纸质版文件签字盖章方式必须一致）。响应文件中的任何行间插字、涂改和增删，应加盖单位章或由投标人的法定代表人或其授权的代理人签字确认。否则，在评标时将其视为无效投标。</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18.3　在磋商过程中，供应商按磋商文件规定和磋商小组要求重新提交的响应文件和最后报价，应打印或用不褪色墨水书写，并由法定代表人或其授权代表签字，加盖单位公章。否则，将导致响应文件无效。</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19.响应文件的密封和标记</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19.1　响应文件按正本和副本分别包装，注明“正本”或“副本”，加贴封条，并在封套的封口处加盖供应商单位公章或由法定代表人或其授权代表签字。</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19.2　响应文件封套或外包装上应写明的内容见磋商须知前附表。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19.3　响应文件如果未按上述规定密封和标记，采购人或采购代理机构应当拒绝接收。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20.响应文件的递交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　响应文件应在磋商须知前附表规定的提交时间和指定地点提交。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20.2　在截止时间后送达的响应文件为无效文件，采购人、采购代理机构或磋商小组应当拒收。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21.响应文件的补充、修改或者撤回</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　供应商在磋商须知前附表规定的提交首次响应文件截止时间前，可以对所提交的首次响应文件进行补充、修改或者撤回，并书面通知采购人或采购代理机构。该通知应有供应商法定代表人或其授权代表签字。</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21.2　补充、修改的内容与响应文件不一致时，以补充、修改的内容为准。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四、磋商与评审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22.磋商小组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　磋商与评审由依法组建的磋商小组负责，磋商小组由采购人代表和评审专家组成。</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23.初步审查</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(1)未按照磋商文件规定要求密封、签署、盖章的；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(2)响应有效期不足的；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(3)供应商不满足磋商文件供应商资格条件或未按照磋商文件规定提供资格证明材料的；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(4)响应文件不满足磋商文件实质性条款的。响应文件是否实质性响应磋商文件，由磋商小组依据磋商文件规定、供应商响应文件及磋商情况认定；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(5)供应商存在失信记录的：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失信情况查询详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(6)其他不符合法律、规章、规范性文件和磋商文件规定的。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24.澄清</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磋商文件的范围或者改变响应文件的实质性内容。</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25.磋商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25.1　初审结束后，磋商小组所有成员集中与单一供应商分别进行磋商，并给予所有参加磋商的供应商平等的磋商机会。供应商应派其法定代表人或授权代表参加磋商。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25.2　在磋商过程中，磋商小组可以根据磋商文件和磋商情况实质性变动采购需求中的技术、服务要求以及合同草案条款，但不得变动磋商文件中的其他内容。实质性变动的内容，须经采购人代表确认。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25.3　对磋商文件作出的实质性变动是磋商文件的有效组成部分，磋商小组应当及时以书面形式同时通知所有参加磋商的供应商。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25.4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25.5　磋商文件不能详细列明采购标的技术、服务要求，需经磋商由供应商提供最终设计方案或解决方案的，磋商结束后，磋商小组应当按照少数服从多数的原则投票推荐3家以上供应商的设计方案或者解决方案。</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25.6　磋商小组应当根据实际情况与供应商进行磋商，并确定磋商的轮次。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25.7　已提交响应文件的供应商，在提交最后报价之前，可以根据磋商情况退出磋商。采购人或采购代理机构应当退还退出磋商的供应商的磋商保证金。</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25.8　磋商结束后，供应商按照磋商小组要求重新提交的响应文件，不满足磋商文件及变动后的技术、服务要求以及合同草案条款的实质性要求的，将视为无效响应文件。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26.最后报价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26.1　磋商结束后，磋商小组应当要求所有实质性响应的供应商在规定时间内提交最后报价，提交最后报价的供应商不得少于3家。</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26.2　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26.3　最后报价是供应商响应文件的有效组成部分。如磋商小组没有对磋商文件作实质性变动或增加新的需求，最后报价不得高于首轮报价。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26.4　采用竞争性磋商采购方式组织实施的市场竞争不充分的科研项目、需要扶持的科技成果转化项目，以及政府购买服务项目(含政府和社会资本合作项目)，符合要求的供应商(社会资本)只有2家的，竞争性磋商采购活动可以继续进行。</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27.最后报价评审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27.1　最后报价计算错误修正的原则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(1)最后报价的大写金额和小写金额不一致的，以大写金额为准。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(2)总价金额与按分项报价汇总金额不一致的，以分项报价金额计算结果为准。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(3)分项报价金额小数点有明显错位的，应以总价为准，并修改分项报价。</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(4)如果供应商不接受对其错误的更正，其最后报价将被视为无效报价或确定为无效响应。</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27.2　最后报价的价格扣除原则</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(1)节能产品(视具体项目适用)：供应商所投产品中，如有符合政策的节能产品的，对节能产品在评审时按磋商须知前附表的规定对其最终报价给予价格扣除或在评审时予以加分。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(2)环境标志产品(视具体项目适用)：供应商所投产品中，如有符合政策的环境标志产品的，对环境标志产品在评审时按磋商须知前附表的规定对其最终报价给予价格扣除或在评审时予以加分。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(3)对小型或微型企业以及监狱企业，在评审时按磋商须知前附表的规定对其最终报价给予价格扣除。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为大中型企业和其他自然人、法人或者其他组织与小型、微型企业组成的联合体(若项目允许联合体报价响应的情况下)，且联合体协议中约定小型、微型企业的协议合同金额(必须为小型或微型企业产品)占到联合体协议合同总金额30%以上的，对联合体最终报价给予扣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27.4　价格得分：以供应商的最后报价作为价格评分依据。供应商的评审价为按上述条款修正并给予价格扣除优惠后的价格。</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28.综合评审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28.1　经磋商确定最终采购需求和提交最后报价的供应商后，由磋商小组采用综合评分法对提交最后报价的供应商的响应文件和最后报价进行综合评分。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28.2　评审办法及标准见第三章。</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28.3　评审时，磋商小组成员应当独立对每个有效响应的文件进行评价、打分，然后汇总每个供应商每项评分因素的得分。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29.提出成交供应商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29.1　磋商小组应当按照综合评分由高到低的顺序提出3名以上成交候选供应商，并编写评审报告。市场竞争不充分的科研项目、需要扶持的科技成果转化项目，以及政府购买服务项目，可以推荐2家成交候选供应商。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29.2　评审得分相同的，按照最后报价由低到高的顺序推荐。评审得分且最后报价相同的，按照技术指标优劣顺序推荐。</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30.确定成交供应商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30.1　采购代理机构应当在评审结束之日起2个工作日内将评审报告送采购人确认。</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30.2　采购人应当在收到评审报告之日起5个工作日内，从评审报告提出的成交候选供应商中，按照排序由高到低的原则确定成交供应商，也可以书面授权磋商小组直接确定成交供应商。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30.3　采购人自行组织磋商的，应当在评审结束之日起5个工作日内确定成交供应商。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31.磋商终止</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　出现下列情形之一的，采购人或者采购代理机构应当终止竞争性磋商采购活动，在财政部指定的媒体上发布项目终止公告并说明原因，重新开展采购活动：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(1)因情况变化，不再符合规定的竞争性磋商采购方式适用情形的；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(2)出现影响采购公正的违法、违规行为的；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除市场竞争不充分的科研项目、需要扶持的科技成果转化项目，以及政府购买服务项目外，在采购过程中符合竞争要求的供应商或者报价未超过采购预算的供应商不足3家的，或者提交最后报价的供应商少于3家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(4)因重大变故，采购任务取消的。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32.重新评审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　除资格性检查认定错误、分值汇总计算错误、分项评分超出评分标准范围、客观分评分不一致、经磋商小组一致认定评分畸高、畸低的情形外，采购人或者采购代理机构不得以任何理由组织重新评审。</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33.保密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　磋商小组成员以及与评审工作有关的人员不得泄露评审情况以及评审过程中获悉的国家秘密、商业秘密。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34.禁止行为</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34.1　供应商不得与采购人、采购代理机构、其他供应商恶意串通；不得向采购人、采购代理机构或者磋商小组成员行贿或者提供其他不正当利益；不得提供虚假材料谋取成交；不得以任何方式干扰、影响采购工作。</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五、成交结果信息公布与签订合同</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35.成交信息的公布</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35.1　成交供应商确定之日起2个工作日内，采购人或者采购代理机构应在磋商须知前附表中规定的公告媒体上公布成交结果信息。</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35.2　磋商文件随成交结果同时公告。但成交结果公告前磋商文件已公告的，不再重复公告。</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35.3　采用书面推荐供应商参加采购活动的，在公告结果同时公告采购人和评审专家的推荐意见。</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36.成交通知</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36.1　成交供应商确定后，采购人或采购代理机构在发布成交公告的同时以书面形式向成交供应商发出成交通知书。成交通知书对采购人和成交供应商具有同等法律效力。</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37.签订合同</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　磋商文件、成交供应商的响应文件及补充文件等均为签订政府采购合同的依据。</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37.2　成交供应商应当在成交通知书发出之日起30日内与采购人签订政府采购合同。</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37.3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37.4　自政府采购合同签订之日起2个工作日内，本项目政府采购合同在磋商须知前附表规定的媒体上公告，但政府采购合同中涉及国家秘密、商业秘密的内容除外。</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六、其他规定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38.采购代理服务费</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38.1　成交供应商是否交纳采购代理服务费及相关要求见磋商须知前附表。</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39.询问、质疑、投诉</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39.1　供应商对政府采购活动事项有疑问的，可以向采购人提出询问，采购人应当及时作出答复，但答复的内容不得涉及商业秘密。</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39.2　供应商认为磋商文件、磋商过程和成交结果使自己的权益受到损害的，可以在知道或者应知其权益受到损害之日起7个工作日内，以书面形式向采购人提出质疑。</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39.3　供应商对采购人或采购代理机构的答复不满意，或采购人或采购代理机构未在规定的期限作出答复的，可在答复期满后15个工作日内，按政府采购法律法规规定及程序，向财政部提出投诉。</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40.成交供应商有下列情形之一的，将被列入不良行为记录名单，在1～3年内禁止参加政府采购活动，并予以通报：</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(1)成交后无正当理由不与采购人签订合同的；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(2)未按照采购文件确定的事项签订政府采购合同，或者与采购人另行订立背离合同实质性内容的协议的；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(3)拒绝履行合同义务的；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(4)《政府采购法》第七十七条和《政府采购法实施条例》第七十二条规定的其他情形；</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(5)其他违反法律法规相关规定的情形。</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41.其他规定</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41.1　磋商文件的其他规定见磋商须知前附表。</w:t>
      </w:r>
    </w:p>
    <w:p>
      <w:pPr>
        <w:pStyle w:val="11"/>
        <w:spacing w:line="6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41.2中小企业融资指南：陕西省政府采购信用融资平台是陕西省财政厅为贯彻落实支持中小企业发展政策，有效缓解中小企业融资难、融资贵问题，发挥政府采购政策导向作用，专门搭建的融资平台，中标（成交）供应商可按照陕西省政府采购采购信用融资平台（http://www.ccgp-shaanxi.gov.cn/zcdservice/zcd/shanxi/）相关政府采购融资政策、方法、途径的规定，进行融资。</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42.未尽事宜</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42.1　其他未尽事宜按政府采购法律法规的规定执行。</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43.文件解释权</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43.1　本磋商文件的解释权归采购人(或采购代理机构)所有。</w:t>
      </w:r>
    </w:p>
    <w:p>
      <w:pPr>
        <w:pStyle w:val="11"/>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br w:type="page"/>
      </w:r>
    </w:p>
    <w:p>
      <w:pPr>
        <w:pStyle w:val="7"/>
        <w:jc w:val="center"/>
        <w:rPr>
          <w:color w:val="auto"/>
        </w:rPr>
      </w:pPr>
      <w:r>
        <w:rPr>
          <w:rFonts w:hint="eastAsia" w:ascii="微软雅黑" w:hAnsi="微软雅黑" w:eastAsia="微软雅黑" w:cs="微软雅黑"/>
          <w:color w:val="auto"/>
          <w:sz w:val="32"/>
          <w:szCs w:val="32"/>
        </w:rPr>
        <w:t>第三章　评标办法及标准</w:t>
      </w:r>
    </w:p>
    <w:p>
      <w:pPr>
        <w:snapToGrid w:val="0"/>
        <w:ind w:firstLine="578"/>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采用综合评分法，即在最大限度地满足招标文件实质性要求前提下，按照招标文件中规定的各项因素进行综合评审后，以评审总得分顺序推荐中标候选人。具体评审因素和分值如下。</w:t>
      </w:r>
    </w:p>
    <w:tbl>
      <w:tblPr>
        <w:tblStyle w:val="18"/>
        <w:tblW w:w="9421" w:type="dxa"/>
        <w:jc w:val="center"/>
        <w:tblLayout w:type="fixed"/>
        <w:tblCellMar>
          <w:top w:w="0" w:type="dxa"/>
          <w:left w:w="108" w:type="dxa"/>
          <w:bottom w:w="0" w:type="dxa"/>
          <w:right w:w="108" w:type="dxa"/>
        </w:tblCellMar>
      </w:tblPr>
      <w:tblGrid>
        <w:gridCol w:w="1129"/>
        <w:gridCol w:w="646"/>
        <w:gridCol w:w="7646"/>
      </w:tblGrid>
      <w:tr>
        <w:tblPrEx>
          <w:tblCellMar>
            <w:top w:w="0" w:type="dxa"/>
            <w:left w:w="108" w:type="dxa"/>
            <w:bottom w:w="0" w:type="dxa"/>
            <w:right w:w="108" w:type="dxa"/>
          </w:tblCellMar>
        </w:tblPrEx>
        <w:trPr>
          <w:trHeight w:val="111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评标</w:t>
            </w:r>
          </w:p>
          <w:p>
            <w:pPr>
              <w:snapToGrid w:val="0"/>
              <w:spacing w:line="40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内容</w:t>
            </w:r>
          </w:p>
        </w:tc>
        <w:tc>
          <w:tcPr>
            <w:tcW w:w="646"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分值</w:t>
            </w:r>
          </w:p>
        </w:tc>
        <w:tc>
          <w:tcPr>
            <w:tcW w:w="7646"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评标原则与标准</w:t>
            </w:r>
          </w:p>
        </w:tc>
      </w:tr>
      <w:tr>
        <w:tblPrEx>
          <w:tblCellMar>
            <w:top w:w="0" w:type="dxa"/>
            <w:left w:w="108" w:type="dxa"/>
            <w:bottom w:w="0" w:type="dxa"/>
            <w:right w:w="108" w:type="dxa"/>
          </w:tblCellMar>
        </w:tblPrEx>
        <w:trPr>
          <w:trHeight w:val="62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投标</w:t>
            </w:r>
          </w:p>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报价</w:t>
            </w:r>
          </w:p>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p>
        </w:tc>
        <w:tc>
          <w:tcPr>
            <w:tcW w:w="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35</w:t>
            </w:r>
          </w:p>
        </w:tc>
        <w:tc>
          <w:tcPr>
            <w:tcW w:w="7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以所有有效投标报价加权平均值为计分基准价，投标单位报价等于基准价的，得</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35</w:t>
            </w:r>
            <w:r>
              <w:rPr>
                <w:rFonts w:hint="eastAsia" w:ascii="微软雅黑" w:hAnsi="微软雅黑" w:eastAsia="微软雅黑" w:cs="微软雅黑"/>
                <w:color w:val="000000" w:themeColor="text1"/>
                <w:sz w:val="21"/>
                <w:szCs w:val="21"/>
                <w14:textFill>
                  <w14:solidFill>
                    <w14:schemeClr w14:val="tx1"/>
                  </w14:solidFill>
                </w14:textFill>
              </w:rPr>
              <w:t>分；每低于基准价1%扣0.5分；每高于基价1%扣1分，扣完为止，按插入法计算。</w:t>
            </w:r>
          </w:p>
          <w:p>
            <w:pPr>
              <w:adjustRightInd w:val="0"/>
              <w:snapToGrid w:val="0"/>
              <w:spacing w:line="400" w:lineRule="exact"/>
              <w:jc w:val="lef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符合招标文件规定的小微企业、监狱企业优惠条件的供应商，价格给予</w:t>
            </w: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3</w:t>
            </w:r>
            <w:r>
              <w:rPr>
                <w:rFonts w:hint="eastAsia" w:ascii="微软雅黑" w:hAnsi="微软雅黑" w:eastAsia="微软雅黑" w:cs="微软雅黑"/>
                <w:b/>
                <w:bCs/>
                <w:color w:val="000000" w:themeColor="text1"/>
                <w:sz w:val="21"/>
                <w:szCs w:val="21"/>
                <w14:textFill>
                  <w14:solidFill>
                    <w14:schemeClr w14:val="tx1"/>
                  </w14:solidFill>
                </w14:textFill>
              </w:rPr>
              <w:t>%的扣除，用扣除后的价格参与评审。</w:t>
            </w:r>
          </w:p>
          <w:p>
            <w:pPr>
              <w:adjustRightInd w:val="0"/>
              <w:snapToGrid w:val="0"/>
              <w:spacing w:line="400" w:lineRule="exact"/>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投标报价明显低于其他</w:t>
            </w:r>
            <w:r>
              <w:rPr>
                <w:rFonts w:hint="eastAsia" w:ascii="微软雅黑" w:hAnsi="微软雅黑" w:eastAsia="微软雅黑" w:cs="微软雅黑"/>
                <w:b/>
                <w:bCs/>
                <w:color w:val="000000" w:themeColor="text1"/>
                <w:sz w:val="21"/>
                <w:szCs w:val="21"/>
                <w:lang w:eastAsia="zh-CN"/>
                <w14:textFill>
                  <w14:solidFill>
                    <w14:schemeClr w14:val="tx1"/>
                  </w14:solidFill>
                </w14:textFill>
              </w:rPr>
              <w:t>供应商</w:t>
            </w:r>
            <w:r>
              <w:rPr>
                <w:rFonts w:hint="eastAsia" w:ascii="微软雅黑" w:hAnsi="微软雅黑" w:eastAsia="微软雅黑" w:cs="微软雅黑"/>
                <w:b/>
                <w:bCs/>
                <w:color w:val="000000" w:themeColor="text1"/>
                <w:sz w:val="21"/>
                <w:szCs w:val="21"/>
                <w14:textFill>
                  <w14:solidFill>
                    <w14:schemeClr w14:val="tx1"/>
                  </w14:solidFill>
                </w14:textFill>
              </w:rPr>
              <w:t>，经评标委员会质询后不能再规定时间内说明理由，或说明理由但评标委员会认为理由不能成立的，客观上形成不良竞争，按无效标处理。</w:t>
            </w:r>
          </w:p>
        </w:tc>
      </w:tr>
      <w:tr>
        <w:tblPrEx>
          <w:tblCellMar>
            <w:top w:w="0" w:type="dxa"/>
            <w:left w:w="108" w:type="dxa"/>
            <w:bottom w:w="0" w:type="dxa"/>
            <w:right w:w="108" w:type="dxa"/>
          </w:tblCellMar>
        </w:tblPrEx>
        <w:trPr>
          <w:trHeight w:val="62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商务响应</w:t>
            </w:r>
          </w:p>
        </w:tc>
        <w:tc>
          <w:tcPr>
            <w:tcW w:w="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5</w:t>
            </w:r>
          </w:p>
        </w:tc>
        <w:tc>
          <w:tcPr>
            <w:tcW w:w="7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经过有效性和符合性审核合格的单位，对付款、施工、验收、售后服务等方面进行响应，完全响应且逐项详细说明的各计1分，共5分。未做详细响应的，少一项扣1分。</w:t>
            </w:r>
          </w:p>
        </w:tc>
      </w:tr>
      <w:tr>
        <w:tblPrEx>
          <w:tblCellMar>
            <w:top w:w="0" w:type="dxa"/>
            <w:left w:w="108" w:type="dxa"/>
            <w:bottom w:w="0" w:type="dxa"/>
            <w:right w:w="108" w:type="dxa"/>
          </w:tblCellMar>
        </w:tblPrEx>
        <w:trPr>
          <w:trHeight w:val="62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施工组织</w:t>
            </w:r>
          </w:p>
        </w:tc>
        <w:tc>
          <w:tcPr>
            <w:tcW w:w="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40</w:t>
            </w:r>
          </w:p>
        </w:tc>
        <w:tc>
          <w:tcPr>
            <w:tcW w:w="7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项目经理部组成（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明确负责人、人员组织、人员配备、人员职责等各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color w:val="000000" w:themeColor="text1"/>
                <w:sz w:val="21"/>
                <w:szCs w:val="21"/>
                <w14:textFill>
                  <w14:solidFill>
                    <w14:schemeClr w14:val="tx1"/>
                  </w14:solidFill>
                </w14:textFill>
              </w:rPr>
              <w:t xml:space="preserve">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施工部署及总平面布置（4分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施工有整体部署、技术准备、施工顺序以及总体平面图等各1分；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3</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施工进度计划及措施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量化施工进度、作业计划、组织安排、具体措施等各1分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 xml:space="preserve">施工方案（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按照施工要求，全面确定施工方案包括技术方案、安全方案、材料供应方案等各1分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5</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质量安全保证措施（</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按照施工要求明确质量管理职责、各阶段质量保证措施、施工操作质量保证、安全生产体系等各1分；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使用新材料、新工艺的 （4分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施工中采用新材料的以及新工艺的进行说明及表述各2分。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7</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主要材料计划、构配件计划（</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罗列主要材料购置、配送、分发表等各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color w:val="000000" w:themeColor="text1"/>
                <w:sz w:val="21"/>
                <w:szCs w:val="21"/>
                <w14:textFill>
                  <w14:solidFill>
                    <w14:schemeClr w14:val="tx1"/>
                  </w14:solidFill>
                </w14:textFill>
              </w:rPr>
              <w:t>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8</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主要机械设备供应计划；（</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罗列主要设备购置、使用等计划各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color w:val="000000" w:themeColor="text1"/>
                <w:sz w:val="21"/>
                <w:szCs w:val="21"/>
                <w14:textFill>
                  <w14:solidFill>
                    <w14:schemeClr w14:val="tx1"/>
                  </w14:solidFill>
                </w14:textFill>
              </w:rPr>
              <w:t>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劳动力安排；（</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按照施工要求合理人力配置及使用等计划各</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color w:val="000000" w:themeColor="text1"/>
                <w:sz w:val="21"/>
                <w:szCs w:val="21"/>
                <w14:textFill>
                  <w14:solidFill>
                    <w14:schemeClr w14:val="tx1"/>
                  </w14:solidFill>
                </w14:textFill>
              </w:rPr>
              <w:t>分</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安全文明施工措施。（</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 ）</w:t>
            </w:r>
          </w:p>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按照施工要求，罗列文明施工的具体措施，最高</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分。</w:t>
            </w:r>
          </w:p>
        </w:tc>
      </w:tr>
      <w:tr>
        <w:tblPrEx>
          <w:tblCellMar>
            <w:top w:w="0" w:type="dxa"/>
            <w:left w:w="108" w:type="dxa"/>
            <w:bottom w:w="0" w:type="dxa"/>
            <w:right w:w="108" w:type="dxa"/>
          </w:tblCellMar>
        </w:tblPrEx>
        <w:trPr>
          <w:trHeight w:val="62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服务能力</w:t>
            </w:r>
            <w:r>
              <w:rPr>
                <w:rFonts w:hint="eastAsia" w:ascii="微软雅黑" w:hAnsi="微软雅黑" w:eastAsia="微软雅黑" w:cs="微软雅黑"/>
                <w:color w:val="000000" w:themeColor="text1"/>
                <w:sz w:val="21"/>
                <w:szCs w:val="21"/>
                <w14:textFill>
                  <w14:solidFill>
                    <w14:schemeClr w14:val="tx1"/>
                  </w14:solidFill>
                </w14:textFill>
              </w:rPr>
              <w:t>及</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施工内容深化提升</w:t>
            </w:r>
          </w:p>
        </w:tc>
        <w:tc>
          <w:tcPr>
            <w:tcW w:w="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10</w:t>
            </w:r>
          </w:p>
        </w:tc>
        <w:tc>
          <w:tcPr>
            <w:tcW w:w="7646"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color w:val="000000" w:themeColor="text1"/>
                <w:sz w:val="21"/>
                <w:szCs w:val="21"/>
                <w14:textFill>
                  <w14:solidFill>
                    <w14:schemeClr w14:val="tx1"/>
                  </w14:solidFill>
                </w14:textFill>
              </w:rPr>
              <w:t xml:space="preserve"> 服务能力（</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color w:val="000000" w:themeColor="text1"/>
                <w:sz w:val="21"/>
                <w:szCs w:val="21"/>
                <w14:textFill>
                  <w14:solidFill>
                    <w14:schemeClr w14:val="tx1"/>
                  </w14:solidFill>
                </w14:textFill>
              </w:rPr>
              <w:t>分）</w:t>
            </w:r>
          </w:p>
          <w:p>
            <w:pPr>
              <w:widowControl w:val="0"/>
              <w:numPr>
                <w:ilvl w:val="0"/>
                <w:numId w:val="0"/>
              </w:numPr>
              <w:adjustRightInd w:val="0"/>
              <w:snapToGrid w:val="0"/>
              <w:spacing w:before="0" w:beforeLines="0" w:beforeAutospacing="0" w:after="0" w:afterLines="0" w:afterAutospacing="0" w:line="400" w:lineRule="exact"/>
              <w:ind w:right="-86" w:rightChars="-41"/>
              <w:jc w:val="left"/>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有完整组织结构图</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0-1分</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、管理人员岗位说明书</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0-1分</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、技术服务人员岗位说明书</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0-1分</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、工作技术标准</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0-1分</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、项目流程及标准等有关规章制度</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0-1分</w:t>
            </w:r>
            <w:r>
              <w:rPr>
                <w:rFonts w:hint="eastAsia" w:ascii="微软雅黑" w:hAnsi="微软雅黑" w:eastAsia="微软雅黑" w:cs="微软雅黑"/>
                <w:color w:val="000000" w:themeColor="text1"/>
                <w:sz w:val="21"/>
                <w:szCs w:val="21"/>
                <w:lang w:eastAsia="zh-CN"/>
                <w14:textFill>
                  <w14:solidFill>
                    <w14:schemeClr w14:val="tx1"/>
                  </w14:solidFill>
                </w14:textFill>
              </w:rPr>
              <w:t>）。</w:t>
            </w:r>
          </w:p>
          <w:p>
            <w:pPr>
              <w:widowControl w:val="0"/>
              <w:numPr>
                <w:ilvl w:val="0"/>
                <w:numId w:val="0"/>
              </w:numPr>
              <w:adjustRightInd w:val="0"/>
              <w:snapToGrid w:val="0"/>
              <w:spacing w:before="0" w:beforeLines="0" w:beforeAutospacing="0" w:after="0" w:afterLines="0" w:afterAutospacing="0" w:line="400" w:lineRule="exact"/>
              <w:ind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2、施工内容深化提升描述</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color w:val="000000" w:themeColor="text1"/>
                <w:sz w:val="21"/>
                <w:szCs w:val="21"/>
                <w14:textFill>
                  <w14:solidFill>
                    <w14:schemeClr w14:val="tx1"/>
                  </w14:solidFill>
                </w14:textFill>
              </w:rPr>
              <w:t>分）</w:t>
            </w:r>
          </w:p>
          <w:p>
            <w:pPr>
              <w:widowControl w:val="0"/>
              <w:numPr>
                <w:ilvl w:val="0"/>
                <w:numId w:val="0"/>
              </w:numPr>
              <w:adjustRightInd w:val="0"/>
              <w:snapToGrid w:val="0"/>
              <w:spacing w:before="0" w:beforeLines="0" w:beforeAutospacing="0" w:after="0" w:afterLines="0" w:afterAutospacing="0" w:line="400" w:lineRule="exact"/>
              <w:ind w:left="0" w:leftChars="0" w:right="-86" w:rightChars="-41" w:firstLine="0" w:firstLineChars="0"/>
              <w:jc w:val="left"/>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default" w:ascii="微软雅黑" w:hAnsi="微软雅黑" w:eastAsia="微软雅黑" w:cs="微软雅黑"/>
                <w:color w:val="000000" w:themeColor="text1"/>
                <w:sz w:val="21"/>
                <w:szCs w:val="21"/>
                <w:lang w:val="en-US" w:eastAsia="zh-CN"/>
                <w14:textFill>
                  <w14:solidFill>
                    <w14:schemeClr w14:val="tx1"/>
                  </w14:solidFill>
                </w14:textFill>
              </w:rPr>
              <w:t>供应商根据自行勘察的情况结合施工图，对施工内容进行深化或者针对装修内容提出自己的提升理念（0-</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2</w:t>
            </w:r>
            <w:r>
              <w:rPr>
                <w:rFonts w:hint="default" w:ascii="微软雅黑" w:hAnsi="微软雅黑" w:eastAsia="微软雅黑" w:cs="微软雅黑"/>
                <w:color w:val="000000" w:themeColor="text1"/>
                <w:sz w:val="21"/>
                <w:szCs w:val="21"/>
                <w:lang w:val="en-US" w:eastAsia="zh-CN"/>
                <w14:textFill>
                  <w14:solidFill>
                    <w14:schemeClr w14:val="tx1"/>
                  </w14:solidFill>
                </w14:textFill>
              </w:rPr>
              <w:t>分）；对装饰装修内容作技术细节性描述：构思说明（0-</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default" w:ascii="微软雅黑" w:hAnsi="微软雅黑" w:eastAsia="微软雅黑" w:cs="微软雅黑"/>
                <w:color w:val="000000" w:themeColor="text1"/>
                <w:sz w:val="21"/>
                <w:szCs w:val="21"/>
                <w:lang w:val="en-US" w:eastAsia="zh-CN"/>
                <w14:textFill>
                  <w14:solidFill>
                    <w14:schemeClr w14:val="tx1"/>
                  </w14:solidFill>
                </w14:textFill>
              </w:rPr>
              <w:t>分）、功能布局说明（0-</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default" w:ascii="微软雅黑" w:hAnsi="微软雅黑" w:eastAsia="微软雅黑" w:cs="微软雅黑"/>
                <w:color w:val="000000" w:themeColor="text1"/>
                <w:sz w:val="21"/>
                <w:szCs w:val="21"/>
                <w:lang w:val="en-US" w:eastAsia="zh-CN"/>
                <w14:textFill>
                  <w14:solidFill>
                    <w14:schemeClr w14:val="tx1"/>
                  </w14:solidFill>
                </w14:textFill>
              </w:rPr>
              <w:t>分）、材质色彩说明（0-</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default" w:ascii="微软雅黑" w:hAnsi="微软雅黑" w:eastAsia="微软雅黑" w:cs="微软雅黑"/>
                <w:color w:val="000000" w:themeColor="text1"/>
                <w:sz w:val="21"/>
                <w:szCs w:val="21"/>
                <w:lang w:val="en-US" w:eastAsia="zh-CN"/>
                <w14:textFill>
                  <w14:solidFill>
                    <w14:schemeClr w14:val="tx1"/>
                  </w14:solidFill>
                </w14:textFill>
              </w:rPr>
              <w:t>分）。</w:t>
            </w:r>
          </w:p>
        </w:tc>
      </w:tr>
      <w:tr>
        <w:tblPrEx>
          <w:tblCellMar>
            <w:top w:w="0" w:type="dxa"/>
            <w:left w:w="108" w:type="dxa"/>
            <w:bottom w:w="0" w:type="dxa"/>
            <w:right w:w="108" w:type="dxa"/>
          </w:tblCellMar>
        </w:tblPrEx>
        <w:trPr>
          <w:trHeight w:val="41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0" w:beforeAutospacing="0" w:after="0" w:afterAutospacing="0" w:line="400" w:lineRule="exact"/>
              <w:ind w:left="0" w:leftChars="0" w:right="0" w:rightChars="0"/>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企业业绩</w:t>
            </w:r>
          </w:p>
        </w:tc>
        <w:tc>
          <w:tcPr>
            <w:tcW w:w="646" w:type="dxa"/>
            <w:tcBorders>
              <w:top w:val="single" w:color="auto" w:sz="4" w:space="0"/>
              <w:left w:val="nil"/>
              <w:bottom w:val="single" w:color="auto" w:sz="4" w:space="0"/>
              <w:right w:val="single" w:color="auto" w:sz="4" w:space="0"/>
            </w:tcBorders>
            <w:vAlign w:val="center"/>
          </w:tcPr>
          <w:p>
            <w:pPr>
              <w:widowControl w:val="0"/>
              <w:adjustRightInd w:val="0"/>
              <w:snapToGrid w:val="0"/>
              <w:spacing w:before="0" w:beforeAutospacing="0" w:after="0" w:afterAutospacing="0" w:line="400" w:lineRule="exact"/>
              <w:ind w:left="0" w:leftChars="0" w:right="0" w:rightChars="0"/>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t>3</w:t>
            </w:r>
          </w:p>
        </w:tc>
        <w:tc>
          <w:tcPr>
            <w:tcW w:w="7646" w:type="dxa"/>
            <w:tcBorders>
              <w:top w:val="single" w:color="auto" w:sz="4" w:space="0"/>
              <w:left w:val="nil"/>
              <w:bottom w:val="single" w:color="auto" w:sz="4" w:space="0"/>
              <w:right w:val="single" w:color="auto" w:sz="4" w:space="0"/>
            </w:tcBorders>
            <w:vAlign w:val="center"/>
          </w:tcPr>
          <w:p>
            <w:pPr>
              <w:widowControl w:val="0"/>
              <w:numPr>
                <w:ilvl w:val="0"/>
                <w:numId w:val="0"/>
              </w:numPr>
              <w:adjustRightInd w:val="0"/>
              <w:snapToGrid w:val="0"/>
              <w:spacing w:before="0" w:beforeAutospacing="0" w:after="0" w:afterAutospacing="0" w:line="400" w:lineRule="exact"/>
              <w:ind w:left="0" w:leftChars="0" w:right="-86" w:rightChars="-41" w:firstLine="0" w:firstLineChars="0"/>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14:textFill>
                  <w14:solidFill>
                    <w14:schemeClr w14:val="tx1"/>
                  </w14:solidFill>
                </w14:textFill>
              </w:rPr>
              <w:t>投标单位提供</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近三年（</w:t>
            </w:r>
            <w:r>
              <w:rPr>
                <w:rFonts w:hint="eastAsia" w:ascii="微软雅黑" w:hAnsi="微软雅黑" w:eastAsia="微软雅黑" w:cs="微软雅黑"/>
                <w:color w:val="000000" w:themeColor="text1"/>
                <w:sz w:val="21"/>
                <w:szCs w:val="21"/>
                <w:lang w:val="en-US"/>
                <w14:textFill>
                  <w14:solidFill>
                    <w14:schemeClr w14:val="tx1"/>
                  </w14:solidFill>
                </w14:textFill>
              </w:rPr>
              <w:t>20</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21.7</w:t>
            </w:r>
            <w:r>
              <w:rPr>
                <w:rFonts w:hint="eastAsia" w:ascii="微软雅黑" w:hAnsi="微软雅黑" w:eastAsia="微软雅黑" w:cs="微软雅黑"/>
                <w:color w:val="000000" w:themeColor="text1"/>
                <w:sz w:val="21"/>
                <w:szCs w:val="21"/>
                <w:lang w:val="en-US"/>
                <w14:textFill>
                  <w14:solidFill>
                    <w14:schemeClr w14:val="tx1"/>
                  </w14:solidFill>
                </w14:textFill>
              </w:rPr>
              <w:t>至今</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14:textFill>
                  <w14:solidFill>
                    <w14:schemeClr w14:val="tx1"/>
                  </w14:solidFill>
                </w14:textFill>
              </w:rPr>
              <w:t>已完成</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的类似业绩</w:t>
            </w:r>
            <w:r>
              <w:rPr>
                <w:rFonts w:hint="eastAsia" w:ascii="微软雅黑" w:hAnsi="微软雅黑" w:eastAsia="微软雅黑" w:cs="微软雅黑"/>
                <w:color w:val="000000" w:themeColor="text1"/>
                <w:sz w:val="21"/>
                <w:szCs w:val="21"/>
                <w:lang w:val="en-US"/>
                <w14:textFill>
                  <w14:solidFill>
                    <w14:schemeClr w14:val="tx1"/>
                  </w14:solidFill>
                </w14:textFill>
              </w:rPr>
              <w:t>，每个项目得</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w:t>
            </w:r>
            <w:r>
              <w:rPr>
                <w:rFonts w:hint="eastAsia" w:ascii="微软雅黑" w:hAnsi="微软雅黑" w:eastAsia="微软雅黑" w:cs="微软雅黑"/>
                <w:color w:val="000000" w:themeColor="text1"/>
                <w:sz w:val="21"/>
                <w:szCs w:val="21"/>
                <w:lang w:val="en-US"/>
                <w14:textFill>
                  <w14:solidFill>
                    <w14:schemeClr w14:val="tx1"/>
                  </w14:solidFill>
                </w14:textFill>
              </w:rPr>
              <w:t>分，最多得</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3</w:t>
            </w:r>
            <w:r>
              <w:rPr>
                <w:rFonts w:hint="eastAsia" w:ascii="微软雅黑" w:hAnsi="微软雅黑" w:eastAsia="微软雅黑" w:cs="微软雅黑"/>
                <w:color w:val="000000" w:themeColor="text1"/>
                <w:sz w:val="21"/>
                <w:szCs w:val="21"/>
                <w:lang w:val="en-US"/>
                <w14:textFill>
                  <w14:solidFill>
                    <w14:schemeClr w14:val="tx1"/>
                  </w14:solidFill>
                </w14:textFill>
              </w:rPr>
              <w:t>分</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14:textFill>
                  <w14:solidFill>
                    <w14:schemeClr w14:val="tx1"/>
                  </w14:solidFill>
                </w14:textFill>
              </w:rPr>
              <w:t>以所附合同为准（复印件加盖公章）</w:t>
            </w:r>
          </w:p>
        </w:tc>
      </w:tr>
      <w:tr>
        <w:tblPrEx>
          <w:tblCellMar>
            <w:top w:w="0" w:type="dxa"/>
            <w:left w:w="108" w:type="dxa"/>
            <w:bottom w:w="0" w:type="dxa"/>
            <w:right w:w="108" w:type="dxa"/>
          </w:tblCellMar>
        </w:tblPrEx>
        <w:trPr>
          <w:trHeight w:val="41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0" w:beforeAutospacing="0" w:after="0" w:afterAutospacing="0" w:line="400" w:lineRule="exact"/>
              <w:ind w:left="0" w:leftChars="0" w:right="0" w:rightChars="0"/>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lang w:val="en-US"/>
                <w14:textFill>
                  <w14:solidFill>
                    <w14:schemeClr w14:val="tx1"/>
                  </w14:solidFill>
                </w14:textFill>
              </w:rPr>
              <w:t>质量及服务承诺</w:t>
            </w:r>
          </w:p>
        </w:tc>
        <w:tc>
          <w:tcPr>
            <w:tcW w:w="646" w:type="dxa"/>
            <w:tcBorders>
              <w:top w:val="single" w:color="auto" w:sz="4" w:space="0"/>
              <w:left w:val="nil"/>
              <w:bottom w:val="single" w:color="auto" w:sz="4" w:space="0"/>
              <w:right w:val="single" w:color="auto" w:sz="4" w:space="0"/>
            </w:tcBorders>
            <w:vAlign w:val="center"/>
          </w:tcPr>
          <w:p>
            <w:pPr>
              <w:widowControl w:val="0"/>
              <w:adjustRightInd w:val="0"/>
              <w:snapToGrid w:val="0"/>
              <w:spacing w:before="0" w:beforeAutospacing="0" w:after="0" w:afterAutospacing="0" w:line="400" w:lineRule="exact"/>
              <w:ind w:left="0" w:leftChars="0" w:right="0" w:rightChars="0"/>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t>7</w:t>
            </w:r>
          </w:p>
        </w:tc>
        <w:tc>
          <w:tcPr>
            <w:tcW w:w="7646" w:type="dxa"/>
            <w:tcBorders>
              <w:top w:val="single" w:color="auto" w:sz="4" w:space="0"/>
              <w:left w:val="nil"/>
              <w:bottom w:val="single" w:color="auto" w:sz="4" w:space="0"/>
              <w:right w:val="single" w:color="auto" w:sz="4" w:space="0"/>
            </w:tcBorders>
            <w:vAlign w:val="center"/>
          </w:tcPr>
          <w:p>
            <w:pPr>
              <w:widowControl w:val="0"/>
              <w:adjustRightInd w:val="0"/>
              <w:snapToGrid w:val="0"/>
              <w:spacing w:before="0" w:beforeAutospacing="0" w:after="0" w:afterAutospacing="0" w:line="400" w:lineRule="exact"/>
              <w:ind w:left="0" w:right="-86" w:rightChars="-41"/>
              <w:jc w:val="left"/>
              <w:rPr>
                <w:rFonts w:hint="eastAsia" w:ascii="微软雅黑" w:hAnsi="微软雅黑" w:eastAsia="微软雅黑" w:cs="微软雅黑"/>
                <w:color w:val="000000" w:themeColor="text1"/>
                <w:sz w:val="22"/>
                <w:szCs w:val="22"/>
                <w:lang w:val="en-US" w:eastAsia="zh-CN"/>
                <w14:textFill>
                  <w14:solidFill>
                    <w14:schemeClr w14:val="tx1"/>
                  </w14:solidFill>
                </w14:textFill>
              </w:rPr>
            </w:pPr>
            <w:r>
              <w:rPr>
                <w:rFonts w:hint="eastAsia" w:ascii="微软雅黑" w:hAnsi="微软雅黑" w:eastAsia="微软雅黑" w:cs="微软雅黑"/>
                <w:color w:val="000000" w:themeColor="text1"/>
                <w:sz w:val="22"/>
                <w:szCs w:val="22"/>
                <w:lang w:val="en-US" w:eastAsia="zh-CN"/>
                <w14:textFill>
                  <w14:solidFill>
                    <w14:schemeClr w14:val="tx1"/>
                  </w14:solidFill>
                </w14:textFill>
              </w:rPr>
              <w:t>1、工程质量：5分</w:t>
            </w:r>
          </w:p>
          <w:p>
            <w:pPr>
              <w:widowControl w:val="0"/>
              <w:adjustRightInd w:val="0"/>
              <w:snapToGrid w:val="0"/>
              <w:spacing w:before="0" w:beforeAutospacing="0" w:after="0" w:afterAutospacing="0" w:line="400" w:lineRule="exact"/>
              <w:ind w:left="0" w:right="-86" w:rightChars="-41"/>
              <w:jc w:val="left"/>
              <w:rPr>
                <w:rFonts w:hint="eastAsia" w:ascii="微软雅黑" w:hAnsi="微软雅黑" w:eastAsia="微软雅黑" w:cs="微软雅黑"/>
                <w:color w:val="000000" w:themeColor="text1"/>
                <w:sz w:val="22"/>
                <w:szCs w:val="22"/>
                <w:lang w:val="en-US" w:eastAsia="zh-CN"/>
                <w14:textFill>
                  <w14:solidFill>
                    <w14:schemeClr w14:val="tx1"/>
                  </w14:solidFill>
                </w14:textFill>
              </w:rPr>
            </w:pPr>
            <w:r>
              <w:rPr>
                <w:rFonts w:hint="eastAsia" w:ascii="微软雅黑" w:hAnsi="微软雅黑" w:eastAsia="微软雅黑" w:cs="微软雅黑"/>
                <w:color w:val="000000" w:themeColor="text1"/>
                <w:sz w:val="22"/>
                <w:szCs w:val="22"/>
                <w:lang w:val="en-US" w:eastAsia="zh-CN"/>
                <w14:textFill>
                  <w14:solidFill>
                    <w14:schemeClr w14:val="tx1"/>
                  </w14:solidFill>
                </w14:textFill>
              </w:rPr>
              <w:t>符合投标质量标准等级要求者得0-2分，</w:t>
            </w:r>
            <w:r>
              <w:rPr>
                <w:rFonts w:hint="eastAsia" w:ascii="微软雅黑" w:hAnsi="微软雅黑" w:eastAsia="微软雅黑" w:cs="微软雅黑"/>
                <w:color w:val="000000" w:themeColor="text1"/>
                <w:kern w:val="0"/>
                <w:sz w:val="22"/>
                <w:szCs w:val="22"/>
                <w:lang w:val="en-US" w:eastAsia="zh-CN" w:bidi="ar"/>
                <w14:textFill>
                  <w14:solidFill>
                    <w14:schemeClr w14:val="tx1"/>
                  </w14:solidFill>
                </w14:textFill>
              </w:rPr>
              <w:t>提供针对本项目的施工保修承诺书，保修承诺的内容考虑周到、全面</w:t>
            </w:r>
            <w:r>
              <w:rPr>
                <w:rFonts w:hint="eastAsia" w:ascii="微软雅黑" w:hAnsi="微软雅黑" w:eastAsia="微软雅黑" w:cs="微软雅黑"/>
                <w:color w:val="000000" w:themeColor="text1"/>
                <w:sz w:val="22"/>
                <w:szCs w:val="22"/>
                <w:lang w:val="en-US" w:eastAsia="zh-CN"/>
                <w14:textFill>
                  <w14:solidFill>
                    <w14:schemeClr w14:val="tx1"/>
                  </w14:solidFill>
                </w14:textFill>
              </w:rPr>
              <w:t>提出详细质量保证措施的计0-3分。</w:t>
            </w:r>
          </w:p>
          <w:p>
            <w:pPr>
              <w:widowControl w:val="0"/>
              <w:adjustRightInd w:val="0"/>
              <w:snapToGrid w:val="0"/>
              <w:spacing w:before="0" w:beforeAutospacing="0" w:after="0" w:afterAutospacing="0" w:line="400" w:lineRule="exact"/>
              <w:ind w:left="0" w:right="-86" w:rightChars="-41"/>
              <w:jc w:val="left"/>
              <w:rPr>
                <w:rFonts w:hint="eastAsia" w:ascii="微软雅黑" w:hAnsi="微软雅黑" w:eastAsia="微软雅黑" w:cs="微软雅黑"/>
                <w:color w:val="000000" w:themeColor="text1"/>
                <w:sz w:val="22"/>
                <w:szCs w:val="22"/>
                <w:lang w:val="en-US" w:eastAsia="zh-CN"/>
                <w14:textFill>
                  <w14:solidFill>
                    <w14:schemeClr w14:val="tx1"/>
                  </w14:solidFill>
                </w14:textFill>
              </w:rPr>
            </w:pPr>
            <w:r>
              <w:rPr>
                <w:rFonts w:hint="eastAsia" w:ascii="微软雅黑" w:hAnsi="微软雅黑" w:eastAsia="微软雅黑" w:cs="微软雅黑"/>
                <w:color w:val="000000" w:themeColor="text1"/>
                <w:sz w:val="22"/>
                <w:szCs w:val="22"/>
                <w:lang w:val="en-US" w:eastAsia="zh-CN"/>
                <w14:textFill>
                  <w14:solidFill>
                    <w14:schemeClr w14:val="tx1"/>
                  </w14:solidFill>
                </w14:textFill>
              </w:rPr>
              <w:t>2、服务承诺：2分</w:t>
            </w:r>
          </w:p>
          <w:p>
            <w:pPr>
              <w:widowControl w:val="0"/>
              <w:adjustRightInd w:val="0"/>
              <w:snapToGrid w:val="0"/>
              <w:spacing w:before="0" w:beforeAutospacing="0" w:after="0" w:afterAutospacing="0" w:line="400" w:lineRule="exact"/>
              <w:ind w:left="0" w:leftChars="0" w:right="-86" w:rightChars="-41"/>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2"/>
                <w:szCs w:val="22"/>
                <w:lang w:val="en-US" w:eastAsia="zh-CN"/>
                <w14:textFill>
                  <w14:solidFill>
                    <w14:schemeClr w14:val="tx1"/>
                  </w14:solidFill>
                </w14:textFill>
              </w:rPr>
              <w:t>具有完善的售后服务体系，有详细的服务承诺措施，</w:t>
            </w:r>
            <w:r>
              <w:rPr>
                <w:rFonts w:hint="eastAsia" w:ascii="微软雅黑" w:hAnsi="微软雅黑" w:eastAsia="微软雅黑" w:cs="微软雅黑"/>
                <w:color w:val="000000" w:themeColor="text1"/>
                <w:kern w:val="0"/>
                <w:sz w:val="22"/>
                <w:szCs w:val="22"/>
                <w:lang w:val="en-US" w:eastAsia="zh-CN" w:bidi="ar"/>
                <w14:textFill>
                  <w14:solidFill>
                    <w14:schemeClr w14:val="tx1"/>
                  </w14:solidFill>
                </w14:textFill>
              </w:rPr>
              <w:t>满足工程技术要求，施工符合国家标准、规范（0-2）</w:t>
            </w:r>
          </w:p>
        </w:tc>
      </w:tr>
    </w:tbl>
    <w:p>
      <w:pPr>
        <w:pStyle w:val="28"/>
        <w:rPr>
          <w:rFonts w:ascii="微软雅黑" w:hAnsi="微软雅黑" w:eastAsia="微软雅黑" w:cs="微软雅黑"/>
          <w:color w:val="auto"/>
        </w:rPr>
      </w:pPr>
    </w:p>
    <w:p>
      <w:pPr>
        <w:rPr>
          <w:color w:val="auto"/>
        </w:rPr>
      </w:pPr>
    </w:p>
    <w:p>
      <w:pPr>
        <w:pStyle w:val="7"/>
        <w:spacing w:before="0" w:after="0" w:line="600" w:lineRule="exact"/>
        <w:jc w:val="center"/>
        <w:rPr>
          <w:rFonts w:hint="eastAsia" w:ascii="微软雅黑" w:hAnsi="微软雅黑" w:eastAsia="微软雅黑" w:cs="微软雅黑"/>
          <w:color w:val="auto"/>
          <w:sz w:val="32"/>
          <w:szCs w:val="32"/>
        </w:rPr>
      </w:pPr>
    </w:p>
    <w:p>
      <w:pPr>
        <w:pStyle w:val="7"/>
        <w:spacing w:before="0" w:after="0" w:line="600" w:lineRule="exact"/>
        <w:jc w:val="center"/>
        <w:rPr>
          <w:rFonts w:hint="eastAsia" w:ascii="微软雅黑" w:hAnsi="微软雅黑" w:eastAsia="微软雅黑" w:cs="微软雅黑"/>
          <w:color w:val="auto"/>
          <w:sz w:val="32"/>
          <w:szCs w:val="32"/>
        </w:rPr>
      </w:pPr>
    </w:p>
    <w:p>
      <w:pPr>
        <w:pStyle w:val="7"/>
        <w:spacing w:before="0" w:after="0" w:line="600" w:lineRule="exact"/>
        <w:jc w:val="center"/>
        <w:rPr>
          <w:rFonts w:hint="eastAsia" w:ascii="微软雅黑" w:hAnsi="微软雅黑" w:eastAsia="微软雅黑" w:cs="微软雅黑"/>
          <w:color w:val="auto"/>
          <w:sz w:val="32"/>
          <w:szCs w:val="32"/>
        </w:rPr>
      </w:pPr>
    </w:p>
    <w:p>
      <w:pPr>
        <w:pStyle w:val="7"/>
        <w:spacing w:before="0" w:after="0" w:line="600" w:lineRule="exact"/>
        <w:jc w:val="both"/>
        <w:rPr>
          <w:rFonts w:hint="eastAsia" w:ascii="微软雅黑" w:hAnsi="微软雅黑" w:eastAsia="微软雅黑" w:cs="微软雅黑"/>
          <w:color w:val="auto"/>
          <w:sz w:val="32"/>
          <w:szCs w:val="32"/>
        </w:rPr>
      </w:pPr>
    </w:p>
    <w:p>
      <w:pPr>
        <w:pStyle w:val="7"/>
        <w:spacing w:before="0" w:after="0" w:line="600" w:lineRule="exact"/>
        <w:jc w:val="center"/>
        <w:rPr>
          <w:rFonts w:hint="eastAsia" w:ascii="微软雅黑" w:hAnsi="微软雅黑" w:eastAsia="微软雅黑" w:cs="微软雅黑"/>
          <w:color w:val="auto"/>
          <w:sz w:val="32"/>
          <w:szCs w:val="32"/>
        </w:rPr>
      </w:pPr>
    </w:p>
    <w:p>
      <w:pPr>
        <w:pStyle w:val="7"/>
        <w:spacing w:before="0" w:after="0" w:line="600" w:lineRule="exact"/>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第四章　拟签订的合同文本</w:t>
      </w:r>
    </w:p>
    <w:p>
      <w:pPr>
        <w:pStyle w:val="4"/>
        <w:spacing w:line="600" w:lineRule="exact"/>
        <w:jc w:val="both"/>
        <w:rPr>
          <w:rFonts w:ascii="微软雅黑" w:hAnsi="微软雅黑" w:eastAsia="微软雅黑" w:cs="微软雅黑"/>
          <w:color w:val="auto"/>
          <w:sz w:val="44"/>
          <w:szCs w:val="44"/>
        </w:rPr>
      </w:pPr>
    </w:p>
    <w:p>
      <w:pPr>
        <w:pStyle w:val="4"/>
        <w:spacing w:line="600" w:lineRule="exact"/>
        <w:rPr>
          <w:rFonts w:ascii="微软雅黑" w:hAnsi="微软雅黑" w:eastAsia="微软雅黑" w:cs="微软雅黑"/>
          <w:color w:val="auto"/>
          <w:sz w:val="44"/>
          <w:szCs w:val="44"/>
        </w:rPr>
      </w:pPr>
    </w:p>
    <w:p>
      <w:pPr>
        <w:pStyle w:val="4"/>
        <w:spacing w:line="600" w:lineRule="exact"/>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44"/>
          <w:szCs w:val="44"/>
        </w:rPr>
        <w:t>合同文本范本</w:t>
      </w:r>
    </w:p>
    <w:p>
      <w:pPr>
        <w:pStyle w:val="11"/>
        <w:spacing w:line="600" w:lineRule="exact"/>
        <w:rPr>
          <w:rFonts w:ascii="微软雅黑" w:hAnsi="微软雅黑" w:eastAsia="微软雅黑" w:cs="微软雅黑"/>
          <w:color w:val="auto"/>
          <w:sz w:val="24"/>
          <w:szCs w:val="24"/>
        </w:rPr>
      </w:pPr>
    </w:p>
    <w:p>
      <w:pPr>
        <w:pStyle w:val="11"/>
        <w:spacing w:line="600" w:lineRule="exact"/>
        <w:ind w:firstLine="480" w:firstLineChars="200"/>
        <w:rPr>
          <w:rFonts w:ascii="微软雅黑" w:hAnsi="微软雅黑" w:eastAsia="微软雅黑" w:cs="微软雅黑"/>
          <w:b/>
          <w:bCs/>
          <w:color w:val="auto"/>
          <w:sz w:val="24"/>
          <w:szCs w:val="24"/>
        </w:rPr>
      </w:pPr>
    </w:p>
    <w:p>
      <w:pPr>
        <w:pStyle w:val="11"/>
        <w:spacing w:line="600" w:lineRule="exact"/>
        <w:ind w:firstLine="480" w:firstLineChars="200"/>
        <w:rPr>
          <w:rFonts w:ascii="微软雅黑" w:hAnsi="微软雅黑" w:eastAsia="微软雅黑" w:cs="微软雅黑"/>
          <w:b/>
          <w:bCs/>
          <w:color w:val="auto"/>
          <w:sz w:val="24"/>
          <w:szCs w:val="24"/>
        </w:rPr>
      </w:pPr>
    </w:p>
    <w:p>
      <w:pPr>
        <w:pStyle w:val="11"/>
        <w:spacing w:line="600" w:lineRule="exact"/>
        <w:ind w:firstLine="480" w:firstLineChars="200"/>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合同编号：____________________</w:t>
      </w:r>
      <w:r>
        <w:rPr>
          <w:rFonts w:hint="eastAsia" w:ascii="微软雅黑" w:hAnsi="微软雅黑" w:eastAsia="微软雅黑" w:cs="微软雅黑"/>
          <w:b/>
          <w:bCs/>
          <w:color w:val="auto"/>
          <w:sz w:val="24"/>
          <w:szCs w:val="24"/>
        </w:rPr>
        <w:tab/>
      </w:r>
      <w:r>
        <w:rPr>
          <w:rFonts w:hint="eastAsia" w:ascii="微软雅黑" w:hAnsi="微软雅黑" w:eastAsia="微软雅黑" w:cs="微软雅黑"/>
          <w:b/>
          <w:bCs/>
          <w:color w:val="auto"/>
          <w:sz w:val="24"/>
          <w:szCs w:val="24"/>
        </w:rPr>
        <w:tab/>
      </w:r>
      <w:r>
        <w:rPr>
          <w:rFonts w:hint="eastAsia" w:ascii="微软雅黑" w:hAnsi="微软雅黑" w:eastAsia="微软雅黑" w:cs="微软雅黑"/>
          <w:b/>
          <w:bCs/>
          <w:color w:val="auto"/>
          <w:sz w:val="24"/>
          <w:szCs w:val="24"/>
        </w:rPr>
        <w:tab/>
      </w:r>
      <w:r>
        <w:rPr>
          <w:rFonts w:hint="eastAsia" w:ascii="微软雅黑" w:hAnsi="微软雅黑" w:eastAsia="微软雅黑" w:cs="微软雅黑"/>
          <w:b/>
          <w:bCs/>
          <w:color w:val="auto"/>
          <w:sz w:val="24"/>
          <w:szCs w:val="24"/>
        </w:rPr>
        <w:tab/>
      </w:r>
    </w:p>
    <w:p>
      <w:pPr>
        <w:pStyle w:val="11"/>
        <w:spacing w:line="600" w:lineRule="exact"/>
        <w:ind w:firstLine="480" w:firstLineChars="200"/>
        <w:jc w:val="center"/>
        <w:rPr>
          <w:rFonts w:ascii="微软雅黑" w:hAnsi="微软雅黑" w:eastAsia="微软雅黑" w:cs="微软雅黑"/>
          <w:b/>
          <w:bCs/>
          <w:color w:val="auto"/>
          <w:sz w:val="24"/>
          <w:szCs w:val="24"/>
        </w:rPr>
      </w:pPr>
    </w:p>
    <w:p>
      <w:pPr>
        <w:pStyle w:val="11"/>
        <w:spacing w:line="600" w:lineRule="exact"/>
        <w:ind w:firstLine="480" w:firstLineChars="200"/>
        <w:jc w:val="center"/>
        <w:rPr>
          <w:rFonts w:ascii="微软雅黑" w:hAnsi="微软雅黑" w:eastAsia="微软雅黑" w:cs="微软雅黑"/>
          <w:b/>
          <w:bCs/>
          <w:color w:val="auto"/>
          <w:sz w:val="24"/>
          <w:szCs w:val="24"/>
        </w:rPr>
      </w:pPr>
    </w:p>
    <w:p>
      <w:pPr>
        <w:pStyle w:val="11"/>
        <w:spacing w:line="600" w:lineRule="exact"/>
        <w:ind w:firstLine="480" w:firstLineChars="200"/>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甲　　方：____________________(采购人名称)</w:t>
      </w:r>
      <w:r>
        <w:rPr>
          <w:rFonts w:hint="eastAsia" w:ascii="微软雅黑" w:hAnsi="微软雅黑" w:eastAsia="微软雅黑" w:cs="微软雅黑"/>
          <w:b/>
          <w:bCs/>
          <w:color w:val="auto"/>
          <w:sz w:val="24"/>
          <w:szCs w:val="24"/>
        </w:rPr>
        <w:tab/>
      </w:r>
    </w:p>
    <w:p>
      <w:pPr>
        <w:pStyle w:val="11"/>
        <w:spacing w:line="600" w:lineRule="exact"/>
        <w:ind w:firstLine="480" w:firstLineChars="200"/>
        <w:jc w:val="center"/>
        <w:rPr>
          <w:rFonts w:ascii="微软雅黑" w:hAnsi="微软雅黑" w:eastAsia="微软雅黑" w:cs="微软雅黑"/>
          <w:b/>
          <w:bCs/>
          <w:color w:val="auto"/>
          <w:sz w:val="24"/>
          <w:szCs w:val="24"/>
        </w:rPr>
      </w:pPr>
    </w:p>
    <w:p>
      <w:pPr>
        <w:pStyle w:val="11"/>
        <w:spacing w:line="600" w:lineRule="exact"/>
        <w:ind w:firstLine="480" w:firstLineChars="200"/>
        <w:jc w:val="center"/>
        <w:rPr>
          <w:rFonts w:ascii="微软雅黑" w:hAnsi="微软雅黑" w:eastAsia="微软雅黑" w:cs="微软雅黑"/>
          <w:b/>
          <w:bCs/>
          <w:color w:val="auto"/>
          <w:sz w:val="24"/>
          <w:szCs w:val="24"/>
        </w:rPr>
      </w:pPr>
    </w:p>
    <w:p>
      <w:pPr>
        <w:pStyle w:val="11"/>
        <w:spacing w:line="600" w:lineRule="exact"/>
        <w:ind w:firstLine="480" w:firstLineChars="200"/>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乙　　方：____________________(中标供应商名称)</w:t>
      </w:r>
    </w:p>
    <w:p>
      <w:pPr>
        <w:spacing w:line="360" w:lineRule="atLeast"/>
        <w:jc w:val="center"/>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br w:type="page"/>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使用陕西省建设厅、陕西省工商行政管理局印发的《陕西省建设工程施工合同》（示范文本）（陕建发[2007]110号）</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一、承包范围：</w:t>
      </w:r>
    </w:p>
    <w:p>
      <w:pPr>
        <w:keepNext w:val="0"/>
        <w:keepLines w:val="0"/>
        <w:pageBreakBefore w:val="0"/>
        <w:widowControl w:val="0"/>
        <w:kinsoku/>
        <w:wordWrap/>
        <w:overflowPunct/>
        <w:topLinePunct w:val="0"/>
        <w:bidi w:val="0"/>
        <w:spacing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工程量清单中包含的所有内容。（</w:t>
      </w:r>
      <w:r>
        <w:rPr>
          <w:rFonts w:hint="eastAsia" w:ascii="微软雅黑" w:hAnsi="微软雅黑" w:eastAsia="微软雅黑" w:cs="微软雅黑"/>
          <w:b/>
          <w:color w:val="auto"/>
          <w:sz w:val="24"/>
          <w:szCs w:val="24"/>
        </w:rPr>
        <w:t>详见工程量清单</w:t>
      </w:r>
      <w:r>
        <w:rPr>
          <w:rFonts w:hint="eastAsia" w:ascii="微软雅黑" w:hAnsi="微软雅黑" w:eastAsia="微软雅黑" w:cs="微软雅黑"/>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二、工期：签订合同后</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b/>
          <w:color w:val="auto"/>
          <w:sz w:val="24"/>
          <w:szCs w:val="24"/>
          <w:lang w:val="zh-CN"/>
        </w:rPr>
        <w:t>天内</w:t>
      </w:r>
      <w:r>
        <w:rPr>
          <w:rFonts w:hint="eastAsia" w:ascii="微软雅黑" w:hAnsi="微软雅黑" w:eastAsia="微软雅黑" w:cs="微软雅黑"/>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三、工程质量：合格</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四、承发包方式：</w:t>
      </w:r>
      <w:r>
        <w:rPr>
          <w:rFonts w:hint="eastAsia" w:ascii="微软雅黑" w:hAnsi="微软雅黑" w:eastAsia="微软雅黑" w:cs="微软雅黑"/>
          <w:color w:val="auto"/>
          <w:sz w:val="24"/>
          <w:szCs w:val="24"/>
        </w:rPr>
        <w:t>包工包料、包工期、包质量、包安全文明施工的施工总承包。</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五、本工程严禁转包，不得肢解分包。</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六、适用法律和法规：《中华人民共和国建筑法》、《中华人民共和国民法典》、《中华人民共和国招标投标法》、国务院《建设工程质量管理条例》、国务院《建设工程安全生产管理条例》等国家、地方部门有关法律法规。</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七、履行本合同的项目经理为：</w:t>
      </w:r>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（投标文件中所报项目经理），项目经理要保证常驻现场（每周在现场工作时间不少于40小时），非发包人要求中途不得更换项目经理及主要技术管理人员。</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八、发包人派驻的现场代表职权：本合同及与本包工程相关的所有合同的履行权；对工程规模、设计标准、规划设计、生产工艺设计和设计使用功能要求的认定权；对工程设计变更的审批权；工程变更及签证的确认权；主要建筑材料、设备的认质权；工程价款的支付权；负责本工程所有外部关系的协调、组织工程竣工验收；行使发包人应有的其他权利和义务。</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kern w:val="0"/>
          <w:sz w:val="24"/>
          <w:szCs w:val="24"/>
          <w:u w:val="single"/>
        </w:rPr>
      </w:pPr>
      <w:r>
        <w:rPr>
          <w:rFonts w:hint="eastAsia" w:ascii="微软雅黑" w:hAnsi="微软雅黑" w:eastAsia="微软雅黑" w:cs="微软雅黑"/>
          <w:color w:val="auto"/>
          <w:sz w:val="24"/>
          <w:szCs w:val="24"/>
          <w:lang w:val="zh-CN"/>
        </w:rPr>
        <w:t>九、承包人应做好以下工作：</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1、提供计划、报表的名称及完成时间：承包人应在本合同签订后五日内向发包人提交经承包人的技术负责人（公司总工）审批的施工组织设计（或施工方案）、总进度计划、总资金使用计划及工程进度计划、资金使用计划。</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2、承担施工安全保卫工作及非夜间施工照明的责任，提供和维修非夜间施工使用的照明、围栏设施，负责施工区域内的安全保卫，制定相应的施工安全措施，承担由于自身安全防护措施不力造成的经济损失和责任；</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kern w:val="0"/>
          <w:sz w:val="24"/>
          <w:szCs w:val="24"/>
          <w:u w:val="single"/>
        </w:rPr>
      </w:pPr>
      <w:r>
        <w:rPr>
          <w:rFonts w:hint="eastAsia" w:ascii="微软雅黑" w:hAnsi="微软雅黑" w:eastAsia="微软雅黑" w:cs="微软雅黑"/>
          <w:color w:val="auto"/>
          <w:sz w:val="24"/>
          <w:szCs w:val="24"/>
          <w:lang w:val="zh-CN"/>
        </w:rPr>
        <w:t>3、遵守发包人及相关部门对施工场地交通、施工噪音、环境保护和安全生产等的管理规定，按规定办理有关手续，并承担由此发生的费用以及因此造成的罚款；</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kern w:val="0"/>
          <w:sz w:val="24"/>
          <w:szCs w:val="24"/>
          <w:u w:val="single"/>
        </w:rPr>
      </w:pPr>
      <w:r>
        <w:rPr>
          <w:rFonts w:hint="eastAsia" w:ascii="微软雅黑" w:hAnsi="微软雅黑" w:eastAsia="微软雅黑" w:cs="微软雅黑"/>
          <w:color w:val="auto"/>
          <w:sz w:val="24"/>
          <w:szCs w:val="24"/>
          <w:lang w:val="zh-CN"/>
        </w:rPr>
        <w:t>4、做好已完工程成品保护，预防二次污染，并承担成品保护的费用；</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5、按照文明工地要求组织施工，保证施工现场清洁整齐，符合环境卫生管理的有关规定，交工之前清理完与现场无关的任何多余物品及垃圾等，做到工完场清；承担因违反有关规定造成的损失和罚款；</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6、承包人应认真遵守国务院颁布的《建设工程安全生产管理条例》及部门、地方制定的有关安全生产法律、法规的规定，根据本工程特点制定切实可行的安全管理制度和安全施工措施，认真履行安全施工与检查职责，做好施工中的安全防护工作外，确保本工程施工安全，依法承担本工程施工的安全责任。</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7、承包人未能履行相关义务，导致工期延误、或给发包人造成损失的，承包人赔偿发包人有关损失，由此产生的工期延误而导致承包人不能按本合同约定的竣工时间向发包人交付工程的，工期每推迟一天按500元/天处罚，</w:t>
      </w:r>
      <w:r>
        <w:rPr>
          <w:rFonts w:hint="eastAsia" w:ascii="微软雅黑" w:hAnsi="微软雅黑" w:eastAsia="微软雅黑" w:cs="微软雅黑"/>
          <w:color w:val="auto"/>
          <w:kern w:val="0"/>
          <w:sz w:val="24"/>
          <w:szCs w:val="24"/>
        </w:rPr>
        <w:t>限额为</w:t>
      </w:r>
      <w:r>
        <w:rPr>
          <w:rFonts w:hint="eastAsia" w:ascii="微软雅黑" w:hAnsi="微软雅黑" w:eastAsia="微软雅黑" w:cs="微软雅黑"/>
          <w:b/>
          <w:color w:val="auto"/>
          <w:kern w:val="0"/>
          <w:sz w:val="24"/>
          <w:szCs w:val="24"/>
        </w:rPr>
        <w:t>合同总造价的百分之二</w:t>
      </w:r>
      <w:r>
        <w:rPr>
          <w:rFonts w:hint="eastAsia" w:ascii="微软雅黑" w:hAnsi="微软雅黑" w:eastAsia="微软雅黑" w:cs="微软雅黑"/>
          <w:color w:val="auto"/>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十、合同价款、支付、调整及竣工结算</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zh-CN"/>
        </w:rPr>
        <w:t>1、</w:t>
      </w:r>
      <w:r>
        <w:rPr>
          <w:rFonts w:hint="eastAsia" w:ascii="微软雅黑" w:hAnsi="微软雅黑" w:eastAsia="微软雅黑" w:cs="微软雅黑"/>
          <w:color w:val="auto"/>
          <w:sz w:val="24"/>
          <w:szCs w:val="24"/>
          <w:lang w:val="en-US" w:eastAsia="zh-CN"/>
        </w:rPr>
        <w:t>计价原则：固定综合单价，总价可随现场实际工程量增加或减少。</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本合同范围内价款按</w:t>
      </w:r>
      <w:r>
        <w:rPr>
          <w:rFonts w:hint="eastAsia" w:ascii="微软雅黑" w:hAnsi="微软雅黑" w:eastAsia="微软雅黑" w:cs="微软雅黑"/>
          <w:color w:val="auto"/>
          <w:sz w:val="24"/>
          <w:szCs w:val="24"/>
          <w:lang w:val="en-US" w:eastAsia="zh-CN"/>
        </w:rPr>
        <w:t>固定综合单价计价</w:t>
      </w:r>
      <w:r>
        <w:rPr>
          <w:rFonts w:hint="eastAsia" w:ascii="微软雅黑" w:hAnsi="微软雅黑" w:eastAsia="微软雅黑" w:cs="微软雅黑"/>
          <w:color w:val="auto"/>
          <w:sz w:val="24"/>
          <w:szCs w:val="24"/>
          <w:lang w:val="zh-CN"/>
        </w:rPr>
        <w:t>。本工程合同价款为:</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(大写)：</w:t>
      </w:r>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人民币；（￥：</w:t>
      </w:r>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元）。</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2、工程款的支付</w:t>
      </w:r>
    </w:p>
    <w:p>
      <w:pPr>
        <w:keepNext w:val="0"/>
        <w:keepLines w:val="0"/>
        <w:pageBreakBefore w:val="0"/>
        <w:widowControl w:val="0"/>
        <w:kinsoku/>
        <w:wordWrap/>
        <w:overflowPunct/>
        <w:topLinePunct w:val="0"/>
        <w:bidi w:val="0"/>
        <w:spacing w:line="520" w:lineRule="exact"/>
        <w:ind w:left="0" w:leftChars="0" w:firstLine="480" w:firstLineChars="200"/>
        <w:textAlignment w:val="auto"/>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color w:val="C00000"/>
          <w:sz w:val="24"/>
          <w:szCs w:val="24"/>
          <w:lang w:val="zh-CN" w:eastAsia="zh-CN"/>
        </w:rPr>
        <w:t>合同签订后，5天预付款合同价</w:t>
      </w:r>
      <w:r>
        <w:rPr>
          <w:rFonts w:hint="eastAsia" w:ascii="微软雅黑" w:hAnsi="微软雅黑" w:eastAsia="微软雅黑" w:cs="微软雅黑"/>
          <w:color w:val="C00000"/>
          <w:sz w:val="24"/>
          <w:szCs w:val="24"/>
          <w:lang w:val="en-US" w:eastAsia="zh-CN"/>
        </w:rPr>
        <w:t>50</w:t>
      </w:r>
      <w:r>
        <w:rPr>
          <w:rFonts w:hint="eastAsia" w:ascii="微软雅黑" w:hAnsi="微软雅黑" w:eastAsia="微软雅黑" w:cs="微软雅黑"/>
          <w:color w:val="C00000"/>
          <w:sz w:val="24"/>
          <w:szCs w:val="24"/>
          <w:lang w:val="zh-CN" w:eastAsia="zh-CN"/>
        </w:rPr>
        <w:t>%；</w:t>
      </w:r>
      <w:r>
        <w:rPr>
          <w:rFonts w:hint="eastAsia" w:ascii="微软雅黑" w:hAnsi="微软雅黑" w:eastAsia="微软雅黑" w:cs="微软雅黑"/>
          <w:color w:val="C00000"/>
          <w:sz w:val="24"/>
          <w:szCs w:val="24"/>
          <w:lang w:val="en-US" w:eastAsia="zh-CN"/>
        </w:rPr>
        <w:t>施工进行整体工程60%时支付</w:t>
      </w:r>
      <w:r>
        <w:rPr>
          <w:rFonts w:hint="eastAsia" w:ascii="微软雅黑" w:hAnsi="微软雅黑" w:eastAsia="微软雅黑" w:cs="微软雅黑"/>
          <w:color w:val="C00000"/>
          <w:sz w:val="24"/>
          <w:szCs w:val="24"/>
          <w:lang w:val="zh-CN" w:eastAsia="zh-CN"/>
        </w:rPr>
        <w:t>合同价款的</w:t>
      </w:r>
      <w:r>
        <w:rPr>
          <w:rFonts w:hint="eastAsia" w:ascii="微软雅黑" w:hAnsi="微软雅黑" w:eastAsia="微软雅黑" w:cs="微软雅黑"/>
          <w:color w:val="C00000"/>
          <w:sz w:val="24"/>
          <w:szCs w:val="24"/>
          <w:lang w:val="en-US" w:eastAsia="zh-CN"/>
        </w:rPr>
        <w:t>85</w:t>
      </w:r>
      <w:r>
        <w:rPr>
          <w:rFonts w:hint="eastAsia" w:ascii="微软雅黑" w:hAnsi="微软雅黑" w:eastAsia="微软雅黑" w:cs="微软雅黑"/>
          <w:color w:val="C00000"/>
          <w:sz w:val="24"/>
          <w:szCs w:val="24"/>
          <w:lang w:val="zh-CN" w:eastAsia="zh-CN"/>
        </w:rPr>
        <w:t>%；</w:t>
      </w:r>
      <w:r>
        <w:rPr>
          <w:rFonts w:hint="eastAsia" w:ascii="微软雅黑" w:hAnsi="微软雅黑" w:eastAsia="微软雅黑" w:cs="微软雅黑"/>
          <w:color w:val="C00000"/>
          <w:sz w:val="24"/>
          <w:szCs w:val="24"/>
          <w:lang w:val="en-US" w:eastAsia="zh-CN"/>
        </w:rPr>
        <w:t>完工后付合同总价款的95%；待审计完成后付审定价的100%。</w:t>
      </w:r>
    </w:p>
    <w:p>
      <w:pPr>
        <w:keepNext w:val="0"/>
        <w:keepLines w:val="0"/>
        <w:pageBreakBefore w:val="0"/>
        <w:widowControl w:val="0"/>
        <w:kinsoku/>
        <w:wordWrap/>
        <w:overflowPunct/>
        <w:topLinePunct w:val="0"/>
        <w:bidi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3、合同价款的调整</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zh-CN"/>
        </w:rPr>
        <w:t>3-1 承包人在报价时已考虑了施工期间可能出现的政策、施工环境和市场的变化可能影响工程造价的因素，除发生下述情况按实调整外，承包人不得再以其他任何原因提出调整工程造价。</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3.1.1 发包人工地代表确认的工程量增减；</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3.1.2 发包人工地代表确认的设计变更或工程洽商；</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zh-CN"/>
        </w:rPr>
        <w:t>3.2 合同价款调整计算办法：</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发包人指定或暂定单价的材料或设备，按发包人现场签署的认质认价单进行合同价款调整；但承包人投标时根据市场行情自主报价的材料和设备的实际采购价格与原报价有差异的不予调整。</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4、竣工结算</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4.1 工程通过竣工验收并交付使用后28天内承包人向发包人递交竣工结算报告及完整的结算资料，发包人收到承包人递交的竣工结算报告及完整的结算资料后28天内进行初审，并提出修改意见。</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4.2 审计或造价咨询机构对工程竣工结算价款的最终审定应在双方对初审结论达成共识后的56天内完成；工程竣工结算价款经审计或造价咨询机构审核确定后，除按竣工结算总价的</w:t>
      </w:r>
      <w:r>
        <w:rPr>
          <w:rFonts w:hint="eastAsia" w:ascii="微软雅黑" w:hAnsi="微软雅黑" w:eastAsia="微软雅黑" w:cs="微软雅黑"/>
          <w:color w:val="auto"/>
          <w:sz w:val="24"/>
          <w:szCs w:val="24"/>
          <w:u w:val="single" w:color="FF0000"/>
        </w:rPr>
        <w:t>5</w:t>
      </w:r>
      <w:r>
        <w:rPr>
          <w:rFonts w:hint="eastAsia" w:ascii="微软雅黑" w:hAnsi="微软雅黑" w:eastAsia="微软雅黑" w:cs="微软雅黑"/>
          <w:color w:val="auto"/>
          <w:sz w:val="24"/>
          <w:szCs w:val="24"/>
          <w:lang w:val="zh-CN"/>
        </w:rPr>
        <w:t>%预留工程质量保修金外，余款一次付清（不计利息）。</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5、工程质量保修金的返还</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如发生因承包人不在约定期限内派人保修而导致发包人委托他人修理所产生的费用从承包人的工程质量保修金中直接予以扣除。</w:t>
      </w:r>
    </w:p>
    <w:p>
      <w:pPr>
        <w:keepNext w:val="0"/>
        <w:keepLines w:val="0"/>
        <w:pageBreakBefore w:val="0"/>
        <w:widowControl w:val="0"/>
        <w:kinsoku/>
        <w:wordWrap/>
        <w:overflowPunct/>
        <w:topLinePunct w:val="0"/>
        <w:autoSpaceDE w:val="0"/>
        <w:autoSpaceDN w:val="0"/>
        <w:bidi w:val="0"/>
        <w:adjustRightInd w:val="0"/>
        <w:snapToGri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工程质量保修金在竣工验收后第十三个月支付。</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十一、承包人采购的材料、设备均应满足设计和规范要求的质量等级和环保要求，并应向发包人和监理机构提供产品合格证明和检验资料，因材料质量引起的工程质量、环境污染问题，由承包人承担所造成的一切损失。如发包人或监理机构对该部分材料的质量有异议，有权提出停止使用或再次见证取样复试的要求，由此而发生的一切费用及工期延误由承包人承担。</w:t>
      </w:r>
    </w:p>
    <w:p>
      <w:pPr>
        <w:pStyle w:val="10"/>
        <w:keepNext w:val="0"/>
        <w:keepLines w:val="0"/>
        <w:pageBreakBefore w:val="0"/>
        <w:widowControl w:val="0"/>
        <w:kinsoku/>
        <w:wordWrap/>
        <w:overflowPunct/>
        <w:topLinePunct w:val="0"/>
        <w:bidi w:val="0"/>
        <w:spacing w:after="0"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主要材料、设备或发包方有特别要求的材料设备须事先向发包方及监理方提供产品资料及样品，经考察筛选确定后再采购，使用或安装之前仍需履行必要的检验、检测程序。</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承包人负责采购的所有材料、设备的采购、检验（试验）、使用、退换等执行国家、行业相应的技术标准。</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十二、补充条款</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1、经双方考察认质认价的材料、设备，结算时不再优惠。</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2、对本工程材料、构配件、设备的、试件等的检测、试验的外委实验室由发、承包方共同考察确定，检测试验费用由发包人从承包人的工程款中扣除直接支付。</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3、承包人应在竣工验收通过后3日内清退出场。否则，发包人将按1000元/日向承包人收取场地占用费，此笔费用从工程款中予以扣除。</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4、承包人在施工期间应严格按照国家有关政策处理好农民工工资问题，若由此引起一切不良后果由承包人负责；发包人亦可暂停向承包人支付工程款（进度款），直至问题得到妥善解决。</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5、其他补充条款：</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u w:val="single"/>
          <w:lang w:val="zh-CN"/>
        </w:rPr>
      </w:pPr>
      <w:r>
        <w:rPr>
          <w:rFonts w:hint="eastAsia" w:ascii="微软雅黑" w:hAnsi="微软雅黑" w:eastAsia="微软雅黑" w:cs="微软雅黑"/>
          <w:color w:val="auto"/>
          <w:sz w:val="24"/>
          <w:szCs w:val="24"/>
        </w:rPr>
        <w:t xml:space="preserve">5.1 </w:t>
      </w:r>
      <w:r>
        <w:rPr>
          <w:rFonts w:hint="eastAsia" w:ascii="微软雅黑" w:hAnsi="微软雅黑" w:eastAsia="微软雅黑" w:cs="微软雅黑"/>
          <w:color w:val="auto"/>
          <w:sz w:val="24"/>
          <w:szCs w:val="24"/>
          <w:lang w:val="zh-CN"/>
        </w:rPr>
        <w:t>如本工程达不到合格标准，承包人予以全额赔偿由此给发包人造成的全部损失。同时，发包人依法向政府主管部门报告并追究承包人的法律责任。</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rPr>
        <w:t>5.</w:t>
      </w:r>
      <w:r>
        <w:rPr>
          <w:rFonts w:hint="eastAsia" w:ascii="微软雅黑" w:hAnsi="微软雅黑" w:eastAsia="微软雅黑" w:cs="微软雅黑"/>
          <w:color w:val="auto"/>
          <w:sz w:val="24"/>
          <w:szCs w:val="24"/>
          <w:lang w:val="zh-CN"/>
        </w:rPr>
        <w:t>2 本工程不得转包。一经发现承包人将本工程予以转包，发包人有权立即中止合同，承包人应在10天内无条件清退出场。同时，承包人承担由此给发包人造成的一切损失。</w:t>
      </w:r>
    </w:p>
    <w:p>
      <w:pPr>
        <w:keepNext w:val="0"/>
        <w:keepLines w:val="0"/>
        <w:pageBreakBefore w:val="0"/>
        <w:widowControl w:val="0"/>
        <w:kinsoku/>
        <w:wordWrap/>
        <w:overflowPunct/>
        <w:topLinePunct w:val="0"/>
        <w:autoSpaceDE w:val="0"/>
        <w:autoSpaceDN w:val="0"/>
        <w:bidi w:val="0"/>
        <w:adjustRightInd w:val="0"/>
        <w:spacing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r>
        <w:rPr>
          <w:rFonts w:hint="eastAsia" w:ascii="微软雅黑" w:hAnsi="微软雅黑" w:eastAsia="微软雅黑" w:cs="微软雅黑"/>
          <w:color w:val="auto"/>
          <w:sz w:val="24"/>
          <w:szCs w:val="24"/>
          <w:lang w:val="zh-CN"/>
        </w:rPr>
        <w:t>3 因工程确需分包的项目必须经发包人同意。</w:t>
      </w:r>
    </w:p>
    <w:p>
      <w:pPr>
        <w:pStyle w:val="11"/>
        <w:keepNext w:val="0"/>
        <w:keepLines w:val="0"/>
        <w:pageBreakBefore w:val="0"/>
        <w:widowControl w:val="0"/>
        <w:kinsoku/>
        <w:wordWrap/>
        <w:overflowPunct/>
        <w:topLinePunct w:val="0"/>
        <w:bidi w:val="0"/>
        <w:spacing w:line="520" w:lineRule="exact"/>
        <w:textAlignment w:val="auto"/>
        <w:rPr>
          <w:rFonts w:hint="eastAsia" w:ascii="微软雅黑" w:hAnsi="微软雅黑" w:eastAsia="微软雅黑" w:cs="微软雅黑"/>
          <w:color w:val="auto"/>
          <w:sz w:val="24"/>
          <w:szCs w:val="24"/>
        </w:rPr>
      </w:pP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甲方：(采购人名称)　　　　　　　　</w:t>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　乙方：(供应商名称)</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法定代表人或其授权代表签字(签章): </w:t>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法定代表人或其授权代表签字(签章)：</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盖章：</w:t>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盖章：</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日期：______年____月____日</w:t>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rPr>
        <w:t>日期：______年____月____日</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br w:type="page"/>
      </w:r>
      <w:r>
        <w:rPr>
          <w:rFonts w:hint="eastAsia" w:ascii="微软雅黑" w:hAnsi="微软雅黑" w:eastAsia="微软雅黑" w:cs="微软雅黑"/>
          <w:color w:val="auto"/>
          <w:sz w:val="24"/>
          <w:szCs w:val="24"/>
        </w:rPr>
        <w:t>　　一、合同条款</w:t>
      </w:r>
    </w:p>
    <w:p>
      <w:pPr>
        <w:pStyle w:val="11"/>
        <w:keepNext w:val="0"/>
        <w:keepLines w:val="0"/>
        <w:pageBreakBefore w:val="0"/>
        <w:widowControl w:val="0"/>
        <w:kinsoku/>
        <w:wordWrap/>
        <w:overflowPunct/>
        <w:topLinePunct w:val="0"/>
        <w:bidi w:val="0"/>
        <w:spacing w:line="520" w:lineRule="exact"/>
        <w:ind w:firstLine="480" w:firstLineChars="20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合同条款前附表</w:t>
      </w:r>
    </w:p>
    <w:tbl>
      <w:tblPr>
        <w:tblStyle w:val="18"/>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序号</w:t>
            </w:r>
          </w:p>
        </w:tc>
        <w:tc>
          <w:tcPr>
            <w:tcW w:w="7799"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合同名称：</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乙方开户银行名称：</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服务时间、地点：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服务履行期：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□违约金约定：</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误期赔偿费约定：如果乙方没有按照合同规定的时间交付和提供服务，甲方有权从货款或履约保证金中扣除误期赔偿费而不影响合同项下的其他补救方法。赔偿费按每日加收合同金额的0.5%(各单位可根据实际情况重新设定)计收，直至交付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817" w:type="dxa"/>
            <w:vAlign w:val="center"/>
          </w:tcPr>
          <w:p>
            <w:pPr>
              <w:pStyle w:val="11"/>
              <w:keepNext w:val="0"/>
              <w:keepLines w:val="0"/>
              <w:pageBreakBefore w:val="0"/>
              <w:widowControl w:val="0"/>
              <w:kinsoku/>
              <w:wordWrap/>
              <w:overflowPunct/>
              <w:topLinePunct w:val="0"/>
              <w:bidi w:val="0"/>
              <w:spacing w:line="520" w:lineRule="exact"/>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w:t>
            </w:r>
          </w:p>
        </w:tc>
        <w:tc>
          <w:tcPr>
            <w:tcW w:w="7799" w:type="dxa"/>
            <w:vAlign w:val="center"/>
          </w:tcPr>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合同纠纷的解决方式：</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首先通过双方协商解决，协商解决不成，则通过以下途径之一解决纠纷(请在方框内画“√”选择)：</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□提请______仲裁委员会按照仲裁程序在______(仲裁地)仲裁</w:t>
            </w:r>
          </w:p>
          <w:p>
            <w:pPr>
              <w:pStyle w:val="11"/>
              <w:keepNext w:val="0"/>
              <w:keepLines w:val="0"/>
              <w:pageBreakBefore w:val="0"/>
              <w:widowControl w:val="0"/>
              <w:kinsoku/>
              <w:wordWrap/>
              <w:overflowPunct/>
              <w:topLinePunct w:val="0"/>
              <w:bidi w:val="0"/>
              <w:spacing w:line="52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□向人民法院提起诉讼</w:t>
            </w:r>
          </w:p>
        </w:tc>
      </w:tr>
    </w:tbl>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1.定义</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本合同下列术语应解释为：</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　“甲方”是指采购人。</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　“乙方”是指中标/成交供应商。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　“合同”系指甲乙双方签署的、合同中载明的甲乙双方所达成的协议，包括所有的附件、附录和上述文件所提到的构成合同的所有文件。</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　“服务”是指乙方按照招标(采购)、投标(响应)文件要求，向采购人提供的技术支持服务。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　“项目现场”是指甲方指定的最终服务地点。</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　“天”除非特别指出，“天”均为自然天。</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2.服务标准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　乙方为甲方交付的服务应符合招标(采购)文件所述的内容，如果没有提及适用标准，则应符合相应的国家标准。这些标准必须是有关机构发布的最新版本的标准。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　除非技术要求中另有规定，计量单位均采用中华人民共和国法定计量单位。</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乙方应按照合同的规定，提供下列服务甲方提供符合要求的服务。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4.知识产权</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　乙方应保证所提供的服务免受第三方提出侵犯其知识产权(专利权、商标权、版权等)的起诉。因侵害他人知识产权而产生的法律责任，全部由供应商承担。</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　甲方委托乙方开发的产品，甲方享有知识产权，未经甲方许可不得转让任何第三人。</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5.保密条款</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5.1　甲乙双方应对在本合同签订或履行过程中所接触的对方信息，包括但不限于知识产权、技术资料、技术诀窍、内部管理及其他相关信息，负有保密义务。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5.2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(1)应以审慎态度避免泄露、公开或传播甲方的信息；</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(2)未经甲方书面许可，不得对有关信息进行修改、补充、复制；</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(3)未经甲方书面许可，不得将信息以任何方式(如E－mail)携带出甲方场所；</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(4)未经甲方书面许可，不得将信息透露给任何其他人；</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(5)甲方以书面形式提出的其他保密措施。</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5.3　保密期限不受合同有效期的限制，在合同有效期结束后，信息接受方仍应承担保密义务，直至该等信息成为公开信息。</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5.4　甲乙双方如出现泄密行为，泄密方应承担相关的法律责任，包括但是不限于对由此给对方造成的经济损失进行赔偿。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6.服务质量保证</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6.1　乙方应保证所提供的服务，符合合同规定的技术要求。如不符时，乙方应负全责并尽快处理解决，由此造成的损失和相关费用由乙方负责，甲方保留终止合同及索赔的权利。</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6.2　乙方应保证通过执行合同中全部方案后，可以取得本合同规定的结果，达到本合同规定的预期目标。对任何情况下出现问题的，应尽快提出解决方案。</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6.3　如果乙方提供的服务和解决方案不符合甲方要求，或在规定的时间内没有弥补缺陷，甲方有权采取一切必要的补救措施，由此产生的费用全部由乙方负责。</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7.履约保证金</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7.1　乙方应在签署合同前，以银行保函、银行电汇或履约担保函形式向甲方提供。</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7.2　履约保证金具体金额及返还要求见合同条款前附表。</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7.3　如乙方未能履行合同规定的义务，甲方有权按照本合同的约定从履约保证金中进行相应扣除。乙方应在甲方扣除履约保证金后15天内，及时补充扣除部分金额。</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7.4　乙方不履行合同，或者履行合同义务不符合约定使得合同目的不能实现，履约保证金不予退还，给甲方造成的损失超过履约保证金数额的，还应当对超过部分予以赔偿。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8.服务时间、地点与验收</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8.1　服务地点：</w:t>
      </w:r>
      <w:r>
        <w:rPr>
          <w:rFonts w:hint="eastAsia" w:ascii="微软雅黑" w:hAnsi="微软雅黑" w:eastAsia="微软雅黑" w:cs="微软雅黑"/>
          <w:color w:val="auto"/>
          <w:sz w:val="24"/>
          <w:szCs w:val="24"/>
          <w:lang w:val="en-US" w:eastAsia="zh-CN"/>
        </w:rPr>
        <w:t>平利县人民法院</w:t>
      </w:r>
      <w:r>
        <w:rPr>
          <w:rFonts w:hint="eastAsia" w:ascii="微软雅黑" w:hAnsi="微软雅黑" w:eastAsia="微软雅黑" w:cs="微软雅黑"/>
          <w:color w:val="auto"/>
          <w:sz w:val="24"/>
          <w:szCs w:val="24"/>
        </w:rPr>
        <w:t>指定地点。</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8.2　服务时间：</w:t>
      </w:r>
      <w:r>
        <w:rPr>
          <w:rFonts w:hint="eastAsia" w:ascii="微软雅黑" w:hAnsi="微软雅黑" w:eastAsia="微软雅黑" w:cs="微软雅黑"/>
          <w:color w:val="auto"/>
          <w:sz w:val="24"/>
          <w:szCs w:val="24"/>
          <w:lang w:val="en-US" w:eastAsia="zh-CN"/>
        </w:rPr>
        <w:t>平利县人民法院</w:t>
      </w:r>
      <w:r>
        <w:rPr>
          <w:rFonts w:hint="eastAsia" w:ascii="微软雅黑" w:hAnsi="微软雅黑" w:eastAsia="微软雅黑" w:cs="微软雅黑"/>
          <w:color w:val="auto"/>
          <w:sz w:val="24"/>
          <w:szCs w:val="24"/>
        </w:rPr>
        <w:t>指定时间。</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8.3　甲方应在乙方完成相关服务工作后及时对服务质量、技术指标、服务成果进行验收。</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9.违约责任</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9.1　服务缺陷的补救措施和索赔</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(1)如果乙方提供的服务不符合本合同约定以及招标文件、响应文件关于服务的要求和承诺，乙方应按照甲方同意的下列一种或几种方式结合起来解决索赔事宜：</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①乙方同意将服务款项目退还给甲方，由此发生的一切费用和损失由乙方承担。如甲方以适当的条件和方法购买与未履约标的相类似的服务，乙方应负担新购买类似服务所超出的费用。</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②根据服务的质量状况以及甲方所遭受的损失，经过甲乙双方商定降低服务的价格。</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服务款中扣除索赔金额或者没收履约保证金，如不足以弥补甲方损失的，甲方有权进一步要求乙方赔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9.2　迟延履约的违约责任</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(1)乙方应按照本合同规定的时间、地点提供服务。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除甲乙双方另有约定外，如果乙方没有按照合同规定的时间提供服务，且没有在甲方同意的延长的期限内进行补救时，甲方有权从服务款、履约保证金中扣除或要求乙方另行支付误期赔偿费而不影响合同项下的其他补救方法。赔偿费按每日加收合同金额的0.5%(各单位可根据实际情况重新设定)计收，直至交付或提供服务为止。但误期赔偿费的最高限额不超过合同价的15%(各单位可根据实际情况重新设定)。</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(4)如果乙方延迟履约超过30日，甲方有权终止全部或部分合同，并依其认为适当的条件和方法购买与未履约类似的服务，乙方应负担购买类似服务所超出的费用。但是，乙方应继续执行合同中未终止的部分。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9.3　未履行合同义务的违约责任</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(1)守约方有权终止全部或部分合同。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(2)没收全额履约保证金。</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(3)由违约一方支付违约金，违约金标准见合同条款前附表(各单位可根据实际情况自行约定)。</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(4)违约金不足以弥补守约方实际损失、可预见或者应当预见的损失，由违约方全额予以赔偿。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10.不可抗力</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10.1　如果合同双方因不可抗力而导致合同实施延误或合同无法实施，不应该承担误期赔偿或不能履行合同义务的责任。</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10.2　本条所述的“不可抗力”系指那些双方不可预见、不可避免、不可克服的客观情况，但不包括双方的违约或疏忽。这些事件包括但不限于：战争、严重火灾、洪水、台风、地震等。</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11.合同纠纷的解决方式</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　合同各方应通过友好协商，解决在执行合同过程中所发生的或与合同有关的一切争端。如协商30日内(根据实际情况设定)不能解决，可以按合同规定的方式提起仲裁或诉讼。</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　仲裁裁决应为最终裁决，对双方均具有约束力。</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　仲裁费除仲裁机关另有裁决外应由败诉方负担。</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　诉讼应由服务所在地人民法院管辖。诉讼费除人民法院另有判决外应由败诉方负担。</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　如仲裁或诉讼事项不影响合同其他部分的履行，则在仲裁或诉讼期间，除正在进行仲裁或诉讼的部分外，合同的其他部分应继续执行。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12.合同修改或变更</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　如无重大变故，甲方双方不得擅自变更合同。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　如确需变更合同，甲乙双方应签署书面变更协议。变更协议为本合同不可分割的一部分。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　在不改变合同其他条款的前提下，甲方有权在合同价款10%的范围内追加与合同标的相同的货物或服务，并就此与乙方签订补充合同，乙方不得拒绝。</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13.合同中止</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13.1合同在履行过程中，因采购计划调整，甲方可以要求中止履行，待计划确定后继续履行；合同履行过程中因供应商就采购过程或结果提起投诉的，甲方认为有必要或财政部责令中止的，应当中止合同的履行。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14.违约终止合同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　若出现如下情况，在甲方对乙方违约行为而采取的任何补救措施不受影响的情况下，甲方可向乙方发出书面通知书，提出终止部分或全部合同。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14.1.1　如果乙方未能在合同规定的期限或甲方同意延长的期限内提供服务；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14.1.2　因乙方技术人员自身技术能力、经验不足等原因造成甲方硬件设备、应用系统发生重大紧急故障或应用系统数据丢失，带来重大影响和损失的；</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14.1.3　乙方对甲方硬件设备、应用系统重大紧急故障没有及时响应，或不能在规定时间内解决处理故障，恢复系统正常运行的；</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14.1.4　不能满足本项目技术需求的管理要求和规范，且经多次整改无明显改进的；</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14.1.5　在合同规定的每个服务年度(12个自然月)内，在运行维护支持服务过程中，出现2次经甲乙双方确认的违规操作的。</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14.2　如果甲方根据上述第14.1条的规定，终止了全部或部分合同，甲方可以适当的条件和方法购买乙方未能提供的服务，乙方应对甲方购买类似服务所超出的费用负责。同时，乙方应继续执行合同中未终止的部分。</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15.破产终止合同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15.1　如果乙方破产或无清偿能力，甲方可在任何时候以书面形式通知乙方终止合同而不给乙方补偿。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15.2　该终止协议将不损害或影响甲方已经采取或将要采取的任何行动或补救措施的权利。</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16.其他情况的终止合同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16.1　若合同继续履行将给甲方造成重大损失的，甲方可以终止合同而不给予乙方任何补偿。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16.2　乙方在执行合同的过程中发生重大事故，对履行合同有直接影响的，甲方可以终止合同而不给予乙方任何补偿。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16.3　甲方因重大变故取消或部分取消原来的采购任务，导致合同全部或部分内容无须继续履行的，可以终止合同而不给予乙方任何补偿。</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17.合同转让和分包</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17.1　乙方不得以任何形式将合同转包，或部分或全部转让其应履行的合同义务。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17.2　除经甲方事先书面同意外，乙方不得以任何形式将合同分包。</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18.适用法律</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18.1　本合同适用中华人民共和国现行法律、行政法规和规章，如合同条款与法律、行政法规和规章不一致的，按照法律、行政法规和规章修改本合同。</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19.合同语言</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19.1　本合同语言为中文。</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19.2　双方交换的与合同有关的信件和其他文件应用合同语言书写。</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20.合同生效</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　本合同应在双方签字盖章和甲方收到乙方提供的履约保证金后生效。</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21.合同效力</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　除本合同和甲乙双方书面签署的补充协议外，其他任何形式的双方约定和往来函件均不具有合同效力，对本项目无约束。</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22.检查和审计</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22.1在本合同的履行过程中，甲方有权对乙方的合同履约情况进行阶段性检查，并对乙方投标时提供的相关资料进行复核。</w:t>
      </w:r>
    </w:p>
    <w:p>
      <w:pPr>
        <w:pStyle w:val="11"/>
        <w:keepNext w:val="0"/>
        <w:keepLines w:val="0"/>
        <w:pageBreakBefore w:val="0"/>
        <w:widowControl w:val="0"/>
        <w:kinsoku/>
        <w:wordWrap/>
        <w:overflowPunct/>
        <w:topLinePunct w:val="0"/>
        <w:bidi w:val="0"/>
        <w:spacing w:line="52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22.2　在本合同的履行过程中，如果甲乙双方发生争议或者乙方没有按照合同约定履行义务，乙方应允许甲方检查乙方与实施本合同有关的账户和记录，并由甲方指定的审计人员对其进行审计。</w:t>
      </w:r>
    </w:p>
    <w:p>
      <w:pPr>
        <w:pStyle w:val="12"/>
        <w:keepNext w:val="0"/>
        <w:keepLines w:val="0"/>
        <w:pageBreakBefore w:val="0"/>
        <w:widowControl w:val="0"/>
        <w:kinsoku/>
        <w:wordWrap/>
        <w:overflowPunct/>
        <w:topLinePunct w:val="0"/>
        <w:autoSpaceDE/>
        <w:autoSpaceDN/>
        <w:bidi w:val="0"/>
        <w:adjustRightInd/>
        <w:spacing w:line="520" w:lineRule="exact"/>
        <w:textAlignment w:val="auto"/>
        <w:rPr>
          <w:rFonts w:hint="eastAsia" w:ascii="微软雅黑" w:hAnsi="微软雅黑" w:eastAsia="微软雅黑" w:cs="微软雅黑"/>
          <w:b/>
          <w:bCs/>
          <w:color w:val="auto"/>
          <w:sz w:val="24"/>
          <w:szCs w:val="24"/>
          <w:vertAlign w:val="baseline"/>
          <w:lang w:val="en-US" w:eastAsia="zh-CN"/>
        </w:rPr>
      </w:pPr>
    </w:p>
    <w:p>
      <w:pPr>
        <w:pStyle w:val="11"/>
        <w:spacing w:line="600" w:lineRule="exact"/>
        <w:ind w:firstLine="480" w:firstLineChars="200"/>
        <w:rPr>
          <w:rFonts w:ascii="微软雅黑" w:hAnsi="微软雅黑" w:eastAsia="微软雅黑" w:cs="微软雅黑"/>
          <w:color w:val="auto"/>
          <w:sz w:val="24"/>
          <w:szCs w:val="24"/>
        </w:rPr>
      </w:pPr>
    </w:p>
    <w:p>
      <w:pPr>
        <w:pStyle w:val="7"/>
        <w:jc w:val="center"/>
        <w:rPr>
          <w:rFonts w:ascii="微软雅黑" w:hAnsi="微软雅黑" w:eastAsia="微软雅黑" w:cs="微软雅黑"/>
          <w:color w:val="auto"/>
          <w:sz w:val="32"/>
          <w:szCs w:val="32"/>
        </w:rPr>
      </w:pPr>
    </w:p>
    <w:p>
      <w:pPr>
        <w:pStyle w:val="7"/>
        <w:rPr>
          <w:rFonts w:ascii="微软雅黑" w:hAnsi="微软雅黑" w:eastAsia="微软雅黑" w:cs="微软雅黑"/>
          <w:color w:val="auto"/>
          <w:sz w:val="32"/>
          <w:szCs w:val="32"/>
        </w:rPr>
      </w:pPr>
    </w:p>
    <w:p>
      <w:pPr>
        <w:rPr>
          <w:rFonts w:ascii="微软雅黑" w:hAnsi="微软雅黑" w:eastAsia="微软雅黑" w:cs="微软雅黑"/>
          <w:color w:val="auto"/>
          <w:sz w:val="32"/>
          <w:szCs w:val="32"/>
        </w:rPr>
      </w:pPr>
    </w:p>
    <w:p>
      <w:pPr>
        <w:pStyle w:val="7"/>
        <w:spacing w:before="0" w:after="0"/>
        <w:jc w:val="center"/>
        <w:rPr>
          <w:rFonts w:hint="eastAsia" w:ascii="微软雅黑" w:hAnsi="微软雅黑" w:eastAsia="微软雅黑" w:cs="微软雅黑"/>
          <w:sz w:val="32"/>
          <w:szCs w:val="32"/>
        </w:rPr>
      </w:pPr>
    </w:p>
    <w:p>
      <w:pPr>
        <w:pStyle w:val="7"/>
        <w:spacing w:before="0" w:after="0"/>
        <w:jc w:val="center"/>
        <w:rPr>
          <w:rFonts w:ascii="微软雅黑" w:hAnsi="微软雅黑" w:eastAsia="微软雅黑" w:cs="微软雅黑"/>
          <w:sz w:val="24"/>
          <w:szCs w:val="24"/>
        </w:rPr>
      </w:pPr>
      <w:r>
        <w:rPr>
          <w:rFonts w:hint="eastAsia" w:ascii="微软雅黑" w:hAnsi="微软雅黑" w:eastAsia="微软雅黑" w:cs="微软雅黑"/>
          <w:sz w:val="32"/>
          <w:szCs w:val="32"/>
        </w:rPr>
        <w:t>第五章　响应文件组成</w:t>
      </w:r>
    </w:p>
    <w:p>
      <w:pPr>
        <w:pStyle w:val="11"/>
        <w:spacing w:line="600" w:lineRule="exact"/>
        <w:rPr>
          <w:rFonts w:ascii="微软雅黑" w:hAnsi="微软雅黑" w:eastAsia="微软雅黑" w:cs="微软雅黑"/>
          <w:sz w:val="24"/>
          <w:szCs w:val="24"/>
        </w:rPr>
      </w:pPr>
    </w:p>
    <w:p>
      <w:pPr>
        <w:pStyle w:val="11"/>
        <w:spacing w:line="600" w:lineRule="exact"/>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第一部分　商务部分</w:t>
      </w:r>
    </w:p>
    <w:p>
      <w:pPr>
        <w:pStyle w:val="11"/>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微软雅黑" w:hAnsi="微软雅黑" w:eastAsia="微软雅黑" w:cs="微软雅黑"/>
          <w:b/>
          <w:bCs/>
          <w:color w:val="auto"/>
          <w:sz w:val="28"/>
          <w:szCs w:val="28"/>
        </w:rPr>
      </w:pPr>
    </w:p>
    <w:p>
      <w:pPr>
        <w:pStyle w:val="11"/>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第二部分　技术部分</w: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华文隶书" w:hAnsi="华文隶书" w:eastAsia="华文隶书" w:cs="华文隶书"/>
          <w:sz w:val="21"/>
          <w:szCs w:val="21"/>
        </w:rPr>
      </w:pPr>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华文隶书" w:hAnsi="华文隶书" w:eastAsia="华文隶书" w:cs="华文隶书"/>
          <w:sz w:val="21"/>
          <w:szCs w:val="21"/>
        </w:rPr>
      </w:pPr>
    </w:p>
    <w:p>
      <w:pPr>
        <w:rPr>
          <w:rFonts w:ascii="华文隶书" w:hAnsi="华文隶书" w:eastAsia="华文隶书" w:cs="华文隶书"/>
          <w:sz w:val="21"/>
          <w:szCs w:val="21"/>
        </w:rPr>
      </w:pPr>
    </w:p>
    <w:p>
      <w:pPr>
        <w:pStyle w:val="9"/>
        <w:rPr>
          <w:rFonts w:ascii="华文隶书" w:hAnsi="华文隶书" w:eastAsia="华文隶书" w:cs="华文隶书"/>
          <w:sz w:val="21"/>
          <w:szCs w:val="21"/>
        </w:rPr>
      </w:pPr>
    </w:p>
    <w:p>
      <w:pPr>
        <w:rPr>
          <w:rFonts w:ascii="华文隶书" w:hAnsi="华文隶书" w:eastAsia="华文隶书" w:cs="华文隶书"/>
          <w:sz w:val="21"/>
          <w:szCs w:val="21"/>
        </w:rPr>
      </w:pPr>
    </w:p>
    <w:p>
      <w:pPr>
        <w:pStyle w:val="9"/>
        <w:rPr>
          <w:rFonts w:ascii="华文隶书" w:hAnsi="华文隶书" w:eastAsia="华文隶书" w:cs="华文隶书"/>
          <w:sz w:val="21"/>
          <w:szCs w:val="21"/>
        </w:rPr>
      </w:pPr>
    </w:p>
    <w:p>
      <w:pPr>
        <w:rPr>
          <w:rFonts w:ascii="华文隶书" w:hAnsi="华文隶书" w:eastAsia="华文隶书" w:cs="华文隶书"/>
          <w:sz w:val="21"/>
          <w:szCs w:val="21"/>
        </w:rPr>
      </w:pPr>
    </w:p>
    <w:p>
      <w:pPr>
        <w:pStyle w:val="9"/>
        <w:rPr>
          <w:rFonts w:ascii="华文隶书" w:hAnsi="华文隶书" w:eastAsia="华文隶书" w:cs="华文隶书"/>
          <w:sz w:val="21"/>
          <w:szCs w:val="21"/>
        </w:rPr>
      </w:pPr>
    </w:p>
    <w:p>
      <w:pPr>
        <w:autoSpaceDE w:val="0"/>
        <w:autoSpaceDN w:val="0"/>
        <w:adjustRightInd w:val="0"/>
        <w:jc w:val="both"/>
        <w:rPr>
          <w:rFonts w:hint="eastAsia" w:ascii="宋体" w:hAnsi="宋体" w:eastAsia="宋体" w:cs="宋体"/>
          <w:color w:val="auto"/>
          <w:spacing w:val="10"/>
          <w:sz w:val="30"/>
          <w:szCs w:val="30"/>
          <w:highlight w:val="none"/>
        </w:rPr>
      </w:pPr>
      <w:r>
        <w:rPr>
          <w:rStyle w:val="38"/>
          <w:rFonts w:hint="eastAsia" w:ascii="宋体" w:hAnsi="宋体" w:eastAsia="宋体" w:cs="宋体"/>
          <w:b/>
          <w:bCs/>
          <w:color w:val="auto"/>
          <w:lang w:val="en-US" w:eastAsia="zh-CN"/>
        </w:rPr>
        <w:t>商务标文件格式</w:t>
      </w:r>
    </w:p>
    <w:p>
      <w:pPr>
        <w:spacing w:line="500" w:lineRule="exact"/>
        <w:jc w:val="center"/>
        <w:outlineLvl w:val="1"/>
        <w:rPr>
          <w:rFonts w:hint="eastAsia" w:ascii="宋体" w:hAnsi="宋体" w:eastAsia="宋体" w:cs="宋体"/>
          <w:b/>
          <w:color w:val="auto"/>
          <w:spacing w:val="-20"/>
          <w:sz w:val="44"/>
          <w:szCs w:val="44"/>
          <w:highlight w:val="none"/>
        </w:rPr>
      </w:pPr>
      <w:r>
        <w:rPr>
          <w:rFonts w:hint="eastAsia" w:ascii="宋体" w:hAnsi="宋体" w:eastAsia="宋体" w:cs="宋体"/>
          <w:b/>
          <w:color w:val="auto"/>
          <w:spacing w:val="-20"/>
          <w:sz w:val="44"/>
          <w:szCs w:val="44"/>
          <w:highlight w:val="none"/>
          <w:u w:val="single"/>
        </w:rPr>
        <w:t xml:space="preserve"> </w:t>
      </w:r>
      <w:r>
        <w:rPr>
          <w:rFonts w:hint="eastAsia" w:ascii="宋体" w:hAnsi="宋体" w:eastAsia="宋体" w:cs="宋体"/>
          <w:b/>
          <w:color w:val="auto"/>
          <w:spacing w:val="-20"/>
          <w:sz w:val="44"/>
          <w:szCs w:val="44"/>
          <w:highlight w:val="none"/>
          <w:u w:val="single"/>
          <w:lang w:val="en-US" w:eastAsia="zh-CN"/>
        </w:rPr>
        <w:t xml:space="preserve">   </w:t>
      </w:r>
      <w:bookmarkStart w:id="0" w:name="_Toc15372"/>
      <w:bookmarkStart w:id="1" w:name="_Toc24011"/>
      <w:bookmarkStart w:id="2" w:name="_Toc32297"/>
      <w:bookmarkStart w:id="3" w:name="_Toc14316"/>
      <w:bookmarkStart w:id="4" w:name="_Toc31247"/>
      <w:r>
        <w:rPr>
          <w:rFonts w:hint="eastAsia" w:ascii="宋体" w:hAnsi="宋体" w:eastAsia="宋体" w:cs="宋体"/>
          <w:b/>
          <w:color w:val="auto"/>
          <w:spacing w:val="-20"/>
          <w:sz w:val="44"/>
          <w:szCs w:val="44"/>
          <w:highlight w:val="none"/>
          <w:u w:val="single"/>
          <w:lang w:eastAsia="zh-CN"/>
        </w:rPr>
        <w:t>（项目名称）</w:t>
      </w:r>
      <w:r>
        <w:rPr>
          <w:rFonts w:hint="eastAsia" w:ascii="宋体" w:hAnsi="宋体" w:eastAsia="宋体" w:cs="宋体"/>
          <w:b/>
          <w:color w:val="auto"/>
          <w:spacing w:val="-20"/>
          <w:sz w:val="44"/>
          <w:szCs w:val="44"/>
          <w:highlight w:val="none"/>
          <w:u w:val="single"/>
          <w:lang w:val="en-US" w:eastAsia="zh-CN"/>
        </w:rPr>
        <w:t xml:space="preserve">   </w:t>
      </w:r>
      <w:r>
        <w:rPr>
          <w:rFonts w:hint="eastAsia" w:ascii="宋体" w:hAnsi="宋体" w:eastAsia="宋体" w:cs="宋体"/>
          <w:b/>
          <w:color w:val="auto"/>
          <w:spacing w:val="-20"/>
          <w:sz w:val="44"/>
          <w:szCs w:val="44"/>
          <w:highlight w:val="none"/>
          <w:u w:val="single"/>
        </w:rPr>
        <w:t xml:space="preserve"> </w:t>
      </w:r>
      <w:bookmarkEnd w:id="0"/>
      <w:bookmarkEnd w:id="1"/>
      <w:bookmarkEnd w:id="2"/>
      <w:bookmarkEnd w:id="3"/>
      <w:bookmarkEnd w:id="4"/>
    </w:p>
    <w:p>
      <w:pPr>
        <w:autoSpaceDE w:val="0"/>
        <w:autoSpaceDN w:val="0"/>
        <w:adjustRightInd w:val="0"/>
        <w:jc w:val="left"/>
        <w:rPr>
          <w:rFonts w:hint="eastAsia" w:ascii="宋体" w:hAnsi="宋体" w:eastAsia="宋体" w:cs="宋体"/>
          <w:b/>
          <w:color w:val="auto"/>
          <w:kern w:val="0"/>
          <w:sz w:val="24"/>
          <w:highlight w:val="none"/>
        </w:rPr>
      </w:pPr>
    </w:p>
    <w:p>
      <w:pPr>
        <w:autoSpaceDE w:val="0"/>
        <w:autoSpaceDN w:val="0"/>
        <w:adjustRightInd w:val="0"/>
        <w:jc w:val="left"/>
        <w:rPr>
          <w:rFonts w:hint="eastAsia" w:ascii="宋体" w:hAnsi="宋体" w:eastAsia="宋体" w:cs="宋体"/>
          <w:b/>
          <w:color w:val="auto"/>
          <w:kern w:val="0"/>
          <w:sz w:val="24"/>
          <w:highlight w:val="none"/>
        </w:rPr>
      </w:pPr>
    </w:p>
    <w:p>
      <w:pPr>
        <w:autoSpaceDE w:val="0"/>
        <w:autoSpaceDN w:val="0"/>
        <w:adjustRightInd w:val="0"/>
        <w:jc w:val="center"/>
        <w:rPr>
          <w:rFonts w:hint="eastAsia" w:ascii="宋体" w:hAnsi="宋体" w:eastAsia="宋体" w:cs="宋体"/>
          <w:b/>
          <w:color w:val="auto"/>
          <w:kern w:val="0"/>
          <w:sz w:val="90"/>
          <w:szCs w:val="90"/>
          <w:highlight w:val="none"/>
        </w:rPr>
      </w:pPr>
      <w:r>
        <w:rPr>
          <w:rFonts w:hint="eastAsia" w:ascii="宋体" w:hAnsi="宋体" w:eastAsia="宋体" w:cs="宋体"/>
          <w:b/>
          <w:color w:val="auto"/>
          <w:kern w:val="0"/>
          <w:sz w:val="90"/>
          <w:szCs w:val="90"/>
          <w:highlight w:val="none"/>
        </w:rPr>
        <w:t xml:space="preserve">投 标 </w:t>
      </w:r>
      <w:r>
        <w:rPr>
          <w:rFonts w:hint="eastAsia" w:ascii="宋体" w:hAnsi="宋体" w:cs="宋体"/>
          <w:b/>
          <w:color w:val="auto"/>
          <w:kern w:val="0"/>
          <w:sz w:val="90"/>
          <w:szCs w:val="90"/>
          <w:highlight w:val="none"/>
          <w:lang w:val="en-US" w:eastAsia="zh-CN"/>
        </w:rPr>
        <w:t xml:space="preserve">响 应 </w:t>
      </w:r>
      <w:r>
        <w:rPr>
          <w:rFonts w:hint="eastAsia" w:ascii="宋体" w:hAnsi="宋体" w:eastAsia="宋体" w:cs="宋体"/>
          <w:b/>
          <w:color w:val="auto"/>
          <w:kern w:val="0"/>
          <w:sz w:val="90"/>
          <w:szCs w:val="90"/>
          <w:highlight w:val="none"/>
        </w:rPr>
        <w:t>文 件</w:t>
      </w:r>
    </w:p>
    <w:p>
      <w:pPr>
        <w:autoSpaceDE w:val="0"/>
        <w:autoSpaceDN w:val="0"/>
        <w:adjustRightInd w:val="0"/>
        <w:jc w:val="center"/>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t>（商务标部分）</w:t>
      </w: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spacing w:line="360" w:lineRule="auto"/>
        <w:rPr>
          <w:rFonts w:hint="eastAsia" w:ascii="宋体" w:hAnsi="宋体" w:eastAsia="宋体" w:cs="宋体"/>
          <w:color w:val="auto"/>
          <w:kern w:val="0"/>
          <w:sz w:val="24"/>
          <w:highlight w:val="none"/>
        </w:rPr>
      </w:pPr>
    </w:p>
    <w:p>
      <w:pPr>
        <w:autoSpaceDE w:val="0"/>
        <w:autoSpaceDN w:val="0"/>
        <w:adjustRightInd w:val="0"/>
        <w:spacing w:line="360" w:lineRule="auto"/>
        <w:ind w:firstLine="2880" w:firstLineChars="1200"/>
        <w:jc w:val="center"/>
        <w:rPr>
          <w:rFonts w:hint="eastAsia" w:ascii="宋体" w:hAnsi="宋体" w:eastAsia="宋体" w:cs="宋体"/>
          <w:color w:val="auto"/>
          <w:kern w:val="0"/>
          <w:sz w:val="24"/>
          <w:highlight w:val="none"/>
        </w:rPr>
      </w:pPr>
    </w:p>
    <w:p>
      <w:pPr>
        <w:autoSpaceDE w:val="0"/>
        <w:autoSpaceDN w:val="0"/>
        <w:adjustRightInd w:val="0"/>
        <w:spacing w:line="360" w:lineRule="auto"/>
        <w:ind w:left="1680" w:leftChars="8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项目编号</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u w:val="single"/>
        </w:rPr>
        <w:t xml:space="preserve">          </w:t>
      </w:r>
    </w:p>
    <w:p>
      <w:pPr>
        <w:autoSpaceDE w:val="0"/>
        <w:autoSpaceDN w:val="0"/>
        <w:adjustRightInd w:val="0"/>
        <w:spacing w:line="360" w:lineRule="auto"/>
        <w:ind w:left="1680" w:leftChars="800" w:firstLine="2880" w:firstLineChars="1200"/>
        <w:jc w:val="center"/>
        <w:rPr>
          <w:rFonts w:hint="eastAsia" w:ascii="宋体" w:hAnsi="宋体" w:eastAsia="宋体" w:cs="宋体"/>
          <w:color w:val="auto"/>
          <w:kern w:val="0"/>
          <w:sz w:val="24"/>
          <w:highlight w:val="none"/>
        </w:rPr>
      </w:pPr>
    </w:p>
    <w:p>
      <w:pPr>
        <w:autoSpaceDE w:val="0"/>
        <w:autoSpaceDN w:val="0"/>
        <w:adjustRightInd w:val="0"/>
        <w:spacing w:line="360" w:lineRule="auto"/>
        <w:ind w:left="1680" w:leftChars="8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（盖单位章）</w:t>
      </w:r>
    </w:p>
    <w:p>
      <w:pPr>
        <w:autoSpaceDE w:val="0"/>
        <w:autoSpaceDN w:val="0"/>
        <w:adjustRightInd w:val="0"/>
        <w:spacing w:line="360" w:lineRule="auto"/>
        <w:ind w:left="1680" w:leftChars="800" w:firstLine="2880" w:firstLineChars="1200"/>
        <w:jc w:val="left"/>
        <w:rPr>
          <w:rFonts w:hint="eastAsia" w:ascii="宋体" w:hAnsi="宋体" w:eastAsia="宋体" w:cs="宋体"/>
          <w:color w:val="auto"/>
          <w:kern w:val="0"/>
          <w:sz w:val="24"/>
          <w:highlight w:val="none"/>
        </w:rPr>
      </w:pPr>
    </w:p>
    <w:p>
      <w:pPr>
        <w:autoSpaceDE w:val="0"/>
        <w:autoSpaceDN w:val="0"/>
        <w:adjustRightInd w:val="0"/>
        <w:spacing w:line="360" w:lineRule="auto"/>
        <w:ind w:left="1680" w:leftChars="8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法定代表人或其授权代理人：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（签字或盖章）</w:t>
      </w:r>
    </w:p>
    <w:p>
      <w:pPr>
        <w:autoSpaceDE w:val="0"/>
        <w:autoSpaceDN w:val="0"/>
        <w:adjustRightInd w:val="0"/>
        <w:spacing w:line="360" w:lineRule="auto"/>
        <w:ind w:firstLine="2880" w:firstLineChars="1200"/>
        <w:jc w:val="left"/>
        <w:rPr>
          <w:rFonts w:hint="eastAsia" w:ascii="宋体" w:hAnsi="宋体" w:eastAsia="宋体" w:cs="宋体"/>
          <w:color w:val="auto"/>
          <w:kern w:val="0"/>
          <w:sz w:val="24"/>
          <w:highlight w:val="none"/>
        </w:rPr>
      </w:pPr>
    </w:p>
    <w:p>
      <w:pPr>
        <w:autoSpaceDE w:val="0"/>
        <w:autoSpaceDN w:val="0"/>
        <w:adjustRightInd w:val="0"/>
        <w:spacing w:line="360" w:lineRule="auto"/>
        <w:ind w:firstLine="2880" w:firstLineChars="1200"/>
        <w:jc w:val="left"/>
        <w:rPr>
          <w:rFonts w:hint="eastAsia" w:ascii="宋体" w:hAnsi="宋体" w:eastAsia="宋体" w:cs="宋体"/>
          <w:color w:val="auto"/>
          <w:kern w:val="0"/>
          <w:sz w:val="24"/>
          <w:highlight w:val="none"/>
        </w:rPr>
      </w:pPr>
    </w:p>
    <w:p>
      <w:pPr>
        <w:autoSpaceDE w:val="0"/>
        <w:autoSpaceDN w:val="0"/>
        <w:adjustRightInd w:val="0"/>
        <w:spacing w:line="360" w:lineRule="auto"/>
        <w:ind w:firstLine="2880" w:firstLineChars="1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spacing w:line="56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44"/>
          <w:szCs w:val="44"/>
          <w:highlight w:val="none"/>
        </w:rPr>
        <w:br w:type="page"/>
      </w:r>
      <w:r>
        <w:rPr>
          <w:rFonts w:hint="eastAsia" w:ascii="宋体" w:hAnsi="宋体" w:eastAsia="宋体" w:cs="宋体"/>
          <w:b/>
          <w:color w:val="auto"/>
          <w:sz w:val="44"/>
          <w:szCs w:val="44"/>
          <w:highlight w:val="none"/>
        </w:rPr>
        <w:t>一、投标函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（招标人名称）: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1．根据</w:t>
      </w:r>
      <w:r>
        <w:rPr>
          <w:rFonts w:hint="eastAsia" w:ascii="宋体" w:hAnsi="宋体" w:eastAsia="宋体" w:cs="宋体"/>
          <w:color w:val="auto"/>
          <w:sz w:val="24"/>
          <w:highlight w:val="none"/>
          <w:u w:val="single"/>
        </w:rPr>
        <w:t xml:space="preserve">（项目名称）      </w:t>
      </w:r>
      <w:r>
        <w:rPr>
          <w:rFonts w:hint="eastAsia" w:ascii="宋体" w:hAnsi="宋体" w:eastAsia="宋体" w:cs="宋体"/>
          <w:color w:val="auto"/>
          <w:sz w:val="24"/>
          <w:highlight w:val="none"/>
        </w:rPr>
        <w:t>施工招标文件，经实地踏勘现场和认真仔细的研究招标文件后，我方愿以（大写)人民币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）的投标总报价（其中：措施项目费（大写)人民币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），安全文明施工措施费 （大写)人民币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日历天，按合同约定实施和完成承包工程，修补工程中的任何缺陷，工程质量达到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，项目经理为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2．我方承诺在投标有效期内不修改、撤销投标文件。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．如我方中标：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（l）我方承诺在收到中标通知书后，在中标通知书规定的期限内与你方签订合同。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（2）随同本投标函递交的投标函附录属于合同文件的组成部分。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（3）我方承诺按照招标文件规定向你方递交履约担保。</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（4）我方承诺在合同约定的期限内完成并移交全部合同工程。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．我方在此声明，所递交的投标文件及有关资料内容完整、真实和准确。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我方已详细审核全部招标文件，包括答疑纪要及有关附件。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我方保证上述投标报价不低于我单位工程施工的成本价。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、若我方中标，我方保证按投标工期完成并移交全部工程。每拖延一天，按合同约定处罚。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、若我方中标，我方保证工程质量达到投标时质量等级，否则，按合同约定处罚。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 我方同意所提交的投标文件在招标文件的投标须知中第3.3.1条规定的投标有效期内有效，在此期间内如果中标，我方将受此约束。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 在合同协议书正式签署生效之前，你方的招标文件、答疑纪要、中标通知书和本投</w:t>
      </w:r>
      <w:r>
        <w:rPr>
          <w:rFonts w:hint="eastAsia" w:ascii="宋体" w:hAnsi="宋体" w:eastAsia="宋体" w:cs="宋体"/>
          <w:color w:val="auto"/>
          <w:spacing w:val="-6"/>
          <w:sz w:val="24"/>
          <w:highlight w:val="none"/>
        </w:rPr>
        <w:t>标文件将构成我们约束双方之间共同遵守的文件，对双方具有约束力。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 我方理解你方不负担我们的任何投标费用，我方不要求你方对未中标原因作任何解释，也不退回投标文件。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、如果因我方原因放弃中标，我方承诺，除发包人有权没收投标保证金外，并承担因下个中标候选人中标给发包人带来的经济损失。</w:t>
      </w:r>
    </w:p>
    <w:p>
      <w:pPr>
        <w:spacing w:line="360" w:lineRule="auto"/>
        <w:ind w:firstLine="2400" w:firstLineChars="10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spacing w:line="360" w:lineRule="auto"/>
        <w:ind w:firstLine="3043" w:firstLineChars="1268"/>
        <w:rPr>
          <w:rFonts w:hint="eastAsia" w:ascii="宋体" w:hAnsi="宋体" w:eastAsia="宋体" w:cs="宋体"/>
          <w:color w:val="auto"/>
          <w:sz w:val="24"/>
          <w:highlight w:val="none"/>
        </w:rPr>
      </w:pPr>
    </w:p>
    <w:p>
      <w:pPr>
        <w:spacing w:line="360" w:lineRule="auto"/>
        <w:ind w:firstLine="2440" w:firstLineChars="1017"/>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法定代表人或其授权代理人：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spacing w:line="360" w:lineRule="auto"/>
        <w:ind w:firstLine="3043" w:firstLineChars="1268"/>
        <w:rPr>
          <w:rFonts w:hint="eastAsia" w:ascii="宋体" w:hAnsi="宋体" w:eastAsia="宋体" w:cs="宋体"/>
          <w:color w:val="auto"/>
          <w:sz w:val="24"/>
          <w:highlight w:val="none"/>
        </w:rPr>
      </w:pPr>
    </w:p>
    <w:p>
      <w:pPr>
        <w:spacing w:line="360" w:lineRule="auto"/>
        <w:ind w:firstLine="2520" w:firstLineChars="10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p>
    <w:p>
      <w:pPr>
        <w:spacing w:line="360" w:lineRule="auto"/>
        <w:ind w:firstLine="2520" w:firstLineChars="10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网址：</w:t>
      </w:r>
      <w:r>
        <w:rPr>
          <w:rFonts w:hint="eastAsia" w:ascii="宋体" w:hAnsi="宋体" w:eastAsia="宋体" w:cs="宋体"/>
          <w:color w:val="auto"/>
          <w:sz w:val="24"/>
          <w:highlight w:val="none"/>
          <w:u w:val="single"/>
        </w:rPr>
        <w:t xml:space="preserve">             </w:t>
      </w:r>
    </w:p>
    <w:p>
      <w:pPr>
        <w:spacing w:line="360" w:lineRule="auto"/>
        <w:ind w:firstLine="2520" w:firstLineChars="10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p>
    <w:p>
      <w:pPr>
        <w:spacing w:line="360" w:lineRule="auto"/>
        <w:ind w:firstLine="2520" w:firstLineChars="10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传真：</w:t>
      </w:r>
      <w:r>
        <w:rPr>
          <w:rFonts w:hint="eastAsia" w:ascii="宋体" w:hAnsi="宋体" w:eastAsia="宋体" w:cs="宋体"/>
          <w:color w:val="auto"/>
          <w:sz w:val="24"/>
          <w:highlight w:val="none"/>
          <w:u w:val="single"/>
        </w:rPr>
        <w:t xml:space="preserve">             </w:t>
      </w:r>
    </w:p>
    <w:p>
      <w:pPr>
        <w:spacing w:line="360" w:lineRule="auto"/>
        <w:ind w:firstLine="2520" w:firstLineChars="105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rPr>
        <w:t xml:space="preserve">             </w:t>
      </w:r>
    </w:p>
    <w:p>
      <w:pPr>
        <w:spacing w:line="360" w:lineRule="auto"/>
        <w:ind w:firstLine="3043" w:firstLineChars="1268"/>
        <w:rPr>
          <w:rFonts w:hint="eastAsia" w:ascii="宋体" w:hAnsi="宋体" w:eastAsia="宋体" w:cs="宋体"/>
          <w:color w:val="auto"/>
          <w:sz w:val="24"/>
          <w:highlight w:val="none"/>
        </w:rPr>
      </w:pPr>
    </w:p>
    <w:p>
      <w:pPr>
        <w:spacing w:line="360" w:lineRule="auto"/>
        <w:ind w:firstLine="4360" w:firstLineChars="1817"/>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autoSpaceDE w:val="0"/>
        <w:autoSpaceDN w:val="0"/>
        <w:adjustRightIn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br w:type="page"/>
      </w:r>
    </w:p>
    <w:p>
      <w:pPr>
        <w:spacing w:line="560" w:lineRule="exact"/>
        <w:jc w:val="center"/>
        <w:rPr>
          <w:rFonts w:hint="eastAsia" w:ascii="宋体" w:hAnsi="宋体" w:eastAsia="宋体" w:cs="宋体"/>
          <w:b/>
          <w:color w:val="auto"/>
          <w:sz w:val="32"/>
          <w:szCs w:val="32"/>
          <w:highlight w:val="none"/>
        </w:rPr>
      </w:pPr>
    </w:p>
    <w:p>
      <w:pPr>
        <w:spacing w:line="560" w:lineRule="exac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二、法定代表人身份证明</w:t>
      </w:r>
    </w:p>
    <w:p>
      <w:pPr>
        <w:spacing w:line="560" w:lineRule="exact"/>
        <w:ind w:firstLine="880" w:firstLineChars="200"/>
        <w:rPr>
          <w:rFonts w:hint="eastAsia" w:ascii="宋体" w:hAnsi="宋体" w:eastAsia="宋体" w:cs="宋体"/>
          <w:color w:val="auto"/>
          <w:sz w:val="44"/>
          <w:szCs w:val="4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_</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w:t>
      </w:r>
    </w:p>
    <w:p>
      <w:pPr>
        <w:spacing w:line="5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p>
    <w:p>
      <w:pPr>
        <w:spacing w:line="56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spacing w:line="560" w:lineRule="exact"/>
        <w:ind w:firstLine="5160" w:firstLineChars="2150"/>
        <w:rPr>
          <w:rFonts w:hint="eastAsia" w:ascii="宋体" w:hAnsi="宋体" w:eastAsia="宋体" w:cs="宋体"/>
          <w:color w:val="auto"/>
          <w:sz w:val="24"/>
          <w:highlight w:val="none"/>
          <w:u w:val="single"/>
        </w:rPr>
      </w:pPr>
    </w:p>
    <w:p>
      <w:pPr>
        <w:spacing w:line="560" w:lineRule="exact"/>
        <w:ind w:firstLine="5160" w:firstLineChars="215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560" w:lineRule="exact"/>
        <w:jc w:val="center"/>
        <w:rPr>
          <w:rFonts w:hint="eastAsia" w:ascii="宋体" w:hAnsi="宋体" w:eastAsia="宋体" w:cs="宋体"/>
          <w:b/>
          <w:color w:val="auto"/>
          <w:sz w:val="32"/>
          <w:szCs w:val="32"/>
          <w:highlight w:val="none"/>
        </w:rPr>
      </w:pPr>
    </w:p>
    <w:p>
      <w:pPr>
        <w:spacing w:line="560" w:lineRule="exact"/>
        <w:jc w:val="center"/>
        <w:rPr>
          <w:rFonts w:hint="eastAsia" w:ascii="宋体" w:hAnsi="宋体" w:eastAsia="宋体" w:cs="宋体"/>
          <w:b/>
          <w:color w:val="auto"/>
          <w:sz w:val="32"/>
          <w:szCs w:val="32"/>
          <w:highlight w:val="none"/>
        </w:rPr>
      </w:pPr>
    </w:p>
    <w:p>
      <w:pPr>
        <w:spacing w:line="560" w:lineRule="exac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r>
        <w:rPr>
          <w:rFonts w:hint="eastAsia" w:ascii="宋体" w:hAnsi="宋体" w:eastAsia="宋体" w:cs="宋体"/>
          <w:b/>
          <w:color w:val="auto"/>
          <w:sz w:val="44"/>
          <w:szCs w:val="44"/>
          <w:highlight w:val="none"/>
        </w:rPr>
        <w:t>三、法定代表人授权委托书</w:t>
      </w:r>
    </w:p>
    <w:p>
      <w:pPr>
        <w:spacing w:line="560" w:lineRule="exact"/>
        <w:jc w:val="center"/>
        <w:rPr>
          <w:rFonts w:hint="eastAsia" w:ascii="宋体" w:hAnsi="宋体" w:eastAsia="宋体" w:cs="宋体"/>
          <w:color w:val="auto"/>
          <w:szCs w:val="21"/>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（投标人名称）的法定代表人，现委托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（姓名）为我方代理人。代理人根据授权，以我方名义签署、澄清、说明、补正、递交、撤回、修改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（项目名称）施工投标文件、签订合同和处理有关事宜，其法律后果由我方承担。</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w:t>
      </w:r>
      <w:r>
        <w:rPr>
          <w:rFonts w:hint="eastAsia" w:ascii="宋体" w:hAnsi="宋体" w:eastAsia="宋体" w:cs="宋体"/>
          <w:color w:val="auto"/>
          <w:sz w:val="24"/>
          <w:highlight w:val="none"/>
          <w:u w:val="single"/>
        </w:rPr>
        <w:t xml:space="preserve">            </w:t>
      </w:r>
    </w:p>
    <w:p>
      <w:pPr>
        <w:spacing w:line="560" w:lineRule="exact"/>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附：法定代表人、委托代理人身份证复印件</w:t>
      </w:r>
    </w:p>
    <w:p>
      <w:pPr>
        <w:spacing w:line="560" w:lineRule="exact"/>
        <w:ind w:firstLine="480" w:firstLineChars="200"/>
        <w:rPr>
          <w:rFonts w:hint="eastAsia" w:ascii="宋体" w:hAnsi="宋体" w:eastAsia="宋体" w:cs="宋体"/>
          <w:color w:val="auto"/>
          <w:sz w:val="24"/>
          <w:highlight w:val="none"/>
        </w:rPr>
      </w:pPr>
    </w:p>
    <w:p>
      <w:pPr>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2760" w:firstLineChars="115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2760" w:firstLineChars="115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2760" w:firstLineChars="115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spacing w:line="560" w:lineRule="exact"/>
        <w:ind w:firstLine="480" w:firstLineChars="200"/>
        <w:rPr>
          <w:rFonts w:hint="eastAsia" w:ascii="宋体" w:hAnsi="宋体" w:eastAsia="宋体" w:cs="宋体"/>
          <w:color w:val="auto"/>
          <w:sz w:val="24"/>
          <w:highlight w:val="none"/>
        </w:rPr>
      </w:pPr>
    </w:p>
    <w:p>
      <w:pPr>
        <w:spacing w:line="560" w:lineRule="exact"/>
        <w:ind w:firstLine="2760" w:firstLineChars="115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spacing w:line="560" w:lineRule="exact"/>
        <w:ind w:firstLine="6120" w:firstLineChars="2550"/>
        <w:rPr>
          <w:rFonts w:hint="eastAsia" w:ascii="宋体" w:hAnsi="宋体" w:eastAsia="宋体" w:cs="宋体"/>
          <w:color w:val="auto"/>
          <w:sz w:val="24"/>
          <w:highlight w:val="none"/>
        </w:rPr>
      </w:pPr>
    </w:p>
    <w:p>
      <w:pPr>
        <w:spacing w:line="560" w:lineRule="exact"/>
        <w:ind w:firstLine="5280" w:firstLineChars="2200"/>
        <w:rPr>
          <w:rFonts w:hint="eastAsia" w:ascii="宋体" w:hAnsi="宋体" w:eastAsia="宋体" w:cs="宋体"/>
          <w:color w:val="auto"/>
          <w:szCs w:val="21"/>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jc w:val="center"/>
        <w:rPr>
          <w:rFonts w:hint="eastAsia" w:ascii="宋体" w:hAnsi="宋体" w:eastAsia="宋体" w:cs="宋体"/>
          <w:b/>
          <w:bCs/>
          <w:color w:val="auto"/>
          <w:sz w:val="30"/>
          <w:szCs w:val="30"/>
          <w:highlight w:val="none"/>
        </w:rPr>
      </w:pPr>
    </w:p>
    <w:p>
      <w:pPr>
        <w:rPr>
          <w:rFonts w:hint="eastAsia" w:ascii="宋体" w:hAnsi="宋体" w:eastAsia="宋体" w:cs="宋体"/>
          <w:color w:val="auto"/>
          <w:sz w:val="30"/>
          <w:szCs w:val="30"/>
          <w:highlight w:val="none"/>
        </w:rPr>
      </w:pPr>
      <w:r>
        <w:rPr>
          <w:rFonts w:hint="eastAsia" w:ascii="宋体" w:hAnsi="宋体" w:eastAsia="宋体" w:cs="宋体"/>
          <w:b/>
          <w:bCs/>
          <w:color w:val="auto"/>
          <w:sz w:val="44"/>
          <w:szCs w:val="44"/>
          <w:highlight w:val="none"/>
        </w:rPr>
        <w:br w:type="page"/>
      </w:r>
    </w:p>
    <w:p>
      <w:pPr>
        <w:spacing w:line="560" w:lineRule="exact"/>
        <w:jc w:val="center"/>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val="en-US" w:eastAsia="zh-CN"/>
        </w:rPr>
        <w:t>四</w:t>
      </w:r>
      <w:r>
        <w:rPr>
          <w:rFonts w:hint="eastAsia" w:ascii="宋体" w:hAnsi="宋体" w:eastAsia="宋体" w:cs="宋体"/>
          <w:b/>
          <w:bCs/>
          <w:color w:val="auto"/>
          <w:sz w:val="44"/>
          <w:szCs w:val="44"/>
          <w:highlight w:val="none"/>
        </w:rPr>
        <w:t>、履约承诺书</w:t>
      </w:r>
    </w:p>
    <w:p>
      <w:pPr>
        <w:spacing w:line="56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p>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我公司完全承诺</w:t>
      </w:r>
      <w:r>
        <w:rPr>
          <w:rFonts w:hint="eastAsia" w:ascii="宋体" w:hAnsi="宋体" w:eastAsia="宋体" w:cs="宋体"/>
          <w:b/>
          <w:bCs/>
          <w:color w:val="auto"/>
          <w:spacing w:val="20"/>
          <w:szCs w:val="18"/>
          <w:highlight w:val="none"/>
        </w:rPr>
        <w:t xml:space="preserve">     </w:t>
      </w:r>
      <w:r>
        <w:rPr>
          <w:rFonts w:hint="eastAsia" w:ascii="宋体" w:hAnsi="宋体" w:eastAsia="宋体" w:cs="宋体"/>
          <w:b/>
          <w:color w:val="auto"/>
          <w:sz w:val="24"/>
          <w:highlight w:val="none"/>
          <w:u w:val="single"/>
        </w:rPr>
        <w:t xml:space="preserve">    （项目名称）</w:t>
      </w:r>
      <w:r>
        <w:rPr>
          <w:rFonts w:hint="eastAsia" w:ascii="宋体" w:hAnsi="宋体" w:cs="宋体"/>
          <w:color w:val="auto"/>
          <w:sz w:val="24"/>
          <w:highlight w:val="none"/>
          <w:lang w:val="en-US" w:eastAsia="zh-CN"/>
        </w:rPr>
        <w:t>招标</w:t>
      </w:r>
      <w:r>
        <w:rPr>
          <w:rFonts w:hint="eastAsia" w:ascii="宋体" w:hAnsi="宋体" w:eastAsia="宋体" w:cs="宋体"/>
          <w:color w:val="auto"/>
          <w:sz w:val="24"/>
          <w:highlight w:val="none"/>
        </w:rPr>
        <w:t>文件和合同条款。</w:t>
      </w:r>
    </w:p>
    <w:p>
      <w:pPr>
        <w:spacing w:line="5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在此</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（投标人名称）的法人代表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（姓名）以合法地位郑重做如下承诺：</w:t>
      </w:r>
    </w:p>
    <w:p>
      <w:pPr>
        <w:spacing w:line="5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一旦中标，我们将承担合同规定的全部责任和义务。如果中标后不能履行合同规定义务，出现如下情况：</w:t>
      </w:r>
    </w:p>
    <w:p>
      <w:pPr>
        <w:tabs>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1、投入的主要管理人员、机械设备数量和型号、管理及施工队伍的配置等与合同约定不符；</w:t>
      </w:r>
    </w:p>
    <w:p>
      <w:pPr>
        <w:tabs>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2、工程质量达不到合同要求，进度严重滞后，或该合同段控制工程进度影响了整体工程进度和项目总目标的实现；</w:t>
      </w:r>
    </w:p>
    <w:p>
      <w:pPr>
        <w:tabs>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3、将工程转包或将主体工程违法分包，或以劳务协作为名，将工程违法分包给不具备相应资质的施工队伍或个体承包者；</w:t>
      </w:r>
    </w:p>
    <w:p>
      <w:pPr>
        <w:tabs>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4、在项目建设过程中因工程管理（包括：质量、进度、安全、廉政、资金使用、文明工地）受到省级以上交通主管部门通报批评或被新闻媒体曝光；</w:t>
      </w:r>
    </w:p>
    <w:p>
      <w:pPr>
        <w:tabs>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5、违规使用工程预付款，将建设资金从该合同段项目经理部抽走，或拖欠工程款、材料款和劳务费用。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（投标人名称）承诺出现上述任何一种情况后，发包人有权没收履约担保。我公司还承诺，如果没收履约担保不能免除我们的合同义务，接受发包人对我们所采取的如下任何处理措施：</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1）、限期整改纠正，使工程建设满足发包人要求；</w:t>
      </w:r>
    </w:p>
    <w:p>
      <w:pPr>
        <w:tabs>
          <w:tab w:val="left" w:pos="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2）、同意发包人从正常支付中扣除相应款项，直接支付所欠工程款和劳务费用；</w:t>
      </w:r>
    </w:p>
    <w:p>
      <w:pPr>
        <w:tabs>
          <w:tab w:val="left" w:pos="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3）、发包人有权终止承包人在本合同段的承包，或将本合同段工程中部分工作交由其他承包人或特殊分包人完成，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（投标人名称）无条件按照发包人规定的期限退场或接受调遣。在不解除本合同规定的承包人和义务的同时，由此引起的责任及相关费用均由承包人承担。</w:t>
      </w:r>
    </w:p>
    <w:p>
      <w:pPr>
        <w:tabs>
          <w:tab w:val="left" w:pos="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4）、同意承担合同段清场而引起的材料、供货、设备租用、民工工资和其他相关损失费用，否则发包人有权采取必要的手段和措施，并无条件没收履约担保。</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本承诺和履约担保自合同签定之日起生效，在发包人向承包人颁发交工证书之日失效。</w:t>
      </w: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（盖单位章）</w:t>
      </w:r>
    </w:p>
    <w:p>
      <w:pPr>
        <w:autoSpaceDE w:val="0"/>
        <w:autoSpaceDN w:val="0"/>
        <w:adjustRightInd w:val="0"/>
        <w:spacing w:line="360" w:lineRule="auto"/>
        <w:jc w:val="right"/>
        <w:rPr>
          <w:rFonts w:hint="eastAsia" w:ascii="宋体" w:hAnsi="宋体" w:eastAsia="宋体" w:cs="宋体"/>
          <w:color w:val="auto"/>
          <w:kern w:val="0"/>
          <w:sz w:val="24"/>
          <w:highlight w:val="none"/>
        </w:rPr>
      </w:pPr>
    </w:p>
    <w:p>
      <w:pPr>
        <w:autoSpaceDE w:val="0"/>
        <w:autoSpaceDN w:val="0"/>
        <w:adjustRightIn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法定代表人或其授权代理人：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（签字或盖章）</w:t>
      </w: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jc w:val="center"/>
        <w:rPr>
          <w:rFonts w:hint="default" w:ascii="宋体" w:hAnsi="宋体" w:eastAsia="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五、供应商的资格要求证明文件</w:t>
      </w:r>
    </w:p>
    <w:p>
      <w:pPr>
        <w:jc w:val="center"/>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w:t>
      </w:r>
      <w:r>
        <w:rPr>
          <w:rFonts w:hint="eastAsia" w:ascii="微软雅黑" w:hAnsi="微软雅黑" w:eastAsia="微软雅黑" w:cs="微软雅黑"/>
          <w:b/>
          <w:bCs/>
          <w:color w:val="auto"/>
        </w:rPr>
        <w:t>各投标人应按</w:t>
      </w:r>
      <w:r>
        <w:rPr>
          <w:rFonts w:hint="eastAsia" w:ascii="微软雅黑" w:hAnsi="微软雅黑" w:eastAsia="微软雅黑" w:cs="微软雅黑"/>
          <w:b/>
          <w:bCs/>
          <w:color w:val="auto"/>
          <w:lang w:val="en-US" w:eastAsia="zh-CN"/>
        </w:rPr>
        <w:t>公告</w:t>
      </w:r>
      <w:r>
        <w:rPr>
          <w:rFonts w:hint="eastAsia" w:ascii="微软雅黑" w:hAnsi="微软雅黑" w:eastAsia="微软雅黑" w:cs="微软雅黑"/>
          <w:b/>
          <w:bCs/>
          <w:color w:val="auto"/>
        </w:rPr>
        <w:t>要求</w:t>
      </w:r>
      <w:r>
        <w:rPr>
          <w:rFonts w:hint="eastAsia" w:ascii="微软雅黑" w:hAnsi="微软雅黑" w:eastAsia="微软雅黑" w:cs="微软雅黑"/>
          <w:b/>
          <w:bCs/>
          <w:color w:val="auto"/>
          <w:lang w:val="en-US" w:eastAsia="zh-CN"/>
        </w:rPr>
        <w:t>的资格条件</w:t>
      </w:r>
      <w:r>
        <w:rPr>
          <w:rFonts w:hint="eastAsia" w:ascii="微软雅黑" w:hAnsi="微软雅黑" w:eastAsia="微软雅黑" w:cs="微软雅黑"/>
          <w:b/>
          <w:bCs/>
          <w:color w:val="auto"/>
        </w:rPr>
        <w:t>提供</w:t>
      </w:r>
      <w:r>
        <w:rPr>
          <w:rFonts w:hint="eastAsia" w:ascii="微软雅黑" w:hAnsi="微软雅黑" w:eastAsia="微软雅黑" w:cs="微软雅黑"/>
          <w:b/>
          <w:bCs/>
          <w:color w:val="auto"/>
          <w:lang w:val="en-US" w:eastAsia="zh-CN"/>
        </w:rPr>
        <w:t>资格要求</w:t>
      </w:r>
      <w:r>
        <w:rPr>
          <w:rFonts w:hint="eastAsia" w:ascii="微软雅黑" w:hAnsi="微软雅黑" w:eastAsia="微软雅黑" w:cs="微软雅黑"/>
          <w:b/>
          <w:bCs/>
          <w:color w:val="auto"/>
        </w:rPr>
        <w:t>复印件加盖投标人鲜章，附在每份响应文件中。不符合招标文件投标要求的，其响应文件被视为无效标书，取消投标资格。</w:t>
      </w:r>
      <w:r>
        <w:rPr>
          <w:rFonts w:hint="eastAsia" w:ascii="宋体" w:hAnsi="宋体" w:cs="宋体"/>
          <w:b/>
          <w:bCs/>
          <w:color w:val="auto"/>
          <w:sz w:val="36"/>
          <w:szCs w:val="36"/>
          <w:highlight w:val="none"/>
          <w:lang w:val="en-US" w:eastAsia="zh-CN"/>
        </w:rPr>
        <w:t>）</w:t>
      </w:r>
    </w:p>
    <w:p>
      <w:pPr>
        <w:jc w:val="center"/>
        <w:rPr>
          <w:rFonts w:hint="eastAsia" w:ascii="宋体" w:hAnsi="宋体" w:cs="宋体"/>
          <w:b/>
          <w:bCs/>
          <w:color w:val="auto"/>
          <w:sz w:val="44"/>
          <w:szCs w:val="44"/>
          <w:highlight w:val="none"/>
          <w:lang w:val="en-US" w:eastAsia="zh-CN"/>
        </w:rPr>
      </w:pPr>
    </w:p>
    <w:p>
      <w:pPr>
        <w:jc w:val="center"/>
        <w:rPr>
          <w:rFonts w:hint="eastAsia" w:ascii="宋体" w:hAnsi="宋体" w:cs="宋体"/>
          <w:b/>
          <w:bCs/>
          <w:color w:val="auto"/>
          <w:sz w:val="44"/>
          <w:szCs w:val="44"/>
          <w:highlight w:val="none"/>
          <w:lang w:val="en-US" w:eastAsia="zh-CN"/>
        </w:rPr>
      </w:pPr>
    </w:p>
    <w:p>
      <w:pPr>
        <w:jc w:val="cente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ascii="宋体" w:hAnsi="宋体" w:cs="宋体"/>
          <w:b/>
          <w:bCs/>
          <w:color w:val="auto"/>
          <w:sz w:val="44"/>
          <w:szCs w:val="44"/>
          <w:highlight w:val="none"/>
          <w:lang w:val="en-US" w:eastAsia="zh-CN"/>
        </w:rPr>
      </w:pPr>
    </w:p>
    <w:p>
      <w:pPr>
        <w:rPr>
          <w:rFonts w:hint="eastAsia" w:ascii="宋体" w:hAnsi="宋体" w:cs="宋体"/>
          <w:b/>
          <w:bCs/>
          <w:color w:val="auto"/>
          <w:sz w:val="44"/>
          <w:szCs w:val="44"/>
          <w:highlight w:val="none"/>
          <w:lang w:val="en-US" w:eastAsia="zh-CN"/>
        </w:rPr>
      </w:pPr>
    </w:p>
    <w:p>
      <w:pPr>
        <w:pStyle w:val="9"/>
        <w:rPr>
          <w:rFonts w:hint="eastAsia"/>
          <w:lang w:val="en-US" w:eastAsia="zh-CN"/>
        </w:rPr>
      </w:pPr>
    </w:p>
    <w:p>
      <w:pPr>
        <w:jc w:val="center"/>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val="en-US" w:eastAsia="zh-CN"/>
        </w:rPr>
        <w:t>六</w:t>
      </w:r>
      <w:r>
        <w:rPr>
          <w:rFonts w:hint="eastAsia" w:ascii="宋体" w:hAnsi="宋体" w:eastAsia="宋体" w:cs="宋体"/>
          <w:b/>
          <w:bCs/>
          <w:color w:val="auto"/>
          <w:sz w:val="44"/>
          <w:szCs w:val="44"/>
          <w:highlight w:val="none"/>
        </w:rPr>
        <w:t>、已标价工程量清单</w:t>
      </w:r>
    </w:p>
    <w:p>
      <w:pPr>
        <w:jc w:val="center"/>
        <w:rPr>
          <w:rFonts w:hint="eastAsia" w:ascii="宋体" w:hAnsi="宋体" w:eastAsia="宋体" w:cs="宋体"/>
          <w:b/>
          <w:bCs/>
          <w:color w:val="auto"/>
          <w:sz w:val="30"/>
          <w:szCs w:val="30"/>
          <w:highlight w:val="none"/>
        </w:rPr>
      </w:pPr>
    </w:p>
    <w:p>
      <w:pPr>
        <w:jc w:val="center"/>
        <w:rPr>
          <w:rFonts w:hint="eastAsia" w:ascii="宋体" w:hAnsi="宋体" w:eastAsia="宋体" w:cs="宋体"/>
          <w:b/>
          <w:bCs/>
          <w:color w:val="auto"/>
          <w:sz w:val="30"/>
          <w:szCs w:val="30"/>
          <w:highlight w:val="none"/>
        </w:rPr>
      </w:pPr>
    </w:p>
    <w:p>
      <w:pPr>
        <w:spacing w:line="500" w:lineRule="exact"/>
        <w:jc w:val="center"/>
        <w:rPr>
          <w:rFonts w:hint="eastAsia" w:ascii="宋体" w:hAnsi="宋体" w:eastAsia="宋体" w:cs="宋体"/>
          <w:b/>
          <w:color w:val="auto"/>
          <w:spacing w:val="-20"/>
          <w:sz w:val="32"/>
          <w:szCs w:val="32"/>
          <w:highlight w:val="none"/>
        </w:rPr>
      </w:pPr>
      <w:r>
        <w:rPr>
          <w:rFonts w:hint="eastAsia" w:ascii="宋体" w:hAnsi="宋体" w:eastAsia="宋体" w:cs="宋体"/>
          <w:b/>
          <w:color w:val="auto"/>
          <w:spacing w:val="-20"/>
          <w:sz w:val="32"/>
          <w:szCs w:val="32"/>
          <w:highlight w:val="none"/>
          <w:u w:val="single"/>
        </w:rPr>
        <w:t xml:space="preserve">   </w:t>
      </w:r>
      <w:r>
        <w:rPr>
          <w:rFonts w:hint="eastAsia" w:ascii="宋体" w:hAnsi="宋体" w:eastAsia="宋体" w:cs="宋体"/>
          <w:b/>
          <w:color w:val="auto"/>
          <w:spacing w:val="-20"/>
          <w:sz w:val="32"/>
          <w:szCs w:val="32"/>
          <w:highlight w:val="none"/>
          <w:u w:val="single"/>
          <w:lang w:eastAsia="zh-CN"/>
        </w:rPr>
        <w:t>（项目名称）</w:t>
      </w:r>
      <w:r>
        <w:rPr>
          <w:rFonts w:hint="eastAsia" w:ascii="宋体" w:hAnsi="宋体" w:eastAsia="宋体" w:cs="宋体"/>
          <w:b/>
          <w:color w:val="auto"/>
          <w:spacing w:val="-20"/>
          <w:sz w:val="32"/>
          <w:szCs w:val="32"/>
          <w:highlight w:val="none"/>
          <w:u w:val="single"/>
        </w:rPr>
        <w:t xml:space="preserve"> </w:t>
      </w:r>
      <w:r>
        <w:rPr>
          <w:rFonts w:hint="eastAsia" w:ascii="宋体" w:hAnsi="宋体" w:eastAsia="宋体" w:cs="宋体"/>
          <w:b/>
          <w:color w:val="auto"/>
          <w:spacing w:val="-20"/>
          <w:sz w:val="32"/>
          <w:szCs w:val="32"/>
          <w:highlight w:val="none"/>
          <w:u w:val="single"/>
          <w:lang w:val="en-US" w:eastAsia="zh-CN"/>
        </w:rPr>
        <w:t xml:space="preserve"> </w:t>
      </w:r>
      <w:r>
        <w:rPr>
          <w:rFonts w:hint="eastAsia" w:ascii="宋体" w:hAnsi="宋体" w:eastAsia="宋体" w:cs="宋体"/>
          <w:b/>
          <w:color w:val="auto"/>
          <w:spacing w:val="-20"/>
          <w:sz w:val="32"/>
          <w:szCs w:val="32"/>
          <w:highlight w:val="none"/>
          <w:u w:val="single"/>
        </w:rPr>
        <w:t xml:space="preserve">     </w:t>
      </w:r>
      <w:r>
        <w:rPr>
          <w:rFonts w:hint="eastAsia" w:ascii="宋体" w:hAnsi="宋体" w:eastAsia="宋体" w:cs="宋体"/>
          <w:color w:val="auto"/>
          <w:spacing w:val="-20"/>
          <w:sz w:val="32"/>
          <w:szCs w:val="32"/>
          <w:highlight w:val="none"/>
        </w:rPr>
        <w:t>施工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outlineLvl w:val="1"/>
        <w:rPr>
          <w:rFonts w:hint="eastAsia" w:ascii="宋体" w:hAnsi="宋体" w:eastAsia="宋体" w:cs="宋体"/>
          <w:color w:val="auto"/>
          <w:spacing w:val="120"/>
          <w:sz w:val="52"/>
          <w:szCs w:val="52"/>
          <w:highlight w:val="none"/>
        </w:rPr>
      </w:pPr>
      <w:bookmarkStart w:id="5" w:name="_Toc21597"/>
      <w:bookmarkStart w:id="6" w:name="_Toc16512"/>
      <w:bookmarkStart w:id="7" w:name="_Toc8567"/>
      <w:bookmarkStart w:id="8" w:name="_Toc21236"/>
      <w:bookmarkStart w:id="9" w:name="_Toc11633"/>
      <w:r>
        <w:rPr>
          <w:rFonts w:hint="eastAsia" w:ascii="宋体" w:hAnsi="宋体" w:eastAsia="宋体" w:cs="宋体"/>
          <w:color w:val="auto"/>
          <w:spacing w:val="120"/>
          <w:sz w:val="52"/>
          <w:szCs w:val="52"/>
          <w:highlight w:val="none"/>
        </w:rPr>
        <w:t>工程量清单计价表</w:t>
      </w:r>
      <w:bookmarkEnd w:id="5"/>
      <w:bookmarkEnd w:id="6"/>
      <w:bookmarkEnd w:id="7"/>
      <w:bookmarkEnd w:id="8"/>
      <w:bookmarkEnd w:id="9"/>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编 制  单 位：</w:t>
      </w:r>
      <w:r>
        <w:rPr>
          <w:rFonts w:hint="eastAsia" w:ascii="宋体" w:hAnsi="宋体" w:eastAsia="宋体" w:cs="宋体"/>
          <w:color w:val="auto"/>
          <w:sz w:val="24"/>
          <w:highlight w:val="none"/>
          <w:u w:val="thick"/>
        </w:rPr>
        <w:t xml:space="preserve">                 </w:t>
      </w:r>
      <w:r>
        <w:rPr>
          <w:rFonts w:hint="eastAsia" w:ascii="宋体" w:hAnsi="宋体" w:eastAsia="宋体" w:cs="宋体"/>
          <w:color w:val="auto"/>
          <w:sz w:val="24"/>
          <w:highlight w:val="none"/>
        </w:rPr>
        <w:t>（盖   章）</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thick"/>
        </w:rPr>
        <w:t xml:space="preserve">               </w:t>
      </w:r>
      <w:r>
        <w:rPr>
          <w:rFonts w:hint="eastAsia" w:ascii="宋体" w:hAnsi="宋体" w:eastAsia="宋体" w:cs="宋体"/>
          <w:color w:val="auto"/>
          <w:sz w:val="24"/>
          <w:highlight w:val="none"/>
        </w:rPr>
        <w:t>（签字或盖章）</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pacing w:val="-10"/>
          <w:sz w:val="24"/>
          <w:highlight w:val="none"/>
        </w:rPr>
        <w:t>造价师（员)及注册号</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thick"/>
        </w:rPr>
        <w:t xml:space="preserve">             </w:t>
      </w:r>
      <w:r>
        <w:rPr>
          <w:rFonts w:hint="eastAsia" w:ascii="宋体" w:hAnsi="宋体" w:eastAsia="宋体" w:cs="宋体"/>
          <w:color w:val="auto"/>
          <w:sz w:val="24"/>
          <w:highlight w:val="none"/>
        </w:rPr>
        <w:t>（签字盖执业印章）</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编 制  时 间：</w:t>
      </w:r>
      <w:r>
        <w:rPr>
          <w:rFonts w:hint="eastAsia" w:ascii="宋体" w:hAnsi="宋体" w:eastAsia="宋体" w:cs="宋体"/>
          <w:color w:val="auto"/>
          <w:sz w:val="24"/>
          <w:highlight w:val="none"/>
          <w:u w:val="single"/>
        </w:rPr>
        <w:t xml:space="preserve">                  </w:t>
      </w:r>
    </w:p>
    <w:p>
      <w:pPr>
        <w:rPr>
          <w:rFonts w:hint="eastAsia" w:ascii="宋体" w:hAnsi="宋体" w:eastAsia="宋体" w:cs="宋体"/>
          <w:color w:val="auto"/>
          <w:sz w:val="24"/>
          <w:highlight w:val="none"/>
        </w:rPr>
      </w:pPr>
    </w:p>
    <w:p>
      <w:pPr>
        <w:spacing w:line="560" w:lineRule="exact"/>
        <w:jc w:val="center"/>
        <w:outlineLvl w:val="1"/>
        <w:rPr>
          <w:rFonts w:hint="eastAsia" w:ascii="宋体" w:hAnsi="宋体" w:eastAsia="宋体" w:cs="宋体"/>
          <w:b/>
          <w:color w:val="auto"/>
          <w:kern w:val="0"/>
          <w:sz w:val="30"/>
          <w:szCs w:val="30"/>
          <w:highlight w:val="none"/>
        </w:rPr>
      </w:pPr>
      <w:r>
        <w:rPr>
          <w:rFonts w:hint="eastAsia" w:ascii="宋体" w:hAnsi="宋体" w:eastAsia="宋体" w:cs="宋体"/>
          <w:b/>
          <w:color w:val="auto"/>
          <w:kern w:val="0"/>
          <w:sz w:val="30"/>
          <w:szCs w:val="30"/>
          <w:highlight w:val="none"/>
        </w:rPr>
        <w:br w:type="page"/>
      </w:r>
      <w:bookmarkStart w:id="10" w:name="_Toc11658"/>
      <w:bookmarkStart w:id="11" w:name="_Toc5170"/>
      <w:bookmarkStart w:id="12" w:name="_Toc6738"/>
      <w:bookmarkStart w:id="13" w:name="_Toc32353"/>
      <w:bookmarkStart w:id="14" w:name="_Toc32569"/>
      <w:r>
        <w:rPr>
          <w:rFonts w:hint="eastAsia" w:ascii="宋体" w:hAnsi="宋体" w:eastAsia="宋体" w:cs="宋体"/>
          <w:b/>
          <w:color w:val="auto"/>
          <w:kern w:val="0"/>
          <w:sz w:val="30"/>
          <w:szCs w:val="30"/>
          <w:highlight w:val="none"/>
        </w:rPr>
        <w:t>已标价工程量清单</w:t>
      </w:r>
      <w:bookmarkEnd w:id="10"/>
      <w:bookmarkEnd w:id="11"/>
      <w:bookmarkEnd w:id="12"/>
      <w:bookmarkEnd w:id="13"/>
      <w:bookmarkEnd w:id="14"/>
    </w:p>
    <w:p>
      <w:pPr>
        <w:tabs>
          <w:tab w:val="left" w:pos="540"/>
          <w:tab w:val="left" w:pos="780"/>
        </w:tabs>
        <w:spacing w:line="480" w:lineRule="auto"/>
        <w:ind w:left="420"/>
        <w:rPr>
          <w:rFonts w:hint="eastAsia" w:ascii="宋体" w:hAnsi="宋体" w:eastAsia="宋体" w:cs="宋体"/>
          <w:color w:val="auto"/>
          <w:spacing w:val="1"/>
          <w:sz w:val="24"/>
          <w:highlight w:val="none"/>
        </w:rPr>
      </w:pPr>
    </w:p>
    <w:p>
      <w:pPr>
        <w:jc w:val="center"/>
        <w:outlineLvl w:val="1"/>
        <w:rPr>
          <w:rFonts w:hint="eastAsia" w:ascii="宋体" w:hAnsi="宋体" w:eastAsia="宋体" w:cs="宋体"/>
          <w:color w:val="auto"/>
          <w:kern w:val="0"/>
          <w:sz w:val="30"/>
          <w:szCs w:val="30"/>
          <w:highlight w:val="none"/>
        </w:rPr>
      </w:pPr>
      <w:bookmarkStart w:id="15" w:name="_Toc23233"/>
      <w:bookmarkStart w:id="16" w:name="_Toc10243"/>
      <w:bookmarkStart w:id="17" w:name="_Toc9316"/>
      <w:bookmarkStart w:id="18" w:name="_Toc6816"/>
      <w:bookmarkStart w:id="19" w:name="_Toc1031"/>
      <w:r>
        <w:rPr>
          <w:rFonts w:hint="eastAsia" w:ascii="宋体" w:hAnsi="宋体" w:eastAsia="宋体" w:cs="宋体"/>
          <w:color w:val="auto"/>
          <w:kern w:val="0"/>
          <w:sz w:val="30"/>
          <w:szCs w:val="30"/>
          <w:highlight w:val="none"/>
        </w:rPr>
        <w:t>（</w:t>
      </w:r>
      <w:r>
        <w:rPr>
          <w:rFonts w:hint="eastAsia" w:ascii="宋体" w:hAnsi="宋体" w:eastAsia="宋体" w:cs="宋体"/>
          <w:b/>
          <w:color w:val="auto"/>
          <w:kern w:val="0"/>
          <w:sz w:val="30"/>
          <w:szCs w:val="30"/>
          <w:highlight w:val="none"/>
        </w:rPr>
        <w:t>表格格式以软件生成为准）</w:t>
      </w:r>
      <w:bookmarkEnd w:id="15"/>
      <w:bookmarkEnd w:id="16"/>
      <w:bookmarkEnd w:id="17"/>
      <w:bookmarkEnd w:id="18"/>
      <w:bookmarkEnd w:id="19"/>
    </w:p>
    <w:p>
      <w:pPr>
        <w:tabs>
          <w:tab w:val="left" w:pos="540"/>
        </w:tabs>
        <w:spacing w:line="480" w:lineRule="auto"/>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要求必须具有如下内容：</w:t>
      </w:r>
    </w:p>
    <w:p>
      <w:pPr>
        <w:spacing w:line="360" w:lineRule="auto"/>
        <w:ind w:firstLine="480" w:firstLineChars="200"/>
        <w:outlineLvl w:val="1"/>
        <w:rPr>
          <w:rFonts w:hint="eastAsia" w:ascii="宋体" w:hAnsi="宋体" w:eastAsia="宋体" w:cs="宋体"/>
          <w:color w:val="auto"/>
          <w:sz w:val="24"/>
          <w:highlight w:val="none"/>
        </w:rPr>
      </w:pPr>
      <w:bookmarkStart w:id="20" w:name="_Toc19652"/>
      <w:bookmarkStart w:id="21" w:name="_Toc6232"/>
      <w:bookmarkStart w:id="22" w:name="_Toc28025"/>
      <w:bookmarkStart w:id="23" w:name="_Toc7088"/>
      <w:bookmarkStart w:id="24" w:name="_Toc8936"/>
      <w:r>
        <w:rPr>
          <w:rFonts w:hint="eastAsia" w:ascii="宋体" w:hAnsi="宋体" w:eastAsia="宋体" w:cs="宋体"/>
          <w:color w:val="auto"/>
          <w:sz w:val="24"/>
          <w:highlight w:val="none"/>
        </w:rPr>
        <w:t>（1) 投标报价说明；</w:t>
      </w:r>
      <w:bookmarkEnd w:id="20"/>
      <w:bookmarkEnd w:id="21"/>
      <w:bookmarkEnd w:id="22"/>
      <w:bookmarkEnd w:id="23"/>
      <w:bookmarkEnd w:id="24"/>
    </w:p>
    <w:p>
      <w:pPr>
        <w:spacing w:line="360" w:lineRule="auto"/>
        <w:ind w:firstLine="480" w:firstLineChars="200"/>
        <w:outlineLvl w:val="1"/>
        <w:rPr>
          <w:rFonts w:hint="eastAsia" w:ascii="宋体" w:hAnsi="宋体" w:eastAsia="宋体" w:cs="宋体"/>
          <w:color w:val="auto"/>
          <w:sz w:val="24"/>
          <w:highlight w:val="none"/>
        </w:rPr>
      </w:pPr>
      <w:bookmarkStart w:id="25" w:name="_Toc27079"/>
      <w:bookmarkStart w:id="26" w:name="_Toc11760"/>
      <w:bookmarkStart w:id="27" w:name="_Toc20663"/>
      <w:bookmarkStart w:id="28" w:name="_Toc11069"/>
      <w:bookmarkStart w:id="29" w:name="_Toc32728"/>
      <w:r>
        <w:rPr>
          <w:rFonts w:hint="eastAsia" w:ascii="宋体" w:hAnsi="宋体" w:eastAsia="宋体" w:cs="宋体"/>
          <w:color w:val="auto"/>
          <w:sz w:val="24"/>
          <w:highlight w:val="none"/>
        </w:rPr>
        <w:t>（2) 投标主要指标汇总表；</w:t>
      </w:r>
      <w:bookmarkEnd w:id="25"/>
      <w:bookmarkEnd w:id="26"/>
      <w:bookmarkEnd w:id="27"/>
      <w:bookmarkEnd w:id="28"/>
      <w:bookmarkEnd w:id="29"/>
    </w:p>
    <w:p>
      <w:pPr>
        <w:spacing w:line="360" w:lineRule="auto"/>
        <w:ind w:firstLine="480" w:firstLineChars="200"/>
        <w:outlineLvl w:val="1"/>
        <w:rPr>
          <w:rFonts w:hint="eastAsia" w:ascii="宋体" w:hAnsi="宋体" w:eastAsia="宋体" w:cs="宋体"/>
          <w:color w:val="auto"/>
          <w:sz w:val="24"/>
          <w:highlight w:val="none"/>
        </w:rPr>
      </w:pPr>
      <w:bookmarkStart w:id="30" w:name="_Toc17922"/>
      <w:bookmarkStart w:id="31" w:name="_Toc24829"/>
      <w:bookmarkStart w:id="32" w:name="_Toc5482"/>
      <w:bookmarkStart w:id="33" w:name="_Toc10811"/>
      <w:bookmarkStart w:id="34" w:name="_Toc31922"/>
      <w:r>
        <w:rPr>
          <w:rFonts w:hint="eastAsia" w:ascii="宋体" w:hAnsi="宋体" w:eastAsia="宋体" w:cs="宋体"/>
          <w:color w:val="auto"/>
          <w:sz w:val="24"/>
          <w:highlight w:val="none"/>
        </w:rPr>
        <w:t>（3) 工程项目总造价表；</w:t>
      </w:r>
      <w:bookmarkEnd w:id="30"/>
      <w:bookmarkEnd w:id="31"/>
      <w:bookmarkEnd w:id="32"/>
      <w:bookmarkEnd w:id="33"/>
      <w:bookmarkEnd w:id="34"/>
    </w:p>
    <w:p>
      <w:pPr>
        <w:spacing w:line="360" w:lineRule="auto"/>
        <w:ind w:firstLine="480" w:firstLineChars="200"/>
        <w:outlineLvl w:val="1"/>
        <w:rPr>
          <w:rFonts w:hint="eastAsia" w:ascii="宋体" w:hAnsi="宋体" w:eastAsia="宋体" w:cs="宋体"/>
          <w:color w:val="auto"/>
          <w:sz w:val="24"/>
          <w:highlight w:val="none"/>
        </w:rPr>
      </w:pPr>
      <w:bookmarkStart w:id="35" w:name="_Toc24876"/>
      <w:bookmarkStart w:id="36" w:name="_Toc29267"/>
      <w:bookmarkStart w:id="37" w:name="_Toc13996"/>
      <w:bookmarkStart w:id="38" w:name="_Toc13937"/>
      <w:bookmarkStart w:id="39" w:name="_Toc28559"/>
      <w:r>
        <w:rPr>
          <w:rFonts w:hint="eastAsia" w:ascii="宋体" w:hAnsi="宋体" w:eastAsia="宋体" w:cs="宋体"/>
          <w:color w:val="auto"/>
          <w:sz w:val="24"/>
          <w:highlight w:val="none"/>
        </w:rPr>
        <w:t>（4) 单项工程造价汇总表；</w:t>
      </w:r>
      <w:bookmarkEnd w:id="35"/>
      <w:bookmarkEnd w:id="36"/>
      <w:bookmarkEnd w:id="37"/>
      <w:bookmarkEnd w:id="38"/>
      <w:bookmarkEnd w:id="39"/>
    </w:p>
    <w:p>
      <w:pPr>
        <w:spacing w:line="360" w:lineRule="auto"/>
        <w:ind w:firstLine="480" w:firstLineChars="200"/>
        <w:outlineLvl w:val="1"/>
        <w:rPr>
          <w:rFonts w:hint="eastAsia" w:ascii="宋体" w:hAnsi="宋体" w:eastAsia="宋体" w:cs="宋体"/>
          <w:color w:val="auto"/>
          <w:sz w:val="24"/>
          <w:highlight w:val="none"/>
        </w:rPr>
      </w:pPr>
      <w:bookmarkStart w:id="40" w:name="_Toc29894"/>
      <w:bookmarkStart w:id="41" w:name="_Toc10904"/>
      <w:bookmarkStart w:id="42" w:name="_Toc6058"/>
      <w:bookmarkStart w:id="43" w:name="_Toc8205"/>
      <w:bookmarkStart w:id="44" w:name="_Toc28592"/>
      <w:r>
        <w:rPr>
          <w:rFonts w:hint="eastAsia" w:ascii="宋体" w:hAnsi="宋体" w:eastAsia="宋体" w:cs="宋体"/>
          <w:color w:val="auto"/>
          <w:sz w:val="24"/>
          <w:highlight w:val="none"/>
        </w:rPr>
        <w:t>（5) 单位工程造价汇总表；</w:t>
      </w:r>
      <w:bookmarkEnd w:id="40"/>
      <w:bookmarkEnd w:id="41"/>
      <w:bookmarkEnd w:id="42"/>
      <w:bookmarkEnd w:id="43"/>
      <w:bookmarkEnd w:id="44"/>
    </w:p>
    <w:p>
      <w:pPr>
        <w:spacing w:line="360" w:lineRule="auto"/>
        <w:ind w:firstLine="480" w:firstLineChars="200"/>
        <w:outlineLvl w:val="1"/>
        <w:rPr>
          <w:rFonts w:hint="eastAsia" w:ascii="宋体" w:hAnsi="宋体" w:eastAsia="宋体" w:cs="宋体"/>
          <w:color w:val="auto"/>
          <w:sz w:val="24"/>
          <w:highlight w:val="none"/>
        </w:rPr>
      </w:pPr>
      <w:bookmarkStart w:id="45" w:name="_Toc17677"/>
      <w:bookmarkStart w:id="46" w:name="_Toc20703"/>
      <w:bookmarkStart w:id="47" w:name="_Toc9847"/>
      <w:bookmarkStart w:id="48" w:name="_Toc5040"/>
      <w:bookmarkStart w:id="49" w:name="_Toc18460"/>
      <w:r>
        <w:rPr>
          <w:rFonts w:hint="eastAsia" w:ascii="宋体" w:hAnsi="宋体" w:eastAsia="宋体" w:cs="宋体"/>
          <w:color w:val="auto"/>
          <w:sz w:val="24"/>
          <w:highlight w:val="none"/>
        </w:rPr>
        <w:t>（6) 分部分项工程量清单计价表；</w:t>
      </w:r>
      <w:bookmarkEnd w:id="45"/>
      <w:bookmarkEnd w:id="46"/>
      <w:bookmarkEnd w:id="47"/>
      <w:bookmarkEnd w:id="48"/>
      <w:bookmarkEnd w:id="49"/>
    </w:p>
    <w:p>
      <w:pPr>
        <w:spacing w:line="360" w:lineRule="auto"/>
        <w:ind w:firstLine="480" w:firstLineChars="200"/>
        <w:outlineLvl w:val="1"/>
        <w:rPr>
          <w:rFonts w:hint="eastAsia" w:ascii="宋体" w:hAnsi="宋体" w:eastAsia="宋体" w:cs="宋体"/>
          <w:color w:val="auto"/>
          <w:sz w:val="24"/>
          <w:highlight w:val="none"/>
        </w:rPr>
      </w:pPr>
      <w:bookmarkStart w:id="50" w:name="_Toc21965"/>
      <w:bookmarkStart w:id="51" w:name="_Toc4309"/>
      <w:bookmarkStart w:id="52" w:name="_Toc2341"/>
      <w:bookmarkStart w:id="53" w:name="_Toc1793"/>
      <w:bookmarkStart w:id="54" w:name="_Toc9192"/>
      <w:r>
        <w:rPr>
          <w:rFonts w:hint="eastAsia" w:ascii="宋体" w:hAnsi="宋体" w:eastAsia="宋体" w:cs="宋体"/>
          <w:color w:val="auto"/>
          <w:sz w:val="24"/>
          <w:highlight w:val="none"/>
        </w:rPr>
        <w:t>（7) 措施项目清单计价表；</w:t>
      </w:r>
      <w:bookmarkEnd w:id="50"/>
      <w:bookmarkEnd w:id="51"/>
      <w:bookmarkEnd w:id="52"/>
      <w:bookmarkEnd w:id="53"/>
      <w:bookmarkEnd w:id="54"/>
    </w:p>
    <w:p>
      <w:pPr>
        <w:spacing w:line="360" w:lineRule="auto"/>
        <w:ind w:firstLine="480" w:firstLineChars="200"/>
        <w:outlineLvl w:val="1"/>
        <w:rPr>
          <w:rFonts w:hint="eastAsia" w:ascii="宋体" w:hAnsi="宋体" w:eastAsia="宋体" w:cs="宋体"/>
          <w:color w:val="auto"/>
          <w:sz w:val="24"/>
          <w:highlight w:val="none"/>
        </w:rPr>
      </w:pPr>
      <w:bookmarkStart w:id="55" w:name="_Toc1225"/>
      <w:bookmarkStart w:id="56" w:name="_Toc18751"/>
      <w:bookmarkStart w:id="57" w:name="_Toc2547"/>
      <w:bookmarkStart w:id="58" w:name="_Toc27926"/>
      <w:bookmarkStart w:id="59" w:name="_Toc1677"/>
      <w:r>
        <w:rPr>
          <w:rFonts w:hint="eastAsia" w:ascii="宋体" w:hAnsi="宋体" w:eastAsia="宋体" w:cs="宋体"/>
          <w:color w:val="auto"/>
          <w:sz w:val="24"/>
          <w:highlight w:val="none"/>
        </w:rPr>
        <w:t>（8) 其他项目清单计价表；</w:t>
      </w:r>
      <w:bookmarkEnd w:id="55"/>
      <w:bookmarkEnd w:id="56"/>
      <w:bookmarkEnd w:id="57"/>
      <w:bookmarkEnd w:id="58"/>
      <w:bookmarkEnd w:id="59"/>
    </w:p>
    <w:p>
      <w:pPr>
        <w:spacing w:line="360" w:lineRule="auto"/>
        <w:ind w:firstLine="480" w:firstLineChars="200"/>
        <w:outlineLvl w:val="1"/>
        <w:rPr>
          <w:rFonts w:hint="eastAsia" w:ascii="宋体" w:hAnsi="宋体" w:eastAsia="宋体" w:cs="宋体"/>
          <w:color w:val="auto"/>
          <w:sz w:val="24"/>
          <w:highlight w:val="none"/>
        </w:rPr>
      </w:pPr>
      <w:bookmarkStart w:id="60" w:name="_Toc26098"/>
      <w:bookmarkStart w:id="61" w:name="_Toc17682"/>
      <w:bookmarkStart w:id="62" w:name="_Toc25400"/>
      <w:bookmarkStart w:id="63" w:name="_Toc12365"/>
      <w:bookmarkStart w:id="64" w:name="_Toc15081"/>
      <w:r>
        <w:rPr>
          <w:rFonts w:hint="eastAsia" w:ascii="宋体" w:hAnsi="宋体" w:eastAsia="宋体" w:cs="宋体"/>
          <w:color w:val="auto"/>
          <w:sz w:val="24"/>
          <w:highlight w:val="none"/>
        </w:rPr>
        <w:t>（9) 规费、税金项目清单计价表；</w:t>
      </w:r>
      <w:bookmarkEnd w:id="60"/>
      <w:bookmarkEnd w:id="61"/>
      <w:bookmarkEnd w:id="62"/>
      <w:bookmarkEnd w:id="63"/>
      <w:bookmarkEnd w:id="64"/>
    </w:p>
    <w:p>
      <w:pPr>
        <w:spacing w:line="360" w:lineRule="auto"/>
        <w:ind w:firstLine="480" w:firstLineChars="200"/>
        <w:outlineLvl w:val="1"/>
        <w:rPr>
          <w:rFonts w:hint="eastAsia" w:ascii="宋体" w:hAnsi="宋体" w:eastAsia="宋体" w:cs="宋体"/>
          <w:color w:val="auto"/>
          <w:sz w:val="24"/>
          <w:highlight w:val="none"/>
        </w:rPr>
      </w:pPr>
      <w:bookmarkStart w:id="65" w:name="_Toc27395"/>
      <w:bookmarkStart w:id="66" w:name="_Toc9637"/>
      <w:bookmarkStart w:id="67" w:name="_Toc32246"/>
      <w:bookmarkStart w:id="68" w:name="_Toc30873"/>
      <w:bookmarkStart w:id="69" w:name="_Toc10526"/>
      <w:r>
        <w:rPr>
          <w:rFonts w:hint="eastAsia" w:ascii="宋体" w:hAnsi="宋体" w:eastAsia="宋体" w:cs="宋体"/>
          <w:color w:val="auto"/>
          <w:sz w:val="24"/>
          <w:highlight w:val="none"/>
        </w:rPr>
        <w:t>（10) 计日工计价表；</w:t>
      </w:r>
      <w:bookmarkEnd w:id="65"/>
      <w:bookmarkEnd w:id="66"/>
      <w:bookmarkEnd w:id="67"/>
      <w:bookmarkEnd w:id="68"/>
      <w:bookmarkEnd w:id="69"/>
    </w:p>
    <w:p>
      <w:pPr>
        <w:spacing w:line="360" w:lineRule="auto"/>
        <w:ind w:firstLine="480" w:firstLineChars="200"/>
        <w:outlineLvl w:val="1"/>
        <w:rPr>
          <w:rFonts w:hint="eastAsia" w:ascii="宋体" w:hAnsi="宋体" w:eastAsia="宋体" w:cs="宋体"/>
          <w:color w:val="auto"/>
          <w:sz w:val="24"/>
          <w:highlight w:val="none"/>
        </w:rPr>
      </w:pPr>
      <w:bookmarkStart w:id="70" w:name="_Toc26226"/>
      <w:bookmarkStart w:id="71" w:name="_Toc11017"/>
      <w:bookmarkStart w:id="72" w:name="_Toc17144"/>
      <w:bookmarkStart w:id="73" w:name="_Toc14867"/>
      <w:bookmarkStart w:id="74" w:name="_Toc30069"/>
      <w:r>
        <w:rPr>
          <w:rFonts w:hint="eastAsia" w:ascii="宋体" w:hAnsi="宋体" w:eastAsia="宋体" w:cs="宋体"/>
          <w:color w:val="auto"/>
          <w:sz w:val="24"/>
          <w:highlight w:val="none"/>
        </w:rPr>
        <w:t>（11) 总承包服务费计价表；</w:t>
      </w:r>
      <w:bookmarkEnd w:id="70"/>
      <w:bookmarkEnd w:id="71"/>
      <w:bookmarkEnd w:id="72"/>
      <w:bookmarkEnd w:id="73"/>
      <w:bookmarkEnd w:id="74"/>
    </w:p>
    <w:p>
      <w:pPr>
        <w:spacing w:line="360" w:lineRule="auto"/>
        <w:ind w:firstLine="480" w:firstLineChars="200"/>
        <w:outlineLvl w:val="1"/>
        <w:rPr>
          <w:rFonts w:hint="eastAsia" w:ascii="宋体" w:hAnsi="宋体" w:eastAsia="宋体" w:cs="宋体"/>
          <w:color w:val="auto"/>
          <w:sz w:val="24"/>
          <w:highlight w:val="none"/>
        </w:rPr>
      </w:pPr>
      <w:bookmarkStart w:id="75" w:name="_Toc25266"/>
      <w:bookmarkStart w:id="76" w:name="_Toc19276"/>
      <w:bookmarkStart w:id="77" w:name="_Toc29949"/>
      <w:bookmarkStart w:id="78" w:name="_Toc19220"/>
      <w:bookmarkStart w:id="79" w:name="_Toc17845"/>
      <w:r>
        <w:rPr>
          <w:rFonts w:hint="eastAsia" w:ascii="宋体" w:hAnsi="宋体" w:eastAsia="宋体" w:cs="宋体"/>
          <w:color w:val="auto"/>
          <w:sz w:val="24"/>
          <w:highlight w:val="none"/>
        </w:rPr>
        <w:t>（12) 分部分项工程量清单综合单价分析表（只报电子文件)；</w:t>
      </w:r>
      <w:bookmarkEnd w:id="75"/>
      <w:bookmarkEnd w:id="76"/>
      <w:bookmarkEnd w:id="77"/>
      <w:bookmarkEnd w:id="78"/>
      <w:bookmarkEnd w:id="79"/>
    </w:p>
    <w:p>
      <w:pPr>
        <w:spacing w:line="360" w:lineRule="auto"/>
        <w:ind w:firstLine="480" w:firstLineChars="200"/>
        <w:outlineLvl w:val="1"/>
        <w:rPr>
          <w:rFonts w:hint="eastAsia" w:ascii="宋体" w:hAnsi="宋体" w:eastAsia="宋体" w:cs="宋体"/>
          <w:color w:val="auto"/>
          <w:sz w:val="24"/>
          <w:highlight w:val="none"/>
        </w:rPr>
      </w:pPr>
      <w:bookmarkStart w:id="80" w:name="_Toc6836"/>
      <w:bookmarkStart w:id="81" w:name="_Toc1709"/>
      <w:bookmarkStart w:id="82" w:name="_Toc31357"/>
      <w:bookmarkStart w:id="83" w:name="_Toc27169"/>
      <w:bookmarkStart w:id="84" w:name="_Toc8995"/>
      <w:r>
        <w:rPr>
          <w:rFonts w:hint="eastAsia" w:ascii="宋体" w:hAnsi="宋体" w:eastAsia="宋体" w:cs="宋体"/>
          <w:color w:val="auto"/>
          <w:sz w:val="24"/>
          <w:highlight w:val="none"/>
        </w:rPr>
        <w:t>（13）暂列金额明细表</w:t>
      </w:r>
      <w:bookmarkEnd w:id="80"/>
      <w:bookmarkEnd w:id="81"/>
      <w:bookmarkEnd w:id="82"/>
      <w:bookmarkEnd w:id="83"/>
      <w:bookmarkEnd w:id="84"/>
    </w:p>
    <w:p>
      <w:pPr>
        <w:spacing w:line="360" w:lineRule="auto"/>
        <w:ind w:firstLine="480" w:firstLineChars="200"/>
        <w:outlineLvl w:val="1"/>
        <w:rPr>
          <w:rFonts w:hint="eastAsia" w:ascii="宋体" w:hAnsi="宋体" w:eastAsia="宋体" w:cs="宋体"/>
          <w:color w:val="auto"/>
          <w:sz w:val="24"/>
          <w:highlight w:val="none"/>
        </w:rPr>
      </w:pPr>
      <w:bookmarkStart w:id="85" w:name="_Toc8186"/>
      <w:bookmarkStart w:id="86" w:name="_Toc17219"/>
      <w:bookmarkStart w:id="87" w:name="_Toc22749"/>
      <w:bookmarkStart w:id="88" w:name="_Toc17193"/>
      <w:bookmarkStart w:id="89" w:name="_Toc27848"/>
      <w:r>
        <w:rPr>
          <w:rFonts w:hint="eastAsia" w:ascii="宋体" w:hAnsi="宋体" w:eastAsia="宋体" w:cs="宋体"/>
          <w:color w:val="auto"/>
          <w:sz w:val="24"/>
          <w:highlight w:val="none"/>
        </w:rPr>
        <w:t>（14）专业工程暂估价明细表</w:t>
      </w:r>
      <w:bookmarkEnd w:id="85"/>
      <w:bookmarkEnd w:id="86"/>
      <w:bookmarkEnd w:id="87"/>
      <w:bookmarkEnd w:id="88"/>
      <w:bookmarkEnd w:id="89"/>
    </w:p>
    <w:p>
      <w:pPr>
        <w:spacing w:line="360" w:lineRule="auto"/>
        <w:ind w:firstLine="480" w:firstLineChars="200"/>
        <w:outlineLvl w:val="1"/>
        <w:rPr>
          <w:rFonts w:hint="eastAsia" w:ascii="宋体" w:hAnsi="宋体" w:eastAsia="宋体" w:cs="宋体"/>
          <w:color w:val="auto"/>
          <w:sz w:val="24"/>
          <w:highlight w:val="none"/>
        </w:rPr>
      </w:pPr>
      <w:bookmarkStart w:id="90" w:name="_Toc15767"/>
      <w:bookmarkStart w:id="91" w:name="_Toc20491"/>
      <w:bookmarkStart w:id="92" w:name="_Toc10839"/>
      <w:bookmarkStart w:id="93" w:name="_Toc17631"/>
      <w:bookmarkStart w:id="94" w:name="_Toc27109"/>
      <w:r>
        <w:rPr>
          <w:rFonts w:hint="eastAsia" w:ascii="宋体" w:hAnsi="宋体" w:eastAsia="宋体" w:cs="宋体"/>
          <w:color w:val="auto"/>
          <w:sz w:val="24"/>
          <w:highlight w:val="none"/>
        </w:rPr>
        <w:t>（15）甲供材料、设备数量及单价明细表</w:t>
      </w:r>
      <w:bookmarkEnd w:id="90"/>
      <w:bookmarkEnd w:id="91"/>
      <w:bookmarkEnd w:id="92"/>
      <w:bookmarkEnd w:id="93"/>
      <w:bookmarkEnd w:id="94"/>
    </w:p>
    <w:p>
      <w:pPr>
        <w:spacing w:line="360" w:lineRule="auto"/>
        <w:ind w:firstLine="480" w:firstLineChars="200"/>
        <w:outlineLvl w:val="1"/>
        <w:rPr>
          <w:rFonts w:hint="eastAsia" w:ascii="宋体" w:hAnsi="宋体" w:eastAsia="宋体" w:cs="宋体"/>
          <w:color w:val="auto"/>
          <w:sz w:val="24"/>
          <w:highlight w:val="none"/>
        </w:rPr>
      </w:pPr>
      <w:bookmarkStart w:id="95" w:name="_Toc7878"/>
      <w:bookmarkStart w:id="96" w:name="_Toc28562"/>
      <w:bookmarkStart w:id="97" w:name="_Toc19731"/>
      <w:bookmarkStart w:id="98" w:name="_Toc7285"/>
      <w:bookmarkStart w:id="99" w:name="_Toc28464"/>
      <w:r>
        <w:rPr>
          <w:rFonts w:hint="eastAsia" w:ascii="宋体" w:hAnsi="宋体" w:eastAsia="宋体" w:cs="宋体"/>
          <w:color w:val="auto"/>
          <w:sz w:val="24"/>
          <w:highlight w:val="none"/>
        </w:rPr>
        <w:t>（16）主要材料、设备单价明细表</w:t>
      </w:r>
      <w:bookmarkEnd w:id="95"/>
      <w:bookmarkEnd w:id="96"/>
      <w:bookmarkEnd w:id="97"/>
      <w:bookmarkEnd w:id="98"/>
      <w:bookmarkEnd w:id="99"/>
    </w:p>
    <w:p>
      <w:pPr>
        <w:spacing w:line="360" w:lineRule="auto"/>
        <w:ind w:firstLine="480" w:firstLineChars="200"/>
        <w:outlineLvl w:val="1"/>
        <w:rPr>
          <w:rFonts w:hint="eastAsia" w:ascii="宋体" w:hAnsi="宋体" w:eastAsia="宋体" w:cs="宋体"/>
          <w:color w:val="auto"/>
          <w:sz w:val="24"/>
          <w:highlight w:val="none"/>
        </w:rPr>
      </w:pPr>
      <w:bookmarkStart w:id="100" w:name="_Toc13312"/>
      <w:bookmarkStart w:id="101" w:name="_Toc9884"/>
      <w:bookmarkStart w:id="102" w:name="_Toc7105"/>
      <w:bookmarkStart w:id="103" w:name="_Toc15060"/>
      <w:bookmarkStart w:id="104" w:name="_Toc29611"/>
      <w:r>
        <w:rPr>
          <w:rFonts w:hint="eastAsia" w:ascii="宋体" w:hAnsi="宋体" w:eastAsia="宋体" w:cs="宋体"/>
          <w:color w:val="auto"/>
          <w:sz w:val="24"/>
          <w:highlight w:val="none"/>
        </w:rPr>
        <w:t>（17）其他需要的表格：</w:t>
      </w:r>
      <w:bookmarkEnd w:id="100"/>
      <w:bookmarkEnd w:id="101"/>
      <w:bookmarkEnd w:id="102"/>
      <w:bookmarkEnd w:id="103"/>
      <w:bookmarkEnd w:id="104"/>
    </w:p>
    <w:p>
      <w:pPr>
        <w:spacing w:line="360" w:lineRule="auto"/>
        <w:ind w:firstLine="480" w:firstLineChars="200"/>
        <w:rPr>
          <w:rFonts w:hint="eastAsia" w:ascii="宋体" w:hAnsi="宋体" w:eastAsia="宋体" w:cs="宋体"/>
          <w:b/>
          <w:color w:val="auto"/>
          <w:sz w:val="32"/>
          <w:highlight w:val="none"/>
        </w:rPr>
      </w:pPr>
      <w:r>
        <w:rPr>
          <w:rFonts w:hint="eastAsia" w:ascii="宋体" w:hAnsi="宋体" w:eastAsia="宋体" w:cs="宋体"/>
          <w:color w:val="auto"/>
          <w:sz w:val="24"/>
          <w:highlight w:val="none"/>
        </w:rPr>
        <w:br w:type="page"/>
      </w:r>
    </w:p>
    <w:p>
      <w:pPr>
        <w:jc w:val="center"/>
        <w:outlineLvl w:val="2"/>
        <w:rPr>
          <w:rFonts w:hint="eastAsia" w:ascii="宋体" w:hAnsi="宋体" w:eastAsia="宋体" w:cs="宋体"/>
          <w:b/>
          <w:color w:val="auto"/>
          <w:sz w:val="28"/>
          <w:highlight w:val="none"/>
        </w:rPr>
      </w:pPr>
      <w:bookmarkStart w:id="105" w:name="_Toc20960"/>
      <w:r>
        <w:rPr>
          <w:rFonts w:hint="eastAsia" w:ascii="宋体" w:hAnsi="宋体" w:eastAsia="宋体" w:cs="宋体"/>
          <w:b/>
          <w:color w:val="auto"/>
          <w:sz w:val="32"/>
          <w:highlight w:val="none"/>
        </w:rPr>
        <w:t>投标报价说明</w:t>
      </w:r>
      <w:bookmarkEnd w:id="105"/>
    </w:p>
    <w:p>
      <w:pPr>
        <w:spacing w:line="560" w:lineRule="exact"/>
        <w:rPr>
          <w:rFonts w:hint="eastAsia" w:ascii="宋体" w:hAnsi="宋体" w:eastAsia="宋体" w:cs="宋体"/>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1.本报价依据了本工程投标须知和合同文件的有关条款进行编制。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2.工程量清单报价表中所填入的综合单价和合价均包括人工费、材料费、机械费、管理费、利润以及采用固定价格的工程所测算的风险金等全部费用。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3.措施项目报价表中所填入的措施项目报价，包括为完成本工程项目必须采取的措施所发生的费用。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4.其他项目报价表中所填入的其他项目报价，包括工程量清单报价表和措施项目报价表以外，为完成本工程项目施工可能发生的其他费用。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5.本工程量清单报价表中的每一单项均应填写单价和合价，对没有填写单价和合价的项目费用，视为已包括在工程量清单的其他单价或合价之中。</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6.本报价的币种为</w:t>
      </w:r>
      <w:r>
        <w:rPr>
          <w:rFonts w:hint="eastAsia" w:ascii="宋体" w:hAnsi="宋体" w:eastAsia="宋体" w:cs="宋体"/>
          <w:color w:val="auto"/>
          <w:sz w:val="24"/>
          <w:highlight w:val="none"/>
          <w:u w:val="single"/>
        </w:rPr>
        <w:t xml:space="preserve">  人民币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7.投标人应将投标报价需要说明的事项，用文字书写与投标报价表一并报送。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lang w:val="en-US" w:eastAsia="zh-CN"/>
        </w:rPr>
      </w:pPr>
      <w:r>
        <w:rPr>
          <w:rFonts w:hint="eastAsia" w:ascii="宋体" w:hAnsi="宋体" w:cs="宋体"/>
          <w:color w:val="auto"/>
          <w:sz w:val="24"/>
          <w:highlight w:val="none"/>
          <w:lang w:val="en-US" w:eastAsia="zh-CN"/>
        </w:rPr>
        <w:t>8.开标现场进行最终报价，投标人根据代理机构的通知，及时在陕西省公共资源交易中心开评标系统内进行报价，各投标人的最终报价进行价格评审。</w:t>
      </w:r>
    </w:p>
    <w:p>
      <w:pPr>
        <w:jc w:val="center"/>
        <w:outlineLvl w:val="2"/>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bookmarkStart w:id="106" w:name="_Toc30954"/>
      <w:r>
        <w:rPr>
          <w:rFonts w:hint="eastAsia" w:ascii="宋体" w:hAnsi="宋体" w:eastAsia="宋体" w:cs="宋体"/>
          <w:b/>
          <w:color w:val="auto"/>
          <w:sz w:val="32"/>
          <w:szCs w:val="32"/>
          <w:highlight w:val="none"/>
        </w:rPr>
        <w:t>投标主要指标汇总表</w:t>
      </w:r>
      <w:bookmarkEnd w:id="106"/>
    </w:p>
    <w:p>
      <w:pPr>
        <w:rPr>
          <w:rFonts w:hint="eastAsia" w:ascii="宋体" w:hAnsi="宋体" w:eastAsia="宋体" w:cs="宋体"/>
          <w:color w:val="auto"/>
          <w:sz w:val="24"/>
          <w:highlight w:val="none"/>
        </w:rPr>
      </w:pPr>
      <w:r>
        <w:rPr>
          <w:rFonts w:hint="eastAsia" w:ascii="宋体" w:hAnsi="宋体" w:eastAsia="宋体" w:cs="宋体"/>
          <w:b/>
          <w:color w:val="auto"/>
          <w:sz w:val="24"/>
          <w:highlight w:val="none"/>
        </w:rPr>
        <w:t>工程名称：</w:t>
      </w:r>
      <w:r>
        <w:rPr>
          <w:rFonts w:hint="eastAsia" w:ascii="宋体" w:hAnsi="宋体" w:eastAsia="宋体" w:cs="宋体"/>
          <w:color w:val="auto"/>
          <w:sz w:val="24"/>
          <w:highlight w:val="none"/>
        </w:rPr>
        <w:t xml:space="preserve">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61"/>
        <w:gridCol w:w="1557"/>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p>
        </w:tc>
        <w:tc>
          <w:tcPr>
            <w:tcW w:w="1557"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单位</w:t>
            </w:r>
          </w:p>
        </w:tc>
        <w:tc>
          <w:tcPr>
            <w:tcW w:w="4367"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w:t>
            </w:r>
          </w:p>
        </w:tc>
        <w:tc>
          <w:tcPr>
            <w:tcW w:w="155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措施项目费</w:t>
            </w:r>
          </w:p>
        </w:tc>
        <w:tc>
          <w:tcPr>
            <w:tcW w:w="155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安全文明施工措施费</w:t>
            </w:r>
          </w:p>
        </w:tc>
        <w:tc>
          <w:tcPr>
            <w:tcW w:w="155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投标工期</w:t>
            </w:r>
          </w:p>
        </w:tc>
        <w:tc>
          <w:tcPr>
            <w:tcW w:w="155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日历天</w:t>
            </w: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工程质量</w:t>
            </w:r>
          </w:p>
        </w:tc>
        <w:tc>
          <w:tcPr>
            <w:tcW w:w="155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标准</w:t>
            </w: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p>
        </w:tc>
        <w:tc>
          <w:tcPr>
            <w:tcW w:w="1557" w:type="dxa"/>
            <w:noWrap w:val="0"/>
            <w:vAlign w:val="center"/>
          </w:tcPr>
          <w:p>
            <w:pPr>
              <w:jc w:val="center"/>
              <w:rPr>
                <w:rFonts w:hint="eastAsia" w:ascii="宋体" w:hAnsi="宋体" w:eastAsia="宋体" w:cs="宋体"/>
                <w:color w:val="auto"/>
                <w:sz w:val="24"/>
                <w:highlight w:val="none"/>
              </w:rPr>
            </w:pPr>
          </w:p>
        </w:tc>
        <w:tc>
          <w:tcPr>
            <w:tcW w:w="4367" w:type="dxa"/>
            <w:noWrap w:val="0"/>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61" w:type="dxa"/>
            <w:noWrap w:val="0"/>
            <w:vAlign w:val="center"/>
          </w:tcPr>
          <w:p>
            <w:pPr>
              <w:jc w:val="center"/>
              <w:rPr>
                <w:rFonts w:hint="eastAsia" w:ascii="宋体" w:hAnsi="宋体" w:eastAsia="宋体" w:cs="宋体"/>
                <w:color w:val="auto"/>
                <w:sz w:val="24"/>
                <w:highlight w:val="none"/>
              </w:rPr>
            </w:pPr>
          </w:p>
        </w:tc>
        <w:tc>
          <w:tcPr>
            <w:tcW w:w="1557" w:type="dxa"/>
            <w:noWrap w:val="0"/>
            <w:vAlign w:val="center"/>
          </w:tcPr>
          <w:p>
            <w:pPr>
              <w:jc w:val="center"/>
              <w:rPr>
                <w:rFonts w:hint="eastAsia" w:ascii="宋体" w:hAnsi="宋体" w:eastAsia="宋体" w:cs="宋体"/>
                <w:color w:val="auto"/>
                <w:sz w:val="24"/>
                <w:highlight w:val="none"/>
              </w:rPr>
            </w:pPr>
          </w:p>
        </w:tc>
        <w:tc>
          <w:tcPr>
            <w:tcW w:w="4367" w:type="dxa"/>
            <w:noWrap w:val="0"/>
            <w:vAlign w:val="center"/>
          </w:tcPr>
          <w:p>
            <w:pPr>
              <w:jc w:val="center"/>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p>
    <w:p>
      <w:pPr>
        <w:tabs>
          <w:tab w:val="left" w:pos="7517"/>
        </w:tabs>
        <w:rPr>
          <w:rFonts w:hint="eastAsia" w:ascii="宋体" w:hAnsi="宋体" w:eastAsia="宋体" w:cs="宋体"/>
          <w:color w:val="auto"/>
          <w:sz w:val="24"/>
          <w:highlight w:val="none"/>
        </w:rPr>
      </w:pPr>
    </w:p>
    <w:p>
      <w:pPr>
        <w:tabs>
          <w:tab w:val="left" w:pos="7517"/>
        </w:tabs>
        <w:rPr>
          <w:rFonts w:hint="eastAsia" w:ascii="宋体" w:hAnsi="宋体" w:eastAsia="宋体" w:cs="宋体"/>
          <w:color w:val="auto"/>
          <w:sz w:val="24"/>
          <w:highlight w:val="none"/>
        </w:rPr>
      </w:pPr>
    </w:p>
    <w:p>
      <w:pPr>
        <w:tabs>
          <w:tab w:val="left" w:pos="7517"/>
        </w:tabs>
        <w:rPr>
          <w:rFonts w:hint="eastAsia" w:ascii="宋体" w:hAnsi="宋体" w:eastAsia="宋体" w:cs="宋体"/>
          <w:color w:val="auto"/>
          <w:sz w:val="24"/>
          <w:highlight w:val="none"/>
        </w:rPr>
      </w:pPr>
    </w:p>
    <w:p>
      <w:pPr>
        <w:tabs>
          <w:tab w:val="left" w:pos="7517"/>
        </w:tabs>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（盖章）            </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（签字或盖章）      </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单位地址：</w:t>
      </w:r>
      <w:r>
        <w:rPr>
          <w:rFonts w:hint="eastAsia" w:ascii="宋体" w:hAnsi="宋体" w:eastAsia="宋体" w:cs="宋体"/>
          <w:color w:val="auto"/>
          <w:sz w:val="24"/>
          <w:highlight w:val="none"/>
          <w:u w:val="single"/>
        </w:rPr>
        <w:t xml:space="preserve">                  </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传真：</w:t>
      </w:r>
      <w:r>
        <w:rPr>
          <w:rFonts w:hint="eastAsia" w:ascii="宋体" w:hAnsi="宋体" w:eastAsia="宋体" w:cs="宋体"/>
          <w:color w:val="auto"/>
          <w:sz w:val="24"/>
          <w:highlight w:val="none"/>
          <w:u w:val="single"/>
        </w:rPr>
        <w:t xml:space="preserve">       </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tabs>
          <w:tab w:val="left" w:pos="540"/>
        </w:tabs>
        <w:spacing w:line="480" w:lineRule="auto"/>
        <w:ind w:left="1197" w:leftChars="227" w:hanging="720" w:hangingChars="300"/>
        <w:rPr>
          <w:rFonts w:hint="eastAsia" w:ascii="宋体" w:hAnsi="宋体" w:eastAsia="宋体" w:cs="宋体"/>
          <w:color w:val="auto"/>
          <w:kern w:val="0"/>
          <w:sz w:val="24"/>
          <w:highlight w:val="none"/>
        </w:rPr>
      </w:pPr>
    </w:p>
    <w:p>
      <w:pPr>
        <w:tabs>
          <w:tab w:val="left" w:pos="540"/>
        </w:tabs>
        <w:spacing w:line="480" w:lineRule="auto"/>
        <w:ind w:left="1197" w:leftChars="227" w:hanging="720" w:hangingChars="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page"/>
      </w:r>
    </w:p>
    <w:p>
      <w:pPr>
        <w:jc w:val="center"/>
        <w:outlineLvl w:val="1"/>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u w:val="single"/>
        </w:rPr>
        <w:t xml:space="preserve">      </w:t>
      </w:r>
      <w:bookmarkStart w:id="107" w:name="_Toc28921"/>
      <w:bookmarkStart w:id="108" w:name="_Toc16664"/>
      <w:bookmarkStart w:id="109" w:name="_Toc11726"/>
      <w:bookmarkStart w:id="110" w:name="_Toc24519"/>
      <w:bookmarkStart w:id="111" w:name="_Toc7881"/>
      <w:r>
        <w:rPr>
          <w:rFonts w:hint="eastAsia" w:ascii="宋体" w:hAnsi="宋体" w:eastAsia="宋体" w:cs="宋体"/>
          <w:color w:val="auto"/>
          <w:sz w:val="28"/>
          <w:szCs w:val="28"/>
          <w:highlight w:val="none"/>
          <w:u w:val="single"/>
          <w:lang w:eastAsia="zh-CN"/>
        </w:rPr>
        <w:t>（项目名称）</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eastAsia="zh-CN"/>
        </w:rPr>
        <w:t>施工</w:t>
      </w:r>
      <w:bookmarkEnd w:id="107"/>
      <w:bookmarkEnd w:id="108"/>
      <w:bookmarkEnd w:id="109"/>
      <w:bookmarkEnd w:id="110"/>
      <w:bookmarkEnd w:id="111"/>
    </w:p>
    <w:p>
      <w:pPr>
        <w:jc w:val="center"/>
        <w:rPr>
          <w:rFonts w:hint="eastAsia" w:ascii="宋体" w:hAnsi="宋体" w:eastAsia="宋体" w:cs="宋体"/>
          <w:color w:val="auto"/>
          <w:sz w:val="28"/>
          <w:highlight w:val="none"/>
        </w:rPr>
      </w:pPr>
    </w:p>
    <w:p>
      <w:pPr>
        <w:rPr>
          <w:rFonts w:hint="eastAsia" w:ascii="宋体" w:hAnsi="宋体" w:eastAsia="宋体" w:cs="宋体"/>
          <w:color w:val="auto"/>
          <w:sz w:val="28"/>
          <w:highlight w:val="none"/>
        </w:rPr>
      </w:pPr>
    </w:p>
    <w:p>
      <w:pPr>
        <w:jc w:val="center"/>
        <w:rPr>
          <w:rFonts w:hint="eastAsia" w:ascii="宋体" w:hAnsi="宋体" w:eastAsia="宋体" w:cs="宋体"/>
          <w:b/>
          <w:color w:val="auto"/>
          <w:sz w:val="48"/>
          <w:szCs w:val="48"/>
          <w:highlight w:val="none"/>
        </w:rPr>
      </w:pP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投 标 总 价</w:t>
      </w:r>
    </w:p>
    <w:p>
      <w:pPr>
        <w:rPr>
          <w:rFonts w:hint="eastAsia" w:ascii="宋体" w:hAnsi="宋体" w:eastAsia="宋体" w:cs="宋体"/>
          <w:color w:val="auto"/>
          <w:sz w:val="28"/>
          <w:szCs w:val="28"/>
          <w:highlight w:val="none"/>
        </w:rPr>
      </w:pPr>
    </w:p>
    <w:p>
      <w:pPr>
        <w:outlineLvl w:val="1"/>
        <w:rPr>
          <w:rFonts w:hint="eastAsia" w:ascii="宋体" w:hAnsi="宋体" w:eastAsia="宋体" w:cs="宋体"/>
          <w:color w:val="auto"/>
          <w:sz w:val="28"/>
          <w:szCs w:val="28"/>
          <w:highlight w:val="none"/>
          <w:u w:val="single"/>
        </w:rPr>
      </w:pPr>
      <w:bookmarkStart w:id="112" w:name="_Toc7680"/>
      <w:bookmarkStart w:id="113" w:name="_Toc28369"/>
      <w:bookmarkStart w:id="114" w:name="_Toc27930"/>
      <w:bookmarkStart w:id="115" w:name="_Toc18995"/>
      <w:bookmarkStart w:id="116" w:name="_Toc4331"/>
      <w:r>
        <w:rPr>
          <w:rFonts w:hint="eastAsia" w:ascii="宋体" w:hAnsi="宋体" w:eastAsia="宋体" w:cs="宋体"/>
          <w:color w:val="auto"/>
          <w:sz w:val="28"/>
          <w:szCs w:val="28"/>
          <w:highlight w:val="none"/>
        </w:rPr>
        <w:t>投标总价（小写)：</w:t>
      </w:r>
      <w:bookmarkEnd w:id="112"/>
      <w:bookmarkEnd w:id="113"/>
      <w:bookmarkEnd w:id="114"/>
      <w:bookmarkEnd w:id="115"/>
      <w:bookmarkEnd w:id="116"/>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p>
    <w:p>
      <w:pPr>
        <w:outlineLvl w:val="1"/>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bookmarkStart w:id="117" w:name="_Toc16324"/>
      <w:bookmarkStart w:id="118" w:name="_Toc25800"/>
      <w:bookmarkStart w:id="119" w:name="_Toc16647"/>
      <w:bookmarkStart w:id="120" w:name="_Toc13849"/>
      <w:bookmarkStart w:id="121" w:name="_Toc8063"/>
      <w:r>
        <w:rPr>
          <w:rFonts w:hint="eastAsia" w:ascii="宋体" w:hAnsi="宋体" w:eastAsia="宋体" w:cs="宋体"/>
          <w:color w:val="auto"/>
          <w:sz w:val="28"/>
          <w:szCs w:val="28"/>
          <w:highlight w:val="none"/>
        </w:rPr>
        <w:t>（大写)：</w:t>
      </w:r>
      <w:bookmarkEnd w:id="117"/>
      <w:bookmarkEnd w:id="118"/>
      <w:bookmarkEnd w:id="119"/>
      <w:bookmarkEnd w:id="120"/>
      <w:bookmarkEnd w:id="121"/>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p>
    <w:p>
      <w:pPr>
        <w:rPr>
          <w:rFonts w:hint="eastAsia" w:ascii="宋体" w:hAnsi="宋体" w:eastAsia="宋体" w:cs="宋体"/>
          <w:color w:val="auto"/>
          <w:sz w:val="28"/>
          <w:szCs w:val="28"/>
          <w:highlight w:val="none"/>
          <w:u w:val="single"/>
        </w:rPr>
      </w:pPr>
    </w:p>
    <w:p>
      <w:pPr>
        <w:rPr>
          <w:rFonts w:hint="eastAsia" w:ascii="宋体" w:hAnsi="宋体" w:eastAsia="宋体" w:cs="宋体"/>
          <w:color w:val="auto"/>
          <w:sz w:val="28"/>
          <w:szCs w:val="28"/>
          <w:highlight w:val="none"/>
          <w:u w:val="single"/>
        </w:rPr>
      </w:pPr>
    </w:p>
    <w:p>
      <w:pPr>
        <w:outlineLvl w:val="1"/>
        <w:rPr>
          <w:rFonts w:hint="eastAsia" w:ascii="宋体" w:hAnsi="宋体" w:eastAsia="宋体" w:cs="宋体"/>
          <w:color w:val="auto"/>
          <w:sz w:val="28"/>
          <w:szCs w:val="28"/>
          <w:highlight w:val="none"/>
        </w:rPr>
      </w:pPr>
      <w:bookmarkStart w:id="122" w:name="_Toc14925"/>
      <w:bookmarkStart w:id="123" w:name="_Toc4618"/>
      <w:bookmarkStart w:id="124" w:name="_Toc19743"/>
      <w:bookmarkStart w:id="125" w:name="_Toc12756"/>
      <w:bookmarkStart w:id="126" w:name="_Toc12821"/>
      <w:r>
        <w:rPr>
          <w:rFonts w:hint="eastAsia" w:ascii="宋体" w:hAnsi="宋体" w:eastAsia="宋体" w:cs="宋体"/>
          <w:color w:val="auto"/>
          <w:sz w:val="28"/>
          <w:szCs w:val="28"/>
          <w:highlight w:val="none"/>
        </w:rPr>
        <w:t>投  标  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（单位盖章)</w:t>
      </w:r>
      <w:bookmarkEnd w:id="122"/>
      <w:bookmarkEnd w:id="123"/>
      <w:bookmarkEnd w:id="124"/>
      <w:bookmarkEnd w:id="125"/>
      <w:bookmarkEnd w:id="126"/>
    </w:p>
    <w:p>
      <w:pPr>
        <w:rPr>
          <w:rFonts w:hint="eastAsia" w:ascii="宋体" w:hAnsi="宋体" w:eastAsia="宋体" w:cs="宋体"/>
          <w:color w:val="auto"/>
          <w:sz w:val="28"/>
          <w:szCs w:val="28"/>
          <w:highlight w:val="none"/>
          <w:u w:val="single"/>
        </w:rPr>
      </w:pPr>
    </w:p>
    <w:p>
      <w:pPr>
        <w:outlineLvl w:val="1"/>
        <w:rPr>
          <w:rFonts w:hint="eastAsia" w:ascii="宋体" w:hAnsi="宋体" w:eastAsia="宋体" w:cs="宋体"/>
          <w:color w:val="auto"/>
          <w:sz w:val="28"/>
          <w:szCs w:val="28"/>
          <w:highlight w:val="none"/>
        </w:rPr>
      </w:pPr>
      <w:bookmarkStart w:id="127" w:name="_Toc22643"/>
      <w:bookmarkStart w:id="128" w:name="_Toc16663"/>
      <w:bookmarkStart w:id="129" w:name="_Toc2199"/>
      <w:bookmarkStart w:id="130" w:name="_Toc2659"/>
      <w:bookmarkStart w:id="131" w:name="_Toc29980"/>
      <w:r>
        <w:rPr>
          <w:rFonts w:hint="eastAsia" w:ascii="宋体" w:hAnsi="宋体" w:eastAsia="宋体" w:cs="宋体"/>
          <w:color w:val="auto"/>
          <w:sz w:val="28"/>
          <w:szCs w:val="28"/>
          <w:highlight w:val="none"/>
        </w:rPr>
        <w:t>法定代表人</w:t>
      </w:r>
      <w:bookmarkEnd w:id="127"/>
      <w:bookmarkEnd w:id="128"/>
      <w:bookmarkEnd w:id="129"/>
      <w:bookmarkEnd w:id="130"/>
      <w:bookmarkEnd w:id="131"/>
    </w:p>
    <w:p>
      <w:pPr>
        <w:outlineLvl w:val="1"/>
        <w:rPr>
          <w:rFonts w:hint="eastAsia" w:ascii="宋体" w:hAnsi="宋体" w:eastAsia="宋体" w:cs="宋体"/>
          <w:color w:val="auto"/>
          <w:sz w:val="28"/>
          <w:szCs w:val="28"/>
          <w:highlight w:val="none"/>
          <w:u w:val="single"/>
        </w:rPr>
      </w:pPr>
      <w:bookmarkStart w:id="132" w:name="_Toc14399"/>
      <w:bookmarkStart w:id="133" w:name="_Toc8438"/>
      <w:bookmarkStart w:id="134" w:name="_Toc21533"/>
      <w:bookmarkStart w:id="135" w:name="_Toc26211"/>
      <w:bookmarkStart w:id="136" w:name="_Toc18041"/>
      <w:r>
        <w:rPr>
          <w:rFonts w:hint="eastAsia" w:ascii="宋体" w:hAnsi="宋体" w:eastAsia="宋体" w:cs="宋体"/>
          <w:color w:val="auto"/>
          <w:sz w:val="28"/>
          <w:szCs w:val="28"/>
          <w:highlight w:val="none"/>
        </w:rPr>
        <w:t>或其授权人：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（签字或盖章)</w:t>
      </w:r>
      <w:bookmarkEnd w:id="132"/>
      <w:bookmarkEnd w:id="133"/>
      <w:bookmarkEnd w:id="134"/>
      <w:bookmarkEnd w:id="135"/>
      <w:bookmarkEnd w:id="136"/>
    </w:p>
    <w:p>
      <w:pPr>
        <w:rPr>
          <w:rFonts w:hint="eastAsia" w:ascii="宋体" w:hAnsi="宋体" w:eastAsia="宋体" w:cs="宋体"/>
          <w:color w:val="auto"/>
          <w:sz w:val="28"/>
          <w:szCs w:val="28"/>
          <w:highlight w:val="none"/>
          <w:u w:val="single"/>
        </w:rPr>
      </w:pPr>
    </w:p>
    <w:p>
      <w:pPr>
        <w:outlineLvl w:val="1"/>
        <w:rPr>
          <w:rFonts w:hint="eastAsia" w:ascii="宋体" w:hAnsi="宋体" w:eastAsia="宋体" w:cs="宋体"/>
          <w:color w:val="auto"/>
          <w:sz w:val="28"/>
          <w:szCs w:val="28"/>
          <w:highlight w:val="none"/>
        </w:rPr>
      </w:pPr>
      <w:bookmarkStart w:id="137" w:name="_Toc11251"/>
      <w:bookmarkStart w:id="138" w:name="_Toc7433"/>
      <w:bookmarkStart w:id="139" w:name="_Toc8523"/>
      <w:bookmarkStart w:id="140" w:name="_Toc11763"/>
      <w:bookmarkStart w:id="141" w:name="_Toc13972"/>
      <w:r>
        <w:rPr>
          <w:rFonts w:hint="eastAsia" w:ascii="宋体" w:hAnsi="宋体" w:eastAsia="宋体" w:cs="宋体"/>
          <w:color w:val="auto"/>
          <w:sz w:val="28"/>
          <w:szCs w:val="28"/>
          <w:highlight w:val="none"/>
        </w:rPr>
        <w:t>编  制  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（造价人员签字盖专用章)</w:t>
      </w:r>
      <w:bookmarkEnd w:id="137"/>
      <w:bookmarkEnd w:id="138"/>
      <w:bookmarkEnd w:id="139"/>
      <w:bookmarkEnd w:id="140"/>
      <w:bookmarkEnd w:id="141"/>
    </w:p>
    <w:p>
      <w:pPr>
        <w:rPr>
          <w:rFonts w:hint="eastAsia" w:ascii="宋体" w:hAnsi="宋体" w:eastAsia="宋体" w:cs="宋体"/>
          <w:color w:val="auto"/>
          <w:sz w:val="28"/>
          <w:szCs w:val="28"/>
          <w:highlight w:val="none"/>
          <w:u w:val="single"/>
        </w:rPr>
      </w:pPr>
    </w:p>
    <w:p>
      <w:pPr>
        <w:jc w:val="center"/>
        <w:outlineLvl w:val="1"/>
        <w:rPr>
          <w:rFonts w:hint="eastAsia" w:ascii="宋体" w:hAnsi="宋体" w:eastAsia="宋体" w:cs="宋体"/>
          <w:color w:val="auto"/>
          <w:sz w:val="28"/>
          <w:szCs w:val="28"/>
          <w:highlight w:val="none"/>
        </w:rPr>
      </w:pPr>
      <w:bookmarkStart w:id="142" w:name="_Toc19032"/>
      <w:bookmarkStart w:id="143" w:name="_Toc24282"/>
      <w:bookmarkStart w:id="144" w:name="_Toc17323"/>
      <w:bookmarkStart w:id="145" w:name="_Toc4614"/>
      <w:bookmarkStart w:id="146" w:name="_Toc11427"/>
      <w:r>
        <w:rPr>
          <w:rFonts w:hint="eastAsia" w:ascii="宋体" w:hAnsi="宋体" w:eastAsia="宋体" w:cs="宋体"/>
          <w:color w:val="auto"/>
          <w:sz w:val="28"/>
          <w:szCs w:val="28"/>
          <w:highlight w:val="none"/>
        </w:rPr>
        <w:t>编制时间：      年   月   日</w:t>
      </w:r>
      <w:bookmarkEnd w:id="142"/>
      <w:bookmarkEnd w:id="143"/>
      <w:bookmarkEnd w:id="144"/>
      <w:bookmarkEnd w:id="145"/>
      <w:bookmarkEnd w:id="146"/>
    </w:p>
    <w:p>
      <w:pPr>
        <w:rPr>
          <w:rFonts w:hint="eastAsia" w:ascii="宋体" w:hAnsi="宋体" w:eastAsia="宋体" w:cs="宋体"/>
          <w:b/>
          <w:color w:val="auto"/>
          <w:sz w:val="32"/>
          <w:highlight w:val="none"/>
        </w:rPr>
      </w:pPr>
    </w:p>
    <w:p>
      <w:pPr>
        <w:pStyle w:val="2"/>
        <w:bidi w:val="0"/>
        <w:jc w:val="both"/>
        <w:rPr>
          <w:rStyle w:val="38"/>
          <w:rFonts w:hint="eastAsia" w:ascii="宋体" w:hAnsi="宋体" w:eastAsia="宋体" w:cs="宋体"/>
          <w:b/>
          <w:bCs/>
          <w:color w:val="auto"/>
          <w:lang w:val="en-US" w:eastAsia="zh-CN"/>
        </w:rPr>
      </w:pPr>
      <w:r>
        <w:rPr>
          <w:rFonts w:hint="eastAsia" w:ascii="宋体" w:hAnsi="宋体" w:eastAsia="宋体" w:cs="宋体"/>
          <w:b/>
          <w:color w:val="auto"/>
          <w:kern w:val="0"/>
          <w:sz w:val="32"/>
          <w:szCs w:val="32"/>
          <w:highlight w:val="none"/>
        </w:rPr>
        <w:br w:type="page"/>
      </w:r>
      <w:bookmarkStart w:id="147" w:name="_Toc29365"/>
      <w:bookmarkStart w:id="148" w:name="_Toc25759"/>
      <w:bookmarkStart w:id="149" w:name="_Toc6502"/>
      <w:bookmarkStart w:id="150" w:name="_Toc22469"/>
      <w:bookmarkStart w:id="151" w:name="_Toc19092"/>
      <w:bookmarkStart w:id="152" w:name="_Toc27536"/>
      <w:r>
        <w:rPr>
          <w:rStyle w:val="38"/>
          <w:rFonts w:hint="eastAsia" w:ascii="宋体" w:hAnsi="宋体" w:eastAsia="宋体" w:cs="宋体"/>
          <w:b/>
          <w:bCs/>
          <w:color w:val="auto"/>
          <w:lang w:val="en-US" w:eastAsia="zh-CN"/>
        </w:rPr>
        <w:t>技术标文件格式</w:t>
      </w:r>
      <w:bookmarkEnd w:id="147"/>
      <w:bookmarkEnd w:id="148"/>
      <w:bookmarkEnd w:id="149"/>
      <w:bookmarkEnd w:id="150"/>
      <w:bookmarkEnd w:id="151"/>
      <w:bookmarkEnd w:id="152"/>
    </w:p>
    <w:p>
      <w:pPr>
        <w:autoSpaceDE w:val="0"/>
        <w:autoSpaceDN w:val="0"/>
        <w:adjustRightInd w:val="0"/>
        <w:rPr>
          <w:rFonts w:hint="eastAsia" w:ascii="宋体" w:hAnsi="宋体" w:eastAsia="宋体" w:cs="宋体"/>
          <w:color w:val="auto"/>
          <w:spacing w:val="10"/>
          <w:sz w:val="30"/>
          <w:szCs w:val="30"/>
          <w:highlight w:val="none"/>
        </w:rPr>
      </w:pPr>
    </w:p>
    <w:p>
      <w:pPr>
        <w:autoSpaceDE w:val="0"/>
        <w:autoSpaceDN w:val="0"/>
        <w:adjustRightInd w:val="0"/>
        <w:jc w:val="center"/>
        <w:rPr>
          <w:rFonts w:hint="eastAsia" w:ascii="宋体" w:hAnsi="宋体" w:eastAsia="宋体" w:cs="宋体"/>
          <w:color w:val="auto"/>
          <w:spacing w:val="10"/>
          <w:sz w:val="30"/>
          <w:szCs w:val="30"/>
          <w:highlight w:val="none"/>
        </w:rPr>
      </w:pPr>
    </w:p>
    <w:p>
      <w:pPr>
        <w:autoSpaceDE w:val="0"/>
        <w:autoSpaceDN w:val="0"/>
        <w:adjustRightInd w:val="0"/>
        <w:jc w:val="center"/>
        <w:rPr>
          <w:rFonts w:hint="eastAsia" w:ascii="宋体" w:hAnsi="宋体" w:eastAsia="宋体" w:cs="宋体"/>
          <w:color w:val="auto"/>
          <w:spacing w:val="10"/>
          <w:sz w:val="30"/>
          <w:szCs w:val="30"/>
          <w:highlight w:val="none"/>
        </w:rPr>
      </w:pPr>
    </w:p>
    <w:p>
      <w:pPr>
        <w:spacing w:line="500" w:lineRule="exact"/>
        <w:jc w:val="center"/>
        <w:outlineLvl w:val="1"/>
        <w:rPr>
          <w:rFonts w:hint="eastAsia" w:ascii="宋体" w:hAnsi="宋体" w:eastAsia="宋体" w:cs="宋体"/>
          <w:b/>
          <w:color w:val="auto"/>
          <w:spacing w:val="-20"/>
          <w:sz w:val="44"/>
          <w:szCs w:val="44"/>
          <w:highlight w:val="none"/>
        </w:rPr>
      </w:pPr>
      <w:r>
        <w:rPr>
          <w:rFonts w:hint="eastAsia" w:ascii="宋体" w:hAnsi="宋体" w:eastAsia="宋体" w:cs="宋体"/>
          <w:b/>
          <w:color w:val="auto"/>
          <w:spacing w:val="-20"/>
          <w:sz w:val="44"/>
          <w:szCs w:val="44"/>
          <w:highlight w:val="none"/>
          <w:u w:val="single"/>
        </w:rPr>
        <w:t xml:space="preserve">  </w:t>
      </w:r>
      <w:r>
        <w:rPr>
          <w:rFonts w:hint="eastAsia" w:ascii="宋体" w:hAnsi="宋体" w:cs="宋体"/>
          <w:b/>
          <w:color w:val="auto"/>
          <w:spacing w:val="-20"/>
          <w:sz w:val="44"/>
          <w:szCs w:val="44"/>
          <w:highlight w:val="none"/>
          <w:u w:val="single"/>
          <w:lang w:eastAsia="zh-CN"/>
        </w:rPr>
        <w:t>（</w:t>
      </w:r>
      <w:r>
        <w:rPr>
          <w:rFonts w:hint="eastAsia" w:ascii="宋体" w:hAnsi="宋体" w:cs="宋体"/>
          <w:b/>
          <w:color w:val="auto"/>
          <w:spacing w:val="-20"/>
          <w:sz w:val="44"/>
          <w:szCs w:val="44"/>
          <w:highlight w:val="none"/>
          <w:u w:val="single"/>
          <w:lang w:val="en-US" w:eastAsia="zh-CN"/>
        </w:rPr>
        <w:t>项目名称</w:t>
      </w:r>
      <w:r>
        <w:rPr>
          <w:rFonts w:hint="eastAsia" w:ascii="宋体" w:hAnsi="宋体" w:cs="宋体"/>
          <w:b/>
          <w:color w:val="auto"/>
          <w:spacing w:val="-20"/>
          <w:sz w:val="44"/>
          <w:szCs w:val="44"/>
          <w:highlight w:val="none"/>
          <w:u w:val="single"/>
          <w:lang w:eastAsia="zh-CN"/>
        </w:rPr>
        <w:t>）</w:t>
      </w:r>
      <w:r>
        <w:rPr>
          <w:rFonts w:hint="eastAsia" w:ascii="宋体" w:hAnsi="宋体" w:eastAsia="宋体" w:cs="宋体"/>
          <w:b/>
          <w:color w:val="auto"/>
          <w:spacing w:val="-20"/>
          <w:sz w:val="44"/>
          <w:szCs w:val="44"/>
          <w:highlight w:val="none"/>
          <w:u w:val="single"/>
        </w:rPr>
        <w:t xml:space="preserve">        </w:t>
      </w:r>
    </w:p>
    <w:p>
      <w:pPr>
        <w:autoSpaceDE w:val="0"/>
        <w:autoSpaceDN w:val="0"/>
        <w:adjustRightInd w:val="0"/>
        <w:ind w:firstLine="2409" w:firstLineChars="800"/>
        <w:jc w:val="center"/>
        <w:rPr>
          <w:rFonts w:hint="eastAsia" w:ascii="宋体" w:hAnsi="宋体" w:eastAsia="宋体" w:cs="宋体"/>
          <w:b/>
          <w:color w:val="auto"/>
          <w:kern w:val="0"/>
          <w:sz w:val="30"/>
          <w:szCs w:val="30"/>
          <w:highlight w:val="none"/>
        </w:rPr>
      </w:pPr>
    </w:p>
    <w:p>
      <w:pPr>
        <w:autoSpaceDE w:val="0"/>
        <w:autoSpaceDN w:val="0"/>
        <w:adjustRightInd w:val="0"/>
        <w:ind w:firstLine="1928" w:firstLineChars="800"/>
        <w:jc w:val="left"/>
        <w:rPr>
          <w:rFonts w:hint="eastAsia" w:ascii="宋体" w:hAnsi="宋体" w:eastAsia="宋体" w:cs="宋体"/>
          <w:b/>
          <w:color w:val="auto"/>
          <w:kern w:val="0"/>
          <w:sz w:val="24"/>
          <w:highlight w:val="none"/>
        </w:rPr>
      </w:pPr>
    </w:p>
    <w:p>
      <w:pPr>
        <w:autoSpaceDE w:val="0"/>
        <w:autoSpaceDN w:val="0"/>
        <w:adjustRightInd w:val="0"/>
        <w:jc w:val="center"/>
        <w:outlineLvl w:val="2"/>
        <w:rPr>
          <w:rFonts w:hint="eastAsia" w:ascii="宋体" w:hAnsi="宋体" w:eastAsia="宋体" w:cs="宋体"/>
          <w:color w:val="auto"/>
          <w:kern w:val="0"/>
          <w:sz w:val="90"/>
          <w:szCs w:val="90"/>
          <w:highlight w:val="none"/>
        </w:rPr>
      </w:pPr>
      <w:bookmarkStart w:id="153" w:name="_Toc11792"/>
      <w:r>
        <w:rPr>
          <w:rFonts w:hint="eastAsia" w:ascii="宋体" w:hAnsi="宋体" w:eastAsia="宋体" w:cs="宋体"/>
          <w:b/>
          <w:color w:val="auto"/>
          <w:kern w:val="0"/>
          <w:sz w:val="90"/>
          <w:szCs w:val="90"/>
          <w:highlight w:val="none"/>
        </w:rPr>
        <w:t>投 标</w:t>
      </w:r>
      <w:r>
        <w:rPr>
          <w:rFonts w:hint="eastAsia" w:ascii="宋体" w:hAnsi="宋体" w:cs="宋体"/>
          <w:b/>
          <w:color w:val="auto"/>
          <w:kern w:val="0"/>
          <w:sz w:val="90"/>
          <w:szCs w:val="90"/>
          <w:highlight w:val="none"/>
          <w:lang w:val="en-US" w:eastAsia="zh-CN"/>
        </w:rPr>
        <w:t xml:space="preserve"> 响 应</w:t>
      </w:r>
      <w:r>
        <w:rPr>
          <w:rFonts w:hint="eastAsia" w:ascii="宋体" w:hAnsi="宋体" w:eastAsia="宋体" w:cs="宋体"/>
          <w:b/>
          <w:color w:val="auto"/>
          <w:kern w:val="0"/>
          <w:sz w:val="90"/>
          <w:szCs w:val="90"/>
          <w:highlight w:val="none"/>
        </w:rPr>
        <w:t xml:space="preserve"> 文 件</w:t>
      </w:r>
      <w:bookmarkEnd w:id="153"/>
    </w:p>
    <w:p>
      <w:pPr>
        <w:autoSpaceDE w:val="0"/>
        <w:autoSpaceDN w:val="0"/>
        <w:adjustRightInd w:val="0"/>
        <w:jc w:val="center"/>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t>（技术标部分）</w:t>
      </w: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jc w:val="center"/>
        <w:rPr>
          <w:rFonts w:hint="eastAsia" w:ascii="宋体" w:hAnsi="宋体" w:eastAsia="宋体" w:cs="宋体"/>
          <w:color w:val="auto"/>
          <w:kern w:val="0"/>
          <w:sz w:val="24"/>
          <w:highlight w:val="none"/>
        </w:rPr>
      </w:pPr>
    </w:p>
    <w:p>
      <w:pPr>
        <w:autoSpaceDE w:val="0"/>
        <w:autoSpaceDN w:val="0"/>
        <w:adjustRightInd w:val="0"/>
        <w:spacing w:line="360" w:lineRule="auto"/>
        <w:jc w:val="center"/>
        <w:rPr>
          <w:rFonts w:hint="eastAsia" w:ascii="宋体" w:hAnsi="宋体" w:eastAsia="宋体" w:cs="宋体"/>
          <w:color w:val="auto"/>
          <w:kern w:val="0"/>
          <w:sz w:val="24"/>
          <w:highlight w:val="none"/>
        </w:rPr>
      </w:pPr>
    </w:p>
    <w:p>
      <w:pPr>
        <w:autoSpaceDE w:val="0"/>
        <w:autoSpaceDN w:val="0"/>
        <w:adjustRightInd w:val="0"/>
        <w:spacing w:line="360" w:lineRule="auto"/>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项目编号</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u w:val="single"/>
        </w:rPr>
        <w:t xml:space="preserve">          </w:t>
      </w:r>
    </w:p>
    <w:p>
      <w:pPr>
        <w:autoSpaceDE w:val="0"/>
        <w:autoSpaceDN w:val="0"/>
        <w:adjustRightInd w:val="0"/>
        <w:spacing w:line="360" w:lineRule="auto"/>
        <w:ind w:firstLine="2880" w:firstLineChars="1200"/>
        <w:jc w:val="center"/>
        <w:rPr>
          <w:rFonts w:hint="eastAsia" w:ascii="宋体" w:hAnsi="宋体" w:eastAsia="宋体" w:cs="宋体"/>
          <w:color w:val="auto"/>
          <w:kern w:val="0"/>
          <w:sz w:val="24"/>
          <w:highlight w:val="none"/>
        </w:rPr>
      </w:pPr>
    </w:p>
    <w:p>
      <w:pPr>
        <w:autoSpaceDE w:val="0"/>
        <w:autoSpaceDN w:val="0"/>
        <w:adjustRightIn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（盖单位章）</w:t>
      </w:r>
    </w:p>
    <w:p>
      <w:pPr>
        <w:autoSpaceDE w:val="0"/>
        <w:autoSpaceDN w:val="0"/>
        <w:adjustRightInd w:val="0"/>
        <w:spacing w:line="360" w:lineRule="auto"/>
        <w:ind w:firstLine="2880" w:firstLineChars="1200"/>
        <w:jc w:val="left"/>
        <w:rPr>
          <w:rFonts w:hint="eastAsia" w:ascii="宋体" w:hAnsi="宋体" w:eastAsia="宋体" w:cs="宋体"/>
          <w:color w:val="auto"/>
          <w:kern w:val="0"/>
          <w:sz w:val="24"/>
          <w:highlight w:val="none"/>
        </w:rPr>
      </w:pPr>
    </w:p>
    <w:p>
      <w:pPr>
        <w:autoSpaceDE w:val="0"/>
        <w:autoSpaceDN w:val="0"/>
        <w:adjustRightIn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法定代表人或其授权代理人：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（签字或盖章）</w:t>
      </w:r>
    </w:p>
    <w:p>
      <w:pPr>
        <w:autoSpaceDE w:val="0"/>
        <w:autoSpaceDN w:val="0"/>
        <w:adjustRightInd w:val="0"/>
        <w:spacing w:line="360" w:lineRule="auto"/>
        <w:ind w:firstLine="2880" w:firstLineChars="1200"/>
        <w:jc w:val="left"/>
        <w:rPr>
          <w:rFonts w:hint="eastAsia" w:ascii="宋体" w:hAnsi="宋体" w:eastAsia="宋体" w:cs="宋体"/>
          <w:color w:val="auto"/>
          <w:kern w:val="0"/>
          <w:sz w:val="24"/>
          <w:highlight w:val="none"/>
        </w:rPr>
      </w:pPr>
    </w:p>
    <w:p>
      <w:pPr>
        <w:autoSpaceDE w:val="0"/>
        <w:autoSpaceDN w:val="0"/>
        <w:adjustRightInd w:val="0"/>
        <w:jc w:val="center"/>
        <w:outlineLvl w:val="2"/>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rPr>
        <w:t xml:space="preserve">       </w:t>
      </w:r>
      <w:bookmarkStart w:id="154" w:name="_Toc395"/>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bookmarkEnd w:id="154"/>
    </w:p>
    <w:p>
      <w:pPr>
        <w:spacing w:line="560" w:lineRule="exact"/>
        <w:jc w:val="center"/>
        <w:outlineLvl w:val="1"/>
        <w:rPr>
          <w:rFonts w:hint="eastAsia" w:ascii="宋体" w:hAnsi="宋体" w:eastAsia="宋体" w:cs="宋体"/>
          <w:color w:val="auto"/>
          <w:szCs w:val="21"/>
          <w:highlight w:val="none"/>
        </w:rPr>
      </w:pPr>
      <w:bookmarkStart w:id="155" w:name="_Toc4835"/>
      <w:bookmarkStart w:id="156" w:name="_Toc21659"/>
      <w:bookmarkStart w:id="157" w:name="_Toc11485"/>
      <w:bookmarkStart w:id="158" w:name="_Toc4928"/>
      <w:bookmarkStart w:id="159" w:name="_Toc25462"/>
      <w:r>
        <w:rPr>
          <w:rFonts w:hint="eastAsia" w:ascii="宋体" w:hAnsi="宋体" w:eastAsia="宋体" w:cs="宋体"/>
          <w:b/>
          <w:color w:val="auto"/>
          <w:sz w:val="30"/>
          <w:szCs w:val="30"/>
          <w:highlight w:val="none"/>
        </w:rPr>
        <w:t>技术标</w:t>
      </w:r>
      <w:bookmarkEnd w:id="155"/>
      <w:bookmarkEnd w:id="156"/>
      <w:bookmarkEnd w:id="157"/>
      <w:bookmarkEnd w:id="158"/>
      <w:bookmarkEnd w:id="15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一、施工组织设计由投标单位自行编制，应包括包括以下几个方面：</w:t>
      </w:r>
    </w:p>
    <w:p>
      <w:pPr>
        <w:spacing w:line="560" w:lineRule="exact"/>
        <w:ind w:firstLine="480" w:firstLineChars="200"/>
        <w:outlineLvl w:val="1"/>
        <w:rPr>
          <w:rFonts w:hint="eastAsia" w:ascii="宋体" w:hAnsi="宋体" w:eastAsia="宋体" w:cs="宋体"/>
          <w:color w:val="auto"/>
          <w:sz w:val="24"/>
          <w:highlight w:val="none"/>
        </w:rPr>
      </w:pPr>
      <w:bookmarkStart w:id="160" w:name="_Toc29600"/>
      <w:bookmarkStart w:id="161" w:name="_Toc20935"/>
      <w:bookmarkStart w:id="162" w:name="_Toc17210"/>
      <w:bookmarkStart w:id="163" w:name="_Toc6889"/>
      <w:bookmarkStart w:id="164" w:name="_Toc19539"/>
      <w:r>
        <w:rPr>
          <w:rFonts w:hint="eastAsia" w:ascii="宋体" w:hAnsi="宋体" w:eastAsia="宋体" w:cs="宋体"/>
          <w:color w:val="auto"/>
          <w:sz w:val="24"/>
          <w:highlight w:val="none"/>
        </w:rPr>
        <w:t>1、项目经理部组成人员</w:t>
      </w:r>
      <w:bookmarkEnd w:id="160"/>
      <w:bookmarkEnd w:id="161"/>
      <w:bookmarkEnd w:id="162"/>
      <w:bookmarkEnd w:id="163"/>
      <w:bookmarkEnd w:id="164"/>
    </w:p>
    <w:p>
      <w:pPr>
        <w:spacing w:line="560" w:lineRule="exact"/>
        <w:ind w:firstLine="480" w:firstLineChars="200"/>
        <w:outlineLvl w:val="1"/>
        <w:rPr>
          <w:rFonts w:hint="eastAsia" w:ascii="宋体" w:hAnsi="宋体" w:eastAsia="宋体" w:cs="宋体"/>
          <w:color w:val="auto"/>
          <w:sz w:val="24"/>
          <w:highlight w:val="none"/>
        </w:rPr>
      </w:pPr>
      <w:bookmarkStart w:id="165" w:name="_Toc20203"/>
      <w:bookmarkStart w:id="166" w:name="_Toc9267"/>
      <w:bookmarkStart w:id="167" w:name="_Toc14219"/>
      <w:bookmarkStart w:id="168" w:name="_Toc12259"/>
      <w:bookmarkStart w:id="169" w:name="_Toc2988"/>
      <w:r>
        <w:rPr>
          <w:rFonts w:hint="eastAsia" w:ascii="宋体" w:hAnsi="宋体" w:eastAsia="宋体" w:cs="宋体"/>
          <w:color w:val="auto"/>
          <w:sz w:val="24"/>
          <w:highlight w:val="none"/>
        </w:rPr>
        <w:t>2、</w:t>
      </w:r>
      <w:bookmarkEnd w:id="165"/>
      <w:bookmarkEnd w:id="166"/>
      <w:bookmarkEnd w:id="167"/>
      <w:bookmarkEnd w:id="168"/>
      <w:bookmarkEnd w:id="169"/>
      <w:r>
        <w:rPr>
          <w:rFonts w:hint="eastAsia" w:ascii="宋体" w:hAnsi="宋体" w:eastAsia="宋体" w:cs="宋体"/>
          <w:color w:val="auto"/>
          <w:sz w:val="24"/>
          <w:highlight w:val="none"/>
        </w:rPr>
        <w:t>施工部署及总平面布置</w:t>
      </w:r>
    </w:p>
    <w:p>
      <w:pPr>
        <w:spacing w:line="560" w:lineRule="exact"/>
        <w:ind w:firstLine="480" w:firstLineChars="200"/>
        <w:outlineLvl w:val="1"/>
        <w:rPr>
          <w:rFonts w:hint="eastAsia" w:ascii="宋体" w:hAnsi="宋体" w:eastAsia="宋体" w:cs="宋体"/>
          <w:color w:val="auto"/>
          <w:sz w:val="24"/>
          <w:highlight w:val="none"/>
        </w:rPr>
      </w:pPr>
      <w:bookmarkStart w:id="170" w:name="_Toc9936"/>
      <w:bookmarkStart w:id="171" w:name="_Toc28530"/>
      <w:bookmarkStart w:id="172" w:name="_Toc25168"/>
      <w:bookmarkStart w:id="173" w:name="_Toc22504"/>
      <w:bookmarkStart w:id="174" w:name="_Toc8160"/>
      <w:r>
        <w:rPr>
          <w:rFonts w:hint="eastAsia" w:ascii="宋体" w:hAnsi="宋体" w:eastAsia="宋体" w:cs="宋体"/>
          <w:color w:val="auto"/>
          <w:sz w:val="24"/>
          <w:highlight w:val="none"/>
        </w:rPr>
        <w:t>3、</w:t>
      </w:r>
      <w:bookmarkEnd w:id="170"/>
      <w:bookmarkEnd w:id="171"/>
      <w:bookmarkEnd w:id="172"/>
      <w:bookmarkEnd w:id="173"/>
      <w:bookmarkEnd w:id="174"/>
      <w:r>
        <w:rPr>
          <w:rFonts w:hint="eastAsia" w:ascii="宋体" w:hAnsi="宋体" w:eastAsia="宋体" w:cs="宋体"/>
          <w:color w:val="auto"/>
          <w:sz w:val="24"/>
          <w:highlight w:val="none"/>
        </w:rPr>
        <w:t xml:space="preserve">施工进度计划及措施 </w:t>
      </w:r>
    </w:p>
    <w:p>
      <w:pPr>
        <w:spacing w:line="560" w:lineRule="exact"/>
        <w:ind w:firstLine="480" w:firstLineChars="200"/>
        <w:outlineLvl w:val="1"/>
        <w:rPr>
          <w:rFonts w:hint="eastAsia" w:ascii="宋体" w:hAnsi="宋体" w:eastAsia="宋体" w:cs="宋体"/>
          <w:color w:val="auto"/>
          <w:sz w:val="24"/>
          <w:highlight w:val="none"/>
        </w:rPr>
      </w:pPr>
      <w:bookmarkStart w:id="175" w:name="_Toc12181"/>
      <w:bookmarkStart w:id="176" w:name="_Toc1451"/>
      <w:bookmarkStart w:id="177" w:name="_Toc19843"/>
      <w:bookmarkStart w:id="178" w:name="_Toc18700"/>
      <w:bookmarkStart w:id="179" w:name="_Toc16368"/>
      <w:r>
        <w:rPr>
          <w:rFonts w:hint="eastAsia" w:ascii="宋体" w:hAnsi="宋体" w:eastAsia="宋体" w:cs="宋体"/>
          <w:color w:val="auto"/>
          <w:sz w:val="24"/>
          <w:highlight w:val="none"/>
        </w:rPr>
        <w:t>4、</w:t>
      </w:r>
      <w:bookmarkEnd w:id="175"/>
      <w:bookmarkEnd w:id="176"/>
      <w:bookmarkEnd w:id="177"/>
      <w:bookmarkEnd w:id="178"/>
      <w:bookmarkEnd w:id="179"/>
      <w:bookmarkStart w:id="180" w:name="_Toc361"/>
      <w:bookmarkStart w:id="181" w:name="_Toc30785"/>
      <w:bookmarkStart w:id="182" w:name="_Toc24193"/>
      <w:bookmarkStart w:id="183" w:name="_Toc8661"/>
      <w:bookmarkStart w:id="184" w:name="_Toc2553"/>
      <w:r>
        <w:rPr>
          <w:rFonts w:hint="eastAsia" w:ascii="宋体" w:hAnsi="宋体" w:eastAsia="宋体" w:cs="宋体"/>
          <w:color w:val="auto"/>
          <w:sz w:val="24"/>
          <w:highlight w:val="none"/>
        </w:rPr>
        <w:t>施工方案</w:t>
      </w:r>
    </w:p>
    <w:p>
      <w:pPr>
        <w:spacing w:line="560" w:lineRule="exact"/>
        <w:ind w:firstLine="480" w:firstLineChars="200"/>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bookmarkEnd w:id="180"/>
      <w:bookmarkEnd w:id="181"/>
      <w:bookmarkEnd w:id="182"/>
      <w:bookmarkEnd w:id="183"/>
      <w:bookmarkEnd w:id="184"/>
      <w:r>
        <w:rPr>
          <w:rFonts w:hint="eastAsia" w:ascii="宋体" w:hAnsi="宋体" w:eastAsia="宋体" w:cs="宋体"/>
          <w:color w:val="auto"/>
          <w:sz w:val="24"/>
          <w:highlight w:val="none"/>
        </w:rPr>
        <w:t>质量安全保证措施</w:t>
      </w:r>
    </w:p>
    <w:p>
      <w:pPr>
        <w:spacing w:line="560" w:lineRule="exact"/>
        <w:ind w:firstLine="480" w:firstLineChars="200"/>
        <w:outlineLvl w:val="1"/>
        <w:rPr>
          <w:rFonts w:hint="eastAsia" w:ascii="宋体" w:hAnsi="宋体" w:eastAsia="宋体" w:cs="宋体"/>
          <w:color w:val="auto"/>
          <w:sz w:val="24"/>
          <w:highlight w:val="none"/>
        </w:rPr>
      </w:pPr>
      <w:bookmarkStart w:id="185" w:name="_Toc14026"/>
      <w:bookmarkStart w:id="186" w:name="_Toc23458"/>
      <w:bookmarkStart w:id="187" w:name="_Toc20069"/>
      <w:bookmarkStart w:id="188" w:name="_Toc10668"/>
      <w:bookmarkStart w:id="189" w:name="_Toc11181"/>
      <w:r>
        <w:rPr>
          <w:rFonts w:hint="eastAsia" w:ascii="宋体" w:hAnsi="宋体" w:eastAsia="宋体" w:cs="宋体"/>
          <w:color w:val="auto"/>
          <w:sz w:val="24"/>
          <w:highlight w:val="none"/>
        </w:rPr>
        <w:t>6、</w:t>
      </w:r>
      <w:bookmarkEnd w:id="185"/>
      <w:bookmarkEnd w:id="186"/>
      <w:bookmarkEnd w:id="187"/>
      <w:bookmarkEnd w:id="188"/>
      <w:bookmarkEnd w:id="189"/>
      <w:bookmarkStart w:id="190" w:name="_Toc18266"/>
      <w:bookmarkStart w:id="191" w:name="_Toc4567"/>
      <w:bookmarkStart w:id="192" w:name="_Toc18191"/>
      <w:bookmarkStart w:id="193" w:name="_Toc22052"/>
      <w:bookmarkStart w:id="194" w:name="_Toc14658"/>
      <w:r>
        <w:rPr>
          <w:rFonts w:hint="eastAsia" w:ascii="宋体" w:hAnsi="宋体" w:eastAsia="宋体" w:cs="宋体"/>
          <w:color w:val="auto"/>
          <w:sz w:val="24"/>
          <w:highlight w:val="none"/>
        </w:rPr>
        <w:t xml:space="preserve">使用新材料、新工艺的 </w:t>
      </w:r>
    </w:p>
    <w:p>
      <w:pPr>
        <w:spacing w:line="560" w:lineRule="exact"/>
        <w:ind w:firstLine="480" w:firstLineChars="200"/>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bookmarkEnd w:id="190"/>
      <w:bookmarkEnd w:id="191"/>
      <w:bookmarkEnd w:id="192"/>
      <w:bookmarkEnd w:id="193"/>
      <w:bookmarkEnd w:id="194"/>
      <w:r>
        <w:rPr>
          <w:rFonts w:hint="eastAsia" w:ascii="宋体" w:hAnsi="宋体" w:eastAsia="宋体" w:cs="宋体"/>
          <w:color w:val="auto"/>
          <w:sz w:val="24"/>
          <w:highlight w:val="none"/>
        </w:rPr>
        <w:t>主要材料计划、构配件计划</w:t>
      </w:r>
    </w:p>
    <w:p>
      <w:pPr>
        <w:spacing w:line="560" w:lineRule="exact"/>
        <w:ind w:firstLine="480" w:firstLineChars="200"/>
        <w:outlineLvl w:val="1"/>
        <w:rPr>
          <w:rFonts w:hint="eastAsia" w:ascii="宋体" w:hAnsi="宋体" w:eastAsia="宋体" w:cs="宋体"/>
          <w:color w:val="auto"/>
          <w:sz w:val="24"/>
          <w:highlight w:val="none"/>
        </w:rPr>
      </w:pPr>
      <w:bookmarkStart w:id="195" w:name="_Toc23298"/>
      <w:bookmarkStart w:id="196" w:name="_Toc26856"/>
      <w:bookmarkStart w:id="197" w:name="_Toc11464"/>
      <w:bookmarkStart w:id="198" w:name="_Toc17963"/>
      <w:bookmarkStart w:id="199" w:name="_Toc31255"/>
      <w:r>
        <w:rPr>
          <w:rFonts w:hint="eastAsia" w:ascii="宋体" w:hAnsi="宋体" w:eastAsia="宋体" w:cs="宋体"/>
          <w:color w:val="auto"/>
          <w:sz w:val="24"/>
          <w:highlight w:val="none"/>
        </w:rPr>
        <w:t>8、</w:t>
      </w:r>
      <w:bookmarkEnd w:id="195"/>
      <w:bookmarkEnd w:id="196"/>
      <w:bookmarkEnd w:id="197"/>
      <w:bookmarkEnd w:id="198"/>
      <w:bookmarkEnd w:id="199"/>
      <w:r>
        <w:rPr>
          <w:rFonts w:hint="eastAsia" w:ascii="宋体" w:hAnsi="宋体" w:eastAsia="宋体" w:cs="宋体"/>
          <w:color w:val="auto"/>
          <w:sz w:val="24"/>
          <w:highlight w:val="none"/>
        </w:rPr>
        <w:t>主要机械设备供应计划</w:t>
      </w:r>
    </w:p>
    <w:p>
      <w:pPr>
        <w:spacing w:line="560" w:lineRule="exact"/>
        <w:ind w:firstLine="480" w:firstLineChars="200"/>
        <w:outlineLvl w:val="1"/>
        <w:rPr>
          <w:rFonts w:hint="eastAsia" w:ascii="宋体" w:hAnsi="宋体" w:eastAsia="宋体" w:cs="宋体"/>
          <w:color w:val="auto"/>
          <w:sz w:val="24"/>
          <w:highlight w:val="none"/>
        </w:rPr>
      </w:pPr>
      <w:bookmarkStart w:id="200" w:name="_Toc19693"/>
      <w:bookmarkStart w:id="201" w:name="_Toc420"/>
      <w:bookmarkStart w:id="202" w:name="_Toc32671"/>
      <w:bookmarkStart w:id="203" w:name="_Toc6420"/>
      <w:bookmarkStart w:id="204" w:name="_Toc25256"/>
      <w:r>
        <w:rPr>
          <w:rFonts w:hint="eastAsia" w:ascii="宋体" w:hAnsi="宋体" w:eastAsia="宋体" w:cs="宋体"/>
          <w:color w:val="auto"/>
          <w:sz w:val="24"/>
          <w:highlight w:val="none"/>
        </w:rPr>
        <w:t>9、</w:t>
      </w:r>
      <w:bookmarkEnd w:id="200"/>
      <w:bookmarkEnd w:id="201"/>
      <w:bookmarkEnd w:id="202"/>
      <w:bookmarkEnd w:id="203"/>
      <w:bookmarkEnd w:id="204"/>
      <w:r>
        <w:rPr>
          <w:rFonts w:hint="eastAsia" w:ascii="宋体" w:hAnsi="宋体" w:eastAsia="宋体" w:cs="宋体"/>
          <w:color w:val="auto"/>
          <w:sz w:val="24"/>
          <w:highlight w:val="none"/>
        </w:rPr>
        <w:t>劳动力安排</w:t>
      </w:r>
    </w:p>
    <w:p>
      <w:pPr>
        <w:spacing w:line="560" w:lineRule="exact"/>
        <w:ind w:firstLine="480" w:firstLineChars="200"/>
        <w:outlineLvl w:val="1"/>
        <w:rPr>
          <w:rFonts w:hint="eastAsia" w:ascii="宋体" w:hAnsi="宋体" w:eastAsia="宋体" w:cs="宋体"/>
          <w:color w:val="auto"/>
          <w:sz w:val="24"/>
          <w:highlight w:val="none"/>
        </w:rPr>
      </w:pPr>
      <w:bookmarkStart w:id="205" w:name="_Toc11961"/>
      <w:bookmarkStart w:id="206" w:name="_Toc14102"/>
      <w:bookmarkStart w:id="207" w:name="_Toc14632"/>
      <w:bookmarkStart w:id="208" w:name="_Toc14464"/>
      <w:bookmarkStart w:id="209" w:name="_Toc24147"/>
      <w:r>
        <w:rPr>
          <w:rFonts w:hint="eastAsia" w:ascii="宋体" w:hAnsi="宋体" w:eastAsia="宋体" w:cs="宋体"/>
          <w:color w:val="auto"/>
          <w:sz w:val="24"/>
          <w:highlight w:val="none"/>
        </w:rPr>
        <w:t>10、</w:t>
      </w:r>
      <w:bookmarkEnd w:id="205"/>
      <w:bookmarkEnd w:id="206"/>
      <w:bookmarkEnd w:id="207"/>
      <w:bookmarkEnd w:id="208"/>
      <w:bookmarkEnd w:id="209"/>
      <w:r>
        <w:rPr>
          <w:rFonts w:hint="eastAsia" w:ascii="宋体" w:hAnsi="宋体" w:eastAsia="宋体" w:cs="宋体"/>
          <w:color w:val="auto"/>
          <w:sz w:val="24"/>
          <w:highlight w:val="none"/>
        </w:rPr>
        <w:t>安全文明施工措施</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二、施工组织设计除采用文字表述外可附下列图表，图表及格式要求附后。</w:t>
      </w:r>
    </w:p>
    <w:p>
      <w:pPr>
        <w:spacing w:line="560" w:lineRule="exact"/>
        <w:ind w:firstLine="480" w:firstLineChars="200"/>
        <w:outlineLvl w:val="0"/>
        <w:rPr>
          <w:rFonts w:hint="eastAsia" w:ascii="宋体" w:hAnsi="宋体" w:eastAsia="宋体" w:cs="宋体"/>
          <w:color w:val="auto"/>
          <w:sz w:val="24"/>
          <w:highlight w:val="none"/>
        </w:rPr>
      </w:pPr>
      <w:bookmarkStart w:id="210" w:name="_Toc1938"/>
      <w:bookmarkStart w:id="211" w:name="_Toc24804"/>
      <w:bookmarkStart w:id="212" w:name="_Toc8127"/>
      <w:bookmarkStart w:id="213" w:name="_Toc23833"/>
      <w:bookmarkStart w:id="214" w:name="_Toc74"/>
      <w:r>
        <w:rPr>
          <w:rFonts w:hint="eastAsia" w:ascii="宋体" w:hAnsi="宋体" w:eastAsia="宋体" w:cs="宋体"/>
          <w:color w:val="auto"/>
          <w:sz w:val="24"/>
          <w:highlight w:val="none"/>
        </w:rPr>
        <w:t>附表一 拟投入本工程的主要施工设备表</w:t>
      </w:r>
      <w:bookmarkEnd w:id="210"/>
      <w:bookmarkEnd w:id="211"/>
      <w:bookmarkEnd w:id="212"/>
      <w:bookmarkEnd w:id="213"/>
      <w:bookmarkEnd w:id="214"/>
    </w:p>
    <w:p>
      <w:pPr>
        <w:spacing w:line="560" w:lineRule="exact"/>
        <w:ind w:firstLine="480" w:firstLineChars="200"/>
        <w:outlineLvl w:val="0"/>
        <w:rPr>
          <w:rFonts w:hint="eastAsia" w:ascii="宋体" w:hAnsi="宋体" w:eastAsia="宋体" w:cs="宋体"/>
          <w:color w:val="auto"/>
          <w:sz w:val="24"/>
          <w:highlight w:val="none"/>
        </w:rPr>
      </w:pPr>
      <w:bookmarkStart w:id="215" w:name="_Toc16050"/>
      <w:bookmarkStart w:id="216" w:name="_Toc10494"/>
      <w:bookmarkStart w:id="217" w:name="_Toc25906"/>
      <w:bookmarkStart w:id="218" w:name="_Toc30546"/>
      <w:bookmarkStart w:id="219" w:name="_Toc12461"/>
      <w:r>
        <w:rPr>
          <w:rFonts w:hint="eastAsia" w:ascii="宋体" w:hAnsi="宋体" w:eastAsia="宋体" w:cs="宋体"/>
          <w:color w:val="auto"/>
          <w:sz w:val="24"/>
          <w:highlight w:val="none"/>
        </w:rPr>
        <w:t>附表二 拟配备本工程的试验和检测仪器设备表</w:t>
      </w:r>
      <w:bookmarkEnd w:id="215"/>
      <w:bookmarkEnd w:id="216"/>
      <w:bookmarkEnd w:id="217"/>
      <w:bookmarkEnd w:id="218"/>
      <w:bookmarkEnd w:id="219"/>
    </w:p>
    <w:p>
      <w:pPr>
        <w:spacing w:line="560" w:lineRule="exact"/>
        <w:ind w:firstLine="480" w:firstLineChars="200"/>
        <w:outlineLvl w:val="0"/>
        <w:rPr>
          <w:rFonts w:hint="eastAsia" w:ascii="宋体" w:hAnsi="宋体" w:eastAsia="宋体" w:cs="宋体"/>
          <w:color w:val="auto"/>
          <w:sz w:val="24"/>
          <w:highlight w:val="none"/>
        </w:rPr>
      </w:pPr>
      <w:bookmarkStart w:id="220" w:name="_Toc9282"/>
      <w:bookmarkStart w:id="221" w:name="_Toc4049"/>
      <w:bookmarkStart w:id="222" w:name="_Toc27365"/>
      <w:bookmarkStart w:id="223" w:name="_Toc997"/>
      <w:bookmarkStart w:id="224" w:name="_Toc7486"/>
      <w:r>
        <w:rPr>
          <w:rFonts w:hint="eastAsia" w:ascii="宋体" w:hAnsi="宋体" w:eastAsia="宋体" w:cs="宋体"/>
          <w:color w:val="auto"/>
          <w:sz w:val="24"/>
          <w:highlight w:val="none"/>
        </w:rPr>
        <w:t>附表三 劳动力计划表</w:t>
      </w:r>
      <w:bookmarkEnd w:id="220"/>
      <w:bookmarkEnd w:id="221"/>
      <w:bookmarkEnd w:id="222"/>
      <w:bookmarkEnd w:id="223"/>
      <w:bookmarkEnd w:id="224"/>
    </w:p>
    <w:p>
      <w:pPr>
        <w:spacing w:line="560" w:lineRule="exact"/>
        <w:ind w:firstLine="480" w:firstLineChars="200"/>
        <w:outlineLvl w:val="0"/>
        <w:rPr>
          <w:rFonts w:hint="eastAsia" w:ascii="宋体" w:hAnsi="宋体" w:eastAsia="宋体" w:cs="宋体"/>
          <w:color w:val="auto"/>
          <w:sz w:val="24"/>
          <w:highlight w:val="none"/>
        </w:rPr>
      </w:pPr>
      <w:bookmarkStart w:id="225" w:name="_Toc16798"/>
      <w:bookmarkStart w:id="226" w:name="_Toc2690"/>
      <w:bookmarkStart w:id="227" w:name="_Toc19746"/>
      <w:bookmarkStart w:id="228" w:name="_Toc30147"/>
      <w:bookmarkStart w:id="229" w:name="_Toc9369"/>
      <w:r>
        <w:rPr>
          <w:rFonts w:hint="eastAsia" w:ascii="宋体" w:hAnsi="宋体" w:eastAsia="宋体" w:cs="宋体"/>
          <w:color w:val="auto"/>
          <w:sz w:val="24"/>
          <w:highlight w:val="none"/>
        </w:rPr>
        <w:t>附表四 计划开、竣工日期和施工进度网络图</w:t>
      </w:r>
      <w:bookmarkEnd w:id="225"/>
      <w:bookmarkEnd w:id="226"/>
      <w:bookmarkEnd w:id="227"/>
      <w:bookmarkEnd w:id="228"/>
      <w:bookmarkEnd w:id="229"/>
    </w:p>
    <w:p>
      <w:pPr>
        <w:spacing w:line="560" w:lineRule="exact"/>
        <w:ind w:firstLine="480" w:firstLineChars="200"/>
        <w:outlineLvl w:val="0"/>
        <w:rPr>
          <w:rFonts w:hint="eastAsia" w:ascii="宋体" w:hAnsi="宋体" w:eastAsia="宋体" w:cs="宋体"/>
          <w:color w:val="auto"/>
          <w:sz w:val="24"/>
          <w:highlight w:val="none"/>
        </w:rPr>
      </w:pPr>
      <w:bookmarkStart w:id="230" w:name="_Toc26560"/>
      <w:bookmarkStart w:id="231" w:name="_Toc24437"/>
      <w:bookmarkStart w:id="232" w:name="_Toc29245"/>
      <w:bookmarkStart w:id="233" w:name="_Toc29249"/>
      <w:bookmarkStart w:id="234" w:name="_Toc11396"/>
      <w:r>
        <w:rPr>
          <w:rFonts w:hint="eastAsia" w:ascii="宋体" w:hAnsi="宋体" w:eastAsia="宋体" w:cs="宋体"/>
          <w:color w:val="auto"/>
          <w:sz w:val="24"/>
          <w:highlight w:val="none"/>
        </w:rPr>
        <w:t>附表五 施工总平面图</w:t>
      </w:r>
      <w:bookmarkEnd w:id="230"/>
      <w:bookmarkEnd w:id="231"/>
      <w:bookmarkEnd w:id="232"/>
      <w:bookmarkEnd w:id="233"/>
      <w:bookmarkEnd w:id="234"/>
    </w:p>
    <w:p>
      <w:pPr>
        <w:spacing w:line="560" w:lineRule="exact"/>
        <w:ind w:firstLine="480" w:firstLineChars="200"/>
        <w:outlineLvl w:val="0"/>
        <w:rPr>
          <w:rFonts w:hint="eastAsia" w:ascii="宋体" w:hAnsi="宋体" w:eastAsia="宋体" w:cs="宋体"/>
          <w:color w:val="auto"/>
          <w:sz w:val="24"/>
          <w:highlight w:val="none"/>
        </w:rPr>
      </w:pPr>
      <w:bookmarkStart w:id="235" w:name="_Toc7497"/>
      <w:bookmarkStart w:id="236" w:name="_Toc6506"/>
      <w:bookmarkStart w:id="237" w:name="_Toc21621"/>
      <w:bookmarkStart w:id="238" w:name="_Toc5215"/>
      <w:bookmarkStart w:id="239" w:name="_Toc4469"/>
      <w:r>
        <w:rPr>
          <w:rFonts w:hint="eastAsia" w:ascii="宋体" w:hAnsi="宋体" w:eastAsia="宋体" w:cs="宋体"/>
          <w:color w:val="auto"/>
          <w:sz w:val="24"/>
          <w:highlight w:val="none"/>
        </w:rPr>
        <w:t>附表六 项目管理机构</w:t>
      </w:r>
      <w:bookmarkEnd w:id="235"/>
      <w:bookmarkEnd w:id="236"/>
      <w:bookmarkEnd w:id="237"/>
      <w:bookmarkEnd w:id="238"/>
      <w:bookmarkEnd w:id="239"/>
    </w:p>
    <w:p>
      <w:pPr>
        <w:spacing w:line="560" w:lineRule="exact"/>
        <w:ind w:firstLine="480" w:firstLineChars="200"/>
        <w:outlineLvl w:val="0"/>
        <w:rPr>
          <w:rFonts w:hint="eastAsia" w:ascii="宋体" w:hAnsi="宋体" w:eastAsia="宋体" w:cs="宋体"/>
          <w:color w:val="auto"/>
          <w:sz w:val="24"/>
          <w:highlight w:val="none"/>
        </w:rPr>
      </w:pPr>
      <w:bookmarkStart w:id="240" w:name="_Toc16266"/>
      <w:bookmarkStart w:id="241" w:name="_Toc4266"/>
      <w:bookmarkStart w:id="242" w:name="_Toc13978"/>
      <w:bookmarkStart w:id="243" w:name="_Toc15300"/>
      <w:bookmarkStart w:id="244" w:name="_Toc1183"/>
      <w:r>
        <w:rPr>
          <w:rFonts w:hint="eastAsia" w:ascii="宋体" w:hAnsi="宋体" w:eastAsia="宋体" w:cs="宋体"/>
          <w:color w:val="auto"/>
          <w:sz w:val="24"/>
          <w:highlight w:val="none"/>
        </w:rPr>
        <w:t>附表七 主要人员简历表</w:t>
      </w:r>
      <w:bookmarkEnd w:id="240"/>
      <w:bookmarkEnd w:id="241"/>
      <w:bookmarkEnd w:id="242"/>
      <w:bookmarkEnd w:id="243"/>
      <w:bookmarkEnd w:id="244"/>
    </w:p>
    <w:p>
      <w:pPr>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三、服务能力及施工内容深化提升</w:t>
      </w:r>
    </w:p>
    <w:p>
      <w:pPr>
        <w:pStyle w:val="5"/>
        <w:ind w:firstLine="480" w:firstLineChars="200"/>
        <w:outlineLvl w:val="0"/>
        <w:rPr>
          <w:rFonts w:hint="eastAsia" w:ascii="宋体" w:hAnsi="宋体" w:eastAsia="宋体" w:cs="宋体"/>
          <w:b w:val="0"/>
          <w:bCs/>
          <w:color w:val="auto"/>
          <w:sz w:val="24"/>
          <w:szCs w:val="18"/>
          <w:highlight w:val="none"/>
          <w:lang w:val="en-US" w:eastAsia="zh-CN"/>
        </w:rPr>
      </w:pPr>
      <w:r>
        <w:rPr>
          <w:rFonts w:hint="eastAsia" w:ascii="宋体" w:hAnsi="宋体" w:eastAsia="宋体" w:cs="宋体"/>
          <w:b w:val="0"/>
          <w:bCs/>
          <w:color w:val="auto"/>
          <w:sz w:val="24"/>
          <w:szCs w:val="18"/>
          <w:highlight w:val="none"/>
          <w:lang w:val="en-US" w:eastAsia="zh-CN"/>
        </w:rPr>
        <w:t>四、质量及服务承诺</w:t>
      </w:r>
    </w:p>
    <w:p>
      <w:pPr>
        <w:pStyle w:val="5"/>
        <w:ind w:firstLine="480" w:firstLineChars="200"/>
        <w:outlineLvl w:val="0"/>
        <w:rPr>
          <w:rFonts w:hint="eastAsia" w:ascii="宋体" w:hAnsi="宋体" w:eastAsia="宋体" w:cs="宋体"/>
          <w:b w:val="0"/>
          <w:bCs w:val="0"/>
          <w:color w:val="auto"/>
          <w:highlight w:val="none"/>
        </w:rPr>
      </w:pPr>
      <w:r>
        <w:rPr>
          <w:rFonts w:hint="eastAsia" w:ascii="宋体" w:hAnsi="宋体" w:eastAsia="宋体" w:cs="宋体"/>
          <w:b w:val="0"/>
          <w:bCs/>
          <w:color w:val="auto"/>
          <w:sz w:val="24"/>
          <w:szCs w:val="18"/>
          <w:highlight w:val="none"/>
          <w:lang w:val="en-US" w:eastAsia="zh-CN"/>
        </w:rPr>
        <w:t>五、企业业绩</w:t>
      </w:r>
      <w:r>
        <w:rPr>
          <w:rFonts w:hint="eastAsia" w:ascii="宋体" w:hAnsi="宋体" w:eastAsia="宋体" w:cs="宋体"/>
          <w:color w:val="auto"/>
          <w:highlight w:val="none"/>
        </w:rPr>
        <w:br w:type="page"/>
      </w:r>
      <w:bookmarkStart w:id="245" w:name="_Toc6075"/>
      <w:bookmarkStart w:id="246" w:name="_Toc15672"/>
      <w:bookmarkStart w:id="247" w:name="_Toc30631"/>
      <w:bookmarkStart w:id="248" w:name="_Toc13859"/>
      <w:bookmarkStart w:id="249" w:name="_Toc960"/>
      <w:r>
        <w:rPr>
          <w:rFonts w:hint="eastAsia" w:ascii="宋体" w:hAnsi="宋体" w:eastAsia="宋体" w:cs="宋体"/>
          <w:b w:val="0"/>
          <w:bCs w:val="0"/>
          <w:color w:val="auto"/>
          <w:highlight w:val="none"/>
        </w:rPr>
        <w:t>附表一：拟投入本工程的主要施工设备表</w:t>
      </w:r>
      <w:bookmarkEnd w:id="245"/>
      <w:bookmarkEnd w:id="246"/>
      <w:bookmarkEnd w:id="247"/>
      <w:bookmarkEnd w:id="248"/>
      <w:bookmarkEnd w:id="249"/>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76"/>
        <w:gridCol w:w="791"/>
        <w:gridCol w:w="812"/>
        <w:gridCol w:w="812"/>
        <w:gridCol w:w="1072"/>
        <w:gridCol w:w="936"/>
        <w:gridCol w:w="835"/>
        <w:gridCol w:w="939"/>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1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176"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设备名称</w:t>
            </w:r>
          </w:p>
        </w:tc>
        <w:tc>
          <w:tcPr>
            <w:tcW w:w="791"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w:t>
            </w:r>
          </w:p>
        </w:tc>
        <w:tc>
          <w:tcPr>
            <w:tcW w:w="81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81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国别</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产地</w:t>
            </w:r>
          </w:p>
        </w:tc>
        <w:tc>
          <w:tcPr>
            <w:tcW w:w="10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制造</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年份</w:t>
            </w:r>
          </w:p>
        </w:tc>
        <w:tc>
          <w:tcPr>
            <w:tcW w:w="936"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额定功率</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KW )</w:t>
            </w:r>
          </w:p>
        </w:tc>
        <w:tc>
          <w:tcPr>
            <w:tcW w:w="83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生产</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能力</w:t>
            </w:r>
          </w:p>
        </w:tc>
        <w:tc>
          <w:tcPr>
            <w:tcW w:w="93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用于施</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工部位</w:t>
            </w:r>
          </w:p>
        </w:tc>
        <w:tc>
          <w:tcPr>
            <w:tcW w:w="83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ind w:firstLine="420" w:firstLineChars="200"/>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noWrap w:val="0"/>
            <w:vAlign w:val="top"/>
          </w:tcPr>
          <w:p>
            <w:pPr>
              <w:spacing w:line="360" w:lineRule="auto"/>
              <w:rPr>
                <w:rFonts w:hint="eastAsia" w:ascii="宋体" w:hAnsi="宋体" w:eastAsia="宋体" w:cs="宋体"/>
                <w:color w:val="auto"/>
                <w:szCs w:val="21"/>
                <w:highlight w:val="none"/>
              </w:rPr>
            </w:pPr>
          </w:p>
        </w:tc>
        <w:tc>
          <w:tcPr>
            <w:tcW w:w="1176" w:type="dxa"/>
            <w:noWrap w:val="0"/>
            <w:vAlign w:val="top"/>
          </w:tcPr>
          <w:p>
            <w:pPr>
              <w:spacing w:line="360" w:lineRule="auto"/>
              <w:rPr>
                <w:rFonts w:hint="eastAsia" w:ascii="宋体" w:hAnsi="宋体" w:eastAsia="宋体" w:cs="宋体"/>
                <w:color w:val="auto"/>
                <w:szCs w:val="21"/>
                <w:highlight w:val="none"/>
              </w:rPr>
            </w:pPr>
          </w:p>
        </w:tc>
        <w:tc>
          <w:tcPr>
            <w:tcW w:w="791"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812" w:type="dxa"/>
            <w:noWrap w:val="0"/>
            <w:vAlign w:val="top"/>
          </w:tcPr>
          <w:p>
            <w:pPr>
              <w:spacing w:line="360" w:lineRule="auto"/>
              <w:rPr>
                <w:rFonts w:hint="eastAsia" w:ascii="宋体" w:hAnsi="宋体" w:eastAsia="宋体" w:cs="宋体"/>
                <w:color w:val="auto"/>
                <w:szCs w:val="21"/>
                <w:highlight w:val="none"/>
              </w:rPr>
            </w:pPr>
          </w:p>
        </w:tc>
        <w:tc>
          <w:tcPr>
            <w:tcW w:w="1072" w:type="dxa"/>
            <w:noWrap w:val="0"/>
            <w:vAlign w:val="top"/>
          </w:tcPr>
          <w:p>
            <w:pPr>
              <w:spacing w:line="360" w:lineRule="auto"/>
              <w:rPr>
                <w:rFonts w:hint="eastAsia" w:ascii="宋体" w:hAnsi="宋体" w:eastAsia="宋体" w:cs="宋体"/>
                <w:color w:val="auto"/>
                <w:szCs w:val="21"/>
                <w:highlight w:val="none"/>
              </w:rPr>
            </w:pPr>
          </w:p>
        </w:tc>
        <w:tc>
          <w:tcPr>
            <w:tcW w:w="936"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c>
          <w:tcPr>
            <w:tcW w:w="939" w:type="dxa"/>
            <w:noWrap w:val="0"/>
            <w:vAlign w:val="top"/>
          </w:tcPr>
          <w:p>
            <w:pPr>
              <w:spacing w:line="360" w:lineRule="auto"/>
              <w:rPr>
                <w:rFonts w:hint="eastAsia" w:ascii="宋体" w:hAnsi="宋体" w:eastAsia="宋体" w:cs="宋体"/>
                <w:color w:val="auto"/>
                <w:szCs w:val="21"/>
                <w:highlight w:val="none"/>
              </w:rPr>
            </w:pPr>
          </w:p>
        </w:tc>
        <w:tc>
          <w:tcPr>
            <w:tcW w:w="835" w:type="dxa"/>
            <w:noWrap w:val="0"/>
            <w:vAlign w:val="top"/>
          </w:tcPr>
          <w:p>
            <w:pPr>
              <w:spacing w:line="360" w:lineRule="auto"/>
              <w:rPr>
                <w:rFonts w:hint="eastAsia" w:ascii="宋体" w:hAnsi="宋体" w:eastAsia="宋体" w:cs="宋体"/>
                <w:color w:val="auto"/>
                <w:szCs w:val="21"/>
                <w:highlight w:val="none"/>
              </w:rPr>
            </w:pPr>
          </w:p>
        </w:tc>
      </w:tr>
    </w:tbl>
    <w:p>
      <w:pPr>
        <w:pStyle w:val="5"/>
        <w:outlineLvl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bookmarkStart w:id="250" w:name="_Toc24454"/>
      <w:bookmarkStart w:id="251" w:name="_Toc14286"/>
      <w:bookmarkStart w:id="252" w:name="_Toc6116"/>
      <w:bookmarkStart w:id="253" w:name="_Toc5236"/>
      <w:bookmarkStart w:id="254" w:name="_Toc5341"/>
      <w:r>
        <w:rPr>
          <w:rFonts w:hint="eastAsia" w:ascii="宋体" w:hAnsi="宋体" w:eastAsia="宋体" w:cs="宋体"/>
          <w:b w:val="0"/>
          <w:bCs w:val="0"/>
          <w:color w:val="auto"/>
          <w:highlight w:val="none"/>
        </w:rPr>
        <w:t>附表二：拟配备本工程的试验和检测仪器设备表</w:t>
      </w:r>
      <w:bookmarkEnd w:id="250"/>
      <w:bookmarkEnd w:id="251"/>
      <w:bookmarkEnd w:id="252"/>
      <w:bookmarkEnd w:id="253"/>
      <w:bookmarkEnd w:id="25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46"/>
        <w:gridCol w:w="1188"/>
        <w:gridCol w:w="703"/>
        <w:gridCol w:w="1188"/>
        <w:gridCol w:w="1188"/>
        <w:gridCol w:w="1017"/>
        <w:gridCol w:w="11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仪器备</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型号规格</w:t>
            </w: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国别产地</w:t>
            </w: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制造年份</w:t>
            </w: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已使用</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台时数</w:t>
            </w: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用途</w:t>
            </w: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7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8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155"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840"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bl>
    <w:p>
      <w:pPr>
        <w:pStyle w:val="5"/>
        <w:spacing w:before="0" w:after="0"/>
        <w:outlineLvl w:val="0"/>
        <w:rPr>
          <w:rFonts w:hint="eastAsia" w:ascii="宋体" w:hAnsi="宋体" w:eastAsia="宋体" w:cs="宋体"/>
          <w:b w:val="0"/>
          <w:bCs w:val="0"/>
          <w:color w:val="auto"/>
          <w:highlight w:val="none"/>
        </w:rPr>
      </w:pPr>
      <w:r>
        <w:rPr>
          <w:rFonts w:hint="eastAsia" w:ascii="宋体" w:hAnsi="宋体" w:eastAsia="宋体" w:cs="宋体"/>
          <w:color w:val="auto"/>
          <w:highlight w:val="none"/>
        </w:rPr>
        <w:br w:type="page"/>
      </w:r>
      <w:bookmarkStart w:id="255" w:name="_Toc22454"/>
      <w:bookmarkStart w:id="256" w:name="_Toc27937"/>
      <w:bookmarkStart w:id="257" w:name="_Toc31898"/>
      <w:bookmarkStart w:id="258" w:name="_Toc15647"/>
      <w:bookmarkStart w:id="259" w:name="_Toc13036"/>
      <w:r>
        <w:rPr>
          <w:rFonts w:hint="eastAsia" w:ascii="宋体" w:hAnsi="宋体" w:eastAsia="宋体" w:cs="宋体"/>
          <w:b w:val="0"/>
          <w:bCs w:val="0"/>
          <w:color w:val="auto"/>
          <w:highlight w:val="none"/>
        </w:rPr>
        <w:t>附表三：劳动力计划表</w:t>
      </w:r>
      <w:bookmarkEnd w:id="255"/>
      <w:bookmarkEnd w:id="256"/>
      <w:bookmarkEnd w:id="257"/>
      <w:bookmarkEnd w:id="258"/>
      <w:bookmarkEnd w:id="259"/>
    </w:p>
    <w:p>
      <w:pPr>
        <w:spacing w:line="360" w:lineRule="auto"/>
        <w:ind w:firstLine="7560" w:firstLineChars="3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单位：人</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57"/>
        <w:gridCol w:w="1257"/>
        <w:gridCol w:w="1258"/>
        <w:gridCol w:w="1257"/>
        <w:gridCol w:w="1258"/>
        <w:gridCol w:w="91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工种</w:t>
            </w:r>
          </w:p>
        </w:tc>
        <w:tc>
          <w:tcPr>
            <w:tcW w:w="8293" w:type="dxa"/>
            <w:gridSpan w:val="7"/>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258"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91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c>
          <w:tcPr>
            <w:tcW w:w="1089"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eastAsia="宋体" w:cs="宋体"/>
                <w:color w:val="auto"/>
                <w:szCs w:val="21"/>
                <w:highlight w:val="none"/>
              </w:rPr>
            </w:pPr>
          </w:p>
        </w:tc>
      </w:tr>
    </w:tbl>
    <w:p>
      <w:pPr>
        <w:spacing w:line="360" w:lineRule="auto"/>
        <w:ind w:firstLine="420" w:firstLineChars="200"/>
        <w:rPr>
          <w:rFonts w:hint="eastAsia" w:ascii="宋体" w:hAnsi="宋体" w:eastAsia="宋体" w:cs="宋体"/>
          <w:color w:val="auto"/>
          <w:szCs w:val="21"/>
          <w:highlight w:val="none"/>
        </w:rPr>
      </w:pPr>
    </w:p>
    <w:p>
      <w:pPr>
        <w:pStyle w:val="5"/>
        <w:outlineLvl w:val="0"/>
        <w:rPr>
          <w:rFonts w:hint="eastAsia" w:ascii="宋体" w:hAnsi="宋体" w:eastAsia="宋体" w:cs="宋体"/>
          <w:b w:val="0"/>
          <w:bCs w:val="0"/>
          <w:color w:val="auto"/>
          <w:highlight w:val="none"/>
        </w:rPr>
      </w:pPr>
      <w:r>
        <w:rPr>
          <w:rFonts w:hint="eastAsia" w:ascii="宋体" w:hAnsi="宋体" w:eastAsia="宋体" w:cs="宋体"/>
          <w:color w:val="auto"/>
          <w:highlight w:val="none"/>
        </w:rPr>
        <w:br w:type="page"/>
      </w:r>
      <w:bookmarkStart w:id="260" w:name="_Toc6288"/>
      <w:bookmarkStart w:id="261" w:name="_Toc29430"/>
      <w:bookmarkStart w:id="262" w:name="_Toc23684"/>
      <w:bookmarkStart w:id="263" w:name="_Toc26570"/>
      <w:bookmarkStart w:id="264" w:name="_Toc11449"/>
      <w:r>
        <w:rPr>
          <w:rFonts w:hint="eastAsia" w:ascii="宋体" w:hAnsi="宋体" w:eastAsia="宋体" w:cs="宋体"/>
          <w:b w:val="0"/>
          <w:bCs w:val="0"/>
          <w:color w:val="auto"/>
          <w:highlight w:val="none"/>
        </w:rPr>
        <w:t>附表四：计划开、竣工日期和施工进度网络图</w:t>
      </w:r>
      <w:bookmarkEnd w:id="260"/>
      <w:bookmarkEnd w:id="261"/>
      <w:bookmarkEnd w:id="262"/>
      <w:bookmarkEnd w:id="263"/>
      <w:bookmarkEnd w:id="2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1．投标人应递交施工进度网络图或施工进度表，说明按招标文件要求的计划工期进行施工的各个关键日期。</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2．施工进度表可采用网络图（或横道图）表示。</w:t>
      </w:r>
    </w:p>
    <w:p>
      <w:pPr>
        <w:pStyle w:val="5"/>
        <w:outlineLvl w:val="0"/>
        <w:rPr>
          <w:rFonts w:hint="eastAsia" w:ascii="宋体" w:hAnsi="宋体" w:eastAsia="宋体" w:cs="宋体"/>
          <w:b w:val="0"/>
          <w:bCs w:val="0"/>
          <w:color w:val="auto"/>
          <w:highlight w:val="none"/>
        </w:rPr>
      </w:pPr>
      <w:bookmarkStart w:id="265" w:name="_Toc13814"/>
      <w:bookmarkStart w:id="266" w:name="_Toc11844"/>
      <w:bookmarkStart w:id="267" w:name="_Toc13248"/>
      <w:bookmarkStart w:id="268" w:name="_Toc11950"/>
      <w:bookmarkStart w:id="269" w:name="_Toc18786"/>
      <w:r>
        <w:rPr>
          <w:rFonts w:hint="eastAsia" w:ascii="宋体" w:hAnsi="宋体" w:eastAsia="宋体" w:cs="宋体"/>
          <w:b w:val="0"/>
          <w:bCs w:val="0"/>
          <w:color w:val="auto"/>
          <w:highlight w:val="none"/>
        </w:rPr>
        <w:t>附表五：施工总平面图</w:t>
      </w:r>
      <w:bookmarkEnd w:id="265"/>
      <w:bookmarkEnd w:id="266"/>
      <w:bookmarkEnd w:id="267"/>
      <w:bookmarkEnd w:id="268"/>
      <w:bookmarkEnd w:id="269"/>
    </w:p>
    <w:p>
      <w:pPr>
        <w:pStyle w:val="5"/>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投标人应递交一份施工总平面图，绘出现场临时设施布置图表并附文字说明，说明临时设施、加工车间、现场办公、设备及仓储、供电、供水、卫生、生活、道路、消防等设施的情况和布置。</w:t>
      </w:r>
    </w:p>
    <w:p>
      <w:pPr>
        <w:pStyle w:val="5"/>
        <w:outlineLvl w:val="0"/>
        <w:rPr>
          <w:rFonts w:hint="eastAsia" w:ascii="宋体" w:hAnsi="宋体" w:eastAsia="宋体" w:cs="宋体"/>
          <w:b w:val="0"/>
          <w:bCs w:val="0"/>
          <w:color w:val="auto"/>
          <w:sz w:val="30"/>
          <w:highlight w:val="none"/>
        </w:rPr>
      </w:pPr>
      <w:bookmarkStart w:id="270" w:name="_Toc2120"/>
      <w:bookmarkStart w:id="271" w:name="_Toc20902"/>
      <w:bookmarkStart w:id="272" w:name="_Toc32252"/>
      <w:bookmarkStart w:id="273" w:name="_Toc26966"/>
      <w:bookmarkStart w:id="274" w:name="_Toc4851"/>
      <w:r>
        <w:rPr>
          <w:rFonts w:hint="eastAsia" w:ascii="宋体" w:hAnsi="宋体" w:eastAsia="宋体" w:cs="宋体"/>
          <w:b w:val="0"/>
          <w:bCs w:val="0"/>
          <w:color w:val="auto"/>
          <w:highlight w:val="none"/>
        </w:rPr>
        <w:t>附表六：</w:t>
      </w:r>
      <w:r>
        <w:rPr>
          <w:rFonts w:hint="eastAsia" w:ascii="宋体" w:hAnsi="宋体" w:eastAsia="宋体" w:cs="宋体"/>
          <w:b w:val="0"/>
          <w:bCs w:val="0"/>
          <w:color w:val="auto"/>
          <w:sz w:val="30"/>
          <w:highlight w:val="none"/>
        </w:rPr>
        <w:t>项目管理机构</w:t>
      </w:r>
      <w:bookmarkEnd w:id="270"/>
      <w:bookmarkEnd w:id="271"/>
      <w:bookmarkEnd w:id="272"/>
      <w:bookmarkEnd w:id="273"/>
      <w:bookmarkEnd w:id="274"/>
    </w:p>
    <w:p>
      <w:pPr>
        <w:pStyle w:val="5"/>
        <w:spacing w:after="50" w:line="377" w:lineRule="auto"/>
        <w:ind w:firstLine="2772" w:firstLineChars="99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项目管理机构组成表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945"/>
        <w:gridCol w:w="735"/>
        <w:gridCol w:w="1260"/>
        <w:gridCol w:w="735"/>
        <w:gridCol w:w="945"/>
        <w:gridCol w:w="1260"/>
        <w:gridCol w:w="12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45" w:type="dxa"/>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945" w:type="dxa"/>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735" w:type="dxa"/>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5460" w:type="dxa"/>
            <w:gridSpan w:val="5"/>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执业或职业资格证明</w:t>
            </w:r>
          </w:p>
        </w:tc>
        <w:tc>
          <w:tcPr>
            <w:tcW w:w="945" w:type="dxa"/>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45" w:type="dxa"/>
            <w:vMerge w:val="continue"/>
            <w:noWrap w:val="0"/>
            <w:vAlign w:val="top"/>
          </w:tcPr>
          <w:p>
            <w:pPr>
              <w:spacing w:line="360" w:lineRule="auto"/>
              <w:rPr>
                <w:rFonts w:hint="eastAsia" w:ascii="宋体" w:hAnsi="宋体" w:eastAsia="宋体" w:cs="宋体"/>
                <w:color w:val="auto"/>
                <w:sz w:val="24"/>
                <w:highlight w:val="none"/>
              </w:rPr>
            </w:pPr>
          </w:p>
        </w:tc>
        <w:tc>
          <w:tcPr>
            <w:tcW w:w="945" w:type="dxa"/>
            <w:vMerge w:val="continue"/>
            <w:noWrap w:val="0"/>
            <w:vAlign w:val="top"/>
          </w:tcPr>
          <w:p>
            <w:pPr>
              <w:spacing w:line="360" w:lineRule="auto"/>
              <w:rPr>
                <w:rFonts w:hint="eastAsia" w:ascii="宋体" w:hAnsi="宋体" w:eastAsia="宋体" w:cs="宋体"/>
                <w:color w:val="auto"/>
                <w:sz w:val="24"/>
                <w:highlight w:val="none"/>
              </w:rPr>
            </w:pPr>
          </w:p>
        </w:tc>
        <w:tc>
          <w:tcPr>
            <w:tcW w:w="735" w:type="dxa"/>
            <w:vMerge w:val="continue"/>
            <w:noWrap w:val="0"/>
            <w:vAlign w:val="top"/>
          </w:tcPr>
          <w:p>
            <w:pPr>
              <w:spacing w:line="360" w:lineRule="auto"/>
              <w:rPr>
                <w:rFonts w:hint="eastAsia" w:ascii="宋体" w:hAnsi="宋体" w:eastAsia="宋体" w:cs="宋体"/>
                <w:color w:val="auto"/>
                <w:sz w:val="24"/>
                <w:highlight w:val="none"/>
              </w:rPr>
            </w:pPr>
          </w:p>
        </w:tc>
        <w:tc>
          <w:tcPr>
            <w:tcW w:w="126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73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94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证号</w:t>
            </w:r>
          </w:p>
        </w:tc>
        <w:tc>
          <w:tcPr>
            <w:tcW w:w="126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c>
          <w:tcPr>
            <w:tcW w:w="126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养老保险</w:t>
            </w:r>
          </w:p>
        </w:tc>
        <w:tc>
          <w:tcPr>
            <w:tcW w:w="945" w:type="dxa"/>
            <w:vMerge w:val="continue"/>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ind w:firstLine="480" w:firstLineChars="200"/>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4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735"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1260" w:type="dxa"/>
            <w:noWrap w:val="0"/>
            <w:vAlign w:val="top"/>
          </w:tcPr>
          <w:p>
            <w:pPr>
              <w:spacing w:line="360" w:lineRule="auto"/>
              <w:rPr>
                <w:rFonts w:hint="eastAsia" w:ascii="宋体" w:hAnsi="宋体" w:eastAsia="宋体" w:cs="宋体"/>
                <w:color w:val="auto"/>
                <w:sz w:val="24"/>
                <w:highlight w:val="none"/>
              </w:rPr>
            </w:pPr>
          </w:p>
        </w:tc>
        <w:tc>
          <w:tcPr>
            <w:tcW w:w="945" w:type="dxa"/>
            <w:noWrap w:val="0"/>
            <w:vAlign w:val="top"/>
          </w:tcPr>
          <w:p>
            <w:pPr>
              <w:spacing w:line="360" w:lineRule="auto"/>
              <w:rPr>
                <w:rFonts w:hint="eastAsia" w:ascii="宋体" w:hAnsi="宋体" w:eastAsia="宋体" w:cs="宋体"/>
                <w:color w:val="auto"/>
                <w:sz w:val="24"/>
                <w:highlight w:val="none"/>
              </w:rPr>
            </w:pPr>
          </w:p>
        </w:tc>
      </w:tr>
    </w:tbl>
    <w:p>
      <w:pPr>
        <w:pStyle w:val="5"/>
        <w:outlineLvl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bookmarkStart w:id="275" w:name="_Toc24179"/>
      <w:bookmarkStart w:id="276" w:name="_Toc25675"/>
      <w:bookmarkStart w:id="277" w:name="_Toc27179"/>
      <w:bookmarkStart w:id="278" w:name="_Toc20702"/>
      <w:bookmarkStart w:id="279" w:name="_Toc14331"/>
      <w:r>
        <w:rPr>
          <w:rFonts w:hint="eastAsia" w:ascii="宋体" w:hAnsi="宋体" w:eastAsia="宋体" w:cs="宋体"/>
          <w:b w:val="0"/>
          <w:bCs w:val="0"/>
          <w:color w:val="auto"/>
          <w:highlight w:val="none"/>
        </w:rPr>
        <w:t>附表七：主要人员简历表</w:t>
      </w:r>
      <w:bookmarkEnd w:id="275"/>
      <w:bookmarkEnd w:id="276"/>
      <w:bookmarkEnd w:id="277"/>
      <w:bookmarkEnd w:id="278"/>
      <w:bookmarkEnd w:id="279"/>
    </w:p>
    <w:p>
      <w:pPr>
        <w:spacing w:line="360" w:lineRule="auto"/>
        <w:ind w:right="-2" w:righ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人员简历表”中的项目经理应附建造师执业注册证书、安全生产考核合格证书、身份证、职称证、学历证，管理过的项目业绩须附合同协议书或工程接收证书（工程竣工验收证书）复印件或扫描件；其他主要人员应附职称证（执业证或上岗证书）复印件或扫描件。</w:t>
      </w:r>
    </w:p>
    <w:p>
      <w:pPr>
        <w:spacing w:line="360" w:lineRule="auto"/>
        <w:ind w:right="-2" w:rightChars="-1" w:firstLine="480" w:firstLineChars="200"/>
        <w:rPr>
          <w:rFonts w:hint="eastAsia" w:ascii="宋体" w:hAnsi="宋体" w:eastAsia="宋体" w:cs="宋体"/>
          <w:color w:val="auto"/>
          <w:sz w:val="24"/>
          <w:highlight w:val="none"/>
        </w:rPr>
      </w:pPr>
    </w:p>
    <w:tbl>
      <w:tblPr>
        <w:tblStyle w:val="1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55"/>
        <w:gridCol w:w="1625"/>
        <w:gridCol w:w="1080"/>
        <w:gridCol w:w="720"/>
        <w:gridCol w:w="720"/>
        <w:gridCol w:w="855"/>
        <w:gridCol w:w="1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51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625" w:type="dxa"/>
            <w:noWrap w:val="0"/>
            <w:vAlign w:val="center"/>
          </w:tcPr>
          <w:p>
            <w:pPr>
              <w:spacing w:line="360" w:lineRule="auto"/>
              <w:jc w:val="center"/>
              <w:rPr>
                <w:rFonts w:hint="eastAsia" w:ascii="宋体" w:hAnsi="宋体" w:eastAsia="宋体" w:cs="宋体"/>
                <w:color w:val="auto"/>
                <w:sz w:val="24"/>
                <w:highlight w:val="none"/>
              </w:rPr>
            </w:pPr>
          </w:p>
        </w:tc>
        <w:tc>
          <w:tcPr>
            <w:tcW w:w="108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44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9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      历</w:t>
            </w: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1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625" w:type="dxa"/>
            <w:noWrap w:val="0"/>
            <w:vAlign w:val="center"/>
          </w:tcPr>
          <w:p>
            <w:pPr>
              <w:spacing w:line="360" w:lineRule="auto"/>
              <w:jc w:val="center"/>
              <w:rPr>
                <w:rFonts w:hint="eastAsia" w:ascii="宋体" w:hAnsi="宋体" w:eastAsia="宋体" w:cs="宋体"/>
                <w:color w:val="auto"/>
                <w:sz w:val="24"/>
                <w:highlight w:val="none"/>
              </w:rPr>
            </w:pPr>
          </w:p>
        </w:tc>
        <w:tc>
          <w:tcPr>
            <w:tcW w:w="108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144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9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拟在本合同任职</w:t>
            </w: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1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毕业学校</w:t>
            </w:r>
          </w:p>
        </w:tc>
        <w:tc>
          <w:tcPr>
            <w:tcW w:w="7310" w:type="dxa"/>
            <w:gridSpan w:val="7"/>
            <w:noWrap w:val="0"/>
            <w:vAlign w:val="center"/>
          </w:tcPr>
          <w:p>
            <w:pPr>
              <w:spacing w:line="360" w:lineRule="auto"/>
              <w:ind w:firstLine="600" w:firstLineChars="2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820" w:type="dxa"/>
            <w:gridSpan w:val="9"/>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5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时间</w:t>
            </w:r>
          </w:p>
        </w:tc>
        <w:tc>
          <w:tcPr>
            <w:tcW w:w="3780" w:type="dxa"/>
            <w:gridSpan w:val="4"/>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参加过的类似项目</w:t>
            </w:r>
          </w:p>
        </w:tc>
        <w:tc>
          <w:tcPr>
            <w:tcW w:w="1575"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担任职务</w:t>
            </w:r>
          </w:p>
        </w:tc>
        <w:tc>
          <w:tcPr>
            <w:tcW w:w="231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155" w:type="dxa"/>
            <w:noWrap w:val="0"/>
            <w:vAlign w:val="top"/>
          </w:tcPr>
          <w:p>
            <w:pPr>
              <w:spacing w:line="360" w:lineRule="auto"/>
              <w:rPr>
                <w:rFonts w:hint="eastAsia" w:ascii="宋体" w:hAnsi="宋体" w:eastAsia="宋体" w:cs="宋体"/>
                <w:color w:val="auto"/>
                <w:sz w:val="24"/>
                <w:highlight w:val="none"/>
              </w:rPr>
            </w:pPr>
          </w:p>
        </w:tc>
        <w:tc>
          <w:tcPr>
            <w:tcW w:w="3780" w:type="dxa"/>
            <w:gridSpan w:val="4"/>
            <w:noWrap w:val="0"/>
            <w:vAlign w:val="top"/>
          </w:tcPr>
          <w:p>
            <w:pPr>
              <w:spacing w:line="360" w:lineRule="auto"/>
              <w:rPr>
                <w:rFonts w:hint="eastAsia" w:ascii="宋体" w:hAnsi="宋体" w:eastAsia="宋体" w:cs="宋体"/>
                <w:color w:val="auto"/>
                <w:sz w:val="24"/>
                <w:highlight w:val="none"/>
              </w:rPr>
            </w:pPr>
          </w:p>
        </w:tc>
        <w:tc>
          <w:tcPr>
            <w:tcW w:w="1575" w:type="dxa"/>
            <w:gridSpan w:val="2"/>
            <w:noWrap w:val="0"/>
            <w:vAlign w:val="top"/>
          </w:tcPr>
          <w:p>
            <w:pPr>
              <w:spacing w:line="360" w:lineRule="auto"/>
              <w:rPr>
                <w:rFonts w:hint="eastAsia" w:ascii="宋体" w:hAnsi="宋体" w:eastAsia="宋体" w:cs="宋体"/>
                <w:color w:val="auto"/>
                <w:sz w:val="24"/>
                <w:highlight w:val="none"/>
              </w:rPr>
            </w:pPr>
          </w:p>
        </w:tc>
        <w:tc>
          <w:tcPr>
            <w:tcW w:w="2310" w:type="dxa"/>
            <w:gridSpan w:val="2"/>
            <w:noWrap w:val="0"/>
            <w:vAlign w:val="top"/>
          </w:tcPr>
          <w:p>
            <w:pPr>
              <w:spacing w:line="360" w:lineRule="auto"/>
              <w:rPr>
                <w:rFonts w:hint="eastAsia" w:ascii="宋体" w:hAnsi="宋体" w:eastAsia="宋体" w:cs="宋体"/>
                <w:color w:val="auto"/>
                <w:sz w:val="24"/>
                <w:highlight w:val="none"/>
              </w:rPr>
            </w:pPr>
          </w:p>
        </w:tc>
      </w:tr>
    </w:tbl>
    <w:p>
      <w:pPr>
        <w:pStyle w:val="11"/>
        <w:spacing w:line="600" w:lineRule="exact"/>
        <w:ind w:firstLine="480" w:firstLineChars="200"/>
        <w:jc w:val="center"/>
        <w:rPr>
          <w:rFonts w:ascii="微软雅黑" w:hAnsi="微软雅黑" w:eastAsia="微软雅黑" w:cs="微软雅黑"/>
          <w:color w:val="auto"/>
          <w:sz w:val="24"/>
          <w:szCs w:val="24"/>
        </w:rPr>
      </w:pPr>
    </w:p>
    <w:p>
      <w:pPr>
        <w:numPr>
          <w:ilvl w:val="0"/>
          <w:numId w:val="3"/>
        </w:numPr>
        <w:spacing w:line="560" w:lineRule="exact"/>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服务能力及施工内容深化提升</w:t>
      </w:r>
    </w:p>
    <w:p>
      <w:pPr>
        <w:pStyle w:val="9"/>
        <w:numPr>
          <w:ilvl w:val="0"/>
          <w:numId w:val="0"/>
        </w:numPr>
        <w:rPr>
          <w:rFonts w:hint="eastAsia"/>
          <w:lang w:val="en-US" w:eastAsia="zh-CN"/>
        </w:rPr>
      </w:pPr>
    </w:p>
    <w:p>
      <w:pPr>
        <w:rPr>
          <w:rFonts w:hint="eastAsia"/>
          <w:lang w:val="en-US" w:eastAsia="zh-CN"/>
        </w:rPr>
      </w:pPr>
    </w:p>
    <w:p>
      <w:pPr>
        <w:pStyle w:val="9"/>
        <w:rPr>
          <w:rFonts w:hint="eastAsia"/>
          <w:lang w:val="en-US" w:eastAsia="zh-CN"/>
        </w:rPr>
      </w:pPr>
    </w:p>
    <w:p>
      <w:pPr>
        <w:pStyle w:val="5"/>
        <w:numPr>
          <w:ilvl w:val="0"/>
          <w:numId w:val="3"/>
        </w:numPr>
        <w:ind w:left="0" w:leftChars="0" w:firstLine="562" w:firstLineChars="200"/>
        <w:outlineLvl w:val="0"/>
        <w:rPr>
          <w:rFonts w:hint="eastAsia" w:ascii="宋体" w:hAnsi="宋体" w:eastAsia="宋体" w:cs="宋体"/>
          <w:lang w:val="en-US" w:eastAsia="zh-CN"/>
        </w:rPr>
      </w:pPr>
      <w:r>
        <w:rPr>
          <w:rFonts w:hint="eastAsia" w:ascii="宋体" w:hAnsi="宋体" w:eastAsia="宋体" w:cs="宋体"/>
          <w:b/>
          <w:bCs/>
          <w:color w:val="auto"/>
          <w:sz w:val="28"/>
          <w:szCs w:val="20"/>
          <w:highlight w:val="none"/>
          <w:lang w:val="en-US" w:eastAsia="zh-CN"/>
        </w:rPr>
        <w:t>质量及服务承诺</w:t>
      </w:r>
    </w:p>
    <w:p>
      <w:pPr>
        <w:rPr>
          <w:rFonts w:hint="eastAsia" w:ascii="宋体" w:hAnsi="宋体" w:eastAsia="宋体" w:cs="宋体"/>
          <w:b/>
          <w:bCs/>
          <w:color w:val="auto"/>
          <w:sz w:val="28"/>
          <w:szCs w:val="20"/>
          <w:highlight w:val="none"/>
          <w:lang w:val="en-US" w:eastAsia="zh-CN"/>
        </w:rPr>
      </w:pPr>
    </w:p>
    <w:p>
      <w:pPr>
        <w:pStyle w:val="9"/>
        <w:rPr>
          <w:rFonts w:hint="eastAsia"/>
          <w:lang w:val="en-US" w:eastAsia="zh-CN"/>
        </w:rPr>
      </w:pPr>
    </w:p>
    <w:p>
      <w:pPr>
        <w:pStyle w:val="9"/>
        <w:rPr>
          <w:rFonts w:hint="eastAsia"/>
          <w:lang w:val="en-US" w:eastAsia="zh-CN"/>
        </w:rPr>
      </w:pPr>
    </w:p>
    <w:p>
      <w:pPr>
        <w:pStyle w:val="11"/>
        <w:spacing w:line="600" w:lineRule="exact"/>
        <w:ind w:firstLine="562" w:firstLineChars="200"/>
        <w:jc w:val="both"/>
        <w:rPr>
          <w:rFonts w:ascii="微软雅黑" w:hAnsi="微软雅黑" w:eastAsia="微软雅黑" w:cs="微软雅黑"/>
          <w:b/>
          <w:bCs/>
          <w:color w:val="auto"/>
          <w:sz w:val="28"/>
          <w:szCs w:val="28"/>
        </w:rPr>
      </w:pPr>
      <w:r>
        <w:rPr>
          <w:rFonts w:hint="eastAsia" w:ascii="宋体" w:hAnsi="宋体" w:eastAsia="宋体" w:cs="宋体"/>
          <w:b/>
          <w:bCs/>
          <w:color w:val="auto"/>
          <w:sz w:val="28"/>
          <w:szCs w:val="20"/>
          <w:highlight w:val="none"/>
          <w:lang w:val="en-US" w:eastAsia="zh-CN"/>
        </w:rPr>
        <w:t>五、企业业绩</w:t>
      </w: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480" w:firstLineChars="200"/>
        <w:jc w:val="center"/>
        <w:rPr>
          <w:rFonts w:ascii="微软雅黑" w:hAnsi="微软雅黑" w:eastAsia="微软雅黑" w:cs="微软雅黑"/>
          <w:color w:val="auto"/>
          <w:sz w:val="24"/>
          <w:szCs w:val="24"/>
        </w:rPr>
      </w:pPr>
    </w:p>
    <w:p>
      <w:pPr>
        <w:pStyle w:val="11"/>
        <w:spacing w:line="600" w:lineRule="exact"/>
        <w:ind w:firstLine="960" w:firstLineChars="200"/>
        <w:jc w:val="center"/>
        <w:rPr>
          <w:rFonts w:hint="eastAsia" w:ascii="华文琥珀" w:hAnsi="华文琥珀" w:eastAsia="华文琥珀" w:cs="华文琥珀"/>
          <w:color w:val="auto"/>
          <w:sz w:val="48"/>
          <w:szCs w:val="48"/>
        </w:rPr>
      </w:pPr>
    </w:p>
    <w:p>
      <w:pPr>
        <w:pStyle w:val="11"/>
        <w:spacing w:line="600" w:lineRule="exact"/>
        <w:ind w:firstLine="960" w:firstLineChars="200"/>
        <w:jc w:val="center"/>
        <w:rPr>
          <w:rFonts w:hint="eastAsia" w:ascii="华文琥珀" w:hAnsi="华文琥珀" w:eastAsia="华文琥珀" w:cs="华文琥珀"/>
          <w:color w:val="auto"/>
          <w:sz w:val="48"/>
          <w:szCs w:val="48"/>
        </w:rPr>
      </w:pPr>
    </w:p>
    <w:p>
      <w:pPr>
        <w:pStyle w:val="11"/>
        <w:spacing w:line="600" w:lineRule="exact"/>
        <w:ind w:firstLine="960" w:firstLineChars="200"/>
        <w:jc w:val="center"/>
        <w:rPr>
          <w:rFonts w:hint="eastAsia" w:ascii="华文琥珀" w:hAnsi="华文琥珀" w:eastAsia="华文琥珀" w:cs="华文琥珀"/>
          <w:color w:val="auto"/>
          <w:sz w:val="48"/>
          <w:szCs w:val="48"/>
        </w:rPr>
      </w:pPr>
    </w:p>
    <w:p>
      <w:pPr>
        <w:pStyle w:val="11"/>
        <w:spacing w:line="600" w:lineRule="exact"/>
        <w:ind w:firstLine="960" w:firstLineChars="200"/>
        <w:jc w:val="center"/>
        <w:rPr>
          <w:rFonts w:ascii="Times New Roman" w:hAnsi="Times New Roman" w:cs="Times New Roman"/>
          <w:color w:val="auto"/>
        </w:rPr>
      </w:pPr>
      <w:r>
        <w:rPr>
          <w:rFonts w:hint="eastAsia" w:ascii="华文琥珀" w:hAnsi="华文琥珀" w:eastAsia="华文琥珀" w:cs="华文琥珀"/>
          <w:color w:val="auto"/>
          <w:sz w:val="48"/>
          <w:szCs w:val="48"/>
        </w:rPr>
        <w:t>第二部分　技术部分</w:t>
      </w: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pStyle w:val="7"/>
        <w:jc w:val="cente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9"/>
        <w:rPr>
          <w:rFonts w:ascii="Times New Roman" w:hAnsi="Times New Roman"/>
          <w:color w:val="auto"/>
        </w:rPr>
      </w:pPr>
    </w:p>
    <w:p>
      <w:pPr>
        <w:rPr>
          <w:rFonts w:ascii="Times New Roman" w:hAnsi="Times New Roman"/>
          <w:color w:val="auto"/>
        </w:rPr>
      </w:pPr>
    </w:p>
    <w:p>
      <w:pPr>
        <w:pStyle w:val="9"/>
        <w:rPr>
          <w:rFonts w:ascii="Times New Roman" w:hAnsi="Times New Roman"/>
          <w:color w:val="auto"/>
        </w:rPr>
      </w:pPr>
    </w:p>
    <w:p>
      <w:pPr>
        <w:rPr>
          <w:rFonts w:ascii="Times New Roman" w:hAnsi="Times New Roman"/>
          <w:color w:val="auto"/>
        </w:rPr>
      </w:pPr>
    </w:p>
    <w:p>
      <w:pPr>
        <w:pStyle w:val="9"/>
      </w:pPr>
    </w:p>
    <w:p>
      <w:pPr>
        <w:pStyle w:val="7"/>
        <w:numPr>
          <w:ilvl w:val="0"/>
          <w:numId w:val="4"/>
        </w:numPr>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项目采购需求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一、</w:t>
      </w:r>
      <w:r>
        <w:rPr>
          <w:rFonts w:hint="eastAsia" w:ascii="微软雅黑" w:hAnsi="微软雅黑" w:eastAsia="微软雅黑" w:cs="微软雅黑"/>
          <w:b/>
          <w:bCs/>
          <w:color w:val="auto"/>
          <w:sz w:val="24"/>
          <w:szCs w:val="24"/>
        </w:rPr>
        <w:t>采购内容：</w:t>
      </w:r>
      <w:r>
        <w:rPr>
          <w:rFonts w:hint="eastAsia" w:ascii="微软雅黑" w:hAnsi="微软雅黑" w:eastAsia="微软雅黑" w:cs="微软雅黑"/>
          <w:b/>
          <w:bCs/>
          <w:color w:val="auto"/>
          <w:sz w:val="24"/>
          <w:szCs w:val="24"/>
          <w:lang w:val="en-US" w:eastAsia="zh-CN"/>
        </w:rPr>
        <w:t>平利县人民法院机关办公楼后围墙维护工程及安检大厅改造装修工程项目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二、项目</w:t>
      </w:r>
      <w:r>
        <w:rPr>
          <w:rFonts w:hint="eastAsia" w:ascii="微软雅黑" w:hAnsi="微软雅黑" w:eastAsia="微软雅黑" w:cs="微软雅黑"/>
          <w:b/>
          <w:bCs/>
          <w:color w:val="auto"/>
          <w:sz w:val="24"/>
          <w:szCs w:val="24"/>
          <w:lang w:val="en-US" w:eastAsia="zh-CN"/>
        </w:rPr>
        <w:t>概况</w:t>
      </w:r>
      <w:r>
        <w:rPr>
          <w:rFonts w:hint="eastAsia" w:ascii="微软雅黑" w:hAnsi="微软雅黑" w:eastAsia="微软雅黑" w:cs="微软雅黑"/>
          <w:b/>
          <w:bCs/>
          <w:color w:val="auto"/>
          <w:sz w:val="24"/>
          <w:szCs w:val="24"/>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本工程为平利县人民法院机关办公楼后围墙维护工程及安检大厅改造装修工程，主要内容为安检门房改扩建工程及围墙维护工程。具体工程内容详见设计图纸。</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color w:val="auto"/>
          <w:sz w:val="24"/>
          <w:szCs w:val="28"/>
          <w:lang w:val="en-US" w:eastAsia="zh-CN"/>
        </w:rPr>
      </w:pPr>
      <w:r>
        <w:rPr>
          <w:rFonts w:hint="eastAsia" w:ascii="微软雅黑" w:hAnsi="微软雅黑" w:eastAsia="微软雅黑" w:cs="微软雅黑"/>
          <w:b/>
          <w:bCs/>
          <w:color w:val="auto"/>
          <w:sz w:val="24"/>
          <w:szCs w:val="28"/>
          <w:lang w:val="en-US" w:eastAsia="zh-CN"/>
        </w:rPr>
        <w:t>三、编制依据</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1、《2009陕西省建设工程工程量清单计价规则》。（2009版）</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2、《2004陕西省建设工程消耗量定额》。</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3、《2009陕西省建设工程工程价目表》。</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4、《2009陕西省建设工程费率表》。</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5、施工设计图纸及施工设计图中选用的相关标准图集。</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color w:val="auto"/>
          <w:sz w:val="24"/>
          <w:szCs w:val="28"/>
          <w:lang w:val="en-US" w:eastAsia="zh-CN"/>
        </w:rPr>
      </w:pPr>
      <w:r>
        <w:rPr>
          <w:rFonts w:hint="eastAsia" w:ascii="微软雅黑" w:hAnsi="微软雅黑" w:eastAsia="微软雅黑" w:cs="微软雅黑"/>
          <w:b/>
          <w:bCs/>
          <w:color w:val="auto"/>
          <w:sz w:val="24"/>
          <w:szCs w:val="28"/>
          <w:lang w:val="en-US" w:eastAsia="zh-CN"/>
        </w:rPr>
        <w:t>四、编制说明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1、本工程采用金建软件6.3.0版本编制。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2、最高限价编制执行《安康工程造价管理信息》2024年第5期及市场询价。</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3、人工费执行陕建发【2021】1097号文件。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4、增值税调整执行陕建发【2019】45号文件进行。</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5、安全文明施工费执行陕建发【2019】1246号文件。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6、安全生产责任险执行陕建发【2020】1097号文件。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7、养老保险执行陕建发【2021】1021号文件。</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color w:val="auto"/>
          <w:sz w:val="24"/>
          <w:szCs w:val="28"/>
          <w:lang w:val="en-US" w:eastAsia="zh-CN"/>
        </w:rPr>
      </w:pPr>
      <w:r>
        <w:rPr>
          <w:rFonts w:hint="eastAsia" w:ascii="微软雅黑" w:hAnsi="微软雅黑" w:eastAsia="微软雅黑" w:cs="微软雅黑"/>
          <w:b/>
          <w:bCs/>
          <w:color w:val="auto"/>
          <w:sz w:val="24"/>
          <w:szCs w:val="28"/>
          <w:lang w:val="en-US" w:eastAsia="zh-CN"/>
        </w:rPr>
        <w:t>五、需要说明的问题</w:t>
      </w:r>
    </w:p>
    <w:p>
      <w:pPr>
        <w:pStyle w:val="9"/>
        <w:ind w:firstLine="480" w:firstLineChars="200"/>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1、安检门房改扩建工程：</w:t>
      </w:r>
    </w:p>
    <w:p>
      <w:pPr>
        <w:pStyle w:val="9"/>
        <w:ind w:firstLine="480" w:firstLineChars="200"/>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①钢结构屋面女儿墙，暂定综合单价350元/㎡，结算时以实际发生工艺为准，进行认质认价后据实结算。</w:t>
      </w:r>
    </w:p>
    <w:p>
      <w:pPr>
        <w:pStyle w:val="9"/>
        <w:ind w:firstLine="480" w:firstLineChars="200"/>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②安检门房双面智能警用储物柜暂定综合单价15000元/个，结算时以实际发生工艺为准，进行认质认价后据实结算。</w:t>
      </w:r>
    </w:p>
    <w:p>
      <w:pPr>
        <w:pStyle w:val="9"/>
        <w:ind w:firstLine="480" w:firstLineChars="200"/>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③原有门房及安检大厅需拆除、清理、外运，暂按60000元/项计入，结算以实际发生工程量为准据实结算。</w:t>
      </w:r>
    </w:p>
    <w:p>
      <w:pPr>
        <w:pStyle w:val="9"/>
        <w:ind w:firstLine="480" w:firstLineChars="200"/>
        <w:rPr>
          <w:rFonts w:hint="eastAsia" w:ascii="微软雅黑" w:hAnsi="微软雅黑" w:eastAsia="微软雅黑" w:cs="微软雅黑"/>
          <w:b w:val="0"/>
          <w:bCs w:val="0"/>
          <w:color w:val="auto"/>
          <w:sz w:val="24"/>
          <w:szCs w:val="28"/>
          <w:lang w:val="en-US" w:eastAsia="zh-CN"/>
        </w:rPr>
      </w:pPr>
      <w:r>
        <w:rPr>
          <w:rFonts w:hint="eastAsia" w:ascii="微软雅黑" w:hAnsi="微软雅黑" w:eastAsia="微软雅黑" w:cs="微软雅黑"/>
          <w:b w:val="0"/>
          <w:bCs w:val="0"/>
          <w:color w:val="auto"/>
          <w:sz w:val="24"/>
          <w:szCs w:val="28"/>
          <w:lang w:val="en-US" w:eastAsia="zh-CN"/>
        </w:rPr>
        <w:t>④现场消防检查井位移、安检门房周边地下室顶部防水拆除后重新施工，暂按50000元/项计入，结算以实际发生工程量为准据实结算。</w:t>
      </w:r>
    </w:p>
    <w:p>
      <w:pPr>
        <w:pStyle w:val="9"/>
        <w:ind w:firstLine="480" w:firstLineChars="200"/>
        <w:rPr>
          <w:rFonts w:hint="eastAsia" w:ascii="微软雅黑" w:hAnsi="微软雅黑" w:eastAsia="微软雅黑" w:cs="微软雅黑"/>
          <w:b/>
          <w:bCs/>
          <w:color w:val="auto"/>
          <w:sz w:val="21"/>
          <w:szCs w:val="18"/>
          <w:lang w:val="en-US" w:eastAsia="zh-CN"/>
        </w:rPr>
      </w:pPr>
      <w:r>
        <w:rPr>
          <w:rFonts w:hint="eastAsia" w:ascii="微软雅黑" w:hAnsi="微软雅黑" w:eastAsia="微软雅黑" w:cs="微软雅黑"/>
          <w:b/>
          <w:bCs/>
          <w:color w:val="auto"/>
          <w:sz w:val="24"/>
          <w:szCs w:val="28"/>
          <w:lang w:val="en-US" w:eastAsia="zh-CN"/>
        </w:rPr>
        <w:t>六、工程量清单</w:t>
      </w:r>
      <w:r>
        <w:rPr>
          <w:rFonts w:hint="eastAsia" w:ascii="微软雅黑" w:hAnsi="微软雅黑" w:eastAsia="微软雅黑" w:cs="微软雅黑"/>
          <w:b/>
          <w:bCs/>
          <w:color w:val="auto"/>
          <w:sz w:val="24"/>
          <w:szCs w:val="21"/>
          <w:lang w:val="en-US" w:eastAsia="zh-CN"/>
        </w:rPr>
        <w:t>（详见附件）</w:t>
      </w:r>
    </w:p>
    <w:p>
      <w:pPr>
        <w:pStyle w:val="9"/>
        <w:ind w:firstLine="480" w:firstLineChars="200"/>
        <w:rPr>
          <w:rFonts w:hint="eastAsia" w:ascii="微软雅黑" w:hAnsi="微软雅黑" w:eastAsia="微软雅黑" w:cs="微软雅黑"/>
          <w:b/>
          <w:bCs/>
          <w:color w:val="auto"/>
          <w:sz w:val="24"/>
          <w:szCs w:val="21"/>
          <w:lang w:val="en-US" w:eastAsia="zh-CN"/>
        </w:rPr>
      </w:pPr>
      <w:r>
        <w:rPr>
          <w:rFonts w:hint="eastAsia" w:ascii="微软雅黑" w:hAnsi="微软雅黑" w:eastAsia="微软雅黑" w:cs="微软雅黑"/>
          <w:b/>
          <w:bCs/>
          <w:color w:val="auto"/>
          <w:sz w:val="24"/>
          <w:szCs w:val="21"/>
          <w:lang w:val="en-US" w:eastAsia="zh-CN"/>
        </w:rPr>
        <w:t>七、施工图（详见附件）</w:t>
      </w:r>
    </w:p>
    <w:p>
      <w:pPr>
        <w:rPr>
          <w:rFonts w:hint="default"/>
          <w:lang w:val="en-US" w:eastAsia="zh-CN"/>
        </w:rPr>
      </w:pP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v:textbox>
            </v:shape>
          </w:pict>
        </mc:Fallback>
      </mc:AlternateContent>
    </w:r>
    <w:r>
      <w:rPr>
        <w:rFonts w:hint="eastAsia"/>
      </w:rPr>
      <w:t>陕西国泰招标代理有限公司                                   安康市兴安中路44号君安大厦24楼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176" w:firstLineChars="2600"/>
      <w:jc w:val="left"/>
      <w:rPr>
        <w:b/>
        <w:bCs/>
        <w:i/>
        <w:iCs/>
        <w:sz w:val="16"/>
        <w:szCs w:val="21"/>
      </w:rPr>
    </w:pPr>
    <w:r>
      <w:rPr>
        <w:rFonts w:hint="eastAsia"/>
        <w:b/>
        <w:bCs/>
        <w:i/>
        <w:iCs/>
        <w:sz w:val="16"/>
        <w:szCs w:val="21"/>
      </w:rPr>
      <w:t>汉滨区2022年森林防火无人机巡护服务采购项目磋商文件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cs="宋体"/>
        <w:szCs w:val="18"/>
      </w:rPr>
    </w:pPr>
    <w:r>
      <w:rPr>
        <w:rFonts w:hint="eastAsia" w:ascii="宋体" w:hAnsi="宋体" w:cs="宋体"/>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FCEED"/>
    <w:multiLevelType w:val="singleLevel"/>
    <w:tmpl w:val="B49FCEED"/>
    <w:lvl w:ilvl="0" w:tentative="0">
      <w:start w:val="6"/>
      <w:numFmt w:val="chineseCounting"/>
      <w:suff w:val="nothing"/>
      <w:lvlText w:val="第%1章　"/>
      <w:lvlJc w:val="left"/>
      <w:rPr>
        <w:rFonts w:hint="eastAsia"/>
      </w:rPr>
    </w:lvl>
  </w:abstractNum>
  <w:abstractNum w:abstractNumId="1">
    <w:nsid w:val="CC297389"/>
    <w:multiLevelType w:val="singleLevel"/>
    <w:tmpl w:val="CC297389"/>
    <w:lvl w:ilvl="0" w:tentative="0">
      <w:start w:val="5"/>
      <w:numFmt w:val="decimal"/>
      <w:lvlText w:val="(%1)"/>
      <w:lvlJc w:val="left"/>
      <w:pPr>
        <w:tabs>
          <w:tab w:val="left" w:pos="312"/>
        </w:tabs>
      </w:pPr>
    </w:lvl>
  </w:abstractNum>
  <w:abstractNum w:abstractNumId="2">
    <w:nsid w:val="E0B66E01"/>
    <w:multiLevelType w:val="singleLevel"/>
    <w:tmpl w:val="E0B66E01"/>
    <w:lvl w:ilvl="0" w:tentative="0">
      <w:start w:val="3"/>
      <w:numFmt w:val="chineseCounting"/>
      <w:suff w:val="nothing"/>
      <w:lvlText w:val="%1、"/>
      <w:lvlJc w:val="left"/>
      <w:rPr>
        <w:rFonts w:hint="eastAsia"/>
      </w:rPr>
    </w:lvl>
  </w:abstractNum>
  <w:abstractNum w:abstractNumId="3">
    <w:nsid w:val="273A159B"/>
    <w:multiLevelType w:val="multilevel"/>
    <w:tmpl w:val="273A159B"/>
    <w:lvl w:ilvl="0" w:tentative="0">
      <w:start w:val="1"/>
      <w:numFmt w:val="decimal"/>
      <w:pStyle w:val="34"/>
      <w:lvlText w:val="（%1）"/>
      <w:lvlJc w:val="left"/>
      <w:pPr>
        <w:tabs>
          <w:tab w:val="left" w:pos="1140"/>
        </w:tabs>
        <w:ind w:left="1140" w:hanging="720"/>
      </w:pPr>
    </w:lvl>
    <w:lvl w:ilvl="1" w:tentative="0">
      <w:start w:val="1"/>
      <w:numFmt w:val="decimal"/>
      <w:lvlText w:val="(%2)"/>
      <w:lvlJc w:val="left"/>
      <w:pPr>
        <w:tabs>
          <w:tab w:val="left" w:pos="1560"/>
        </w:tabs>
        <w:ind w:left="1560" w:hanging="720"/>
      </w:pPr>
    </w:lvl>
    <w:lvl w:ilvl="2" w:tentative="0">
      <w:start w:val="2"/>
      <w:numFmt w:val="decimal"/>
      <w:lvlText w:val="%3．"/>
      <w:lvlJc w:val="left"/>
      <w:pPr>
        <w:tabs>
          <w:tab w:val="left" w:pos="1980"/>
        </w:tabs>
        <w:ind w:left="1980" w:hanging="720"/>
      </w:pPr>
    </w:lvl>
    <w:lvl w:ilvl="3" w:tentative="0">
      <w:start w:val="1"/>
      <w:numFmt w:val="lowerLetter"/>
      <w:lvlText w:val="%4）"/>
      <w:lvlJc w:val="left"/>
      <w:pPr>
        <w:tabs>
          <w:tab w:val="left" w:pos="2400"/>
        </w:tabs>
        <w:ind w:left="2400" w:hanging="720"/>
      </w:pPr>
    </w:lvl>
    <w:lvl w:ilvl="4" w:tentative="0">
      <w:start w:val="1"/>
      <w:numFmt w:val="lowerLetter"/>
      <w:lvlText w:val="%5)"/>
      <w:lvlJc w:val="left"/>
      <w:pPr>
        <w:tabs>
          <w:tab w:val="left" w:pos="2790"/>
        </w:tabs>
        <w:ind w:left="2790" w:hanging="69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lNjQ0ZDM1MzI3OGEzMTQ5NTg2OWIxNjE4ZWE5NjUifQ=="/>
  </w:docVars>
  <w:rsids>
    <w:rsidRoot w:val="1048410A"/>
    <w:rsid w:val="00014A69"/>
    <w:rsid w:val="000479F7"/>
    <w:rsid w:val="0006165D"/>
    <w:rsid w:val="000747DC"/>
    <w:rsid w:val="000813F0"/>
    <w:rsid w:val="000846B8"/>
    <w:rsid w:val="000B60CD"/>
    <w:rsid w:val="000E2D1A"/>
    <w:rsid w:val="000F3656"/>
    <w:rsid w:val="0011011B"/>
    <w:rsid w:val="001603BB"/>
    <w:rsid w:val="00186BF0"/>
    <w:rsid w:val="001916D8"/>
    <w:rsid w:val="00191753"/>
    <w:rsid w:val="001A45B7"/>
    <w:rsid w:val="001A7714"/>
    <w:rsid w:val="001B2ADF"/>
    <w:rsid w:val="001D0515"/>
    <w:rsid w:val="00216713"/>
    <w:rsid w:val="00242321"/>
    <w:rsid w:val="00250CD3"/>
    <w:rsid w:val="00264810"/>
    <w:rsid w:val="00281C42"/>
    <w:rsid w:val="002B5BDF"/>
    <w:rsid w:val="002C4449"/>
    <w:rsid w:val="002C6EED"/>
    <w:rsid w:val="002D74F5"/>
    <w:rsid w:val="002E171D"/>
    <w:rsid w:val="00324F6A"/>
    <w:rsid w:val="00333432"/>
    <w:rsid w:val="00340A53"/>
    <w:rsid w:val="003956AE"/>
    <w:rsid w:val="003A6B66"/>
    <w:rsid w:val="003C2E3C"/>
    <w:rsid w:val="003C72CB"/>
    <w:rsid w:val="003D2E22"/>
    <w:rsid w:val="00402CD5"/>
    <w:rsid w:val="00406B26"/>
    <w:rsid w:val="00414BF6"/>
    <w:rsid w:val="00416A7E"/>
    <w:rsid w:val="00445AC5"/>
    <w:rsid w:val="00454483"/>
    <w:rsid w:val="004D6B8E"/>
    <w:rsid w:val="004E2569"/>
    <w:rsid w:val="00540F82"/>
    <w:rsid w:val="00581AB1"/>
    <w:rsid w:val="005A17DB"/>
    <w:rsid w:val="005C32C5"/>
    <w:rsid w:val="005D1595"/>
    <w:rsid w:val="005F3D98"/>
    <w:rsid w:val="00615EA1"/>
    <w:rsid w:val="00617C27"/>
    <w:rsid w:val="006463F2"/>
    <w:rsid w:val="00654CB1"/>
    <w:rsid w:val="006700EF"/>
    <w:rsid w:val="00694F58"/>
    <w:rsid w:val="006E06F4"/>
    <w:rsid w:val="006E7279"/>
    <w:rsid w:val="00710816"/>
    <w:rsid w:val="00742C2A"/>
    <w:rsid w:val="0075303E"/>
    <w:rsid w:val="007738B1"/>
    <w:rsid w:val="00781C2D"/>
    <w:rsid w:val="007A4F5B"/>
    <w:rsid w:val="007C07DE"/>
    <w:rsid w:val="0081528F"/>
    <w:rsid w:val="0082166E"/>
    <w:rsid w:val="008438A6"/>
    <w:rsid w:val="00851E84"/>
    <w:rsid w:val="008553D2"/>
    <w:rsid w:val="008566A4"/>
    <w:rsid w:val="0086266D"/>
    <w:rsid w:val="00862A97"/>
    <w:rsid w:val="0087107D"/>
    <w:rsid w:val="00873FED"/>
    <w:rsid w:val="00881C91"/>
    <w:rsid w:val="008C18D3"/>
    <w:rsid w:val="00913B8B"/>
    <w:rsid w:val="00922CEB"/>
    <w:rsid w:val="009E550D"/>
    <w:rsid w:val="00A15077"/>
    <w:rsid w:val="00A4054A"/>
    <w:rsid w:val="00A47295"/>
    <w:rsid w:val="00A66F79"/>
    <w:rsid w:val="00A91414"/>
    <w:rsid w:val="00AA4DFB"/>
    <w:rsid w:val="00AB02BA"/>
    <w:rsid w:val="00AC1E9F"/>
    <w:rsid w:val="00AE731D"/>
    <w:rsid w:val="00B21C89"/>
    <w:rsid w:val="00B27774"/>
    <w:rsid w:val="00B42F19"/>
    <w:rsid w:val="00B533DC"/>
    <w:rsid w:val="00B5697D"/>
    <w:rsid w:val="00B701B7"/>
    <w:rsid w:val="00BB6A64"/>
    <w:rsid w:val="00BE3942"/>
    <w:rsid w:val="00BF0E19"/>
    <w:rsid w:val="00C1210D"/>
    <w:rsid w:val="00C55AF4"/>
    <w:rsid w:val="00C752A7"/>
    <w:rsid w:val="00C95101"/>
    <w:rsid w:val="00CD68CA"/>
    <w:rsid w:val="00D012FC"/>
    <w:rsid w:val="00D06213"/>
    <w:rsid w:val="00D30136"/>
    <w:rsid w:val="00D57A64"/>
    <w:rsid w:val="00D7050F"/>
    <w:rsid w:val="00D71FB7"/>
    <w:rsid w:val="00D877AF"/>
    <w:rsid w:val="00DB4ED2"/>
    <w:rsid w:val="00DB5F48"/>
    <w:rsid w:val="00DC7302"/>
    <w:rsid w:val="00E0171D"/>
    <w:rsid w:val="00E20614"/>
    <w:rsid w:val="00E21BD0"/>
    <w:rsid w:val="00E22956"/>
    <w:rsid w:val="00E55C19"/>
    <w:rsid w:val="00E65961"/>
    <w:rsid w:val="00E96C9B"/>
    <w:rsid w:val="00EB047F"/>
    <w:rsid w:val="00EC2BED"/>
    <w:rsid w:val="00EC3D31"/>
    <w:rsid w:val="00ED184E"/>
    <w:rsid w:val="00ED4290"/>
    <w:rsid w:val="00ED4CA1"/>
    <w:rsid w:val="00EE5BBC"/>
    <w:rsid w:val="00F14A40"/>
    <w:rsid w:val="00F35DBA"/>
    <w:rsid w:val="00F437D1"/>
    <w:rsid w:val="00F70FCD"/>
    <w:rsid w:val="00F72CA9"/>
    <w:rsid w:val="00FA0142"/>
    <w:rsid w:val="00FD3E8E"/>
    <w:rsid w:val="00FD543C"/>
    <w:rsid w:val="01017B5C"/>
    <w:rsid w:val="012C0B5F"/>
    <w:rsid w:val="0151578E"/>
    <w:rsid w:val="01525B29"/>
    <w:rsid w:val="016161FF"/>
    <w:rsid w:val="01674DCF"/>
    <w:rsid w:val="01791910"/>
    <w:rsid w:val="01823469"/>
    <w:rsid w:val="01A56E5B"/>
    <w:rsid w:val="01A80513"/>
    <w:rsid w:val="01C310A5"/>
    <w:rsid w:val="01D31020"/>
    <w:rsid w:val="01D46B46"/>
    <w:rsid w:val="01E319A4"/>
    <w:rsid w:val="01EF337F"/>
    <w:rsid w:val="020002C6"/>
    <w:rsid w:val="0200561C"/>
    <w:rsid w:val="02011DAA"/>
    <w:rsid w:val="0205305F"/>
    <w:rsid w:val="02096E00"/>
    <w:rsid w:val="020C62E0"/>
    <w:rsid w:val="021F4265"/>
    <w:rsid w:val="022B314E"/>
    <w:rsid w:val="024509FE"/>
    <w:rsid w:val="025153E2"/>
    <w:rsid w:val="026755EF"/>
    <w:rsid w:val="027873CB"/>
    <w:rsid w:val="027A7E4F"/>
    <w:rsid w:val="02A877D5"/>
    <w:rsid w:val="02B07A65"/>
    <w:rsid w:val="02B349AE"/>
    <w:rsid w:val="02CA3B49"/>
    <w:rsid w:val="02E1728D"/>
    <w:rsid w:val="02E81A45"/>
    <w:rsid w:val="02E94347"/>
    <w:rsid w:val="030A5EB4"/>
    <w:rsid w:val="030F2661"/>
    <w:rsid w:val="03157416"/>
    <w:rsid w:val="034315B3"/>
    <w:rsid w:val="034B7E46"/>
    <w:rsid w:val="035A61AF"/>
    <w:rsid w:val="03627122"/>
    <w:rsid w:val="03646ACC"/>
    <w:rsid w:val="037013D2"/>
    <w:rsid w:val="03853FCD"/>
    <w:rsid w:val="03924A02"/>
    <w:rsid w:val="03B441F5"/>
    <w:rsid w:val="03B95FF4"/>
    <w:rsid w:val="03C055D4"/>
    <w:rsid w:val="03C261E6"/>
    <w:rsid w:val="03C801EF"/>
    <w:rsid w:val="03F51BA5"/>
    <w:rsid w:val="03F60FF6"/>
    <w:rsid w:val="03FB147E"/>
    <w:rsid w:val="040B70FB"/>
    <w:rsid w:val="04162349"/>
    <w:rsid w:val="041C5CD0"/>
    <w:rsid w:val="04212517"/>
    <w:rsid w:val="042C1A0C"/>
    <w:rsid w:val="04452112"/>
    <w:rsid w:val="04546EEA"/>
    <w:rsid w:val="046046C1"/>
    <w:rsid w:val="046705A7"/>
    <w:rsid w:val="046C3F72"/>
    <w:rsid w:val="04701F09"/>
    <w:rsid w:val="04832039"/>
    <w:rsid w:val="048501B9"/>
    <w:rsid w:val="048A0F22"/>
    <w:rsid w:val="048F248D"/>
    <w:rsid w:val="04904960"/>
    <w:rsid w:val="04A61FC5"/>
    <w:rsid w:val="04BA79B2"/>
    <w:rsid w:val="04D53BA9"/>
    <w:rsid w:val="05097B24"/>
    <w:rsid w:val="051B4E91"/>
    <w:rsid w:val="054416D2"/>
    <w:rsid w:val="05465FAD"/>
    <w:rsid w:val="054924A3"/>
    <w:rsid w:val="055F1D2B"/>
    <w:rsid w:val="055F2BCB"/>
    <w:rsid w:val="05626428"/>
    <w:rsid w:val="057E4778"/>
    <w:rsid w:val="058B39C0"/>
    <w:rsid w:val="059545DB"/>
    <w:rsid w:val="05B12EF8"/>
    <w:rsid w:val="05C75C49"/>
    <w:rsid w:val="05E044BA"/>
    <w:rsid w:val="05E24100"/>
    <w:rsid w:val="05EE27FC"/>
    <w:rsid w:val="060811EF"/>
    <w:rsid w:val="06117421"/>
    <w:rsid w:val="06583AB5"/>
    <w:rsid w:val="065915BD"/>
    <w:rsid w:val="067508F8"/>
    <w:rsid w:val="067D69A8"/>
    <w:rsid w:val="068A099B"/>
    <w:rsid w:val="069621D0"/>
    <w:rsid w:val="069F7723"/>
    <w:rsid w:val="06A20FC1"/>
    <w:rsid w:val="06AE1F31"/>
    <w:rsid w:val="07015C4F"/>
    <w:rsid w:val="070E1180"/>
    <w:rsid w:val="07164957"/>
    <w:rsid w:val="07217EB1"/>
    <w:rsid w:val="0733430F"/>
    <w:rsid w:val="0733466B"/>
    <w:rsid w:val="073F0F06"/>
    <w:rsid w:val="07434552"/>
    <w:rsid w:val="076845EE"/>
    <w:rsid w:val="07694C21"/>
    <w:rsid w:val="0785165C"/>
    <w:rsid w:val="079E1C5C"/>
    <w:rsid w:val="07A71A5E"/>
    <w:rsid w:val="07B21B14"/>
    <w:rsid w:val="07C45D76"/>
    <w:rsid w:val="07D438D1"/>
    <w:rsid w:val="07F84C46"/>
    <w:rsid w:val="081D2FF5"/>
    <w:rsid w:val="08251EAA"/>
    <w:rsid w:val="08483FCA"/>
    <w:rsid w:val="085207C5"/>
    <w:rsid w:val="08746273"/>
    <w:rsid w:val="087C5AB9"/>
    <w:rsid w:val="087F7C1D"/>
    <w:rsid w:val="088E5CA1"/>
    <w:rsid w:val="08923429"/>
    <w:rsid w:val="08931509"/>
    <w:rsid w:val="08B30864"/>
    <w:rsid w:val="08D13DE0"/>
    <w:rsid w:val="09125F28"/>
    <w:rsid w:val="09175ABB"/>
    <w:rsid w:val="09202CB8"/>
    <w:rsid w:val="092214E1"/>
    <w:rsid w:val="09320FD5"/>
    <w:rsid w:val="09436AA0"/>
    <w:rsid w:val="094445B2"/>
    <w:rsid w:val="0956742B"/>
    <w:rsid w:val="0958462E"/>
    <w:rsid w:val="095E54E0"/>
    <w:rsid w:val="096244CB"/>
    <w:rsid w:val="097529BD"/>
    <w:rsid w:val="097D4B6F"/>
    <w:rsid w:val="097F383C"/>
    <w:rsid w:val="098026FD"/>
    <w:rsid w:val="099252D6"/>
    <w:rsid w:val="099B2874"/>
    <w:rsid w:val="09A77BE3"/>
    <w:rsid w:val="09AA65E0"/>
    <w:rsid w:val="09AD6546"/>
    <w:rsid w:val="09C01B46"/>
    <w:rsid w:val="09CE067A"/>
    <w:rsid w:val="09D074F7"/>
    <w:rsid w:val="09DC47EA"/>
    <w:rsid w:val="0A171CC6"/>
    <w:rsid w:val="0A2558B7"/>
    <w:rsid w:val="0A2A66EE"/>
    <w:rsid w:val="0A34445C"/>
    <w:rsid w:val="0A3743A0"/>
    <w:rsid w:val="0A3967E6"/>
    <w:rsid w:val="0A3A7A6F"/>
    <w:rsid w:val="0A6A252A"/>
    <w:rsid w:val="0A6F632A"/>
    <w:rsid w:val="0A706A50"/>
    <w:rsid w:val="0A825F7B"/>
    <w:rsid w:val="0A8C0875"/>
    <w:rsid w:val="0A8E331D"/>
    <w:rsid w:val="0AA277E2"/>
    <w:rsid w:val="0ABA1CA5"/>
    <w:rsid w:val="0AC41B40"/>
    <w:rsid w:val="0AF44814"/>
    <w:rsid w:val="0AF9329E"/>
    <w:rsid w:val="0AFB5144"/>
    <w:rsid w:val="0B0801A9"/>
    <w:rsid w:val="0B0A5387"/>
    <w:rsid w:val="0B163D2C"/>
    <w:rsid w:val="0B293A5F"/>
    <w:rsid w:val="0B2B5A29"/>
    <w:rsid w:val="0B2C389F"/>
    <w:rsid w:val="0B30024F"/>
    <w:rsid w:val="0B4C3A87"/>
    <w:rsid w:val="0B6157BD"/>
    <w:rsid w:val="0B65270E"/>
    <w:rsid w:val="0B6845B6"/>
    <w:rsid w:val="0B7920BC"/>
    <w:rsid w:val="0B7D3DAB"/>
    <w:rsid w:val="0B7F7B23"/>
    <w:rsid w:val="0B810BD0"/>
    <w:rsid w:val="0B9E008C"/>
    <w:rsid w:val="0B9E742E"/>
    <w:rsid w:val="0BA04897"/>
    <w:rsid w:val="0BA04D77"/>
    <w:rsid w:val="0BBE4AEF"/>
    <w:rsid w:val="0BC8771C"/>
    <w:rsid w:val="0BF56037"/>
    <w:rsid w:val="0C054DCB"/>
    <w:rsid w:val="0C1E10EA"/>
    <w:rsid w:val="0C204285"/>
    <w:rsid w:val="0C406DC8"/>
    <w:rsid w:val="0C4207F0"/>
    <w:rsid w:val="0C437A63"/>
    <w:rsid w:val="0C523489"/>
    <w:rsid w:val="0C7F4F02"/>
    <w:rsid w:val="0C875461"/>
    <w:rsid w:val="0C8E7C9A"/>
    <w:rsid w:val="0CA35C89"/>
    <w:rsid w:val="0CAC0E41"/>
    <w:rsid w:val="0CBC3D48"/>
    <w:rsid w:val="0CCD54D3"/>
    <w:rsid w:val="0CD91D2B"/>
    <w:rsid w:val="0CF623A2"/>
    <w:rsid w:val="0CF854B3"/>
    <w:rsid w:val="0D0D2A06"/>
    <w:rsid w:val="0D2C2AE6"/>
    <w:rsid w:val="0D444CFC"/>
    <w:rsid w:val="0D4A3843"/>
    <w:rsid w:val="0D4E3C51"/>
    <w:rsid w:val="0D700989"/>
    <w:rsid w:val="0D7160A7"/>
    <w:rsid w:val="0D786F20"/>
    <w:rsid w:val="0D7C6A10"/>
    <w:rsid w:val="0D8B087F"/>
    <w:rsid w:val="0D906017"/>
    <w:rsid w:val="0DA01480"/>
    <w:rsid w:val="0DA1474E"/>
    <w:rsid w:val="0DA928DE"/>
    <w:rsid w:val="0DAE6833"/>
    <w:rsid w:val="0DB735A4"/>
    <w:rsid w:val="0DC3718F"/>
    <w:rsid w:val="0DDC4189"/>
    <w:rsid w:val="0DE768C9"/>
    <w:rsid w:val="0DE819AF"/>
    <w:rsid w:val="0DFC6427"/>
    <w:rsid w:val="0E0D6C0F"/>
    <w:rsid w:val="0E0E518E"/>
    <w:rsid w:val="0E2F4DC3"/>
    <w:rsid w:val="0E3515E2"/>
    <w:rsid w:val="0E494901"/>
    <w:rsid w:val="0E4F4881"/>
    <w:rsid w:val="0E653000"/>
    <w:rsid w:val="0E8258A8"/>
    <w:rsid w:val="0E8D173C"/>
    <w:rsid w:val="0E8F62CF"/>
    <w:rsid w:val="0E9F6205"/>
    <w:rsid w:val="0EA12ABB"/>
    <w:rsid w:val="0EAA6769"/>
    <w:rsid w:val="0EAA6C6C"/>
    <w:rsid w:val="0EBF417F"/>
    <w:rsid w:val="0ED1474B"/>
    <w:rsid w:val="0ED168E7"/>
    <w:rsid w:val="0ED60EC2"/>
    <w:rsid w:val="0EE87DDB"/>
    <w:rsid w:val="0EFA4968"/>
    <w:rsid w:val="0F007732"/>
    <w:rsid w:val="0F072309"/>
    <w:rsid w:val="0F136F00"/>
    <w:rsid w:val="0F152B2C"/>
    <w:rsid w:val="0F1D1B2D"/>
    <w:rsid w:val="0F24266D"/>
    <w:rsid w:val="0F2F02FD"/>
    <w:rsid w:val="0F362BEE"/>
    <w:rsid w:val="0F3B1FB3"/>
    <w:rsid w:val="0F4026DF"/>
    <w:rsid w:val="0F5D3C8F"/>
    <w:rsid w:val="0F642CC1"/>
    <w:rsid w:val="0F71791A"/>
    <w:rsid w:val="0F8D6562"/>
    <w:rsid w:val="0F8F1A71"/>
    <w:rsid w:val="0F985657"/>
    <w:rsid w:val="0FA71432"/>
    <w:rsid w:val="0FB84C02"/>
    <w:rsid w:val="0FB86D3B"/>
    <w:rsid w:val="0FBA55CD"/>
    <w:rsid w:val="0FC60EE3"/>
    <w:rsid w:val="0FDE56E3"/>
    <w:rsid w:val="0FE81212"/>
    <w:rsid w:val="0FFC1DC1"/>
    <w:rsid w:val="0FFC6CAF"/>
    <w:rsid w:val="1007189C"/>
    <w:rsid w:val="10094534"/>
    <w:rsid w:val="100C4F57"/>
    <w:rsid w:val="100E29E4"/>
    <w:rsid w:val="100F242C"/>
    <w:rsid w:val="102A2753"/>
    <w:rsid w:val="10316966"/>
    <w:rsid w:val="10376C1E"/>
    <w:rsid w:val="1041610C"/>
    <w:rsid w:val="1048410A"/>
    <w:rsid w:val="104879FB"/>
    <w:rsid w:val="1057616A"/>
    <w:rsid w:val="106D6C88"/>
    <w:rsid w:val="10817E99"/>
    <w:rsid w:val="108613E6"/>
    <w:rsid w:val="109B06CD"/>
    <w:rsid w:val="10BA2C8F"/>
    <w:rsid w:val="10C02692"/>
    <w:rsid w:val="10D07EE0"/>
    <w:rsid w:val="110765F0"/>
    <w:rsid w:val="11264E6A"/>
    <w:rsid w:val="11305976"/>
    <w:rsid w:val="113B0990"/>
    <w:rsid w:val="1146319E"/>
    <w:rsid w:val="11600B25"/>
    <w:rsid w:val="11644425"/>
    <w:rsid w:val="11772F3E"/>
    <w:rsid w:val="117C1E2F"/>
    <w:rsid w:val="11826D81"/>
    <w:rsid w:val="11850CA6"/>
    <w:rsid w:val="118F6A03"/>
    <w:rsid w:val="11953833"/>
    <w:rsid w:val="11A10438"/>
    <w:rsid w:val="11A2612B"/>
    <w:rsid w:val="11AB25C1"/>
    <w:rsid w:val="11B147AE"/>
    <w:rsid w:val="11B256F1"/>
    <w:rsid w:val="11B61E91"/>
    <w:rsid w:val="11C2164E"/>
    <w:rsid w:val="11DA6217"/>
    <w:rsid w:val="11DD570E"/>
    <w:rsid w:val="11E32719"/>
    <w:rsid w:val="11E701D0"/>
    <w:rsid w:val="11EC57E6"/>
    <w:rsid w:val="11F10875"/>
    <w:rsid w:val="120F317F"/>
    <w:rsid w:val="121962C3"/>
    <w:rsid w:val="121E232E"/>
    <w:rsid w:val="1239627B"/>
    <w:rsid w:val="12422005"/>
    <w:rsid w:val="12464352"/>
    <w:rsid w:val="12534094"/>
    <w:rsid w:val="12616B3D"/>
    <w:rsid w:val="126F7BCC"/>
    <w:rsid w:val="127329B6"/>
    <w:rsid w:val="128338A8"/>
    <w:rsid w:val="12851EC3"/>
    <w:rsid w:val="12975853"/>
    <w:rsid w:val="12BE6B79"/>
    <w:rsid w:val="12C64289"/>
    <w:rsid w:val="12EF13A6"/>
    <w:rsid w:val="13082AF4"/>
    <w:rsid w:val="130F79DE"/>
    <w:rsid w:val="13101280"/>
    <w:rsid w:val="13134A00"/>
    <w:rsid w:val="13387D31"/>
    <w:rsid w:val="133C31F5"/>
    <w:rsid w:val="13472050"/>
    <w:rsid w:val="13523E17"/>
    <w:rsid w:val="13675A6C"/>
    <w:rsid w:val="13743CE5"/>
    <w:rsid w:val="137925ED"/>
    <w:rsid w:val="13824654"/>
    <w:rsid w:val="139860E0"/>
    <w:rsid w:val="13A91BE1"/>
    <w:rsid w:val="13BB5813"/>
    <w:rsid w:val="13C30502"/>
    <w:rsid w:val="13DC41E2"/>
    <w:rsid w:val="13DD553D"/>
    <w:rsid w:val="13DE5522"/>
    <w:rsid w:val="13E13C47"/>
    <w:rsid w:val="13E6213C"/>
    <w:rsid w:val="13F13588"/>
    <w:rsid w:val="13F62633"/>
    <w:rsid w:val="13F84916"/>
    <w:rsid w:val="14122E7E"/>
    <w:rsid w:val="1444190A"/>
    <w:rsid w:val="145212C7"/>
    <w:rsid w:val="145C4EA5"/>
    <w:rsid w:val="145F4995"/>
    <w:rsid w:val="14642B66"/>
    <w:rsid w:val="146D5C17"/>
    <w:rsid w:val="1476365D"/>
    <w:rsid w:val="14776E55"/>
    <w:rsid w:val="14873CA9"/>
    <w:rsid w:val="1489222F"/>
    <w:rsid w:val="148A5EBD"/>
    <w:rsid w:val="148C0BED"/>
    <w:rsid w:val="1493526C"/>
    <w:rsid w:val="14A13F18"/>
    <w:rsid w:val="14AA20B4"/>
    <w:rsid w:val="14BB6070"/>
    <w:rsid w:val="14E04777"/>
    <w:rsid w:val="14FB56DC"/>
    <w:rsid w:val="150A66AF"/>
    <w:rsid w:val="150F1F18"/>
    <w:rsid w:val="151118AB"/>
    <w:rsid w:val="151412DC"/>
    <w:rsid w:val="1517701E"/>
    <w:rsid w:val="151824D5"/>
    <w:rsid w:val="15276B59"/>
    <w:rsid w:val="15301376"/>
    <w:rsid w:val="15426ADE"/>
    <w:rsid w:val="15430306"/>
    <w:rsid w:val="155F79FE"/>
    <w:rsid w:val="15742E58"/>
    <w:rsid w:val="157C3BEC"/>
    <w:rsid w:val="157D3325"/>
    <w:rsid w:val="157D4462"/>
    <w:rsid w:val="157E0E4B"/>
    <w:rsid w:val="158F6B4C"/>
    <w:rsid w:val="15962639"/>
    <w:rsid w:val="159B7C4F"/>
    <w:rsid w:val="159D26D8"/>
    <w:rsid w:val="15AF22C2"/>
    <w:rsid w:val="15C05D3F"/>
    <w:rsid w:val="15DF5D8E"/>
    <w:rsid w:val="15F1161D"/>
    <w:rsid w:val="1606047B"/>
    <w:rsid w:val="161101BF"/>
    <w:rsid w:val="163C4F8E"/>
    <w:rsid w:val="166C2672"/>
    <w:rsid w:val="16782A7D"/>
    <w:rsid w:val="167D15AB"/>
    <w:rsid w:val="16C079DC"/>
    <w:rsid w:val="16C60CFC"/>
    <w:rsid w:val="16D37E2C"/>
    <w:rsid w:val="16E64525"/>
    <w:rsid w:val="16F34B46"/>
    <w:rsid w:val="16F85CC8"/>
    <w:rsid w:val="170109C3"/>
    <w:rsid w:val="17147660"/>
    <w:rsid w:val="17243343"/>
    <w:rsid w:val="172F4AF3"/>
    <w:rsid w:val="17547AB5"/>
    <w:rsid w:val="1759391E"/>
    <w:rsid w:val="17595507"/>
    <w:rsid w:val="17860465"/>
    <w:rsid w:val="17976906"/>
    <w:rsid w:val="17C90AA4"/>
    <w:rsid w:val="17CA339E"/>
    <w:rsid w:val="17DF4B3F"/>
    <w:rsid w:val="17E11C97"/>
    <w:rsid w:val="18014AB3"/>
    <w:rsid w:val="181D48B4"/>
    <w:rsid w:val="182E5025"/>
    <w:rsid w:val="1837592A"/>
    <w:rsid w:val="1845452D"/>
    <w:rsid w:val="184D216A"/>
    <w:rsid w:val="18557864"/>
    <w:rsid w:val="18752FEC"/>
    <w:rsid w:val="18820C52"/>
    <w:rsid w:val="188B3FAB"/>
    <w:rsid w:val="18970F9C"/>
    <w:rsid w:val="18987C05"/>
    <w:rsid w:val="189C1D14"/>
    <w:rsid w:val="18B232E6"/>
    <w:rsid w:val="18B55DA5"/>
    <w:rsid w:val="18D21BDA"/>
    <w:rsid w:val="18E35B95"/>
    <w:rsid w:val="190F51CB"/>
    <w:rsid w:val="191B28ED"/>
    <w:rsid w:val="19394957"/>
    <w:rsid w:val="19516FA3"/>
    <w:rsid w:val="196230A3"/>
    <w:rsid w:val="196565AA"/>
    <w:rsid w:val="196E6B9F"/>
    <w:rsid w:val="198E5BED"/>
    <w:rsid w:val="19AA74B0"/>
    <w:rsid w:val="19BF0437"/>
    <w:rsid w:val="19C864FC"/>
    <w:rsid w:val="19C9308F"/>
    <w:rsid w:val="19CE0AC7"/>
    <w:rsid w:val="19E424E4"/>
    <w:rsid w:val="19E82D37"/>
    <w:rsid w:val="19F94761"/>
    <w:rsid w:val="19FA13E8"/>
    <w:rsid w:val="1A01546C"/>
    <w:rsid w:val="1A07140F"/>
    <w:rsid w:val="1A2E0F3C"/>
    <w:rsid w:val="1A3335EC"/>
    <w:rsid w:val="1A3366A8"/>
    <w:rsid w:val="1A3658C4"/>
    <w:rsid w:val="1A7C004F"/>
    <w:rsid w:val="1A8A3DEE"/>
    <w:rsid w:val="1A9079CF"/>
    <w:rsid w:val="1A9330A5"/>
    <w:rsid w:val="1AA603A8"/>
    <w:rsid w:val="1AAE793C"/>
    <w:rsid w:val="1AC35C7E"/>
    <w:rsid w:val="1AC46ECE"/>
    <w:rsid w:val="1ACC52F5"/>
    <w:rsid w:val="1AD22AD6"/>
    <w:rsid w:val="1AE72313"/>
    <w:rsid w:val="1AE8699E"/>
    <w:rsid w:val="1AED4AA9"/>
    <w:rsid w:val="1AEE776A"/>
    <w:rsid w:val="1AF04495"/>
    <w:rsid w:val="1AF35E37"/>
    <w:rsid w:val="1B0423AC"/>
    <w:rsid w:val="1B0462D8"/>
    <w:rsid w:val="1B5F527B"/>
    <w:rsid w:val="1B5F7ED8"/>
    <w:rsid w:val="1B91134D"/>
    <w:rsid w:val="1B982174"/>
    <w:rsid w:val="1BA73900"/>
    <w:rsid w:val="1BA8760D"/>
    <w:rsid w:val="1BB50F6A"/>
    <w:rsid w:val="1BBD75E9"/>
    <w:rsid w:val="1BD75C1B"/>
    <w:rsid w:val="1BDC68CC"/>
    <w:rsid w:val="1BF1043A"/>
    <w:rsid w:val="1BFC1727"/>
    <w:rsid w:val="1C067284"/>
    <w:rsid w:val="1C0A4A77"/>
    <w:rsid w:val="1C0C0F5F"/>
    <w:rsid w:val="1C142509"/>
    <w:rsid w:val="1C1C7DC6"/>
    <w:rsid w:val="1C1E22EB"/>
    <w:rsid w:val="1C225AC3"/>
    <w:rsid w:val="1C23579F"/>
    <w:rsid w:val="1C2B28F1"/>
    <w:rsid w:val="1C63422B"/>
    <w:rsid w:val="1C644DD5"/>
    <w:rsid w:val="1C655B49"/>
    <w:rsid w:val="1C8925AF"/>
    <w:rsid w:val="1C961170"/>
    <w:rsid w:val="1C9F776E"/>
    <w:rsid w:val="1CB02232"/>
    <w:rsid w:val="1CB031DC"/>
    <w:rsid w:val="1CBA1F8D"/>
    <w:rsid w:val="1CBF4223"/>
    <w:rsid w:val="1CC147B9"/>
    <w:rsid w:val="1CCE090A"/>
    <w:rsid w:val="1CD34CC6"/>
    <w:rsid w:val="1D044D3A"/>
    <w:rsid w:val="1D0D31E0"/>
    <w:rsid w:val="1D154726"/>
    <w:rsid w:val="1D64661A"/>
    <w:rsid w:val="1D724CD9"/>
    <w:rsid w:val="1D7412DE"/>
    <w:rsid w:val="1D8E3BF5"/>
    <w:rsid w:val="1D8F6B57"/>
    <w:rsid w:val="1D9F70C3"/>
    <w:rsid w:val="1DAD4050"/>
    <w:rsid w:val="1DB3643C"/>
    <w:rsid w:val="1DBA2C3C"/>
    <w:rsid w:val="1DBC0763"/>
    <w:rsid w:val="1DBC4C07"/>
    <w:rsid w:val="1DDE2DCF"/>
    <w:rsid w:val="1DE32193"/>
    <w:rsid w:val="1DF31440"/>
    <w:rsid w:val="1DF356DA"/>
    <w:rsid w:val="1E081532"/>
    <w:rsid w:val="1E0D43BB"/>
    <w:rsid w:val="1E1A08CC"/>
    <w:rsid w:val="1E205FAE"/>
    <w:rsid w:val="1E22595B"/>
    <w:rsid w:val="1E5B009C"/>
    <w:rsid w:val="1E620680"/>
    <w:rsid w:val="1E644498"/>
    <w:rsid w:val="1E6907DA"/>
    <w:rsid w:val="1E6A4663"/>
    <w:rsid w:val="1E716CEE"/>
    <w:rsid w:val="1E8972BF"/>
    <w:rsid w:val="1E917713"/>
    <w:rsid w:val="1E9811D0"/>
    <w:rsid w:val="1E990C96"/>
    <w:rsid w:val="1E9A6CF6"/>
    <w:rsid w:val="1EA340DC"/>
    <w:rsid w:val="1EAB0F03"/>
    <w:rsid w:val="1EBA499D"/>
    <w:rsid w:val="1EE20B02"/>
    <w:rsid w:val="1F034F97"/>
    <w:rsid w:val="1F142835"/>
    <w:rsid w:val="1F29007A"/>
    <w:rsid w:val="1F3A3C19"/>
    <w:rsid w:val="1F410869"/>
    <w:rsid w:val="1F5D04BD"/>
    <w:rsid w:val="1F762B53"/>
    <w:rsid w:val="1F903C55"/>
    <w:rsid w:val="1F934577"/>
    <w:rsid w:val="1F9A0F77"/>
    <w:rsid w:val="1F9D683F"/>
    <w:rsid w:val="1FBA0E76"/>
    <w:rsid w:val="1FBB33C8"/>
    <w:rsid w:val="1FD126DC"/>
    <w:rsid w:val="1FE44DDC"/>
    <w:rsid w:val="1FEB1671"/>
    <w:rsid w:val="1FF07D55"/>
    <w:rsid w:val="20014B53"/>
    <w:rsid w:val="20113CC8"/>
    <w:rsid w:val="2018637D"/>
    <w:rsid w:val="201D290E"/>
    <w:rsid w:val="202510CC"/>
    <w:rsid w:val="20292075"/>
    <w:rsid w:val="203F4099"/>
    <w:rsid w:val="205729C5"/>
    <w:rsid w:val="206B5CBF"/>
    <w:rsid w:val="20731283"/>
    <w:rsid w:val="208469F1"/>
    <w:rsid w:val="20B403F1"/>
    <w:rsid w:val="20BB21DE"/>
    <w:rsid w:val="20BE47F2"/>
    <w:rsid w:val="20D806CB"/>
    <w:rsid w:val="20DE350E"/>
    <w:rsid w:val="20E36734"/>
    <w:rsid w:val="20EC3084"/>
    <w:rsid w:val="210E1028"/>
    <w:rsid w:val="2118371F"/>
    <w:rsid w:val="211A411E"/>
    <w:rsid w:val="2121542A"/>
    <w:rsid w:val="212925B3"/>
    <w:rsid w:val="214B077B"/>
    <w:rsid w:val="21507D36"/>
    <w:rsid w:val="2154273E"/>
    <w:rsid w:val="2164157E"/>
    <w:rsid w:val="216B5F4B"/>
    <w:rsid w:val="216D06F2"/>
    <w:rsid w:val="21703D3E"/>
    <w:rsid w:val="217D2C9D"/>
    <w:rsid w:val="218912A4"/>
    <w:rsid w:val="219577E4"/>
    <w:rsid w:val="219A4508"/>
    <w:rsid w:val="21A25EC1"/>
    <w:rsid w:val="21D56297"/>
    <w:rsid w:val="21D7200F"/>
    <w:rsid w:val="21DC7625"/>
    <w:rsid w:val="21E52462"/>
    <w:rsid w:val="21EB1616"/>
    <w:rsid w:val="21F50274"/>
    <w:rsid w:val="22047C13"/>
    <w:rsid w:val="220F2DB9"/>
    <w:rsid w:val="221C0375"/>
    <w:rsid w:val="2226575E"/>
    <w:rsid w:val="22327056"/>
    <w:rsid w:val="223D6C22"/>
    <w:rsid w:val="22431452"/>
    <w:rsid w:val="22486A69"/>
    <w:rsid w:val="226C0A02"/>
    <w:rsid w:val="22984377"/>
    <w:rsid w:val="22A119C7"/>
    <w:rsid w:val="22A2328B"/>
    <w:rsid w:val="22AC0668"/>
    <w:rsid w:val="22B57DBE"/>
    <w:rsid w:val="22BD1E89"/>
    <w:rsid w:val="22BD2FB3"/>
    <w:rsid w:val="22CC0F2A"/>
    <w:rsid w:val="22D60519"/>
    <w:rsid w:val="22EB0A11"/>
    <w:rsid w:val="22FB7C76"/>
    <w:rsid w:val="23141D03"/>
    <w:rsid w:val="231E63EE"/>
    <w:rsid w:val="23351B07"/>
    <w:rsid w:val="233829F3"/>
    <w:rsid w:val="233A26AD"/>
    <w:rsid w:val="23460C27"/>
    <w:rsid w:val="234D3E5F"/>
    <w:rsid w:val="234E4667"/>
    <w:rsid w:val="234F0837"/>
    <w:rsid w:val="236E4D72"/>
    <w:rsid w:val="237334FF"/>
    <w:rsid w:val="23755C98"/>
    <w:rsid w:val="237D2742"/>
    <w:rsid w:val="23963230"/>
    <w:rsid w:val="23A035A2"/>
    <w:rsid w:val="23A45F21"/>
    <w:rsid w:val="23A8623D"/>
    <w:rsid w:val="23B02EB4"/>
    <w:rsid w:val="23B1462B"/>
    <w:rsid w:val="23B23858"/>
    <w:rsid w:val="23BC0369"/>
    <w:rsid w:val="23CC4D62"/>
    <w:rsid w:val="23CE2F9E"/>
    <w:rsid w:val="23D06D16"/>
    <w:rsid w:val="23DC7475"/>
    <w:rsid w:val="23EC0C02"/>
    <w:rsid w:val="23EF1D21"/>
    <w:rsid w:val="23FC6E30"/>
    <w:rsid w:val="240370EB"/>
    <w:rsid w:val="24066EFA"/>
    <w:rsid w:val="24107A5A"/>
    <w:rsid w:val="24110425"/>
    <w:rsid w:val="2412441C"/>
    <w:rsid w:val="241C63FF"/>
    <w:rsid w:val="241D4ABE"/>
    <w:rsid w:val="242228BF"/>
    <w:rsid w:val="242B6642"/>
    <w:rsid w:val="24311B83"/>
    <w:rsid w:val="243C3073"/>
    <w:rsid w:val="24436792"/>
    <w:rsid w:val="245B74BB"/>
    <w:rsid w:val="246A7BED"/>
    <w:rsid w:val="246F29D3"/>
    <w:rsid w:val="24781E4B"/>
    <w:rsid w:val="2479358E"/>
    <w:rsid w:val="249E0572"/>
    <w:rsid w:val="24BF44CD"/>
    <w:rsid w:val="24C2456C"/>
    <w:rsid w:val="24EA07A9"/>
    <w:rsid w:val="24F12101"/>
    <w:rsid w:val="250A37B5"/>
    <w:rsid w:val="25171784"/>
    <w:rsid w:val="252C22FF"/>
    <w:rsid w:val="25401B18"/>
    <w:rsid w:val="255045B2"/>
    <w:rsid w:val="255106CF"/>
    <w:rsid w:val="25710085"/>
    <w:rsid w:val="25870F19"/>
    <w:rsid w:val="259455FA"/>
    <w:rsid w:val="2595299F"/>
    <w:rsid w:val="259A2E89"/>
    <w:rsid w:val="25A4045A"/>
    <w:rsid w:val="25AE389C"/>
    <w:rsid w:val="25BD32CA"/>
    <w:rsid w:val="25BE282E"/>
    <w:rsid w:val="25CB3C39"/>
    <w:rsid w:val="25D62FDE"/>
    <w:rsid w:val="25DF5936"/>
    <w:rsid w:val="25EA2F4E"/>
    <w:rsid w:val="25EE6EE7"/>
    <w:rsid w:val="25F0369F"/>
    <w:rsid w:val="25F969F8"/>
    <w:rsid w:val="25FB3F99"/>
    <w:rsid w:val="2608403A"/>
    <w:rsid w:val="26155296"/>
    <w:rsid w:val="26204A92"/>
    <w:rsid w:val="26265313"/>
    <w:rsid w:val="26276E49"/>
    <w:rsid w:val="2635362E"/>
    <w:rsid w:val="264E03C6"/>
    <w:rsid w:val="265C7D5E"/>
    <w:rsid w:val="266C6D0D"/>
    <w:rsid w:val="267442D0"/>
    <w:rsid w:val="267C4F33"/>
    <w:rsid w:val="2682523A"/>
    <w:rsid w:val="269766A2"/>
    <w:rsid w:val="269A360B"/>
    <w:rsid w:val="269F3C04"/>
    <w:rsid w:val="26A6677E"/>
    <w:rsid w:val="26B3152F"/>
    <w:rsid w:val="26BA419E"/>
    <w:rsid w:val="26C50E3C"/>
    <w:rsid w:val="26E335FE"/>
    <w:rsid w:val="26E74F5B"/>
    <w:rsid w:val="26EA6341"/>
    <w:rsid w:val="26F54ADB"/>
    <w:rsid w:val="26FA1416"/>
    <w:rsid w:val="26FB22FC"/>
    <w:rsid w:val="26FB43AC"/>
    <w:rsid w:val="270C4509"/>
    <w:rsid w:val="270D549C"/>
    <w:rsid w:val="271B0BF0"/>
    <w:rsid w:val="27225ADA"/>
    <w:rsid w:val="27286E69"/>
    <w:rsid w:val="273C166F"/>
    <w:rsid w:val="274966DF"/>
    <w:rsid w:val="2761388A"/>
    <w:rsid w:val="276378D3"/>
    <w:rsid w:val="27716FC5"/>
    <w:rsid w:val="277932FC"/>
    <w:rsid w:val="277F06DC"/>
    <w:rsid w:val="27956F73"/>
    <w:rsid w:val="27A718A1"/>
    <w:rsid w:val="27A9404B"/>
    <w:rsid w:val="27B758C8"/>
    <w:rsid w:val="27BE41C3"/>
    <w:rsid w:val="27C53F21"/>
    <w:rsid w:val="27D5500F"/>
    <w:rsid w:val="27E40932"/>
    <w:rsid w:val="27E64C10"/>
    <w:rsid w:val="27FC457D"/>
    <w:rsid w:val="28083588"/>
    <w:rsid w:val="280D1793"/>
    <w:rsid w:val="28321D4D"/>
    <w:rsid w:val="28336018"/>
    <w:rsid w:val="284F7B19"/>
    <w:rsid w:val="28725D4D"/>
    <w:rsid w:val="28757E8C"/>
    <w:rsid w:val="287B228B"/>
    <w:rsid w:val="288F7993"/>
    <w:rsid w:val="289115BD"/>
    <w:rsid w:val="28941528"/>
    <w:rsid w:val="28BF1F3B"/>
    <w:rsid w:val="28D025F5"/>
    <w:rsid w:val="28D7333D"/>
    <w:rsid w:val="28DB0EC3"/>
    <w:rsid w:val="28E10FF8"/>
    <w:rsid w:val="28E93423"/>
    <w:rsid w:val="28F129DA"/>
    <w:rsid w:val="28F779A0"/>
    <w:rsid w:val="28FC197F"/>
    <w:rsid w:val="29064F88"/>
    <w:rsid w:val="29197BC1"/>
    <w:rsid w:val="29366387"/>
    <w:rsid w:val="293D35B6"/>
    <w:rsid w:val="294477FD"/>
    <w:rsid w:val="295C2DFA"/>
    <w:rsid w:val="2960055B"/>
    <w:rsid w:val="29602FE8"/>
    <w:rsid w:val="298C1D3C"/>
    <w:rsid w:val="29A84BE9"/>
    <w:rsid w:val="29B82726"/>
    <w:rsid w:val="29BF1D06"/>
    <w:rsid w:val="29C657FB"/>
    <w:rsid w:val="29C76E0D"/>
    <w:rsid w:val="29CD20AF"/>
    <w:rsid w:val="29F36631"/>
    <w:rsid w:val="29F80947"/>
    <w:rsid w:val="2A0B316F"/>
    <w:rsid w:val="2A1A6B9A"/>
    <w:rsid w:val="2A224DA5"/>
    <w:rsid w:val="2A3A7DAD"/>
    <w:rsid w:val="2A3B28B6"/>
    <w:rsid w:val="2A416A69"/>
    <w:rsid w:val="2A49720E"/>
    <w:rsid w:val="2A5D624B"/>
    <w:rsid w:val="2A5E47FD"/>
    <w:rsid w:val="2A612DBE"/>
    <w:rsid w:val="2A726C4E"/>
    <w:rsid w:val="2A8F0C0F"/>
    <w:rsid w:val="2A930702"/>
    <w:rsid w:val="2ACF5713"/>
    <w:rsid w:val="2AEA58EA"/>
    <w:rsid w:val="2B0D0850"/>
    <w:rsid w:val="2B3E0A4C"/>
    <w:rsid w:val="2B3E2C73"/>
    <w:rsid w:val="2B406E77"/>
    <w:rsid w:val="2B4E68BD"/>
    <w:rsid w:val="2B5100CB"/>
    <w:rsid w:val="2B786611"/>
    <w:rsid w:val="2B895FC1"/>
    <w:rsid w:val="2B966855"/>
    <w:rsid w:val="2B996587"/>
    <w:rsid w:val="2BA70A71"/>
    <w:rsid w:val="2BB10633"/>
    <w:rsid w:val="2BB804EE"/>
    <w:rsid w:val="2BBC4545"/>
    <w:rsid w:val="2BE772F2"/>
    <w:rsid w:val="2BF51C13"/>
    <w:rsid w:val="2C010451"/>
    <w:rsid w:val="2C070E2C"/>
    <w:rsid w:val="2C272FD9"/>
    <w:rsid w:val="2C275941"/>
    <w:rsid w:val="2C3562B0"/>
    <w:rsid w:val="2C3A38C6"/>
    <w:rsid w:val="2C3B5848"/>
    <w:rsid w:val="2C4B77E4"/>
    <w:rsid w:val="2C4C7B3F"/>
    <w:rsid w:val="2C540D07"/>
    <w:rsid w:val="2C5B1D82"/>
    <w:rsid w:val="2C7212B2"/>
    <w:rsid w:val="2C731AD5"/>
    <w:rsid w:val="2C7B4227"/>
    <w:rsid w:val="2CA3146B"/>
    <w:rsid w:val="2CA519AD"/>
    <w:rsid w:val="2CA84CD4"/>
    <w:rsid w:val="2CC63F3A"/>
    <w:rsid w:val="2CC82C80"/>
    <w:rsid w:val="2CD16CAF"/>
    <w:rsid w:val="2CD47877"/>
    <w:rsid w:val="2CD8450E"/>
    <w:rsid w:val="2CD91D78"/>
    <w:rsid w:val="2CDA6E57"/>
    <w:rsid w:val="2CDC634B"/>
    <w:rsid w:val="2CE51303"/>
    <w:rsid w:val="2CF87489"/>
    <w:rsid w:val="2D2500D2"/>
    <w:rsid w:val="2D342341"/>
    <w:rsid w:val="2D42693A"/>
    <w:rsid w:val="2D5D3892"/>
    <w:rsid w:val="2D652AE3"/>
    <w:rsid w:val="2D6B266F"/>
    <w:rsid w:val="2D793054"/>
    <w:rsid w:val="2D824A2E"/>
    <w:rsid w:val="2D8963CF"/>
    <w:rsid w:val="2D92559A"/>
    <w:rsid w:val="2DA205D1"/>
    <w:rsid w:val="2DCC054E"/>
    <w:rsid w:val="2DE0425E"/>
    <w:rsid w:val="2DE82889"/>
    <w:rsid w:val="2DED20DA"/>
    <w:rsid w:val="2DF67CC1"/>
    <w:rsid w:val="2DFB53FF"/>
    <w:rsid w:val="2E0A64C9"/>
    <w:rsid w:val="2E4260B3"/>
    <w:rsid w:val="2E693FEF"/>
    <w:rsid w:val="2E76670C"/>
    <w:rsid w:val="2E8675F5"/>
    <w:rsid w:val="2E9617A6"/>
    <w:rsid w:val="2E9A0902"/>
    <w:rsid w:val="2EB860B8"/>
    <w:rsid w:val="2EC9012B"/>
    <w:rsid w:val="2EC90F31"/>
    <w:rsid w:val="2EDC0480"/>
    <w:rsid w:val="2EE975F2"/>
    <w:rsid w:val="2EFB4C0B"/>
    <w:rsid w:val="2EFC2F05"/>
    <w:rsid w:val="2EFF4953"/>
    <w:rsid w:val="2F0B049D"/>
    <w:rsid w:val="2F1E324C"/>
    <w:rsid w:val="2F511653"/>
    <w:rsid w:val="2F527179"/>
    <w:rsid w:val="2F5F28D3"/>
    <w:rsid w:val="2F816C99"/>
    <w:rsid w:val="2F887E59"/>
    <w:rsid w:val="2F9E5F1A"/>
    <w:rsid w:val="2FD332D7"/>
    <w:rsid w:val="2FEB08AE"/>
    <w:rsid w:val="2FF52E48"/>
    <w:rsid w:val="303D5733"/>
    <w:rsid w:val="30405223"/>
    <w:rsid w:val="30436794"/>
    <w:rsid w:val="30454F13"/>
    <w:rsid w:val="305734CE"/>
    <w:rsid w:val="30586A11"/>
    <w:rsid w:val="3078049B"/>
    <w:rsid w:val="308D4252"/>
    <w:rsid w:val="30A47560"/>
    <w:rsid w:val="30A94BDA"/>
    <w:rsid w:val="30E262DA"/>
    <w:rsid w:val="30E4632A"/>
    <w:rsid w:val="313A4CC6"/>
    <w:rsid w:val="315C0C42"/>
    <w:rsid w:val="3172508E"/>
    <w:rsid w:val="31742249"/>
    <w:rsid w:val="319A0963"/>
    <w:rsid w:val="31A17923"/>
    <w:rsid w:val="31BB7097"/>
    <w:rsid w:val="31BC4D7D"/>
    <w:rsid w:val="31BD3521"/>
    <w:rsid w:val="31C53C32"/>
    <w:rsid w:val="31CD5E56"/>
    <w:rsid w:val="31EC63A6"/>
    <w:rsid w:val="31EC7513"/>
    <w:rsid w:val="31FD7DFF"/>
    <w:rsid w:val="320655EE"/>
    <w:rsid w:val="321E3B4D"/>
    <w:rsid w:val="32280A05"/>
    <w:rsid w:val="32287F2D"/>
    <w:rsid w:val="322D735A"/>
    <w:rsid w:val="32347C62"/>
    <w:rsid w:val="323B6A0E"/>
    <w:rsid w:val="32583D68"/>
    <w:rsid w:val="326706EA"/>
    <w:rsid w:val="326B1EF7"/>
    <w:rsid w:val="326C1F7E"/>
    <w:rsid w:val="326D74FF"/>
    <w:rsid w:val="327D5167"/>
    <w:rsid w:val="3283404E"/>
    <w:rsid w:val="32874222"/>
    <w:rsid w:val="32884B0C"/>
    <w:rsid w:val="32974B43"/>
    <w:rsid w:val="32AE2250"/>
    <w:rsid w:val="32B5388A"/>
    <w:rsid w:val="32BA12BD"/>
    <w:rsid w:val="32BB6169"/>
    <w:rsid w:val="32E12CEE"/>
    <w:rsid w:val="32EA0A6E"/>
    <w:rsid w:val="3305089E"/>
    <w:rsid w:val="330769A3"/>
    <w:rsid w:val="33125C6E"/>
    <w:rsid w:val="332B7C31"/>
    <w:rsid w:val="33313DB1"/>
    <w:rsid w:val="33376307"/>
    <w:rsid w:val="335D100F"/>
    <w:rsid w:val="336742E1"/>
    <w:rsid w:val="336C29FB"/>
    <w:rsid w:val="33705E1F"/>
    <w:rsid w:val="337C5359"/>
    <w:rsid w:val="337C6572"/>
    <w:rsid w:val="33917E30"/>
    <w:rsid w:val="33993BDC"/>
    <w:rsid w:val="33A8380B"/>
    <w:rsid w:val="33AF1405"/>
    <w:rsid w:val="33B421B0"/>
    <w:rsid w:val="33B82F81"/>
    <w:rsid w:val="33BC7A76"/>
    <w:rsid w:val="33BE21F7"/>
    <w:rsid w:val="33C06690"/>
    <w:rsid w:val="33C87DE6"/>
    <w:rsid w:val="33CC574C"/>
    <w:rsid w:val="33EA1C62"/>
    <w:rsid w:val="33ED255F"/>
    <w:rsid w:val="33F55FDA"/>
    <w:rsid w:val="33F702EF"/>
    <w:rsid w:val="34193C5D"/>
    <w:rsid w:val="341A51BD"/>
    <w:rsid w:val="344262B8"/>
    <w:rsid w:val="34452E08"/>
    <w:rsid w:val="34503AD2"/>
    <w:rsid w:val="34562506"/>
    <w:rsid w:val="3459035B"/>
    <w:rsid w:val="346A36D1"/>
    <w:rsid w:val="347B5173"/>
    <w:rsid w:val="3482347D"/>
    <w:rsid w:val="348F61E7"/>
    <w:rsid w:val="34A42694"/>
    <w:rsid w:val="34A9783B"/>
    <w:rsid w:val="34AC1738"/>
    <w:rsid w:val="34AE6BFF"/>
    <w:rsid w:val="34B02413"/>
    <w:rsid w:val="34BC1B1E"/>
    <w:rsid w:val="34D67F04"/>
    <w:rsid w:val="34ED3E05"/>
    <w:rsid w:val="351534F5"/>
    <w:rsid w:val="35215623"/>
    <w:rsid w:val="35243365"/>
    <w:rsid w:val="352B64A2"/>
    <w:rsid w:val="35420479"/>
    <w:rsid w:val="355A65A7"/>
    <w:rsid w:val="356E7581"/>
    <w:rsid w:val="357D4824"/>
    <w:rsid w:val="358F490F"/>
    <w:rsid w:val="35973E7A"/>
    <w:rsid w:val="359A0347"/>
    <w:rsid w:val="35A97544"/>
    <w:rsid w:val="35BF0703"/>
    <w:rsid w:val="35C61392"/>
    <w:rsid w:val="35DB0DAD"/>
    <w:rsid w:val="35DC4208"/>
    <w:rsid w:val="36017C57"/>
    <w:rsid w:val="361B3389"/>
    <w:rsid w:val="362F5B1E"/>
    <w:rsid w:val="3638549F"/>
    <w:rsid w:val="36503B48"/>
    <w:rsid w:val="365250A4"/>
    <w:rsid w:val="366D4898"/>
    <w:rsid w:val="366F246B"/>
    <w:rsid w:val="367654CD"/>
    <w:rsid w:val="36811585"/>
    <w:rsid w:val="36965ED7"/>
    <w:rsid w:val="369A319E"/>
    <w:rsid w:val="369C37ED"/>
    <w:rsid w:val="36B0376E"/>
    <w:rsid w:val="36C502C1"/>
    <w:rsid w:val="36CA541B"/>
    <w:rsid w:val="36DA348B"/>
    <w:rsid w:val="36E66635"/>
    <w:rsid w:val="36EE59D9"/>
    <w:rsid w:val="36F40B16"/>
    <w:rsid w:val="36F8345E"/>
    <w:rsid w:val="36FF58A4"/>
    <w:rsid w:val="37123F67"/>
    <w:rsid w:val="37250EAA"/>
    <w:rsid w:val="3736003E"/>
    <w:rsid w:val="373B1A77"/>
    <w:rsid w:val="373F6235"/>
    <w:rsid w:val="374455F9"/>
    <w:rsid w:val="37692CB0"/>
    <w:rsid w:val="376D4900"/>
    <w:rsid w:val="377718CA"/>
    <w:rsid w:val="37837819"/>
    <w:rsid w:val="37894FD0"/>
    <w:rsid w:val="37B05719"/>
    <w:rsid w:val="37CE3632"/>
    <w:rsid w:val="37D92D56"/>
    <w:rsid w:val="37E8067A"/>
    <w:rsid w:val="37E82D03"/>
    <w:rsid w:val="37EB3773"/>
    <w:rsid w:val="38135B5F"/>
    <w:rsid w:val="38163439"/>
    <w:rsid w:val="38281A62"/>
    <w:rsid w:val="38301F69"/>
    <w:rsid w:val="38361D6B"/>
    <w:rsid w:val="38372A4B"/>
    <w:rsid w:val="384D7B51"/>
    <w:rsid w:val="38593326"/>
    <w:rsid w:val="385B41D0"/>
    <w:rsid w:val="38610C01"/>
    <w:rsid w:val="386914E6"/>
    <w:rsid w:val="38781E7A"/>
    <w:rsid w:val="38AA37E4"/>
    <w:rsid w:val="38AD71B7"/>
    <w:rsid w:val="38D92654"/>
    <w:rsid w:val="38DD5D05"/>
    <w:rsid w:val="39061A6B"/>
    <w:rsid w:val="390D7DD2"/>
    <w:rsid w:val="39140EA1"/>
    <w:rsid w:val="39172380"/>
    <w:rsid w:val="39180AEB"/>
    <w:rsid w:val="391D61C1"/>
    <w:rsid w:val="39242C23"/>
    <w:rsid w:val="392456E2"/>
    <w:rsid w:val="392830C3"/>
    <w:rsid w:val="392A6A70"/>
    <w:rsid w:val="39353BF6"/>
    <w:rsid w:val="395B4E7C"/>
    <w:rsid w:val="396904FB"/>
    <w:rsid w:val="397A79F8"/>
    <w:rsid w:val="39881A36"/>
    <w:rsid w:val="398B70A9"/>
    <w:rsid w:val="399C796E"/>
    <w:rsid w:val="399F120C"/>
    <w:rsid w:val="39A449BB"/>
    <w:rsid w:val="39A45CF9"/>
    <w:rsid w:val="39A73475"/>
    <w:rsid w:val="39AB2677"/>
    <w:rsid w:val="39BD5E39"/>
    <w:rsid w:val="39CB5FE1"/>
    <w:rsid w:val="39CE1AF2"/>
    <w:rsid w:val="39D34EE7"/>
    <w:rsid w:val="39E41315"/>
    <w:rsid w:val="39ED1F0B"/>
    <w:rsid w:val="39FE1C94"/>
    <w:rsid w:val="3A2A2A16"/>
    <w:rsid w:val="3A665F3A"/>
    <w:rsid w:val="3A735C2B"/>
    <w:rsid w:val="3A7469AD"/>
    <w:rsid w:val="3A8278AB"/>
    <w:rsid w:val="3A870E1E"/>
    <w:rsid w:val="3A943897"/>
    <w:rsid w:val="3A9F2547"/>
    <w:rsid w:val="3AA974E6"/>
    <w:rsid w:val="3AB605BC"/>
    <w:rsid w:val="3AB74334"/>
    <w:rsid w:val="3AC23405"/>
    <w:rsid w:val="3ACB605B"/>
    <w:rsid w:val="3ADB2718"/>
    <w:rsid w:val="3AE01ADD"/>
    <w:rsid w:val="3AEA47B5"/>
    <w:rsid w:val="3B226762"/>
    <w:rsid w:val="3B266A34"/>
    <w:rsid w:val="3B2E5B36"/>
    <w:rsid w:val="3B336FC3"/>
    <w:rsid w:val="3B39167F"/>
    <w:rsid w:val="3B5A1C91"/>
    <w:rsid w:val="3B5B1163"/>
    <w:rsid w:val="3B626996"/>
    <w:rsid w:val="3B640188"/>
    <w:rsid w:val="3B6E6DBE"/>
    <w:rsid w:val="3B903948"/>
    <w:rsid w:val="3B982873"/>
    <w:rsid w:val="3B98479A"/>
    <w:rsid w:val="3BAF091B"/>
    <w:rsid w:val="3BB121D2"/>
    <w:rsid w:val="3BB8580E"/>
    <w:rsid w:val="3BBF405F"/>
    <w:rsid w:val="3BD63278"/>
    <w:rsid w:val="3BE521D4"/>
    <w:rsid w:val="3BE60D18"/>
    <w:rsid w:val="3BED428D"/>
    <w:rsid w:val="3BF27804"/>
    <w:rsid w:val="3BFA2A29"/>
    <w:rsid w:val="3C011CE6"/>
    <w:rsid w:val="3C08496C"/>
    <w:rsid w:val="3C150AF6"/>
    <w:rsid w:val="3C356139"/>
    <w:rsid w:val="3C4D13F4"/>
    <w:rsid w:val="3C5E53AF"/>
    <w:rsid w:val="3C706E90"/>
    <w:rsid w:val="3C743B98"/>
    <w:rsid w:val="3C8A7F52"/>
    <w:rsid w:val="3CB66F99"/>
    <w:rsid w:val="3CB80C06"/>
    <w:rsid w:val="3CC01BC6"/>
    <w:rsid w:val="3CC72BAB"/>
    <w:rsid w:val="3CFE449C"/>
    <w:rsid w:val="3D02079F"/>
    <w:rsid w:val="3D08531B"/>
    <w:rsid w:val="3D096B94"/>
    <w:rsid w:val="3D29776B"/>
    <w:rsid w:val="3D4B152C"/>
    <w:rsid w:val="3D536596"/>
    <w:rsid w:val="3D605157"/>
    <w:rsid w:val="3D613766"/>
    <w:rsid w:val="3D6D7C17"/>
    <w:rsid w:val="3D7F3B94"/>
    <w:rsid w:val="3D85008C"/>
    <w:rsid w:val="3D8726E3"/>
    <w:rsid w:val="3D8C1AA8"/>
    <w:rsid w:val="3D93269F"/>
    <w:rsid w:val="3D983F7C"/>
    <w:rsid w:val="3DB37034"/>
    <w:rsid w:val="3DB8625B"/>
    <w:rsid w:val="3DDB658B"/>
    <w:rsid w:val="3DDE2CE0"/>
    <w:rsid w:val="3DE45B29"/>
    <w:rsid w:val="3DEB0EC4"/>
    <w:rsid w:val="3DED7116"/>
    <w:rsid w:val="3DEF1277"/>
    <w:rsid w:val="3DFD0439"/>
    <w:rsid w:val="3E045AE2"/>
    <w:rsid w:val="3E0E6961"/>
    <w:rsid w:val="3E132496"/>
    <w:rsid w:val="3E177744"/>
    <w:rsid w:val="3E216694"/>
    <w:rsid w:val="3E282F7F"/>
    <w:rsid w:val="3E31175D"/>
    <w:rsid w:val="3E330175"/>
    <w:rsid w:val="3E4A33B5"/>
    <w:rsid w:val="3E4C683D"/>
    <w:rsid w:val="3E4E21F1"/>
    <w:rsid w:val="3E5B7C65"/>
    <w:rsid w:val="3E5C4749"/>
    <w:rsid w:val="3E5F540E"/>
    <w:rsid w:val="3E6B509F"/>
    <w:rsid w:val="3E745303"/>
    <w:rsid w:val="3E774506"/>
    <w:rsid w:val="3E794BB4"/>
    <w:rsid w:val="3E832EAB"/>
    <w:rsid w:val="3E895FE7"/>
    <w:rsid w:val="3E8E5FA7"/>
    <w:rsid w:val="3EA93082"/>
    <w:rsid w:val="3EBE5330"/>
    <w:rsid w:val="3ECB4852"/>
    <w:rsid w:val="3ED170BC"/>
    <w:rsid w:val="3EDD48AC"/>
    <w:rsid w:val="3EE5177A"/>
    <w:rsid w:val="3EEC6CA2"/>
    <w:rsid w:val="3F3E208C"/>
    <w:rsid w:val="3F507A91"/>
    <w:rsid w:val="3F5E0A40"/>
    <w:rsid w:val="3F5E7474"/>
    <w:rsid w:val="3F6D737A"/>
    <w:rsid w:val="3F751FC3"/>
    <w:rsid w:val="3F760AEB"/>
    <w:rsid w:val="3F7A1606"/>
    <w:rsid w:val="3F840129"/>
    <w:rsid w:val="3F851443"/>
    <w:rsid w:val="3FA77E6E"/>
    <w:rsid w:val="3FB05274"/>
    <w:rsid w:val="3FB455DD"/>
    <w:rsid w:val="3FB66619"/>
    <w:rsid w:val="3FB94E05"/>
    <w:rsid w:val="3FBD2D39"/>
    <w:rsid w:val="3FC26D88"/>
    <w:rsid w:val="3FD1329C"/>
    <w:rsid w:val="3FF4204D"/>
    <w:rsid w:val="3FFD12C0"/>
    <w:rsid w:val="40074D66"/>
    <w:rsid w:val="400F46FB"/>
    <w:rsid w:val="401152DC"/>
    <w:rsid w:val="4044666A"/>
    <w:rsid w:val="40477F08"/>
    <w:rsid w:val="405C0C68"/>
    <w:rsid w:val="405C2919"/>
    <w:rsid w:val="406321D3"/>
    <w:rsid w:val="40672358"/>
    <w:rsid w:val="406C796F"/>
    <w:rsid w:val="408515AC"/>
    <w:rsid w:val="40872ECB"/>
    <w:rsid w:val="40A21AA0"/>
    <w:rsid w:val="40AB0497"/>
    <w:rsid w:val="40B01056"/>
    <w:rsid w:val="40B87C96"/>
    <w:rsid w:val="40D464CE"/>
    <w:rsid w:val="40DA62D3"/>
    <w:rsid w:val="40DB1479"/>
    <w:rsid w:val="40DE11BB"/>
    <w:rsid w:val="40ED53ED"/>
    <w:rsid w:val="41113A31"/>
    <w:rsid w:val="412C5A7C"/>
    <w:rsid w:val="412D5350"/>
    <w:rsid w:val="413E3EF6"/>
    <w:rsid w:val="41483F38"/>
    <w:rsid w:val="415C74A4"/>
    <w:rsid w:val="41626F6A"/>
    <w:rsid w:val="416C3339"/>
    <w:rsid w:val="416C63AB"/>
    <w:rsid w:val="4172785D"/>
    <w:rsid w:val="417721E1"/>
    <w:rsid w:val="4177338D"/>
    <w:rsid w:val="418E3E6D"/>
    <w:rsid w:val="41A03D74"/>
    <w:rsid w:val="41CC0263"/>
    <w:rsid w:val="41D534C0"/>
    <w:rsid w:val="41D842E7"/>
    <w:rsid w:val="41EA4FEF"/>
    <w:rsid w:val="41EC6945"/>
    <w:rsid w:val="41F32ECC"/>
    <w:rsid w:val="41F462E9"/>
    <w:rsid w:val="41F64EA5"/>
    <w:rsid w:val="41FA16D6"/>
    <w:rsid w:val="42011AF0"/>
    <w:rsid w:val="420B38E3"/>
    <w:rsid w:val="42164036"/>
    <w:rsid w:val="421A2604"/>
    <w:rsid w:val="421F738E"/>
    <w:rsid w:val="423F7600"/>
    <w:rsid w:val="4258222A"/>
    <w:rsid w:val="425851CA"/>
    <w:rsid w:val="42672AE3"/>
    <w:rsid w:val="42845A69"/>
    <w:rsid w:val="429E4F16"/>
    <w:rsid w:val="42AE7A20"/>
    <w:rsid w:val="42C65A5C"/>
    <w:rsid w:val="42CB4E20"/>
    <w:rsid w:val="42D17E1C"/>
    <w:rsid w:val="42E1276C"/>
    <w:rsid w:val="42EA5C1F"/>
    <w:rsid w:val="42F06635"/>
    <w:rsid w:val="430602CE"/>
    <w:rsid w:val="430D40A2"/>
    <w:rsid w:val="43160E90"/>
    <w:rsid w:val="431951A2"/>
    <w:rsid w:val="4319611E"/>
    <w:rsid w:val="43224E03"/>
    <w:rsid w:val="43262E4E"/>
    <w:rsid w:val="432960FF"/>
    <w:rsid w:val="432B3697"/>
    <w:rsid w:val="4336385A"/>
    <w:rsid w:val="43585672"/>
    <w:rsid w:val="435C7B49"/>
    <w:rsid w:val="436302AE"/>
    <w:rsid w:val="43637E23"/>
    <w:rsid w:val="43687A26"/>
    <w:rsid w:val="436C03B1"/>
    <w:rsid w:val="43773829"/>
    <w:rsid w:val="43796C56"/>
    <w:rsid w:val="437B05F4"/>
    <w:rsid w:val="437C288E"/>
    <w:rsid w:val="43845493"/>
    <w:rsid w:val="43A07672"/>
    <w:rsid w:val="43AA70D1"/>
    <w:rsid w:val="43BB1E6F"/>
    <w:rsid w:val="43CA44A7"/>
    <w:rsid w:val="43D057D2"/>
    <w:rsid w:val="44093E52"/>
    <w:rsid w:val="442139D0"/>
    <w:rsid w:val="44221CA6"/>
    <w:rsid w:val="4427077C"/>
    <w:rsid w:val="44325260"/>
    <w:rsid w:val="444667B2"/>
    <w:rsid w:val="444D1535"/>
    <w:rsid w:val="447523B2"/>
    <w:rsid w:val="44802401"/>
    <w:rsid w:val="449436C1"/>
    <w:rsid w:val="4496320C"/>
    <w:rsid w:val="44C00577"/>
    <w:rsid w:val="44CC55ED"/>
    <w:rsid w:val="44CE325E"/>
    <w:rsid w:val="44CE6E4A"/>
    <w:rsid w:val="44F70C4B"/>
    <w:rsid w:val="44F94AE9"/>
    <w:rsid w:val="45070284"/>
    <w:rsid w:val="4511101B"/>
    <w:rsid w:val="4541586E"/>
    <w:rsid w:val="45555EC8"/>
    <w:rsid w:val="4556316B"/>
    <w:rsid w:val="45833790"/>
    <w:rsid w:val="45943BEF"/>
    <w:rsid w:val="459E2B3C"/>
    <w:rsid w:val="45CF2E79"/>
    <w:rsid w:val="45D6795C"/>
    <w:rsid w:val="45EB7B4B"/>
    <w:rsid w:val="45F60BBA"/>
    <w:rsid w:val="45FF36E5"/>
    <w:rsid w:val="46115B34"/>
    <w:rsid w:val="46184008"/>
    <w:rsid w:val="46225A77"/>
    <w:rsid w:val="46253757"/>
    <w:rsid w:val="462C5BD6"/>
    <w:rsid w:val="463B22BD"/>
    <w:rsid w:val="463F7FFF"/>
    <w:rsid w:val="46687797"/>
    <w:rsid w:val="467D0B27"/>
    <w:rsid w:val="4682470D"/>
    <w:rsid w:val="4687189B"/>
    <w:rsid w:val="46A47E44"/>
    <w:rsid w:val="46AC7A99"/>
    <w:rsid w:val="46E22739"/>
    <w:rsid w:val="46FC788B"/>
    <w:rsid w:val="47431F4F"/>
    <w:rsid w:val="475A590E"/>
    <w:rsid w:val="475A6773"/>
    <w:rsid w:val="477C3715"/>
    <w:rsid w:val="478C2F9C"/>
    <w:rsid w:val="478E0BED"/>
    <w:rsid w:val="47914029"/>
    <w:rsid w:val="479B5372"/>
    <w:rsid w:val="47A361AE"/>
    <w:rsid w:val="47A735E5"/>
    <w:rsid w:val="47A9169A"/>
    <w:rsid w:val="47B42327"/>
    <w:rsid w:val="47C3213E"/>
    <w:rsid w:val="47CD79DA"/>
    <w:rsid w:val="47CF35B5"/>
    <w:rsid w:val="47E04521"/>
    <w:rsid w:val="47F44E19"/>
    <w:rsid w:val="48042339"/>
    <w:rsid w:val="482F7BFF"/>
    <w:rsid w:val="48401E0D"/>
    <w:rsid w:val="48434E5F"/>
    <w:rsid w:val="485E3E5E"/>
    <w:rsid w:val="48733D53"/>
    <w:rsid w:val="487B7ABF"/>
    <w:rsid w:val="487D5B56"/>
    <w:rsid w:val="48A405ED"/>
    <w:rsid w:val="48BA1BBF"/>
    <w:rsid w:val="48BF7385"/>
    <w:rsid w:val="48DF5B96"/>
    <w:rsid w:val="48E43FB4"/>
    <w:rsid w:val="48EB5A36"/>
    <w:rsid w:val="48F84495"/>
    <w:rsid w:val="49011B70"/>
    <w:rsid w:val="49114DD1"/>
    <w:rsid w:val="49153299"/>
    <w:rsid w:val="491C39C9"/>
    <w:rsid w:val="492121BA"/>
    <w:rsid w:val="49221C7A"/>
    <w:rsid w:val="4932099F"/>
    <w:rsid w:val="494815D2"/>
    <w:rsid w:val="494E3636"/>
    <w:rsid w:val="4956113C"/>
    <w:rsid w:val="49566F36"/>
    <w:rsid w:val="495D03D1"/>
    <w:rsid w:val="498045CB"/>
    <w:rsid w:val="498259D6"/>
    <w:rsid w:val="498E6BA8"/>
    <w:rsid w:val="499669CF"/>
    <w:rsid w:val="49A60395"/>
    <w:rsid w:val="49B21F8C"/>
    <w:rsid w:val="49B724CB"/>
    <w:rsid w:val="49BE56DF"/>
    <w:rsid w:val="49CF3448"/>
    <w:rsid w:val="49EA2030"/>
    <w:rsid w:val="49F74D9F"/>
    <w:rsid w:val="4A0E5C89"/>
    <w:rsid w:val="4A162E25"/>
    <w:rsid w:val="4A2044A0"/>
    <w:rsid w:val="4A436403"/>
    <w:rsid w:val="4A476EA3"/>
    <w:rsid w:val="4A4A0D21"/>
    <w:rsid w:val="4A530CA2"/>
    <w:rsid w:val="4A5F7ECB"/>
    <w:rsid w:val="4A8467F8"/>
    <w:rsid w:val="4A851D59"/>
    <w:rsid w:val="4A9401EE"/>
    <w:rsid w:val="4AAE5753"/>
    <w:rsid w:val="4AAE7501"/>
    <w:rsid w:val="4AAF1625"/>
    <w:rsid w:val="4AB03279"/>
    <w:rsid w:val="4ACE2271"/>
    <w:rsid w:val="4AD51C1B"/>
    <w:rsid w:val="4AE02847"/>
    <w:rsid w:val="4AEC524C"/>
    <w:rsid w:val="4B116793"/>
    <w:rsid w:val="4B274EC9"/>
    <w:rsid w:val="4B286683"/>
    <w:rsid w:val="4B3A6CBD"/>
    <w:rsid w:val="4B3F0159"/>
    <w:rsid w:val="4B491C68"/>
    <w:rsid w:val="4B49722A"/>
    <w:rsid w:val="4B6776B0"/>
    <w:rsid w:val="4B7055D9"/>
    <w:rsid w:val="4B7324F9"/>
    <w:rsid w:val="4B7874DA"/>
    <w:rsid w:val="4B7E4DFF"/>
    <w:rsid w:val="4B821788"/>
    <w:rsid w:val="4B8537E7"/>
    <w:rsid w:val="4B885FA4"/>
    <w:rsid w:val="4B8B15F1"/>
    <w:rsid w:val="4BA803F5"/>
    <w:rsid w:val="4BAA56D0"/>
    <w:rsid w:val="4BAB4591"/>
    <w:rsid w:val="4BBF69CD"/>
    <w:rsid w:val="4BC20D87"/>
    <w:rsid w:val="4BC36FDC"/>
    <w:rsid w:val="4BCA5233"/>
    <w:rsid w:val="4BCD1048"/>
    <w:rsid w:val="4BD351F1"/>
    <w:rsid w:val="4BEC7188"/>
    <w:rsid w:val="4C126AF0"/>
    <w:rsid w:val="4C15535E"/>
    <w:rsid w:val="4C1B3909"/>
    <w:rsid w:val="4C20442F"/>
    <w:rsid w:val="4C265D14"/>
    <w:rsid w:val="4C2B6930"/>
    <w:rsid w:val="4C4939A1"/>
    <w:rsid w:val="4C5B2FC7"/>
    <w:rsid w:val="4C5C2F8D"/>
    <w:rsid w:val="4C647752"/>
    <w:rsid w:val="4C7A0F9A"/>
    <w:rsid w:val="4C7C34B5"/>
    <w:rsid w:val="4C8229F4"/>
    <w:rsid w:val="4CB04B39"/>
    <w:rsid w:val="4CC21941"/>
    <w:rsid w:val="4CDB0356"/>
    <w:rsid w:val="4CE2515B"/>
    <w:rsid w:val="4CF525E0"/>
    <w:rsid w:val="4D055052"/>
    <w:rsid w:val="4D0C669F"/>
    <w:rsid w:val="4D0E54F6"/>
    <w:rsid w:val="4D1F2E42"/>
    <w:rsid w:val="4D230EE4"/>
    <w:rsid w:val="4D374A8C"/>
    <w:rsid w:val="4D3B3851"/>
    <w:rsid w:val="4D3E5FD6"/>
    <w:rsid w:val="4D4001B9"/>
    <w:rsid w:val="4D500C0F"/>
    <w:rsid w:val="4D567A42"/>
    <w:rsid w:val="4D5F69E0"/>
    <w:rsid w:val="4D690969"/>
    <w:rsid w:val="4D7B27C2"/>
    <w:rsid w:val="4D8352B3"/>
    <w:rsid w:val="4D844549"/>
    <w:rsid w:val="4D9A607C"/>
    <w:rsid w:val="4D9E0A5F"/>
    <w:rsid w:val="4DA93FB0"/>
    <w:rsid w:val="4DAC0E40"/>
    <w:rsid w:val="4DB47B5C"/>
    <w:rsid w:val="4DBB46A4"/>
    <w:rsid w:val="4DE5528D"/>
    <w:rsid w:val="4E01203E"/>
    <w:rsid w:val="4E030DC7"/>
    <w:rsid w:val="4E2464AA"/>
    <w:rsid w:val="4E264AA2"/>
    <w:rsid w:val="4E2B7F76"/>
    <w:rsid w:val="4E4D7031"/>
    <w:rsid w:val="4E4F2DA9"/>
    <w:rsid w:val="4E505C1A"/>
    <w:rsid w:val="4E557C94"/>
    <w:rsid w:val="4E5959D6"/>
    <w:rsid w:val="4E5D1AB9"/>
    <w:rsid w:val="4E61488B"/>
    <w:rsid w:val="4E6C7CEC"/>
    <w:rsid w:val="4E6F1F3F"/>
    <w:rsid w:val="4EA4591E"/>
    <w:rsid w:val="4EC21102"/>
    <w:rsid w:val="4EDC6058"/>
    <w:rsid w:val="4EEE3BC3"/>
    <w:rsid w:val="4EF31F4F"/>
    <w:rsid w:val="4F0040A4"/>
    <w:rsid w:val="4F020F85"/>
    <w:rsid w:val="4F0708DA"/>
    <w:rsid w:val="4F114CCF"/>
    <w:rsid w:val="4F133CE1"/>
    <w:rsid w:val="4F38121F"/>
    <w:rsid w:val="4F460283"/>
    <w:rsid w:val="4F4E53A6"/>
    <w:rsid w:val="4F811229"/>
    <w:rsid w:val="4F8C59D2"/>
    <w:rsid w:val="4F9F38BD"/>
    <w:rsid w:val="4FB85410"/>
    <w:rsid w:val="4FBA24A4"/>
    <w:rsid w:val="4FC60E49"/>
    <w:rsid w:val="4FC77F0D"/>
    <w:rsid w:val="4FCC4588"/>
    <w:rsid w:val="4FD0358D"/>
    <w:rsid w:val="4FD54EAC"/>
    <w:rsid w:val="4FE237A9"/>
    <w:rsid w:val="4FE70DC0"/>
    <w:rsid w:val="4FF25E46"/>
    <w:rsid w:val="4FF41387"/>
    <w:rsid w:val="501E6A42"/>
    <w:rsid w:val="502A587C"/>
    <w:rsid w:val="502F07A3"/>
    <w:rsid w:val="503A0211"/>
    <w:rsid w:val="503B06DD"/>
    <w:rsid w:val="5043249A"/>
    <w:rsid w:val="504D5590"/>
    <w:rsid w:val="50615016"/>
    <w:rsid w:val="509447C7"/>
    <w:rsid w:val="50A33931"/>
    <w:rsid w:val="50DB42B1"/>
    <w:rsid w:val="50DD469C"/>
    <w:rsid w:val="50E4709F"/>
    <w:rsid w:val="50E81DBF"/>
    <w:rsid w:val="50E8662C"/>
    <w:rsid w:val="50ED2406"/>
    <w:rsid w:val="510460CD"/>
    <w:rsid w:val="512C64CF"/>
    <w:rsid w:val="51422F47"/>
    <w:rsid w:val="51427C23"/>
    <w:rsid w:val="51564463"/>
    <w:rsid w:val="51651AFA"/>
    <w:rsid w:val="516E3547"/>
    <w:rsid w:val="517717D8"/>
    <w:rsid w:val="517843C5"/>
    <w:rsid w:val="517A638F"/>
    <w:rsid w:val="5187285A"/>
    <w:rsid w:val="518F0F21"/>
    <w:rsid w:val="51942F30"/>
    <w:rsid w:val="51950A3D"/>
    <w:rsid w:val="51A16D40"/>
    <w:rsid w:val="51B024F2"/>
    <w:rsid w:val="51B74BE3"/>
    <w:rsid w:val="51B83322"/>
    <w:rsid w:val="51C11C39"/>
    <w:rsid w:val="51C727DA"/>
    <w:rsid w:val="51D11D27"/>
    <w:rsid w:val="51E71D71"/>
    <w:rsid w:val="51E84C82"/>
    <w:rsid w:val="51E8779D"/>
    <w:rsid w:val="52053405"/>
    <w:rsid w:val="520838CF"/>
    <w:rsid w:val="52171E30"/>
    <w:rsid w:val="52214A5D"/>
    <w:rsid w:val="522956BF"/>
    <w:rsid w:val="522B768A"/>
    <w:rsid w:val="522D0F80"/>
    <w:rsid w:val="523A1E1D"/>
    <w:rsid w:val="523D641C"/>
    <w:rsid w:val="527C030B"/>
    <w:rsid w:val="527F1783"/>
    <w:rsid w:val="52966F36"/>
    <w:rsid w:val="52AD62F0"/>
    <w:rsid w:val="52EE3E40"/>
    <w:rsid w:val="53035F73"/>
    <w:rsid w:val="531B76FE"/>
    <w:rsid w:val="531C4C37"/>
    <w:rsid w:val="531D6126"/>
    <w:rsid w:val="531F47F1"/>
    <w:rsid w:val="53223AA5"/>
    <w:rsid w:val="5344120F"/>
    <w:rsid w:val="53460855"/>
    <w:rsid w:val="535624E4"/>
    <w:rsid w:val="53574B37"/>
    <w:rsid w:val="536270DB"/>
    <w:rsid w:val="536410FF"/>
    <w:rsid w:val="536B4EB9"/>
    <w:rsid w:val="536F5363"/>
    <w:rsid w:val="53A07C03"/>
    <w:rsid w:val="53A2581E"/>
    <w:rsid w:val="53A344D9"/>
    <w:rsid w:val="53A673F6"/>
    <w:rsid w:val="53B11E10"/>
    <w:rsid w:val="53C21BBC"/>
    <w:rsid w:val="53C856DE"/>
    <w:rsid w:val="53DF7E49"/>
    <w:rsid w:val="53ED38EF"/>
    <w:rsid w:val="53F266B1"/>
    <w:rsid w:val="53F801CA"/>
    <w:rsid w:val="53FD312A"/>
    <w:rsid w:val="540E7263"/>
    <w:rsid w:val="54150A6C"/>
    <w:rsid w:val="543110FD"/>
    <w:rsid w:val="54473F3E"/>
    <w:rsid w:val="544E6A8F"/>
    <w:rsid w:val="549D7011"/>
    <w:rsid w:val="549E6D26"/>
    <w:rsid w:val="54B5012D"/>
    <w:rsid w:val="54B537FC"/>
    <w:rsid w:val="54B73456"/>
    <w:rsid w:val="54C0055D"/>
    <w:rsid w:val="54E31C7F"/>
    <w:rsid w:val="54ED2686"/>
    <w:rsid w:val="54EF0E42"/>
    <w:rsid w:val="550043DE"/>
    <w:rsid w:val="550F19F3"/>
    <w:rsid w:val="550F21B1"/>
    <w:rsid w:val="5523158C"/>
    <w:rsid w:val="552D529F"/>
    <w:rsid w:val="55314CB4"/>
    <w:rsid w:val="554116DD"/>
    <w:rsid w:val="55511FE9"/>
    <w:rsid w:val="55545149"/>
    <w:rsid w:val="557A1E5A"/>
    <w:rsid w:val="557E3F74"/>
    <w:rsid w:val="558E7E00"/>
    <w:rsid w:val="55AE2EF9"/>
    <w:rsid w:val="55E31F77"/>
    <w:rsid w:val="55EF0BB7"/>
    <w:rsid w:val="560202E6"/>
    <w:rsid w:val="560E354A"/>
    <w:rsid w:val="560E5168"/>
    <w:rsid w:val="561658B4"/>
    <w:rsid w:val="5627460C"/>
    <w:rsid w:val="563B3161"/>
    <w:rsid w:val="56646A8F"/>
    <w:rsid w:val="56665134"/>
    <w:rsid w:val="566C2B43"/>
    <w:rsid w:val="56735F4B"/>
    <w:rsid w:val="56794F89"/>
    <w:rsid w:val="567A0BDF"/>
    <w:rsid w:val="567C04B4"/>
    <w:rsid w:val="56894351"/>
    <w:rsid w:val="568C7599"/>
    <w:rsid w:val="569A4DDE"/>
    <w:rsid w:val="56A74DBF"/>
    <w:rsid w:val="56C056AC"/>
    <w:rsid w:val="56D66631"/>
    <w:rsid w:val="56DD242E"/>
    <w:rsid w:val="571B65C5"/>
    <w:rsid w:val="5730129E"/>
    <w:rsid w:val="573625D3"/>
    <w:rsid w:val="57373421"/>
    <w:rsid w:val="57626AF9"/>
    <w:rsid w:val="576F3945"/>
    <w:rsid w:val="579E184B"/>
    <w:rsid w:val="57A10D6C"/>
    <w:rsid w:val="57B40121"/>
    <w:rsid w:val="57B71EFD"/>
    <w:rsid w:val="57B92428"/>
    <w:rsid w:val="57C60105"/>
    <w:rsid w:val="57CF58C3"/>
    <w:rsid w:val="57FE1C1B"/>
    <w:rsid w:val="581F2B31"/>
    <w:rsid w:val="58265D21"/>
    <w:rsid w:val="583E3578"/>
    <w:rsid w:val="58467877"/>
    <w:rsid w:val="584B21B2"/>
    <w:rsid w:val="58564DE9"/>
    <w:rsid w:val="585C67EF"/>
    <w:rsid w:val="585E3388"/>
    <w:rsid w:val="586747C2"/>
    <w:rsid w:val="58701BB4"/>
    <w:rsid w:val="58825B29"/>
    <w:rsid w:val="58837EEA"/>
    <w:rsid w:val="588418A2"/>
    <w:rsid w:val="588C1DFF"/>
    <w:rsid w:val="58991D00"/>
    <w:rsid w:val="58A61818"/>
    <w:rsid w:val="58D06DD5"/>
    <w:rsid w:val="58D57304"/>
    <w:rsid w:val="58F702C5"/>
    <w:rsid w:val="58FE1E10"/>
    <w:rsid w:val="59400A92"/>
    <w:rsid w:val="5940661A"/>
    <w:rsid w:val="5960230F"/>
    <w:rsid w:val="59771406"/>
    <w:rsid w:val="597B3EC3"/>
    <w:rsid w:val="59A67C9C"/>
    <w:rsid w:val="59B9557B"/>
    <w:rsid w:val="59F842F5"/>
    <w:rsid w:val="5A0450BF"/>
    <w:rsid w:val="5A0C55DB"/>
    <w:rsid w:val="5A1C062C"/>
    <w:rsid w:val="5A1D751C"/>
    <w:rsid w:val="5A290952"/>
    <w:rsid w:val="5A3148FB"/>
    <w:rsid w:val="5A522254"/>
    <w:rsid w:val="5A6B5F91"/>
    <w:rsid w:val="5A8B323F"/>
    <w:rsid w:val="5A93401E"/>
    <w:rsid w:val="5AA1673B"/>
    <w:rsid w:val="5AA70DB9"/>
    <w:rsid w:val="5AC07498"/>
    <w:rsid w:val="5ADE5F82"/>
    <w:rsid w:val="5AE61929"/>
    <w:rsid w:val="5AE801F8"/>
    <w:rsid w:val="5AE82AB0"/>
    <w:rsid w:val="5AEA2131"/>
    <w:rsid w:val="5AEB66A8"/>
    <w:rsid w:val="5AEC6CFC"/>
    <w:rsid w:val="5AFD632D"/>
    <w:rsid w:val="5B182775"/>
    <w:rsid w:val="5B1D51DA"/>
    <w:rsid w:val="5B1D7908"/>
    <w:rsid w:val="5B3E6680"/>
    <w:rsid w:val="5B3F2ABC"/>
    <w:rsid w:val="5B426B2F"/>
    <w:rsid w:val="5B726F99"/>
    <w:rsid w:val="5B81031A"/>
    <w:rsid w:val="5B885B4D"/>
    <w:rsid w:val="5B970890"/>
    <w:rsid w:val="5B9A4594"/>
    <w:rsid w:val="5BAD1EB8"/>
    <w:rsid w:val="5BB2589A"/>
    <w:rsid w:val="5BC546AB"/>
    <w:rsid w:val="5BE508A9"/>
    <w:rsid w:val="5BE6684F"/>
    <w:rsid w:val="5BE90A33"/>
    <w:rsid w:val="5BF1358F"/>
    <w:rsid w:val="5BFE0091"/>
    <w:rsid w:val="5C20162E"/>
    <w:rsid w:val="5C2521D6"/>
    <w:rsid w:val="5C3128CC"/>
    <w:rsid w:val="5C36479B"/>
    <w:rsid w:val="5C36590D"/>
    <w:rsid w:val="5C3A1980"/>
    <w:rsid w:val="5C3E7053"/>
    <w:rsid w:val="5C583771"/>
    <w:rsid w:val="5C6E0614"/>
    <w:rsid w:val="5C7373C6"/>
    <w:rsid w:val="5C9A5B38"/>
    <w:rsid w:val="5C9D42AD"/>
    <w:rsid w:val="5CA6037F"/>
    <w:rsid w:val="5CBB2B4E"/>
    <w:rsid w:val="5CD54D22"/>
    <w:rsid w:val="5CDF179C"/>
    <w:rsid w:val="5CE06FEB"/>
    <w:rsid w:val="5D0379F9"/>
    <w:rsid w:val="5D1C034F"/>
    <w:rsid w:val="5D271C93"/>
    <w:rsid w:val="5D273236"/>
    <w:rsid w:val="5D2F3F6C"/>
    <w:rsid w:val="5D3A4C25"/>
    <w:rsid w:val="5D4F5A4E"/>
    <w:rsid w:val="5D5D42EF"/>
    <w:rsid w:val="5D6B4EEA"/>
    <w:rsid w:val="5D6F009E"/>
    <w:rsid w:val="5D7B10A0"/>
    <w:rsid w:val="5D7C523D"/>
    <w:rsid w:val="5D810AA5"/>
    <w:rsid w:val="5D9349BB"/>
    <w:rsid w:val="5D9D0464"/>
    <w:rsid w:val="5DA6687C"/>
    <w:rsid w:val="5DBF1F6A"/>
    <w:rsid w:val="5DC310BE"/>
    <w:rsid w:val="5DCA41FA"/>
    <w:rsid w:val="5DCD76C4"/>
    <w:rsid w:val="5DD7020C"/>
    <w:rsid w:val="5DD94F11"/>
    <w:rsid w:val="5DFB2606"/>
    <w:rsid w:val="5E015742"/>
    <w:rsid w:val="5E0343F6"/>
    <w:rsid w:val="5E0B78E0"/>
    <w:rsid w:val="5E0C65C1"/>
    <w:rsid w:val="5E146B8E"/>
    <w:rsid w:val="5E2751A9"/>
    <w:rsid w:val="5E451AD3"/>
    <w:rsid w:val="5E6D5C17"/>
    <w:rsid w:val="5EA65F43"/>
    <w:rsid w:val="5EB424CE"/>
    <w:rsid w:val="5EB646D8"/>
    <w:rsid w:val="5EB92202"/>
    <w:rsid w:val="5EE72786"/>
    <w:rsid w:val="5EF4719D"/>
    <w:rsid w:val="5F061262"/>
    <w:rsid w:val="5F074FDA"/>
    <w:rsid w:val="5F2F2507"/>
    <w:rsid w:val="5F540576"/>
    <w:rsid w:val="5F645F89"/>
    <w:rsid w:val="5F685A79"/>
    <w:rsid w:val="5F7D1E95"/>
    <w:rsid w:val="5F8E3006"/>
    <w:rsid w:val="5F920D48"/>
    <w:rsid w:val="5FA11F76"/>
    <w:rsid w:val="5FA50D6E"/>
    <w:rsid w:val="5FAD4504"/>
    <w:rsid w:val="5FB32E48"/>
    <w:rsid w:val="5FB76863"/>
    <w:rsid w:val="5FCD76F6"/>
    <w:rsid w:val="5FCF0BFB"/>
    <w:rsid w:val="5FD76D41"/>
    <w:rsid w:val="5FD8755D"/>
    <w:rsid w:val="5FDF1EFF"/>
    <w:rsid w:val="5FF334BE"/>
    <w:rsid w:val="5FFC4413"/>
    <w:rsid w:val="6000501B"/>
    <w:rsid w:val="600A6B30"/>
    <w:rsid w:val="60185D76"/>
    <w:rsid w:val="601B079A"/>
    <w:rsid w:val="60523C80"/>
    <w:rsid w:val="606E543E"/>
    <w:rsid w:val="60806DF2"/>
    <w:rsid w:val="60896599"/>
    <w:rsid w:val="609E6967"/>
    <w:rsid w:val="60A12EF3"/>
    <w:rsid w:val="60B4545D"/>
    <w:rsid w:val="60C2565D"/>
    <w:rsid w:val="60D4115A"/>
    <w:rsid w:val="60EB0FB1"/>
    <w:rsid w:val="60F04438"/>
    <w:rsid w:val="610E2BD0"/>
    <w:rsid w:val="610F0176"/>
    <w:rsid w:val="611D739F"/>
    <w:rsid w:val="612A08E8"/>
    <w:rsid w:val="61534507"/>
    <w:rsid w:val="615C785F"/>
    <w:rsid w:val="616A1824"/>
    <w:rsid w:val="617821BF"/>
    <w:rsid w:val="61786341"/>
    <w:rsid w:val="617B0CD7"/>
    <w:rsid w:val="61893459"/>
    <w:rsid w:val="61B14C77"/>
    <w:rsid w:val="61B90B27"/>
    <w:rsid w:val="61BA0919"/>
    <w:rsid w:val="61C87AC0"/>
    <w:rsid w:val="61D92C5E"/>
    <w:rsid w:val="61E138C1"/>
    <w:rsid w:val="62256F40"/>
    <w:rsid w:val="62283EEC"/>
    <w:rsid w:val="62285994"/>
    <w:rsid w:val="622B353C"/>
    <w:rsid w:val="622D6B06"/>
    <w:rsid w:val="624B0F6A"/>
    <w:rsid w:val="624E7206"/>
    <w:rsid w:val="625A3E7C"/>
    <w:rsid w:val="62644DED"/>
    <w:rsid w:val="626D15F8"/>
    <w:rsid w:val="626D333C"/>
    <w:rsid w:val="628B4CF5"/>
    <w:rsid w:val="628D6061"/>
    <w:rsid w:val="62A019CE"/>
    <w:rsid w:val="62B63C25"/>
    <w:rsid w:val="62B72874"/>
    <w:rsid w:val="62B743BB"/>
    <w:rsid w:val="62B80C38"/>
    <w:rsid w:val="62BB4FA1"/>
    <w:rsid w:val="62D63C13"/>
    <w:rsid w:val="630006BE"/>
    <w:rsid w:val="63033854"/>
    <w:rsid w:val="63091321"/>
    <w:rsid w:val="631331F0"/>
    <w:rsid w:val="631429B7"/>
    <w:rsid w:val="631B00C2"/>
    <w:rsid w:val="63223221"/>
    <w:rsid w:val="6327793E"/>
    <w:rsid w:val="633C622D"/>
    <w:rsid w:val="63464323"/>
    <w:rsid w:val="634B193A"/>
    <w:rsid w:val="635053C1"/>
    <w:rsid w:val="63771F1D"/>
    <w:rsid w:val="63796CDF"/>
    <w:rsid w:val="637C66A7"/>
    <w:rsid w:val="638B5CE7"/>
    <w:rsid w:val="638E5505"/>
    <w:rsid w:val="63A01FD0"/>
    <w:rsid w:val="63A159FD"/>
    <w:rsid w:val="63B15515"/>
    <w:rsid w:val="63BC17DA"/>
    <w:rsid w:val="63C139AA"/>
    <w:rsid w:val="63C72ACC"/>
    <w:rsid w:val="63C82910"/>
    <w:rsid w:val="63CE7542"/>
    <w:rsid w:val="63EF618E"/>
    <w:rsid w:val="64117276"/>
    <w:rsid w:val="641708C6"/>
    <w:rsid w:val="64220C2D"/>
    <w:rsid w:val="6424218B"/>
    <w:rsid w:val="642E672E"/>
    <w:rsid w:val="64330CE4"/>
    <w:rsid w:val="64391EEA"/>
    <w:rsid w:val="64470B15"/>
    <w:rsid w:val="645111D2"/>
    <w:rsid w:val="645667E8"/>
    <w:rsid w:val="645E5F03"/>
    <w:rsid w:val="64601415"/>
    <w:rsid w:val="646A71D1"/>
    <w:rsid w:val="646D39DA"/>
    <w:rsid w:val="647C5B23"/>
    <w:rsid w:val="64995C90"/>
    <w:rsid w:val="64A53238"/>
    <w:rsid w:val="64BE0B63"/>
    <w:rsid w:val="64BE13C4"/>
    <w:rsid w:val="64C31137"/>
    <w:rsid w:val="64C70963"/>
    <w:rsid w:val="64C74EC8"/>
    <w:rsid w:val="64DD288F"/>
    <w:rsid w:val="65065B90"/>
    <w:rsid w:val="650C50F9"/>
    <w:rsid w:val="650D6410"/>
    <w:rsid w:val="6517569C"/>
    <w:rsid w:val="65324A7F"/>
    <w:rsid w:val="65335682"/>
    <w:rsid w:val="653E466A"/>
    <w:rsid w:val="653E4D0B"/>
    <w:rsid w:val="654253CB"/>
    <w:rsid w:val="65531F99"/>
    <w:rsid w:val="65571AD3"/>
    <w:rsid w:val="6562740E"/>
    <w:rsid w:val="656A617E"/>
    <w:rsid w:val="6584707B"/>
    <w:rsid w:val="658B0713"/>
    <w:rsid w:val="658E4A34"/>
    <w:rsid w:val="65953340"/>
    <w:rsid w:val="65A15A81"/>
    <w:rsid w:val="65BB29C1"/>
    <w:rsid w:val="65E63D31"/>
    <w:rsid w:val="65F23A74"/>
    <w:rsid w:val="660673C4"/>
    <w:rsid w:val="662102C3"/>
    <w:rsid w:val="662F478C"/>
    <w:rsid w:val="6632293D"/>
    <w:rsid w:val="66340CF6"/>
    <w:rsid w:val="6660399C"/>
    <w:rsid w:val="66925AD1"/>
    <w:rsid w:val="66967BFE"/>
    <w:rsid w:val="669C743A"/>
    <w:rsid w:val="66AD0239"/>
    <w:rsid w:val="66AD46B9"/>
    <w:rsid w:val="66B1690B"/>
    <w:rsid w:val="66B5531C"/>
    <w:rsid w:val="66C57C55"/>
    <w:rsid w:val="66C832A1"/>
    <w:rsid w:val="66D6776C"/>
    <w:rsid w:val="66D75101"/>
    <w:rsid w:val="66E16C33"/>
    <w:rsid w:val="66E355DD"/>
    <w:rsid w:val="66F347C2"/>
    <w:rsid w:val="66F82E4B"/>
    <w:rsid w:val="66FC3BA1"/>
    <w:rsid w:val="67035B5F"/>
    <w:rsid w:val="670446C1"/>
    <w:rsid w:val="67087B42"/>
    <w:rsid w:val="67222472"/>
    <w:rsid w:val="67233B45"/>
    <w:rsid w:val="67251800"/>
    <w:rsid w:val="6734563F"/>
    <w:rsid w:val="673512DC"/>
    <w:rsid w:val="673A282D"/>
    <w:rsid w:val="673E3563"/>
    <w:rsid w:val="674160EB"/>
    <w:rsid w:val="674E7C4A"/>
    <w:rsid w:val="67564E4D"/>
    <w:rsid w:val="67631C95"/>
    <w:rsid w:val="6767602A"/>
    <w:rsid w:val="67807296"/>
    <w:rsid w:val="67832DE3"/>
    <w:rsid w:val="679715F1"/>
    <w:rsid w:val="679D5F9E"/>
    <w:rsid w:val="67B47573"/>
    <w:rsid w:val="67B92D31"/>
    <w:rsid w:val="67CD115B"/>
    <w:rsid w:val="67D16185"/>
    <w:rsid w:val="67D63363"/>
    <w:rsid w:val="67F72BAF"/>
    <w:rsid w:val="6808604B"/>
    <w:rsid w:val="680D3662"/>
    <w:rsid w:val="6817628E"/>
    <w:rsid w:val="682238AD"/>
    <w:rsid w:val="682C160E"/>
    <w:rsid w:val="684532E2"/>
    <w:rsid w:val="6846061C"/>
    <w:rsid w:val="684D5852"/>
    <w:rsid w:val="68507404"/>
    <w:rsid w:val="68651DD0"/>
    <w:rsid w:val="68817BAC"/>
    <w:rsid w:val="689E250C"/>
    <w:rsid w:val="68AF2172"/>
    <w:rsid w:val="68BE7228"/>
    <w:rsid w:val="68BF7908"/>
    <w:rsid w:val="68C2052A"/>
    <w:rsid w:val="68D3547E"/>
    <w:rsid w:val="68F36BC4"/>
    <w:rsid w:val="69105043"/>
    <w:rsid w:val="69162C5B"/>
    <w:rsid w:val="691D537C"/>
    <w:rsid w:val="691F1D3C"/>
    <w:rsid w:val="69226158"/>
    <w:rsid w:val="6925436E"/>
    <w:rsid w:val="694576BA"/>
    <w:rsid w:val="694A55A4"/>
    <w:rsid w:val="69527E32"/>
    <w:rsid w:val="695C4C4F"/>
    <w:rsid w:val="696C260A"/>
    <w:rsid w:val="69830B21"/>
    <w:rsid w:val="698A0954"/>
    <w:rsid w:val="698D6E95"/>
    <w:rsid w:val="698E73D0"/>
    <w:rsid w:val="69967687"/>
    <w:rsid w:val="69A05374"/>
    <w:rsid w:val="69A2602B"/>
    <w:rsid w:val="69A65A2D"/>
    <w:rsid w:val="69C2608A"/>
    <w:rsid w:val="69C441F4"/>
    <w:rsid w:val="69D068C9"/>
    <w:rsid w:val="69FC44E8"/>
    <w:rsid w:val="6A034F15"/>
    <w:rsid w:val="6A1D3904"/>
    <w:rsid w:val="6A515D71"/>
    <w:rsid w:val="6A5859E0"/>
    <w:rsid w:val="6A5D3FFC"/>
    <w:rsid w:val="6A611A23"/>
    <w:rsid w:val="6A627569"/>
    <w:rsid w:val="6A6634FD"/>
    <w:rsid w:val="6A6B3A54"/>
    <w:rsid w:val="6A7767DF"/>
    <w:rsid w:val="6A7C687C"/>
    <w:rsid w:val="6A9D3D8A"/>
    <w:rsid w:val="6AC31080"/>
    <w:rsid w:val="6AC562C0"/>
    <w:rsid w:val="6ADE3093"/>
    <w:rsid w:val="6AE01A2A"/>
    <w:rsid w:val="6AF44665"/>
    <w:rsid w:val="6B0777EB"/>
    <w:rsid w:val="6B124E61"/>
    <w:rsid w:val="6B2313EE"/>
    <w:rsid w:val="6B386766"/>
    <w:rsid w:val="6B480E55"/>
    <w:rsid w:val="6B483A74"/>
    <w:rsid w:val="6B645A83"/>
    <w:rsid w:val="6B7304CD"/>
    <w:rsid w:val="6B893485"/>
    <w:rsid w:val="6BA223AE"/>
    <w:rsid w:val="6BA36C72"/>
    <w:rsid w:val="6BAC3C2D"/>
    <w:rsid w:val="6BB011E6"/>
    <w:rsid w:val="6BD959FF"/>
    <w:rsid w:val="6BEA48DD"/>
    <w:rsid w:val="6BEF0F65"/>
    <w:rsid w:val="6C0601A2"/>
    <w:rsid w:val="6C133210"/>
    <w:rsid w:val="6C1549BB"/>
    <w:rsid w:val="6C4C04D0"/>
    <w:rsid w:val="6C8B724B"/>
    <w:rsid w:val="6C8D4D71"/>
    <w:rsid w:val="6C961FC3"/>
    <w:rsid w:val="6CA651EE"/>
    <w:rsid w:val="6CA66F17"/>
    <w:rsid w:val="6CBE12B4"/>
    <w:rsid w:val="6CC10E21"/>
    <w:rsid w:val="6CD12CEE"/>
    <w:rsid w:val="6CDA5ADC"/>
    <w:rsid w:val="6D296416"/>
    <w:rsid w:val="6D350F65"/>
    <w:rsid w:val="6D415B5B"/>
    <w:rsid w:val="6D4D1358"/>
    <w:rsid w:val="6D57712D"/>
    <w:rsid w:val="6D655CEE"/>
    <w:rsid w:val="6D9E2E9E"/>
    <w:rsid w:val="6DA91BE2"/>
    <w:rsid w:val="6DBF3558"/>
    <w:rsid w:val="6DC9002B"/>
    <w:rsid w:val="6DCF0A71"/>
    <w:rsid w:val="6DFB6295"/>
    <w:rsid w:val="6E15369F"/>
    <w:rsid w:val="6E416565"/>
    <w:rsid w:val="6E4E5E7C"/>
    <w:rsid w:val="6E51210E"/>
    <w:rsid w:val="6E531FEA"/>
    <w:rsid w:val="6E55366C"/>
    <w:rsid w:val="6E9028F6"/>
    <w:rsid w:val="6EB05E89"/>
    <w:rsid w:val="6ECE63EE"/>
    <w:rsid w:val="6EE76540"/>
    <w:rsid w:val="6EFE4CDA"/>
    <w:rsid w:val="6F022C2C"/>
    <w:rsid w:val="6F0331F3"/>
    <w:rsid w:val="6F0357BE"/>
    <w:rsid w:val="6F0D2199"/>
    <w:rsid w:val="6F132BA1"/>
    <w:rsid w:val="6F234D55"/>
    <w:rsid w:val="6F3E63C9"/>
    <w:rsid w:val="6F51540A"/>
    <w:rsid w:val="6F556890"/>
    <w:rsid w:val="6F705C92"/>
    <w:rsid w:val="6F787E4D"/>
    <w:rsid w:val="6F8B78DC"/>
    <w:rsid w:val="6FA079B5"/>
    <w:rsid w:val="6FA14222"/>
    <w:rsid w:val="6FA77B04"/>
    <w:rsid w:val="6FAE17FA"/>
    <w:rsid w:val="6FB02D94"/>
    <w:rsid w:val="6FBB4D50"/>
    <w:rsid w:val="6FCA0561"/>
    <w:rsid w:val="6FD96282"/>
    <w:rsid w:val="6FED6942"/>
    <w:rsid w:val="6FEE7EDF"/>
    <w:rsid w:val="6FF54301"/>
    <w:rsid w:val="700C72C4"/>
    <w:rsid w:val="701301BD"/>
    <w:rsid w:val="701D640C"/>
    <w:rsid w:val="70253590"/>
    <w:rsid w:val="702E47B0"/>
    <w:rsid w:val="703A33DE"/>
    <w:rsid w:val="705313DA"/>
    <w:rsid w:val="70564B13"/>
    <w:rsid w:val="7060279C"/>
    <w:rsid w:val="707F0E75"/>
    <w:rsid w:val="70900DBC"/>
    <w:rsid w:val="709025ED"/>
    <w:rsid w:val="70AB7EBB"/>
    <w:rsid w:val="70C067D7"/>
    <w:rsid w:val="70C7343E"/>
    <w:rsid w:val="70DB644D"/>
    <w:rsid w:val="70EE1B56"/>
    <w:rsid w:val="70EF3044"/>
    <w:rsid w:val="70FA04FB"/>
    <w:rsid w:val="70FF1FB5"/>
    <w:rsid w:val="710A6A82"/>
    <w:rsid w:val="71402D67"/>
    <w:rsid w:val="715C0959"/>
    <w:rsid w:val="71A072F4"/>
    <w:rsid w:val="71A566B9"/>
    <w:rsid w:val="71BC39D4"/>
    <w:rsid w:val="71C1726B"/>
    <w:rsid w:val="71C405B5"/>
    <w:rsid w:val="71C823A7"/>
    <w:rsid w:val="71E46E51"/>
    <w:rsid w:val="71E73175"/>
    <w:rsid w:val="71ED78C4"/>
    <w:rsid w:val="71F16400"/>
    <w:rsid w:val="720A32BD"/>
    <w:rsid w:val="72132C33"/>
    <w:rsid w:val="722D6B5C"/>
    <w:rsid w:val="72327DB2"/>
    <w:rsid w:val="724E006B"/>
    <w:rsid w:val="72564915"/>
    <w:rsid w:val="72565C05"/>
    <w:rsid w:val="725B321B"/>
    <w:rsid w:val="726C4B4E"/>
    <w:rsid w:val="728058CE"/>
    <w:rsid w:val="72B24F8E"/>
    <w:rsid w:val="72B31D5F"/>
    <w:rsid w:val="72C04D9D"/>
    <w:rsid w:val="72C77A58"/>
    <w:rsid w:val="72C87AF1"/>
    <w:rsid w:val="72E17BC5"/>
    <w:rsid w:val="72E406D7"/>
    <w:rsid w:val="72E87DC7"/>
    <w:rsid w:val="72F26877"/>
    <w:rsid w:val="72F53808"/>
    <w:rsid w:val="73010267"/>
    <w:rsid w:val="73052C77"/>
    <w:rsid w:val="73092C77"/>
    <w:rsid w:val="734322AA"/>
    <w:rsid w:val="7346211D"/>
    <w:rsid w:val="734E21A3"/>
    <w:rsid w:val="7355065B"/>
    <w:rsid w:val="735C724B"/>
    <w:rsid w:val="739B36E8"/>
    <w:rsid w:val="73C728AC"/>
    <w:rsid w:val="73CF2113"/>
    <w:rsid w:val="73D404BC"/>
    <w:rsid w:val="73E13671"/>
    <w:rsid w:val="73F164FC"/>
    <w:rsid w:val="740E087A"/>
    <w:rsid w:val="74233DB4"/>
    <w:rsid w:val="743B72F2"/>
    <w:rsid w:val="743D52CE"/>
    <w:rsid w:val="745C01B8"/>
    <w:rsid w:val="745D37F8"/>
    <w:rsid w:val="7462611B"/>
    <w:rsid w:val="7468793E"/>
    <w:rsid w:val="746D45A5"/>
    <w:rsid w:val="748942D3"/>
    <w:rsid w:val="74A35ECE"/>
    <w:rsid w:val="74A57AD4"/>
    <w:rsid w:val="74CC06D3"/>
    <w:rsid w:val="74CC6652"/>
    <w:rsid w:val="74CE5DFD"/>
    <w:rsid w:val="74D17AD8"/>
    <w:rsid w:val="74D8717B"/>
    <w:rsid w:val="74E544F9"/>
    <w:rsid w:val="74EE65C9"/>
    <w:rsid w:val="750B0F29"/>
    <w:rsid w:val="75292BC7"/>
    <w:rsid w:val="75325810"/>
    <w:rsid w:val="75377F70"/>
    <w:rsid w:val="75452B56"/>
    <w:rsid w:val="756B7487"/>
    <w:rsid w:val="756F624B"/>
    <w:rsid w:val="757346B1"/>
    <w:rsid w:val="758D193E"/>
    <w:rsid w:val="75AC0247"/>
    <w:rsid w:val="75B302C5"/>
    <w:rsid w:val="75BE0E5E"/>
    <w:rsid w:val="75C17839"/>
    <w:rsid w:val="75C34FEE"/>
    <w:rsid w:val="75C537CD"/>
    <w:rsid w:val="75C95B6B"/>
    <w:rsid w:val="75D5311C"/>
    <w:rsid w:val="75EB3A7D"/>
    <w:rsid w:val="75F47323"/>
    <w:rsid w:val="7604778E"/>
    <w:rsid w:val="760A11E0"/>
    <w:rsid w:val="760A5847"/>
    <w:rsid w:val="76160F02"/>
    <w:rsid w:val="76192817"/>
    <w:rsid w:val="76383BFA"/>
    <w:rsid w:val="7639378F"/>
    <w:rsid w:val="763A6DB5"/>
    <w:rsid w:val="763A7A61"/>
    <w:rsid w:val="764010A6"/>
    <w:rsid w:val="764B1ABF"/>
    <w:rsid w:val="76612DCA"/>
    <w:rsid w:val="766316EE"/>
    <w:rsid w:val="768D3BBF"/>
    <w:rsid w:val="76A9318D"/>
    <w:rsid w:val="76AC2297"/>
    <w:rsid w:val="76BA065A"/>
    <w:rsid w:val="76BD11D6"/>
    <w:rsid w:val="76BE09ED"/>
    <w:rsid w:val="76C61934"/>
    <w:rsid w:val="76CC6188"/>
    <w:rsid w:val="76CE66B2"/>
    <w:rsid w:val="76DD43AE"/>
    <w:rsid w:val="76E2212E"/>
    <w:rsid w:val="76EF03D6"/>
    <w:rsid w:val="76F21CA6"/>
    <w:rsid w:val="77100A78"/>
    <w:rsid w:val="771C6966"/>
    <w:rsid w:val="77212C85"/>
    <w:rsid w:val="77304C77"/>
    <w:rsid w:val="77407C91"/>
    <w:rsid w:val="77664B3C"/>
    <w:rsid w:val="776D6665"/>
    <w:rsid w:val="77894387"/>
    <w:rsid w:val="779A5706"/>
    <w:rsid w:val="77A063A7"/>
    <w:rsid w:val="77C51B30"/>
    <w:rsid w:val="77CE155B"/>
    <w:rsid w:val="77F023EC"/>
    <w:rsid w:val="77F709DF"/>
    <w:rsid w:val="7801043A"/>
    <w:rsid w:val="7819395D"/>
    <w:rsid w:val="781A79A8"/>
    <w:rsid w:val="782567A5"/>
    <w:rsid w:val="78306EF8"/>
    <w:rsid w:val="78331593"/>
    <w:rsid w:val="784657C5"/>
    <w:rsid w:val="78475915"/>
    <w:rsid w:val="785901FD"/>
    <w:rsid w:val="7860158C"/>
    <w:rsid w:val="786A1571"/>
    <w:rsid w:val="787033A2"/>
    <w:rsid w:val="7879264D"/>
    <w:rsid w:val="78855F09"/>
    <w:rsid w:val="78972AD3"/>
    <w:rsid w:val="789F2CD1"/>
    <w:rsid w:val="78A03E8F"/>
    <w:rsid w:val="78B07954"/>
    <w:rsid w:val="78B32B8C"/>
    <w:rsid w:val="78B96EEE"/>
    <w:rsid w:val="78C07249"/>
    <w:rsid w:val="78D20E1B"/>
    <w:rsid w:val="78D77E11"/>
    <w:rsid w:val="78FD6F0C"/>
    <w:rsid w:val="78FF2692"/>
    <w:rsid w:val="790570D2"/>
    <w:rsid w:val="79075C63"/>
    <w:rsid w:val="79141E3D"/>
    <w:rsid w:val="791C5CF9"/>
    <w:rsid w:val="79513B1D"/>
    <w:rsid w:val="79532E9E"/>
    <w:rsid w:val="795D2751"/>
    <w:rsid w:val="796E0471"/>
    <w:rsid w:val="797F3361"/>
    <w:rsid w:val="797F60AD"/>
    <w:rsid w:val="798474FC"/>
    <w:rsid w:val="79870D9A"/>
    <w:rsid w:val="79A731EA"/>
    <w:rsid w:val="79AB4BD2"/>
    <w:rsid w:val="79CE1D4F"/>
    <w:rsid w:val="79D27F63"/>
    <w:rsid w:val="79D57D57"/>
    <w:rsid w:val="79E40881"/>
    <w:rsid w:val="79EB757B"/>
    <w:rsid w:val="79F1593A"/>
    <w:rsid w:val="79FC3536"/>
    <w:rsid w:val="7A035751"/>
    <w:rsid w:val="7A0B393F"/>
    <w:rsid w:val="7A24483B"/>
    <w:rsid w:val="7A3E7E12"/>
    <w:rsid w:val="7A43319A"/>
    <w:rsid w:val="7A462FE6"/>
    <w:rsid w:val="7A4F2D1A"/>
    <w:rsid w:val="7A5F4718"/>
    <w:rsid w:val="7A6E5967"/>
    <w:rsid w:val="7A721A4A"/>
    <w:rsid w:val="7A7E7BE1"/>
    <w:rsid w:val="7A810CBA"/>
    <w:rsid w:val="7A880B50"/>
    <w:rsid w:val="7A8F5074"/>
    <w:rsid w:val="7A92605E"/>
    <w:rsid w:val="7A94551C"/>
    <w:rsid w:val="7AA65C7E"/>
    <w:rsid w:val="7AB1566D"/>
    <w:rsid w:val="7ABE69EF"/>
    <w:rsid w:val="7AC40589"/>
    <w:rsid w:val="7ADD3367"/>
    <w:rsid w:val="7AE4764C"/>
    <w:rsid w:val="7AF16E13"/>
    <w:rsid w:val="7AF4250E"/>
    <w:rsid w:val="7B07460A"/>
    <w:rsid w:val="7B0E6917"/>
    <w:rsid w:val="7B243CD1"/>
    <w:rsid w:val="7B252618"/>
    <w:rsid w:val="7B2D6313"/>
    <w:rsid w:val="7B3069CC"/>
    <w:rsid w:val="7B477FE2"/>
    <w:rsid w:val="7B4E6013"/>
    <w:rsid w:val="7B5F0E21"/>
    <w:rsid w:val="7B635129"/>
    <w:rsid w:val="7B673016"/>
    <w:rsid w:val="7B712AC4"/>
    <w:rsid w:val="7B722803"/>
    <w:rsid w:val="7B7762FE"/>
    <w:rsid w:val="7B7B492E"/>
    <w:rsid w:val="7B8D6844"/>
    <w:rsid w:val="7B9A4DB4"/>
    <w:rsid w:val="7B9D6653"/>
    <w:rsid w:val="7BC06441"/>
    <w:rsid w:val="7BE10DFF"/>
    <w:rsid w:val="7C1666AF"/>
    <w:rsid w:val="7C1A7CA3"/>
    <w:rsid w:val="7C211168"/>
    <w:rsid w:val="7C2154D6"/>
    <w:rsid w:val="7C230E12"/>
    <w:rsid w:val="7C420D14"/>
    <w:rsid w:val="7C4371FA"/>
    <w:rsid w:val="7C4F32BA"/>
    <w:rsid w:val="7C5331B5"/>
    <w:rsid w:val="7C573291"/>
    <w:rsid w:val="7C652DC1"/>
    <w:rsid w:val="7C7C270C"/>
    <w:rsid w:val="7C7C4210"/>
    <w:rsid w:val="7C8425CF"/>
    <w:rsid w:val="7CA92F18"/>
    <w:rsid w:val="7CAB2FF1"/>
    <w:rsid w:val="7CB60D99"/>
    <w:rsid w:val="7CE309DD"/>
    <w:rsid w:val="7CE95E0A"/>
    <w:rsid w:val="7D0B583E"/>
    <w:rsid w:val="7D133E33"/>
    <w:rsid w:val="7D250FF6"/>
    <w:rsid w:val="7D313D1D"/>
    <w:rsid w:val="7D372691"/>
    <w:rsid w:val="7D4F7E21"/>
    <w:rsid w:val="7D523129"/>
    <w:rsid w:val="7D5B67C5"/>
    <w:rsid w:val="7D711B45"/>
    <w:rsid w:val="7D876157"/>
    <w:rsid w:val="7D8E6B9B"/>
    <w:rsid w:val="7D8F021D"/>
    <w:rsid w:val="7D9556C3"/>
    <w:rsid w:val="7DA0067C"/>
    <w:rsid w:val="7DA55C93"/>
    <w:rsid w:val="7DB56112"/>
    <w:rsid w:val="7DCE5B9D"/>
    <w:rsid w:val="7DD86068"/>
    <w:rsid w:val="7DDB2FE1"/>
    <w:rsid w:val="7E0D0C78"/>
    <w:rsid w:val="7E1B5075"/>
    <w:rsid w:val="7E366351"/>
    <w:rsid w:val="7E3B6A57"/>
    <w:rsid w:val="7E437E07"/>
    <w:rsid w:val="7E4454AB"/>
    <w:rsid w:val="7E537EC3"/>
    <w:rsid w:val="7E671E9B"/>
    <w:rsid w:val="7E6F6833"/>
    <w:rsid w:val="7E752BE0"/>
    <w:rsid w:val="7E783D56"/>
    <w:rsid w:val="7E7F7DF0"/>
    <w:rsid w:val="7E977D18"/>
    <w:rsid w:val="7EA95E31"/>
    <w:rsid w:val="7EAB1087"/>
    <w:rsid w:val="7EB96798"/>
    <w:rsid w:val="7EC7487A"/>
    <w:rsid w:val="7ED54796"/>
    <w:rsid w:val="7EE24C48"/>
    <w:rsid w:val="7EEA45A3"/>
    <w:rsid w:val="7F200D23"/>
    <w:rsid w:val="7F3B68AE"/>
    <w:rsid w:val="7F484B27"/>
    <w:rsid w:val="7F4A4D43"/>
    <w:rsid w:val="7F577A42"/>
    <w:rsid w:val="7F5B5662"/>
    <w:rsid w:val="7F6000C3"/>
    <w:rsid w:val="7F6F755D"/>
    <w:rsid w:val="7F731128"/>
    <w:rsid w:val="7F8A15E4"/>
    <w:rsid w:val="7F9164CE"/>
    <w:rsid w:val="7FAA7590"/>
    <w:rsid w:val="7FC1212D"/>
    <w:rsid w:val="7FC56178"/>
    <w:rsid w:val="7FC70142"/>
    <w:rsid w:val="7FF132B6"/>
    <w:rsid w:val="7FFB3072"/>
    <w:rsid w:val="7FFD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6">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7">
    <w:name w:val="heading 7"/>
    <w:basedOn w:val="1"/>
    <w:next w:val="1"/>
    <w:qFormat/>
    <w:uiPriority w:val="99"/>
    <w:pPr>
      <w:keepNext/>
      <w:keepLines/>
      <w:spacing w:before="240" w:after="64" w:line="320" w:lineRule="auto"/>
      <w:outlineLvl w:val="6"/>
    </w:pPr>
    <w:rPr>
      <w:b/>
      <w:bCs/>
      <w:sz w:val="24"/>
      <w:szCs w:val="24"/>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8">
    <w:name w:val="annotation text"/>
    <w:basedOn w:val="1"/>
    <w:link w:val="30"/>
    <w:qFormat/>
    <w:uiPriority w:val="6"/>
    <w:pPr>
      <w:spacing w:line="360" w:lineRule="atLeast"/>
      <w:jc w:val="left"/>
    </w:pPr>
    <w:rPr>
      <w:rFonts w:ascii="Times New Roman" w:hAnsi="Times New Roman"/>
      <w:sz w:val="24"/>
      <w:szCs w:val="20"/>
    </w:rPr>
  </w:style>
  <w:style w:type="paragraph" w:styleId="9">
    <w:name w:val="Body Text"/>
    <w:basedOn w:val="1"/>
    <w:next w:val="1"/>
    <w:qFormat/>
    <w:uiPriority w:val="0"/>
    <w:pPr>
      <w:jc w:val="left"/>
    </w:pPr>
    <w:rPr>
      <w:rFonts w:ascii="Copperplate Gothic Bold" w:hAnsi="Copperplate Gothic Bold"/>
      <w:sz w:val="28"/>
    </w:rPr>
  </w:style>
  <w:style w:type="paragraph" w:styleId="10">
    <w:name w:val="Body Text Indent"/>
    <w:basedOn w:val="1"/>
    <w:qFormat/>
    <w:uiPriority w:val="0"/>
    <w:pPr>
      <w:spacing w:after="120"/>
      <w:ind w:left="420" w:leftChars="200"/>
    </w:pPr>
    <w:rPr>
      <w:szCs w:val="24"/>
    </w:rPr>
  </w:style>
  <w:style w:type="paragraph" w:styleId="11">
    <w:name w:val="Plain Text"/>
    <w:basedOn w:val="1"/>
    <w:qFormat/>
    <w:uiPriority w:val="99"/>
    <w:rPr>
      <w:rFonts w:ascii="宋体" w:hAnsi="Courier New" w:cs="Courier New"/>
      <w:szCs w:val="21"/>
    </w:rPr>
  </w:style>
  <w:style w:type="paragraph" w:styleId="12">
    <w:name w:val="footer"/>
    <w:basedOn w:val="1"/>
    <w:next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s="Arial Unicode MS"/>
      <w:kern w:val="0"/>
      <w:sz w:val="24"/>
    </w:rPr>
  </w:style>
  <w:style w:type="paragraph" w:styleId="15">
    <w:name w:val="annotation subject"/>
    <w:basedOn w:val="8"/>
    <w:next w:val="8"/>
    <w:link w:val="31"/>
    <w:qFormat/>
    <w:uiPriority w:val="0"/>
    <w:pPr>
      <w:spacing w:line="240" w:lineRule="auto"/>
    </w:pPr>
    <w:rPr>
      <w:rFonts w:ascii="Calibri" w:hAnsi="Calibri"/>
      <w:b/>
      <w:bCs/>
      <w:sz w:val="21"/>
      <w:szCs w:val="22"/>
    </w:rPr>
  </w:style>
  <w:style w:type="paragraph" w:styleId="16">
    <w:name w:val="Body Text First Indent"/>
    <w:basedOn w:val="9"/>
    <w:next w:val="17"/>
    <w:qFormat/>
    <w:uiPriority w:val="0"/>
    <w:pPr>
      <w:autoSpaceDE w:val="0"/>
      <w:autoSpaceDN w:val="0"/>
      <w:adjustRightInd w:val="0"/>
      <w:spacing w:after="120"/>
      <w:ind w:firstLine="420" w:firstLineChars="100"/>
    </w:pPr>
    <w:rPr>
      <w:szCs w:val="20"/>
    </w:rPr>
  </w:style>
  <w:style w:type="paragraph" w:styleId="17">
    <w:name w:val="Body Text First Indent 2"/>
    <w:basedOn w:val="10"/>
    <w:qFormat/>
    <w:uiPriority w:val="0"/>
    <w:pPr>
      <w:ind w:left="0" w:leftChars="0" w:firstLine="420" w:firstLineChars="200"/>
    </w:pPr>
    <w:rPr>
      <w:kern w:val="1"/>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annotation reference"/>
    <w:basedOn w:val="20"/>
    <w:qFormat/>
    <w:uiPriority w:val="0"/>
    <w:rPr>
      <w:sz w:val="21"/>
      <w:szCs w:val="21"/>
    </w:rPr>
  </w:style>
  <w:style w:type="paragraph" w:customStyle="1" w:styleId="24">
    <w:name w:val="Heading4"/>
    <w:basedOn w:val="1"/>
    <w:next w:val="1"/>
    <w:qFormat/>
    <w:uiPriority w:val="0"/>
    <w:pPr>
      <w:keepNext/>
      <w:keepLines/>
      <w:spacing w:before="280" w:after="290" w:line="376" w:lineRule="atLeast"/>
    </w:pPr>
    <w:rPr>
      <w:rFonts w:ascii="Calibri Light" w:hAnsi="Calibri Light"/>
    </w:rPr>
  </w:style>
  <w:style w:type="paragraph" w:customStyle="1" w:styleId="25">
    <w:name w:val="Char2 Char Char Char"/>
    <w:basedOn w:val="1"/>
    <w:qFormat/>
    <w:uiPriority w:val="0"/>
    <w:rPr>
      <w:rFonts w:ascii="Tahoma" w:hAnsi="Tahoma"/>
      <w:sz w:val="24"/>
      <w:szCs w:val="20"/>
    </w:rPr>
  </w:style>
  <w:style w:type="paragraph" w:customStyle="1" w:styleId="26">
    <w:name w:val="正文1"/>
    <w:basedOn w:val="1"/>
    <w:qFormat/>
    <w:uiPriority w:val="0"/>
    <w:pPr>
      <w:adjustRightInd w:val="0"/>
      <w:spacing w:line="318" w:lineRule="atLeast"/>
      <w:ind w:left="369" w:firstLine="369"/>
      <w:textAlignment w:val="baseline"/>
    </w:pPr>
    <w:rPr>
      <w:rFonts w:ascii="宋体"/>
      <w:szCs w:val="20"/>
    </w:rPr>
  </w:style>
  <w:style w:type="paragraph" w:customStyle="1" w:styleId="27">
    <w:name w:val="List Paragraph"/>
    <w:basedOn w:val="1"/>
    <w:qFormat/>
    <w:uiPriority w:val="34"/>
    <w:pPr>
      <w:ind w:firstLine="420" w:firstLineChars="200"/>
    </w:pPr>
  </w:style>
  <w:style w:type="paragraph" w:customStyle="1" w:styleId="28">
    <w:name w:val="￥正文"/>
    <w:basedOn w:val="1"/>
    <w:qFormat/>
    <w:uiPriority w:val="0"/>
    <w:pPr>
      <w:widowControl/>
      <w:spacing w:before="156" w:after="156" w:line="360" w:lineRule="auto"/>
      <w:ind w:firstLine="480" w:firstLineChars="200"/>
      <w:jc w:val="left"/>
    </w:pPr>
    <w:rPr>
      <w:sz w:val="24"/>
    </w:rPr>
  </w:style>
  <w:style w:type="paragraph" w:customStyle="1" w:styleId="29">
    <w:name w:val="列出段落2"/>
    <w:basedOn w:val="1"/>
    <w:qFormat/>
    <w:uiPriority w:val="99"/>
    <w:pPr>
      <w:ind w:firstLine="420" w:firstLineChars="200"/>
    </w:pPr>
  </w:style>
  <w:style w:type="character" w:customStyle="1" w:styleId="30">
    <w:name w:val="批注文字 字符"/>
    <w:basedOn w:val="20"/>
    <w:link w:val="8"/>
    <w:qFormat/>
    <w:uiPriority w:val="6"/>
    <w:rPr>
      <w:rFonts w:ascii="Times New Roman" w:hAnsi="Times New Roman" w:eastAsia="宋体" w:cs="Times New Roman"/>
      <w:kern w:val="2"/>
      <w:sz w:val="24"/>
    </w:rPr>
  </w:style>
  <w:style w:type="character" w:customStyle="1" w:styleId="31">
    <w:name w:val="批注主题 字符"/>
    <w:basedOn w:val="30"/>
    <w:link w:val="15"/>
    <w:qFormat/>
    <w:uiPriority w:val="0"/>
    <w:rPr>
      <w:rFonts w:ascii="Calibri" w:hAnsi="Calibri" w:eastAsia="宋体" w:cs="Times New Roman"/>
      <w:b/>
      <w:bCs/>
      <w:kern w:val="2"/>
      <w:sz w:val="21"/>
      <w:szCs w:val="22"/>
    </w:rPr>
  </w:style>
  <w:style w:type="paragraph" w:customStyle="1" w:styleId="32">
    <w:name w:val="正文2"/>
    <w:basedOn w:val="1"/>
    <w:qFormat/>
    <w:uiPriority w:val="0"/>
    <w:pPr>
      <w:adjustRightInd w:val="0"/>
      <w:spacing w:line="318" w:lineRule="atLeast"/>
      <w:ind w:left="369" w:firstLine="369"/>
      <w:textAlignment w:val="baseline"/>
    </w:pPr>
    <w:rPr>
      <w:rFonts w:ascii="宋体"/>
      <w:szCs w:val="20"/>
    </w:rPr>
  </w:style>
  <w:style w:type="paragraph" w:customStyle="1" w:styleId="33">
    <w:name w:val="正文缩进1"/>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customStyle="1" w:styleId="34">
    <w:name w:val="样式"/>
    <w:basedOn w:val="1"/>
    <w:qFormat/>
    <w:uiPriority w:val="0"/>
    <w:pPr>
      <w:numPr>
        <w:ilvl w:val="0"/>
        <w:numId w:val="1"/>
      </w:numPr>
      <w:tabs>
        <w:tab w:val="left" w:pos="567"/>
      </w:tabs>
      <w:snapToGrid w:val="0"/>
      <w:spacing w:line="460" w:lineRule="atLeast"/>
    </w:pPr>
    <w:rPr>
      <w:rFonts w:ascii="Arial" w:hAnsi="Arial"/>
      <w:spacing w:val="6"/>
      <w:sz w:val="24"/>
      <w:szCs w:val="20"/>
    </w:rPr>
  </w:style>
  <w:style w:type="character" w:customStyle="1" w:styleId="35">
    <w:name w:val="font41"/>
    <w:basedOn w:val="20"/>
    <w:qFormat/>
    <w:uiPriority w:val="0"/>
    <w:rPr>
      <w:rFonts w:hint="eastAsia" w:ascii="仿宋" w:hAnsi="仿宋" w:eastAsia="仿宋" w:cs="仿宋"/>
      <w:color w:val="000000"/>
      <w:sz w:val="18"/>
      <w:szCs w:val="18"/>
      <w:u w:val="none"/>
    </w:rPr>
  </w:style>
  <w:style w:type="character" w:customStyle="1" w:styleId="36">
    <w:name w:val="font61"/>
    <w:basedOn w:val="20"/>
    <w:qFormat/>
    <w:uiPriority w:val="0"/>
    <w:rPr>
      <w:rFonts w:hint="eastAsia" w:ascii="仿宋" w:hAnsi="仿宋" w:eastAsia="仿宋" w:cs="仿宋"/>
      <w:color w:val="424242"/>
      <w:sz w:val="18"/>
      <w:szCs w:val="18"/>
      <w:u w:val="none"/>
    </w:rPr>
  </w:style>
  <w:style w:type="character" w:customStyle="1" w:styleId="37">
    <w:name w:val="NormalCharacter"/>
    <w:semiHidden/>
    <w:qFormat/>
    <w:uiPriority w:val="0"/>
    <w:rPr>
      <w:rFonts w:eastAsia="楷体_GB2312"/>
      <w:b/>
      <w:kern w:val="2"/>
      <w:sz w:val="24"/>
      <w:lang w:val="en-US" w:eastAsia="zh-CN" w:bidi="ar-SA"/>
    </w:rPr>
  </w:style>
  <w:style w:type="character" w:customStyle="1" w:styleId="38">
    <w:name w:val="标题 1 Char"/>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28385</Words>
  <Characters>30519</Characters>
  <Lines>244</Lines>
  <Paragraphs>68</Paragraphs>
  <TotalTime>38</TotalTime>
  <ScaleCrop>false</ScaleCrop>
  <LinksUpToDate>false</LinksUpToDate>
  <CharactersWithSpaces>31958</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2021-09-23T03:11:00Z</dcterms:created>
  <dc:creator>南之秦</dc:creator>
  <cp:lastModifiedBy>GUOTAI</cp:lastModifiedBy>
  <cp:lastPrinted>2024-07-12T07:19:07Z</cp:lastPrinted>
  <dcterms:modified xsi:type="dcterms:W3CDTF">2024-07-12T08:00:51Z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79B7127D445A42C0909C9ECD0C3FD448_13</vt:lpwstr>
  </property>
</Properties>
</file>