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8D34A">
      <w:pPr>
        <w:spacing w:line="420" w:lineRule="auto"/>
        <w:jc w:val="left"/>
        <w:rPr>
          <w:rFonts w:hint="default" w:ascii="宋体" w:hAnsi="宋体" w:eastAsia="宋体" w:cs="宋体"/>
          <w:b/>
          <w:sz w:val="28"/>
          <w:szCs w:val="28"/>
          <w:lang w:val="en-US" w:eastAsia="zh-CN"/>
        </w:rPr>
      </w:pPr>
      <w:bookmarkStart w:id="0" w:name="_Toc193702467"/>
      <w:bookmarkStart w:id="1" w:name="_Toc246928891"/>
      <w:bookmarkStart w:id="2" w:name="_Toc22392"/>
      <w:bookmarkStart w:id="3" w:name="_Toc6410"/>
      <w:bookmarkStart w:id="4" w:name="_Toc12011"/>
      <w:bookmarkStart w:id="5" w:name="_Toc465958085"/>
      <w:bookmarkStart w:id="6" w:name="_Toc12260"/>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HYDZB-2024-046.1B1</w:t>
      </w:r>
    </w:p>
    <w:p w14:paraId="210429B0">
      <w:pPr>
        <w:pStyle w:val="4"/>
        <w:jc w:val="both"/>
        <w:rPr>
          <w:rFonts w:hint="eastAsia"/>
          <w:sz w:val="44"/>
          <w:szCs w:val="44"/>
          <w:lang w:val="en-US" w:eastAsia="zh-CN"/>
        </w:rPr>
      </w:pPr>
    </w:p>
    <w:p w14:paraId="0D5B864E">
      <w:pPr>
        <w:pStyle w:val="4"/>
        <w:rPr>
          <w:rFonts w:hint="eastAsia"/>
          <w:sz w:val="44"/>
          <w:szCs w:val="44"/>
          <w:lang w:val="en-US" w:eastAsia="zh-CN"/>
        </w:rPr>
      </w:pPr>
    </w:p>
    <w:p w14:paraId="0CD82516">
      <w:pPr>
        <w:spacing w:line="480" w:lineRule="auto"/>
        <w:jc w:val="center"/>
        <w:rPr>
          <w:rFonts w:hint="eastAsia" w:ascii="宋体" w:hAnsi="宋体" w:cs="宋体"/>
          <w:b/>
          <w:sz w:val="52"/>
          <w:szCs w:val="52"/>
          <w:lang w:eastAsia="zh-CN"/>
        </w:rPr>
      </w:pPr>
      <w:r>
        <w:rPr>
          <w:rFonts w:hint="eastAsia" w:ascii="宋体" w:hAnsi="宋体" w:cs="宋体"/>
          <w:b/>
          <w:sz w:val="52"/>
          <w:szCs w:val="52"/>
          <w:lang w:eastAsia="zh-CN"/>
        </w:rPr>
        <w:t>神木市职业技术教育中心专业综合实训室建设项目</w:t>
      </w:r>
    </w:p>
    <w:p w14:paraId="0FE4A8FD">
      <w:pPr>
        <w:pStyle w:val="8"/>
        <w:rPr>
          <w:rFonts w:hint="eastAsia"/>
        </w:rPr>
      </w:pPr>
    </w:p>
    <w:p w14:paraId="78218A7C">
      <w:pPr>
        <w:rPr>
          <w:rFonts w:hint="eastAsia"/>
        </w:rPr>
      </w:pPr>
    </w:p>
    <w:p w14:paraId="00FC92FC">
      <w:pPr>
        <w:jc w:val="center"/>
        <w:rPr>
          <w:rFonts w:hint="eastAsia" w:ascii="宋体" w:hAnsi="宋体" w:cs="宋体"/>
          <w:b/>
          <w:sz w:val="80"/>
          <w:szCs w:val="80"/>
        </w:rPr>
      </w:pPr>
    </w:p>
    <w:p w14:paraId="698FAB8D">
      <w:pPr>
        <w:pStyle w:val="2"/>
        <w:rPr>
          <w:rFonts w:hint="eastAsia"/>
        </w:rPr>
      </w:pPr>
    </w:p>
    <w:p w14:paraId="7AAF3CB5">
      <w:pPr>
        <w:jc w:val="center"/>
        <w:rPr>
          <w:rFonts w:ascii="宋体" w:hAnsi="宋体" w:cs="宋体"/>
          <w:b/>
          <w:sz w:val="80"/>
          <w:szCs w:val="80"/>
        </w:rPr>
      </w:pPr>
      <w:r>
        <w:rPr>
          <w:rFonts w:hint="eastAsia" w:ascii="宋体" w:hAnsi="宋体" w:cs="宋体"/>
          <w:b/>
          <w:sz w:val="80"/>
          <w:szCs w:val="80"/>
        </w:rPr>
        <w:t>竞争性谈判文件</w:t>
      </w:r>
    </w:p>
    <w:p w14:paraId="02E709E1">
      <w:pPr>
        <w:spacing w:line="420" w:lineRule="auto"/>
        <w:rPr>
          <w:rFonts w:ascii="宋体" w:hAnsi="宋体" w:cs="宋体"/>
          <w:bCs/>
          <w:sz w:val="24"/>
          <w:szCs w:val="24"/>
        </w:rPr>
      </w:pPr>
    </w:p>
    <w:p w14:paraId="7085857B">
      <w:pPr>
        <w:spacing w:line="420" w:lineRule="auto"/>
        <w:rPr>
          <w:rFonts w:ascii="宋体" w:hAnsi="宋体" w:cs="宋体"/>
          <w:bCs/>
          <w:sz w:val="24"/>
          <w:szCs w:val="24"/>
        </w:rPr>
      </w:pPr>
    </w:p>
    <w:p w14:paraId="73A5626C">
      <w:pPr>
        <w:pStyle w:val="9"/>
        <w:rPr>
          <w:rFonts w:ascii="宋体" w:hAnsi="宋体" w:cs="宋体"/>
          <w:bCs/>
          <w:sz w:val="11"/>
          <w:szCs w:val="11"/>
        </w:rPr>
      </w:pPr>
    </w:p>
    <w:p w14:paraId="43C7D40A">
      <w:pPr>
        <w:rPr>
          <w:rFonts w:ascii="宋体" w:hAnsi="宋体" w:cs="宋体"/>
          <w:bCs/>
          <w:sz w:val="11"/>
          <w:szCs w:val="11"/>
        </w:rPr>
      </w:pPr>
    </w:p>
    <w:p w14:paraId="3A2D4BA5">
      <w:pPr>
        <w:pStyle w:val="36"/>
        <w:rPr>
          <w:rFonts w:ascii="宋体" w:hAnsi="宋体" w:cs="宋体"/>
          <w:bCs/>
          <w:sz w:val="11"/>
          <w:szCs w:val="11"/>
        </w:rPr>
      </w:pPr>
    </w:p>
    <w:p w14:paraId="02BF54BD">
      <w:pPr>
        <w:pStyle w:val="36"/>
        <w:rPr>
          <w:rFonts w:ascii="宋体" w:hAnsi="宋体" w:cs="宋体"/>
          <w:bCs/>
          <w:sz w:val="11"/>
          <w:szCs w:val="11"/>
        </w:rPr>
      </w:pPr>
    </w:p>
    <w:p w14:paraId="4EEFA900">
      <w:pPr>
        <w:pStyle w:val="2"/>
        <w:ind w:firstLine="0"/>
        <w:rPr>
          <w:sz w:val="40"/>
          <w:szCs w:val="40"/>
        </w:rPr>
      </w:pPr>
    </w:p>
    <w:p w14:paraId="52F9C75E">
      <w:pPr>
        <w:snapToGrid w:val="0"/>
        <w:spacing w:line="480" w:lineRule="auto"/>
        <w:rPr>
          <w:rFonts w:hint="eastAsia" w:ascii="宋体" w:hAnsi="宋体" w:eastAsia="宋体" w:cs="宋体"/>
          <w:b/>
          <w:sz w:val="32"/>
          <w:szCs w:val="32"/>
          <w:lang w:eastAsia="zh-CN"/>
        </w:rPr>
      </w:pPr>
      <w:bookmarkStart w:id="8" w:name="OLE_LINK43"/>
      <w:r>
        <w:rPr>
          <w:rFonts w:hint="eastAsia" w:ascii="宋体" w:hAnsi="宋体" w:cs="宋体"/>
          <w:b/>
          <w:sz w:val="24"/>
          <w:szCs w:val="24"/>
        </w:rPr>
        <w:t xml:space="preserve">      </w:t>
      </w:r>
      <w:r>
        <w:rPr>
          <w:rFonts w:hint="eastAsia" w:ascii="宋体" w:hAnsi="宋体" w:cs="宋体"/>
          <w:b/>
          <w:sz w:val="32"/>
          <w:szCs w:val="32"/>
        </w:rPr>
        <w:t>采购人：</w:t>
      </w:r>
      <w:r>
        <w:rPr>
          <w:rFonts w:hint="eastAsia" w:ascii="宋体" w:hAnsi="宋体" w:cs="宋体"/>
          <w:b/>
          <w:sz w:val="32"/>
          <w:szCs w:val="32"/>
          <w:lang w:eastAsia="zh-CN"/>
        </w:rPr>
        <w:t>神木市职业技术教育中心</w:t>
      </w:r>
    </w:p>
    <w:p w14:paraId="5F94043B">
      <w:pPr>
        <w:pStyle w:val="9"/>
      </w:pPr>
    </w:p>
    <w:p w14:paraId="5324076B">
      <w:pPr>
        <w:snapToGrid w:val="0"/>
        <w:spacing w:line="480" w:lineRule="auto"/>
        <w:jc w:val="center"/>
        <w:rPr>
          <w:rFonts w:ascii="宋体" w:hAnsi="宋体" w:cs="宋体"/>
          <w:b/>
          <w:sz w:val="32"/>
          <w:szCs w:val="32"/>
        </w:rPr>
      </w:pPr>
      <w:r>
        <w:rPr>
          <w:rFonts w:hint="eastAsia" w:ascii="宋体" w:hAnsi="宋体" w:cs="宋体"/>
          <w:b/>
          <w:sz w:val="32"/>
          <w:szCs w:val="32"/>
        </w:rPr>
        <w:t xml:space="preserve"> 采购代理机构：</w:t>
      </w:r>
      <w:r>
        <w:rPr>
          <w:rFonts w:hint="eastAsia" w:ascii="宋体" w:hAnsi="宋体" w:cs="宋体"/>
          <w:b/>
          <w:sz w:val="32"/>
          <w:szCs w:val="32"/>
          <w:lang w:eastAsia="zh-CN"/>
        </w:rPr>
        <w:t>榆林市恒易达工程项目管理有限公司</w:t>
      </w:r>
      <w:r>
        <w:rPr>
          <w:rFonts w:hint="eastAsia" w:ascii="宋体" w:hAnsi="宋体" w:cs="宋体"/>
          <w:b/>
          <w:sz w:val="32"/>
          <w:szCs w:val="32"/>
        </w:rPr>
        <w:t xml:space="preserve">     </w:t>
      </w:r>
    </w:p>
    <w:p w14:paraId="78EDF52F">
      <w:pPr>
        <w:snapToGrid w:val="0"/>
        <w:jc w:val="center"/>
        <w:rPr>
          <w:rFonts w:ascii="宋体" w:hAnsi="宋体" w:cs="宋体"/>
          <w:b/>
          <w:sz w:val="32"/>
          <w:szCs w:val="32"/>
        </w:rPr>
      </w:pPr>
    </w:p>
    <w:p w14:paraId="5A33EBCE">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四</w:t>
      </w:r>
      <w:r>
        <w:rPr>
          <w:rFonts w:hint="eastAsia" w:ascii="宋体" w:hAnsi="宋体" w:cs="宋体"/>
          <w:b/>
          <w:sz w:val="32"/>
          <w:szCs w:val="32"/>
        </w:rPr>
        <w:t>年</w:t>
      </w:r>
      <w:r>
        <w:rPr>
          <w:rFonts w:hint="eastAsia" w:ascii="宋体" w:hAnsi="宋体" w:cs="宋体"/>
          <w:b/>
          <w:sz w:val="32"/>
          <w:szCs w:val="32"/>
          <w:lang w:val="en-US" w:eastAsia="zh-CN"/>
        </w:rPr>
        <w:t>七</w:t>
      </w:r>
      <w:r>
        <w:rPr>
          <w:rFonts w:hint="eastAsia" w:ascii="宋体" w:hAnsi="宋体" w:cs="宋体"/>
          <w:b/>
          <w:sz w:val="32"/>
          <w:szCs w:val="32"/>
        </w:rPr>
        <w:t>月</w:t>
      </w:r>
    </w:p>
    <w:bookmarkEnd w:id="8"/>
    <w:p w14:paraId="4EA57553">
      <w:pPr>
        <w:pStyle w:val="18"/>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14:paraId="32014EA3">
      <w:pPr>
        <w:pStyle w:val="17"/>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70C46F45">
      <w:pPr>
        <w:spacing w:line="600" w:lineRule="auto"/>
        <w:jc w:val="center"/>
        <w:rPr>
          <w:rFonts w:ascii="宋体" w:hAnsi="宋体"/>
          <w:sz w:val="44"/>
          <w:szCs w:val="44"/>
        </w:rPr>
      </w:pPr>
    </w:p>
    <w:p w14:paraId="175BA215">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14:paraId="3FDFFB00">
      <w:pPr>
        <w:pStyle w:val="17"/>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14:paraId="01214AE7">
      <w:pPr>
        <w:pStyle w:val="17"/>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7CB5BE5F">
      <w:pPr>
        <w:pStyle w:val="17"/>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02EBE15A">
      <w:pPr>
        <w:pStyle w:val="17"/>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33</w:t>
      </w:r>
      <w:r>
        <w:rPr>
          <w:sz w:val="28"/>
          <w:szCs w:val="28"/>
        </w:rPr>
        <w:fldChar w:fldCharType="end"/>
      </w:r>
      <w:r>
        <w:rPr>
          <w:sz w:val="28"/>
          <w:szCs w:val="28"/>
        </w:rPr>
        <w:fldChar w:fldCharType="end"/>
      </w:r>
    </w:p>
    <w:p w14:paraId="6622D562">
      <w:pPr>
        <w:pStyle w:val="17"/>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33</w:t>
      </w:r>
      <w:r>
        <w:rPr>
          <w:sz w:val="28"/>
          <w:szCs w:val="28"/>
        </w:rPr>
        <w:fldChar w:fldCharType="end"/>
      </w:r>
      <w:r>
        <w:rPr>
          <w:sz w:val="28"/>
          <w:szCs w:val="28"/>
        </w:rPr>
        <w:fldChar w:fldCharType="end"/>
      </w:r>
    </w:p>
    <w:p w14:paraId="2973396C">
      <w:pPr>
        <w:pStyle w:val="17"/>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36</w:t>
      </w:r>
      <w:r>
        <w:rPr>
          <w:sz w:val="28"/>
          <w:szCs w:val="28"/>
        </w:rPr>
        <w:fldChar w:fldCharType="end"/>
      </w:r>
      <w:r>
        <w:rPr>
          <w:sz w:val="28"/>
          <w:szCs w:val="28"/>
        </w:rPr>
        <w:fldChar w:fldCharType="end"/>
      </w:r>
    </w:p>
    <w:p w14:paraId="45945BDA">
      <w:pPr>
        <w:pStyle w:val="17"/>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37</w:t>
      </w:r>
      <w:r>
        <w:rPr>
          <w:sz w:val="28"/>
          <w:szCs w:val="28"/>
        </w:rPr>
        <w:fldChar w:fldCharType="end"/>
      </w:r>
      <w:r>
        <w:rPr>
          <w:sz w:val="28"/>
          <w:szCs w:val="28"/>
        </w:rPr>
        <w:fldChar w:fldCharType="end"/>
      </w:r>
    </w:p>
    <w:p w14:paraId="470CDABE">
      <w:pPr>
        <w:pStyle w:val="17"/>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58</w:t>
      </w:r>
      <w:r>
        <w:rPr>
          <w:sz w:val="28"/>
          <w:szCs w:val="28"/>
        </w:rPr>
        <w:fldChar w:fldCharType="end"/>
      </w:r>
      <w:r>
        <w:rPr>
          <w:sz w:val="28"/>
          <w:szCs w:val="28"/>
        </w:rPr>
        <w:fldChar w:fldCharType="end"/>
      </w:r>
    </w:p>
    <w:p w14:paraId="4B6BC1A0">
      <w:pPr>
        <w:pStyle w:val="17"/>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14:paraId="4E481C99">
      <w:pPr>
        <w:tabs>
          <w:tab w:val="left" w:pos="7605"/>
        </w:tabs>
        <w:rPr>
          <w:sz w:val="24"/>
          <w:szCs w:val="24"/>
        </w:rPr>
      </w:pPr>
      <w:r>
        <w:rPr>
          <w:rFonts w:hint="eastAsia"/>
          <w:sz w:val="24"/>
          <w:szCs w:val="24"/>
        </w:rPr>
        <w:tab/>
      </w:r>
    </w:p>
    <w:p w14:paraId="50EEE73D">
      <w:pPr>
        <w:rPr>
          <w:sz w:val="24"/>
          <w:szCs w:val="24"/>
        </w:rPr>
      </w:pPr>
    </w:p>
    <w:p w14:paraId="0D81CFF3">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334EAE65">
      <w:pPr>
        <w:pStyle w:val="17"/>
        <w:tabs>
          <w:tab w:val="right" w:leader="dot" w:pos="8829"/>
        </w:tabs>
        <w:spacing w:line="360" w:lineRule="auto"/>
        <w:jc w:val="center"/>
        <w:outlineLvl w:val="0"/>
        <w:rPr>
          <w:rFonts w:ascii="宋体" w:hAnsi="宋体"/>
          <w:sz w:val="24"/>
        </w:rPr>
      </w:pPr>
      <w:bookmarkStart w:id="9" w:name="_Toc31446"/>
      <w:bookmarkStart w:id="10" w:name="_Toc4933"/>
      <w:bookmarkStart w:id="11" w:name="_Toc14990"/>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_Toc246928892"/>
      <w:bookmarkStart w:id="13" w:name="OLE_LINK6"/>
      <w:bookmarkStart w:id="14" w:name="OLE_LINK5"/>
      <w:bookmarkStart w:id="15" w:name="OLE_LINK15"/>
    </w:p>
    <w:p w14:paraId="42ADEC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项目概况</w:t>
      </w:r>
    </w:p>
    <w:p w14:paraId="0AD52A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航空服务专业综合实训室建设(二次)</w:t>
      </w:r>
      <w:r>
        <w:rPr>
          <w:rFonts w:hint="eastAsia"/>
          <w:sz w:val="24"/>
          <w:szCs w:val="24"/>
        </w:rPr>
        <w:t>采购项目的潜在供应商应在CA锁自行下载获取采购文件，并于 2024年07月19日 09时30分 （北京时间）前提交响应文件。</w:t>
      </w:r>
    </w:p>
    <w:p w14:paraId="1660E3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一、项目基本情况</w:t>
      </w:r>
    </w:p>
    <w:p w14:paraId="060817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项目编号：</w:t>
      </w:r>
      <w:r>
        <w:rPr>
          <w:rFonts w:hint="eastAsia"/>
          <w:sz w:val="24"/>
          <w:szCs w:val="24"/>
          <w:lang w:eastAsia="zh-CN"/>
        </w:rPr>
        <w:t>HYDZB-2024-046.1B1</w:t>
      </w:r>
      <w:r>
        <w:rPr>
          <w:rFonts w:hint="eastAsia"/>
          <w:sz w:val="24"/>
          <w:szCs w:val="24"/>
        </w:rPr>
        <w:t>.1B1</w:t>
      </w:r>
    </w:p>
    <w:p w14:paraId="29CB58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项目名称：航空服务专业综合实训室建设(二次)</w:t>
      </w:r>
    </w:p>
    <w:p w14:paraId="3931B7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采购方式：竞争性谈判</w:t>
      </w:r>
    </w:p>
    <w:p w14:paraId="3ACCB1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预算金额：1,830,000.00元</w:t>
      </w:r>
    </w:p>
    <w:p w14:paraId="071A5D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采购需求：</w:t>
      </w:r>
    </w:p>
    <w:p w14:paraId="13AA1C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合同包1(专业综合实训室建设):</w:t>
      </w:r>
    </w:p>
    <w:p w14:paraId="60044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合同包预算金额：1,830,000.00元</w:t>
      </w:r>
    </w:p>
    <w:tbl>
      <w:tblPr>
        <w:tblStyle w:val="21"/>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2"/>
        <w:gridCol w:w="2551"/>
        <w:gridCol w:w="1633"/>
        <w:gridCol w:w="826"/>
        <w:gridCol w:w="1548"/>
        <w:gridCol w:w="1500"/>
        <w:gridCol w:w="887"/>
      </w:tblGrid>
      <w:tr w14:paraId="7574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blHeader/>
        </w:trPr>
        <w:tc>
          <w:tcPr>
            <w:tcW w:w="6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F8A8A1">
            <w:pPr>
              <w:jc w:val="center"/>
              <w:rPr>
                <w:sz w:val="24"/>
                <w:szCs w:val="22"/>
              </w:rPr>
            </w:pPr>
            <w:r>
              <w:rPr>
                <w:sz w:val="24"/>
                <w:szCs w:val="22"/>
                <w:lang w:val="en-US" w:eastAsia="zh-CN"/>
              </w:rPr>
              <w:t>品目号</w:t>
            </w:r>
          </w:p>
        </w:tc>
        <w:tc>
          <w:tcPr>
            <w:tcW w:w="24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0BBD97">
            <w:pPr>
              <w:jc w:val="center"/>
              <w:rPr>
                <w:sz w:val="24"/>
                <w:szCs w:val="22"/>
              </w:rPr>
            </w:pPr>
            <w:r>
              <w:rPr>
                <w:sz w:val="24"/>
                <w:szCs w:val="22"/>
                <w:lang w:val="en-US" w:eastAsia="zh-CN"/>
              </w:rPr>
              <w:t>品目名称</w:t>
            </w:r>
          </w:p>
        </w:tc>
        <w:tc>
          <w:tcPr>
            <w:tcW w:w="18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46CF6B">
            <w:pPr>
              <w:jc w:val="center"/>
              <w:rPr>
                <w:sz w:val="24"/>
                <w:szCs w:val="22"/>
              </w:rPr>
            </w:pPr>
            <w:r>
              <w:rPr>
                <w:sz w:val="24"/>
                <w:szCs w:val="22"/>
                <w:lang w:val="en-US" w:eastAsia="zh-CN"/>
              </w:rPr>
              <w:t>采购标的</w:t>
            </w:r>
          </w:p>
        </w:tc>
        <w:tc>
          <w:tcPr>
            <w:tcW w:w="8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9CB40B">
            <w:pPr>
              <w:jc w:val="center"/>
              <w:rPr>
                <w:sz w:val="24"/>
                <w:szCs w:val="22"/>
              </w:rPr>
            </w:pPr>
            <w:r>
              <w:rPr>
                <w:sz w:val="24"/>
                <w:szCs w:val="22"/>
                <w:lang w:val="en-US" w:eastAsia="zh-CN"/>
              </w:rPr>
              <w:t>数量（单位）</w:t>
            </w:r>
          </w:p>
        </w:tc>
        <w:tc>
          <w:tcPr>
            <w:tcW w:w="14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F02DC6">
            <w:pPr>
              <w:jc w:val="center"/>
              <w:rPr>
                <w:sz w:val="24"/>
                <w:szCs w:val="22"/>
              </w:rPr>
            </w:pPr>
            <w:r>
              <w:rPr>
                <w:sz w:val="24"/>
                <w:szCs w:val="22"/>
                <w:lang w:val="en-US" w:eastAsia="zh-CN"/>
              </w:rPr>
              <w:t>技术规格、参数及要求</w:t>
            </w:r>
          </w:p>
        </w:tc>
        <w:tc>
          <w:tcPr>
            <w:tcW w:w="14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1AFDBD">
            <w:pPr>
              <w:jc w:val="center"/>
              <w:rPr>
                <w:sz w:val="24"/>
                <w:szCs w:val="22"/>
              </w:rPr>
            </w:pPr>
            <w:r>
              <w:rPr>
                <w:sz w:val="24"/>
                <w:szCs w:val="22"/>
                <w:lang w:val="en-US" w:eastAsia="zh-CN"/>
              </w:rPr>
              <w:t>品目预算(元)</w:t>
            </w:r>
          </w:p>
        </w:tc>
        <w:tc>
          <w:tcPr>
            <w:tcW w:w="9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DDDF70">
            <w:pPr>
              <w:jc w:val="center"/>
              <w:rPr>
                <w:sz w:val="24"/>
                <w:szCs w:val="22"/>
              </w:rPr>
            </w:pPr>
            <w:r>
              <w:rPr>
                <w:sz w:val="24"/>
                <w:szCs w:val="22"/>
                <w:lang w:val="en-US" w:eastAsia="zh-CN"/>
              </w:rPr>
              <w:t>最高限价(元)</w:t>
            </w:r>
          </w:p>
        </w:tc>
      </w:tr>
      <w:tr w14:paraId="2CE5A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6E2111">
            <w:pPr>
              <w:jc w:val="center"/>
              <w:rPr>
                <w:sz w:val="24"/>
                <w:szCs w:val="22"/>
              </w:rPr>
            </w:pPr>
            <w:r>
              <w:rPr>
                <w:sz w:val="24"/>
                <w:szCs w:val="22"/>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ED490A">
            <w:pPr>
              <w:jc w:val="center"/>
              <w:rPr>
                <w:sz w:val="24"/>
                <w:szCs w:val="22"/>
              </w:rPr>
            </w:pPr>
            <w:r>
              <w:rPr>
                <w:sz w:val="24"/>
                <w:szCs w:val="22"/>
                <w:lang w:val="en-US" w:eastAsia="zh-CN"/>
              </w:rPr>
              <w:t>其他航空器及其配套设备</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288DA2">
            <w:pPr>
              <w:jc w:val="center"/>
              <w:rPr>
                <w:sz w:val="24"/>
                <w:szCs w:val="22"/>
              </w:rPr>
            </w:pPr>
            <w:r>
              <w:rPr>
                <w:sz w:val="24"/>
                <w:szCs w:val="22"/>
                <w:lang w:val="en-US" w:eastAsia="zh-CN"/>
              </w:rPr>
              <w:t>竞争性谈判</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30FED0">
            <w:pPr>
              <w:jc w:val="center"/>
              <w:rPr>
                <w:sz w:val="24"/>
                <w:szCs w:val="22"/>
              </w:rPr>
            </w:pPr>
            <w:r>
              <w:rPr>
                <w:sz w:val="24"/>
                <w:szCs w:val="22"/>
                <w:lang w:val="en-US" w:eastAsia="zh-CN"/>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E734D4">
            <w:pPr>
              <w:jc w:val="center"/>
              <w:rPr>
                <w:sz w:val="24"/>
                <w:szCs w:val="22"/>
              </w:rPr>
            </w:pPr>
            <w:r>
              <w:rPr>
                <w:sz w:val="24"/>
                <w:szCs w:val="22"/>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755844">
            <w:pPr>
              <w:jc w:val="center"/>
              <w:rPr>
                <w:sz w:val="24"/>
                <w:szCs w:val="22"/>
              </w:rPr>
            </w:pPr>
            <w:r>
              <w:rPr>
                <w:sz w:val="24"/>
                <w:szCs w:val="22"/>
                <w:lang w:val="en-US" w:eastAsia="zh-CN"/>
              </w:rPr>
              <w:t>1,830,000.00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9C2ECE">
            <w:pPr>
              <w:jc w:val="center"/>
              <w:rPr>
                <w:sz w:val="24"/>
                <w:szCs w:val="22"/>
              </w:rPr>
            </w:pPr>
            <w:r>
              <w:rPr>
                <w:sz w:val="24"/>
                <w:szCs w:val="22"/>
                <w:lang w:val="en-US" w:eastAsia="zh-CN"/>
              </w:rPr>
              <w:t>-</w:t>
            </w:r>
          </w:p>
        </w:tc>
      </w:tr>
    </w:tbl>
    <w:p w14:paraId="75CFCC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本合同包不接受联合体投标</w:t>
      </w:r>
    </w:p>
    <w:p w14:paraId="652084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合同履行期限：无</w:t>
      </w:r>
    </w:p>
    <w:p w14:paraId="67F892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二、申请人的资格要求：</w:t>
      </w:r>
    </w:p>
    <w:p w14:paraId="18F2E6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1.满足《中华人民共和国政府采购法》第二十二条规定;</w:t>
      </w:r>
    </w:p>
    <w:p w14:paraId="6100AD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2.落实政府采购政策需满足的资格要求：</w:t>
      </w:r>
    </w:p>
    <w:p w14:paraId="7B20BA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合同包1(专业综合实训室建设)落实政府采购政策需满足的资格要求如下:</w:t>
      </w:r>
    </w:p>
    <w:p w14:paraId="7D9B51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（1）《政府采购促进中小企业发展管理办法》（财库〔2020〕46号）；</w:t>
      </w:r>
      <w:r>
        <w:rPr>
          <w:rFonts w:hint="eastAsia"/>
          <w:sz w:val="24"/>
          <w:szCs w:val="24"/>
        </w:rPr>
        <w:br w:type="textWrapping"/>
      </w:r>
      <w:r>
        <w:rPr>
          <w:rFonts w:hint="eastAsia"/>
          <w:sz w:val="24"/>
          <w:szCs w:val="24"/>
        </w:rPr>
        <w:t>（2）《财政部司法部关于政府采购支持监狱企业发展有关问题的通知》（财库〔2014〕68号）；</w:t>
      </w:r>
      <w:r>
        <w:rPr>
          <w:rFonts w:hint="eastAsia"/>
          <w:sz w:val="24"/>
          <w:szCs w:val="24"/>
        </w:rPr>
        <w:br w:type="textWrapping"/>
      </w:r>
      <w:r>
        <w:rPr>
          <w:rFonts w:hint="eastAsia"/>
          <w:sz w:val="24"/>
          <w:szCs w:val="24"/>
        </w:rPr>
        <w:t>（3）《国务院办公厅关于建立政府强制采购节能产品制度的通知》（国办发〔2007〕51号）；</w:t>
      </w:r>
      <w:r>
        <w:rPr>
          <w:rFonts w:hint="eastAsia"/>
          <w:sz w:val="24"/>
          <w:szCs w:val="24"/>
        </w:rPr>
        <w:br w:type="textWrapping"/>
      </w:r>
      <w:r>
        <w:rPr>
          <w:rFonts w:hint="eastAsia"/>
          <w:sz w:val="24"/>
          <w:szCs w:val="24"/>
        </w:rPr>
        <w:t>（4）《节能产品政府采购实施意见》（财库[2004]185号）；</w:t>
      </w:r>
      <w:r>
        <w:rPr>
          <w:rFonts w:hint="eastAsia"/>
          <w:sz w:val="24"/>
          <w:szCs w:val="24"/>
        </w:rPr>
        <w:br w:type="textWrapping"/>
      </w:r>
      <w:r>
        <w:rPr>
          <w:rFonts w:hint="eastAsia"/>
          <w:sz w:val="24"/>
          <w:szCs w:val="24"/>
        </w:rPr>
        <w:t>（5）《环境标志产品政府采购实施的意见》（财库[2006]90号）；</w:t>
      </w:r>
      <w:r>
        <w:rPr>
          <w:rFonts w:hint="eastAsia"/>
          <w:sz w:val="24"/>
          <w:szCs w:val="24"/>
        </w:rPr>
        <w:br w:type="textWrapping"/>
      </w:r>
      <w:r>
        <w:rPr>
          <w:rFonts w:hint="eastAsia"/>
          <w:sz w:val="24"/>
          <w:szCs w:val="24"/>
        </w:rPr>
        <w:t>（6）《财政部、民政部、中国残疾人联合会关于促进残疾人就业政府采购政策的通知》（财库[2017]141号）；</w:t>
      </w:r>
      <w:r>
        <w:rPr>
          <w:rFonts w:hint="eastAsia"/>
          <w:sz w:val="24"/>
          <w:szCs w:val="24"/>
        </w:rPr>
        <w:br w:type="textWrapping"/>
      </w:r>
      <w:r>
        <w:rPr>
          <w:rFonts w:hint="eastAsia"/>
          <w:sz w:val="24"/>
          <w:szCs w:val="24"/>
        </w:rPr>
        <w:t>（7）陕西省财政厅关于印发《陕西省中小企业政府采购信用融资办法》（陕财办采〔2018〕23号）；相关政策、业务流程、办理平台(http://www.ccgpshaanxi.gov.cn/zcdservice/zcd/shanxi/)；</w:t>
      </w:r>
      <w:r>
        <w:rPr>
          <w:rFonts w:hint="eastAsia"/>
          <w:sz w:val="24"/>
          <w:szCs w:val="24"/>
        </w:rPr>
        <w:br w:type="textWrapping"/>
      </w:r>
      <w:r>
        <w:rPr>
          <w:rFonts w:hint="eastAsia"/>
          <w:sz w:val="24"/>
          <w:szCs w:val="24"/>
        </w:rPr>
        <w:t>（8）《关于在政府采购活动中查询及使用信用记录有关问题的通知》（财库〔2016〕125号）；</w:t>
      </w:r>
      <w:r>
        <w:rPr>
          <w:rFonts w:hint="eastAsia"/>
          <w:sz w:val="24"/>
          <w:szCs w:val="24"/>
        </w:rPr>
        <w:br w:type="textWrapping"/>
      </w:r>
      <w:r>
        <w:rPr>
          <w:rFonts w:hint="eastAsia"/>
          <w:sz w:val="24"/>
          <w:szCs w:val="24"/>
        </w:rPr>
        <w:t>（9）《榆林市财政局关于进一步加大政府采购支持中小企业力度的通知》（榆政财采发〔2022〕10号)；</w:t>
      </w:r>
      <w:r>
        <w:rPr>
          <w:rFonts w:hint="eastAsia"/>
          <w:sz w:val="24"/>
          <w:szCs w:val="24"/>
        </w:rPr>
        <w:br w:type="textWrapping"/>
      </w:r>
      <w:r>
        <w:rPr>
          <w:rFonts w:hint="eastAsia"/>
          <w:sz w:val="24"/>
          <w:szCs w:val="24"/>
        </w:rPr>
        <w:t>（10）《陕西省财政厅关于进一步加大政府采购支持中小企业力度的通知》(陕财采发〔2022〕5号)；</w:t>
      </w:r>
      <w:r>
        <w:rPr>
          <w:rFonts w:hint="eastAsia"/>
          <w:sz w:val="24"/>
          <w:szCs w:val="24"/>
        </w:rPr>
        <w:br w:type="textWrapping"/>
      </w:r>
      <w:r>
        <w:rPr>
          <w:rFonts w:hint="eastAsia"/>
          <w:sz w:val="24"/>
          <w:szCs w:val="24"/>
        </w:rPr>
        <w:t>（11）《陕西省财政厅中国人民银行西安分行关于深人推进政府采购信用融资业务的通知》（陕财办采〔2023]5号）。</w:t>
      </w:r>
    </w:p>
    <w:p w14:paraId="5FCF6D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3.本项目的特定资格要求：</w:t>
      </w:r>
    </w:p>
    <w:p w14:paraId="5CF05D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合同包1(专业综合实训室建设)特定资格要求如下:</w:t>
      </w:r>
    </w:p>
    <w:p w14:paraId="0E5D7A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  1、投标人须具备独立承担民事责任能力的法人或其他组织，提供合法有效的统一社会信用代码的营业执照； </w:t>
      </w:r>
      <w:r>
        <w:rPr>
          <w:rFonts w:hint="eastAsia"/>
          <w:sz w:val="24"/>
          <w:szCs w:val="24"/>
        </w:rPr>
        <w:br w:type="textWrapping"/>
      </w:r>
      <w:r>
        <w:rPr>
          <w:rFonts w:hint="eastAsia"/>
          <w:sz w:val="24"/>
          <w:szCs w:val="24"/>
        </w:rPr>
        <w:t>  2、财务状况报告：提供具有财务审计资质单位出具的2023年的财务审计报告（至少包括资产负债表、利润表、现金流量表、所有者权益变动表及其附注）或谈判前六个月内其基本账户银行出具的资信证明或财政部门认可的政府采购专业担保机构出具的担保函，以上形式的证明资料提供任何一种即可； </w:t>
      </w:r>
      <w:r>
        <w:rPr>
          <w:rFonts w:hint="eastAsia"/>
          <w:sz w:val="24"/>
          <w:szCs w:val="24"/>
        </w:rPr>
        <w:br w:type="textWrapping"/>
      </w:r>
      <w:r>
        <w:rPr>
          <w:rFonts w:hint="eastAsia"/>
          <w:sz w:val="24"/>
          <w:szCs w:val="24"/>
        </w:rPr>
        <w:t>  3、社会保障资金缴纳证明：提供2024年1月至今已缴存的至少一个月的社会保障资金缴纳证明（社会保障资金缴存单据或社保机构开具的社会保险参保缴费情况证明），依法不需要缴纳社会保障资金的单位应提供相关证明材料；</w:t>
      </w:r>
      <w:r>
        <w:rPr>
          <w:rFonts w:hint="eastAsia"/>
          <w:sz w:val="24"/>
          <w:szCs w:val="24"/>
        </w:rPr>
        <w:br w:type="textWrapping"/>
      </w:r>
      <w:r>
        <w:rPr>
          <w:rFonts w:hint="eastAsia"/>
          <w:sz w:val="24"/>
          <w:szCs w:val="24"/>
        </w:rPr>
        <w:t>  4、税收缴纳证明：提供2024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sz w:val="24"/>
          <w:szCs w:val="24"/>
        </w:rPr>
        <w:br w:type="textWrapping"/>
      </w:r>
      <w:r>
        <w:rPr>
          <w:rFonts w:hint="eastAsia"/>
          <w:sz w:val="24"/>
          <w:szCs w:val="24"/>
        </w:rPr>
        <w:t>  5、参加政府采购活动前3年内在经营活动中没有重大违法记录的书面声明（格式自拟，加盖投标人公章）；</w:t>
      </w:r>
      <w:r>
        <w:rPr>
          <w:rFonts w:hint="eastAsia"/>
          <w:sz w:val="24"/>
          <w:szCs w:val="24"/>
        </w:rPr>
        <w:br w:type="textWrapping"/>
      </w:r>
      <w:r>
        <w:rPr>
          <w:rFonts w:hint="eastAsia"/>
          <w:sz w:val="24"/>
          <w:szCs w:val="24"/>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sz w:val="24"/>
          <w:szCs w:val="24"/>
        </w:rPr>
        <w:br w:type="textWrapping"/>
      </w:r>
      <w:r>
        <w:rPr>
          <w:rFonts w:hint="eastAsia"/>
          <w:sz w:val="24"/>
          <w:szCs w:val="24"/>
        </w:rPr>
        <w:t>  7、投标保证金用投标信用承诺书代替（提供投标信用承诺书）；</w:t>
      </w:r>
      <w:r>
        <w:rPr>
          <w:rFonts w:hint="eastAsia"/>
          <w:sz w:val="24"/>
          <w:szCs w:val="24"/>
        </w:rPr>
        <w:br w:type="textWrapping"/>
      </w:r>
      <w:r>
        <w:rPr>
          <w:rFonts w:hint="eastAsia"/>
          <w:sz w:val="24"/>
          <w:szCs w:val="24"/>
        </w:rPr>
        <w:t>  8、本项目不接受联合体投标，单位负责人为同一人或者存在直接控股、管理关系的不同投标人，不得参加同一合同项下的政府采购活动（须提供非联合体投标声明函）。</w:t>
      </w:r>
    </w:p>
    <w:p w14:paraId="5FEE2F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三、获取采购文件</w:t>
      </w:r>
    </w:p>
    <w:p w14:paraId="70FC68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时间： 2024年07月16日 至 2024年07月18日 ，每天上午 08:00:00 至 12:00:00 ，下午 12:00:00 至 18:00:00 （北京时间）</w:t>
      </w:r>
    </w:p>
    <w:p w14:paraId="3FD789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途径：CA锁自行下载</w:t>
      </w:r>
    </w:p>
    <w:p w14:paraId="090D76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方式：在线获取</w:t>
      </w:r>
    </w:p>
    <w:p w14:paraId="1ACDEE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售价： 0元</w:t>
      </w:r>
    </w:p>
    <w:p w14:paraId="661054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四、响应文件提交</w:t>
      </w:r>
    </w:p>
    <w:p w14:paraId="3475D8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截止时间： 2024年07月19日 09时30分00秒 （北京时间）</w:t>
      </w:r>
    </w:p>
    <w:p w14:paraId="364AAB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地点：榆林市公共资源交易中心十楼开标17室</w:t>
      </w:r>
    </w:p>
    <w:p w14:paraId="18A89A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五、开启</w:t>
      </w:r>
    </w:p>
    <w:p w14:paraId="0AC815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时间： 2024年07月19日 09时30分00秒 （北京时间）</w:t>
      </w:r>
    </w:p>
    <w:p w14:paraId="174275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地点：榆林市公共资源交易中心十楼开标17室</w:t>
      </w:r>
    </w:p>
    <w:p w14:paraId="7B08E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六、公告期限</w:t>
      </w:r>
    </w:p>
    <w:p w14:paraId="611545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自本公告发布之日起3个工作日。</w:t>
      </w:r>
    </w:p>
    <w:p w14:paraId="1C022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七、其他补充事宜</w:t>
      </w:r>
    </w:p>
    <w:p w14:paraId="6EDDC0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14:paraId="79E3BA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2.本项目采用电子化招投标的方式，供应商使用数字认证证书(CA锁)对投标文件进行签章、加密、递交及开标时解密等相关招投标事宜。</w:t>
      </w:r>
    </w:p>
    <w:p w14:paraId="3F011C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3.电子投标文件制作软件技术支持热线：400-998-0000，CA锁购买：榆林市民大厦3楼E18、E19窗口,电话：0912-3452148。</w:t>
      </w:r>
    </w:p>
    <w:p w14:paraId="0FFB3F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6A2FE1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083913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6.请各供应商按照陕西省财政厅《关于政府采购投标供应商注册登记有关事项的通知》要求，通过陕西省政府采购 (http://www.ccgp-shaanxi.gov.cn/) 注册登记加入陕西省政府采购投标供应商库。</w:t>
      </w:r>
    </w:p>
    <w:p w14:paraId="22BD29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八、对本次招标提出询问，请按以下方式联系。</w:t>
      </w:r>
    </w:p>
    <w:p w14:paraId="70F4F9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1.采购人信息</w:t>
      </w:r>
    </w:p>
    <w:p w14:paraId="65FF6A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名称：神木市职业技术教育中心</w:t>
      </w:r>
    </w:p>
    <w:p w14:paraId="142452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地址：神木市神木镇东兴街南路98号</w:t>
      </w:r>
    </w:p>
    <w:p w14:paraId="55FDBF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联系方式：13991089520</w:t>
      </w:r>
    </w:p>
    <w:p w14:paraId="0AA503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2.采购代理机构信息</w:t>
      </w:r>
    </w:p>
    <w:p w14:paraId="073440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名称：榆林市恒易达工程项目管理有限公司</w:t>
      </w:r>
    </w:p>
    <w:p w14:paraId="40E43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地址：榆林市高新区安居路14号金叶小区一楼商铺</w:t>
      </w:r>
    </w:p>
    <w:p w14:paraId="52408F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联系方式：0912-3448777</w:t>
      </w:r>
    </w:p>
    <w:p w14:paraId="57E67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3.项目联系方式</w:t>
      </w:r>
    </w:p>
    <w:p w14:paraId="5B1940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项目联系人：纪瑜</w:t>
      </w:r>
    </w:p>
    <w:p w14:paraId="3B43F2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电话：15619910006</w:t>
      </w:r>
    </w:p>
    <w:p w14:paraId="207DCE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sz w:val="24"/>
          <w:szCs w:val="22"/>
        </w:rPr>
      </w:pPr>
    </w:p>
    <w:p w14:paraId="673619F5">
      <w:pPr>
        <w:pStyle w:val="3"/>
        <w:numPr>
          <w:ilvl w:val="0"/>
          <w:numId w:val="2"/>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27563"/>
      <w:bookmarkStart w:id="17" w:name="_Toc21055"/>
      <w:bookmarkStart w:id="18" w:name="_Toc17537"/>
      <w:r>
        <w:rPr>
          <w:rFonts w:hint="eastAsia" w:ascii="宋体" w:hAnsi="宋体" w:cs="宋体"/>
          <w:sz w:val="36"/>
          <w:szCs w:val="36"/>
        </w:rPr>
        <w:t>供应商须知前附表</w:t>
      </w:r>
      <w:bookmarkEnd w:id="16"/>
      <w:bookmarkEnd w:id="17"/>
      <w:bookmarkEnd w:id="18"/>
    </w:p>
    <w:tbl>
      <w:tblPr>
        <w:tblStyle w:val="21"/>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14:paraId="11F2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3841F904">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14:paraId="33563CC6">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144F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14:paraId="576FBE8F">
            <w:pPr>
              <w:numPr>
                <w:ilvl w:val="0"/>
                <w:numId w:val="3"/>
              </w:numPr>
              <w:spacing w:line="360" w:lineRule="auto"/>
              <w:jc w:val="center"/>
              <w:rPr>
                <w:rFonts w:ascii="宋体" w:hAnsi="宋体" w:cs="宋体"/>
                <w:sz w:val="24"/>
                <w:szCs w:val="24"/>
              </w:rPr>
            </w:pPr>
          </w:p>
        </w:tc>
        <w:tc>
          <w:tcPr>
            <w:tcW w:w="9041" w:type="dxa"/>
            <w:noWrap w:val="0"/>
            <w:vAlign w:val="center"/>
          </w:tcPr>
          <w:p w14:paraId="11805234">
            <w:pPr>
              <w:adjustRightInd w:val="0"/>
              <w:snapToGrid w:val="0"/>
              <w:spacing w:line="450" w:lineRule="exact"/>
              <w:jc w:val="left"/>
              <w:rPr>
                <w:rFonts w:hint="eastAsia" w:ascii="宋体" w:hAnsi="宋体" w:eastAsia="宋体" w:cs="宋体"/>
                <w:sz w:val="24"/>
                <w:szCs w:val="24"/>
                <w:lang w:eastAsia="zh-CN"/>
              </w:rPr>
            </w:pPr>
            <w:r>
              <w:rPr>
                <w:rFonts w:hint="eastAsia" w:ascii="宋体" w:hAnsi="宋体" w:cs="宋体"/>
                <w:sz w:val="24"/>
                <w:szCs w:val="24"/>
              </w:rPr>
              <w:t>采购项目名称：</w:t>
            </w:r>
            <w:r>
              <w:rPr>
                <w:rFonts w:hint="eastAsia"/>
                <w:sz w:val="24"/>
                <w:szCs w:val="22"/>
                <w:lang w:eastAsia="zh-CN"/>
              </w:rPr>
              <w:t>神木市职业技术教育中心专业综合实训室建设项目</w:t>
            </w:r>
          </w:p>
          <w:p w14:paraId="25DF0C43">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HYDZB-2024-046.1B1</w:t>
            </w:r>
          </w:p>
        </w:tc>
      </w:tr>
      <w:tr w14:paraId="4CFF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14:paraId="5980D0AA">
            <w:pPr>
              <w:numPr>
                <w:ilvl w:val="0"/>
                <w:numId w:val="3"/>
              </w:numPr>
              <w:spacing w:line="360" w:lineRule="auto"/>
              <w:jc w:val="center"/>
              <w:rPr>
                <w:rFonts w:ascii="宋体" w:hAnsi="宋体" w:cs="宋体"/>
                <w:sz w:val="24"/>
                <w:szCs w:val="24"/>
              </w:rPr>
            </w:pPr>
          </w:p>
        </w:tc>
        <w:tc>
          <w:tcPr>
            <w:tcW w:w="9041" w:type="dxa"/>
            <w:noWrap w:val="0"/>
            <w:vAlign w:val="center"/>
          </w:tcPr>
          <w:p w14:paraId="7B2ABA9C">
            <w:pPr>
              <w:spacing w:line="360" w:lineRule="auto"/>
              <w:rPr>
                <w:rFonts w:ascii="宋体" w:hAnsi="宋体" w:cs="宋体"/>
                <w:sz w:val="24"/>
                <w:szCs w:val="24"/>
              </w:rPr>
            </w:pPr>
            <w:r>
              <w:rPr>
                <w:rFonts w:hint="eastAsia" w:ascii="宋体" w:hAnsi="宋体" w:cs="宋体"/>
                <w:sz w:val="24"/>
                <w:szCs w:val="24"/>
              </w:rPr>
              <w:t>项目性质：财政拨款</w:t>
            </w:r>
          </w:p>
          <w:p w14:paraId="112A965D">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本项目采购总预算：1</w:t>
            </w:r>
            <w:r>
              <w:rPr>
                <w:rFonts w:hint="eastAsia" w:ascii="宋体" w:hAnsi="宋体" w:cs="宋体"/>
                <w:sz w:val="24"/>
                <w:szCs w:val="24"/>
                <w:lang w:val="en-US" w:eastAsia="zh-CN"/>
              </w:rPr>
              <w:t>830</w:t>
            </w:r>
            <w:r>
              <w:rPr>
                <w:rFonts w:hint="eastAsia" w:ascii="宋体" w:hAnsi="宋体" w:cs="宋体"/>
                <w:sz w:val="24"/>
                <w:szCs w:val="24"/>
              </w:rPr>
              <w:t>000.00元</w:t>
            </w:r>
          </w:p>
          <w:p w14:paraId="4BDF454A">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14:paraId="6596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4A808650">
            <w:pPr>
              <w:numPr>
                <w:ilvl w:val="0"/>
                <w:numId w:val="3"/>
              </w:numPr>
              <w:spacing w:line="360" w:lineRule="auto"/>
              <w:jc w:val="center"/>
              <w:rPr>
                <w:rFonts w:ascii="宋体" w:hAnsi="宋体" w:cs="宋体"/>
                <w:sz w:val="24"/>
                <w:szCs w:val="24"/>
              </w:rPr>
            </w:pPr>
          </w:p>
        </w:tc>
        <w:tc>
          <w:tcPr>
            <w:tcW w:w="9041" w:type="dxa"/>
            <w:noWrap w:val="0"/>
            <w:vAlign w:val="center"/>
          </w:tcPr>
          <w:p w14:paraId="5702A942">
            <w:pPr>
              <w:spacing w:line="360" w:lineRule="auto"/>
              <w:ind w:left="960" w:hanging="960" w:hangingChars="400"/>
              <w:rPr>
                <w:rFonts w:hint="default" w:ascii="宋体" w:hAnsi="宋体" w:eastAsia="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神木市职业技术教育中心</w:t>
            </w:r>
          </w:p>
          <w:p w14:paraId="39436E34">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榆林市恒易达工程项目管理有限公司</w:t>
            </w:r>
          </w:p>
        </w:tc>
      </w:tr>
      <w:tr w14:paraId="5EED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616243D5">
            <w:pPr>
              <w:numPr>
                <w:ilvl w:val="0"/>
                <w:numId w:val="3"/>
              </w:numPr>
              <w:spacing w:line="360" w:lineRule="auto"/>
              <w:jc w:val="center"/>
              <w:rPr>
                <w:rFonts w:ascii="宋体" w:hAnsi="宋体" w:cs="宋体"/>
                <w:sz w:val="24"/>
                <w:szCs w:val="24"/>
              </w:rPr>
            </w:pPr>
          </w:p>
        </w:tc>
        <w:tc>
          <w:tcPr>
            <w:tcW w:w="9041" w:type="dxa"/>
            <w:noWrap w:val="0"/>
            <w:vAlign w:val="center"/>
          </w:tcPr>
          <w:p w14:paraId="418B5685">
            <w:pPr>
              <w:spacing w:line="360" w:lineRule="auto"/>
              <w:rPr>
                <w:rFonts w:ascii="宋体" w:hAnsi="宋体" w:cs="宋体"/>
                <w:sz w:val="24"/>
                <w:szCs w:val="24"/>
              </w:rPr>
            </w:pPr>
            <w:r>
              <w:rPr>
                <w:rFonts w:hint="eastAsia" w:ascii="宋体" w:hAnsi="宋体" w:cs="宋体"/>
                <w:sz w:val="24"/>
                <w:szCs w:val="24"/>
              </w:rPr>
              <w:t>采购内容具体见竞争性谈判文件第七部分采购内容及要求</w:t>
            </w:r>
          </w:p>
          <w:p w14:paraId="555098FE">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46AD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14:paraId="5905F106">
            <w:pPr>
              <w:numPr>
                <w:ilvl w:val="0"/>
                <w:numId w:val="3"/>
              </w:numPr>
              <w:spacing w:line="360" w:lineRule="auto"/>
              <w:jc w:val="center"/>
              <w:rPr>
                <w:rFonts w:ascii="宋体" w:hAnsi="宋体" w:cs="宋体"/>
                <w:sz w:val="24"/>
                <w:szCs w:val="24"/>
              </w:rPr>
            </w:pPr>
          </w:p>
        </w:tc>
        <w:tc>
          <w:tcPr>
            <w:tcW w:w="9041" w:type="dxa"/>
            <w:noWrap w:val="0"/>
            <w:vAlign w:val="center"/>
          </w:tcPr>
          <w:p w14:paraId="7BA6DCEE">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14:paraId="755A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14:paraId="355D490A">
            <w:pPr>
              <w:numPr>
                <w:ilvl w:val="0"/>
                <w:numId w:val="3"/>
              </w:numPr>
              <w:spacing w:line="360" w:lineRule="auto"/>
              <w:jc w:val="center"/>
              <w:rPr>
                <w:rFonts w:ascii="宋体" w:hAnsi="宋体" w:cs="宋体"/>
                <w:sz w:val="24"/>
                <w:szCs w:val="24"/>
              </w:rPr>
            </w:pPr>
          </w:p>
        </w:tc>
        <w:tc>
          <w:tcPr>
            <w:tcW w:w="9041" w:type="dxa"/>
            <w:noWrap w:val="0"/>
            <w:vAlign w:val="center"/>
          </w:tcPr>
          <w:p w14:paraId="5E5F0375">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14:paraId="1610ADCE">
            <w:pPr>
              <w:spacing w:line="360" w:lineRule="auto"/>
              <w:rPr>
                <w:rFonts w:ascii="宋体" w:hAnsi="宋体" w:cs="宋体"/>
                <w:color w:val="auto"/>
                <w:sz w:val="24"/>
                <w:szCs w:val="24"/>
              </w:rPr>
            </w:pPr>
            <w:r>
              <w:rPr>
                <w:rFonts w:hint="eastAsia" w:ascii="宋体" w:hAnsi="宋体" w:cs="宋体"/>
                <w:sz w:val="24"/>
                <w:szCs w:val="24"/>
              </w:rPr>
              <w:t>竞争性谈判响应文件递交截止时间</w:t>
            </w:r>
            <w:r>
              <w:rPr>
                <w:rFonts w:hint="eastAsia" w:ascii="宋体" w:hAnsi="宋体" w:cs="宋体"/>
                <w:color w:val="auto"/>
                <w:sz w:val="24"/>
                <w:szCs w:val="24"/>
              </w:rPr>
              <w:t>：</w:t>
            </w:r>
            <w:r>
              <w:rPr>
                <w:rFonts w:hint="eastAsia"/>
                <w:sz w:val="24"/>
                <w:szCs w:val="24"/>
              </w:rPr>
              <w:t>2024年07月19日 09时30分</w:t>
            </w:r>
          </w:p>
          <w:p w14:paraId="1FA1904C">
            <w:pPr>
              <w:spacing w:line="360" w:lineRule="auto"/>
              <w:rPr>
                <w:rFonts w:ascii="宋体" w:hAnsi="宋体" w:cs="宋体"/>
                <w:color w:val="auto"/>
                <w:sz w:val="24"/>
                <w:szCs w:val="24"/>
              </w:rPr>
            </w:pPr>
            <w:r>
              <w:rPr>
                <w:rFonts w:hint="eastAsia" w:ascii="宋体" w:hAnsi="宋体" w:cs="宋体"/>
                <w:color w:val="auto"/>
                <w:sz w:val="24"/>
                <w:szCs w:val="24"/>
              </w:rPr>
              <w:t>谈判时间：</w:t>
            </w:r>
            <w:r>
              <w:rPr>
                <w:rFonts w:hint="eastAsia"/>
                <w:sz w:val="24"/>
                <w:szCs w:val="24"/>
              </w:rPr>
              <w:t>2024年07月19日 09时30分</w:t>
            </w:r>
          </w:p>
          <w:p w14:paraId="017C8CC7">
            <w:pPr>
              <w:spacing w:line="360" w:lineRule="auto"/>
              <w:rPr>
                <w:rFonts w:hint="eastAsia" w:ascii="宋体" w:hAnsi="宋体" w:eastAsia="宋体" w:cs="宋体"/>
                <w:sz w:val="24"/>
                <w:szCs w:val="24"/>
                <w:u w:val="single"/>
                <w:lang w:val="en-US" w:eastAsia="zh-CN"/>
              </w:rPr>
            </w:pPr>
            <w:r>
              <w:rPr>
                <w:rFonts w:hint="eastAsia" w:ascii="宋体" w:hAnsi="宋体" w:cs="宋体"/>
                <w:sz w:val="24"/>
                <w:szCs w:val="24"/>
              </w:rPr>
              <w:t>谈判地点：榆林市公共资源交易中心十楼开标室1</w:t>
            </w:r>
            <w:r>
              <w:rPr>
                <w:rFonts w:hint="eastAsia" w:ascii="宋体" w:hAnsi="宋体" w:cs="宋体"/>
                <w:sz w:val="24"/>
                <w:szCs w:val="24"/>
                <w:lang w:val="en-US" w:eastAsia="zh-CN"/>
              </w:rPr>
              <w:t>7</w:t>
            </w:r>
          </w:p>
        </w:tc>
      </w:tr>
      <w:tr w14:paraId="2331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6720E210">
            <w:pPr>
              <w:numPr>
                <w:ilvl w:val="0"/>
                <w:numId w:val="3"/>
              </w:numPr>
              <w:spacing w:line="360" w:lineRule="auto"/>
              <w:jc w:val="center"/>
              <w:rPr>
                <w:rFonts w:ascii="宋体" w:hAnsi="宋体" w:cs="宋体"/>
                <w:sz w:val="24"/>
                <w:szCs w:val="24"/>
              </w:rPr>
            </w:pPr>
          </w:p>
        </w:tc>
        <w:tc>
          <w:tcPr>
            <w:tcW w:w="9041" w:type="dxa"/>
            <w:noWrap w:val="0"/>
            <w:vAlign w:val="center"/>
          </w:tcPr>
          <w:p w14:paraId="0C6D9AEE">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6F57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05DA20A2">
            <w:pPr>
              <w:numPr>
                <w:ilvl w:val="0"/>
                <w:numId w:val="3"/>
              </w:numPr>
              <w:spacing w:line="360" w:lineRule="auto"/>
              <w:jc w:val="center"/>
              <w:rPr>
                <w:rFonts w:ascii="宋体" w:hAnsi="宋体" w:cs="宋体"/>
                <w:sz w:val="24"/>
                <w:szCs w:val="24"/>
              </w:rPr>
            </w:pPr>
          </w:p>
        </w:tc>
        <w:tc>
          <w:tcPr>
            <w:tcW w:w="9041" w:type="dxa"/>
            <w:noWrap w:val="0"/>
            <w:vAlign w:val="center"/>
          </w:tcPr>
          <w:p w14:paraId="38EC1639">
            <w:pPr>
              <w:spacing w:line="360" w:lineRule="auto"/>
              <w:rPr>
                <w:rFonts w:ascii="宋体" w:hAnsi="宋体" w:cs="宋体"/>
                <w:sz w:val="24"/>
                <w:szCs w:val="24"/>
              </w:rPr>
            </w:pPr>
            <w:r>
              <w:rPr>
                <w:rFonts w:hint="eastAsia" w:ascii="宋体" w:hAnsi="宋体" w:cs="宋体"/>
                <w:sz w:val="24"/>
                <w:szCs w:val="24"/>
              </w:rPr>
              <w:t>不允许提供备选方案。</w:t>
            </w:r>
          </w:p>
        </w:tc>
      </w:tr>
      <w:tr w14:paraId="12D4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14:paraId="6166FA2F">
            <w:pPr>
              <w:numPr>
                <w:ilvl w:val="0"/>
                <w:numId w:val="3"/>
              </w:numPr>
              <w:spacing w:line="360" w:lineRule="auto"/>
              <w:jc w:val="center"/>
              <w:rPr>
                <w:rFonts w:ascii="宋体" w:hAnsi="宋体" w:cs="宋体"/>
                <w:sz w:val="24"/>
                <w:szCs w:val="24"/>
              </w:rPr>
            </w:pPr>
          </w:p>
        </w:tc>
        <w:tc>
          <w:tcPr>
            <w:tcW w:w="9041" w:type="dxa"/>
            <w:noWrap w:val="0"/>
            <w:vAlign w:val="center"/>
          </w:tcPr>
          <w:p w14:paraId="75F17654">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73CE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50C9834C">
            <w:pPr>
              <w:numPr>
                <w:ilvl w:val="0"/>
                <w:numId w:val="3"/>
              </w:numPr>
              <w:spacing w:line="360" w:lineRule="auto"/>
              <w:rPr>
                <w:rFonts w:ascii="宋体" w:hAnsi="宋体" w:cs="宋体"/>
                <w:color w:val="auto"/>
                <w:sz w:val="24"/>
                <w:szCs w:val="24"/>
              </w:rPr>
            </w:pPr>
          </w:p>
        </w:tc>
        <w:tc>
          <w:tcPr>
            <w:tcW w:w="9041" w:type="dxa"/>
            <w:noWrap w:val="0"/>
            <w:vAlign w:val="center"/>
          </w:tcPr>
          <w:p w14:paraId="7A6057A5">
            <w:pPr>
              <w:spacing w:line="360" w:lineRule="auto"/>
              <w:rPr>
                <w:rFonts w:hint="default" w:eastAsia="宋体"/>
                <w:color w:val="auto"/>
                <w:lang w:val="en-US" w:eastAsia="zh-CN"/>
              </w:rPr>
            </w:pPr>
            <w:r>
              <w:rPr>
                <w:rFonts w:hint="eastAsia" w:ascii="宋体" w:hAnsi="宋体" w:cs="宋体"/>
                <w:color w:val="auto"/>
                <w:sz w:val="24"/>
                <w:szCs w:val="24"/>
                <w:lang w:val="en-US" w:eastAsia="zh-CN"/>
              </w:rPr>
              <w:t>交货</w:t>
            </w:r>
            <w:r>
              <w:rPr>
                <w:rFonts w:hint="eastAsia" w:ascii="宋体" w:hAnsi="宋体" w:cs="宋体"/>
                <w:color w:val="auto"/>
                <w:sz w:val="24"/>
                <w:szCs w:val="24"/>
              </w:rPr>
              <w:t>期：</w:t>
            </w:r>
            <w:r>
              <w:rPr>
                <w:rFonts w:hint="eastAsia" w:ascii="宋体" w:hAnsi="宋体" w:cs="宋体"/>
                <w:color w:val="auto"/>
                <w:sz w:val="24"/>
                <w:szCs w:val="24"/>
                <w:lang w:val="en-US" w:eastAsia="zh-CN"/>
              </w:rPr>
              <w:t>25天。</w:t>
            </w:r>
          </w:p>
        </w:tc>
      </w:tr>
      <w:tr w14:paraId="2D60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540194C2">
            <w:pPr>
              <w:numPr>
                <w:ilvl w:val="0"/>
                <w:numId w:val="3"/>
              </w:numPr>
              <w:spacing w:line="360" w:lineRule="auto"/>
              <w:rPr>
                <w:rFonts w:ascii="宋体" w:hAnsi="宋体" w:cs="宋体"/>
                <w:sz w:val="24"/>
                <w:szCs w:val="24"/>
              </w:rPr>
            </w:pPr>
          </w:p>
        </w:tc>
        <w:tc>
          <w:tcPr>
            <w:tcW w:w="9041" w:type="dxa"/>
            <w:noWrap w:val="0"/>
            <w:vAlign w:val="center"/>
          </w:tcPr>
          <w:p w14:paraId="33A915C0">
            <w:pPr>
              <w:spacing w:line="360" w:lineRule="auto"/>
              <w:rPr>
                <w:rFonts w:ascii="宋体" w:hAnsi="宋体" w:cs="宋体"/>
                <w:sz w:val="24"/>
                <w:szCs w:val="24"/>
              </w:rPr>
            </w:pPr>
            <w:r>
              <w:rPr>
                <w:rFonts w:hint="eastAsia" w:ascii="宋体" w:hAnsi="宋体" w:cs="宋体"/>
                <w:sz w:val="24"/>
                <w:szCs w:val="24"/>
                <w:lang w:val="en-US" w:eastAsia="zh-CN"/>
              </w:rPr>
              <w:t>交货</w:t>
            </w:r>
            <w:r>
              <w:rPr>
                <w:rFonts w:hint="eastAsia" w:ascii="宋体" w:hAnsi="宋体" w:cs="宋体"/>
                <w:sz w:val="24"/>
                <w:szCs w:val="24"/>
              </w:rPr>
              <w:t>地点：采购人</w:t>
            </w:r>
            <w:r>
              <w:rPr>
                <w:rFonts w:hint="eastAsia" w:ascii="宋体" w:hAnsi="宋体" w:cs="宋体"/>
                <w:sz w:val="24"/>
              </w:rPr>
              <w:t>指定地点</w:t>
            </w:r>
          </w:p>
        </w:tc>
      </w:tr>
      <w:tr w14:paraId="3563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2" w:type="dxa"/>
            <w:noWrap w:val="0"/>
            <w:vAlign w:val="center"/>
          </w:tcPr>
          <w:p w14:paraId="2A6BFFEA">
            <w:pPr>
              <w:numPr>
                <w:ilvl w:val="0"/>
                <w:numId w:val="3"/>
              </w:numPr>
              <w:spacing w:line="360" w:lineRule="auto"/>
              <w:rPr>
                <w:rFonts w:ascii="宋体" w:hAnsi="宋体" w:cs="宋体"/>
                <w:sz w:val="24"/>
                <w:szCs w:val="24"/>
              </w:rPr>
            </w:pPr>
          </w:p>
        </w:tc>
        <w:tc>
          <w:tcPr>
            <w:tcW w:w="9041" w:type="dxa"/>
            <w:noWrap w:val="0"/>
            <w:vAlign w:val="center"/>
          </w:tcPr>
          <w:p w14:paraId="79C7E531">
            <w:pPr>
              <w:adjustRightInd w:val="0"/>
              <w:snapToGrid w:val="0"/>
              <w:spacing w:line="360" w:lineRule="auto"/>
              <w:jc w:val="left"/>
              <w:rPr>
                <w:rFonts w:hint="default"/>
                <w:lang w:val="en-US"/>
              </w:rPr>
            </w:pPr>
            <w:r>
              <w:rPr>
                <w:rFonts w:hint="eastAsia"/>
                <w:sz w:val="24"/>
                <w:szCs w:val="24"/>
              </w:rPr>
              <w:t>付款方式：</w:t>
            </w:r>
            <w:r>
              <w:rPr>
                <w:rFonts w:hint="eastAsia"/>
                <w:sz w:val="24"/>
                <w:szCs w:val="24"/>
                <w:lang w:val="en-US" w:eastAsia="zh-CN"/>
              </w:rPr>
              <w:t>验收合格后一次性付清</w:t>
            </w:r>
          </w:p>
        </w:tc>
      </w:tr>
      <w:tr w14:paraId="6ADE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14:paraId="03FDAA79">
            <w:pPr>
              <w:numPr>
                <w:ilvl w:val="0"/>
                <w:numId w:val="3"/>
              </w:numPr>
              <w:spacing w:line="360" w:lineRule="auto"/>
              <w:jc w:val="center"/>
              <w:rPr>
                <w:rFonts w:ascii="宋体" w:hAnsi="宋体" w:cs="宋体"/>
                <w:sz w:val="24"/>
                <w:szCs w:val="24"/>
              </w:rPr>
            </w:pPr>
          </w:p>
        </w:tc>
        <w:tc>
          <w:tcPr>
            <w:tcW w:w="9041" w:type="dxa"/>
            <w:noWrap w:val="0"/>
            <w:vAlign w:val="center"/>
          </w:tcPr>
          <w:p w14:paraId="708CE097">
            <w:pPr>
              <w:spacing w:line="360" w:lineRule="auto"/>
            </w:pPr>
            <w:r>
              <w:rPr>
                <w:rFonts w:hint="default"/>
                <w:sz w:val="24"/>
                <w:szCs w:val="22"/>
              </w:rPr>
              <w:t>投标保证金可用投标信用承诺书代替（提供投标信用承诺书）；</w:t>
            </w:r>
          </w:p>
        </w:tc>
      </w:tr>
      <w:tr w14:paraId="56A5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14:paraId="61673028">
            <w:pPr>
              <w:numPr>
                <w:ilvl w:val="0"/>
                <w:numId w:val="3"/>
              </w:numPr>
              <w:spacing w:line="360" w:lineRule="auto"/>
              <w:jc w:val="center"/>
              <w:rPr>
                <w:rFonts w:ascii="宋体" w:hAnsi="宋体" w:cs="宋体"/>
                <w:sz w:val="24"/>
                <w:szCs w:val="24"/>
              </w:rPr>
            </w:pPr>
          </w:p>
        </w:tc>
        <w:tc>
          <w:tcPr>
            <w:tcW w:w="9041" w:type="dxa"/>
            <w:noWrap w:val="0"/>
            <w:vAlign w:val="center"/>
          </w:tcPr>
          <w:p w14:paraId="3B85308B">
            <w:pPr>
              <w:spacing w:line="360" w:lineRule="auto"/>
              <w:rPr>
                <w:rFonts w:ascii="宋体" w:hAnsi="宋体" w:cs="宋体"/>
                <w:sz w:val="24"/>
                <w:szCs w:val="24"/>
              </w:rPr>
            </w:pPr>
            <w:r>
              <w:rPr>
                <w:rFonts w:hint="eastAsia" w:ascii="宋体" w:hAnsi="宋体" w:cs="宋体"/>
                <w:sz w:val="24"/>
                <w:szCs w:val="24"/>
              </w:rPr>
              <w:t>谈判有效期：</w:t>
            </w:r>
            <w:bookmarkStart w:id="19" w:name="OLE_LINK10"/>
            <w:bookmarkStart w:id="20" w:name="OLE_LINK9"/>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14:paraId="5673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3A6782D">
            <w:pPr>
              <w:numPr>
                <w:ilvl w:val="0"/>
                <w:numId w:val="3"/>
              </w:numPr>
              <w:spacing w:line="360" w:lineRule="auto"/>
              <w:jc w:val="center"/>
              <w:rPr>
                <w:rFonts w:ascii="宋体" w:hAnsi="宋体" w:cs="宋体"/>
                <w:sz w:val="24"/>
                <w:szCs w:val="24"/>
              </w:rPr>
            </w:pPr>
          </w:p>
        </w:tc>
        <w:tc>
          <w:tcPr>
            <w:tcW w:w="9041" w:type="dxa"/>
            <w:noWrap w:val="0"/>
            <w:vAlign w:val="center"/>
          </w:tcPr>
          <w:p w14:paraId="57686EC9">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14:paraId="61B4FDBD">
            <w:pPr>
              <w:numPr>
                <w:ilvl w:val="0"/>
                <w:numId w:val="4"/>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14:paraId="4932DF8B">
            <w:pPr>
              <w:numPr>
                <w:ilvl w:val="0"/>
                <w:numId w:val="4"/>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7ECB8AA1">
            <w:pPr>
              <w:numPr>
                <w:ilvl w:val="0"/>
                <w:numId w:val="5"/>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405764EB">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1"/>
                <w:rFonts w:hint="eastAsia" w:ascii="思源宋体 CN Light" w:hAnsi="思源宋体 CN Light" w:eastAsia="思源宋体 CN Light" w:cs="思源宋体 CN Light"/>
                <w:color w:val="auto"/>
                <w:sz w:val="24"/>
                <w:szCs w:val="24"/>
              </w:rPr>
              <w:t>http://111.20.184.126:8081/BidOpeningHallCS/bidhall/default/login</w:t>
            </w:r>
            <w:r>
              <w:rPr>
                <w:rStyle w:val="31"/>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04F4ADDE">
            <w:pPr>
              <w:numPr>
                <w:ilvl w:val="0"/>
                <w:numId w:val="5"/>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6537A60D">
            <w:pPr>
              <w:numPr>
                <w:ilvl w:val="0"/>
                <w:numId w:val="5"/>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137B516A">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66BDDC97">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5DA15691">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14:paraId="19BE01EA">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2062EB2F">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14:paraId="0D76FBC2">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506D890C">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154B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6C62B81D">
            <w:pPr>
              <w:numPr>
                <w:ilvl w:val="0"/>
                <w:numId w:val="3"/>
              </w:numPr>
              <w:spacing w:line="360" w:lineRule="auto"/>
              <w:jc w:val="center"/>
              <w:rPr>
                <w:rFonts w:ascii="宋体" w:hAnsi="宋体" w:cs="宋体"/>
                <w:sz w:val="24"/>
                <w:szCs w:val="24"/>
              </w:rPr>
            </w:pPr>
          </w:p>
        </w:tc>
        <w:tc>
          <w:tcPr>
            <w:tcW w:w="9041" w:type="dxa"/>
            <w:noWrap w:val="0"/>
            <w:vAlign w:val="center"/>
          </w:tcPr>
          <w:p w14:paraId="3614AB2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14:paraId="11CB32A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14:paraId="72B1C9DB">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14:paraId="34A2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663F05F5">
            <w:pPr>
              <w:numPr>
                <w:ilvl w:val="0"/>
                <w:numId w:val="3"/>
              </w:numPr>
              <w:spacing w:line="360" w:lineRule="auto"/>
              <w:jc w:val="center"/>
              <w:rPr>
                <w:rFonts w:ascii="宋体" w:hAnsi="宋体" w:cs="宋体"/>
                <w:sz w:val="24"/>
                <w:szCs w:val="24"/>
              </w:rPr>
            </w:pPr>
          </w:p>
        </w:tc>
        <w:tc>
          <w:tcPr>
            <w:tcW w:w="9041" w:type="dxa"/>
            <w:noWrap w:val="0"/>
            <w:vAlign w:val="center"/>
          </w:tcPr>
          <w:p w14:paraId="19ACC7AD">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14:paraId="3658A0AB">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14:paraId="38270482">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14:paraId="7D369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合同包1特定资格要求如下:</w:t>
            </w:r>
          </w:p>
          <w:p w14:paraId="0DFCF817">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bCs/>
                <w:color w:val="000000"/>
                <w:sz w:val="24"/>
                <w:szCs w:val="24"/>
              </w:rPr>
              <w:t xml:space="preserve">  </w:t>
            </w:r>
            <w:r>
              <w:rPr>
                <w:rFonts w:hint="eastAsia" w:ascii="宋体" w:hAnsi="宋体" w:cs="宋体"/>
                <w:b w:val="0"/>
                <w:bCs w:val="0"/>
                <w:color w:val="000000"/>
                <w:sz w:val="24"/>
                <w:szCs w:val="24"/>
              </w:rPr>
              <w:t xml:space="preserve">1、投标人须具备独立承担民事责任能力的法人或其他组织，提供合法有效的统一社会信用代码的营业执照； </w:t>
            </w:r>
          </w:p>
          <w:p w14:paraId="323EFD0E">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2、财务状况报告：提供具有财务审计资质单位出具的2022年或2023年的财务审计报告（至少包括资产负债表、利润表、现金流量表、所有者权益变动表及其附注）或谈判前六个月内其基本账户银行出具的资信证明或财政部门认可的政府采购专业担保机构出具的担保函，以上形式的证明资料提供任何一种即可； </w:t>
            </w:r>
          </w:p>
          <w:p w14:paraId="015FC6F4">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3、社会保障资金缴纳证明：提供2024年1月至今已缴存的至少一个月的社会保障资金缴纳证明（社会保障资金缴存单据或社保机构开具的社会保险参保缴费情况证明），依法不需要缴纳社会保障资金的单位应提供相关证明材料；</w:t>
            </w:r>
          </w:p>
          <w:p w14:paraId="20765E3A">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4、税收缴纳证明：提供2024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p w14:paraId="13ADA902">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5、参加政府采购活动前3年内在经营活动中没有重大违法记录的书面声明（格式自拟，加盖投标人公章）；</w:t>
            </w:r>
          </w:p>
          <w:p w14:paraId="2D2F3F1A">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p>
          <w:p w14:paraId="307234FB">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7、投标保证金用投标信用承诺书代替（提供投标信用承诺书）；</w:t>
            </w:r>
          </w:p>
          <w:p w14:paraId="7CE9FB18">
            <w:pPr>
              <w:numPr>
                <w:ilvl w:val="0"/>
                <w:numId w:val="0"/>
              </w:numPr>
              <w:spacing w:line="360" w:lineRule="auto"/>
              <w:rPr>
                <w:rFonts w:hint="eastAsia" w:ascii="宋体" w:hAnsi="宋体" w:cs="宋体"/>
                <w:b w:val="0"/>
                <w:bCs w:val="0"/>
                <w:color w:val="000000"/>
                <w:sz w:val="24"/>
                <w:szCs w:val="24"/>
              </w:rPr>
            </w:pPr>
            <w:r>
              <w:rPr>
                <w:rFonts w:hint="eastAsia" w:ascii="宋体" w:hAnsi="宋体" w:cs="宋体"/>
                <w:b w:val="0"/>
                <w:bCs w:val="0"/>
                <w:color w:val="000000"/>
                <w:sz w:val="24"/>
                <w:szCs w:val="24"/>
              </w:rPr>
              <w:t xml:space="preserve">  8、本项目不接受联合体投标，单位负责人为同一人或者存在直接控股、管理关系的不同投标人，不得参加同一合同项下的政府采购活动（须提供非联合体投标声明函）。</w:t>
            </w:r>
          </w:p>
          <w:p w14:paraId="46240FB5">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14:paraId="2F04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11DFDCAB">
            <w:pPr>
              <w:numPr>
                <w:ilvl w:val="0"/>
                <w:numId w:val="3"/>
              </w:numPr>
              <w:spacing w:line="360" w:lineRule="auto"/>
              <w:jc w:val="center"/>
              <w:rPr>
                <w:rFonts w:ascii="宋体" w:hAnsi="宋体" w:cs="宋体"/>
                <w:sz w:val="24"/>
                <w:szCs w:val="24"/>
              </w:rPr>
            </w:pPr>
          </w:p>
        </w:tc>
        <w:tc>
          <w:tcPr>
            <w:tcW w:w="9041" w:type="dxa"/>
            <w:noWrap w:val="0"/>
            <w:vAlign w:val="center"/>
          </w:tcPr>
          <w:p w14:paraId="426E2B35">
            <w:pPr>
              <w:spacing w:line="360" w:lineRule="auto"/>
              <w:rPr>
                <w:rFonts w:ascii="宋体" w:hAnsi="宋体" w:cs="宋体"/>
                <w:sz w:val="24"/>
                <w:szCs w:val="24"/>
              </w:rPr>
            </w:pPr>
            <w:r>
              <w:rPr>
                <w:rFonts w:hint="eastAsia" w:ascii="宋体" w:hAnsi="宋体" w:cs="宋体"/>
                <w:sz w:val="24"/>
                <w:szCs w:val="24"/>
              </w:rPr>
              <w:t>支持中小企业发展：</w:t>
            </w:r>
          </w:p>
          <w:p w14:paraId="0B1483CF">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lang w:val="en-US" w:eastAsia="zh-CN"/>
              </w:rPr>
              <w:t>中小</w:t>
            </w:r>
            <w:r>
              <w:rPr>
                <w:rFonts w:hint="eastAsia" w:ascii="宋体" w:hAnsi="宋体" w:cs="宋体"/>
                <w:sz w:val="24"/>
                <w:szCs w:val="24"/>
              </w:rPr>
              <w:t>企业采购项目</w:t>
            </w:r>
          </w:p>
          <w:p w14:paraId="77421CBE">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lang w:eastAsia="zh-CN"/>
              </w:rPr>
              <w:instrText xml:space="preserve">,</w:instrText>
            </w:r>
            <w:r>
              <w:rPr>
                <w:rFonts w:hint="eastAsia" w:ascii="宋体" w:hAnsi="宋体" w:cs="宋体"/>
                <w:color w:val="auto"/>
                <w:position w:val="2"/>
                <w:sz w:val="16"/>
                <w:szCs w:val="24"/>
                <w:lang w:eastAsia="zh-CN"/>
              </w:rPr>
              <w:instrText xml:space="preserve">√</w:instrText>
            </w:r>
            <w:r>
              <w:rPr>
                <w:rFonts w:hint="eastAsia" w:ascii="宋体" w:hAnsi="宋体" w:cs="宋体"/>
                <w:color w:val="auto"/>
                <w:sz w:val="24"/>
                <w:szCs w:val="24"/>
              </w:rPr>
              <w:instrText xml:space="preserve">)</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14:paraId="64EE0C02">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14:paraId="72E3DBAA">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14:paraId="2A3F7D2C">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14:paraId="50626783">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14:paraId="0878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EDBCB0C">
            <w:pPr>
              <w:numPr>
                <w:ilvl w:val="0"/>
                <w:numId w:val="3"/>
              </w:numPr>
              <w:spacing w:line="360" w:lineRule="auto"/>
              <w:jc w:val="center"/>
              <w:rPr>
                <w:rFonts w:ascii="宋体" w:hAnsi="宋体" w:cs="宋体"/>
                <w:sz w:val="24"/>
                <w:szCs w:val="24"/>
              </w:rPr>
            </w:pPr>
          </w:p>
        </w:tc>
        <w:tc>
          <w:tcPr>
            <w:tcW w:w="9041" w:type="dxa"/>
            <w:noWrap w:val="0"/>
            <w:vAlign w:val="center"/>
          </w:tcPr>
          <w:p w14:paraId="70198057">
            <w:pPr>
              <w:spacing w:line="360" w:lineRule="auto"/>
              <w:rPr>
                <w:rFonts w:ascii="宋体" w:hAnsi="宋体" w:cs="宋体"/>
                <w:sz w:val="24"/>
                <w:szCs w:val="24"/>
              </w:rPr>
            </w:pPr>
            <w:r>
              <w:rPr>
                <w:rFonts w:hint="eastAsia" w:ascii="宋体" w:hAnsi="宋体" w:cs="宋体"/>
                <w:sz w:val="24"/>
                <w:szCs w:val="24"/>
              </w:rPr>
              <w:t>支持监狱企业发展：</w:t>
            </w:r>
          </w:p>
          <w:p w14:paraId="5A23FD22">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14:paraId="5E25A485">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p w14:paraId="0680F743">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w:t>
            </w:r>
          </w:p>
        </w:tc>
      </w:tr>
      <w:tr w14:paraId="1604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6844882">
            <w:pPr>
              <w:numPr>
                <w:ilvl w:val="0"/>
                <w:numId w:val="3"/>
              </w:numPr>
              <w:spacing w:line="360" w:lineRule="auto"/>
              <w:jc w:val="center"/>
              <w:rPr>
                <w:rFonts w:ascii="宋体" w:hAnsi="宋体" w:cs="宋体"/>
                <w:sz w:val="24"/>
                <w:szCs w:val="24"/>
              </w:rPr>
            </w:pPr>
          </w:p>
        </w:tc>
        <w:tc>
          <w:tcPr>
            <w:tcW w:w="9041" w:type="dxa"/>
            <w:noWrap w:val="0"/>
            <w:vAlign w:val="center"/>
          </w:tcPr>
          <w:p w14:paraId="33099974">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14:paraId="3D36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4B03DAEB">
            <w:pPr>
              <w:numPr>
                <w:ilvl w:val="0"/>
                <w:numId w:val="3"/>
              </w:numPr>
              <w:spacing w:line="360" w:lineRule="auto"/>
              <w:jc w:val="center"/>
              <w:rPr>
                <w:rFonts w:ascii="宋体" w:hAnsi="宋体" w:cs="宋体"/>
                <w:sz w:val="24"/>
                <w:szCs w:val="24"/>
              </w:rPr>
            </w:pPr>
          </w:p>
        </w:tc>
        <w:tc>
          <w:tcPr>
            <w:tcW w:w="9041" w:type="dxa"/>
            <w:noWrap w:val="0"/>
            <w:vAlign w:val="center"/>
          </w:tcPr>
          <w:p w14:paraId="730D1705">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1DD6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4E9C0B7B">
            <w:pPr>
              <w:numPr>
                <w:ilvl w:val="0"/>
                <w:numId w:val="3"/>
              </w:numPr>
              <w:spacing w:line="360" w:lineRule="auto"/>
              <w:rPr>
                <w:rFonts w:ascii="宋体" w:hAnsi="宋体" w:cs="宋体"/>
                <w:sz w:val="24"/>
                <w:szCs w:val="24"/>
              </w:rPr>
            </w:pPr>
          </w:p>
        </w:tc>
        <w:tc>
          <w:tcPr>
            <w:tcW w:w="9041" w:type="dxa"/>
            <w:noWrap w:val="0"/>
            <w:vAlign w:val="center"/>
          </w:tcPr>
          <w:p w14:paraId="484E3A10">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69B5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69DE610F">
            <w:pPr>
              <w:numPr>
                <w:ilvl w:val="0"/>
                <w:numId w:val="3"/>
              </w:numPr>
              <w:spacing w:line="360" w:lineRule="auto"/>
              <w:rPr>
                <w:rFonts w:ascii="宋体" w:hAnsi="宋体" w:cs="宋体"/>
                <w:sz w:val="24"/>
                <w:szCs w:val="24"/>
              </w:rPr>
            </w:pPr>
          </w:p>
        </w:tc>
        <w:tc>
          <w:tcPr>
            <w:tcW w:w="9041" w:type="dxa"/>
            <w:noWrap w:val="0"/>
            <w:vAlign w:val="center"/>
          </w:tcPr>
          <w:p w14:paraId="2365FDA3">
            <w:pPr>
              <w:pStyle w:val="36"/>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59C6635B">
            <w:pPr>
              <w:pStyle w:val="36"/>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437ED620">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5DC1D1D2">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注:①法定代表人直接参与谈判的无须上报和提供《投标人委托代理人员信用承诺书》</w:t>
            </w:r>
          </w:p>
          <w:p w14:paraId="17920777">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②)不见面开标结束后由采购代理机构通过平台进行核实查验,未在“信用中国(陕西榆林)”网站进行自主上报信用承诺或响应文件中所附内容与上报内容不符的将否决其谈判。</w:t>
            </w:r>
          </w:p>
        </w:tc>
      </w:tr>
      <w:tr w14:paraId="6578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0BAD8F3C">
            <w:pPr>
              <w:numPr>
                <w:ilvl w:val="0"/>
                <w:numId w:val="3"/>
              </w:numPr>
              <w:spacing w:line="360" w:lineRule="auto"/>
              <w:rPr>
                <w:rFonts w:ascii="宋体" w:hAnsi="宋体" w:cs="宋体"/>
                <w:sz w:val="24"/>
                <w:szCs w:val="24"/>
              </w:rPr>
            </w:pPr>
          </w:p>
        </w:tc>
        <w:tc>
          <w:tcPr>
            <w:tcW w:w="9041" w:type="dxa"/>
            <w:noWrap w:val="0"/>
            <w:vAlign w:val="center"/>
          </w:tcPr>
          <w:p w14:paraId="71D01075">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14:paraId="4829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14:paraId="4FED9EE4">
            <w:pPr>
              <w:numPr>
                <w:ilvl w:val="0"/>
                <w:numId w:val="3"/>
              </w:numPr>
              <w:spacing w:line="360" w:lineRule="auto"/>
              <w:rPr>
                <w:rFonts w:ascii="宋体" w:hAnsi="宋体" w:cs="宋体"/>
                <w:sz w:val="24"/>
                <w:szCs w:val="24"/>
              </w:rPr>
            </w:pPr>
          </w:p>
        </w:tc>
        <w:tc>
          <w:tcPr>
            <w:tcW w:w="9041" w:type="dxa"/>
            <w:noWrap w:val="0"/>
            <w:vAlign w:val="center"/>
          </w:tcPr>
          <w:p w14:paraId="7E9AFA4A">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0850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14:paraId="4F9D5911">
            <w:pPr>
              <w:numPr>
                <w:ilvl w:val="0"/>
                <w:numId w:val="3"/>
              </w:numPr>
              <w:spacing w:line="360" w:lineRule="auto"/>
              <w:rPr>
                <w:rFonts w:ascii="宋体" w:hAnsi="宋体" w:cs="宋体"/>
                <w:sz w:val="24"/>
                <w:szCs w:val="24"/>
              </w:rPr>
            </w:pPr>
          </w:p>
        </w:tc>
        <w:tc>
          <w:tcPr>
            <w:tcW w:w="9041" w:type="dxa"/>
            <w:noWrap w:val="0"/>
            <w:vAlign w:val="center"/>
          </w:tcPr>
          <w:p w14:paraId="07BB9278">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14:paraId="36674D64">
            <w:pPr>
              <w:pStyle w:val="14"/>
              <w:ind w:firstLine="720" w:firstLineChars="300"/>
            </w:pPr>
            <w:r>
              <w:rPr>
                <w:rFonts w:hint="eastAsia" w:ascii="宋体" w:hAnsi="宋体" w:cs="宋体"/>
                <w:sz w:val="24"/>
                <w:szCs w:val="24"/>
              </w:rPr>
              <w:t>2、当供应商不足三家时，按相关文件执行。</w:t>
            </w:r>
          </w:p>
        </w:tc>
      </w:tr>
      <w:tr w14:paraId="3BA7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14:paraId="399E5E22">
            <w:pPr>
              <w:numPr>
                <w:ilvl w:val="0"/>
                <w:numId w:val="3"/>
              </w:numPr>
              <w:spacing w:line="360" w:lineRule="auto"/>
              <w:rPr>
                <w:rFonts w:ascii="宋体" w:hAnsi="宋体" w:cs="宋体"/>
                <w:sz w:val="24"/>
                <w:szCs w:val="24"/>
              </w:rPr>
            </w:pPr>
          </w:p>
        </w:tc>
        <w:tc>
          <w:tcPr>
            <w:tcW w:w="9041" w:type="dxa"/>
            <w:noWrap w:val="0"/>
            <w:vAlign w:val="center"/>
          </w:tcPr>
          <w:p w14:paraId="617500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1"/>
              <w:tblpPr w:leftFromText="180" w:rightFromText="180" w:vertAnchor="page" w:horzAnchor="page" w:tblpX="140" w:tblpY="3962"/>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29678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38728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53DE8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F59DE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1509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5E27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8C91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CCF6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1611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9840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8A12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62F04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B0DBF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D676F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C697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2D5C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4B63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ADE8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69D2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61C37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4192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4EAA1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903EB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77324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3C382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4E9D9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4D3A1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F3318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BAC93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0EE70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C4296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1D31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98C7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3A2B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C50A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A22A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4D16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D139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71F8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1EB90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FFB0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AC81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ECAE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77E1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B37F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8289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38C1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5B847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C5C71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B70D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A478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DA7F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2F45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B820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829D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651FF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4585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37C03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C2DA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7541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B25D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2767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DE6D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203D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3DF5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5CB2F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40073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4178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071B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4196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74E2A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4C7CEF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921D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A437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48D0D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CB1A4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1F7A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5F5A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7DB8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1851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51AB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019C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2EC9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2886C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88974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8B08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F15C3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E9A6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63B0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B0C2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DDCC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98BB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3B7E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DB4BD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AD17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688E2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6448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4C31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AE75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63E8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FE90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51808496">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14:paraId="3670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14:paraId="51B229CA">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14:paraId="0052F23A">
            <w:pPr>
              <w:spacing w:line="360" w:lineRule="auto"/>
              <w:rPr>
                <w:rFonts w:ascii="宋体" w:hAnsi="宋体" w:cs="仿宋_GB2312"/>
                <w:sz w:val="24"/>
                <w:szCs w:val="24"/>
              </w:rPr>
            </w:pPr>
            <w:r>
              <w:rPr>
                <w:rFonts w:hint="eastAsia" w:ascii="宋体" w:hAnsi="宋体" w:cs="仿宋_GB2312"/>
                <w:sz w:val="24"/>
                <w:szCs w:val="24"/>
              </w:rPr>
              <w:t>招标代理服务费：</w:t>
            </w:r>
          </w:p>
          <w:p w14:paraId="34F08265">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14:paraId="776DDAB0">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榆林市恒易达工程项目管理有限公司</w:t>
            </w:r>
            <w:r>
              <w:rPr>
                <w:rFonts w:hint="eastAsia" w:ascii="宋体" w:hAnsi="宋体" w:cs="宋体"/>
                <w:sz w:val="24"/>
                <w:szCs w:val="24"/>
              </w:rPr>
              <w:t>交纳本项目采购代理服务费。</w:t>
            </w:r>
          </w:p>
          <w:p w14:paraId="43768D3B">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21"/>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14:paraId="376F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14:paraId="21CF37A3">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14:paraId="162910B0">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14:paraId="37B67C4A">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14:paraId="64BE3AB5">
                  <w:pPr>
                    <w:spacing w:line="360" w:lineRule="auto"/>
                    <w:rPr>
                      <w:rFonts w:ascii="宋体" w:hAnsi="宋体" w:cs="宋体"/>
                      <w:sz w:val="24"/>
                      <w:szCs w:val="24"/>
                    </w:rPr>
                  </w:pPr>
                  <w:r>
                    <w:rPr>
                      <w:rFonts w:hint="eastAsia" w:ascii="宋体" w:hAnsi="宋体" w:cs="宋体"/>
                      <w:sz w:val="24"/>
                      <w:szCs w:val="24"/>
                    </w:rPr>
                    <w:t>工程招标</w:t>
                  </w:r>
                </w:p>
              </w:tc>
            </w:tr>
            <w:tr w14:paraId="17CB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19CD7376">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14:paraId="20BC5FB8">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14:paraId="1A73FE08">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14:paraId="2C49DFC5">
                  <w:pPr>
                    <w:spacing w:line="360" w:lineRule="auto"/>
                    <w:rPr>
                      <w:rFonts w:ascii="宋体" w:hAnsi="宋体" w:cs="宋体"/>
                      <w:sz w:val="24"/>
                      <w:szCs w:val="24"/>
                    </w:rPr>
                  </w:pPr>
                  <w:r>
                    <w:rPr>
                      <w:rFonts w:hint="eastAsia" w:ascii="宋体" w:hAnsi="宋体" w:cs="宋体"/>
                      <w:sz w:val="24"/>
                      <w:szCs w:val="24"/>
                    </w:rPr>
                    <w:t>1.0%</w:t>
                  </w:r>
                </w:p>
              </w:tc>
            </w:tr>
            <w:tr w14:paraId="2D87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24DBA894">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14:paraId="003F01A6">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14:paraId="40A45A0F">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14:paraId="570165F2">
                  <w:pPr>
                    <w:spacing w:line="360" w:lineRule="auto"/>
                    <w:rPr>
                      <w:rFonts w:ascii="宋体" w:hAnsi="宋体" w:cs="宋体"/>
                      <w:sz w:val="24"/>
                      <w:szCs w:val="24"/>
                    </w:rPr>
                  </w:pPr>
                  <w:r>
                    <w:rPr>
                      <w:rFonts w:hint="eastAsia" w:ascii="宋体" w:hAnsi="宋体" w:cs="宋体"/>
                      <w:sz w:val="24"/>
                      <w:szCs w:val="24"/>
                    </w:rPr>
                    <w:t>0.7%</w:t>
                  </w:r>
                </w:p>
              </w:tc>
            </w:tr>
            <w:tr w14:paraId="4F96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FB7298B">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14:paraId="43FC3D68">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14:paraId="32F77817">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14:paraId="7C14A394">
                  <w:pPr>
                    <w:spacing w:line="360" w:lineRule="auto"/>
                    <w:rPr>
                      <w:rFonts w:ascii="宋体" w:hAnsi="宋体" w:cs="宋体"/>
                      <w:sz w:val="24"/>
                      <w:szCs w:val="24"/>
                    </w:rPr>
                  </w:pPr>
                  <w:r>
                    <w:rPr>
                      <w:rFonts w:hint="eastAsia" w:ascii="宋体" w:hAnsi="宋体" w:cs="宋体"/>
                      <w:sz w:val="24"/>
                      <w:szCs w:val="24"/>
                    </w:rPr>
                    <w:t>0.55%</w:t>
                  </w:r>
                </w:p>
              </w:tc>
            </w:tr>
            <w:tr w14:paraId="5234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339F2E86">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14:paraId="51CB2B3B">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14:paraId="761F376F">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14:paraId="02918FCD">
                  <w:pPr>
                    <w:spacing w:line="360" w:lineRule="auto"/>
                    <w:rPr>
                      <w:rFonts w:ascii="宋体" w:hAnsi="宋体" w:cs="宋体"/>
                      <w:sz w:val="24"/>
                      <w:szCs w:val="24"/>
                    </w:rPr>
                  </w:pPr>
                  <w:r>
                    <w:rPr>
                      <w:rFonts w:hint="eastAsia" w:ascii="宋体" w:hAnsi="宋体" w:cs="宋体"/>
                      <w:sz w:val="24"/>
                      <w:szCs w:val="24"/>
                    </w:rPr>
                    <w:t>0.35%</w:t>
                  </w:r>
                </w:p>
              </w:tc>
            </w:tr>
            <w:tr w14:paraId="0413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79E03420">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14:paraId="460727F3">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14:paraId="139827B7">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14:paraId="53645B60">
                  <w:pPr>
                    <w:spacing w:line="360" w:lineRule="auto"/>
                    <w:rPr>
                      <w:rFonts w:ascii="宋体" w:hAnsi="宋体" w:cs="宋体"/>
                      <w:sz w:val="24"/>
                      <w:szCs w:val="24"/>
                    </w:rPr>
                  </w:pPr>
                  <w:r>
                    <w:rPr>
                      <w:rFonts w:hint="eastAsia" w:ascii="宋体" w:hAnsi="宋体" w:cs="宋体"/>
                      <w:sz w:val="24"/>
                      <w:szCs w:val="24"/>
                    </w:rPr>
                    <w:t>0.2%</w:t>
                  </w:r>
                </w:p>
              </w:tc>
            </w:tr>
            <w:tr w14:paraId="6936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0ABA9D0B">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14:paraId="7FFEC4A6">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14:paraId="3DAC785F">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14:paraId="71A6E39C">
                  <w:pPr>
                    <w:spacing w:line="360" w:lineRule="auto"/>
                    <w:rPr>
                      <w:rFonts w:ascii="宋体" w:hAnsi="宋体" w:cs="宋体"/>
                      <w:sz w:val="24"/>
                      <w:szCs w:val="24"/>
                    </w:rPr>
                  </w:pPr>
                  <w:r>
                    <w:rPr>
                      <w:rFonts w:hint="eastAsia" w:ascii="宋体" w:hAnsi="宋体" w:cs="宋体"/>
                      <w:sz w:val="24"/>
                      <w:szCs w:val="24"/>
                    </w:rPr>
                    <w:t>0.05%</w:t>
                  </w:r>
                </w:p>
              </w:tc>
            </w:tr>
            <w:tr w14:paraId="734F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14:paraId="5EA145A9">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14:paraId="42E3E542">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14:paraId="6294E4EA">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14:paraId="71AAB0C6">
                  <w:pPr>
                    <w:spacing w:line="360" w:lineRule="auto"/>
                    <w:rPr>
                      <w:rFonts w:ascii="宋体" w:hAnsi="宋体" w:cs="宋体"/>
                      <w:sz w:val="24"/>
                      <w:szCs w:val="24"/>
                    </w:rPr>
                  </w:pPr>
                  <w:r>
                    <w:rPr>
                      <w:rFonts w:hint="eastAsia" w:ascii="宋体" w:hAnsi="宋体" w:cs="宋体"/>
                      <w:sz w:val="24"/>
                      <w:szCs w:val="24"/>
                    </w:rPr>
                    <w:t>0.01%</w:t>
                  </w:r>
                </w:p>
              </w:tc>
            </w:tr>
          </w:tbl>
          <w:p w14:paraId="38AADC13">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14:paraId="52E49541">
            <w:pPr>
              <w:spacing w:line="360" w:lineRule="auto"/>
              <w:rPr>
                <w:rFonts w:ascii="宋体" w:hAnsi="宋体" w:cs="宋体"/>
                <w:sz w:val="24"/>
                <w:szCs w:val="24"/>
              </w:rPr>
            </w:pPr>
            <w:r>
              <w:rPr>
                <w:rFonts w:hint="eastAsia" w:ascii="宋体" w:hAnsi="宋体" w:cs="宋体"/>
                <w:sz w:val="24"/>
                <w:szCs w:val="24"/>
              </w:rPr>
              <w:t xml:space="preserve">100万元*1.5%=1.50万元 </w:t>
            </w:r>
          </w:p>
          <w:p w14:paraId="06E92CBE">
            <w:pPr>
              <w:spacing w:line="360" w:lineRule="auto"/>
              <w:rPr>
                <w:rFonts w:ascii="宋体" w:hAnsi="宋体" w:cs="宋体"/>
                <w:sz w:val="24"/>
                <w:szCs w:val="24"/>
              </w:rPr>
            </w:pPr>
            <w:r>
              <w:rPr>
                <w:rFonts w:hint="eastAsia" w:ascii="宋体" w:hAnsi="宋体" w:cs="宋体"/>
                <w:sz w:val="24"/>
                <w:szCs w:val="24"/>
              </w:rPr>
              <w:t>(500-100)*1.1%=4.40万元</w:t>
            </w:r>
          </w:p>
          <w:p w14:paraId="0BAEE32F">
            <w:pPr>
              <w:spacing w:line="360" w:lineRule="auto"/>
              <w:rPr>
                <w:rFonts w:ascii="宋体" w:hAnsi="宋体" w:cs="宋体"/>
                <w:sz w:val="24"/>
                <w:szCs w:val="24"/>
              </w:rPr>
            </w:pPr>
            <w:r>
              <w:rPr>
                <w:rFonts w:hint="eastAsia" w:ascii="宋体" w:hAnsi="宋体" w:cs="宋体"/>
                <w:sz w:val="24"/>
                <w:szCs w:val="24"/>
              </w:rPr>
              <w:t>(678.2-500)*0.8%=1.4256万元</w:t>
            </w:r>
          </w:p>
          <w:p w14:paraId="2961970F">
            <w:pPr>
              <w:spacing w:line="360" w:lineRule="auto"/>
              <w:rPr>
                <w:rFonts w:ascii="宋体" w:hAnsi="宋体" w:cs="宋体"/>
                <w:sz w:val="24"/>
                <w:szCs w:val="24"/>
              </w:rPr>
            </w:pPr>
            <w:r>
              <w:rPr>
                <w:rFonts w:hint="eastAsia" w:ascii="宋体" w:hAnsi="宋体" w:cs="宋体"/>
                <w:sz w:val="24"/>
                <w:szCs w:val="24"/>
              </w:rPr>
              <w:t>服务费=1.50+4.40+1.4256=7.3256万元。</w:t>
            </w:r>
          </w:p>
          <w:p w14:paraId="5422EAAB">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货物</w:t>
            </w:r>
            <w:r>
              <w:rPr>
                <w:rFonts w:hint="eastAsia" w:ascii="宋体" w:hAnsi="宋体" w:cs="宋体"/>
                <w:sz w:val="24"/>
                <w:szCs w:val="24"/>
              </w:rPr>
              <w:t>招标。</w:t>
            </w:r>
          </w:p>
        </w:tc>
      </w:tr>
      <w:tr w14:paraId="45E3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2" w:type="dxa"/>
            <w:noWrap w:val="0"/>
            <w:vAlign w:val="center"/>
          </w:tcPr>
          <w:p w14:paraId="455CD021">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14:paraId="06C4BE1D">
            <w:pPr>
              <w:spacing w:line="360" w:lineRule="auto"/>
              <w:rPr>
                <w:rFonts w:hint="eastAsia" w:ascii="宋体" w:hAnsi="宋体" w:eastAsia="宋体" w:cs="宋体"/>
                <w:sz w:val="24"/>
                <w:szCs w:val="24"/>
              </w:rPr>
            </w:pPr>
            <w:r>
              <w:rPr>
                <w:rFonts w:hint="eastAsia" w:ascii="宋体" w:hAnsi="宋体" w:eastAsia="宋体" w:cs="宋体"/>
                <w:sz w:val="24"/>
                <w:szCs w:val="24"/>
              </w:rPr>
              <w:t>谈判报价轮次：</w:t>
            </w:r>
          </w:p>
          <w:p w14:paraId="6A0E38B6">
            <w:pPr>
              <w:spacing w:line="360" w:lineRule="auto"/>
              <w:rPr>
                <w:rFonts w:hint="eastAsia" w:ascii="宋体" w:hAnsi="宋体" w:eastAsia="宋体" w:cs="宋体"/>
                <w:sz w:val="24"/>
                <w:szCs w:val="24"/>
              </w:rPr>
            </w:pPr>
            <w:r>
              <w:rPr>
                <w:rFonts w:hint="eastAsia" w:ascii="宋体" w:hAnsi="宋体" w:eastAsia="宋体" w:cs="宋体"/>
                <w:sz w:val="24"/>
                <w:szCs w:val="24"/>
              </w:rPr>
              <w:t>多轮（报价文件中报价为第一轮，谈判现场为第二轮）</w:t>
            </w:r>
          </w:p>
          <w:p w14:paraId="334CA42C">
            <w:pPr>
              <w:spacing w:line="360" w:lineRule="auto"/>
              <w:rPr>
                <w:rFonts w:hint="eastAsia" w:ascii="宋体" w:hAnsi="宋体" w:eastAsia="宋体" w:cs="宋体"/>
                <w:sz w:val="24"/>
                <w:szCs w:val="24"/>
              </w:rPr>
            </w:pPr>
            <w:r>
              <w:rPr>
                <w:rFonts w:hint="eastAsia" w:ascii="宋体" w:hAnsi="宋体" w:eastAsia="宋体" w:cs="宋体"/>
                <w:sz w:val="24"/>
                <w:szCs w:val="24"/>
              </w:rPr>
              <w:t>供应商保持在线直到评审结束</w:t>
            </w:r>
          </w:p>
          <w:p w14:paraId="3B34FE11">
            <w:pPr>
              <w:spacing w:line="360" w:lineRule="auto"/>
              <w:rPr>
                <w:rFonts w:hint="eastAsia" w:ascii="宋体" w:hAnsi="宋体" w:eastAsia="宋体" w:cs="宋体"/>
                <w:sz w:val="24"/>
                <w:szCs w:val="24"/>
              </w:rPr>
            </w:pPr>
            <w:r>
              <w:rPr>
                <w:rFonts w:hint="eastAsia" w:ascii="宋体" w:hAnsi="宋体" w:eastAsia="宋体" w:cs="宋体"/>
                <w:sz w:val="24"/>
                <w:szCs w:val="24"/>
              </w:rPr>
              <w:t>多轮（</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响应文件中报价为第一轮，</w:t>
            </w:r>
            <w:r>
              <w:rPr>
                <w:rFonts w:hint="eastAsia" w:ascii="宋体" w:hAnsi="宋体" w:eastAsia="宋体" w:cs="宋体"/>
                <w:sz w:val="24"/>
                <w:szCs w:val="24"/>
                <w:lang w:eastAsia="zh-CN"/>
              </w:rPr>
              <w:t>谈判</w:t>
            </w:r>
            <w:r>
              <w:rPr>
                <w:rFonts w:hint="eastAsia" w:ascii="宋体" w:hAnsi="宋体" w:eastAsia="宋体" w:cs="宋体"/>
                <w:sz w:val="24"/>
                <w:szCs w:val="24"/>
              </w:rPr>
              <w:t>不见面开标会议为第二轮）</w:t>
            </w:r>
          </w:p>
          <w:p w14:paraId="1F33CCD7">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不见面开标结束后，通过资格审查和符合性审查的供应商才有机会进入一对一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环节。依据财政部关于印发《政府采购竞争性</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采购方式管理暂行办法》第十九条规定，</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小组所有成员应当集中与单一供应商分别进行</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，并给予所有参加</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的供应商平等的</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机会。已提交响应文件的供应商，在提交最后报价之前，可以根据</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情况退出</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。具体</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流程如下:</w:t>
            </w:r>
          </w:p>
          <w:p w14:paraId="0396F68E">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将通过腾讯视频会议的方式进行，供应商应</w:t>
            </w:r>
            <w:r>
              <w:rPr>
                <w:rFonts w:hint="eastAsia" w:ascii="宋体" w:hAnsi="宋体" w:eastAsia="宋体" w:cs="宋体"/>
                <w:sz w:val="24"/>
                <w:szCs w:val="24"/>
                <w:lang w:val="en-US" w:eastAsia="zh-CN"/>
              </w:rPr>
              <w:t>提前</w:t>
            </w:r>
            <w:r>
              <w:rPr>
                <w:rFonts w:hint="eastAsia" w:ascii="宋体" w:hAnsi="宋体" w:eastAsia="宋体" w:cs="宋体"/>
                <w:sz w:val="24"/>
                <w:szCs w:val="24"/>
                <w:lang w:eastAsia="zh-CN"/>
              </w:rPr>
              <w:t>在手机或电脑终端上下载“腾讯会议”软件，</w:t>
            </w:r>
            <w:r>
              <w:rPr>
                <w:rFonts w:hint="eastAsia" w:ascii="宋体" w:hAnsi="宋体" w:eastAsia="宋体" w:cs="宋体"/>
                <w:sz w:val="24"/>
                <w:szCs w:val="24"/>
                <w:lang w:val="en-US" w:eastAsia="zh-CN"/>
              </w:rPr>
              <w:t>开标现场由代理机构通知进入并告知腾讯视频会议号及会议密码。</w:t>
            </w:r>
          </w:p>
          <w:p w14:paraId="3F8C6D57">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2.加入会议室的同时将各参与</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的人员姓名修改为“供应商简称”，</w:t>
            </w:r>
          </w:p>
          <w:p w14:paraId="3A8F5BDB">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.谈判结束后，将进行提交最终报价的环节，各供应商应及时关注全国公共资源交易平台(陕西省·榆林市)(http://y1.sxggzyjy.cn/)的网上报价情况，应当在谈判小组规定的时间内提交最终报价。</w:t>
            </w:r>
          </w:p>
          <w:p w14:paraId="22A1A0DD">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注:供应商未在规定时间内提交最终报价的将视为自动退出谈判，该供应商响应无效。</w:t>
            </w:r>
          </w:p>
        </w:tc>
      </w:tr>
      <w:tr w14:paraId="1181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14:paraId="45B634B0">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14:paraId="73832592">
            <w:pPr>
              <w:widowControl/>
              <w:spacing w:line="360" w:lineRule="auto"/>
              <w:jc w:val="left"/>
            </w:pPr>
            <w:r>
              <w:rPr>
                <w:rFonts w:hint="eastAsia" w:ascii="宋体" w:hAnsi="宋体" w:cs="宋体"/>
                <w:b/>
                <w:bCs/>
                <w:kern w:val="0"/>
                <w:sz w:val="24"/>
                <w:szCs w:val="24"/>
              </w:rPr>
              <w:t>特别提醒：本项目采用电子化投标的方式。</w:t>
            </w:r>
          </w:p>
          <w:p w14:paraId="026C686C">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14:paraId="0DADA100">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6AC40401">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69D4EAD1">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14:paraId="3F88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14:paraId="6F427203">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14:paraId="0B05EECB">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14:paraId="697A8B60">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7C828446">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04A139AF">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CC5E847">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7BFF0B17">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2FE06616">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098BB3B9">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5E490B47">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16840042">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9597A55">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3A06A92C">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6A2C1E4A">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2590DDAB">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7EA9E89D">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692C8ADB">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044EAE6D">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14:paraId="5042C3EA">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w:t>
            </w:r>
            <w:r>
              <w:rPr>
                <w:rFonts w:hint="eastAsia" w:ascii="宋体" w:hAnsi="宋体" w:cs="宋体"/>
                <w:b/>
                <w:bCs/>
                <w:color w:val="auto"/>
                <w:sz w:val="24"/>
                <w:szCs w:val="24"/>
                <w:lang w:val="en-US" w:eastAsia="zh-CN"/>
              </w:rPr>
              <w:t>工业</w:t>
            </w:r>
          </w:p>
        </w:tc>
      </w:tr>
      <w:bookmarkEnd w:id="7"/>
      <w:bookmarkEnd w:id="12"/>
      <w:bookmarkEnd w:id="13"/>
      <w:bookmarkEnd w:id="14"/>
      <w:bookmarkEnd w:id="15"/>
    </w:tbl>
    <w:p w14:paraId="69F20A97">
      <w:pPr>
        <w:pStyle w:val="3"/>
        <w:spacing w:line="240" w:lineRule="auto"/>
        <w:jc w:val="center"/>
        <w:rPr>
          <w:rFonts w:ascii="宋体" w:hAnsi="宋体" w:cs="宋体"/>
          <w:sz w:val="36"/>
          <w:szCs w:val="36"/>
        </w:rPr>
      </w:pPr>
      <w:bookmarkStart w:id="21" w:name="_Toc246928894"/>
      <w:bookmarkStart w:id="22" w:name="_Toc16531"/>
      <w:bookmarkStart w:id="23" w:name="_Toc17129"/>
      <w:bookmarkStart w:id="24" w:name="_Toc12300"/>
      <w:bookmarkStart w:id="25" w:name="_Toc8259"/>
      <w:bookmarkStart w:id="26" w:name="_Toc23139"/>
      <w:bookmarkStart w:id="27" w:name="_Toc465958087"/>
      <w:bookmarkStart w:id="28" w:name="_Toc4754"/>
      <w:bookmarkStart w:id="29" w:name="_Toc30436"/>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14:paraId="65CB32F0">
      <w:pPr>
        <w:pStyle w:val="4"/>
        <w:spacing w:line="240" w:lineRule="auto"/>
        <w:rPr>
          <w:rFonts w:ascii="宋体" w:hAnsi="宋体" w:eastAsia="宋体" w:cs="宋体"/>
          <w:sz w:val="36"/>
          <w:szCs w:val="24"/>
        </w:rPr>
      </w:pPr>
      <w:bookmarkStart w:id="30" w:name="_Toc465958088"/>
      <w:bookmarkStart w:id="31" w:name="_Toc23623"/>
      <w:bookmarkStart w:id="32" w:name="_Toc246928895"/>
      <w:bookmarkStart w:id="33" w:name="_Toc31058"/>
      <w:bookmarkStart w:id="34" w:name="_Toc30345"/>
      <w:bookmarkStart w:id="35" w:name="_Toc32198"/>
      <w:r>
        <w:rPr>
          <w:rFonts w:hint="eastAsia" w:ascii="宋体" w:hAnsi="宋体" w:eastAsia="宋体" w:cs="宋体"/>
          <w:sz w:val="36"/>
          <w:szCs w:val="24"/>
        </w:rPr>
        <w:t>A 总则</w:t>
      </w:r>
      <w:bookmarkEnd w:id="30"/>
      <w:bookmarkEnd w:id="31"/>
      <w:bookmarkEnd w:id="32"/>
      <w:bookmarkEnd w:id="33"/>
      <w:bookmarkEnd w:id="34"/>
      <w:bookmarkEnd w:id="35"/>
    </w:p>
    <w:p w14:paraId="7E23DC14">
      <w:pPr>
        <w:pStyle w:val="5"/>
        <w:spacing w:beforeLines="50" w:afterLines="50"/>
        <w:rPr>
          <w:rFonts w:ascii="宋体" w:hAnsi="宋体" w:cs="宋体"/>
          <w:szCs w:val="24"/>
        </w:rPr>
      </w:pPr>
      <w:bookmarkStart w:id="36" w:name="_Toc465958089"/>
      <w:bookmarkStart w:id="37" w:name="_Toc7587"/>
      <w:bookmarkStart w:id="38" w:name="_Toc31417"/>
      <w:bookmarkStart w:id="39" w:name="_Toc21639"/>
      <w:bookmarkStart w:id="40" w:name="_Toc13194"/>
      <w:bookmarkStart w:id="41" w:name="_Toc4811"/>
      <w:bookmarkStart w:id="42" w:name="_Toc246928896"/>
      <w:r>
        <w:rPr>
          <w:rFonts w:hint="eastAsia" w:ascii="宋体" w:hAnsi="宋体" w:cs="宋体"/>
          <w:szCs w:val="24"/>
        </w:rPr>
        <w:t>1 适用范围</w:t>
      </w:r>
      <w:bookmarkEnd w:id="36"/>
      <w:bookmarkEnd w:id="37"/>
      <w:bookmarkEnd w:id="38"/>
      <w:bookmarkEnd w:id="39"/>
      <w:bookmarkEnd w:id="40"/>
      <w:bookmarkEnd w:id="41"/>
      <w:bookmarkEnd w:id="42"/>
    </w:p>
    <w:p w14:paraId="7567C8C5">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4B29FB0C">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1366F148">
      <w:pPr>
        <w:pStyle w:val="5"/>
        <w:spacing w:beforeLines="50" w:afterLines="50" w:line="360" w:lineRule="auto"/>
        <w:rPr>
          <w:rFonts w:ascii="宋体" w:hAnsi="宋体" w:cs="宋体"/>
          <w:szCs w:val="24"/>
        </w:rPr>
      </w:pPr>
      <w:bookmarkStart w:id="43" w:name="_Toc28727"/>
      <w:bookmarkStart w:id="44" w:name="_Toc31636"/>
      <w:bookmarkStart w:id="45" w:name="_Toc6698"/>
      <w:bookmarkStart w:id="46" w:name="_Toc9614"/>
      <w:bookmarkStart w:id="47" w:name="_Toc18894"/>
      <w:bookmarkStart w:id="48" w:name="_Toc246928897"/>
      <w:bookmarkStart w:id="49" w:name="_Toc465958090"/>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14:paraId="7235F813">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神木市职业技术教育中心</w:t>
      </w:r>
      <w:r>
        <w:rPr>
          <w:rFonts w:hint="eastAsia" w:ascii="宋体" w:hAnsi="宋体" w:cs="宋体"/>
          <w:sz w:val="24"/>
          <w:szCs w:val="24"/>
        </w:rPr>
        <w:t>。</w:t>
      </w:r>
    </w:p>
    <w:p w14:paraId="45A00D6C">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榆林市恒易达工程项目管理有限公司</w:t>
      </w:r>
      <w:r>
        <w:rPr>
          <w:rFonts w:hint="eastAsia" w:ascii="宋体" w:hAnsi="宋体" w:cs="宋体"/>
          <w:sz w:val="24"/>
          <w:szCs w:val="24"/>
        </w:rPr>
        <w:t>。</w:t>
      </w:r>
    </w:p>
    <w:p w14:paraId="70BDAA69">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31BDF8B8">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14:paraId="197F0B1A">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14:paraId="184A8706">
      <w:pPr>
        <w:pStyle w:val="5"/>
        <w:spacing w:beforeLines="50" w:afterLines="50" w:line="360" w:lineRule="auto"/>
        <w:rPr>
          <w:rFonts w:ascii="宋体" w:hAnsi="宋体" w:cs="宋体"/>
          <w:szCs w:val="24"/>
        </w:rPr>
      </w:pPr>
      <w:bookmarkStart w:id="51" w:name="_Toc16727"/>
      <w:bookmarkStart w:id="52" w:name="_Toc20739"/>
      <w:bookmarkStart w:id="53" w:name="_Toc19646"/>
      <w:bookmarkStart w:id="54" w:name="_Toc465958091"/>
      <w:bookmarkStart w:id="55" w:name="_Toc27989"/>
      <w:bookmarkStart w:id="56" w:name="_Toc26952"/>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14:paraId="51C2BEC0">
      <w:pPr>
        <w:wordWrap w:val="0"/>
        <w:topLinePunct/>
        <w:spacing w:line="360" w:lineRule="auto"/>
        <w:jc w:val="left"/>
        <w:rPr>
          <w:rFonts w:ascii="宋体" w:hAnsi="宋体"/>
          <w:sz w:val="24"/>
        </w:rPr>
      </w:pPr>
      <w:bookmarkStart w:id="57" w:name="_Toc18683"/>
      <w:bookmarkStart w:id="58" w:name="_Toc465958092"/>
      <w:bookmarkStart w:id="59" w:name="_Toc21286"/>
      <w:bookmarkStart w:id="60" w:name="_Toc3389"/>
      <w:bookmarkStart w:id="61" w:name="_Toc9563"/>
      <w:bookmarkStart w:id="62" w:name="_Toc246928899"/>
      <w:bookmarkStart w:id="63" w:name="_Toc18171"/>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6F16FAE0">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21112BBF">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0792BBBC">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14:paraId="38CD14AC">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14:paraId="1FC2A6D7">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14:paraId="26A50AFC">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14:paraId="5C50FA44">
      <w:pPr>
        <w:pStyle w:val="5"/>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14:paraId="79FA89DD">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1F4DBD58">
      <w:pPr>
        <w:pStyle w:val="4"/>
        <w:rPr>
          <w:rFonts w:ascii="宋体" w:hAnsi="宋体" w:eastAsia="宋体" w:cs="宋体"/>
          <w:sz w:val="44"/>
        </w:rPr>
      </w:pPr>
      <w:bookmarkStart w:id="64" w:name="_Toc246928900"/>
      <w:bookmarkStart w:id="65" w:name="_Toc3331"/>
      <w:bookmarkStart w:id="66" w:name="_Toc26140"/>
      <w:bookmarkStart w:id="67" w:name="_Toc1383"/>
      <w:bookmarkStart w:id="68" w:name="_Toc24227"/>
      <w:bookmarkStart w:id="69" w:name="_Toc465958093"/>
      <w:r>
        <w:rPr>
          <w:rFonts w:hint="eastAsia" w:ascii="宋体" w:hAnsi="宋体" w:eastAsia="宋体" w:cs="宋体"/>
          <w:sz w:val="44"/>
        </w:rPr>
        <w:t>B 竞争性谈判文件说明</w:t>
      </w:r>
      <w:bookmarkEnd w:id="64"/>
      <w:bookmarkEnd w:id="65"/>
      <w:bookmarkEnd w:id="66"/>
      <w:bookmarkEnd w:id="67"/>
      <w:bookmarkEnd w:id="68"/>
      <w:bookmarkEnd w:id="69"/>
    </w:p>
    <w:p w14:paraId="2CB85AE3">
      <w:pPr>
        <w:pStyle w:val="5"/>
        <w:spacing w:line="360" w:lineRule="auto"/>
        <w:rPr>
          <w:rFonts w:ascii="宋体" w:hAnsi="宋体" w:cs="宋体"/>
        </w:rPr>
      </w:pPr>
      <w:bookmarkStart w:id="70" w:name="_Toc7327"/>
      <w:bookmarkStart w:id="71" w:name="_Toc15639"/>
      <w:bookmarkStart w:id="72" w:name="_Toc6287"/>
      <w:bookmarkStart w:id="73" w:name="_Toc21132"/>
      <w:bookmarkStart w:id="74" w:name="_Toc465958094"/>
      <w:bookmarkStart w:id="75" w:name="_Toc246928901"/>
      <w:bookmarkStart w:id="76" w:name="_Toc16142"/>
      <w:r>
        <w:rPr>
          <w:rFonts w:hint="eastAsia" w:ascii="宋体" w:hAnsi="宋体" w:cs="宋体"/>
        </w:rPr>
        <w:t>5 竞争性谈判文件的构成</w:t>
      </w:r>
      <w:bookmarkEnd w:id="70"/>
      <w:bookmarkEnd w:id="71"/>
      <w:bookmarkEnd w:id="72"/>
      <w:bookmarkEnd w:id="73"/>
      <w:bookmarkEnd w:id="74"/>
      <w:bookmarkEnd w:id="75"/>
      <w:bookmarkEnd w:id="76"/>
    </w:p>
    <w:p w14:paraId="67781336">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359D15D1">
      <w:pPr>
        <w:spacing w:line="360" w:lineRule="auto"/>
        <w:rPr>
          <w:rFonts w:ascii="宋体" w:hAnsi="宋体" w:cs="宋体"/>
          <w:sz w:val="24"/>
        </w:rPr>
      </w:pPr>
      <w:r>
        <w:rPr>
          <w:rFonts w:hint="eastAsia" w:ascii="宋体" w:hAnsi="宋体" w:cs="宋体"/>
          <w:sz w:val="24"/>
        </w:rPr>
        <w:t>5.1.1 竞争性谈判公告；</w:t>
      </w:r>
    </w:p>
    <w:p w14:paraId="04EE2242">
      <w:pPr>
        <w:spacing w:line="360" w:lineRule="auto"/>
        <w:rPr>
          <w:rFonts w:ascii="宋体" w:hAnsi="宋体" w:cs="宋体"/>
          <w:sz w:val="24"/>
        </w:rPr>
      </w:pPr>
      <w:r>
        <w:rPr>
          <w:rFonts w:hint="eastAsia" w:ascii="宋体" w:hAnsi="宋体" w:cs="宋体"/>
          <w:sz w:val="24"/>
        </w:rPr>
        <w:t>5.1.2 供应商须知前附表；</w:t>
      </w:r>
    </w:p>
    <w:p w14:paraId="28E0D224">
      <w:pPr>
        <w:spacing w:line="360" w:lineRule="auto"/>
        <w:rPr>
          <w:rFonts w:ascii="宋体" w:hAnsi="宋体" w:cs="宋体"/>
          <w:sz w:val="24"/>
        </w:rPr>
      </w:pPr>
      <w:r>
        <w:rPr>
          <w:rFonts w:hint="eastAsia" w:ascii="宋体" w:hAnsi="宋体" w:cs="宋体"/>
          <w:sz w:val="24"/>
        </w:rPr>
        <w:t>5.1.3 供应商须知；</w:t>
      </w:r>
    </w:p>
    <w:p w14:paraId="7461F44E">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5E24EFD8">
      <w:pPr>
        <w:spacing w:line="360" w:lineRule="auto"/>
        <w:rPr>
          <w:rFonts w:ascii="宋体" w:hAnsi="宋体" w:cs="宋体"/>
          <w:sz w:val="24"/>
        </w:rPr>
      </w:pPr>
      <w:r>
        <w:rPr>
          <w:rFonts w:hint="eastAsia" w:ascii="宋体" w:hAnsi="宋体" w:cs="宋体"/>
          <w:sz w:val="24"/>
        </w:rPr>
        <w:t>5.1.5 商务要求；</w:t>
      </w:r>
    </w:p>
    <w:p w14:paraId="02E8DC8C">
      <w:pPr>
        <w:spacing w:line="360" w:lineRule="auto"/>
        <w:rPr>
          <w:rFonts w:ascii="宋体" w:hAnsi="宋体" w:cs="宋体"/>
          <w:sz w:val="24"/>
        </w:rPr>
      </w:pPr>
      <w:r>
        <w:rPr>
          <w:rFonts w:hint="eastAsia" w:ascii="宋体" w:hAnsi="宋体" w:cs="宋体"/>
          <w:sz w:val="24"/>
        </w:rPr>
        <w:t xml:space="preserve">5.1.6 采购内容及要求； </w:t>
      </w:r>
    </w:p>
    <w:p w14:paraId="17BA725F">
      <w:pPr>
        <w:pStyle w:val="14"/>
        <w:spacing w:line="360" w:lineRule="auto"/>
        <w:rPr>
          <w:rFonts w:ascii="宋体" w:hAnsi="宋体" w:cs="宋体"/>
          <w:sz w:val="24"/>
        </w:rPr>
      </w:pPr>
      <w:r>
        <w:rPr>
          <w:rFonts w:hint="eastAsia" w:ascii="宋体" w:hAnsi="宋体" w:cs="宋体"/>
          <w:sz w:val="24"/>
        </w:rPr>
        <w:t>5.1.7 评审方法；</w:t>
      </w:r>
    </w:p>
    <w:p w14:paraId="2F256786">
      <w:pPr>
        <w:pStyle w:val="14"/>
        <w:spacing w:line="360" w:lineRule="auto"/>
        <w:rPr>
          <w:rFonts w:ascii="宋体" w:hAnsi="宋体" w:cs="宋体"/>
          <w:sz w:val="24"/>
        </w:rPr>
      </w:pPr>
      <w:r>
        <w:rPr>
          <w:rFonts w:hint="eastAsia" w:ascii="宋体" w:hAnsi="宋体" w:cs="宋体"/>
          <w:sz w:val="24"/>
        </w:rPr>
        <w:t>5.1.8竞争性谈判响应文件格式</w:t>
      </w:r>
    </w:p>
    <w:p w14:paraId="60FB981A">
      <w:pPr>
        <w:pStyle w:val="14"/>
        <w:spacing w:line="360" w:lineRule="auto"/>
        <w:rPr>
          <w:rFonts w:ascii="宋体" w:hAnsi="宋体" w:cs="宋体"/>
          <w:sz w:val="24"/>
        </w:rPr>
      </w:pPr>
      <w:r>
        <w:rPr>
          <w:rFonts w:hint="eastAsia" w:ascii="宋体" w:hAnsi="宋体" w:cs="宋体"/>
          <w:sz w:val="24"/>
        </w:rPr>
        <w:t>5.1.9封袋正面标识式样</w:t>
      </w:r>
    </w:p>
    <w:p w14:paraId="25044B49">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5CEAE6D5">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4EB36556">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6B5089EF">
      <w:pPr>
        <w:pStyle w:val="18"/>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14:paraId="298C58F2">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14:paraId="5EB48413">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14:paraId="2FB46688">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14:paraId="6BE9D838">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0D3304AD">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14:paraId="4118CC63">
      <w:pPr>
        <w:pStyle w:val="9"/>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14:paraId="5298DD9F">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14:paraId="2C9B4226">
      <w:pPr>
        <w:pStyle w:val="9"/>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14:paraId="4AB5A32B">
      <w:pPr>
        <w:spacing w:line="360" w:lineRule="auto"/>
        <w:ind w:firstLine="480" w:firstLineChars="200"/>
        <w:rPr>
          <w:rFonts w:hint="eastAsia" w:ascii="宋体" w:hAnsi="宋体" w:eastAsia="宋体" w:cs="宋体"/>
          <w:sz w:val="24"/>
          <w:szCs w:val="24"/>
        </w:rPr>
      </w:pPr>
      <w:r>
        <w:rPr>
          <w:rFonts w:hint="eastAsia" w:ascii="宋体" w:hAnsi="宋体" w:cs="仿宋_GB2312"/>
          <w:kern w:val="0"/>
          <w:sz w:val="24"/>
          <w:szCs w:val="24"/>
        </w:rPr>
        <w:t>5.4.10</w:t>
      </w: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1"/>
        <w:tblpPr w:leftFromText="180" w:rightFromText="180" w:vertAnchor="page" w:horzAnchor="page" w:tblpX="1863" w:tblpY="3026"/>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4B214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2FED0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4BC7D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75A96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0255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750C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5B05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79DF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8777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1AD1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8724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0F934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190C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C759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E1A8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B2D3A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2F92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B2FE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5582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3C8B7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44A5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137CC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2ABA5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6F2F1E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258F8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D4883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3572E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9404A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BB2F7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3930E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A0B07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703E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77B8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0837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3BD9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F9BA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2E78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4A63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02480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65A5C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FBAB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60D7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779F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BC53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F815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87AB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2458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405E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5D541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B9A4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CFA4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D67E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1FC7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42DD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C68F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35C8E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1757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75388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40C2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6EBE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8004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593B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6749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E51EF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039C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38FB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ECCCC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0187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4BAA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4CAC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B7D4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3252CE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DE6D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5F0B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1E612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7AC0B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8A63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8BA4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5803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A48A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6F37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ED0F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41D3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1E128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D2D90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BD29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666A2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99A1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39AC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E95D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42D2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653F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5FC94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44164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57D6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1977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0497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CD1A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B012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2902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B4F3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1E909847">
      <w:pPr>
        <w:adjustRightInd w:val="0"/>
        <w:snapToGrid w:val="0"/>
        <w:spacing w:line="360" w:lineRule="auto"/>
        <w:rPr>
          <w:rFonts w:ascii="宋体" w:hAnsi="宋体" w:cs="宋体"/>
          <w:bCs/>
          <w:kern w:val="0"/>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p w14:paraId="10F2BB55">
      <w:pPr>
        <w:pStyle w:val="5"/>
        <w:spacing w:line="360" w:lineRule="auto"/>
        <w:rPr>
          <w:rFonts w:ascii="宋体" w:hAnsi="宋体" w:cs="宋体"/>
        </w:rPr>
      </w:pPr>
      <w:bookmarkStart w:id="77" w:name="_Toc29090"/>
      <w:bookmarkStart w:id="78" w:name="_Toc2275"/>
      <w:bookmarkStart w:id="79" w:name="_Toc7858"/>
      <w:bookmarkStart w:id="80" w:name="_Toc246928902"/>
      <w:bookmarkStart w:id="81" w:name="_Toc9452"/>
      <w:bookmarkStart w:id="82" w:name="_Toc465958095"/>
      <w:bookmarkStart w:id="83" w:name="_Toc32248"/>
      <w:r>
        <w:rPr>
          <w:rFonts w:hint="eastAsia" w:ascii="宋体" w:hAnsi="宋体" w:cs="宋体"/>
        </w:rPr>
        <w:t>6 竞争性谈判文件的澄清</w:t>
      </w:r>
      <w:bookmarkEnd w:id="77"/>
      <w:bookmarkEnd w:id="78"/>
      <w:bookmarkEnd w:id="79"/>
      <w:bookmarkEnd w:id="80"/>
      <w:bookmarkEnd w:id="81"/>
      <w:bookmarkEnd w:id="82"/>
      <w:bookmarkEnd w:id="83"/>
    </w:p>
    <w:p w14:paraId="58876D50">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59B19D5A">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14:paraId="505ACE6D">
      <w:pPr>
        <w:spacing w:line="360" w:lineRule="auto"/>
        <w:rPr>
          <w:rFonts w:ascii="宋体" w:hAnsi="宋体" w:cs="宋体"/>
          <w:sz w:val="24"/>
        </w:rPr>
      </w:pPr>
      <w:r>
        <w:rPr>
          <w:rFonts w:hint="eastAsia" w:ascii="宋体" w:hAnsi="宋体" w:cs="宋体"/>
          <w:sz w:val="24"/>
        </w:rPr>
        <w:t>6.3 该澄清的内容为竞争性谈判文件的组成部分。</w:t>
      </w:r>
    </w:p>
    <w:p w14:paraId="0BC49D21">
      <w:pPr>
        <w:pStyle w:val="5"/>
        <w:spacing w:line="360" w:lineRule="auto"/>
        <w:rPr>
          <w:rFonts w:ascii="宋体" w:hAnsi="宋体" w:cs="宋体"/>
        </w:rPr>
      </w:pPr>
      <w:bookmarkStart w:id="84" w:name="_Toc30004"/>
      <w:bookmarkStart w:id="85" w:name="_Toc29244"/>
      <w:bookmarkStart w:id="86" w:name="_Toc25100"/>
      <w:bookmarkStart w:id="87" w:name="_Toc465958096"/>
      <w:bookmarkStart w:id="88" w:name="_Toc28323"/>
      <w:bookmarkStart w:id="89" w:name="_Toc11107"/>
      <w:bookmarkStart w:id="90" w:name="_Toc246928903"/>
      <w:r>
        <w:rPr>
          <w:rFonts w:hint="eastAsia" w:ascii="宋体" w:hAnsi="宋体" w:cs="宋体"/>
        </w:rPr>
        <w:t>7 竞争性谈判文件的修改</w:t>
      </w:r>
      <w:bookmarkEnd w:id="84"/>
      <w:bookmarkEnd w:id="85"/>
      <w:bookmarkEnd w:id="86"/>
      <w:bookmarkEnd w:id="87"/>
      <w:bookmarkEnd w:id="88"/>
      <w:bookmarkEnd w:id="89"/>
      <w:bookmarkEnd w:id="90"/>
    </w:p>
    <w:p w14:paraId="2B00B844">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14:paraId="33F03E70">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14:paraId="124BDB53">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6DFDADA9">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14:paraId="5A1DB914">
      <w:pPr>
        <w:pStyle w:val="5"/>
        <w:rPr>
          <w:rFonts w:ascii="宋体" w:hAnsi="宋体" w:cs="宋体"/>
          <w:szCs w:val="24"/>
        </w:rPr>
      </w:pPr>
      <w:r>
        <w:rPr>
          <w:rFonts w:hint="eastAsia" w:ascii="宋体" w:hAnsi="宋体" w:cs="宋体"/>
        </w:rPr>
        <w:t>8 竞争性谈判文件的获取</w:t>
      </w:r>
    </w:p>
    <w:p w14:paraId="4BA71CDD">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14:paraId="77D4ABC4">
      <w:pPr>
        <w:pStyle w:val="5"/>
        <w:rPr>
          <w:rFonts w:ascii="宋体" w:hAnsi="宋体" w:cs="宋体"/>
          <w:sz w:val="24"/>
          <w:szCs w:val="24"/>
        </w:rPr>
      </w:pPr>
      <w:r>
        <w:rPr>
          <w:rFonts w:hint="eastAsia" w:ascii="宋体" w:hAnsi="宋体" w:cs="宋体"/>
        </w:rPr>
        <w:t>9 解释权归属</w:t>
      </w:r>
    </w:p>
    <w:p w14:paraId="410F259E">
      <w:pPr>
        <w:spacing w:line="360" w:lineRule="auto"/>
        <w:ind w:firstLine="566" w:firstLineChars="236"/>
      </w:pPr>
      <w:r>
        <w:rPr>
          <w:rFonts w:hint="eastAsia" w:ascii="宋体" w:hAnsi="宋体" w:cs="宋体"/>
          <w:sz w:val="24"/>
          <w:szCs w:val="24"/>
        </w:rPr>
        <w:t xml:space="preserve">本次竞争性谈判文件的解释权归采购代理机构。 </w:t>
      </w:r>
    </w:p>
    <w:p w14:paraId="64C02EC8">
      <w:pPr>
        <w:pStyle w:val="4"/>
        <w:rPr>
          <w:rFonts w:ascii="宋体" w:hAnsi="宋体" w:eastAsia="宋体" w:cs="宋体"/>
          <w:sz w:val="36"/>
        </w:rPr>
      </w:pPr>
      <w:bookmarkStart w:id="91" w:name="_Toc28020"/>
      <w:bookmarkStart w:id="92" w:name="_Toc465958097"/>
      <w:bookmarkStart w:id="93" w:name="_Toc19669"/>
      <w:bookmarkStart w:id="94" w:name="_Toc585"/>
      <w:bookmarkStart w:id="95" w:name="_Toc30520"/>
      <w:bookmarkStart w:id="96" w:name="_Toc246928904"/>
      <w:r>
        <w:rPr>
          <w:rFonts w:hint="eastAsia" w:ascii="宋体" w:hAnsi="宋体" w:eastAsia="宋体" w:cs="宋体"/>
          <w:sz w:val="36"/>
        </w:rPr>
        <w:t>C 竞争性谈判响应文件的编写</w:t>
      </w:r>
      <w:bookmarkEnd w:id="91"/>
      <w:bookmarkEnd w:id="92"/>
      <w:bookmarkEnd w:id="93"/>
      <w:bookmarkEnd w:id="94"/>
      <w:bookmarkEnd w:id="95"/>
      <w:bookmarkEnd w:id="96"/>
    </w:p>
    <w:p w14:paraId="45D8F8C7">
      <w:pPr>
        <w:pStyle w:val="5"/>
        <w:spacing w:line="360" w:lineRule="auto"/>
        <w:rPr>
          <w:rFonts w:ascii="宋体" w:hAnsi="宋体" w:cs="宋体"/>
        </w:rPr>
      </w:pPr>
      <w:bookmarkStart w:id="97" w:name="_Toc246928905"/>
      <w:bookmarkStart w:id="98" w:name="_Toc465958098"/>
      <w:bookmarkStart w:id="99" w:name="_Toc3361"/>
      <w:bookmarkStart w:id="100" w:name="_Toc32164"/>
      <w:bookmarkStart w:id="101" w:name="_Toc25916"/>
      <w:bookmarkStart w:id="102" w:name="_Toc20725"/>
      <w:bookmarkStart w:id="103" w:name="_Toc25855"/>
      <w:r>
        <w:rPr>
          <w:rFonts w:hint="eastAsia" w:ascii="宋体" w:hAnsi="宋体" w:cs="宋体"/>
        </w:rPr>
        <w:t>10 谈判语言</w:t>
      </w:r>
      <w:bookmarkEnd w:id="97"/>
      <w:bookmarkEnd w:id="98"/>
      <w:bookmarkEnd w:id="99"/>
      <w:bookmarkEnd w:id="100"/>
      <w:bookmarkEnd w:id="101"/>
      <w:bookmarkEnd w:id="102"/>
      <w:bookmarkEnd w:id="103"/>
    </w:p>
    <w:p w14:paraId="45406A9F">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14:paraId="2B00B740">
      <w:pPr>
        <w:pStyle w:val="5"/>
        <w:spacing w:line="360" w:lineRule="auto"/>
        <w:rPr>
          <w:rFonts w:ascii="宋体" w:hAnsi="宋体" w:cs="宋体"/>
        </w:rPr>
      </w:pPr>
      <w:bookmarkStart w:id="104" w:name="_Toc26252"/>
      <w:bookmarkStart w:id="105" w:name="_Toc246928906"/>
      <w:bookmarkStart w:id="106" w:name="_Toc14629"/>
      <w:bookmarkStart w:id="107" w:name="_Toc30244"/>
      <w:bookmarkStart w:id="108" w:name="_Toc465958099"/>
      <w:bookmarkStart w:id="109" w:name="_Toc12423"/>
      <w:bookmarkStart w:id="110" w:name="_Toc6421"/>
      <w:r>
        <w:rPr>
          <w:rFonts w:hint="eastAsia" w:ascii="宋体" w:hAnsi="宋体" w:cs="宋体"/>
        </w:rPr>
        <w:t>11 计量单位</w:t>
      </w:r>
      <w:bookmarkEnd w:id="104"/>
      <w:bookmarkEnd w:id="105"/>
      <w:bookmarkEnd w:id="106"/>
      <w:bookmarkEnd w:id="107"/>
      <w:bookmarkEnd w:id="108"/>
      <w:bookmarkEnd w:id="109"/>
      <w:bookmarkEnd w:id="110"/>
    </w:p>
    <w:p w14:paraId="3518F9E4">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07BCF927">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02BEDB54">
      <w:pPr>
        <w:pStyle w:val="5"/>
        <w:spacing w:line="360" w:lineRule="auto"/>
        <w:rPr>
          <w:rFonts w:ascii="宋体" w:hAnsi="宋体" w:cs="宋体"/>
        </w:rPr>
      </w:pPr>
      <w:bookmarkStart w:id="111" w:name="_Toc3415"/>
      <w:bookmarkStart w:id="112" w:name="_Toc246928907"/>
      <w:bookmarkStart w:id="113" w:name="_Toc13655"/>
      <w:bookmarkStart w:id="114" w:name="_Toc1098"/>
      <w:bookmarkStart w:id="115" w:name="_Toc26388"/>
      <w:bookmarkStart w:id="116" w:name="_Toc27123"/>
      <w:bookmarkStart w:id="117" w:name="_Toc465958100"/>
      <w:r>
        <w:rPr>
          <w:rFonts w:hint="eastAsia" w:ascii="宋体" w:hAnsi="宋体" w:cs="宋体"/>
        </w:rPr>
        <w:t>12 竞争性谈判响应文件的构成</w:t>
      </w:r>
      <w:bookmarkEnd w:id="111"/>
      <w:bookmarkEnd w:id="112"/>
      <w:bookmarkEnd w:id="113"/>
      <w:bookmarkEnd w:id="114"/>
      <w:bookmarkEnd w:id="115"/>
      <w:bookmarkEnd w:id="116"/>
      <w:bookmarkEnd w:id="117"/>
    </w:p>
    <w:p w14:paraId="0F0C36B1">
      <w:pPr>
        <w:spacing w:line="360" w:lineRule="auto"/>
        <w:rPr>
          <w:rFonts w:ascii="宋体" w:hAnsi="宋体" w:cs="宋体"/>
          <w:sz w:val="24"/>
        </w:rPr>
      </w:pPr>
      <w:r>
        <w:rPr>
          <w:rFonts w:hint="eastAsia" w:ascii="宋体" w:hAnsi="宋体" w:cs="宋体"/>
          <w:sz w:val="24"/>
        </w:rPr>
        <w:t>12.1 供应商编写的竞争性谈判响应文件应包括下列部分：</w:t>
      </w:r>
    </w:p>
    <w:p w14:paraId="103139CE">
      <w:pPr>
        <w:spacing w:line="360" w:lineRule="auto"/>
        <w:rPr>
          <w:rFonts w:ascii="宋体" w:hAnsi="宋体" w:cs="宋体"/>
          <w:sz w:val="24"/>
        </w:rPr>
      </w:pPr>
      <w:r>
        <w:rPr>
          <w:rFonts w:hint="eastAsia" w:ascii="宋体" w:hAnsi="宋体" w:cs="宋体"/>
          <w:sz w:val="24"/>
        </w:rPr>
        <w:t>12.1.1 响应函（格式）；</w:t>
      </w:r>
    </w:p>
    <w:p w14:paraId="0D630432">
      <w:pPr>
        <w:spacing w:line="360" w:lineRule="auto"/>
        <w:rPr>
          <w:rFonts w:ascii="宋体" w:hAnsi="宋体" w:cs="宋体"/>
          <w:sz w:val="24"/>
        </w:rPr>
      </w:pPr>
      <w:r>
        <w:rPr>
          <w:rFonts w:hint="eastAsia" w:ascii="宋体" w:hAnsi="宋体" w:cs="宋体"/>
          <w:sz w:val="24"/>
        </w:rPr>
        <w:t>12.1.2 第一次谈判报价表；</w:t>
      </w:r>
    </w:p>
    <w:p w14:paraId="04CF603E">
      <w:pPr>
        <w:pStyle w:val="14"/>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14:paraId="28C5E649">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0ABD70DC">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14:paraId="20C21363">
      <w:pPr>
        <w:pStyle w:val="5"/>
        <w:spacing w:line="360" w:lineRule="auto"/>
        <w:rPr>
          <w:rFonts w:ascii="宋体" w:hAnsi="宋体" w:cs="宋体"/>
        </w:rPr>
      </w:pPr>
      <w:bookmarkStart w:id="118" w:name="_Toc11558"/>
      <w:bookmarkStart w:id="119" w:name="_Toc465958101"/>
      <w:bookmarkStart w:id="120" w:name="_Toc246928909"/>
      <w:bookmarkStart w:id="121" w:name="_Toc285"/>
      <w:bookmarkStart w:id="122" w:name="_Toc23839"/>
      <w:bookmarkStart w:id="123" w:name="_Toc27931"/>
      <w:bookmarkStart w:id="124" w:name="_Toc7488"/>
      <w:r>
        <w:rPr>
          <w:rFonts w:hint="eastAsia" w:ascii="宋体" w:hAnsi="宋体" w:cs="宋体"/>
        </w:rPr>
        <w:t>13 谈判报价</w:t>
      </w:r>
      <w:bookmarkEnd w:id="118"/>
      <w:bookmarkEnd w:id="119"/>
      <w:bookmarkEnd w:id="120"/>
      <w:bookmarkEnd w:id="121"/>
      <w:bookmarkEnd w:id="122"/>
      <w:bookmarkEnd w:id="123"/>
      <w:bookmarkEnd w:id="124"/>
    </w:p>
    <w:p w14:paraId="4DEE61DC">
      <w:pPr>
        <w:spacing w:line="360" w:lineRule="auto"/>
        <w:rPr>
          <w:rFonts w:ascii="宋体" w:hAnsi="宋体" w:cs="宋体"/>
          <w:sz w:val="24"/>
        </w:rPr>
      </w:pPr>
      <w:r>
        <w:rPr>
          <w:rFonts w:hint="eastAsia" w:ascii="宋体" w:hAnsi="宋体" w:cs="宋体"/>
          <w:sz w:val="24"/>
        </w:rPr>
        <w:t>13.1 所有谈判均以人民币报价。</w:t>
      </w:r>
    </w:p>
    <w:p w14:paraId="20379C81">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19C717C9">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14:paraId="1638BD68">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14:paraId="142853D8">
      <w:pPr>
        <w:pStyle w:val="5"/>
        <w:spacing w:line="360" w:lineRule="auto"/>
        <w:rPr>
          <w:rFonts w:ascii="宋体" w:hAnsi="宋体" w:cs="宋体"/>
        </w:rPr>
      </w:pPr>
      <w:bookmarkStart w:id="126" w:name="_Toc28059"/>
      <w:bookmarkStart w:id="127" w:name="_Toc7647"/>
      <w:bookmarkStart w:id="128" w:name="_Toc14151"/>
      <w:bookmarkStart w:id="129" w:name="_Toc30975"/>
      <w:bookmarkStart w:id="130" w:name="_Toc465958102"/>
      <w:bookmarkStart w:id="131" w:name="_Toc10046"/>
      <w:r>
        <w:rPr>
          <w:rFonts w:hint="eastAsia" w:ascii="宋体" w:hAnsi="宋体" w:cs="宋体"/>
        </w:rPr>
        <w:t>14 证明供应商资格的证明文件</w:t>
      </w:r>
      <w:bookmarkEnd w:id="125"/>
      <w:bookmarkEnd w:id="126"/>
      <w:bookmarkEnd w:id="127"/>
      <w:bookmarkEnd w:id="128"/>
      <w:bookmarkEnd w:id="129"/>
      <w:bookmarkEnd w:id="130"/>
      <w:bookmarkEnd w:id="131"/>
    </w:p>
    <w:p w14:paraId="62104C1B">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14:paraId="2D4A2B33">
      <w:pPr>
        <w:spacing w:line="360" w:lineRule="auto"/>
        <w:rPr>
          <w:rFonts w:ascii="宋体" w:hAnsi="宋体" w:cs="宋体"/>
          <w:sz w:val="24"/>
        </w:rPr>
      </w:pPr>
      <w:r>
        <w:rPr>
          <w:rFonts w:hint="eastAsia" w:ascii="宋体" w:hAnsi="宋体" w:cs="宋体"/>
          <w:sz w:val="24"/>
        </w:rPr>
        <w:t>12.2供应商应具有履行合同所需的财务、技术和生产能力；</w:t>
      </w:r>
    </w:p>
    <w:p w14:paraId="00AE528C">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14:paraId="1D88E193">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14:paraId="1CDD1EF9">
      <w:pPr>
        <w:pStyle w:val="5"/>
        <w:spacing w:line="360" w:lineRule="auto"/>
        <w:rPr>
          <w:rFonts w:ascii="宋体" w:hAnsi="宋体" w:cs="宋体"/>
        </w:rPr>
      </w:pPr>
      <w:bookmarkStart w:id="132" w:name="_Toc19118"/>
      <w:bookmarkStart w:id="133" w:name="_Toc32534"/>
      <w:bookmarkStart w:id="134" w:name="_Toc246928912"/>
      <w:bookmarkStart w:id="135" w:name="_Toc465958103"/>
      <w:bookmarkStart w:id="136" w:name="_Toc23372"/>
      <w:bookmarkStart w:id="137" w:name="_Toc7233"/>
      <w:bookmarkStart w:id="138" w:name="_Toc28780"/>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14:paraId="20043473">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14:paraId="79C36943">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14:paraId="4CAEEBCD">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7DF78731">
      <w:pPr>
        <w:pStyle w:val="5"/>
        <w:spacing w:line="360" w:lineRule="auto"/>
        <w:rPr>
          <w:rFonts w:ascii="宋体" w:hAnsi="宋体" w:cs="宋体"/>
        </w:rPr>
      </w:pPr>
      <w:bookmarkStart w:id="139" w:name="_Toc27673"/>
      <w:bookmarkStart w:id="140" w:name="_Toc22564"/>
      <w:bookmarkStart w:id="141" w:name="_Toc465958104"/>
      <w:bookmarkStart w:id="142" w:name="_Toc6620"/>
      <w:bookmarkStart w:id="143" w:name="_Toc21933"/>
      <w:bookmarkStart w:id="144" w:name="_Toc246928913"/>
      <w:bookmarkStart w:id="145" w:name="_Toc4194"/>
      <w:r>
        <w:rPr>
          <w:rFonts w:hint="eastAsia" w:ascii="宋体" w:hAnsi="宋体" w:cs="宋体"/>
        </w:rPr>
        <w:t>16 谈判保证金</w:t>
      </w:r>
      <w:bookmarkEnd w:id="139"/>
      <w:bookmarkEnd w:id="140"/>
      <w:bookmarkEnd w:id="141"/>
      <w:bookmarkEnd w:id="142"/>
      <w:bookmarkEnd w:id="143"/>
      <w:bookmarkEnd w:id="144"/>
      <w:bookmarkEnd w:id="145"/>
    </w:p>
    <w:p w14:paraId="6A3F6EC5">
      <w:pPr>
        <w:pStyle w:val="5"/>
        <w:spacing w:line="360" w:lineRule="auto"/>
        <w:rPr>
          <w:rFonts w:hint="eastAsia" w:ascii="宋体" w:hAnsi="宋体" w:cs="宋体"/>
          <w:sz w:val="24"/>
          <w:szCs w:val="28"/>
        </w:rPr>
      </w:pPr>
      <w:bookmarkStart w:id="146" w:name="_Toc20201"/>
      <w:bookmarkStart w:id="147" w:name="_Toc465958105"/>
      <w:bookmarkStart w:id="148" w:name="_Toc4413"/>
      <w:bookmarkStart w:id="149" w:name="_Toc22789"/>
      <w:bookmarkStart w:id="150" w:name="_Toc4576"/>
      <w:bookmarkStart w:id="151" w:name="_Toc8022"/>
      <w:bookmarkStart w:id="152" w:name="_Toc246928914"/>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14:paraId="0ED5EE67">
      <w:pPr>
        <w:pStyle w:val="5"/>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14:paraId="39B11C57">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1A2C522D">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14:paraId="13573318">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14:paraId="797C8446">
      <w:pPr>
        <w:pStyle w:val="5"/>
        <w:spacing w:before="120" w:after="120" w:line="360" w:lineRule="auto"/>
        <w:rPr>
          <w:rFonts w:ascii="宋体" w:hAnsi="宋体" w:cs="宋体"/>
        </w:rPr>
      </w:pPr>
      <w:bookmarkStart w:id="153" w:name="_Toc246928915"/>
      <w:bookmarkStart w:id="154" w:name="_Toc465958106"/>
      <w:bookmarkStart w:id="155" w:name="_Toc17754"/>
      <w:bookmarkStart w:id="156" w:name="_Toc14012"/>
      <w:bookmarkStart w:id="157" w:name="_Toc22552"/>
      <w:bookmarkStart w:id="158" w:name="_Toc282"/>
      <w:bookmarkStart w:id="159" w:name="_Toc15795"/>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14:paraId="4112E864">
      <w:pPr>
        <w:spacing w:line="360" w:lineRule="auto"/>
        <w:rPr>
          <w:rFonts w:ascii="宋体" w:hAnsi="宋体" w:cs="宋体"/>
          <w:sz w:val="24"/>
        </w:rPr>
      </w:pPr>
      <w:r>
        <w:rPr>
          <w:rFonts w:hint="eastAsia" w:ascii="宋体" w:hAnsi="宋体" w:cs="宋体"/>
          <w:sz w:val="24"/>
        </w:rPr>
        <w:t xml:space="preserve">18.1 </w:t>
      </w:r>
      <w:r>
        <w:rPr>
          <w:rFonts w:hint="eastAsia" w:ascii="宋体" w:hAnsi="宋体" w:cs="宋体"/>
          <w:sz w:val="24"/>
          <w:lang w:eastAsia="zh-CN"/>
        </w:rPr>
        <w:t>纸质</w:t>
      </w:r>
      <w:r>
        <w:rPr>
          <w:rFonts w:hint="eastAsia" w:ascii="宋体" w:hAnsi="宋体" w:cs="宋体"/>
          <w:sz w:val="24"/>
        </w:rPr>
        <w:t>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所有要求签字（名）处，均须由签字（名）者本人用不褪色的蓝(黑)色墨水(汁)书写，不得用任何形式的图章代替。所有谈判响应文件正本和副本须按规定的顺序编排、并应编制三级及以上目录、逐页标注连续页码，每一页的正下方清楚标明页码，并统一装订（胶装）成册。</w:t>
      </w:r>
    </w:p>
    <w:p w14:paraId="02331756">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03EA5875">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r>
        <w:rPr>
          <w:rFonts w:hint="eastAsia" w:ascii="宋体" w:hAnsi="宋体" w:cs="宋体"/>
          <w:sz w:val="24"/>
        </w:rPr>
        <w:t>谈判响应文件</w:t>
      </w:r>
      <w:r>
        <w:rPr>
          <w:rFonts w:hint="eastAsia" w:ascii="宋体" w:hAnsi="宋体" w:cs="宋体"/>
          <w:sz w:val="24"/>
          <w:szCs w:val="22"/>
        </w:rPr>
        <w:t>正本和副本必须加盖骑缝章。</w:t>
      </w:r>
    </w:p>
    <w:p w14:paraId="36EB6F7A">
      <w:pPr>
        <w:pStyle w:val="9"/>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14:paraId="2BDD7800">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14:paraId="10D9DFAA">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14:paraId="5DAAAA97">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14:paraId="05B72D1D">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14:paraId="04E6D384">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14:paraId="3B8F7623">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48E89118">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1AE4EFBD">
      <w:pPr>
        <w:pStyle w:val="9"/>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14:paraId="6C9F13D2">
      <w:pPr>
        <w:pStyle w:val="4"/>
        <w:spacing w:before="120" w:after="120"/>
        <w:rPr>
          <w:rFonts w:ascii="宋体" w:hAnsi="宋体" w:eastAsia="宋体" w:cs="宋体"/>
          <w:sz w:val="36"/>
        </w:rPr>
      </w:pPr>
      <w:bookmarkStart w:id="160" w:name="_Toc246928916"/>
      <w:bookmarkStart w:id="161" w:name="_Toc26918"/>
      <w:bookmarkStart w:id="162" w:name="_Toc12354"/>
      <w:bookmarkStart w:id="163" w:name="_Toc28593"/>
      <w:bookmarkStart w:id="164" w:name="_Toc465958107"/>
      <w:bookmarkStart w:id="165" w:name="_Toc12671"/>
      <w:r>
        <w:rPr>
          <w:rFonts w:hint="eastAsia" w:ascii="宋体" w:hAnsi="宋体" w:eastAsia="宋体" w:cs="宋体"/>
          <w:sz w:val="36"/>
        </w:rPr>
        <w:t>D 竞争性谈判响应文件的递交</w:t>
      </w:r>
      <w:bookmarkEnd w:id="160"/>
      <w:bookmarkEnd w:id="161"/>
      <w:bookmarkEnd w:id="162"/>
      <w:bookmarkEnd w:id="163"/>
      <w:bookmarkEnd w:id="164"/>
      <w:bookmarkEnd w:id="165"/>
    </w:p>
    <w:p w14:paraId="31654EB4">
      <w:pPr>
        <w:pStyle w:val="5"/>
        <w:spacing w:before="120" w:after="120" w:line="360" w:lineRule="auto"/>
        <w:rPr>
          <w:rFonts w:ascii="宋体" w:hAnsi="宋体" w:cs="宋体"/>
        </w:rPr>
      </w:pPr>
      <w:bookmarkStart w:id="166" w:name="_Toc22531"/>
      <w:bookmarkStart w:id="167" w:name="_Toc20693"/>
      <w:bookmarkStart w:id="168" w:name="_Toc14296"/>
      <w:bookmarkStart w:id="169" w:name="_Toc246928917"/>
      <w:bookmarkStart w:id="170" w:name="_Toc5378"/>
      <w:bookmarkStart w:id="171" w:name="_Toc17004"/>
      <w:bookmarkStart w:id="172" w:name="_Toc465958108"/>
      <w:r>
        <w:rPr>
          <w:rFonts w:hint="eastAsia" w:ascii="宋体" w:hAnsi="宋体" w:cs="宋体"/>
        </w:rPr>
        <w:t>19 竞争性谈判响应文件的密封和标记</w:t>
      </w:r>
      <w:bookmarkEnd w:id="166"/>
      <w:bookmarkEnd w:id="167"/>
      <w:bookmarkEnd w:id="168"/>
      <w:bookmarkEnd w:id="169"/>
      <w:bookmarkEnd w:id="170"/>
      <w:bookmarkEnd w:id="171"/>
      <w:bookmarkEnd w:id="172"/>
    </w:p>
    <w:p w14:paraId="3849FBB5">
      <w:pPr>
        <w:spacing w:line="360" w:lineRule="auto"/>
        <w:rPr>
          <w:rFonts w:ascii="宋体" w:hAnsi="宋体" w:cs="仿宋_GB2312"/>
          <w:bCs/>
          <w:sz w:val="24"/>
          <w:szCs w:val="22"/>
        </w:rPr>
      </w:pPr>
      <w:bookmarkStart w:id="173" w:name="_Toc465958109"/>
      <w:bookmarkStart w:id="174" w:name="_Toc10052"/>
      <w:bookmarkStart w:id="175" w:name="_Toc246928918"/>
      <w:bookmarkStart w:id="176" w:name="_Toc27827"/>
      <w:bookmarkStart w:id="177" w:name="_Toc27391"/>
      <w:bookmarkStart w:id="178" w:name="_Toc4222"/>
      <w:bookmarkStart w:id="179" w:name="_Toc2644"/>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14:paraId="03FC8E29">
      <w:pPr>
        <w:pStyle w:val="5"/>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14:paraId="1EBA54AB">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14:paraId="055D9D0C">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7BAF358C">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14:paraId="20F14C54">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14:paraId="4CB7C0CD">
      <w:pPr>
        <w:pStyle w:val="5"/>
        <w:spacing w:line="360" w:lineRule="auto"/>
        <w:rPr>
          <w:rFonts w:ascii="宋体" w:hAnsi="宋体" w:cs="宋体"/>
        </w:rPr>
      </w:pPr>
      <w:bookmarkStart w:id="180" w:name="_Toc13225"/>
      <w:bookmarkStart w:id="181" w:name="_Toc10103"/>
      <w:bookmarkStart w:id="182" w:name="_Toc465958110"/>
      <w:bookmarkStart w:id="183" w:name="_Toc7672"/>
      <w:bookmarkStart w:id="184" w:name="_Toc4701"/>
      <w:bookmarkStart w:id="185" w:name="_Toc29885"/>
      <w:r>
        <w:rPr>
          <w:rFonts w:hint="eastAsia" w:ascii="宋体" w:hAnsi="宋体" w:cs="宋体"/>
        </w:rPr>
        <w:t>21 竞争性谈判响应文件的修改与撤回</w:t>
      </w:r>
      <w:bookmarkEnd w:id="180"/>
      <w:bookmarkEnd w:id="181"/>
      <w:bookmarkEnd w:id="182"/>
      <w:bookmarkEnd w:id="183"/>
      <w:bookmarkEnd w:id="184"/>
      <w:bookmarkEnd w:id="185"/>
    </w:p>
    <w:p w14:paraId="70BE90A8">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6947D18A">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14:paraId="7E436574">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14:paraId="6D370F61">
      <w:pPr>
        <w:pStyle w:val="4"/>
        <w:rPr>
          <w:rFonts w:ascii="宋体" w:hAnsi="宋体" w:eastAsia="宋体" w:cs="宋体"/>
          <w:sz w:val="36"/>
        </w:rPr>
      </w:pPr>
      <w:bookmarkStart w:id="186" w:name="_Toc465958111"/>
      <w:bookmarkStart w:id="187" w:name="_Toc3199"/>
      <w:bookmarkStart w:id="188" w:name="_Toc246928919"/>
      <w:bookmarkStart w:id="189" w:name="_Toc22666"/>
      <w:bookmarkStart w:id="190" w:name="_Toc21818"/>
      <w:bookmarkStart w:id="191" w:name="_Toc24049"/>
      <w:r>
        <w:rPr>
          <w:rFonts w:hint="eastAsia" w:ascii="宋体" w:hAnsi="宋体" w:eastAsia="宋体" w:cs="宋体"/>
          <w:sz w:val="36"/>
        </w:rPr>
        <w:t>E 开标与评审</w:t>
      </w:r>
      <w:bookmarkEnd w:id="186"/>
      <w:bookmarkEnd w:id="187"/>
      <w:bookmarkEnd w:id="188"/>
      <w:bookmarkEnd w:id="189"/>
      <w:bookmarkEnd w:id="190"/>
      <w:bookmarkEnd w:id="191"/>
    </w:p>
    <w:p w14:paraId="168B37F9">
      <w:pPr>
        <w:pStyle w:val="5"/>
        <w:spacing w:line="360" w:lineRule="auto"/>
        <w:rPr>
          <w:rFonts w:ascii="宋体" w:hAnsi="宋体" w:cs="宋体"/>
        </w:rPr>
      </w:pPr>
      <w:bookmarkStart w:id="192" w:name="_Toc6346"/>
      <w:bookmarkStart w:id="193" w:name="_Toc15292"/>
      <w:bookmarkStart w:id="194" w:name="_Toc465958112"/>
      <w:bookmarkStart w:id="195" w:name="_Toc28426"/>
      <w:bookmarkStart w:id="196" w:name="_Toc11145"/>
      <w:bookmarkStart w:id="197" w:name="_Toc246928920"/>
      <w:bookmarkStart w:id="198" w:name="_Toc25438"/>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14:paraId="72D3D798">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14:paraId="7D4C4867">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14:paraId="176C603C">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14:paraId="0EB2F976">
      <w:pPr>
        <w:pStyle w:val="14"/>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14:paraId="1EEF8C96">
      <w:pPr>
        <w:pStyle w:val="5"/>
        <w:rPr>
          <w:rFonts w:ascii="宋体" w:hAnsi="宋体" w:cs="宋体"/>
          <w:szCs w:val="22"/>
        </w:rPr>
      </w:pPr>
      <w:bookmarkStart w:id="199" w:name="_Toc465958114"/>
      <w:bookmarkStart w:id="200" w:name="_Toc20915"/>
      <w:bookmarkStart w:id="201" w:name="_Toc246928922"/>
      <w:bookmarkStart w:id="202" w:name="_Toc32220"/>
      <w:bookmarkStart w:id="203" w:name="_Toc32401"/>
      <w:bookmarkStart w:id="204" w:name="_Toc21518"/>
      <w:bookmarkStart w:id="205" w:name="_Toc12022"/>
      <w:bookmarkStart w:id="206" w:name="_Toc23381"/>
      <w:bookmarkStart w:id="207" w:name="_Toc9869"/>
      <w:bookmarkStart w:id="208" w:name="_Toc246928923"/>
      <w:bookmarkStart w:id="209" w:name="_Toc465958115"/>
      <w:bookmarkStart w:id="210" w:name="_Toc32736"/>
      <w:bookmarkStart w:id="211" w:name="_Toc29724"/>
      <w:bookmarkStart w:id="212" w:name="_Toc30377"/>
      <w:r>
        <w:rPr>
          <w:rFonts w:hint="eastAsia" w:ascii="宋体" w:hAnsi="宋体" w:cs="宋体"/>
          <w:szCs w:val="22"/>
        </w:rPr>
        <w:t xml:space="preserve">23 </w:t>
      </w:r>
      <w:r>
        <w:rPr>
          <w:rFonts w:hint="eastAsia" w:ascii="宋体" w:hAnsi="宋体" w:cs="宋体"/>
        </w:rPr>
        <w:t>对供应商资格的审查</w:t>
      </w:r>
    </w:p>
    <w:p w14:paraId="469A8C2E">
      <w:pPr>
        <w:pStyle w:val="9"/>
        <w:adjustRightInd w:val="0"/>
        <w:snapToGrid w:val="0"/>
        <w:spacing w:line="360" w:lineRule="auto"/>
        <w:jc w:val="left"/>
        <w:rPr>
          <w:rFonts w:ascii="宋体" w:hAnsi="宋体" w:cs="宋体"/>
          <w:sz w:val="24"/>
          <w:szCs w:val="22"/>
        </w:rPr>
      </w:pPr>
      <w:r>
        <w:rPr>
          <w:rFonts w:hint="eastAsia" w:ascii="宋体" w:hAnsi="宋体" w:cs="宋体"/>
          <w:sz w:val="24"/>
          <w:szCs w:val="22"/>
        </w:rPr>
        <w:t>23.1开标结束后，采购人和采购代理机构应当依法对供应商的资格证明文件进行审查，</w:t>
      </w:r>
      <w:r>
        <w:rPr>
          <w:rFonts w:hint="eastAsia" w:ascii="宋体" w:hAnsi="宋体" w:cs="宋体"/>
          <w:bCs/>
          <w:sz w:val="24"/>
        </w:rPr>
        <w:t>不符合竞争性谈判文件要求的按无效谈判响应处理，不得进入后续评审，</w:t>
      </w:r>
      <w:r>
        <w:rPr>
          <w:rFonts w:hint="eastAsia" w:ascii="宋体" w:hAnsi="宋体" w:cs="宋体"/>
          <w:sz w:val="24"/>
          <w:szCs w:val="22"/>
        </w:rPr>
        <w:t>签字确认检查结果。</w:t>
      </w:r>
    </w:p>
    <w:p w14:paraId="5CD28643">
      <w:pPr>
        <w:adjustRightInd w:val="0"/>
        <w:snapToGrid w:val="0"/>
        <w:spacing w:line="360" w:lineRule="auto"/>
      </w:pPr>
      <w:r>
        <w:rPr>
          <w:rFonts w:hint="eastAsia" w:ascii="宋体" w:hAnsi="宋体" w:cs="宋体"/>
          <w:sz w:val="24"/>
          <w:szCs w:val="22"/>
        </w:rPr>
        <w:t>23.2</w:t>
      </w:r>
      <w:r>
        <w:rPr>
          <w:rFonts w:hint="eastAsia" w:ascii="宋体" w:hAnsi="宋体" w:cs="宋体"/>
          <w:sz w:val="24"/>
          <w:szCs w:val="24"/>
        </w:rPr>
        <w:t>不符合竞争性谈判文件要求的按无效文件处理，不得进入后续评审工作。</w:t>
      </w:r>
    </w:p>
    <w:p w14:paraId="09A13D25">
      <w:pPr>
        <w:pStyle w:val="9"/>
        <w:adjustRightInd w:val="0"/>
        <w:snapToGrid w:val="0"/>
        <w:spacing w:line="360" w:lineRule="auto"/>
        <w:rPr>
          <w:rFonts w:ascii="宋体" w:hAnsi="宋体" w:cs="宋体"/>
          <w:b/>
        </w:rPr>
      </w:pPr>
      <w:r>
        <w:rPr>
          <w:rFonts w:hint="eastAsia" w:ascii="宋体" w:hAnsi="宋体" w:cs="宋体"/>
          <w:bCs/>
          <w:sz w:val="24"/>
          <w:szCs w:val="24"/>
        </w:rPr>
        <w:t>23.3合格投标人不足三家的，不得评标。</w:t>
      </w:r>
    </w:p>
    <w:bookmarkEnd w:id="199"/>
    <w:bookmarkEnd w:id="200"/>
    <w:bookmarkEnd w:id="201"/>
    <w:bookmarkEnd w:id="202"/>
    <w:bookmarkEnd w:id="203"/>
    <w:bookmarkEnd w:id="204"/>
    <w:bookmarkEnd w:id="205"/>
    <w:p w14:paraId="51AE96EA">
      <w:pPr>
        <w:pStyle w:val="5"/>
        <w:spacing w:beforeLines="50" w:afterLines="50" w:line="360" w:lineRule="auto"/>
        <w:rPr>
          <w:rFonts w:ascii="宋体" w:hAnsi="宋体" w:cs="宋体"/>
          <w:sz w:val="30"/>
          <w:szCs w:val="30"/>
        </w:rPr>
      </w:pPr>
      <w:r>
        <w:rPr>
          <w:rFonts w:hint="eastAsia" w:ascii="宋体" w:hAnsi="宋体" w:cs="宋体"/>
          <w:sz w:val="30"/>
          <w:szCs w:val="30"/>
        </w:rPr>
        <w:t>24 谈判小组</w:t>
      </w:r>
    </w:p>
    <w:p w14:paraId="3B2315B9">
      <w:pPr>
        <w:spacing w:line="360" w:lineRule="auto"/>
        <w:rPr>
          <w:rFonts w:ascii="宋体" w:hAnsi="宋体" w:cs="宋体"/>
          <w:sz w:val="24"/>
        </w:rPr>
      </w:pPr>
      <w:r>
        <w:rPr>
          <w:rFonts w:hint="eastAsia" w:ascii="宋体" w:hAnsi="宋体" w:cs="宋体"/>
          <w:sz w:val="24"/>
        </w:rPr>
        <w:t>24.1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26708CC9">
      <w:pPr>
        <w:spacing w:line="360" w:lineRule="auto"/>
        <w:rPr>
          <w:rFonts w:ascii="宋体" w:hAnsi="宋体" w:cs="宋体"/>
          <w:sz w:val="24"/>
        </w:rPr>
      </w:pPr>
      <w:r>
        <w:rPr>
          <w:rFonts w:hint="eastAsia" w:ascii="宋体" w:hAnsi="宋体" w:cs="宋体"/>
          <w:sz w:val="24"/>
        </w:rPr>
        <w:t>24.2 谈判小组成员由采购人代表和评审专家3人以上单数组成，评审专家人数应占总人数的2/3以上。</w:t>
      </w:r>
    </w:p>
    <w:p w14:paraId="3C6C3ACD">
      <w:pPr>
        <w:spacing w:line="360" w:lineRule="auto"/>
        <w:rPr>
          <w:rFonts w:ascii="宋体" w:hAnsi="宋体" w:cs="宋体"/>
          <w:sz w:val="24"/>
        </w:rPr>
      </w:pPr>
      <w:r>
        <w:rPr>
          <w:rFonts w:hint="eastAsia" w:ascii="宋体" w:hAnsi="宋体" w:cs="宋体"/>
          <w:sz w:val="24"/>
        </w:rPr>
        <w:t>24.3 谈判小组成员对各供应商竞争性谈判响应文件进行审查、质疑、评估和比较，并推荐出成交候选供应商。</w:t>
      </w:r>
    </w:p>
    <w:p w14:paraId="26D2E781">
      <w:pPr>
        <w:pStyle w:val="5"/>
        <w:spacing w:line="360" w:lineRule="auto"/>
        <w:rPr>
          <w:rFonts w:ascii="宋体" w:hAnsi="宋体" w:cs="宋体"/>
        </w:rPr>
      </w:pPr>
      <w:r>
        <w:rPr>
          <w:rFonts w:hint="eastAsia" w:ascii="宋体" w:hAnsi="宋体" w:cs="宋体"/>
        </w:rPr>
        <w:t>25 评标</w:t>
      </w:r>
    </w:p>
    <w:p w14:paraId="33EC8B21">
      <w:pPr>
        <w:spacing w:line="360" w:lineRule="auto"/>
        <w:rPr>
          <w:rFonts w:ascii="宋体" w:hAnsi="宋体" w:cs="宋体"/>
          <w:bCs/>
          <w:sz w:val="24"/>
        </w:rPr>
      </w:pPr>
      <w:r>
        <w:rPr>
          <w:rFonts w:hint="eastAsia" w:ascii="宋体" w:hAnsi="宋体" w:cs="宋体"/>
          <w:bCs/>
          <w:sz w:val="24"/>
        </w:rPr>
        <w:t>25.1谈判小组对通过资格审查的供应商进行商务、技术符合性审查，审查不合格者不进入下一步评审。</w:t>
      </w:r>
    </w:p>
    <w:p w14:paraId="663B5C28">
      <w:pPr>
        <w:spacing w:line="360" w:lineRule="auto"/>
        <w:rPr>
          <w:rFonts w:ascii="宋体" w:hAnsi="宋体" w:cs="宋体"/>
          <w:bCs/>
          <w:sz w:val="24"/>
        </w:rPr>
      </w:pPr>
      <w:r>
        <w:rPr>
          <w:rFonts w:hint="eastAsia" w:ascii="宋体" w:hAnsi="宋体" w:cs="宋体"/>
          <w:bCs/>
          <w:sz w:val="24"/>
        </w:rPr>
        <w:t>25.2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F3BC403">
      <w:pPr>
        <w:spacing w:line="360" w:lineRule="auto"/>
        <w:rPr>
          <w:rFonts w:ascii="宋体" w:hAnsi="宋体" w:cs="宋体"/>
          <w:bCs/>
          <w:sz w:val="24"/>
        </w:rPr>
      </w:pPr>
      <w:r>
        <w:rPr>
          <w:rFonts w:hint="eastAsia" w:ascii="宋体" w:hAnsi="宋体" w:cs="宋体"/>
          <w:bCs/>
          <w:sz w:val="24"/>
        </w:rPr>
        <w:t>25.3 澄清文件将作为竞争性谈判响应文件的一部分。</w:t>
      </w:r>
    </w:p>
    <w:p w14:paraId="1F2C4776">
      <w:pPr>
        <w:spacing w:line="360" w:lineRule="auto"/>
        <w:rPr>
          <w:rFonts w:ascii="宋体" w:hAnsi="宋体" w:cs="宋体"/>
          <w:bCs/>
          <w:sz w:val="24"/>
        </w:rPr>
      </w:pPr>
      <w:r>
        <w:rPr>
          <w:rFonts w:hint="eastAsia" w:ascii="宋体" w:hAnsi="宋体" w:cs="宋体"/>
          <w:bCs/>
          <w:sz w:val="24"/>
        </w:rPr>
        <w:t>25.4 算术错误将按以下方法更正：</w:t>
      </w:r>
    </w:p>
    <w:p w14:paraId="04EFBF7E">
      <w:pPr>
        <w:spacing w:line="360" w:lineRule="auto"/>
        <w:rPr>
          <w:rFonts w:ascii="宋体" w:hAnsi="宋体" w:cs="宋体"/>
          <w:bCs/>
          <w:sz w:val="24"/>
        </w:rPr>
      </w:pPr>
      <w:r>
        <w:rPr>
          <w:rFonts w:hint="eastAsia" w:ascii="宋体" w:hAnsi="宋体" w:cs="宋体"/>
          <w:bCs/>
          <w:sz w:val="24"/>
        </w:rPr>
        <w:t>25.4.1 竞争性谈判响应文件的大写金额和小写金额不一致的，以大写金额为准；</w:t>
      </w:r>
    </w:p>
    <w:p w14:paraId="720813DB">
      <w:pPr>
        <w:spacing w:line="360" w:lineRule="auto"/>
        <w:rPr>
          <w:rFonts w:ascii="宋体" w:hAnsi="宋体" w:cs="宋体"/>
          <w:bCs/>
          <w:sz w:val="24"/>
        </w:rPr>
      </w:pPr>
      <w:r>
        <w:rPr>
          <w:rFonts w:hint="eastAsia" w:ascii="宋体" w:hAnsi="宋体" w:cs="宋体"/>
          <w:bCs/>
          <w:sz w:val="24"/>
        </w:rPr>
        <w:t>25.4.2 总价金额与按单价汇总金额不一致的，以单价金额计算结果为准；</w:t>
      </w:r>
    </w:p>
    <w:p w14:paraId="192B8001">
      <w:pPr>
        <w:spacing w:line="360" w:lineRule="auto"/>
        <w:rPr>
          <w:rFonts w:ascii="宋体" w:hAnsi="宋体" w:cs="宋体"/>
          <w:bCs/>
          <w:sz w:val="24"/>
        </w:rPr>
      </w:pPr>
      <w:r>
        <w:rPr>
          <w:rFonts w:hint="eastAsia" w:ascii="宋体" w:hAnsi="宋体" w:cs="宋体"/>
          <w:bCs/>
          <w:sz w:val="24"/>
        </w:rPr>
        <w:t>25.4.3 单价金额小数点有明显错位的，应当以总价为准，并修改单价；</w:t>
      </w:r>
    </w:p>
    <w:p w14:paraId="564EEA65">
      <w:pPr>
        <w:spacing w:line="360" w:lineRule="auto"/>
        <w:rPr>
          <w:rFonts w:ascii="宋体" w:hAnsi="宋体" w:cs="宋体"/>
          <w:bCs/>
          <w:sz w:val="24"/>
        </w:rPr>
      </w:pPr>
      <w:r>
        <w:rPr>
          <w:rFonts w:hint="eastAsia" w:ascii="宋体" w:hAnsi="宋体" w:cs="宋体"/>
          <w:bCs/>
          <w:sz w:val="24"/>
        </w:rPr>
        <w:t>25.4.4 对不同文字文本竞争性谈判响应文件的解释发生异议的，以中文文本为准；</w:t>
      </w:r>
    </w:p>
    <w:p w14:paraId="61B4A758">
      <w:pPr>
        <w:spacing w:line="360" w:lineRule="auto"/>
        <w:rPr>
          <w:rFonts w:ascii="宋体" w:hAnsi="宋体" w:cs="宋体"/>
          <w:sz w:val="24"/>
        </w:rPr>
      </w:pPr>
      <w:r>
        <w:rPr>
          <w:rFonts w:hint="eastAsia" w:ascii="宋体" w:hAnsi="宋体" w:cs="宋体"/>
          <w:bCs/>
          <w:sz w:val="24"/>
        </w:rPr>
        <w:t>25.4.5 对于供应商不接受对其错误的更改，其谈判属于无效谈判情形。</w:t>
      </w:r>
    </w:p>
    <w:bookmarkEnd w:id="206"/>
    <w:bookmarkEnd w:id="207"/>
    <w:bookmarkEnd w:id="208"/>
    <w:bookmarkEnd w:id="209"/>
    <w:bookmarkEnd w:id="210"/>
    <w:bookmarkEnd w:id="211"/>
    <w:bookmarkEnd w:id="212"/>
    <w:p w14:paraId="03958D17">
      <w:pPr>
        <w:pStyle w:val="5"/>
        <w:spacing w:beforeLines="50" w:afterLines="50" w:line="360" w:lineRule="auto"/>
        <w:rPr>
          <w:rFonts w:ascii="宋体" w:hAnsi="宋体" w:cs="宋体"/>
          <w:sz w:val="30"/>
          <w:szCs w:val="30"/>
        </w:rPr>
      </w:pPr>
      <w:bookmarkStart w:id="213" w:name="_Toc12911"/>
      <w:bookmarkStart w:id="214" w:name="_Toc8037"/>
      <w:bookmarkStart w:id="215" w:name="_Toc246928924"/>
      <w:bookmarkStart w:id="216" w:name="_Toc465958116"/>
      <w:bookmarkStart w:id="217" w:name="_Toc6609"/>
      <w:bookmarkStart w:id="218" w:name="_Toc2865"/>
      <w:bookmarkStart w:id="219" w:name="_Toc25350"/>
      <w:r>
        <w:rPr>
          <w:rFonts w:hint="eastAsia" w:ascii="宋体" w:hAnsi="宋体" w:cs="宋体"/>
          <w:sz w:val="30"/>
          <w:szCs w:val="30"/>
        </w:rPr>
        <w:t>26 竞争性谈判响应文件的评价和比较</w:t>
      </w:r>
    </w:p>
    <w:p w14:paraId="5AB2DE8A">
      <w:pPr>
        <w:spacing w:line="360" w:lineRule="auto"/>
        <w:rPr>
          <w:rFonts w:ascii="宋体" w:hAnsi="宋体" w:cs="宋体"/>
          <w:sz w:val="24"/>
        </w:rPr>
      </w:pPr>
      <w:r>
        <w:rPr>
          <w:rFonts w:hint="eastAsia" w:ascii="宋体" w:hAnsi="宋体" w:cs="宋体"/>
          <w:sz w:val="24"/>
        </w:rPr>
        <w:t>26.1 谈判小组将对有效的竞争性谈判响应文件进行评估和比较。</w:t>
      </w:r>
    </w:p>
    <w:p w14:paraId="1D28BCF8">
      <w:pPr>
        <w:spacing w:line="360" w:lineRule="auto"/>
        <w:rPr>
          <w:rFonts w:ascii="宋体" w:hAnsi="宋体" w:cs="宋体"/>
          <w:sz w:val="24"/>
        </w:rPr>
      </w:pPr>
      <w:r>
        <w:rPr>
          <w:rFonts w:hint="eastAsia" w:ascii="宋体" w:hAnsi="宋体" w:cs="宋体"/>
          <w:sz w:val="24"/>
        </w:rPr>
        <w:t>26.2 评审时除考虑谈判报价竞争有利性以外，还将考虑以下因素：</w:t>
      </w:r>
    </w:p>
    <w:p w14:paraId="7C95B5B5">
      <w:pPr>
        <w:spacing w:line="360" w:lineRule="auto"/>
        <w:rPr>
          <w:rFonts w:hint="eastAsia" w:ascii="宋体" w:hAnsi="宋体" w:cs="宋体"/>
          <w:sz w:val="24"/>
          <w:szCs w:val="22"/>
        </w:rPr>
      </w:pPr>
      <w:r>
        <w:rPr>
          <w:rFonts w:hint="eastAsia" w:ascii="宋体" w:hAnsi="宋体" w:cs="宋体"/>
          <w:sz w:val="24"/>
        </w:rPr>
        <w:t>26.2.1竞争性谈判响应文件中各项报价的合理性，谈判小组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p w14:paraId="09C955DB">
      <w:pPr>
        <w:spacing w:line="360" w:lineRule="auto"/>
        <w:rPr>
          <w:rFonts w:hint="eastAsia" w:ascii="宋体" w:hAnsi="宋体" w:cs="宋体"/>
          <w:sz w:val="24"/>
          <w:szCs w:val="22"/>
        </w:rPr>
      </w:pPr>
      <w:r>
        <w:rPr>
          <w:rFonts w:hint="eastAsia" w:ascii="宋体" w:hAnsi="宋体" w:cs="宋体"/>
          <w:color w:val="auto"/>
          <w:sz w:val="24"/>
          <w:szCs w:val="24"/>
          <w:lang w:val="en-US" w:eastAsia="zh-CN"/>
        </w:rPr>
        <w:t>26.2.2</w:t>
      </w:r>
      <w:r>
        <w:rPr>
          <w:rFonts w:hint="eastAsia" w:ascii="宋体" w:hAnsi="宋体" w:cs="宋体"/>
          <w:color w:val="auto"/>
          <w:sz w:val="24"/>
          <w:szCs w:val="24"/>
        </w:rPr>
        <w:t>标的物选型及技术指标说明</w:t>
      </w:r>
      <w:r>
        <w:rPr>
          <w:rFonts w:hint="eastAsia" w:ascii="宋体" w:hAnsi="宋体" w:cs="宋体"/>
          <w:color w:val="auto"/>
          <w:sz w:val="24"/>
          <w:szCs w:val="24"/>
          <w:lang w:eastAsia="zh-CN"/>
        </w:rPr>
        <w:t>；</w:t>
      </w:r>
    </w:p>
    <w:p w14:paraId="4955249C">
      <w:pPr>
        <w:spacing w:line="360" w:lineRule="auto"/>
        <w:rPr>
          <w:rFonts w:hint="eastAsia" w:ascii="宋体" w:hAnsi="宋体" w:cs="宋体"/>
          <w:sz w:val="24"/>
          <w:szCs w:val="24"/>
        </w:rPr>
      </w:pPr>
      <w:r>
        <w:rPr>
          <w:rFonts w:hint="eastAsia" w:ascii="宋体" w:hAnsi="宋体" w:cs="宋体"/>
          <w:sz w:val="24"/>
        </w:rPr>
        <w:t>26.2.</w:t>
      </w:r>
      <w:r>
        <w:rPr>
          <w:rFonts w:hint="eastAsia" w:ascii="宋体" w:hAnsi="宋体" w:cs="宋体"/>
          <w:sz w:val="24"/>
          <w:lang w:val="en-US" w:eastAsia="zh-CN"/>
        </w:rPr>
        <w:t>3</w:t>
      </w:r>
      <w:r>
        <w:rPr>
          <w:rFonts w:hint="eastAsia" w:ascii="宋体" w:hAnsi="宋体" w:cs="宋体"/>
          <w:color w:val="auto"/>
          <w:sz w:val="24"/>
          <w:szCs w:val="24"/>
          <w:lang w:eastAsia="zh-CN"/>
        </w:rPr>
        <w:t>主要货物合法来源渠道的书面证明材料。</w:t>
      </w:r>
    </w:p>
    <w:p w14:paraId="20DA1A84">
      <w:pPr>
        <w:spacing w:line="360" w:lineRule="auto"/>
        <w:rPr>
          <w:rFonts w:hint="eastAsia" w:ascii="宋体" w:hAnsi="宋体" w:cs="宋体"/>
          <w:sz w:val="24"/>
          <w:szCs w:val="22"/>
        </w:rPr>
      </w:pPr>
      <w:r>
        <w:rPr>
          <w:rFonts w:hint="eastAsia" w:ascii="宋体" w:hAnsi="宋体" w:cs="宋体"/>
          <w:sz w:val="24"/>
          <w:szCs w:val="22"/>
        </w:rPr>
        <w:t>26.2.</w:t>
      </w:r>
      <w:r>
        <w:rPr>
          <w:rFonts w:hint="eastAsia" w:ascii="宋体" w:hAnsi="宋体" w:cs="宋体"/>
          <w:sz w:val="24"/>
          <w:szCs w:val="22"/>
          <w:lang w:val="en-US" w:eastAsia="zh-CN"/>
        </w:rPr>
        <w:t>4</w:t>
      </w:r>
      <w:r>
        <w:rPr>
          <w:rFonts w:hint="eastAsia" w:ascii="宋体" w:hAnsi="宋体" w:cs="宋体"/>
          <w:sz w:val="24"/>
          <w:szCs w:val="22"/>
        </w:rPr>
        <w:t>对本项目的供货、服务</w:t>
      </w:r>
      <w:r>
        <w:rPr>
          <w:rFonts w:hint="eastAsia" w:ascii="宋体" w:hAnsi="宋体" w:cs="宋体"/>
          <w:sz w:val="24"/>
          <w:szCs w:val="22"/>
          <w:lang w:eastAsia="zh-CN"/>
        </w:rPr>
        <w:t>的</w:t>
      </w:r>
      <w:r>
        <w:rPr>
          <w:rFonts w:hint="eastAsia" w:ascii="宋体" w:hAnsi="宋体" w:cs="宋体"/>
          <w:sz w:val="24"/>
          <w:szCs w:val="22"/>
        </w:rPr>
        <w:t>组织措施及人员投入情况。</w:t>
      </w:r>
    </w:p>
    <w:p w14:paraId="545EB26E">
      <w:pPr>
        <w:spacing w:line="360" w:lineRule="auto"/>
        <w:rPr>
          <w:rFonts w:hint="eastAsia" w:ascii="宋体" w:hAnsi="宋体" w:cs="宋体"/>
          <w:sz w:val="24"/>
          <w:szCs w:val="22"/>
        </w:rPr>
      </w:pPr>
      <w:r>
        <w:rPr>
          <w:rFonts w:hint="eastAsia" w:ascii="宋体" w:hAnsi="宋体" w:cs="宋体"/>
          <w:sz w:val="24"/>
          <w:szCs w:val="22"/>
        </w:rPr>
        <w:t>26.2.</w:t>
      </w:r>
      <w:r>
        <w:rPr>
          <w:rFonts w:hint="eastAsia" w:ascii="宋体" w:hAnsi="宋体" w:cs="宋体"/>
          <w:sz w:val="24"/>
          <w:szCs w:val="22"/>
          <w:lang w:val="en-US" w:eastAsia="zh-CN"/>
        </w:rPr>
        <w:t>5</w:t>
      </w:r>
      <w:r>
        <w:rPr>
          <w:rFonts w:hint="eastAsia" w:ascii="宋体" w:hAnsi="宋体" w:cs="宋体"/>
          <w:sz w:val="24"/>
          <w:szCs w:val="22"/>
        </w:rPr>
        <w:t>质量保证、售后服务计划及措施。</w:t>
      </w:r>
    </w:p>
    <w:p w14:paraId="4909BB32">
      <w:pPr>
        <w:spacing w:line="360" w:lineRule="auto"/>
        <w:rPr>
          <w:rFonts w:hint="eastAsia" w:ascii="宋体" w:hAnsi="宋体" w:cs="宋体"/>
          <w:sz w:val="24"/>
          <w:szCs w:val="22"/>
          <w:lang w:eastAsia="zh-CN"/>
        </w:rPr>
      </w:pPr>
      <w:r>
        <w:rPr>
          <w:rFonts w:hint="eastAsia" w:ascii="宋体" w:hAnsi="宋体" w:cs="宋体"/>
          <w:sz w:val="24"/>
          <w:szCs w:val="22"/>
          <w:lang w:val="en-US" w:eastAsia="zh-CN"/>
        </w:rPr>
        <w:t>26.2.6</w:t>
      </w:r>
      <w:r>
        <w:rPr>
          <w:rFonts w:hint="eastAsia" w:ascii="宋体" w:hAnsi="宋体" w:cs="宋体"/>
          <w:sz w:val="24"/>
          <w:szCs w:val="22"/>
          <w:lang w:eastAsia="zh-CN"/>
        </w:rPr>
        <w:t>公司服务承诺。</w:t>
      </w:r>
    </w:p>
    <w:p w14:paraId="304A2C52">
      <w:pPr>
        <w:spacing w:line="360" w:lineRule="auto"/>
        <w:rPr>
          <w:rFonts w:hint="default" w:ascii="宋体" w:hAnsi="宋体" w:cs="宋体"/>
          <w:sz w:val="24"/>
          <w:szCs w:val="22"/>
          <w:lang w:val="en-US" w:eastAsia="zh-CN"/>
        </w:rPr>
      </w:pPr>
      <w:r>
        <w:rPr>
          <w:rFonts w:hint="eastAsia" w:ascii="宋体" w:hAnsi="宋体" w:cs="宋体"/>
          <w:sz w:val="24"/>
          <w:szCs w:val="22"/>
          <w:lang w:val="en-US" w:eastAsia="zh-CN"/>
        </w:rPr>
        <w:t>26.2.7</w:t>
      </w:r>
      <w:r>
        <w:rPr>
          <w:rFonts w:hint="eastAsia" w:ascii="宋体" w:hAnsi="宋体" w:cs="宋体"/>
          <w:sz w:val="24"/>
          <w:szCs w:val="22"/>
        </w:rPr>
        <w:t>投标供应商其他有必要说明的问题。</w:t>
      </w:r>
    </w:p>
    <w:bookmarkEnd w:id="213"/>
    <w:bookmarkEnd w:id="214"/>
    <w:bookmarkEnd w:id="215"/>
    <w:bookmarkEnd w:id="216"/>
    <w:bookmarkEnd w:id="217"/>
    <w:bookmarkEnd w:id="218"/>
    <w:bookmarkEnd w:id="219"/>
    <w:p w14:paraId="197DD258">
      <w:pPr>
        <w:pStyle w:val="5"/>
        <w:spacing w:beforeLines="50" w:afterLines="50" w:line="360" w:lineRule="auto"/>
        <w:rPr>
          <w:rFonts w:ascii="宋体" w:hAnsi="宋体" w:cs="宋体"/>
          <w:sz w:val="30"/>
          <w:szCs w:val="30"/>
        </w:rPr>
      </w:pPr>
      <w:bookmarkStart w:id="220" w:name="_Toc8450"/>
      <w:bookmarkStart w:id="221" w:name="_Toc20287"/>
      <w:bookmarkStart w:id="222" w:name="_Toc465958117"/>
      <w:bookmarkStart w:id="223" w:name="_Toc20736"/>
      <w:bookmarkStart w:id="224" w:name="_Toc26106"/>
      <w:bookmarkStart w:id="225" w:name="_Toc11926"/>
      <w:r>
        <w:rPr>
          <w:rFonts w:hint="eastAsia" w:ascii="宋体" w:hAnsi="宋体" w:cs="宋体"/>
          <w:sz w:val="30"/>
          <w:szCs w:val="30"/>
        </w:rPr>
        <w:t>27 评审原则及主要方法</w:t>
      </w:r>
    </w:p>
    <w:p w14:paraId="07DA4C54">
      <w:pPr>
        <w:spacing w:line="360" w:lineRule="auto"/>
        <w:rPr>
          <w:rFonts w:ascii="宋体" w:hAnsi="宋体" w:cs="宋体"/>
          <w:sz w:val="24"/>
        </w:rPr>
      </w:pPr>
      <w:r>
        <w:rPr>
          <w:rFonts w:hint="eastAsia" w:ascii="宋体" w:hAnsi="宋体" w:cs="宋体"/>
          <w:sz w:val="24"/>
        </w:rPr>
        <w:t>27.1 谈判小组将遵循公开、公平、公正和择优的原则，禁止不正当竞争。对所有供应商的竞争性谈判响应文件评审，都采用相同的程序和标准。</w:t>
      </w:r>
    </w:p>
    <w:p w14:paraId="1AE55798">
      <w:pPr>
        <w:spacing w:line="360" w:lineRule="auto"/>
        <w:rPr>
          <w:rFonts w:ascii="宋体" w:hAnsi="宋体" w:cs="宋体"/>
          <w:sz w:val="24"/>
        </w:rPr>
      </w:pPr>
      <w:r>
        <w:rPr>
          <w:rFonts w:hint="eastAsia" w:ascii="宋体" w:hAnsi="宋体" w:cs="宋体"/>
          <w:sz w:val="24"/>
        </w:rPr>
        <w:t>27.2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3FB5ABB4">
      <w:pPr>
        <w:pStyle w:val="14"/>
        <w:spacing w:line="360" w:lineRule="auto"/>
        <w:rPr>
          <w:rFonts w:ascii="宋体" w:hAnsi="宋体" w:cs="宋体"/>
          <w:sz w:val="24"/>
        </w:rPr>
      </w:pPr>
      <w:r>
        <w:rPr>
          <w:rFonts w:hint="eastAsia" w:ascii="宋体" w:hAnsi="宋体" w:cs="宋体"/>
          <w:sz w:val="24"/>
        </w:rPr>
        <w:t>27.3 竞争性谈判响应文件的初步评审（含资格性检查和符合性审查）</w:t>
      </w:r>
    </w:p>
    <w:p w14:paraId="1F033391">
      <w:pPr>
        <w:pStyle w:val="14"/>
        <w:spacing w:line="360" w:lineRule="auto"/>
        <w:rPr>
          <w:rFonts w:ascii="宋体" w:hAnsi="宋体" w:cs="宋体"/>
          <w:sz w:val="24"/>
        </w:rPr>
      </w:pPr>
      <w:r>
        <w:rPr>
          <w:rFonts w:hint="eastAsia" w:ascii="宋体" w:hAnsi="宋体" w:cs="宋体"/>
          <w:sz w:val="24"/>
        </w:rPr>
        <w:t>27.3.1 谈判小组将审查竞争性谈判响应文件是否完整、采购人和代理机构审查资格证明文件是否合格，不合格均按无效投标处理。</w:t>
      </w:r>
    </w:p>
    <w:p w14:paraId="75B1CF19">
      <w:pPr>
        <w:spacing w:line="360" w:lineRule="auto"/>
        <w:rPr>
          <w:rFonts w:ascii="宋体" w:hAnsi="宋体" w:cs="宋体"/>
          <w:sz w:val="24"/>
        </w:rPr>
      </w:pPr>
      <w:r>
        <w:rPr>
          <w:rFonts w:hint="eastAsia" w:ascii="宋体" w:hAnsi="宋体" w:cs="宋体"/>
          <w:sz w:val="24"/>
        </w:rPr>
        <w:t>27.4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14:paraId="6F58F34B">
      <w:pPr>
        <w:spacing w:line="360" w:lineRule="auto"/>
        <w:rPr>
          <w:rFonts w:ascii="宋体" w:hAnsi="宋体" w:cs="宋体"/>
          <w:sz w:val="24"/>
        </w:rPr>
      </w:pPr>
      <w:r>
        <w:rPr>
          <w:rFonts w:hint="eastAsia" w:ascii="宋体" w:hAnsi="宋体" w:cs="宋体"/>
          <w:sz w:val="24"/>
        </w:rPr>
        <w:t>27.5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50AFEC90">
      <w:pPr>
        <w:pStyle w:val="9"/>
        <w:adjustRightInd w:val="0"/>
        <w:snapToGrid w:val="0"/>
        <w:spacing w:line="360" w:lineRule="auto"/>
      </w:pPr>
      <w:r>
        <w:rPr>
          <w:rFonts w:hint="eastAsia" w:ascii="宋体" w:hAnsi="宋体" w:cs="宋体"/>
          <w:sz w:val="24"/>
          <w:szCs w:val="24"/>
        </w:rPr>
        <w:t>27.5.1投标单位的投标报价超过采购预算；</w:t>
      </w:r>
    </w:p>
    <w:p w14:paraId="6BD7AF46">
      <w:pPr>
        <w:adjustRightInd w:val="0"/>
        <w:snapToGrid w:val="0"/>
        <w:spacing w:line="360" w:lineRule="auto"/>
        <w:rPr>
          <w:rFonts w:ascii="宋体" w:hAnsi="宋体"/>
          <w:sz w:val="24"/>
        </w:rPr>
      </w:pPr>
      <w:r>
        <w:rPr>
          <w:rFonts w:hint="eastAsia" w:ascii="宋体" w:hAnsi="宋体"/>
          <w:sz w:val="24"/>
        </w:rPr>
        <w:t xml:space="preserve">27.5.2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14:paraId="19EDE2C0">
      <w:pPr>
        <w:adjustRightInd w:val="0"/>
        <w:snapToGrid w:val="0"/>
        <w:spacing w:line="360" w:lineRule="auto"/>
      </w:pPr>
      <w:r>
        <w:rPr>
          <w:rFonts w:hint="eastAsia" w:ascii="宋体" w:hAnsi="宋体" w:cs="宋体"/>
          <w:sz w:val="24"/>
          <w:szCs w:val="24"/>
        </w:rPr>
        <w:t>27.5.3投标单位未按照谈判文件规定时间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14:paraId="735C22B5">
      <w:pPr>
        <w:adjustRightInd w:val="0"/>
        <w:snapToGrid w:val="0"/>
        <w:spacing w:line="360" w:lineRule="auto"/>
        <w:rPr>
          <w:rFonts w:ascii="宋体" w:hAnsi="宋体"/>
          <w:sz w:val="24"/>
        </w:rPr>
      </w:pPr>
      <w:r>
        <w:rPr>
          <w:rFonts w:hint="eastAsia" w:ascii="宋体" w:hAnsi="宋体"/>
          <w:sz w:val="24"/>
        </w:rPr>
        <w:t xml:space="preserve">27.5.4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14:paraId="2375E20C">
      <w:pPr>
        <w:adjustRightInd w:val="0"/>
        <w:snapToGrid w:val="0"/>
        <w:spacing w:line="360" w:lineRule="auto"/>
        <w:rPr>
          <w:rFonts w:ascii="宋体" w:hAnsi="宋体"/>
          <w:sz w:val="24"/>
        </w:rPr>
      </w:pPr>
      <w:r>
        <w:rPr>
          <w:rFonts w:hint="eastAsia" w:ascii="宋体" w:hAnsi="宋体"/>
          <w:sz w:val="24"/>
        </w:rPr>
        <w:t xml:space="preserve">27.5.5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14:paraId="0B4FE902">
      <w:pPr>
        <w:adjustRightInd w:val="0"/>
        <w:snapToGrid w:val="0"/>
        <w:spacing w:line="360" w:lineRule="auto"/>
        <w:rPr>
          <w:rFonts w:ascii="宋体" w:hAnsi="宋体"/>
          <w:sz w:val="24"/>
        </w:rPr>
      </w:pPr>
      <w:r>
        <w:rPr>
          <w:rFonts w:hint="eastAsia" w:ascii="宋体" w:hAnsi="宋体"/>
          <w:sz w:val="24"/>
        </w:rPr>
        <w:t>27.5.6</w:t>
      </w:r>
      <w:r>
        <w:rPr>
          <w:rFonts w:hint="eastAsia" w:ascii="宋体" w:hAnsi="宋体"/>
          <w:sz w:val="24"/>
          <w:lang w:eastAsia="zh-CN"/>
        </w:rPr>
        <w:t>谈判响应文件</w:t>
      </w:r>
      <w:r>
        <w:rPr>
          <w:rFonts w:hint="eastAsia" w:ascii="宋体" w:hAnsi="宋体"/>
          <w:sz w:val="24"/>
        </w:rPr>
        <w:t>的关键内容字迹模糊、无法辨认的；</w:t>
      </w:r>
    </w:p>
    <w:p w14:paraId="273B8083">
      <w:pPr>
        <w:adjustRightInd w:val="0"/>
        <w:snapToGrid w:val="0"/>
        <w:spacing w:line="360" w:lineRule="auto"/>
        <w:rPr>
          <w:rFonts w:ascii="宋体" w:hAnsi="宋体"/>
          <w:sz w:val="24"/>
        </w:rPr>
      </w:pPr>
      <w:r>
        <w:rPr>
          <w:rFonts w:hint="eastAsia" w:ascii="宋体" w:hAnsi="宋体"/>
          <w:sz w:val="24"/>
        </w:rPr>
        <w:t>27.5.7提供虚假证明（包括第三方提供的虚假证明），开具虚假资质，出现虚假应答，除按无效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14:paraId="63C594A1">
      <w:pPr>
        <w:adjustRightInd w:val="0"/>
        <w:snapToGrid w:val="0"/>
        <w:spacing w:line="360" w:lineRule="auto"/>
        <w:rPr>
          <w:rFonts w:ascii="宋体" w:hAnsi="宋体"/>
          <w:sz w:val="24"/>
        </w:rPr>
      </w:pPr>
      <w:r>
        <w:rPr>
          <w:rFonts w:hint="eastAsia" w:ascii="宋体" w:hAnsi="宋体"/>
          <w:sz w:val="24"/>
        </w:rPr>
        <w:t>27.5.8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14:paraId="58390B51">
      <w:pPr>
        <w:adjustRightInd w:val="0"/>
        <w:snapToGrid w:val="0"/>
        <w:spacing w:line="360" w:lineRule="auto"/>
        <w:rPr>
          <w:rFonts w:ascii="宋体" w:hAnsi="宋体"/>
          <w:sz w:val="24"/>
        </w:rPr>
      </w:pPr>
      <w:r>
        <w:rPr>
          <w:rFonts w:hint="eastAsia" w:ascii="宋体" w:hAnsi="宋体"/>
          <w:sz w:val="24"/>
        </w:rPr>
        <w:t>27.5.9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14:paraId="613EE618">
      <w:pPr>
        <w:adjustRightInd w:val="0"/>
        <w:snapToGrid w:val="0"/>
        <w:spacing w:line="360" w:lineRule="auto"/>
        <w:rPr>
          <w:rFonts w:ascii="宋体" w:hAnsi="宋体"/>
          <w:sz w:val="24"/>
        </w:rPr>
      </w:pPr>
      <w:r>
        <w:rPr>
          <w:rFonts w:hint="eastAsia" w:ascii="宋体" w:hAnsi="宋体"/>
          <w:sz w:val="24"/>
        </w:rPr>
        <w:t>27.5.10投标报价大于项目预算或与市场价偏离较大，低于成本，形成不正当竞争的；</w:t>
      </w:r>
    </w:p>
    <w:p w14:paraId="0E07FB7B">
      <w:pPr>
        <w:adjustRightInd w:val="0"/>
        <w:snapToGrid w:val="0"/>
        <w:spacing w:line="360" w:lineRule="auto"/>
        <w:rPr>
          <w:rFonts w:ascii="宋体" w:hAnsi="宋体"/>
          <w:sz w:val="24"/>
        </w:rPr>
      </w:pPr>
      <w:r>
        <w:rPr>
          <w:rFonts w:hint="eastAsia" w:ascii="宋体" w:hAnsi="宋体"/>
          <w:sz w:val="24"/>
        </w:rPr>
        <w:t>27.5.11投标人有围标、串标现象（不同投标人的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14:paraId="50D8CF14">
      <w:pPr>
        <w:adjustRightInd w:val="0"/>
        <w:snapToGrid w:val="0"/>
        <w:spacing w:line="360" w:lineRule="auto"/>
        <w:rPr>
          <w:rFonts w:ascii="宋体" w:hAnsi="宋体"/>
          <w:sz w:val="24"/>
        </w:rPr>
      </w:pPr>
      <w:r>
        <w:rPr>
          <w:rFonts w:hint="eastAsia" w:ascii="宋体" w:hAnsi="宋体"/>
          <w:sz w:val="24"/>
        </w:rPr>
        <w:t>27.5.12逾期提交电子响应文件；</w:t>
      </w:r>
    </w:p>
    <w:p w14:paraId="0E8ED0AB">
      <w:pPr>
        <w:adjustRightInd w:val="0"/>
        <w:snapToGrid w:val="0"/>
        <w:spacing w:line="360" w:lineRule="auto"/>
        <w:rPr>
          <w:rFonts w:ascii="宋体" w:hAnsi="宋体"/>
          <w:sz w:val="24"/>
        </w:rPr>
      </w:pPr>
      <w:r>
        <w:rPr>
          <w:rFonts w:hint="eastAsia" w:ascii="宋体" w:hAnsi="宋体"/>
          <w:sz w:val="24"/>
        </w:rPr>
        <w:t>27.5.13提交的响应文件与本项目不相符；</w:t>
      </w:r>
    </w:p>
    <w:p w14:paraId="530762B1">
      <w:pPr>
        <w:adjustRightInd w:val="0"/>
        <w:snapToGrid w:val="0"/>
        <w:spacing w:line="360" w:lineRule="auto"/>
        <w:rPr>
          <w:rFonts w:ascii="宋体" w:hAnsi="宋体"/>
          <w:sz w:val="24"/>
        </w:rPr>
      </w:pPr>
      <w:r>
        <w:rPr>
          <w:rFonts w:hint="eastAsia" w:ascii="宋体" w:hAnsi="宋体"/>
          <w:sz w:val="24"/>
        </w:rPr>
        <w:t>27.5.14供应商拒绝对电子响应文件进行解密；</w:t>
      </w:r>
    </w:p>
    <w:p w14:paraId="6B1E3D20">
      <w:pPr>
        <w:adjustRightInd w:val="0"/>
        <w:snapToGrid w:val="0"/>
        <w:spacing w:line="360" w:lineRule="auto"/>
        <w:rPr>
          <w:rFonts w:ascii="宋体" w:hAnsi="宋体"/>
          <w:sz w:val="24"/>
        </w:rPr>
      </w:pPr>
      <w:r>
        <w:rPr>
          <w:rFonts w:hint="eastAsia" w:ascii="宋体" w:hAnsi="宋体"/>
          <w:sz w:val="24"/>
        </w:rPr>
        <w:t>27.5.15因供应商自身原因（如未带 CA 锁、或所带 CA 锁与制作电子响应文件使用的 CA锁不一致、或沿用旧版谈判文件编制响应文件等情形），导致在规定时间内无法解密响应文件；</w:t>
      </w:r>
    </w:p>
    <w:p w14:paraId="1E2518E0">
      <w:pPr>
        <w:adjustRightInd w:val="0"/>
        <w:snapToGrid w:val="0"/>
        <w:spacing w:line="360" w:lineRule="auto"/>
        <w:rPr>
          <w:rFonts w:ascii="宋体" w:hAnsi="宋体"/>
          <w:sz w:val="24"/>
        </w:rPr>
      </w:pPr>
      <w:r>
        <w:rPr>
          <w:rFonts w:hint="eastAsia" w:ascii="宋体" w:hAnsi="宋体"/>
          <w:sz w:val="24"/>
        </w:rPr>
        <w:t>27.5.16上传的电子响应文件无法打开。</w:t>
      </w:r>
    </w:p>
    <w:p w14:paraId="6A15BD34">
      <w:pPr>
        <w:adjustRightInd w:val="0"/>
        <w:snapToGrid w:val="0"/>
        <w:spacing w:line="360" w:lineRule="auto"/>
        <w:rPr>
          <w:rFonts w:ascii="宋体" w:hAnsi="宋体"/>
          <w:sz w:val="24"/>
        </w:rPr>
      </w:pPr>
      <w:r>
        <w:rPr>
          <w:rFonts w:hint="eastAsia" w:ascii="宋体" w:hAnsi="宋体"/>
          <w:sz w:val="24"/>
        </w:rPr>
        <w:t>27.5.17谈判文件规定的其他要求。</w:t>
      </w:r>
    </w:p>
    <w:bookmarkEnd w:id="220"/>
    <w:bookmarkEnd w:id="221"/>
    <w:bookmarkEnd w:id="222"/>
    <w:bookmarkEnd w:id="223"/>
    <w:bookmarkEnd w:id="224"/>
    <w:bookmarkEnd w:id="225"/>
    <w:p w14:paraId="4604BD25">
      <w:pPr>
        <w:pStyle w:val="5"/>
        <w:spacing w:beforeLines="50" w:afterLines="50" w:line="360" w:lineRule="auto"/>
        <w:rPr>
          <w:rFonts w:ascii="宋体" w:hAnsi="宋体" w:cs="宋体"/>
          <w:sz w:val="30"/>
          <w:szCs w:val="30"/>
        </w:rPr>
      </w:pPr>
      <w:bookmarkStart w:id="226" w:name="_Toc4915"/>
      <w:bookmarkStart w:id="227" w:name="_Toc497712095"/>
      <w:bookmarkStart w:id="228" w:name="_Toc497711547"/>
      <w:bookmarkStart w:id="229" w:name="_Toc389620199"/>
      <w:bookmarkStart w:id="230" w:name="_Toc24562"/>
      <w:bookmarkStart w:id="231" w:name="_Toc497551782"/>
      <w:bookmarkStart w:id="232" w:name="_Toc246928925"/>
      <w:bookmarkStart w:id="233" w:name="_Toc25216"/>
      <w:bookmarkStart w:id="234" w:name="_Toc497546880"/>
      <w:bookmarkStart w:id="235" w:name="_Toc492955421"/>
      <w:bookmarkStart w:id="236" w:name="_Toc465958118"/>
      <w:bookmarkStart w:id="237" w:name="_Toc385992360"/>
      <w:bookmarkStart w:id="238" w:name="_Toc2448"/>
      <w:r>
        <w:rPr>
          <w:rFonts w:hint="eastAsia" w:ascii="宋体" w:hAnsi="宋体" w:cs="宋体"/>
          <w:sz w:val="30"/>
          <w:szCs w:val="30"/>
        </w:rPr>
        <w:t>28 谈判</w:t>
      </w:r>
    </w:p>
    <w:p w14:paraId="4621F54F">
      <w:pPr>
        <w:adjustRightInd w:val="0"/>
        <w:spacing w:line="360" w:lineRule="auto"/>
        <w:rPr>
          <w:rFonts w:ascii="宋体" w:hAnsi="宋体" w:cs="宋体"/>
          <w:sz w:val="24"/>
        </w:rPr>
      </w:pPr>
      <w:r>
        <w:rPr>
          <w:rFonts w:hint="eastAsia" w:ascii="宋体" w:hAnsi="宋体" w:cs="宋体"/>
          <w:sz w:val="24"/>
        </w:rPr>
        <w:t>28.1谈判过程依次为记录第一次谈判投标报价（不对供应商公布）、竞争性谈判响应文件资格性审查、符合性审查、谈判与承诺、最后报价五个阶段。</w:t>
      </w:r>
    </w:p>
    <w:p w14:paraId="3404339D">
      <w:pPr>
        <w:adjustRightInd w:val="0"/>
        <w:spacing w:line="360" w:lineRule="auto"/>
        <w:ind w:firstLine="480" w:firstLineChars="200"/>
        <w:rPr>
          <w:rFonts w:ascii="宋体" w:hAnsi="宋体" w:cs="宋体"/>
          <w:sz w:val="24"/>
        </w:rPr>
      </w:pPr>
      <w:r>
        <w:rPr>
          <w:rFonts w:hint="eastAsia" w:ascii="宋体" w:hAnsi="宋体" w:cs="宋体"/>
          <w:sz w:val="24"/>
        </w:rPr>
        <w:t>资格审查小组对各供应商的资质证明文件进行评审，不符合竞争性谈判文件要求的按无效谈判响应处理，不得进入后续评审。</w:t>
      </w:r>
    </w:p>
    <w:p w14:paraId="4ECD992C">
      <w:pPr>
        <w:adjustRightInd w:val="0"/>
        <w:spacing w:line="360" w:lineRule="auto"/>
        <w:ind w:firstLine="480" w:firstLineChars="200"/>
        <w:rPr>
          <w:rFonts w:ascii="宋体" w:hAnsi="宋体" w:cs="宋体"/>
          <w:sz w:val="24"/>
        </w:rPr>
      </w:pPr>
      <w:r>
        <w:rPr>
          <w:rFonts w:hint="eastAsia" w:ascii="宋体" w:hAnsi="宋体" w:cs="宋体"/>
          <w:sz w:val="24"/>
        </w:rPr>
        <w:t>对通过资格审查的供应商，谈判小组对于各个供应商的竞争性谈判响应文件进行符合性审查，审查不合格者不进入下一步评审。</w:t>
      </w:r>
    </w:p>
    <w:p w14:paraId="3563CB07">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09C6ACF1">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77B7C893">
      <w:pPr>
        <w:spacing w:line="360" w:lineRule="auto"/>
        <w:rPr>
          <w:rFonts w:ascii="宋体" w:hAnsi="宋体" w:cs="宋体"/>
          <w:sz w:val="24"/>
        </w:rPr>
      </w:pPr>
      <w:r>
        <w:rPr>
          <w:rFonts w:hint="eastAsia" w:ascii="宋体" w:hAnsi="宋体" w:cs="宋体"/>
          <w:sz w:val="24"/>
        </w:rPr>
        <w:t>28.2谈判后，供应商应按谈判小组规定的时间进行最后报价，各供应商请携带电脑现场进行最后报价，最后报价现场不对供应商公布。该谈判报价为不可更改价格，作为谈判小组推荐成交候选人的依据。</w:t>
      </w:r>
    </w:p>
    <w:p w14:paraId="4FBB095A">
      <w:pPr>
        <w:spacing w:line="360" w:lineRule="auto"/>
        <w:rPr>
          <w:rFonts w:ascii="宋体" w:hAnsi="宋体" w:cs="宋体"/>
          <w:sz w:val="24"/>
        </w:rPr>
      </w:pPr>
      <w:r>
        <w:rPr>
          <w:rFonts w:hint="eastAsia" w:ascii="宋体" w:hAnsi="宋体" w:cs="宋体"/>
          <w:sz w:val="24"/>
        </w:rPr>
        <w:t>28.3特殊情况处理：按相关法律法规执行。</w:t>
      </w:r>
    </w:p>
    <w:p w14:paraId="376F468F">
      <w:pPr>
        <w:spacing w:line="360" w:lineRule="auto"/>
        <w:rPr>
          <w:rFonts w:ascii="宋体" w:hAnsi="宋体" w:cs="宋体"/>
          <w:sz w:val="24"/>
        </w:rPr>
      </w:pPr>
      <w:r>
        <w:rPr>
          <w:rFonts w:hint="eastAsia" w:ascii="宋体" w:hAnsi="宋体" w:cs="宋体"/>
          <w:sz w:val="24"/>
        </w:rPr>
        <w:t xml:space="preserve">28.4评审方法：谈判小组从质量和服务均能满足采购文件实质性响应要求的供应商中，按照最后报价由低到高的顺序提出成交候选人。 </w:t>
      </w:r>
    </w:p>
    <w:p w14:paraId="05D57B4A">
      <w:pPr>
        <w:pStyle w:val="4"/>
        <w:spacing w:before="120" w:after="120"/>
        <w:rPr>
          <w:rFonts w:ascii="宋体" w:hAnsi="宋体" w:eastAsia="宋体" w:cs="宋体"/>
          <w:sz w:val="36"/>
        </w:rPr>
      </w:pPr>
      <w:r>
        <w:rPr>
          <w:rFonts w:hint="eastAsia" w:ascii="宋体" w:hAnsi="宋体" w:eastAsia="宋体" w:cs="宋体"/>
          <w:sz w:val="36"/>
        </w:rPr>
        <w:t>F</w:t>
      </w:r>
      <w:bookmarkStart w:id="239" w:name="_Hlt491765714"/>
      <w:bookmarkEnd w:id="239"/>
      <w:r>
        <w:rPr>
          <w:rFonts w:hint="eastAsia" w:ascii="宋体" w:hAnsi="宋体" w:eastAsia="宋体" w:cs="宋体"/>
          <w:sz w:val="36"/>
        </w:rPr>
        <w:t xml:space="preserve"> </w:t>
      </w:r>
      <w:bookmarkStart w:id="240" w:name="_Hlt497547134"/>
      <w:bookmarkEnd w:id="240"/>
      <w:r>
        <w:rPr>
          <w:rFonts w:hint="eastAsia" w:ascii="宋体" w:hAnsi="宋体" w:eastAsia="宋体" w:cs="宋体"/>
          <w:sz w:val="36"/>
        </w:rPr>
        <w:t>授予合同</w:t>
      </w:r>
      <w:bookmarkEnd w:id="226"/>
      <w:bookmarkEnd w:id="227"/>
      <w:bookmarkEnd w:id="228"/>
      <w:bookmarkEnd w:id="229"/>
      <w:bookmarkEnd w:id="230"/>
      <w:bookmarkEnd w:id="231"/>
      <w:bookmarkEnd w:id="232"/>
      <w:bookmarkEnd w:id="233"/>
      <w:bookmarkEnd w:id="234"/>
      <w:bookmarkEnd w:id="235"/>
      <w:bookmarkEnd w:id="236"/>
      <w:bookmarkEnd w:id="237"/>
      <w:bookmarkEnd w:id="238"/>
    </w:p>
    <w:p w14:paraId="70DA2778">
      <w:pPr>
        <w:pStyle w:val="5"/>
        <w:spacing w:beforeLines="50" w:afterLines="50" w:line="360" w:lineRule="auto"/>
        <w:rPr>
          <w:rFonts w:ascii="宋体" w:hAnsi="宋体" w:cs="宋体"/>
          <w:sz w:val="30"/>
          <w:szCs w:val="30"/>
        </w:rPr>
      </w:pPr>
      <w:bookmarkStart w:id="241" w:name="_Toc385992361"/>
      <w:bookmarkStart w:id="242" w:name="_Toc21436"/>
      <w:bookmarkStart w:id="243" w:name="_Toc17220"/>
      <w:bookmarkStart w:id="244" w:name="_Toc465958119"/>
      <w:bookmarkStart w:id="245" w:name="_Toc264"/>
      <w:bookmarkStart w:id="246" w:name="_Toc389620200"/>
      <w:bookmarkStart w:id="247" w:name="_Toc30376"/>
      <w:bookmarkStart w:id="248" w:name="_Toc246928926"/>
      <w:bookmarkStart w:id="249" w:name="_Toc9423"/>
      <w:bookmarkStart w:id="250" w:name="_Toc6603"/>
      <w:bookmarkStart w:id="251" w:name="_Toc30811"/>
      <w:bookmarkStart w:id="252" w:name="_Toc5090"/>
      <w:bookmarkStart w:id="253" w:name="_Toc9330"/>
      <w:bookmarkStart w:id="254" w:name="_Toc389620205"/>
      <w:bookmarkStart w:id="255" w:name="_Toc465958121"/>
      <w:bookmarkStart w:id="256" w:name="_Toc246928928"/>
      <w:bookmarkStart w:id="257" w:name="_Toc15641"/>
      <w:bookmarkStart w:id="258" w:name="_Toc385992366"/>
      <w:r>
        <w:rPr>
          <w:rFonts w:hint="eastAsia" w:ascii="宋体" w:hAnsi="宋体" w:cs="宋体"/>
          <w:sz w:val="30"/>
          <w:szCs w:val="30"/>
        </w:rPr>
        <w:t>29 成交准则</w:t>
      </w:r>
      <w:bookmarkEnd w:id="241"/>
      <w:bookmarkEnd w:id="242"/>
      <w:bookmarkEnd w:id="243"/>
      <w:bookmarkEnd w:id="244"/>
      <w:bookmarkEnd w:id="245"/>
      <w:bookmarkEnd w:id="246"/>
      <w:bookmarkEnd w:id="247"/>
      <w:bookmarkEnd w:id="248"/>
      <w:bookmarkEnd w:id="249"/>
    </w:p>
    <w:p w14:paraId="7CBBC038">
      <w:pPr>
        <w:spacing w:before="120" w:line="360" w:lineRule="auto"/>
        <w:rPr>
          <w:rFonts w:ascii="宋体" w:hAnsi="宋体" w:cs="宋体"/>
          <w:sz w:val="24"/>
        </w:rPr>
      </w:pPr>
      <w:r>
        <w:rPr>
          <w:rFonts w:hint="eastAsia" w:ascii="宋体" w:hAnsi="宋体" w:cs="宋体"/>
          <w:sz w:val="24"/>
        </w:rPr>
        <w:t>29.1合同将授予竞争性谈判响应文件符合竞争性谈判文件要求、并能圆满地履行合同、对采购人最为有利且价格最低的供应商。</w:t>
      </w:r>
    </w:p>
    <w:p w14:paraId="6B8738F7">
      <w:pPr>
        <w:spacing w:line="360" w:lineRule="auto"/>
        <w:rPr>
          <w:rFonts w:ascii="宋体" w:hAnsi="宋体" w:cs="宋体"/>
          <w:sz w:val="24"/>
        </w:rPr>
      </w:pPr>
      <w:r>
        <w:rPr>
          <w:rFonts w:hint="eastAsia" w:ascii="宋体" w:hAnsi="宋体" w:cs="宋体"/>
          <w:sz w:val="24"/>
        </w:rPr>
        <w:t>29.2谈判小组将根据评审方法推荐成交候选供应商名单。</w:t>
      </w:r>
      <w:bookmarkStart w:id="259" w:name="_Toc389620201"/>
      <w:bookmarkStart w:id="260" w:name="_Toc385992362"/>
    </w:p>
    <w:p w14:paraId="425EEE8E">
      <w:pPr>
        <w:spacing w:line="360" w:lineRule="auto"/>
        <w:rPr>
          <w:rFonts w:ascii="宋体" w:hAnsi="宋体" w:cs="宋体"/>
          <w:sz w:val="24"/>
        </w:rPr>
      </w:pPr>
      <w:r>
        <w:rPr>
          <w:rFonts w:hint="eastAsia" w:ascii="宋体" w:hAnsi="宋体" w:cs="宋体"/>
          <w:sz w:val="24"/>
        </w:rPr>
        <w:t>29.3采购代理机构在评审结束后将评审报告送采购人，采购人在收到评审报告后按照评审报告中推荐的成交候选供应商顺序确定成交供应商。</w:t>
      </w:r>
    </w:p>
    <w:p w14:paraId="52EDA0DC">
      <w:pPr>
        <w:spacing w:line="360" w:lineRule="auto"/>
        <w:rPr>
          <w:rFonts w:ascii="宋体" w:hAnsi="宋体" w:cs="宋体"/>
          <w:sz w:val="24"/>
        </w:rPr>
      </w:pPr>
      <w:r>
        <w:rPr>
          <w:rFonts w:hint="eastAsia" w:ascii="宋体" w:hAnsi="宋体" w:cs="宋体"/>
          <w:sz w:val="24"/>
        </w:rPr>
        <w:t>29.4成交供应商因不可抗力或自身原因不能履行政府采购合同的，采购人可以再排位在成交供应商之后的第一位的成交候选供应商签订政府采购合同，以此类推。</w:t>
      </w:r>
    </w:p>
    <w:bookmarkEnd w:id="259"/>
    <w:bookmarkEnd w:id="260"/>
    <w:p w14:paraId="30A7E9A1">
      <w:pPr>
        <w:pStyle w:val="5"/>
        <w:spacing w:beforeLines="50" w:afterLines="50" w:line="360" w:lineRule="auto"/>
        <w:rPr>
          <w:rFonts w:ascii="宋体" w:hAnsi="宋体" w:cs="宋体"/>
          <w:sz w:val="30"/>
          <w:szCs w:val="30"/>
        </w:rPr>
      </w:pPr>
      <w:bookmarkStart w:id="261" w:name="_Toc389620203"/>
      <w:bookmarkStart w:id="262" w:name="_Toc385992364"/>
      <w:bookmarkStart w:id="263" w:name="_Toc246928927"/>
      <w:bookmarkStart w:id="264" w:name="_Toc30974"/>
      <w:bookmarkStart w:id="265" w:name="_Toc12205"/>
      <w:bookmarkStart w:id="266" w:name="_Toc21691"/>
      <w:bookmarkStart w:id="267" w:name="_Toc465958120"/>
      <w:bookmarkStart w:id="268" w:name="_Toc19328"/>
      <w:bookmarkStart w:id="269" w:name="_Toc19435"/>
      <w:r>
        <w:rPr>
          <w:rFonts w:hint="eastAsia" w:ascii="宋体" w:hAnsi="宋体" w:cs="宋体"/>
          <w:sz w:val="30"/>
          <w:szCs w:val="30"/>
        </w:rPr>
        <w:t xml:space="preserve">30 </w:t>
      </w:r>
      <w:bookmarkEnd w:id="261"/>
      <w:bookmarkEnd w:id="262"/>
      <w:r>
        <w:rPr>
          <w:rFonts w:hint="eastAsia" w:ascii="宋体" w:hAnsi="宋体" w:cs="宋体"/>
          <w:sz w:val="30"/>
          <w:szCs w:val="30"/>
        </w:rPr>
        <w:t>成交通知</w:t>
      </w:r>
      <w:bookmarkEnd w:id="263"/>
      <w:r>
        <w:rPr>
          <w:rFonts w:hint="eastAsia" w:ascii="宋体" w:hAnsi="宋体" w:cs="宋体"/>
          <w:sz w:val="30"/>
          <w:szCs w:val="30"/>
        </w:rPr>
        <w:t>书</w:t>
      </w:r>
      <w:bookmarkEnd w:id="264"/>
      <w:bookmarkEnd w:id="265"/>
      <w:bookmarkEnd w:id="266"/>
      <w:bookmarkEnd w:id="267"/>
      <w:bookmarkEnd w:id="268"/>
      <w:bookmarkEnd w:id="269"/>
    </w:p>
    <w:p w14:paraId="7EE932D0">
      <w:pPr>
        <w:spacing w:line="360" w:lineRule="auto"/>
        <w:rPr>
          <w:rFonts w:ascii="宋体" w:hAnsi="宋体" w:cs="宋体"/>
          <w:sz w:val="24"/>
        </w:rPr>
      </w:pPr>
      <w:r>
        <w:rPr>
          <w:rFonts w:hint="eastAsia" w:ascii="宋体" w:hAnsi="宋体" w:cs="宋体"/>
          <w:sz w:val="24"/>
        </w:rPr>
        <w:t>30.1 在谈判有效期内，确定成交供应商后，成交结果在财政部门指定的政府采购信息发布媒体上公告。</w:t>
      </w:r>
    </w:p>
    <w:p w14:paraId="14BE1614">
      <w:pPr>
        <w:spacing w:line="360" w:lineRule="auto"/>
        <w:rPr>
          <w:rFonts w:ascii="宋体" w:hAnsi="宋体" w:cs="宋体"/>
          <w:sz w:val="24"/>
        </w:rPr>
      </w:pPr>
      <w:r>
        <w:rPr>
          <w:rFonts w:hint="eastAsia" w:ascii="宋体" w:hAnsi="宋体" w:cs="宋体"/>
          <w:sz w:val="24"/>
        </w:rPr>
        <w:t xml:space="preserve">30.2 采购代理机构向成交供应商发出成交通知书。 </w:t>
      </w:r>
    </w:p>
    <w:p w14:paraId="60681D84">
      <w:pPr>
        <w:spacing w:line="360" w:lineRule="auto"/>
        <w:rPr>
          <w:rFonts w:ascii="宋体" w:hAnsi="宋体" w:cs="宋体"/>
          <w:sz w:val="24"/>
        </w:rPr>
      </w:pPr>
      <w:r>
        <w:rPr>
          <w:rFonts w:hint="eastAsia" w:ascii="宋体" w:hAnsi="宋体" w:cs="宋体"/>
          <w:sz w:val="24"/>
        </w:rPr>
        <w:t>30.3 成交通知书将作为签订合同的依据。</w:t>
      </w:r>
    </w:p>
    <w:p w14:paraId="3A2B351D">
      <w:pPr>
        <w:spacing w:line="360" w:lineRule="auto"/>
        <w:rPr>
          <w:rFonts w:ascii="宋体" w:hAnsi="宋体" w:cs="宋体"/>
          <w:sz w:val="24"/>
        </w:rPr>
      </w:pPr>
      <w:r>
        <w:rPr>
          <w:rFonts w:hint="eastAsia" w:ascii="宋体" w:hAnsi="宋体" w:cs="宋体"/>
          <w:sz w:val="24"/>
        </w:rPr>
        <w:t>30.4 对未成交者，采购人不做出解释，同时亦不退还竞争性谈判响应文件。</w:t>
      </w:r>
    </w:p>
    <w:bookmarkEnd w:id="250"/>
    <w:bookmarkEnd w:id="251"/>
    <w:bookmarkEnd w:id="252"/>
    <w:bookmarkEnd w:id="253"/>
    <w:bookmarkEnd w:id="254"/>
    <w:bookmarkEnd w:id="255"/>
    <w:bookmarkEnd w:id="256"/>
    <w:bookmarkEnd w:id="257"/>
    <w:bookmarkEnd w:id="258"/>
    <w:p w14:paraId="51CEC27E">
      <w:pPr>
        <w:pStyle w:val="5"/>
        <w:spacing w:beforeLines="50" w:afterLines="50" w:line="360" w:lineRule="auto"/>
        <w:rPr>
          <w:rFonts w:ascii="宋体" w:hAnsi="宋体" w:cs="宋体"/>
          <w:sz w:val="30"/>
          <w:szCs w:val="30"/>
        </w:rPr>
      </w:pPr>
      <w:bookmarkStart w:id="270" w:name="_Toc9873"/>
      <w:bookmarkStart w:id="271" w:name="_Toc385992368"/>
      <w:bookmarkStart w:id="272" w:name="_Toc11754"/>
      <w:bookmarkStart w:id="273" w:name="_Toc20377"/>
      <w:bookmarkStart w:id="274" w:name="_Toc465958122"/>
      <w:bookmarkStart w:id="275" w:name="_Toc23291"/>
      <w:bookmarkStart w:id="276" w:name="_Toc23493"/>
      <w:bookmarkStart w:id="277" w:name="_Toc389620207"/>
      <w:bookmarkStart w:id="278" w:name="_Toc246928929"/>
      <w:r>
        <w:rPr>
          <w:rFonts w:hint="eastAsia" w:ascii="宋体" w:hAnsi="宋体" w:cs="宋体"/>
          <w:sz w:val="30"/>
          <w:szCs w:val="30"/>
        </w:rPr>
        <w:t>31 签订合同</w:t>
      </w:r>
    </w:p>
    <w:p w14:paraId="2A1BDD1C">
      <w:pPr>
        <w:spacing w:line="360" w:lineRule="auto"/>
        <w:rPr>
          <w:rFonts w:ascii="宋体" w:hAnsi="宋体" w:cs="宋体"/>
          <w:sz w:val="24"/>
        </w:rPr>
      </w:pPr>
      <w:r>
        <w:rPr>
          <w:rFonts w:hint="eastAsia" w:ascii="宋体" w:hAnsi="宋体" w:cs="宋体"/>
          <w:sz w:val="24"/>
        </w:rPr>
        <w:t>31.1成交供应商应当自成交通知书发出之日起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14:paraId="65FA6A24">
      <w:pPr>
        <w:spacing w:line="360" w:lineRule="auto"/>
        <w:rPr>
          <w:rFonts w:ascii="宋体" w:hAnsi="宋体" w:cs="宋体"/>
          <w:sz w:val="24"/>
        </w:rPr>
      </w:pPr>
      <w:r>
        <w:rPr>
          <w:rFonts w:hint="eastAsia" w:ascii="宋体" w:hAnsi="宋体" w:cs="宋体"/>
          <w:sz w:val="24"/>
        </w:rPr>
        <w:t>31.2 竞争性谈判文件、成交供应商的竞争性谈判响应文件和补充文件（如澄清、承诺等）等，均为签订合同的依据。所签订的合同不得对竞争性谈判文件和成交供应商竞争性谈判响应文件作实质性修改。</w:t>
      </w:r>
    </w:p>
    <w:bookmarkEnd w:id="270"/>
    <w:bookmarkEnd w:id="271"/>
    <w:bookmarkEnd w:id="272"/>
    <w:bookmarkEnd w:id="273"/>
    <w:bookmarkEnd w:id="274"/>
    <w:bookmarkEnd w:id="275"/>
    <w:bookmarkEnd w:id="276"/>
    <w:bookmarkEnd w:id="277"/>
    <w:bookmarkEnd w:id="278"/>
    <w:p w14:paraId="7A87A9C2">
      <w:pPr>
        <w:pStyle w:val="5"/>
        <w:spacing w:beforeLines="50" w:afterLines="50" w:line="360" w:lineRule="auto"/>
        <w:rPr>
          <w:rFonts w:ascii="宋体" w:hAnsi="宋体" w:cs="宋体"/>
          <w:sz w:val="30"/>
          <w:szCs w:val="30"/>
        </w:rPr>
      </w:pPr>
      <w:r>
        <w:rPr>
          <w:rFonts w:hint="eastAsia" w:ascii="宋体" w:hAnsi="宋体" w:cs="宋体"/>
          <w:sz w:val="30"/>
          <w:szCs w:val="30"/>
        </w:rPr>
        <w:t xml:space="preserve">32 招标代理服务费 </w:t>
      </w:r>
    </w:p>
    <w:p w14:paraId="4386AB02">
      <w:pPr>
        <w:spacing w:line="360" w:lineRule="auto"/>
        <w:rPr>
          <w:rFonts w:ascii="宋体" w:hAnsi="宋体" w:cs="仿宋_GB2312"/>
          <w:sz w:val="24"/>
          <w:szCs w:val="24"/>
        </w:rPr>
      </w:pPr>
      <w:r>
        <w:rPr>
          <w:rFonts w:hint="eastAsia" w:ascii="宋体" w:hAnsi="宋体" w:cs="宋体"/>
          <w:sz w:val="24"/>
        </w:rPr>
        <w:t xml:space="preserve">32.1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14:paraId="208F1D5C">
      <w:pPr>
        <w:spacing w:line="360" w:lineRule="auto"/>
        <w:rPr>
          <w:rFonts w:ascii="宋体" w:hAnsi="宋体" w:cs="宋体"/>
          <w:sz w:val="24"/>
          <w:highlight w:val="yellow"/>
        </w:rPr>
      </w:pPr>
      <w:r>
        <w:rPr>
          <w:rFonts w:hint="eastAsia" w:ascii="宋体" w:hAnsi="宋体" w:cs="仿宋_GB2312"/>
          <w:sz w:val="24"/>
          <w:szCs w:val="24"/>
        </w:rPr>
        <w:t>32.2  成交单位在领取成交通知书前，须向采购代理机构一次性支付招标代理服务费。</w:t>
      </w:r>
    </w:p>
    <w:p w14:paraId="0CDD0F4F">
      <w:pPr>
        <w:pStyle w:val="5"/>
        <w:spacing w:before="120" w:after="120" w:line="360" w:lineRule="auto"/>
        <w:rPr>
          <w:rFonts w:ascii="宋体" w:hAnsi="宋体" w:cs="宋体"/>
          <w:szCs w:val="22"/>
        </w:rPr>
      </w:pPr>
      <w:bookmarkStart w:id="279" w:name="_Hlt497548036"/>
      <w:bookmarkEnd w:id="279"/>
      <w:bookmarkStart w:id="280" w:name="_Toc93800308"/>
      <w:bookmarkStart w:id="281" w:name="_Toc9748"/>
      <w:bookmarkStart w:id="282" w:name="_Toc10852"/>
      <w:bookmarkStart w:id="283" w:name="_Toc492955459"/>
      <w:bookmarkStart w:id="284" w:name="_Toc497551820"/>
      <w:bookmarkStart w:id="285" w:name="_Toc13928"/>
      <w:bookmarkStart w:id="286" w:name="_Toc497712133"/>
      <w:bookmarkStart w:id="287" w:name="_Toc347478708"/>
      <w:bookmarkStart w:id="288" w:name="_Toc497711585"/>
      <w:bookmarkStart w:id="289" w:name="_Toc28607"/>
      <w:bookmarkStart w:id="290" w:name="_Toc497546918"/>
      <w:bookmarkStart w:id="291" w:name="_Toc497551821"/>
      <w:bookmarkStart w:id="292" w:name="_Toc389620242"/>
      <w:bookmarkStart w:id="293" w:name="_Toc385992402"/>
      <w:bookmarkStart w:id="294" w:name="_Toc497546919"/>
      <w:bookmarkStart w:id="295" w:name="_Toc246928960"/>
      <w:bookmarkStart w:id="296" w:name="_Toc492955460"/>
      <w:bookmarkStart w:id="297" w:name="_Toc497712134"/>
      <w:bookmarkStart w:id="298" w:name="_Toc497711586"/>
      <w:r>
        <w:rPr>
          <w:rFonts w:hint="eastAsia" w:ascii="宋体" w:hAnsi="宋体" w:cs="宋体"/>
          <w:szCs w:val="22"/>
        </w:rPr>
        <w:t>33 其他</w:t>
      </w:r>
    </w:p>
    <w:p w14:paraId="141D4FB3">
      <w:pPr>
        <w:spacing w:line="360" w:lineRule="auto"/>
        <w:ind w:firstLine="480" w:firstLineChars="200"/>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40280AF9">
      <w:pPr>
        <w:pStyle w:val="5"/>
        <w:spacing w:before="120" w:after="120" w:line="360" w:lineRule="auto"/>
        <w:rPr>
          <w:rFonts w:ascii="宋体" w:hAnsi="宋体" w:cs="宋体"/>
          <w:szCs w:val="22"/>
        </w:rPr>
      </w:pPr>
      <w:r>
        <w:rPr>
          <w:rFonts w:hint="eastAsia" w:ascii="宋体" w:hAnsi="宋体" w:cs="宋体"/>
          <w:szCs w:val="22"/>
        </w:rPr>
        <w:t>34 质疑提出与答复</w:t>
      </w:r>
    </w:p>
    <w:p w14:paraId="4EAE308B">
      <w:pPr>
        <w:pStyle w:val="18"/>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13D20A79">
      <w:pPr>
        <w:pStyle w:val="18"/>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60B1A67F">
      <w:pPr>
        <w:pStyle w:val="18"/>
        <w:adjustRightInd w:val="0"/>
        <w:snapToGrid w:val="0"/>
        <w:spacing w:before="0" w:beforeAutospacing="0" w:after="0" w:afterAutospacing="0" w:line="420" w:lineRule="exact"/>
        <w:ind w:firstLine="360" w:firstLineChars="150"/>
      </w:pPr>
      <w:r>
        <w:rPr>
          <w:rFonts w:hint="eastAsia"/>
        </w:rPr>
        <w:t>《政府采购供应商质疑函范本》链接地址：</w:t>
      </w:r>
    </w:p>
    <w:p w14:paraId="692F64C6">
      <w:pPr>
        <w:pStyle w:val="18"/>
        <w:adjustRightInd w:val="0"/>
        <w:snapToGrid w:val="0"/>
        <w:spacing w:before="0" w:beforeAutospacing="0" w:after="0" w:afterAutospacing="0" w:line="420" w:lineRule="exact"/>
        <w:ind w:firstLine="360" w:firstLineChars="150"/>
      </w:pPr>
      <w:r>
        <w:rPr>
          <w:rFonts w:hint="eastAsia"/>
        </w:rPr>
        <w:t>http://www.mof.gov.cn/gp/xxgkml/gks/201802/t20180201_2804587.htm</w:t>
      </w:r>
    </w:p>
    <w:p w14:paraId="62533F2E">
      <w:pPr>
        <w:pStyle w:val="18"/>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34F2B4B5">
      <w:pPr>
        <w:pStyle w:val="18"/>
        <w:adjustRightInd w:val="0"/>
        <w:snapToGrid w:val="0"/>
        <w:spacing w:before="0" w:beforeAutospacing="0" w:after="0" w:afterAutospacing="0" w:line="420" w:lineRule="exact"/>
        <w:ind w:firstLine="360" w:firstLineChars="150"/>
      </w:pPr>
      <w:r>
        <w:rPr>
          <w:rFonts w:hint="eastAsia"/>
        </w:rPr>
        <w:t>2.1质疑函应当包括下列内容：</w:t>
      </w:r>
    </w:p>
    <w:p w14:paraId="7CBB7716">
      <w:pPr>
        <w:pStyle w:val="18"/>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4C0723A9">
      <w:pPr>
        <w:pStyle w:val="18"/>
        <w:adjustRightInd w:val="0"/>
        <w:snapToGrid w:val="0"/>
        <w:spacing w:before="0" w:beforeAutospacing="0" w:after="0" w:afterAutospacing="0" w:line="420" w:lineRule="exact"/>
        <w:ind w:firstLine="360" w:firstLineChars="150"/>
      </w:pPr>
      <w:r>
        <w:rPr>
          <w:rFonts w:hint="eastAsia"/>
        </w:rPr>
        <w:t>（2）质疑项目的名称、编号；</w:t>
      </w:r>
    </w:p>
    <w:p w14:paraId="4D80D80F">
      <w:pPr>
        <w:pStyle w:val="18"/>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14:paraId="13310791">
      <w:pPr>
        <w:pStyle w:val="18"/>
        <w:adjustRightInd w:val="0"/>
        <w:snapToGrid w:val="0"/>
        <w:spacing w:before="0" w:beforeAutospacing="0" w:after="0" w:afterAutospacing="0" w:line="420" w:lineRule="exact"/>
        <w:ind w:firstLine="360" w:firstLineChars="150"/>
      </w:pPr>
      <w:r>
        <w:rPr>
          <w:rFonts w:hint="eastAsia"/>
        </w:rPr>
        <w:t>（4）事实依据；</w:t>
      </w:r>
    </w:p>
    <w:p w14:paraId="1C47FEB7">
      <w:pPr>
        <w:pStyle w:val="18"/>
        <w:adjustRightInd w:val="0"/>
        <w:snapToGrid w:val="0"/>
        <w:spacing w:before="0" w:beforeAutospacing="0" w:after="0" w:afterAutospacing="0" w:line="420" w:lineRule="exact"/>
        <w:ind w:firstLine="360" w:firstLineChars="150"/>
      </w:pPr>
      <w:r>
        <w:rPr>
          <w:rFonts w:hint="eastAsia"/>
        </w:rPr>
        <w:t>（5）必要的法律依据；</w:t>
      </w:r>
    </w:p>
    <w:p w14:paraId="1AAEFA09">
      <w:pPr>
        <w:pStyle w:val="18"/>
        <w:adjustRightInd w:val="0"/>
        <w:snapToGrid w:val="0"/>
        <w:spacing w:before="0" w:beforeAutospacing="0" w:after="0" w:afterAutospacing="0" w:line="420" w:lineRule="exact"/>
        <w:ind w:firstLine="360" w:firstLineChars="150"/>
      </w:pPr>
      <w:r>
        <w:rPr>
          <w:rFonts w:hint="eastAsia"/>
        </w:rPr>
        <w:t xml:space="preserve">（6）提出质疑的日期。 </w:t>
      </w:r>
    </w:p>
    <w:p w14:paraId="6DB3FB4C">
      <w:pPr>
        <w:pStyle w:val="18"/>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3287442A">
      <w:pPr>
        <w:pStyle w:val="18"/>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14:paraId="2B660CEC">
      <w:pPr>
        <w:pStyle w:val="18"/>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14:paraId="041965A4">
      <w:pPr>
        <w:pStyle w:val="18"/>
        <w:adjustRightInd w:val="0"/>
        <w:snapToGrid w:val="0"/>
        <w:spacing w:before="0" w:beforeAutospacing="0" w:after="0" w:afterAutospacing="0" w:line="420" w:lineRule="exact"/>
        <w:ind w:firstLine="360" w:firstLineChars="150"/>
      </w:pPr>
      <w:r>
        <w:rPr>
          <w:rFonts w:hint="eastAsia"/>
        </w:rPr>
        <w:t>（2）质疑人与质疑事项不存在利害关系的；</w:t>
      </w:r>
    </w:p>
    <w:p w14:paraId="4E03E204">
      <w:pPr>
        <w:pStyle w:val="18"/>
        <w:adjustRightInd w:val="0"/>
        <w:snapToGrid w:val="0"/>
        <w:spacing w:before="0" w:beforeAutospacing="0" w:after="0" w:afterAutospacing="0" w:line="420" w:lineRule="exact"/>
        <w:ind w:firstLine="360" w:firstLineChars="150"/>
      </w:pPr>
      <w:r>
        <w:rPr>
          <w:rFonts w:hint="eastAsia"/>
        </w:rPr>
        <w:t>（3）未在法定期限内提出质疑的；</w:t>
      </w:r>
    </w:p>
    <w:p w14:paraId="5695554F">
      <w:pPr>
        <w:pStyle w:val="18"/>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14:paraId="340D83DA">
      <w:pPr>
        <w:pStyle w:val="18"/>
        <w:adjustRightInd w:val="0"/>
        <w:snapToGrid w:val="0"/>
        <w:spacing w:before="0" w:beforeAutospacing="0" w:after="0" w:afterAutospacing="0" w:line="420" w:lineRule="exact"/>
        <w:ind w:firstLine="360" w:firstLineChars="150"/>
      </w:pPr>
      <w:r>
        <w:rPr>
          <w:rFonts w:hint="eastAsia"/>
        </w:rPr>
        <w:t>（5）质疑函没有合法有效的签字、盖章或授权的；</w:t>
      </w:r>
    </w:p>
    <w:p w14:paraId="1D9E5CDC">
      <w:pPr>
        <w:pStyle w:val="18"/>
        <w:adjustRightInd w:val="0"/>
        <w:snapToGrid w:val="0"/>
        <w:spacing w:before="0" w:beforeAutospacing="0" w:after="0" w:afterAutospacing="0" w:line="420" w:lineRule="exact"/>
        <w:ind w:firstLine="360" w:firstLineChars="150"/>
      </w:pPr>
      <w:r>
        <w:rPr>
          <w:rFonts w:hint="eastAsia"/>
        </w:rPr>
        <w:t>（6）以非法手段取得证据、材料的；</w:t>
      </w:r>
    </w:p>
    <w:p w14:paraId="7F0318E2">
      <w:pPr>
        <w:pStyle w:val="18"/>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14:paraId="6305BB2B">
      <w:pPr>
        <w:pStyle w:val="18"/>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14:paraId="40EFE144">
      <w:pPr>
        <w:pStyle w:val="18"/>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08FABB5D">
      <w:pPr>
        <w:pStyle w:val="18"/>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14:paraId="6F8893B1">
      <w:pPr>
        <w:pStyle w:val="18"/>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14:paraId="4C8B8A48">
      <w:pPr>
        <w:pStyle w:val="18"/>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4EE4EE5C">
      <w:pPr>
        <w:pStyle w:val="18"/>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14:paraId="78BBB315">
      <w:pPr>
        <w:pStyle w:val="18"/>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74CCCFC2">
      <w:pPr>
        <w:pStyle w:val="18"/>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465ACAD8">
      <w:pPr>
        <w:pStyle w:val="18"/>
        <w:adjustRightInd w:val="0"/>
        <w:snapToGrid w:val="0"/>
        <w:spacing w:before="0" w:beforeAutospacing="0" w:after="0" w:afterAutospacing="0" w:line="420" w:lineRule="exact"/>
        <w:ind w:firstLine="360" w:firstLineChars="150"/>
      </w:pPr>
      <w:r>
        <w:rPr>
          <w:rFonts w:hint="eastAsia"/>
        </w:rPr>
        <w:t>9、质疑函递交地址：</w:t>
      </w:r>
      <w:r>
        <w:rPr>
          <w:rFonts w:hint="eastAsia" w:ascii="宋体" w:hAnsi="宋体" w:eastAsia="宋体" w:cs="宋体"/>
          <w:i w:val="0"/>
          <w:caps w:val="0"/>
          <w:color w:val="333333"/>
          <w:spacing w:val="0"/>
          <w:sz w:val="24"/>
          <w:szCs w:val="24"/>
          <w:shd w:val="clear" w:color="auto" w:fill="FFFFFF"/>
          <w:vertAlign w:val="baseline"/>
        </w:rPr>
        <w:t>榆林市高新区安居路14号金叶小区一楼商铺</w:t>
      </w:r>
    </w:p>
    <w:p w14:paraId="7ED0E094">
      <w:pPr>
        <w:pStyle w:val="18"/>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14:paraId="157D2668">
      <w:pPr>
        <w:pStyle w:val="18"/>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联系方式：0912-3448777</w:t>
      </w:r>
    </w:p>
    <w:bookmarkEnd w:id="280"/>
    <w:bookmarkEnd w:id="281"/>
    <w:bookmarkEnd w:id="282"/>
    <w:bookmarkEnd w:id="283"/>
    <w:bookmarkEnd w:id="284"/>
    <w:bookmarkEnd w:id="285"/>
    <w:bookmarkEnd w:id="286"/>
    <w:bookmarkEnd w:id="287"/>
    <w:bookmarkEnd w:id="288"/>
    <w:bookmarkEnd w:id="289"/>
    <w:bookmarkEnd w:id="290"/>
    <w:p w14:paraId="5A4A613F">
      <w:pPr>
        <w:pStyle w:val="3"/>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9" w:name="_Toc24136"/>
      <w:bookmarkStart w:id="300" w:name="_Toc18524"/>
    </w:p>
    <w:p w14:paraId="3B99C436">
      <w:pPr>
        <w:pStyle w:val="3"/>
        <w:spacing w:line="240" w:lineRule="auto"/>
        <w:jc w:val="center"/>
        <w:rPr>
          <w:rFonts w:ascii="宋体" w:hAnsi="宋体" w:cs="宋体"/>
          <w:sz w:val="24"/>
          <w:szCs w:val="24"/>
        </w:rPr>
      </w:pPr>
      <w:bookmarkStart w:id="301"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301"/>
      <w:bookmarkStart w:id="302" w:name="_Toc3964"/>
    </w:p>
    <w:p w14:paraId="193AC765">
      <w:pPr>
        <w:spacing w:line="360" w:lineRule="auto"/>
        <w:jc w:val="center"/>
        <w:rPr>
          <w:rFonts w:hint="eastAsia" w:ascii="宋体" w:hAnsi="宋体"/>
          <w:b/>
          <w:sz w:val="24"/>
        </w:rPr>
      </w:pPr>
      <w:r>
        <w:rPr>
          <w:rFonts w:hint="eastAsia"/>
          <w:b/>
        </w:rPr>
        <w:t>（此合同只作为参考，最终签订的合同以采购人确定的合同内容为准。）</w:t>
      </w:r>
    </w:p>
    <w:p w14:paraId="4D2891DE">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14:paraId="7F98DBF9">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14:paraId="7D945AE6">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14:paraId="7E11950D">
      <w:pPr>
        <w:adjustRightInd w:val="0"/>
        <w:snapToGrid w:val="0"/>
        <w:spacing w:line="520" w:lineRule="exact"/>
        <w:rPr>
          <w:rFonts w:hint="eastAsia" w:ascii="宋体" w:hAnsi="宋体"/>
          <w:b/>
          <w:sz w:val="24"/>
        </w:rPr>
      </w:pPr>
      <w:r>
        <w:rPr>
          <w:rFonts w:hint="eastAsia" w:ascii="宋体" w:hAnsi="宋体"/>
          <w:b/>
          <w:sz w:val="24"/>
        </w:rPr>
        <w:t>一、项目概况</w:t>
      </w:r>
    </w:p>
    <w:p w14:paraId="54B45B4B">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14:paraId="0EC92A34">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14:paraId="2D4439C8">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14:paraId="073DDC35">
      <w:pPr>
        <w:adjustRightInd w:val="0"/>
        <w:snapToGrid w:val="0"/>
        <w:spacing w:line="520" w:lineRule="exact"/>
        <w:rPr>
          <w:rFonts w:hint="eastAsia" w:ascii="宋体" w:hAnsi="宋体"/>
          <w:b/>
          <w:sz w:val="24"/>
        </w:rPr>
      </w:pPr>
      <w:r>
        <w:rPr>
          <w:rFonts w:hint="eastAsia" w:ascii="宋体" w:hAnsi="宋体"/>
          <w:b/>
          <w:sz w:val="24"/>
        </w:rPr>
        <w:t>二、组成本合同的文件</w:t>
      </w:r>
    </w:p>
    <w:p w14:paraId="34F4288A">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14:paraId="6B4B0221">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14:paraId="7B94F5B5">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14:paraId="0E42D91E">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14:paraId="69CDA4D0">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14:paraId="581D32EA">
      <w:pPr>
        <w:adjustRightInd w:val="0"/>
        <w:snapToGrid w:val="0"/>
        <w:spacing w:line="520" w:lineRule="exact"/>
        <w:rPr>
          <w:rFonts w:hint="eastAsia" w:ascii="宋体" w:hAnsi="宋体"/>
          <w:b/>
          <w:sz w:val="24"/>
        </w:rPr>
      </w:pPr>
      <w:r>
        <w:rPr>
          <w:rFonts w:hint="eastAsia" w:ascii="宋体" w:hAnsi="宋体"/>
          <w:b/>
          <w:sz w:val="24"/>
        </w:rPr>
        <w:t>三、签约金额</w:t>
      </w:r>
    </w:p>
    <w:p w14:paraId="7AD31F25">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14:paraId="03D72BFD">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14:paraId="620822F4">
      <w:pPr>
        <w:numPr>
          <w:ilvl w:val="0"/>
          <w:numId w:val="6"/>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14:paraId="29AE053D">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14:paraId="20299387">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r>
        <w:rPr>
          <w:rFonts w:hint="eastAsia"/>
          <w:sz w:val="24"/>
          <w:szCs w:val="24"/>
          <w:lang w:eastAsia="zh-CN"/>
        </w:rPr>
        <w:t>竣工验收后一次性结清。</w:t>
      </w:r>
    </w:p>
    <w:p w14:paraId="534DDB74">
      <w:pPr>
        <w:adjustRightInd w:val="0"/>
        <w:snapToGrid w:val="0"/>
        <w:spacing w:line="520" w:lineRule="exact"/>
        <w:rPr>
          <w:rFonts w:hint="eastAsia" w:ascii="宋体" w:hAnsi="宋体"/>
          <w:b/>
          <w:sz w:val="24"/>
        </w:rPr>
      </w:pPr>
      <w:r>
        <w:rPr>
          <w:rFonts w:hint="eastAsia" w:ascii="宋体" w:hAnsi="宋体"/>
          <w:b/>
          <w:sz w:val="24"/>
        </w:rPr>
        <w:t>五、期限</w:t>
      </w:r>
    </w:p>
    <w:p w14:paraId="16ECE05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交货期</w:t>
      </w:r>
      <w:r>
        <w:rPr>
          <w:rFonts w:hint="eastAsia" w:ascii="宋体" w:hAnsi="宋体" w:eastAsia="宋体" w:cs="宋体"/>
          <w:color w:val="auto"/>
          <w:sz w:val="24"/>
          <w:szCs w:val="24"/>
        </w:rPr>
        <w:t>：</w:t>
      </w:r>
    </w:p>
    <w:p w14:paraId="2EEC252E">
      <w:pPr>
        <w:adjustRightInd w:val="0"/>
        <w:snapToGrid w:val="0"/>
        <w:spacing w:line="520" w:lineRule="exact"/>
        <w:rPr>
          <w:rFonts w:hint="eastAsia" w:ascii="宋体" w:hAnsi="宋体"/>
          <w:b/>
          <w:sz w:val="24"/>
        </w:rPr>
      </w:pPr>
      <w:r>
        <w:rPr>
          <w:rFonts w:hint="eastAsia" w:ascii="宋体" w:hAnsi="宋体"/>
          <w:b/>
          <w:sz w:val="24"/>
        </w:rPr>
        <w:t>六、双方承诺</w:t>
      </w:r>
    </w:p>
    <w:p w14:paraId="4228ABCA">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14:paraId="45ACF89A">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14:paraId="51DBB42D">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14:paraId="43928DF1">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w:t>
      </w:r>
      <w:r>
        <w:rPr>
          <w:rFonts w:hint="eastAsia" w:ascii="宋体" w:hAnsi="宋体"/>
          <w:sz w:val="24"/>
          <w:lang w:val="en-US" w:eastAsia="zh-CN"/>
        </w:rPr>
        <w:t>交货</w:t>
      </w:r>
      <w:r>
        <w:rPr>
          <w:rFonts w:hint="eastAsia" w:ascii="宋体" w:hAnsi="宋体"/>
          <w:sz w:val="24"/>
        </w:rPr>
        <w:t>内容与竞争性谈判响应文件、成交通知书等所指明的，或者与本合同所指明的服务内容相一致。（附清单）</w:t>
      </w:r>
    </w:p>
    <w:p w14:paraId="7EA7AB83">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14:paraId="1E585CE2">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14:paraId="6442E7FA">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14:paraId="1985B298">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14:paraId="61C30792">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14:paraId="185079BA">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14:paraId="36B3D365">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14:paraId="5810AC98">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14:paraId="2201A541">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537969F6">
      <w:pPr>
        <w:adjustRightInd w:val="0"/>
        <w:snapToGrid w:val="0"/>
        <w:spacing w:line="520" w:lineRule="exact"/>
        <w:rPr>
          <w:rFonts w:hint="eastAsia" w:ascii="宋体" w:hAnsi="宋体"/>
          <w:b/>
          <w:sz w:val="24"/>
        </w:rPr>
      </w:pPr>
      <w:r>
        <w:rPr>
          <w:rFonts w:hint="eastAsia" w:ascii="宋体" w:hAnsi="宋体"/>
          <w:b/>
          <w:sz w:val="24"/>
        </w:rPr>
        <w:t>十五、验收</w:t>
      </w:r>
    </w:p>
    <w:p w14:paraId="41DAB981">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599AE968">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14:paraId="7290F668">
      <w:pPr>
        <w:adjustRightInd w:val="0"/>
        <w:snapToGrid w:val="0"/>
        <w:spacing w:line="520" w:lineRule="exact"/>
        <w:rPr>
          <w:rFonts w:hint="eastAsia" w:ascii="宋体" w:hAnsi="宋体"/>
          <w:b/>
          <w:sz w:val="24"/>
        </w:rPr>
      </w:pPr>
      <w:r>
        <w:rPr>
          <w:rFonts w:hint="eastAsia" w:ascii="宋体" w:hAnsi="宋体"/>
          <w:b/>
          <w:sz w:val="24"/>
        </w:rPr>
        <w:t>十七、合同订立</w:t>
      </w:r>
    </w:p>
    <w:p w14:paraId="5D26DE62">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4662981">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14:paraId="72BD1BAE">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14:paraId="0676F6F2">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14:paraId="288061FE">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14:paraId="7FBB42E9">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14:paraId="7E79E44D">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14:paraId="32376213">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14:paraId="44DCFE35">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14:paraId="4B6CC101">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568A2EC0">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14:paraId="7CF14ABB">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14:paraId="2B4CCC99">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14:paraId="4E1B95AA">
      <w:pPr>
        <w:spacing w:line="360" w:lineRule="auto"/>
        <w:jc w:val="center"/>
        <w:outlineLvl w:val="0"/>
        <w:rPr>
          <w:rFonts w:hint="eastAsia" w:ascii="宋体" w:hAnsi="宋体" w:cs="宋体"/>
          <w:b/>
          <w:kern w:val="44"/>
          <w:sz w:val="36"/>
          <w:szCs w:val="22"/>
        </w:rPr>
      </w:pPr>
    </w:p>
    <w:p w14:paraId="61C876B4">
      <w:pPr>
        <w:spacing w:line="360" w:lineRule="auto"/>
        <w:jc w:val="center"/>
        <w:outlineLvl w:val="0"/>
        <w:rPr>
          <w:rFonts w:hint="eastAsia" w:ascii="宋体" w:hAnsi="宋体" w:cs="宋体"/>
          <w:b/>
          <w:kern w:val="44"/>
          <w:sz w:val="36"/>
          <w:szCs w:val="22"/>
        </w:rPr>
      </w:pPr>
    </w:p>
    <w:p w14:paraId="56EFA9BF">
      <w:pPr>
        <w:spacing w:line="360" w:lineRule="auto"/>
        <w:jc w:val="center"/>
        <w:outlineLvl w:val="0"/>
        <w:rPr>
          <w:rFonts w:hint="eastAsia" w:ascii="宋体" w:hAnsi="宋体" w:cs="宋体"/>
          <w:b/>
          <w:kern w:val="44"/>
          <w:sz w:val="36"/>
          <w:szCs w:val="22"/>
        </w:rPr>
      </w:pPr>
    </w:p>
    <w:p w14:paraId="732588D5">
      <w:pPr>
        <w:spacing w:line="360" w:lineRule="auto"/>
        <w:jc w:val="center"/>
        <w:outlineLvl w:val="0"/>
        <w:rPr>
          <w:rFonts w:hint="eastAsia" w:ascii="宋体" w:hAnsi="宋体" w:cs="宋体"/>
          <w:b/>
          <w:kern w:val="44"/>
          <w:sz w:val="36"/>
          <w:szCs w:val="22"/>
        </w:rPr>
      </w:pPr>
    </w:p>
    <w:p w14:paraId="3653E7F2">
      <w:pPr>
        <w:pStyle w:val="8"/>
        <w:rPr>
          <w:rFonts w:hint="eastAsia" w:ascii="宋体" w:hAnsi="宋体" w:cs="宋体"/>
          <w:b/>
          <w:kern w:val="44"/>
          <w:sz w:val="36"/>
          <w:szCs w:val="22"/>
        </w:rPr>
      </w:pPr>
    </w:p>
    <w:p w14:paraId="7DC25817">
      <w:pPr>
        <w:rPr>
          <w:rFonts w:hint="eastAsia"/>
        </w:rPr>
      </w:pPr>
    </w:p>
    <w:p w14:paraId="181371A7">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9"/>
      <w:bookmarkEnd w:id="300"/>
      <w:bookmarkEnd w:id="302"/>
    </w:p>
    <w:bookmarkEnd w:id="291"/>
    <w:bookmarkEnd w:id="292"/>
    <w:bookmarkEnd w:id="293"/>
    <w:bookmarkEnd w:id="294"/>
    <w:bookmarkEnd w:id="295"/>
    <w:bookmarkEnd w:id="296"/>
    <w:bookmarkEnd w:id="297"/>
    <w:bookmarkEnd w:id="298"/>
    <w:p w14:paraId="4332BE18">
      <w:pPr>
        <w:spacing w:line="360" w:lineRule="auto"/>
        <w:ind w:firstLine="448" w:firstLineChars="186"/>
        <w:rPr>
          <w:rFonts w:ascii="宋体" w:hAnsi="宋体" w:cs="宋体"/>
          <w:bCs/>
          <w:sz w:val="24"/>
        </w:rPr>
      </w:pPr>
      <w:bookmarkStart w:id="303" w:name="_Toc14458"/>
      <w:bookmarkStart w:id="304" w:name="_Toc465958129"/>
      <w:bookmarkStart w:id="305" w:name="_Toc246928961"/>
      <w:bookmarkStart w:id="306" w:name="_Toc246928962"/>
      <w:bookmarkStart w:id="307" w:name="_Toc128557264"/>
      <w:bookmarkStart w:id="308" w:name="_Toc497712137"/>
      <w:bookmarkStart w:id="309" w:name="_Toc497551824"/>
      <w:bookmarkStart w:id="310" w:name="_Toc385992404"/>
      <w:bookmarkStart w:id="311" w:name="_Toc497546922"/>
      <w:bookmarkStart w:id="312" w:name="_Toc497711589"/>
      <w:bookmarkStart w:id="313" w:name="_Toc492955463"/>
      <w:bookmarkStart w:id="314" w:name="_Toc389620244"/>
      <w:r>
        <w:rPr>
          <w:rFonts w:hint="eastAsia" w:ascii="宋体" w:hAnsi="宋体" w:cs="宋体"/>
          <w:b/>
          <w:bCs/>
          <w:sz w:val="24"/>
        </w:rPr>
        <w:t>一、</w:t>
      </w:r>
      <w:r>
        <w:rPr>
          <w:rFonts w:hint="eastAsia" w:ascii="宋体" w:hAnsi="宋体" w:cs="宋体"/>
          <w:b/>
          <w:bCs/>
          <w:sz w:val="24"/>
          <w:szCs w:val="24"/>
          <w:lang w:val="en-US" w:eastAsia="zh-CN"/>
        </w:rPr>
        <w:t>交货</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14:paraId="6A8363E5">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交货</w:t>
      </w:r>
      <w:r>
        <w:rPr>
          <w:rFonts w:hint="eastAsia" w:ascii="宋体" w:hAnsi="宋体" w:cs="宋体"/>
          <w:b/>
          <w:bCs/>
          <w:sz w:val="24"/>
          <w:szCs w:val="24"/>
          <w:lang w:eastAsia="zh-CN"/>
        </w:rPr>
        <w:t>期</w:t>
      </w:r>
      <w:r>
        <w:rPr>
          <w:rFonts w:hint="eastAsia" w:ascii="宋体" w:hAnsi="宋体" w:cs="宋体"/>
          <w:sz w:val="24"/>
          <w:szCs w:val="24"/>
        </w:rPr>
        <w:t>：</w:t>
      </w:r>
      <w:r>
        <w:rPr>
          <w:rFonts w:hint="eastAsia" w:ascii="宋体" w:hAnsi="宋体" w:cs="宋体"/>
          <w:sz w:val="24"/>
          <w:szCs w:val="24"/>
          <w:lang w:val="en-US" w:eastAsia="zh-CN"/>
        </w:rPr>
        <w:t>25天</w:t>
      </w:r>
      <w:r>
        <w:rPr>
          <w:rFonts w:hint="eastAsia" w:ascii="宋体" w:hAnsi="宋体" w:cs="宋体"/>
          <w:color w:val="FF0000"/>
          <w:sz w:val="24"/>
          <w:szCs w:val="24"/>
        </w:rPr>
        <w:t xml:space="preserve">   </w:t>
      </w:r>
    </w:p>
    <w:p w14:paraId="04A22884">
      <w:pPr>
        <w:spacing w:line="360" w:lineRule="auto"/>
        <w:ind w:firstLine="482" w:firstLineChars="200"/>
        <w:rPr>
          <w:rFonts w:ascii="宋体" w:hAnsi="宋体" w:cs="宋体"/>
          <w:b/>
          <w:bCs/>
          <w:sz w:val="24"/>
        </w:rPr>
      </w:pPr>
      <w:r>
        <w:rPr>
          <w:rFonts w:hint="eastAsia" w:ascii="宋体" w:hAnsi="宋体" w:cs="宋体"/>
          <w:b/>
          <w:bCs/>
          <w:sz w:val="24"/>
        </w:rPr>
        <w:t>三、合同价款</w:t>
      </w:r>
    </w:p>
    <w:p w14:paraId="66923161">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14:paraId="41BE57DB">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14:paraId="01380B19">
      <w:pPr>
        <w:spacing w:line="360" w:lineRule="auto"/>
        <w:ind w:firstLine="482" w:firstLineChars="200"/>
        <w:rPr>
          <w:rFonts w:ascii="宋体" w:hAnsi="宋体" w:cs="宋体"/>
          <w:b/>
          <w:bCs/>
          <w:sz w:val="24"/>
        </w:rPr>
      </w:pPr>
      <w:r>
        <w:rPr>
          <w:rFonts w:hint="eastAsia" w:ascii="宋体" w:hAnsi="宋体" w:cs="宋体"/>
          <w:b/>
          <w:bCs/>
          <w:sz w:val="24"/>
        </w:rPr>
        <w:t>四、款项结算</w:t>
      </w:r>
    </w:p>
    <w:p w14:paraId="141FEE36">
      <w:pPr>
        <w:widowControl/>
        <w:tabs>
          <w:tab w:val="left" w:pos="1620"/>
        </w:tabs>
        <w:adjustRightInd w:val="0"/>
        <w:snapToGrid w:val="0"/>
        <w:spacing w:line="360" w:lineRule="auto"/>
        <w:ind w:firstLine="480" w:firstLineChars="200"/>
        <w:jc w:val="left"/>
        <w:rPr>
          <w:rFonts w:hint="default" w:ascii="宋体" w:hAnsi="宋体" w:cs="宋体"/>
          <w:sz w:val="24"/>
          <w:szCs w:val="24"/>
          <w:lang w:val="en-US"/>
        </w:rPr>
      </w:pPr>
      <w:r>
        <w:rPr>
          <w:rFonts w:hint="eastAsia"/>
          <w:sz w:val="24"/>
          <w:szCs w:val="24"/>
        </w:rPr>
        <w:t>1、付款方式：</w:t>
      </w:r>
      <w:r>
        <w:rPr>
          <w:rFonts w:hint="eastAsia"/>
          <w:sz w:val="24"/>
          <w:szCs w:val="24"/>
          <w:lang w:val="en-US" w:eastAsia="zh-CN"/>
        </w:rPr>
        <w:t>合同签订后预付中标金额的40%，验收合格后一次性付清</w:t>
      </w:r>
    </w:p>
    <w:p w14:paraId="4EE6B9B9">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14:paraId="3FF719CC">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14:paraId="1E0BBB0F">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14:paraId="5FE3699A">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14:paraId="56F35634">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303"/>
    <w:p w14:paraId="760E0F9D">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38E5574E">
      <w:pPr>
        <w:bidi w:val="0"/>
        <w:rPr>
          <w:rFonts w:hint="eastAsia"/>
        </w:rPr>
      </w:pPr>
    </w:p>
    <w:p w14:paraId="46535B49">
      <w:pPr>
        <w:bidi w:val="0"/>
        <w:rPr>
          <w:rFonts w:hint="eastAsia"/>
        </w:rPr>
      </w:pPr>
    </w:p>
    <w:p w14:paraId="581D863C">
      <w:pPr>
        <w:bidi w:val="0"/>
        <w:rPr>
          <w:rFonts w:hint="eastAsia"/>
        </w:rPr>
      </w:pPr>
    </w:p>
    <w:p w14:paraId="57C3EC5B">
      <w:pPr>
        <w:pStyle w:val="2"/>
        <w:rPr>
          <w:rFonts w:hint="eastAsia"/>
        </w:rPr>
      </w:pPr>
    </w:p>
    <w:p w14:paraId="4B0A18CC">
      <w:pPr>
        <w:pStyle w:val="2"/>
        <w:rPr>
          <w:rFonts w:hint="eastAsia"/>
        </w:rPr>
      </w:pPr>
    </w:p>
    <w:p w14:paraId="097783A9">
      <w:pPr>
        <w:pStyle w:val="2"/>
        <w:rPr>
          <w:rFonts w:hint="eastAsia"/>
        </w:rPr>
      </w:pPr>
    </w:p>
    <w:p w14:paraId="1A56830F">
      <w:pPr>
        <w:pStyle w:val="3"/>
        <w:numPr>
          <w:ilvl w:val="0"/>
          <w:numId w:val="7"/>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14:paraId="3C95FBCD">
      <w:pPr>
        <w:bidi w:val="0"/>
        <w:jc w:val="center"/>
        <w:rPr>
          <w:rFonts w:hint="eastAsia" w:ascii="宋体" w:hAnsi="宋体" w:eastAsia="宋体" w:cs="宋体"/>
          <w:b/>
          <w:bCs/>
          <w:sz w:val="36"/>
          <w:szCs w:val="52"/>
          <w:lang w:val="en-US" w:eastAsia="zh-CN"/>
        </w:rPr>
      </w:pPr>
      <w:bookmarkStart w:id="315" w:name="_Toc28145"/>
      <w:r>
        <w:rPr>
          <w:rFonts w:hint="eastAsia" w:ascii="宋体" w:hAnsi="宋体" w:eastAsia="宋体" w:cs="宋体"/>
          <w:b/>
          <w:bCs/>
          <w:sz w:val="36"/>
          <w:szCs w:val="52"/>
          <w:lang w:val="en-US" w:eastAsia="zh-CN"/>
        </w:rPr>
        <w:t>第六部分</w:t>
      </w:r>
      <w:r>
        <w:rPr>
          <w:rFonts w:hint="eastAsia" w:ascii="宋体" w:hAnsi="宋体" w:cs="宋体"/>
          <w:b/>
          <w:bCs/>
          <w:sz w:val="36"/>
          <w:szCs w:val="52"/>
          <w:lang w:val="en-US" w:eastAsia="zh-CN"/>
        </w:rPr>
        <w:t xml:space="preserve">  </w:t>
      </w:r>
      <w:r>
        <w:rPr>
          <w:rFonts w:hint="eastAsia" w:ascii="宋体" w:hAnsi="宋体" w:eastAsia="宋体" w:cs="宋体"/>
          <w:b/>
          <w:bCs/>
          <w:sz w:val="36"/>
          <w:szCs w:val="52"/>
          <w:lang w:val="en-US" w:eastAsia="zh-CN"/>
        </w:rPr>
        <w:t>采购内容需求</w:t>
      </w:r>
    </w:p>
    <w:p w14:paraId="640EE7CE">
      <w:pPr>
        <w:sectPr>
          <w:footnotePr>
            <w:pos w:val="beneathText"/>
          </w:footnotePr>
          <w:pgSz w:w="11906" w:h="16838"/>
          <w:pgMar w:top="1701" w:right="1418" w:bottom="1701" w:left="1418" w:header="1091" w:footer="992" w:gutter="0"/>
          <w:cols w:space="720" w:num="1"/>
          <w:titlePg/>
          <w:docGrid w:type="lines" w:linePitch="312" w:charSpace="0"/>
        </w:sectPr>
      </w:pPr>
    </w:p>
    <w:tbl>
      <w:tblPr>
        <w:tblStyle w:val="22"/>
        <w:tblW w:w="13950"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42"/>
        <w:gridCol w:w="10952"/>
        <w:gridCol w:w="699"/>
        <w:gridCol w:w="717"/>
      </w:tblGrid>
      <w:tr w14:paraId="50C1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40" w:type="dxa"/>
            <w:vAlign w:val="center"/>
          </w:tcPr>
          <w:p w14:paraId="69F382C4">
            <w:pPr>
              <w:spacing w:line="360" w:lineRule="auto"/>
              <w:jc w:val="center"/>
              <w:rPr>
                <w:rFonts w:hint="eastAsia" w:ascii="宋体" w:hAnsi="宋体" w:eastAsia="宋体" w:cs="宋体"/>
                <w:color w:val="auto"/>
              </w:rPr>
            </w:pPr>
            <w:r>
              <w:rPr>
                <w:rFonts w:hint="eastAsia" w:ascii="宋体" w:hAnsi="宋体" w:eastAsia="宋体" w:cs="宋体"/>
                <w:color w:val="auto"/>
              </w:rPr>
              <w:t>序号</w:t>
            </w:r>
          </w:p>
        </w:tc>
        <w:tc>
          <w:tcPr>
            <w:tcW w:w="842" w:type="dxa"/>
            <w:vAlign w:val="center"/>
          </w:tcPr>
          <w:p w14:paraId="1B76CE56">
            <w:pPr>
              <w:spacing w:line="360" w:lineRule="auto"/>
              <w:jc w:val="center"/>
              <w:rPr>
                <w:rFonts w:hint="eastAsia" w:ascii="宋体" w:hAnsi="宋体" w:eastAsia="宋体" w:cs="宋体"/>
                <w:color w:val="auto"/>
              </w:rPr>
            </w:pPr>
            <w:r>
              <w:rPr>
                <w:rFonts w:hint="eastAsia" w:ascii="宋体" w:hAnsi="宋体" w:eastAsia="宋体" w:cs="宋体"/>
                <w:color w:val="auto"/>
              </w:rPr>
              <w:t>项目名称</w:t>
            </w:r>
          </w:p>
        </w:tc>
        <w:tc>
          <w:tcPr>
            <w:tcW w:w="10952" w:type="dxa"/>
            <w:vAlign w:val="center"/>
          </w:tcPr>
          <w:p w14:paraId="6F88B4F2">
            <w:pPr>
              <w:spacing w:line="360" w:lineRule="auto"/>
              <w:jc w:val="center"/>
              <w:rPr>
                <w:rFonts w:hint="eastAsia" w:ascii="宋体" w:hAnsi="宋体" w:eastAsia="宋体" w:cs="宋体"/>
                <w:color w:val="auto"/>
              </w:rPr>
            </w:pPr>
            <w:r>
              <w:rPr>
                <w:rFonts w:hint="eastAsia" w:ascii="宋体" w:hAnsi="宋体" w:eastAsia="宋体" w:cs="宋体"/>
                <w:color w:val="auto"/>
              </w:rPr>
              <w:t>规格型号</w:t>
            </w:r>
          </w:p>
        </w:tc>
        <w:tc>
          <w:tcPr>
            <w:tcW w:w="699" w:type="dxa"/>
            <w:vAlign w:val="center"/>
          </w:tcPr>
          <w:p w14:paraId="6C885EB7">
            <w:pPr>
              <w:spacing w:line="360" w:lineRule="auto"/>
              <w:jc w:val="center"/>
              <w:rPr>
                <w:rFonts w:hint="eastAsia" w:ascii="宋体" w:hAnsi="宋体" w:eastAsia="宋体" w:cs="宋体"/>
                <w:color w:val="auto"/>
              </w:rPr>
            </w:pPr>
            <w:r>
              <w:rPr>
                <w:rFonts w:hint="eastAsia" w:ascii="宋体" w:hAnsi="宋体" w:eastAsia="宋体" w:cs="宋体"/>
                <w:color w:val="auto"/>
              </w:rPr>
              <w:t>单位</w:t>
            </w:r>
          </w:p>
        </w:tc>
        <w:tc>
          <w:tcPr>
            <w:tcW w:w="717" w:type="dxa"/>
            <w:vAlign w:val="center"/>
          </w:tcPr>
          <w:p w14:paraId="41B813F2">
            <w:pPr>
              <w:spacing w:line="360" w:lineRule="auto"/>
              <w:jc w:val="center"/>
              <w:rPr>
                <w:rFonts w:hint="eastAsia" w:ascii="宋体" w:hAnsi="宋体" w:eastAsia="宋体" w:cs="宋体"/>
                <w:color w:val="auto"/>
              </w:rPr>
            </w:pPr>
            <w:r>
              <w:rPr>
                <w:rFonts w:hint="eastAsia" w:ascii="宋体" w:hAnsi="宋体" w:eastAsia="宋体" w:cs="宋体"/>
                <w:color w:val="auto"/>
              </w:rPr>
              <w:t>数量</w:t>
            </w:r>
          </w:p>
        </w:tc>
      </w:tr>
      <w:tr w14:paraId="353E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1DDEC89">
            <w:pPr>
              <w:spacing w:line="360" w:lineRule="auto"/>
              <w:jc w:val="center"/>
              <w:rPr>
                <w:rFonts w:hint="eastAsia" w:ascii="宋体" w:hAnsi="宋体" w:eastAsia="宋体" w:cs="宋体"/>
                <w:color w:val="auto"/>
              </w:rPr>
            </w:pPr>
            <w:r>
              <w:rPr>
                <w:rFonts w:hint="eastAsia" w:ascii="宋体" w:hAnsi="宋体" w:eastAsia="宋体" w:cs="宋体"/>
                <w:color w:val="auto"/>
              </w:rPr>
              <w:t>1</w:t>
            </w:r>
          </w:p>
        </w:tc>
        <w:tc>
          <w:tcPr>
            <w:tcW w:w="842" w:type="dxa"/>
            <w:vAlign w:val="center"/>
          </w:tcPr>
          <w:p w14:paraId="43D76F4A">
            <w:pPr>
              <w:spacing w:line="360" w:lineRule="auto"/>
              <w:jc w:val="center"/>
              <w:rPr>
                <w:rFonts w:hint="eastAsia" w:ascii="宋体" w:hAnsi="宋体" w:eastAsia="宋体" w:cs="宋体"/>
                <w:color w:val="auto"/>
              </w:rPr>
            </w:pPr>
            <w:r>
              <w:rPr>
                <w:rFonts w:hint="eastAsia" w:ascii="宋体" w:hAnsi="宋体" w:eastAsia="宋体" w:cs="宋体"/>
                <w:color w:val="auto"/>
                <w:kern w:val="0"/>
                <w:sz w:val="22"/>
              </w:rPr>
              <w:t>客票预订与出票系统</w:t>
            </w:r>
          </w:p>
        </w:tc>
        <w:tc>
          <w:tcPr>
            <w:tcW w:w="10952" w:type="dxa"/>
            <w:vAlign w:val="center"/>
          </w:tcPr>
          <w:p w14:paraId="1E57C0B9">
            <w:pPr>
              <w:spacing w:line="360" w:lineRule="auto"/>
              <w:jc w:val="left"/>
              <w:rPr>
                <w:rFonts w:hint="eastAsia" w:ascii="宋体" w:hAnsi="宋体" w:eastAsia="宋体" w:cs="宋体"/>
                <w:color w:val="auto"/>
                <w:kern w:val="0"/>
                <w:sz w:val="22"/>
              </w:rPr>
            </w:pPr>
            <w:r>
              <w:rPr>
                <w:rFonts w:hint="eastAsia" w:ascii="宋体" w:hAnsi="宋体" w:eastAsia="宋体" w:cs="宋体"/>
                <w:color w:val="auto"/>
                <w:kern w:val="0"/>
                <w:sz w:val="22"/>
              </w:rPr>
              <w:t>民航订票模拟系统1套（一）软件功能：1．软件可以模拟“中国民航分销系统”，根据中国民航旅客计算机订座系统的操作界面、操作方式、操作指令及其功能等，对学生进行民航订座系统教学培训。系统稳定可靠，随时使用，不受时间限制，支持多个用户，适用于民航专业学生及民航客运销售人员的旅客订座操作技能培训。2．国内多条航线，国内航线不少于1000条，能够进行国内运价计算、规则查询、出票和退改签操作等。3.系统由服务器端和客户端两部分组成,客户端须采用真实生产环境一致客户端。4．快捷键设置与真实生产系统一致。5．系统中指令的解释及信息的反馈完全遵照“中国民航分销系统”的要求设计。6．系统包含民航订座所有流程，包括公用信息查询、航班和运价查询、订座、出票、废票、客票的挂起与解挂、退票、改期、换开、报表统计等。7．支持各航空公司发布的公布运价和净价查询。8．查询功能：支持民航公用信息查询、航班信息查询、运价查询和规则查询。支持航班周期查询（SK）。支持共享航班查询及订座出票。9．订座功能：支持按不同旅客身份订座，比如成人、有人陪伴儿童、无人陪伴儿童、婴儿、团队票、无人陪伴老人、军残、警残、VIP旅客等；支持各种行程种类订座，比如单程、往返程、中转联程、缺口程、OPEN票等；支持更改姓名、证件号；支持记录分离；支持分步订座和一次性封口；支持PNR的授权和取消授权；支持餐食和婴儿等特殊服务的申请；准确使用各种行动代码和状态代码；支持座位图显示；支持封口回调功能。支持常旅客信息录入。10. 支持PNR中部分旅客出票。BSP自动出票功能：支持BSP客票的所有功能，包括BSP用户信息和打票机状态查看、打票机的建控与退控、输入和输出的控制、上票与卸票。同时支持多台虚拟打票机，支持13位中性票号的自动生成，可以出成人、儿童和婴儿的电子客票。支持当前OFFICE可用票号查询（TOL）。11．客票更改功能：支持电子客票的改期、换开、退票（包括半屏退票和全屏退票和自动退票、退款单的生成和删除、客票状态的更改等）、挂起与解挂等。12．信息功能：支持Q信箱操作。13．其它功能：支持当日报表以及同一个结算周期内销售报表的自动查看。14．航班数据需要定期更新。15．可以根据中航信的要求和变化及时更新系统指令。16．跟随航空公司调整机场、航站楼、航线、舱位设置、运价和规则。17．支持TCP/IP协议，可以跨越不同的路由进行访问。18．支持行程单打印功能，可使用普通打印机仿真打印，也可以使用真实设备打印。19.支持查询历史PNR，历史客票提取，历史行程单。支持模拟真实航班的座位库存变化情况。20．用户管理：管理员可以添加、删除、禁用用户；可以为用户重置密码。21.订票系统在值机初始化时，向离港系统传送旅客名单报PNL和旅客名单增减报ADL。值机结束时，离港系统向订座系统传送最后销售报PFS，向订座系统提供详细的最后登机人数、头等舱旅客名单、候补旅客人数、订座未值机人数，以便于订座部门控制人员了解航班实际使用情况。22. 所有软件实现数据互通，可以完成从订票、值机、安检、登机的全部流程；广播、航显、值机、登机状态同步更新。23.能够进行客票的自动换开、自动全屏退票、自动半屏退票；24.客户端可以添加多个用户，可以设置服务器地址和端口。25.服务器可以设定绑定的地址和端口号。（二）软件性能：1．软件可以7X24不间断运行，稳定可靠。2．采用最新互联网架构，支持万人规模同时使用，不会出现延迟卡顿现象。（三）配套服务：1.系统安装部署。ETERM通用基础操作手册。2.订座系统使用手册。订座系统培训视频。3.系统操作在线培训一次。售票服务柜台（三工位）1台：≥长3600*宽800*高1200；上台面、工作台面板及柜体基材:采用</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25mm实木颗粒板；底部拼接：木格栅黑胡桃色；五金：悍高链接件合金钢铸件，合页悍高；板材收口：柜体同材质。售票工作站1台：满足计算机订座模拟系统（CRS）的安装及运行；机箱尺寸：≥长180mm；≥宽493mm；≥高365mm；≥宽493；显示器：大于等于19英寸；cpu：intel13代；内置wifi；硬盘容量：≥512GB SSD二代身份证阅读器≥1个：适配订座模拟系统（CRS）的运行，与航司生产系统同步；支持自动填写及导出；接口：USB；符合GA450-2013，GA476-2013规范。行程单出票机1台：适配民航业务教学模拟系统的运行，满足“1+X”民航旅客地面服务证书考核需要，适配航空服务赛项模块三系统操作；适配航司生产系统行程单打印机；支持连续进纸；进纸宽度：单页纸90-257mm，连续纸101.6-254mm；打印头寿命：≥2亿次/针；行程单1袋：适配行程单出票机打印，与CRS系统同步输出等比例行程单。每套≥1000张。售票指示牌（LED）1个：CAAC标准款式，铝型材加工成框，表面喷涂中灰粉末喷涂，镶嵌透光3mm厚亚克力板材，背面安装灰色铝塑板，冷板雕刻字体图案，内部安装品牌成套灯具。（吊装或立柱视场地情况自由选择）。综合服务指示牌（LED）1个：CAAC标准款式，铝型材加工成框，表面喷涂中灰粉末喷涂，镶嵌透光3mm厚亚克力板材，背面安装灰色铝塑板，冷板雕刻字体图案，内部安装品牌成套灯具。（吊装或立柱视场地情况自由选择）。问询指示牌（LED）1个：CAAC标准款式，铝型材加工成框，表面喷涂中灰粉末喷涂，镶嵌透光3mm厚亚克力板材，背面安装灰色铝塑板，冷板雕刻字体图案，内部安装品牌成套灯具。（吊装或立柱视场地情况自由选择）</w:t>
            </w:r>
            <w:bookmarkStart w:id="394" w:name="_GoBack"/>
            <w:bookmarkEnd w:id="394"/>
          </w:p>
        </w:tc>
        <w:tc>
          <w:tcPr>
            <w:tcW w:w="699" w:type="dxa"/>
            <w:vAlign w:val="center"/>
          </w:tcPr>
          <w:p w14:paraId="3D90CD49">
            <w:pPr>
              <w:spacing w:line="360" w:lineRule="auto"/>
              <w:jc w:val="center"/>
              <w:rPr>
                <w:rFonts w:hint="eastAsia" w:ascii="宋体" w:hAnsi="宋体" w:eastAsia="宋体" w:cs="宋体"/>
                <w:color w:val="auto"/>
              </w:rPr>
            </w:pPr>
            <w:r>
              <w:rPr>
                <w:rFonts w:hint="eastAsia" w:ascii="宋体" w:hAnsi="宋体" w:eastAsia="宋体" w:cs="宋体"/>
                <w:color w:val="auto"/>
              </w:rPr>
              <w:t>套</w:t>
            </w:r>
          </w:p>
        </w:tc>
        <w:tc>
          <w:tcPr>
            <w:tcW w:w="717" w:type="dxa"/>
            <w:vAlign w:val="center"/>
          </w:tcPr>
          <w:p w14:paraId="312EC2D7">
            <w:pPr>
              <w:spacing w:line="360" w:lineRule="auto"/>
              <w:jc w:val="center"/>
              <w:rPr>
                <w:rFonts w:hint="eastAsia" w:ascii="宋体" w:hAnsi="宋体" w:eastAsia="宋体" w:cs="宋体"/>
                <w:color w:val="auto"/>
              </w:rPr>
            </w:pPr>
            <w:r>
              <w:rPr>
                <w:rFonts w:hint="eastAsia" w:ascii="宋体" w:hAnsi="宋体" w:eastAsia="宋体" w:cs="宋体"/>
                <w:color w:val="auto"/>
              </w:rPr>
              <w:t>1</w:t>
            </w:r>
          </w:p>
        </w:tc>
      </w:tr>
      <w:tr w14:paraId="02C3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725975F">
            <w:pPr>
              <w:spacing w:line="360" w:lineRule="auto"/>
              <w:jc w:val="center"/>
              <w:rPr>
                <w:rFonts w:hint="eastAsia" w:ascii="宋体" w:hAnsi="宋体" w:eastAsia="宋体" w:cs="宋体"/>
                <w:color w:val="auto"/>
              </w:rPr>
            </w:pPr>
            <w:r>
              <w:rPr>
                <w:rFonts w:hint="eastAsia" w:ascii="宋体" w:hAnsi="宋体" w:eastAsia="宋体" w:cs="宋体"/>
                <w:color w:val="auto"/>
              </w:rPr>
              <w:t>2</w:t>
            </w:r>
          </w:p>
        </w:tc>
        <w:tc>
          <w:tcPr>
            <w:tcW w:w="842" w:type="dxa"/>
            <w:vAlign w:val="center"/>
          </w:tcPr>
          <w:p w14:paraId="720E3991">
            <w:pPr>
              <w:spacing w:line="360" w:lineRule="auto"/>
              <w:jc w:val="center"/>
              <w:rPr>
                <w:rFonts w:hint="eastAsia" w:ascii="宋体" w:hAnsi="宋体" w:eastAsia="宋体" w:cs="宋体"/>
                <w:color w:val="auto"/>
              </w:rPr>
            </w:pPr>
            <w:r>
              <w:rPr>
                <w:rFonts w:hint="eastAsia" w:ascii="宋体" w:hAnsi="宋体" w:eastAsia="宋体" w:cs="宋体"/>
                <w:color w:val="auto"/>
                <w:kern w:val="0"/>
                <w:szCs w:val="21"/>
              </w:rPr>
              <w:t>乘机手续办理系统</w:t>
            </w:r>
          </w:p>
        </w:tc>
        <w:tc>
          <w:tcPr>
            <w:tcW w:w="10952" w:type="dxa"/>
            <w:vAlign w:val="center"/>
          </w:tcPr>
          <w:p w14:paraId="24169FD0">
            <w:pPr>
              <w:spacing w:line="360" w:lineRule="auto"/>
              <w:jc w:val="left"/>
              <w:rPr>
                <w:rFonts w:hint="eastAsia" w:ascii="宋体" w:hAnsi="宋体" w:eastAsia="宋体" w:cs="宋体"/>
                <w:color w:val="auto"/>
                <w:kern w:val="0"/>
                <w:sz w:val="22"/>
              </w:rPr>
            </w:pPr>
            <w:r>
              <w:rPr>
                <w:rFonts w:hint="eastAsia" w:ascii="宋体" w:hAnsi="宋体" w:eastAsia="宋体" w:cs="宋体"/>
                <w:color w:val="auto"/>
                <w:kern w:val="0"/>
                <w:sz w:val="22"/>
              </w:rPr>
              <w:t>民航离港模拟系统1套：离港系统需包含如下功能模块：系统功能模块、系统登录模块、旅客检索模块、旅客基本信息模块、常客处理模块、特服信息处理模块、行李处理模块、座位选择模块、旅客处理汇总模块、登机牌行李牌打印模块、数据统计模块。1、系统功能模块：包括账号体系管理、城市数据管理、航站数据管理、≥200多条国内常见航线基础业务数据管理、运价数据管理。2、系统登录模块：该功能模块下的指令包含但不限于修改密码，SI主机，SO主机，系统的重新登录、退出。3、航班控制模块:基于黑屏的航班、航线数据的修改和维护，设置默认航班，航班SY信息查看，航班座位控制，航班初始化与关闭等指令功能。4、旅客检索模块：提供了基于图形化界面的多种方式来进行旅客身份验证，提取旅客行程：手工居民身份证号，或者系统也可以提供二代身份证扫描接口，自动读取保存在身份证中的电子信息，而无需手工输入；手工输入护照、港澳通行证，香港居民速通卡，台胞证等证件号码；还支持手工输入订座编号提取旅客客票；可以通过旅客的特服项、值机状态、团队名称、登机号、电子客票号、行李号等方式提取旅客以及旅客所处航班的详细信息展示。5、旅客基本信息模块：展示旅客的订座信息，系统提供仿真数据，航班数超过100个，模拟旅客总数超过≥10000人。旅客身份核对信息显示。6、常客处理模块：完成常客信息的查看、添加、修改和删除。7、特服信息处理模块：主要完成旅客特服信息的添加、修改和删除功能。所涉及的特服信息有UM BLND DEAF SPML VIP INF CKIN EXST等。8、行李处理模块：提供对旅客行李和超重、超件行李的添加及删除功能。9、座位选择模块：航班座位图的图形化显示，完成旅客对座位的偏好选择、以及为旅客指定座位号、旅客的座位修改、航班座位图显示功能。可针对某旅客进行座位V预留及P预留。10、旅客处理汇总模块：完成旅客的值机、拉下、性别修改、升降舱、URES旅客接收、候补旅客接收等功能。11、登机牌、行李牌打印模块：完成旅客接收后登机牌数据流和行李牌数据流的打印功能。旅客登机子系统GATE需包含如下功能模块：1、核心业务处理模块：是登机应用的核心模块。它负责在主机模式下完成登机业务。离港登机业务的处理逻辑，包括：成人登机/拉下，成人带婴儿登机/拉下，多人登机/拉下。2、航班初始化模块：完成从主机获取必要的航班列表及航班的基本信息。3、航班概况模块：完成从主机获取登机航班的详细信息。4、登机准备模块：提供必要的旅客预处理和信息准备工作。5、航班控制模块：完成登机过程中航班和旅客的控制。包括旅客登机、旅客拉下。支持通过扫描登机牌条形码完成旅客登机及旅客拉下。6、航班关闭模块：完成航班关闭操作及相关报表的打印。值机柜台（单工位）1台：带有学校logo的定制款式，尺寸：≥长*宽*高1200mm*838mm*1200mm；上台面、工作台面板及柜体：基材采用18mm实木颗粒板；底部拼接：木格栅深木纹色；电脑柜：基材采用18mm实木颗粒板；板材收口：柜体同材质。值机工作站1台：满足计算机订座模拟系统（CRS）的安装及运行；机箱尺寸：≥长180mm；≥宽493mm；≥高365mm；显示器：大于等于19英寸；cpu：intel13代；内置wifi；硬盘容量：≥512GB SSD</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登机牌扫描枪1个：适配订座模拟系统（CRS）的运行，与航司生产系统同步；扫描介质：纸质，金属，屏幕；传输方式：有线；扫描精度：3mil。行李牌出票机1台：适配订座模拟系统（CRS）的运行，当前航司订票离港系统在用同种类出票设备；打印技术：热转印/热敏双模式；分辨率：≥203dpi；打印速度：Max.≥150mm/s；打印宽度：≥Max104mm；自定义字体:用户可自定义字体下载到FLASH或SDRAM。登机牌出票机1台：适配订座模拟系统（CRS）的运行，当前航司订票离港系统在用同种类出票设备；打印技术：热转印/热敏双模式；分辨率：x≥203dpi；打印速度：Max≥150mm/s；打印宽度：Max≥104mm；自定义字体:用户可自定义字体下载到FLASH或SDRAM。行李条≥5卷：适配行李出票机打印，航司行李条材质尺寸一比一定制。每卷≥200条。登机牌2套：适配登机出票机打印，航司登机牌材质尺寸一比一定制。每套≥500张。称重输送机1台：1.控制要求：称重输送机上设有光电开关，检测行李位置，控制输送机运行。2.称重电子显示器：数字显示型，有2个显示器，一个面对旅客，另一个面对工作人员，其安装位置须与登记柜台制造商协调预留。3.显示器设有“置零”、“重量求和”、“重新设置”等按钮。4.显示器窗口：单件重量数字显示窗为4个数字，一位小数点。5.行李件数显示窗为3个数字，行李总重量显示窗为5个数字，一个小数点。在无行李情况下，显示为“0”。6.当行李完全载入称重输送机后，电子秤称重结果与行李摆放位置无关。电子秤安装于滚轮架和输送机机架之间四个角上。7.设置脚踏开关控制。技术参数：类型：滑动床型；输送机带宽：≥650mm；输送机长度：≥1400mm。8.传送带形式：水平式；传送带高度：≥400mm；传送带速度：≥21m/min；9.驱动机构：采用Seaparks或等同电动滚筒；电源：AC 220V 50Hz。10.电子秤参数：额定称重≥150kg；最小显示范围：0.1 kg；超载能力：≤25%；刻度：0.0-150.0kg；电源：AC220V 50Hz；检测传感器数量：必须为4个/台；超载报警形式：超载时能自我保护。值机指示牌（LED）1个：CAAC标准款式，铝型材加工成框，表面喷涂中灰粉末喷涂，镶嵌透光3mm厚亚克力板材，背面安装灰色铝塑板，冷板雕刻字体图案，内部安装品牌成套灯具。（吊装或立柱视场地情况自由选择）</w:t>
            </w:r>
          </w:p>
          <w:p w14:paraId="1D5D5738">
            <w:pPr>
              <w:spacing w:line="360" w:lineRule="auto"/>
              <w:jc w:val="left"/>
              <w:rPr>
                <w:rFonts w:hint="eastAsia" w:ascii="宋体" w:hAnsi="宋体" w:eastAsia="宋体" w:cs="宋体"/>
                <w:color w:val="auto"/>
                <w:kern w:val="0"/>
                <w:sz w:val="22"/>
              </w:rPr>
            </w:pPr>
            <w:r>
              <w:rPr>
                <w:rFonts w:hint="eastAsia"/>
                <w:b/>
                <w:bCs/>
                <w:sz w:val="24"/>
                <w:szCs w:val="22"/>
                <w:lang w:val="en-US" w:eastAsia="zh-CN"/>
              </w:rPr>
              <w:t>*</w:t>
            </w:r>
            <w:r>
              <w:rPr>
                <w:rFonts w:hint="eastAsia" w:ascii="宋体" w:hAnsi="宋体" w:eastAsia="宋体" w:cs="宋体"/>
                <w:color w:val="auto"/>
                <w:kern w:val="0"/>
                <w:sz w:val="22"/>
              </w:rPr>
              <w:t>系统须匹配全国职业院校技能大赛航空服务赛项值机系统，功能与使用环境一致。</w:t>
            </w:r>
          </w:p>
        </w:tc>
        <w:tc>
          <w:tcPr>
            <w:tcW w:w="699" w:type="dxa"/>
            <w:vAlign w:val="center"/>
          </w:tcPr>
          <w:p w14:paraId="00B9C653">
            <w:pPr>
              <w:spacing w:line="360" w:lineRule="auto"/>
              <w:jc w:val="center"/>
              <w:rPr>
                <w:rFonts w:hint="eastAsia" w:ascii="宋体" w:hAnsi="宋体" w:eastAsia="宋体" w:cs="宋体"/>
                <w:color w:val="auto"/>
              </w:rPr>
            </w:pPr>
            <w:r>
              <w:rPr>
                <w:rFonts w:hint="eastAsia" w:ascii="宋体" w:hAnsi="宋体" w:eastAsia="宋体" w:cs="宋体"/>
                <w:color w:val="auto"/>
              </w:rPr>
              <w:t>套</w:t>
            </w:r>
          </w:p>
        </w:tc>
        <w:tc>
          <w:tcPr>
            <w:tcW w:w="717" w:type="dxa"/>
            <w:vAlign w:val="center"/>
          </w:tcPr>
          <w:p w14:paraId="76402099">
            <w:pPr>
              <w:spacing w:line="360" w:lineRule="auto"/>
              <w:jc w:val="center"/>
              <w:rPr>
                <w:rFonts w:hint="eastAsia" w:ascii="宋体" w:hAnsi="宋体" w:eastAsia="宋体" w:cs="宋体"/>
                <w:color w:val="auto"/>
              </w:rPr>
            </w:pPr>
            <w:r>
              <w:rPr>
                <w:rFonts w:hint="eastAsia" w:ascii="宋体" w:hAnsi="宋体" w:eastAsia="宋体" w:cs="宋体"/>
                <w:color w:val="auto"/>
              </w:rPr>
              <w:t>1</w:t>
            </w:r>
          </w:p>
        </w:tc>
      </w:tr>
      <w:tr w14:paraId="6BD2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7E2A466">
            <w:pPr>
              <w:spacing w:line="360" w:lineRule="auto"/>
              <w:jc w:val="center"/>
              <w:rPr>
                <w:rFonts w:hint="eastAsia" w:ascii="宋体" w:hAnsi="宋体" w:eastAsia="宋体" w:cs="宋体"/>
                <w:color w:val="auto"/>
              </w:rPr>
            </w:pPr>
            <w:r>
              <w:rPr>
                <w:rFonts w:hint="eastAsia" w:ascii="宋体" w:hAnsi="宋体" w:eastAsia="宋体" w:cs="宋体"/>
                <w:color w:val="auto"/>
              </w:rPr>
              <w:t>3</w:t>
            </w:r>
          </w:p>
        </w:tc>
        <w:tc>
          <w:tcPr>
            <w:tcW w:w="842" w:type="dxa"/>
            <w:vAlign w:val="center"/>
          </w:tcPr>
          <w:p w14:paraId="09EE5C26">
            <w:pPr>
              <w:spacing w:line="360" w:lineRule="auto"/>
              <w:jc w:val="center"/>
              <w:rPr>
                <w:rFonts w:hint="eastAsia" w:ascii="宋体" w:hAnsi="宋体" w:eastAsia="宋体" w:cs="宋体"/>
                <w:color w:val="auto"/>
              </w:rPr>
            </w:pPr>
            <w:r>
              <w:rPr>
                <w:rFonts w:hint="eastAsia" w:ascii="宋体" w:hAnsi="宋体" w:eastAsia="宋体" w:cs="宋体"/>
                <w:color w:val="auto"/>
                <w:kern w:val="0"/>
                <w:szCs w:val="21"/>
              </w:rPr>
              <w:t>机场安全检查系统</w:t>
            </w:r>
          </w:p>
        </w:tc>
        <w:tc>
          <w:tcPr>
            <w:tcW w:w="10952" w:type="dxa"/>
            <w:vAlign w:val="center"/>
          </w:tcPr>
          <w:p w14:paraId="405E7B23">
            <w:pPr>
              <w:spacing w:line="360" w:lineRule="auto"/>
              <w:jc w:val="left"/>
              <w:rPr>
                <w:rFonts w:hint="eastAsia" w:ascii="宋体" w:hAnsi="宋体" w:eastAsia="宋体" w:cs="宋体"/>
                <w:color w:val="auto"/>
              </w:rPr>
            </w:pPr>
            <w:r>
              <w:rPr>
                <w:rFonts w:hint="eastAsia" w:ascii="宋体" w:hAnsi="宋体" w:eastAsia="宋体" w:cs="宋体"/>
                <w:color w:val="auto"/>
                <w:kern w:val="0"/>
                <w:sz w:val="22"/>
              </w:rPr>
              <w:t>安检柜台（单工位）1台：带有学校logo的定制款式，尺寸：长*宽*高≥1200mm*838mm*1200mm；上台面、工作台面板及柜体：基材采用</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18mm实木颗粒板；底部拼接：木格栅深木纹色；电脑柜：基材采用18mm实木颗粒板；板材收口：柜体同材质。行李接包台1台：≥长1500*宽500*高650；台面：不锈钢；基材：</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18mm实木颗粒板（外覆三聚氰胺市面纸（颜色杏黄HJ066)；五金：悍高链接件合金钢铸件，合页悍高；板材收口：柜体同材质。摆放物品框工作台1台：≥长1200*宽400*高750；台面：不锈钢；基材：</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18mm实木颗粒板（外覆三聚氰胺市面纸（颜色杏黄HJ066)；五金：悍高链接件合金钢铸件，合页悍高；板材收口：柜体同材质。搜身台1台：≥长*宽*高500mm*360mm*120mm。手持金属探测器2个：1、探测灵敏度：探测人民币一元硬币，探测距离为≥5CM2、报警方式：声光同步报警或震动报警。3、电源：9伏方块电池（6F22ND电池），可外接充电器功能（充电器选配）静态电流：小于7mA工作电流：声光小于47mA，振动：103mA</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安检门1个：工作电压：210V~240V 50/60Hz；功率：&lt;35W；整机重量：37KG；工作环境：-10℃-50℃</w:t>
            </w:r>
            <w:r>
              <w:rPr>
                <w:rFonts w:hint="eastAsia" w:ascii="宋体" w:hAnsi="宋体" w:eastAsia="宋体" w:cs="宋体"/>
                <w:color w:val="auto"/>
                <w:kern w:val="0"/>
                <w:sz w:val="22"/>
                <w:lang w:val="en-US" w:eastAsia="zh-CN"/>
              </w:rPr>
              <w:t>左右</w:t>
            </w:r>
            <w:r>
              <w:rPr>
                <w:rFonts w:hint="eastAsia" w:ascii="宋体" w:hAnsi="宋体" w:eastAsia="宋体" w:cs="宋体"/>
                <w:color w:val="auto"/>
                <w:kern w:val="0"/>
                <w:sz w:val="22"/>
              </w:rPr>
              <w:t>；通道尺寸：≥2000*720*320mm。小件行李安检仪1台：1.通道尺寸:≥宽50cm*高30cm2.传送带速度:</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0.2m/s(可调)3.传送带负荷:≥100Kg(均匀分布)4.传送带距地面高度:≤76cm 5.通过率:</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720个~1200个/小时6.单次检查剂量:&lt;1uGy7.穿透分辩力:32AWGΦ0.202mm 金属线8.线分辩力:40AWGΦ 0.0787mm&gt;44SWG单根实芯铜线9.空间分辩力:分辩水平Φ1.0mm、垂直Φ 1.0mm 的线对10.穿透力:14mm钢板11.胶卷安全性:对ISO1600胶卷安全12.泄漏剂量:&lt;1 mGy/h (距外壳5厘米)13.净重:≤200Kg14.产品体积:(长*宽*高)≥145cm*75cm*110cm(接物架长度35cm)14.整机包装体积:(长*宽*高)≥160cm*90cm*130cm。安检指示牌（LED）1个：CAAC标准款式，铝型材加工成框，表面喷涂中灰粉末喷涂，镶嵌透光3mm厚亚克力板材，背面安装灰色铝塑板，冷板雕刻字体图案，内部安装品牌成套灯具。（吊装或立柱视场地情况自由选择）。违禁物品框3个：配合考试及竞赛，≥400*300*120(mm)。非违禁物品框3个：配合考试及竞赛，≥400*300*120(mm)</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模拟违禁物品1套：打火机≥6个、铅笔刀≥6把（长于6cm）、烟花（无火药）≥6个（长度小于6cm）等物品。</w:t>
            </w:r>
          </w:p>
        </w:tc>
        <w:tc>
          <w:tcPr>
            <w:tcW w:w="699" w:type="dxa"/>
            <w:vAlign w:val="center"/>
          </w:tcPr>
          <w:p w14:paraId="21B371D9">
            <w:pPr>
              <w:spacing w:line="360" w:lineRule="auto"/>
              <w:jc w:val="center"/>
              <w:rPr>
                <w:rFonts w:hint="eastAsia" w:ascii="宋体" w:hAnsi="宋体" w:eastAsia="宋体" w:cs="宋体"/>
                <w:color w:val="auto"/>
              </w:rPr>
            </w:pPr>
            <w:r>
              <w:rPr>
                <w:rFonts w:hint="eastAsia" w:ascii="宋体" w:hAnsi="宋体" w:eastAsia="宋体" w:cs="宋体"/>
                <w:color w:val="auto"/>
              </w:rPr>
              <w:t>套</w:t>
            </w:r>
          </w:p>
        </w:tc>
        <w:tc>
          <w:tcPr>
            <w:tcW w:w="717" w:type="dxa"/>
            <w:vAlign w:val="center"/>
          </w:tcPr>
          <w:p w14:paraId="0348E243">
            <w:pPr>
              <w:spacing w:line="360" w:lineRule="auto"/>
              <w:jc w:val="center"/>
              <w:rPr>
                <w:rFonts w:hint="eastAsia" w:ascii="宋体" w:hAnsi="宋体" w:eastAsia="宋体" w:cs="宋体"/>
                <w:color w:val="auto"/>
              </w:rPr>
            </w:pPr>
            <w:r>
              <w:rPr>
                <w:rFonts w:hint="eastAsia" w:ascii="宋体" w:hAnsi="宋体" w:eastAsia="宋体" w:cs="宋体"/>
                <w:color w:val="auto"/>
              </w:rPr>
              <w:t>1</w:t>
            </w:r>
          </w:p>
        </w:tc>
      </w:tr>
      <w:tr w14:paraId="406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354E761">
            <w:pPr>
              <w:spacing w:line="360" w:lineRule="auto"/>
              <w:jc w:val="center"/>
              <w:rPr>
                <w:rFonts w:hint="eastAsia" w:ascii="宋体" w:hAnsi="宋体" w:eastAsia="宋体" w:cs="宋体"/>
                <w:color w:val="auto"/>
              </w:rPr>
            </w:pPr>
            <w:r>
              <w:rPr>
                <w:rFonts w:hint="eastAsia" w:ascii="宋体" w:hAnsi="宋体" w:eastAsia="宋体" w:cs="宋体"/>
                <w:color w:val="auto"/>
              </w:rPr>
              <w:t>4</w:t>
            </w:r>
          </w:p>
        </w:tc>
        <w:tc>
          <w:tcPr>
            <w:tcW w:w="842" w:type="dxa"/>
            <w:vAlign w:val="center"/>
          </w:tcPr>
          <w:p w14:paraId="634CCBA1">
            <w:pPr>
              <w:spacing w:line="360" w:lineRule="auto"/>
              <w:jc w:val="center"/>
              <w:rPr>
                <w:rFonts w:hint="eastAsia" w:ascii="宋体" w:hAnsi="宋体" w:eastAsia="宋体" w:cs="宋体"/>
                <w:color w:val="auto"/>
              </w:rPr>
            </w:pPr>
            <w:r>
              <w:rPr>
                <w:rFonts w:hint="eastAsia" w:ascii="宋体" w:hAnsi="宋体" w:eastAsia="宋体" w:cs="宋体"/>
                <w:color w:val="auto"/>
                <w:kern w:val="0"/>
                <w:szCs w:val="21"/>
              </w:rPr>
              <w:t>旅客投诉处理系统</w:t>
            </w:r>
          </w:p>
        </w:tc>
        <w:tc>
          <w:tcPr>
            <w:tcW w:w="10952" w:type="dxa"/>
            <w:vAlign w:val="center"/>
          </w:tcPr>
          <w:p w14:paraId="6E4126DF">
            <w:pPr>
              <w:spacing w:line="360" w:lineRule="auto"/>
              <w:jc w:val="left"/>
              <w:rPr>
                <w:rFonts w:hint="eastAsia" w:ascii="宋体" w:hAnsi="宋体" w:eastAsia="宋体" w:cs="宋体"/>
                <w:color w:val="auto"/>
              </w:rPr>
            </w:pPr>
            <w:r>
              <w:rPr>
                <w:rFonts w:hint="eastAsia" w:ascii="宋体" w:hAnsi="宋体" w:eastAsia="宋体" w:cs="宋体"/>
                <w:color w:val="auto"/>
                <w:kern w:val="0"/>
                <w:sz w:val="22"/>
              </w:rPr>
              <w:t>投诉处理柜台（登机柜台）1台：带有学校logo的定制款式，尺寸：长*宽*高≥1200mm*838mm*1200mm；上台面、工作台面板及柜体：基材采用</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18mm实木颗粒板；底部拼接：木格栅深木纹色；电脑柜：基材采用18mm实木颗粒板；板材收口：柜体同材质。登机工作站1台：满足计算机订座模拟系统（CRS）的安装及运行；机箱尺寸：≥长180mm；宽≥493mm；高≥365mm；宽≥493；显示器：大于等于19英寸；cpu：intel13代；内置wifi；硬盘容量：≥512GB SSD。登机口指示牌（LED）1个：CAAC标准款式，铝型材加工成框，表面喷涂中灰粉末喷涂，镶嵌透光</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3mm厚亚克力板材，背面安装灰色铝塑板，冷板雕刻字体图案，内部安装品牌成套灯具。（吊装或立柱视场地情况自由选择）。登机牌扫描枪1个：适配订座模拟系统（CRS）的运行，与航司生产系统同步；扫描介质：纸质，金属，屏幕；传输方式：有线；扫描精度：3mil</w:t>
            </w:r>
          </w:p>
        </w:tc>
        <w:tc>
          <w:tcPr>
            <w:tcW w:w="699" w:type="dxa"/>
            <w:vAlign w:val="center"/>
          </w:tcPr>
          <w:p w14:paraId="6E7D83E2">
            <w:pPr>
              <w:spacing w:line="360" w:lineRule="auto"/>
              <w:jc w:val="center"/>
              <w:rPr>
                <w:rFonts w:hint="eastAsia" w:ascii="宋体" w:hAnsi="宋体" w:eastAsia="宋体" w:cs="宋体"/>
                <w:color w:val="auto"/>
              </w:rPr>
            </w:pPr>
            <w:r>
              <w:rPr>
                <w:rFonts w:hint="eastAsia" w:ascii="宋体" w:hAnsi="宋体" w:eastAsia="宋体" w:cs="宋体"/>
                <w:color w:val="auto"/>
              </w:rPr>
              <w:t>套</w:t>
            </w:r>
          </w:p>
        </w:tc>
        <w:tc>
          <w:tcPr>
            <w:tcW w:w="717" w:type="dxa"/>
            <w:vAlign w:val="center"/>
          </w:tcPr>
          <w:p w14:paraId="7389A0B4">
            <w:pPr>
              <w:spacing w:line="360" w:lineRule="auto"/>
              <w:jc w:val="center"/>
              <w:rPr>
                <w:rFonts w:hint="eastAsia" w:ascii="宋体" w:hAnsi="宋体" w:eastAsia="宋体" w:cs="宋体"/>
                <w:color w:val="auto"/>
              </w:rPr>
            </w:pPr>
            <w:r>
              <w:rPr>
                <w:rFonts w:hint="eastAsia" w:ascii="宋体" w:hAnsi="宋体" w:eastAsia="宋体" w:cs="宋体"/>
                <w:color w:val="auto"/>
              </w:rPr>
              <w:t>1</w:t>
            </w:r>
          </w:p>
        </w:tc>
      </w:tr>
      <w:tr w14:paraId="2B80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4D8D692">
            <w:pPr>
              <w:spacing w:line="360" w:lineRule="auto"/>
              <w:jc w:val="center"/>
              <w:rPr>
                <w:rFonts w:hint="eastAsia" w:ascii="宋体" w:hAnsi="宋体" w:eastAsia="宋体" w:cs="宋体"/>
                <w:color w:val="auto"/>
              </w:rPr>
            </w:pPr>
            <w:r>
              <w:rPr>
                <w:rFonts w:hint="eastAsia" w:ascii="宋体" w:hAnsi="宋体" w:eastAsia="宋体" w:cs="宋体"/>
                <w:color w:val="auto"/>
              </w:rPr>
              <w:t>5</w:t>
            </w:r>
          </w:p>
        </w:tc>
        <w:tc>
          <w:tcPr>
            <w:tcW w:w="842" w:type="dxa"/>
            <w:vAlign w:val="center"/>
          </w:tcPr>
          <w:p w14:paraId="11FBB4C0">
            <w:pPr>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环境文化建设</w:t>
            </w:r>
          </w:p>
        </w:tc>
        <w:tc>
          <w:tcPr>
            <w:tcW w:w="10952" w:type="dxa"/>
            <w:vAlign w:val="center"/>
          </w:tcPr>
          <w:p w14:paraId="716D6987">
            <w:pPr>
              <w:widowControl/>
              <w:spacing w:line="360" w:lineRule="auto"/>
              <w:jc w:val="left"/>
              <w:rPr>
                <w:rFonts w:hint="eastAsia" w:ascii="宋体" w:hAnsi="宋体" w:eastAsia="宋体" w:cs="宋体"/>
                <w:color w:val="auto"/>
                <w:kern w:val="0"/>
                <w:sz w:val="22"/>
              </w:rPr>
            </w:pPr>
            <w:r>
              <w:rPr>
                <w:rFonts w:hint="eastAsia" w:ascii="宋体" w:hAnsi="宋体" w:eastAsia="宋体" w:cs="宋体"/>
                <w:color w:val="auto"/>
                <w:kern w:val="0"/>
                <w:sz w:val="22"/>
              </w:rPr>
              <w:t>计时系统1套：可通过该系统完成多场次同步计时、计分的功能；可结合竞赛规则自定义场次、裁判、选手。民航系统服务器1台：cpu:支持英特尔®至强®可扩展处理器1.9Ghz;内存：ECC64G，插槽12个；支持 RAID，硬盘：500GSSD；支持双网卡；机箱尺寸为1U。隔离栏1套：围栏立柱材质为不锈钢，高度</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900mm，底盘直径</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320mm,拉带宽度</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50mm。按照真实机场布局设置在值机、安检及登机口位置。航显屏（≥65英寸）1台：超窄边框设计，最大限度消除物理边框造成的视觉干扰，实现大屏幕沉浸式完美显示；高达400nit亮度，4000：1的高静态对比度，4K分辨率，清晰呈现</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10.7亿色下的细枝末节，优化MEMC功能，高速运动画面流畅明亮清晰；简约UI设计，化繁为简，大气稳重，让操作变成享受；集成投屏、信息发布、展陈、娱乐等丰富软件，适用于办公、信发、展陈、娱乐四大场景；支持笔记本和手机投屏，支持WIFI热点稳定投屏，无需联网，不受网速影响，同时选配无线投屏发射器，可实现一键投屏；支持开机通道选择、开机上电是否自启选择，视频信号插入唤醒、视频信号自动检测切换等商务场景下的功能；双232串口，支持RS232远程集控，可提供控制协议；接口丰富，支持VGA、HDMI、USB、S/PDIF等常用接口；支持软件蓝光护眼，获得莱茵TüV护眼认证，长时间开会不伤眼；支持自定义开机启动指定APP。</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航显屏（85英寸）1台：超窄边框设计，最大限度消除物理边框造成的视觉干扰，实现大屏幕沉浸式完美显示；高达400nit亮度，4000：1的高静态对比度，4K分辨率，清晰呈现</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10.7亿色下的细枝末节；优化MEMC功能，高速运动画面流畅明亮清晰；简约UI设计，化繁为简，大气稳重，让操作变成享受；集成投屏、信息发布、展陈、娱乐等丰富软件，适用于办公、信发、展陈、娱乐四大场景；支持笔记本和手机投屏，支持WIFI热点稳定投屏，无需联网，不受网速影响，同时选配无线投屏发射器，可实现一键投屏。支持开机通道选择、开机上电是否自启选择，视频信号插入唤醒、视频信号自动检测切换等商务场景下的功能；双232串口，支持RS232远程集控，可提供控制协议；接口丰富，支持VGA、HDMI、USB、S/PDIF等常用接口；支持软件蓝光护眼，获得莱茵TüV护眼认证，长时间开会不伤眼；支持自定义开机启动指定APP。</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航显屏支架（≥65英寸）1个：满足值机、安检、登机三个功能区的航班信息显示及身份查验。外框镀锌板激光切割，刨槽折弯焊接成型，立柱为圆柱，表面喷涂深灰色漆面；整体高260cm，版面150*80cm，下沿离地180cm，螺栓固定航显屏支架（≥85英寸）1个：外框镀锌板激光切割，刨槽折弯焊接成型，立柱为圆柱，表面喷涂深灰色漆面；整体高</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260cm，版面</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150*80cm，下沿离地180cm，螺栓固定。综合服务指示立柱1个：外框镀锌板激光切割，刨槽折弯焊接成型，表面中灰色烤漆，内衬3mm亚克力，发光灯箱内安装LED发光灯源，灯箱可单面或双面发光，立柱为76mm镀锌圆管中灰色烤漆。圆管高</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250cm，版面</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80*25cm，厚度</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7cm；螺栓固定，双面发光。</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VIP候机立杆指示牌1个：外框镀锌板激光切割，刨槽折弯焊接成型，表面中灰色烤漆，内衬3mm亚克力，发光灯箱内安装LED发光灯源，灯箱可单面或双面发光，立柱为</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76mm镀锌圆管中灰色烤漆。圆管高</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250cm，版面</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80*25cm，厚度</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7cm；螺栓固定，双面发光。旅客休息椅1套：尺寸：≥2970*650*800mm，椅面采用</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1.5mm加厚不锈钢网板压铸，表面光滑、美观、耐用、耐腐蚀：采用</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2.0厚方状钢管横梁，承重能力强，不易变形。椅面弧度设计，符合人体工程学，落座更加舒适。</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工作椅1把：材质：网布，产品展示尺寸（cm)≥52*50*90~98、产品包装尺寸（cm）≥60*58*28</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产品承重量（kg）≥160、产品包装重量（kg）10；主色调：黑色。行李箱1个：常旅客标准行李箱，20英寸登机箱、24英寸、28英寸托运箱各一</w:t>
            </w:r>
          </w:p>
        </w:tc>
        <w:tc>
          <w:tcPr>
            <w:tcW w:w="699" w:type="dxa"/>
            <w:vAlign w:val="center"/>
          </w:tcPr>
          <w:p w14:paraId="0DDB7A0E">
            <w:pPr>
              <w:spacing w:line="360" w:lineRule="auto"/>
              <w:jc w:val="center"/>
              <w:rPr>
                <w:rFonts w:hint="eastAsia" w:ascii="宋体" w:hAnsi="宋体" w:eastAsia="宋体" w:cs="宋体"/>
                <w:color w:val="auto"/>
              </w:rPr>
            </w:pPr>
            <w:r>
              <w:rPr>
                <w:rFonts w:hint="eastAsia" w:ascii="宋体" w:hAnsi="宋体" w:eastAsia="宋体" w:cs="宋体"/>
                <w:color w:val="auto"/>
              </w:rPr>
              <w:t>套</w:t>
            </w:r>
          </w:p>
        </w:tc>
        <w:tc>
          <w:tcPr>
            <w:tcW w:w="717" w:type="dxa"/>
            <w:vAlign w:val="center"/>
          </w:tcPr>
          <w:p w14:paraId="497A8B73">
            <w:pPr>
              <w:spacing w:line="360" w:lineRule="auto"/>
              <w:jc w:val="center"/>
              <w:rPr>
                <w:rFonts w:hint="eastAsia" w:ascii="宋体" w:hAnsi="宋体" w:eastAsia="宋体" w:cs="宋体"/>
                <w:color w:val="auto"/>
              </w:rPr>
            </w:pPr>
            <w:r>
              <w:rPr>
                <w:rFonts w:hint="eastAsia" w:ascii="宋体" w:hAnsi="宋体" w:eastAsia="宋体" w:cs="宋体"/>
                <w:color w:val="auto"/>
              </w:rPr>
              <w:t>1</w:t>
            </w:r>
          </w:p>
        </w:tc>
      </w:tr>
      <w:tr w14:paraId="1B27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1E5F69A">
            <w:pPr>
              <w:spacing w:line="360" w:lineRule="auto"/>
              <w:jc w:val="center"/>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vertAlign w:val="baseline"/>
                <w:lang w:val="en-US" w:eastAsia="zh-CN"/>
              </w:rPr>
              <w:t>6</w:t>
            </w:r>
          </w:p>
        </w:tc>
        <w:tc>
          <w:tcPr>
            <w:tcW w:w="842" w:type="dxa"/>
            <w:vAlign w:val="center"/>
          </w:tcPr>
          <w:p w14:paraId="785DD992">
            <w:pPr>
              <w:spacing w:line="360" w:lineRule="auto"/>
              <w:jc w:val="center"/>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0"/>
                <w:szCs w:val="21"/>
              </w:rPr>
              <w:t>8米航空模拟实训舱</w:t>
            </w:r>
          </w:p>
        </w:tc>
        <w:tc>
          <w:tcPr>
            <w:tcW w:w="10952" w:type="dxa"/>
            <w:vAlign w:val="center"/>
          </w:tcPr>
          <w:p w14:paraId="0030508D">
            <w:pPr>
              <w:spacing w:line="36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0"/>
                <w:sz w:val="22"/>
              </w:rPr>
              <w:t>航空舱实训标准舱1套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1、航空实训舱体结构训练舱舱体最大外廓尺寸为长</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8米舱体宽</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3.9米、高</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2.6米，自重空载吨。带有学校logo的定制款式</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隔框是由内、外缘条和腹板组合焊接而成。2、隔框腹板均用A3钢85钢板，训练舱底座系由10#槽钢和5#角钢螺接、焊接，机身外蒙皮均釆用优质镀锌板厚度2毫米。3、该航空实训舱用于飞机乘务员的培训，训练舱为学员了解客机参数配置和舱内服务课程提供有利保障。模拟在飞机舱内环境向乘客提供最佳的服务，以及在紧急情况下准确熟练地操作飞机上的应急设施，安全、可靠地保证乘客人身安全，直至撤离飞机。训练舱模拟 B737飞机的真实环境，用于对各类机组人员进行应 急培训，以及培训机组人员在飞机处于紧急状态下，帮助旅客正确使用机载紧急设备，并按规定的紧急撤离程序，正确熟练地紧急开启飞机各类逃离出口/舱门，引导旅客迅速从座舱撤离等技能。前舱服务门1套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空客A320三维前服务门高</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1.9米宽</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0.9米训练舱左一门为三维仿真固定空客A320门，配备如下示装置：内手柄、观察窗、滑梯压力指示观察口、预位警示绳、舱门存放预位挂钩；阵风锁、辅助手柄和模拟滑梯包。它们能象普通建筑物门那样打开，但不具有运动轨迹、重量和惯量的仿真。为了防止不慎打开，这些门可以锁上的。分舱隔帘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分舱隔帘高</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1.8米宽</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1.5米飞机原装配件，折叠式拉帘，在商务座与经济座中间隔开一道空间，保证商务座乘客的私密性。乘务员座椅1套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训练舱内设置有两组乘务员座椅。乘务员座椅是全新座椅制作，操作与真实飞机的乘务员座椅一致。配备安全带和辅助功能</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经济舱旅客联排座椅36座</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经济舱旅客联排座椅3+3所有座椅均为下线客舱座椅,配备安全带。在经济舱段设置6排三联共36个经济舱旅客座椅，经济舱旅客座椅的排距为</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813mm，过道宽度为</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483mm</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翼上应急出口处座椅排距为</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991mm</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。旅客座椅排距，过道宽度模拟真实飞机。（采用原机拆机件）</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行李箱1套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空客A320左功能头顶行李箱舱内根据飞机的真实布局，安装有行李箱，行李箱都是拆机件翻新制作而成。（采用原机拆机件）</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PSU旅客服务系统6套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1、在舱内的行李箱下方配置 功能的旅客服务面板，旅客服务组件采用复合材料成形。其阅读灯、呼唤铃等均可以像飞机上一样使用。2、行李箱的下部安装PSU板，PSU板在安装时能在沿机身长度方向上进行位置调整及拼接；客舱左侧第1个、第4个、行李箱下为功能PSU，均具有氧气面罩脱落功能，以及阅读灯、空调口、呼唤铃功能；（1）、旅客呼叫功能（2）、阅读灯可操作功能（3）、“请勿吸烟”和“系好安全带”指示灯（4）、服务面板上的喇叭</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乘客呼叫灯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乘客阅读灯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乘客空调出风口</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氧气面罩脱落</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安全带提示灯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顶棚1套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顶棚（前后门区和客舱）训练舱内的顶板分为前门区顶棚、客舱天花板和后门区天花板三个部分。天花板由门区平天花板和客舱弧形天花板组成，天花板的构型与空客A320飞机的天花板一致。天花板的形状、分块和尺寸大小与空客A320飞机一致；平天花板的安装支架，用角钢焊接，与结构的连接采用螺接，便于拆装运输;平天花板用支架与结构相连,支架可拆卸；客舱弧形天花板采用先进复合材料制作；弧形天花板用支架安装在结构上；平天花板与支架连接为隐性连接。侧壁板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侧壁板（前后门区和客舱）机身左侧所有的窗户均用飞机原装配件制成，其具有良好的透光性能达到极高仿真效果，用优质工程塑料制作飞机遮阳板，使用功能达到逼真效果。机身右侧采用敞开式制作</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地毯1套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空乘训练舱的地板是由安装在结构骨架上的复合层板构成。舱内将铺设地毯，地毯的颜色和图案，将与飞机上地毯的颜色和图案一致。安全视频播放器1套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壁挂安全视频播放器•屏幕尺寸:≥20英寸•内存容量:≥2GB•硬盘容量:≥32GB•硬盘接口:SATA•硬盘转速:≥7200转•显卡接口:其他/other前卫生间1套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盥洗室、卫生间</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训练舱前门区段左前侧设置一个卫生间。卫生间门上标识、内部灯光、镜子、手纸架、纸巾箱、洗手池、马桶、废物箱等均按真实构形模拟。马桶无上下水功能。洗手池无上下水功能。卫生间门的开启、关闭、内部灯光控制和旅客呼叫与飞机相似。对卫生间垃圾门内各种可操作旋扭进行仿真，可操作但无功能。卫生间顶板上设置烟雾探测器。前仿真半厨房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前厨房：</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厨房构形与空客A320飞机一致；厨房为板式结构，板材用密度板，外用铝装饰型材包边；厨房插件均为无功能模拟件；设置1个无功能模拟烤箱；厨房配电板上与训练舱控制有关部分为功能模拟，其余为无功能模拟；前厨房A设置2个餐车位，餐车大把手为功能件。前厨房B设置3个餐车位，挡餐车大把手为功能件。食品周转手推车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食品周转手推车（采用原机拆机件）规格参数：1.名称：航空餐车</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2.长度：≥810mm</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3.宽度：≥302mm</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4.高度：≥1030mm</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5.材料：铝合金</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6.车轮数：4个</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7.是否有刹：有脚刹</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8.配件：抽屉或者托盘</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乘务员控制面板1套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前乘务员灯光控制面板在该面板中的“ENTRY”、“CEILING”、“WINDOW”和“WORK”这四个开关是 具有功能的，可以对客舱内的灯光进行控制。其余开关和指示灯等，均为外观仿真部件。客舱灯光系统1套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客舱灯光系统：顶灯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窗灯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入口灯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通道灯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夜间灯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乘务员工作灯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请勿吸烟、系好安全带灯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请勿吸烟、系好安全带标牌</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应急灯导光板</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配备灯光控制系统1套，采用正常的220V交流电源通过配电系统转换成直流24V、12V安全用电,灯光系统由控制室来控制。内话系统1套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舱内共设两处内话手机，他们分别在如下站位：前乘务员站位</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后乘务员站位内话手机将采用仿真部件，整个广播、内话系统的功能，包括呼叫音钟声等，均与真实飞机相似。在每个手机站位还安装着内话呼叫指示灯ACP 组件，其点亮方式也和真实飞机相似。机组呼叫—粉色（稳定亮或亮）</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客舱旅客呼叫--蓝色（稳定亮）</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厕所旅客呼叫--琥珀色（稳定亮）</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厕所烟雾--琥珀色（闪亮）紧急撤离信号--粉色（闪亮）</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在教官站位还提供了一个移动麦克风，使教官在舱周围任何地方，都可以对客舱进行广播，而不受任何限制。客舱应急灯系统1套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客舱应急灯系统</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训练舱上配备有如下的模拟客舱应急灯光</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门区“出口”标志灯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客舱“出口”标志灯</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客舱地板上的光带</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紧急出口区域的“出口”标志灯这些应急灯光均由教官控制室点亮。旅客服务系统1套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训练舱内的旅客服务标志均为功能模拟件。全部的“请勿吸烟”和“系好安全带”指示灯等。卫生间有/无人的图案标志是功能的，且由卫生间门上的插销控制其的点亮状态。卫生间门上的插销及其标志也具有功能。在卫生间里也有呼叫按钮， 在按压该按钮后，卫生间外墙上的指示灯，相应的ACP也有对应的显示。在功能旅客服务组件上的旅客呼叫是功能性的，按压呼唤按钮后，会触发谐音钟声，该座位指示灯将点亮，同时ACP将有相应的显示。</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教官控制系统1套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教官控制室</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电源启动控制系统</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舱内监控播放系统</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显示一体屏幕</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电脑主机键盘鼠标</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控制室内配备电源按钮、客舱管理器、灯光控制系统，可以实现对客舱灯光、应急灯光、广播系统等的控制，及教学模拟系统控制多功能教官室的人机界面控制主机及控制系统软件1套，可通过控制室中的总控系统实现对模拟舱内部中包括：照明系统、广播内话系统、监控系统、排风系统、防火隔断门乘务信息显示屏、乘客影音播放系统等的控制开关。应急处理装备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模拟舱配有下列应急装置</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1、灭火器商务客舱后区配有一套灭火器在厨房对面中配有一套灭火器（2kg粉末填充）2、模拟紧急出口窗所有紧急出口窗都在内外两侧标有清晰标记。在紧急情况下，应使用位于相应紧急出口窗的自救 砸碎紧急出口窗并随后将其作为脱险通道使用。3、急救包内包含有处理轻伤的必需品。4、除制造训练舱的材料具有阻燃功能外，根据要求，设有火警与防火系统。在前门区段、头等舱段、经济舱段和后门区段各设一个烟雾探测器和温度探测器。闭路监控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训练舱共安装有四部半球一体化彩色摄像机，摄像机的分布情况如下所示:在机舱前门区、中部、后门区各装一部。在教官控制室安装有一台监视器和录象系统，教官可以在控制室内随时监控舱内每一个角落的训练情况，同时还可以把这些训练情况录制下来，并重新回放。教师授课辅助系统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在教官控制室安装有固定麦克风，可通过显示监控系统对学员进行指导，还提供了一个无线麦克风，使教官在舱周围任何地方，都可以对客舱进行广播，而不受任何限制。油漆及表面涂装1套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第一层模型整体骨架采用防氧化图层工艺处理一遍；第二层采用防锈防腐图层处理；第三层和第四层为底漆；第五层和第六层威装饰汽车2K面漆，也可根据甲方要求进行定制喷涂；最后一层为防氧化环氧图层封闭处理，是漆面保存时间更久。</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氧气面罩2套</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演示培训用氧气面罩（采用航空原装件）氧气面罩提供了一个可以把呼吸需要的氧气从储罐中转入到人体肺部的方法。主要有医用氧气面罩、航空氧气面罩以及航空乘客使用的氧气面罩等种类，对于治疗疾病、保护乘客及飞行员安全起到了重要的作用。主要由塑料，有机硅，或橡胶制成。安全带6套</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演示培训用安全带（采用航空原装件）安全带是运用在设备上的安全件，乘坐飞机等飞行器，或在高空作业与进行技艺表演时，为保障安全所用的带子。主要原料是涤纶,丙纶，尼龙。安全带不单指织带，除了织带，安全带还有其它零件组装而成。救生衣4套</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演示培训用救生衣（采用航空原装件）充气救生衣是通过用力拉动充气装置上的拉绳，使拉杆转至不小于90度，刺针刺破高压储气钢瓶中的膜片，高压二氧化碳气体冲入气囊，气体膨胀后产生浮力，从而达到救生的目的。充气救生衣主要由密封充气式背心气囊、微型高压气瓶和快速充气阀等组成，在有掉入水中可能性的工作中经常使用</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急救药箱1套</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演示培训用急救药箱（采用航空原装件）装有急救或常用药品及消过毒的纱布,绷带的箱子,供医生出诊使用。是用于急救的小型医疗箱,共有两层，可存放一些小药品,及简单急救包扎用品，合理的分格设计可以把药片或胶囊分开，免得混淆。应急手电筒1套</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演示培训用应急手电筒（采用航空原装件）【材质】高强度工程塑料+镀铬头【颜色】黑色、【尺寸】≥210*65*50mm【电池】两节一号电池</w:t>
            </w:r>
            <w:r>
              <w:rPr>
                <w:rFonts w:hint="eastAsia" w:ascii="宋体" w:hAnsi="宋体" w:eastAsia="宋体" w:cs="宋体"/>
                <w:color w:val="auto"/>
                <w:kern w:val="0"/>
                <w:sz w:val="22"/>
              </w:rPr>
              <w:br w:type="textWrapping"/>
            </w:r>
            <w:r>
              <w:rPr>
                <w:rFonts w:hint="eastAsia" w:ascii="宋体" w:hAnsi="宋体" w:eastAsia="宋体" w:cs="宋体"/>
                <w:color w:val="auto"/>
                <w:kern w:val="0"/>
                <w:sz w:val="22"/>
              </w:rPr>
              <w:t>航空毛毯5条</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航空毛毯（采用航空原装件）品名：腈纶航空毯</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尺寸：</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120*180ＣＭ　材质：100%腈纶</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重量：</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270gsm，</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650g每条</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包装细节：每条一个PP袋</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组织：人字斜纹，包边：折边</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茶水托盘4套</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茶水托盘（采用航空原装件）（茶水盘托盘ABS塑料防木纹深灰色）</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航空咖啡壶2套</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容量:1.6L(含)-2L(不含)</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材质:304不锈钢</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产地:中国大陆</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保温时长:</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24小时(含)-36小时(不含)毛重:</w:t>
            </w:r>
            <w:r>
              <w:rPr>
                <w:rFonts w:hint="eastAsia" w:ascii="宋体" w:hAnsi="宋体" w:eastAsia="宋体" w:cs="宋体"/>
                <w:color w:val="auto"/>
                <w:kern w:val="0"/>
                <w:sz w:val="22"/>
                <w:lang w:val="en-US" w:eastAsia="zh-CN"/>
              </w:rPr>
              <w:t>约</w:t>
            </w:r>
            <w:r>
              <w:rPr>
                <w:rFonts w:hint="eastAsia" w:ascii="宋体" w:hAnsi="宋体" w:eastAsia="宋体" w:cs="宋体"/>
                <w:color w:val="auto"/>
                <w:kern w:val="0"/>
                <w:sz w:val="22"/>
              </w:rPr>
              <w:t>1.2KG</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包装体积:≥19*17*30cm</w:t>
            </w:r>
            <w:r>
              <w:rPr>
                <w:rFonts w:hint="eastAsia" w:ascii="宋体" w:hAnsi="宋体" w:eastAsia="宋体" w:cs="宋体"/>
                <w:color w:val="auto"/>
                <w:kern w:val="0"/>
                <w:sz w:val="22"/>
                <w:lang w:val="en-US" w:eastAsia="zh-CN"/>
              </w:rPr>
              <w:t>,</w:t>
            </w:r>
            <w:r>
              <w:rPr>
                <w:rFonts w:hint="eastAsia" w:ascii="宋体" w:hAnsi="宋体" w:eastAsia="宋体" w:cs="宋体"/>
                <w:color w:val="auto"/>
                <w:kern w:val="0"/>
                <w:sz w:val="22"/>
              </w:rPr>
              <w:t>杯子容量值:1.5L-2L</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rPr>
              <w:t>颜色分类:不锈钢本色</w:t>
            </w:r>
          </w:p>
        </w:tc>
        <w:tc>
          <w:tcPr>
            <w:tcW w:w="699" w:type="dxa"/>
            <w:vAlign w:val="center"/>
          </w:tcPr>
          <w:p w14:paraId="34A0EE68">
            <w:pPr>
              <w:spacing w:line="360" w:lineRule="auto"/>
              <w:jc w:val="center"/>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vertAlign w:val="baseline"/>
                <w:lang w:val="en-US" w:eastAsia="zh-CN"/>
              </w:rPr>
              <w:t>套</w:t>
            </w:r>
          </w:p>
        </w:tc>
        <w:tc>
          <w:tcPr>
            <w:tcW w:w="717" w:type="dxa"/>
            <w:vAlign w:val="center"/>
          </w:tcPr>
          <w:p w14:paraId="404EB91D">
            <w:pPr>
              <w:spacing w:line="360" w:lineRule="auto"/>
              <w:jc w:val="center"/>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vertAlign w:val="baseline"/>
                <w:lang w:val="en-US" w:eastAsia="zh-CN"/>
              </w:rPr>
              <w:t>1</w:t>
            </w:r>
          </w:p>
        </w:tc>
      </w:tr>
    </w:tbl>
    <w:p w14:paraId="7F5FC77E">
      <w:pPr>
        <w:rPr>
          <w:rFonts w:hint="eastAsia" w:eastAsia="宋体"/>
          <w:b/>
          <w:bCs/>
          <w:sz w:val="24"/>
          <w:szCs w:val="22"/>
          <w:lang w:eastAsia="zh-CN"/>
        </w:rPr>
      </w:pPr>
      <w:r>
        <w:rPr>
          <w:rFonts w:hint="eastAsia"/>
          <w:b/>
          <w:bCs/>
          <w:sz w:val="24"/>
          <w:szCs w:val="22"/>
          <w:lang w:val="en-US" w:eastAsia="zh-CN"/>
        </w:rPr>
        <w:t>注：</w:t>
      </w:r>
    </w:p>
    <w:p w14:paraId="3E5F5C46">
      <w:pPr>
        <w:pStyle w:val="36"/>
        <w:rPr>
          <w:rFonts w:hint="default" w:eastAsia="宋体"/>
          <w:lang w:val="en-US" w:eastAsia="zh-CN"/>
        </w:rPr>
        <w:sectPr>
          <w:footnotePr>
            <w:pos w:val="beneathText"/>
          </w:footnotePr>
          <w:pgSz w:w="16838" w:h="11906" w:orient="landscape"/>
          <w:pgMar w:top="1418" w:right="1701" w:bottom="1418" w:left="1701" w:header="1091" w:footer="992" w:gutter="0"/>
          <w:cols w:space="720" w:num="1"/>
          <w:titlePg/>
          <w:docGrid w:type="lines" w:linePitch="312" w:charSpace="0"/>
        </w:sectPr>
      </w:pPr>
      <w:r>
        <w:rPr>
          <w:rFonts w:hint="eastAsia"/>
        </w:rPr>
        <w:t>8米航空模拟实训舱</w:t>
      </w:r>
      <w:r>
        <w:rPr>
          <w:rFonts w:hint="eastAsia"/>
          <w:lang w:val="en-US" w:eastAsia="zh-CN"/>
        </w:rPr>
        <w:t>为核心产品</w:t>
      </w:r>
    </w:p>
    <w:p w14:paraId="7D1C79DE">
      <w:pPr>
        <w:pStyle w:val="3"/>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15"/>
    </w:p>
    <w:p w14:paraId="6707A7D3">
      <w:pPr>
        <w:spacing w:line="360" w:lineRule="auto"/>
        <w:rPr>
          <w:rFonts w:ascii="宋体" w:hAnsi="宋体" w:cs="宋体"/>
          <w:b/>
          <w:bCs/>
          <w:sz w:val="24"/>
          <w:szCs w:val="24"/>
        </w:rPr>
      </w:pPr>
      <w:r>
        <w:rPr>
          <w:rFonts w:hint="eastAsia" w:ascii="宋体" w:hAnsi="宋体" w:cs="宋体"/>
          <w:b/>
          <w:bCs/>
          <w:sz w:val="24"/>
          <w:szCs w:val="24"/>
        </w:rPr>
        <w:t>一、评审方法</w:t>
      </w:r>
    </w:p>
    <w:p w14:paraId="07D0D6B6">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14:paraId="61621AC7">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14:paraId="09D80AE1">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14:paraId="2A0AB7BA">
      <w:pPr>
        <w:spacing w:line="360" w:lineRule="auto"/>
        <w:rPr>
          <w:rFonts w:ascii="宋体" w:hAnsi="宋体" w:cs="宋体"/>
          <w:b/>
          <w:bCs/>
          <w:sz w:val="24"/>
          <w:szCs w:val="24"/>
        </w:rPr>
      </w:pPr>
      <w:r>
        <w:rPr>
          <w:rFonts w:hint="eastAsia" w:ascii="宋体" w:hAnsi="宋体" w:cs="宋体"/>
          <w:b/>
          <w:bCs/>
          <w:sz w:val="24"/>
          <w:szCs w:val="24"/>
        </w:rPr>
        <w:t>二、评审程序</w:t>
      </w:r>
    </w:p>
    <w:p w14:paraId="14A115A0">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14:paraId="612A7EC1">
      <w:pPr>
        <w:spacing w:line="360" w:lineRule="auto"/>
        <w:rPr>
          <w:rFonts w:ascii="宋体" w:hAnsi="宋体" w:cs="宋体"/>
          <w:sz w:val="24"/>
          <w:szCs w:val="24"/>
        </w:rPr>
      </w:pPr>
      <w:r>
        <w:rPr>
          <w:rFonts w:hint="eastAsia" w:ascii="宋体" w:hAnsi="宋体" w:cs="宋体"/>
          <w:sz w:val="24"/>
          <w:szCs w:val="24"/>
        </w:rPr>
        <w:t>资格性审查由采购人和代理机构共同审查，符合性审查由谈判小组审查。在上一步评审中被废标者，不进入下一步的评审。</w:t>
      </w:r>
    </w:p>
    <w:p w14:paraId="196CDC61">
      <w:pPr>
        <w:spacing w:line="360" w:lineRule="auto"/>
        <w:rPr>
          <w:rFonts w:ascii="宋体" w:hAnsi="宋体" w:cs="宋体"/>
          <w:sz w:val="24"/>
          <w:szCs w:val="24"/>
        </w:rPr>
      </w:pPr>
      <w:r>
        <w:rPr>
          <w:rFonts w:hint="eastAsia" w:ascii="宋体" w:hAnsi="宋体" w:cs="宋体"/>
          <w:sz w:val="24"/>
          <w:szCs w:val="24"/>
        </w:rPr>
        <w:t>1、对竞争性谈判响应文件的符合性审查：</w:t>
      </w:r>
    </w:p>
    <w:p w14:paraId="7E8D5A8D">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2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0C7B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65F1322A">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0CEC4BB6">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36C9E1D2">
            <w:pPr>
              <w:jc w:val="center"/>
              <w:rPr>
                <w:rFonts w:ascii="宋体" w:hAnsi="宋体" w:cs="宋体"/>
                <w:b/>
                <w:bCs/>
                <w:sz w:val="24"/>
                <w:szCs w:val="24"/>
              </w:rPr>
            </w:pPr>
            <w:r>
              <w:rPr>
                <w:rFonts w:hint="eastAsia" w:ascii="宋体" w:hAnsi="宋体" w:cs="宋体"/>
                <w:b/>
                <w:bCs/>
                <w:sz w:val="24"/>
                <w:szCs w:val="24"/>
              </w:rPr>
              <w:t>评审标准</w:t>
            </w:r>
          </w:p>
        </w:tc>
      </w:tr>
      <w:tr w14:paraId="3FBE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22B89E83">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564A07AC">
            <w:pPr>
              <w:jc w:val="center"/>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14:paraId="00B8F708">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14:paraId="3087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182E0FFB">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14:paraId="22009BAE">
            <w:pPr>
              <w:jc w:val="center"/>
              <w:rPr>
                <w:rFonts w:ascii="宋体" w:hAnsi="宋体" w:cs="宋体"/>
                <w:sz w:val="24"/>
                <w:szCs w:val="24"/>
              </w:rPr>
            </w:pPr>
            <w:r>
              <w:rPr>
                <w:rFonts w:hint="eastAsia" w:ascii="宋体" w:hAnsi="宋体" w:cs="宋体"/>
                <w:sz w:val="24"/>
                <w:szCs w:val="24"/>
              </w:rPr>
              <w:t>投标保证金</w:t>
            </w:r>
          </w:p>
        </w:tc>
        <w:tc>
          <w:tcPr>
            <w:tcW w:w="5536" w:type="dxa"/>
            <w:noWrap w:val="0"/>
            <w:vAlign w:val="center"/>
          </w:tcPr>
          <w:p w14:paraId="3FDC57B8">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14:paraId="2A2D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2247BE65">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14:paraId="3801EBB3">
            <w:pPr>
              <w:jc w:val="center"/>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14:paraId="73F22D1B">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14:paraId="4659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14:paraId="5CAF2D61">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14:paraId="18398116">
            <w:pPr>
              <w:jc w:val="center"/>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14:paraId="04894B93">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14:paraId="54D7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B874CF1">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14:paraId="789102F6">
            <w:pPr>
              <w:jc w:val="center"/>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14:paraId="0A060AC7">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50A9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35B11CBF">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14:paraId="30C37A9F">
            <w:pPr>
              <w:jc w:val="center"/>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14:paraId="2A81CD9D">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33BF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3E2F6186">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14:paraId="1FE906CA">
            <w:pPr>
              <w:jc w:val="center"/>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14:paraId="4311C815">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098D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14:paraId="32BE351D">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14:paraId="7A6F7ADC">
            <w:pPr>
              <w:jc w:val="center"/>
              <w:rPr>
                <w:rFonts w:ascii="宋体" w:hAnsi="宋体" w:cs="宋体"/>
                <w:sz w:val="24"/>
                <w:szCs w:val="24"/>
              </w:rPr>
            </w:pPr>
            <w:r>
              <w:rPr>
                <w:rFonts w:hint="eastAsia" w:ascii="宋体" w:hAnsi="宋体" w:cs="宋体"/>
                <w:sz w:val="24"/>
                <w:szCs w:val="24"/>
              </w:rPr>
              <w:t>报价</w:t>
            </w:r>
          </w:p>
        </w:tc>
        <w:tc>
          <w:tcPr>
            <w:tcW w:w="5536" w:type="dxa"/>
            <w:noWrap w:val="0"/>
            <w:vAlign w:val="center"/>
          </w:tcPr>
          <w:p w14:paraId="6EAF8FFD">
            <w:pPr>
              <w:rPr>
                <w:rFonts w:ascii="宋体" w:hAnsi="宋体" w:cs="宋体"/>
                <w:sz w:val="24"/>
                <w:szCs w:val="24"/>
              </w:rPr>
            </w:pPr>
            <w:r>
              <w:rPr>
                <w:rFonts w:hint="eastAsia" w:ascii="宋体" w:hAnsi="宋体" w:cs="宋体"/>
                <w:sz w:val="24"/>
                <w:szCs w:val="24"/>
              </w:rPr>
              <w:t>1）供应商在同一份谈判响应文件中，只有一个有效报价的；</w:t>
            </w:r>
          </w:p>
          <w:p w14:paraId="448C6AC3">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14:paraId="7C19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6D49B10F">
            <w:pPr>
              <w:jc w:val="center"/>
              <w:rPr>
                <w:rFonts w:ascii="宋体" w:hAnsi="宋体" w:cs="宋体"/>
                <w:sz w:val="24"/>
                <w:szCs w:val="24"/>
              </w:rPr>
            </w:pPr>
            <w:r>
              <w:rPr>
                <w:rFonts w:hint="eastAsia" w:ascii="宋体" w:hAnsi="宋体" w:cs="宋体"/>
                <w:sz w:val="24"/>
                <w:szCs w:val="24"/>
              </w:rPr>
              <w:t>9</w:t>
            </w:r>
          </w:p>
        </w:tc>
        <w:tc>
          <w:tcPr>
            <w:tcW w:w="2973" w:type="dxa"/>
            <w:noWrap w:val="0"/>
            <w:vAlign w:val="center"/>
          </w:tcPr>
          <w:p w14:paraId="22236CF1">
            <w:pPr>
              <w:jc w:val="center"/>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14:paraId="5F506FB6">
            <w:pPr>
              <w:rPr>
                <w:rFonts w:ascii="宋体" w:hAnsi="宋体" w:cs="宋体"/>
                <w:sz w:val="24"/>
                <w:szCs w:val="24"/>
              </w:rPr>
            </w:pPr>
            <w:r>
              <w:rPr>
                <w:rFonts w:hint="eastAsia" w:ascii="宋体" w:hAnsi="宋体" w:cs="宋体"/>
                <w:sz w:val="24"/>
                <w:szCs w:val="24"/>
              </w:rPr>
              <w:t>商务要求逐条响应并满足竞争性谈判文件要求。</w:t>
            </w:r>
          </w:p>
        </w:tc>
      </w:tr>
      <w:tr w14:paraId="38B3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59397672">
            <w:pPr>
              <w:jc w:val="center"/>
              <w:rPr>
                <w:rFonts w:ascii="宋体" w:hAnsi="宋体" w:cs="宋体"/>
                <w:sz w:val="24"/>
                <w:szCs w:val="24"/>
              </w:rPr>
            </w:pPr>
            <w:r>
              <w:rPr>
                <w:rFonts w:hint="eastAsia" w:ascii="宋体" w:hAnsi="宋体" w:cs="宋体"/>
                <w:sz w:val="24"/>
                <w:szCs w:val="24"/>
              </w:rPr>
              <w:t>10</w:t>
            </w:r>
          </w:p>
        </w:tc>
        <w:tc>
          <w:tcPr>
            <w:tcW w:w="2973" w:type="dxa"/>
            <w:noWrap w:val="0"/>
            <w:vAlign w:val="center"/>
          </w:tcPr>
          <w:p w14:paraId="3C49BBF0">
            <w:pPr>
              <w:jc w:val="center"/>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14:paraId="3E88C87A">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一、标的物选型及技术指标说明</w:t>
            </w:r>
            <w:r>
              <w:rPr>
                <w:rFonts w:hint="eastAsia" w:ascii="宋体" w:hAnsi="宋体" w:eastAsia="宋体" w:cs="宋体"/>
                <w:color w:val="auto"/>
                <w:sz w:val="24"/>
                <w:szCs w:val="24"/>
                <w:lang w:eastAsia="zh-CN"/>
              </w:rPr>
              <w:t>；</w:t>
            </w:r>
          </w:p>
          <w:p w14:paraId="213DB3AF">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w:t>
            </w:r>
            <w:r>
              <w:rPr>
                <w:rFonts w:hint="eastAsia" w:ascii="宋体" w:hAnsi="宋体" w:cs="宋体"/>
                <w:color w:val="auto"/>
                <w:sz w:val="24"/>
                <w:szCs w:val="24"/>
                <w:lang w:val="en-US" w:eastAsia="zh-CN"/>
              </w:rPr>
              <w:t>所投产品来源渠道合法的</w:t>
            </w:r>
            <w:r>
              <w:rPr>
                <w:rFonts w:hint="eastAsia" w:ascii="宋体" w:hAnsi="宋体" w:cs="宋体"/>
                <w:color w:val="auto"/>
                <w:sz w:val="24"/>
                <w:szCs w:val="24"/>
                <w:lang w:eastAsia="zh-CN"/>
              </w:rPr>
              <w:t>书面证明材料</w:t>
            </w:r>
            <w:r>
              <w:rPr>
                <w:rFonts w:hint="eastAsia" w:ascii="宋体" w:hAnsi="宋体" w:eastAsia="宋体" w:cs="宋体"/>
                <w:color w:val="auto"/>
                <w:sz w:val="24"/>
                <w:szCs w:val="24"/>
                <w:lang w:eastAsia="zh-CN"/>
              </w:rPr>
              <w:t>。</w:t>
            </w:r>
          </w:p>
          <w:p w14:paraId="136E829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、对本项目的供货、服务</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组织措施及人员投入情况。</w:t>
            </w:r>
          </w:p>
          <w:p w14:paraId="0D8980A1">
            <w:pPr>
              <w:spacing w:line="360" w:lineRule="auto"/>
              <w:rPr>
                <w:rFonts w:hint="eastAsia" w:ascii="宋体" w:hAnsi="宋体" w:eastAsia="宋体" w:cs="宋体"/>
                <w:color w:val="auto"/>
                <w:sz w:val="24"/>
                <w:szCs w:val="24"/>
              </w:rPr>
            </w:pPr>
            <w:r>
              <w:rPr>
                <w:rFonts w:hint="eastAsia" w:ascii="宋体" w:hAnsi="宋体" w:cs="宋体"/>
                <w:color w:val="auto"/>
                <w:sz w:val="24"/>
                <w:szCs w:val="24"/>
                <w:lang w:val="en-US" w:eastAsia="zh-CN"/>
              </w:rPr>
              <w:t>四</w:t>
            </w:r>
            <w:r>
              <w:rPr>
                <w:rFonts w:hint="eastAsia" w:ascii="宋体" w:hAnsi="宋体" w:eastAsia="宋体" w:cs="宋体"/>
                <w:color w:val="auto"/>
                <w:sz w:val="24"/>
                <w:szCs w:val="24"/>
              </w:rPr>
              <w:t>、质量保证、售后服务计划及措施。</w:t>
            </w:r>
          </w:p>
          <w:p w14:paraId="3ABDDE43">
            <w:pP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五</w:t>
            </w:r>
            <w:r>
              <w:rPr>
                <w:rFonts w:hint="eastAsia" w:ascii="宋体" w:hAnsi="宋体" w:eastAsia="宋体" w:cs="宋体"/>
                <w:color w:val="auto"/>
                <w:sz w:val="24"/>
                <w:szCs w:val="24"/>
                <w:lang w:eastAsia="zh-CN"/>
              </w:rPr>
              <w:t>、公司服务承诺。</w:t>
            </w:r>
          </w:p>
          <w:p w14:paraId="4BF7ACA6">
            <w:pPr>
              <w:spacing w:line="360" w:lineRule="auto"/>
              <w:rPr>
                <w:rFonts w:hint="default" w:eastAsia="宋体"/>
                <w:lang w:val="en-US" w:eastAsia="zh-CN"/>
              </w:rPr>
            </w:pPr>
            <w:r>
              <w:rPr>
                <w:rFonts w:hint="eastAsia" w:ascii="宋体" w:hAnsi="宋体" w:cs="宋体"/>
                <w:color w:val="auto"/>
                <w:sz w:val="24"/>
                <w:szCs w:val="24"/>
                <w:lang w:val="en-US" w:eastAsia="zh-CN"/>
              </w:rPr>
              <w:t>六</w:t>
            </w:r>
            <w:r>
              <w:rPr>
                <w:rFonts w:hint="eastAsia" w:ascii="宋体" w:hAnsi="宋体" w:eastAsia="宋体" w:cs="宋体"/>
                <w:color w:val="auto"/>
                <w:sz w:val="24"/>
                <w:szCs w:val="24"/>
              </w:rPr>
              <w:t xml:space="preserve">、投标供应商其他有必要说明的问题。  </w:t>
            </w:r>
          </w:p>
        </w:tc>
      </w:tr>
      <w:tr w14:paraId="0E16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7C41F70F">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14:paraId="1FA3A668">
            <w:pPr>
              <w:jc w:val="center"/>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14:paraId="7B325673">
            <w:pPr>
              <w:rPr>
                <w:rFonts w:ascii="宋体" w:hAnsi="宋体" w:cs="宋体"/>
                <w:sz w:val="24"/>
                <w:szCs w:val="24"/>
              </w:rPr>
            </w:pPr>
            <w:r>
              <w:rPr>
                <w:rFonts w:hint="eastAsia" w:ascii="宋体" w:hAnsi="宋体" w:cs="宋体"/>
                <w:sz w:val="24"/>
                <w:szCs w:val="24"/>
              </w:rPr>
              <w:t>满足谈判文件规定的其他要求。</w:t>
            </w:r>
          </w:p>
        </w:tc>
      </w:tr>
    </w:tbl>
    <w:p w14:paraId="5418F161">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14:paraId="33A44F08">
      <w:pPr>
        <w:spacing w:line="360" w:lineRule="auto"/>
        <w:rPr>
          <w:rFonts w:ascii="宋体" w:hAnsi="宋体" w:cs="宋体"/>
          <w:sz w:val="24"/>
          <w:szCs w:val="24"/>
        </w:rPr>
      </w:pPr>
      <w:r>
        <w:rPr>
          <w:rFonts w:hint="eastAsia" w:ascii="宋体" w:hAnsi="宋体" w:cs="宋体"/>
          <w:sz w:val="24"/>
          <w:szCs w:val="24"/>
        </w:rPr>
        <w:t>更正：</w:t>
      </w:r>
    </w:p>
    <w:p w14:paraId="240F97FA">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14:paraId="0BF9FBCB">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14:paraId="1217BBEE">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14:paraId="51E9D259">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14:paraId="10DD2D98">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14:paraId="4FAC6E95">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14:paraId="40A53F5F">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0E8EE05F">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14:paraId="5C4D74AB">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14:paraId="7A8CA001">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14:paraId="529812AC">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14:paraId="4219296E">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14:paraId="5C086264">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14:paraId="1889F2C7">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14:paraId="61EC0236">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14:paraId="1E76212C">
      <w:pPr>
        <w:spacing w:line="360" w:lineRule="auto"/>
        <w:ind w:firstLine="480" w:firstLineChars="200"/>
        <w:rPr>
          <w:sz w:val="24"/>
          <w:szCs w:val="24"/>
        </w:rPr>
      </w:pPr>
      <w:r>
        <w:rPr>
          <w:rFonts w:hint="eastAsia"/>
          <w:sz w:val="24"/>
          <w:szCs w:val="24"/>
        </w:rPr>
        <w:t>（4）《国务院办公厅关于建立政府强制采购节能产品制度的通知》（国办发〔2007〕</w:t>
      </w:r>
    </w:p>
    <w:p w14:paraId="4F4A1FF0">
      <w:pPr>
        <w:spacing w:line="360" w:lineRule="auto"/>
        <w:rPr>
          <w:sz w:val="24"/>
          <w:szCs w:val="24"/>
        </w:rPr>
      </w:pPr>
      <w:r>
        <w:rPr>
          <w:rFonts w:hint="eastAsia"/>
          <w:sz w:val="24"/>
          <w:szCs w:val="24"/>
        </w:rPr>
        <w:t>51 号）；</w:t>
      </w:r>
    </w:p>
    <w:p w14:paraId="31CE49E1">
      <w:pPr>
        <w:spacing w:line="360" w:lineRule="auto"/>
        <w:ind w:firstLine="480" w:firstLineChars="200"/>
        <w:rPr>
          <w:sz w:val="24"/>
          <w:szCs w:val="24"/>
        </w:rPr>
      </w:pPr>
      <w:r>
        <w:rPr>
          <w:rFonts w:hint="eastAsia"/>
          <w:sz w:val="24"/>
          <w:szCs w:val="24"/>
        </w:rPr>
        <w:t>（5）《节能产品政府采购实施意见》（财库[2004]185 号）；</w:t>
      </w:r>
    </w:p>
    <w:p w14:paraId="205A42CC">
      <w:pPr>
        <w:spacing w:line="360" w:lineRule="auto"/>
        <w:ind w:firstLine="480" w:firstLineChars="200"/>
        <w:rPr>
          <w:sz w:val="24"/>
          <w:szCs w:val="24"/>
        </w:rPr>
      </w:pPr>
      <w:r>
        <w:rPr>
          <w:rFonts w:hint="eastAsia"/>
          <w:sz w:val="24"/>
          <w:szCs w:val="24"/>
        </w:rPr>
        <w:t>（6）《环境标志产品政府采购实施的意见》（财库[2006]90 号）；</w:t>
      </w:r>
    </w:p>
    <w:p w14:paraId="0D223C29">
      <w:pPr>
        <w:spacing w:line="360" w:lineRule="auto"/>
        <w:ind w:firstLine="480" w:firstLineChars="200"/>
        <w:rPr>
          <w:sz w:val="24"/>
          <w:szCs w:val="24"/>
        </w:rPr>
      </w:pPr>
      <w:r>
        <w:rPr>
          <w:rFonts w:hint="eastAsia"/>
          <w:sz w:val="24"/>
          <w:szCs w:val="24"/>
        </w:rPr>
        <w:t>（7） 《陕西省中小企业政府采购信用融资办法》（陕财办采〔2018〕23 号）。</w:t>
      </w:r>
    </w:p>
    <w:p w14:paraId="0C8BAF6B">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14:paraId="7766DFEE">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14:paraId="00539CBC">
      <w:pPr>
        <w:spacing w:line="360" w:lineRule="auto"/>
        <w:ind w:firstLine="480" w:firstLineChars="200"/>
        <w:rPr>
          <w:sz w:val="24"/>
          <w:szCs w:val="24"/>
        </w:rPr>
      </w:pPr>
      <w:r>
        <w:rPr>
          <w:rFonts w:hint="eastAsia"/>
          <w:sz w:val="24"/>
          <w:szCs w:val="24"/>
        </w:rPr>
        <w:t>2）在工程采购项目中，工程由中小企业承建，即工程施工单位为中小企业；</w:t>
      </w:r>
    </w:p>
    <w:p w14:paraId="186D8417">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14:paraId="2B4F2FCD">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14:paraId="37F414ED">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14:paraId="3A7DAB25">
      <w:pPr>
        <w:spacing w:line="360" w:lineRule="auto"/>
        <w:rPr>
          <w:sz w:val="24"/>
          <w:szCs w:val="24"/>
        </w:rPr>
      </w:pPr>
      <w:r>
        <w:rPr>
          <w:rFonts w:hint="eastAsia"/>
          <w:sz w:val="24"/>
          <w:szCs w:val="24"/>
        </w:rPr>
        <w:t>中小企业。其中，联合体各方均为小微企业的，联合体视同小微企业。</w:t>
      </w:r>
    </w:p>
    <w:p w14:paraId="7F7D15BA">
      <w:pPr>
        <w:spacing w:line="360" w:lineRule="auto"/>
        <w:ind w:firstLine="482" w:firstLineChars="200"/>
        <w:rPr>
          <w:b/>
          <w:bCs/>
          <w:sz w:val="24"/>
          <w:szCs w:val="24"/>
        </w:rPr>
      </w:pPr>
      <w:r>
        <w:rPr>
          <w:rFonts w:hint="eastAsia"/>
          <w:b/>
          <w:bCs/>
          <w:sz w:val="24"/>
          <w:szCs w:val="24"/>
        </w:rPr>
        <w:t>供应商为非联合体参与投标的情况：</w:t>
      </w:r>
    </w:p>
    <w:p w14:paraId="7839CAE1">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14:paraId="50A3F78F">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14:paraId="301A5BE5">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14:paraId="7F5922A7">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14:paraId="02A6BB9A">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14:paraId="6610105B">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14:paraId="56D4858D">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14:paraId="65631C75">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14:paraId="388BA3B8">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3446FBA2">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14:paraId="54FA6573">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14:paraId="2BF00685">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14:paraId="1AE7E265">
      <w:pPr>
        <w:spacing w:line="360" w:lineRule="auto"/>
        <w:rPr>
          <w:sz w:val="24"/>
          <w:szCs w:val="24"/>
        </w:rPr>
      </w:pPr>
      <w:r>
        <w:rPr>
          <w:rFonts w:hint="eastAsia"/>
          <w:sz w:val="24"/>
          <w:szCs w:val="24"/>
        </w:rPr>
        <w:t>的通知》（财库〔2017〕，符合条件的残疾人福利性单位在参加政府采购活动时，</w:t>
      </w:r>
    </w:p>
    <w:p w14:paraId="64A6D4AB">
      <w:pPr>
        <w:spacing w:line="360" w:lineRule="auto"/>
        <w:rPr>
          <w:sz w:val="24"/>
          <w:szCs w:val="24"/>
        </w:rPr>
      </w:pPr>
      <w:r>
        <w:rPr>
          <w:rFonts w:hint="eastAsia"/>
          <w:sz w:val="24"/>
          <w:szCs w:val="24"/>
        </w:rPr>
        <w:t>应当提供本通知规定的《残疾人福利性单位声明函》（见附件），并对声明的真</w:t>
      </w:r>
    </w:p>
    <w:p w14:paraId="7B3D10F5">
      <w:pPr>
        <w:spacing w:line="360" w:lineRule="auto"/>
        <w:rPr>
          <w:sz w:val="24"/>
          <w:szCs w:val="24"/>
        </w:rPr>
      </w:pPr>
      <w:r>
        <w:rPr>
          <w:rFonts w:hint="eastAsia"/>
          <w:sz w:val="24"/>
          <w:szCs w:val="24"/>
        </w:rPr>
        <w:t>实性负责。中标、成交供应商为残疾人福利性单位的，采购人或者其委托的采购</w:t>
      </w:r>
    </w:p>
    <w:p w14:paraId="1A52EFEA">
      <w:pPr>
        <w:spacing w:line="360" w:lineRule="auto"/>
        <w:rPr>
          <w:sz w:val="24"/>
          <w:szCs w:val="24"/>
        </w:rPr>
      </w:pPr>
      <w:r>
        <w:rPr>
          <w:rFonts w:hint="eastAsia"/>
          <w:sz w:val="24"/>
          <w:szCs w:val="24"/>
        </w:rPr>
        <w:t>代理机构应当随中标、成交结果同时公告其《残疾人福利性单位声明函》，接受</w:t>
      </w:r>
    </w:p>
    <w:p w14:paraId="3D30FA69">
      <w:pPr>
        <w:spacing w:line="360" w:lineRule="auto"/>
        <w:rPr>
          <w:sz w:val="24"/>
          <w:szCs w:val="24"/>
        </w:rPr>
      </w:pPr>
      <w:r>
        <w:rPr>
          <w:rFonts w:hint="eastAsia"/>
          <w:sz w:val="24"/>
          <w:szCs w:val="24"/>
        </w:rPr>
        <w:t>社会监督。投标人提供的《残疾人福利性单位声明函》与事实不符的，依照《政</w:t>
      </w:r>
    </w:p>
    <w:p w14:paraId="7BD9761C">
      <w:pPr>
        <w:spacing w:line="360" w:lineRule="auto"/>
        <w:rPr>
          <w:sz w:val="24"/>
          <w:szCs w:val="24"/>
        </w:rPr>
      </w:pPr>
      <w:r>
        <w:rPr>
          <w:rFonts w:hint="eastAsia"/>
          <w:sz w:val="24"/>
          <w:szCs w:val="24"/>
        </w:rPr>
        <w:t>府采购法》第七十七条第一款的规定追究法律责任。</w:t>
      </w:r>
    </w:p>
    <w:p w14:paraId="4DE494E8">
      <w:pPr>
        <w:rPr>
          <w:rFonts w:ascii="宋体" w:hAnsi="宋体" w:cs="宋体"/>
          <w:sz w:val="24"/>
          <w:szCs w:val="24"/>
        </w:rPr>
      </w:pPr>
      <w:r>
        <w:rPr>
          <w:rFonts w:hint="eastAsia" w:ascii="宋体" w:hAnsi="宋体" w:cs="宋体"/>
          <w:b/>
          <w:bCs/>
          <w:sz w:val="24"/>
          <w:szCs w:val="24"/>
        </w:rPr>
        <w:t>三、谈判方法</w:t>
      </w:r>
    </w:p>
    <w:p w14:paraId="147FD00D">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14:paraId="0CB8F093">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14:paraId="2DD685FC">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14:paraId="7D49830F">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14:paraId="59A45DE0">
      <w:pPr>
        <w:spacing w:line="360" w:lineRule="auto"/>
        <w:ind w:firstLine="480" w:firstLineChars="200"/>
        <w:rPr>
          <w:rFonts w:ascii="宋体" w:hAnsi="宋体" w:cs="宋体"/>
          <w:sz w:val="24"/>
          <w:szCs w:val="24"/>
        </w:rPr>
      </w:pPr>
      <w:r>
        <w:rPr>
          <w:rFonts w:hint="eastAsia" w:ascii="宋体" w:hAnsi="宋体" w:cs="宋体"/>
          <w:sz w:val="24"/>
          <w:szCs w:val="24"/>
        </w:rPr>
        <w:t>2、谈判程序：分步评审，每一步评审不符合者，不进入下一步评审。谈判开始</w:t>
      </w:r>
    </w:p>
    <w:p w14:paraId="50DF6404">
      <w:pPr>
        <w:spacing w:line="360" w:lineRule="auto"/>
        <w:rPr>
          <w:rFonts w:ascii="宋体" w:hAnsi="宋体" w:cs="宋体"/>
          <w:sz w:val="24"/>
          <w:szCs w:val="24"/>
        </w:rPr>
      </w:pPr>
      <w:r>
        <w:rPr>
          <w:rFonts w:hint="eastAsia" w:ascii="宋体" w:hAnsi="宋体" w:cs="宋体"/>
          <w:sz w:val="24"/>
          <w:szCs w:val="24"/>
        </w:rPr>
        <w:t>前将由监督人员当众检验谈判响应文件的密封情况，确认无误后方可进行拆封、谈判。由谈判小组成员集中与单一参加谈判的供应商分别进行谈判，可以进行多轮报价，直至采购方满意为止。</w:t>
      </w:r>
    </w:p>
    <w:p w14:paraId="6FD4673A">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14:paraId="323D6EE0">
      <w:pPr>
        <w:spacing w:line="360" w:lineRule="auto"/>
        <w:rPr>
          <w:rFonts w:ascii="宋体" w:hAnsi="宋体" w:cs="宋体"/>
          <w:sz w:val="24"/>
          <w:szCs w:val="24"/>
        </w:rPr>
      </w:pPr>
      <w:r>
        <w:rPr>
          <w:rFonts w:hint="eastAsia" w:ascii="宋体" w:hAnsi="宋体" w:cs="宋体"/>
          <w:b/>
          <w:bCs/>
          <w:sz w:val="24"/>
          <w:szCs w:val="24"/>
        </w:rPr>
        <w:t>四、成交：</w:t>
      </w:r>
    </w:p>
    <w:p w14:paraId="61641E07">
      <w:pPr>
        <w:spacing w:line="360" w:lineRule="auto"/>
        <w:rPr>
          <w:rFonts w:ascii="宋体" w:hAnsi="宋体" w:cs="宋体"/>
          <w:sz w:val="24"/>
          <w:szCs w:val="24"/>
        </w:rPr>
      </w:pPr>
      <w:r>
        <w:rPr>
          <w:rFonts w:hint="eastAsia" w:ascii="宋体" w:hAnsi="宋体" w:cs="宋体"/>
          <w:sz w:val="24"/>
          <w:szCs w:val="24"/>
        </w:rPr>
        <w:t>1、评审结果报告由全体评委签字确认。</w:t>
      </w:r>
    </w:p>
    <w:p w14:paraId="3442931B">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14:paraId="562FA9B0">
      <w:pPr>
        <w:pStyle w:val="3"/>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14:paraId="5C02F411">
      <w:pPr>
        <w:pStyle w:val="3"/>
        <w:spacing w:line="360" w:lineRule="auto"/>
        <w:jc w:val="center"/>
        <w:rPr>
          <w:rFonts w:ascii="宋体" w:hAnsi="宋体" w:cs="宋体"/>
          <w:b w:val="0"/>
          <w:bCs/>
          <w:sz w:val="32"/>
          <w:szCs w:val="32"/>
        </w:rPr>
      </w:pPr>
      <w:bookmarkStart w:id="316" w:name="_Toc29159"/>
      <w:r>
        <w:rPr>
          <w:rFonts w:hint="eastAsia" w:ascii="宋体" w:hAnsi="宋体" w:cs="宋体"/>
          <w:sz w:val="36"/>
          <w:szCs w:val="22"/>
        </w:rPr>
        <w:t>第八部分  竞争性谈判响应文件格式</w:t>
      </w:r>
      <w:bookmarkEnd w:id="316"/>
    </w:p>
    <w:p w14:paraId="60B02B0A">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163A0658">
      <w:pPr>
        <w:spacing w:line="360" w:lineRule="auto"/>
        <w:jc w:val="left"/>
        <w:rPr>
          <w:rFonts w:ascii="宋体" w:hAnsi="宋体" w:cs="宋体"/>
          <w:b/>
          <w:sz w:val="28"/>
          <w:szCs w:val="28"/>
        </w:rPr>
      </w:pPr>
      <w:r>
        <w:rPr>
          <w:rFonts w:hint="eastAsia" w:ascii="宋体" w:hAnsi="宋体" w:cs="宋体"/>
          <w:b/>
          <w:sz w:val="28"/>
          <w:szCs w:val="28"/>
        </w:rPr>
        <w:t>采购项目编号：</w:t>
      </w:r>
      <w:bookmarkEnd w:id="304"/>
    </w:p>
    <w:p w14:paraId="770ECBCF">
      <w:pPr>
        <w:pStyle w:val="9"/>
      </w:pPr>
    </w:p>
    <w:p w14:paraId="0F3FCEAA"/>
    <w:p w14:paraId="34180841">
      <w:pPr>
        <w:pStyle w:val="8"/>
        <w:jc w:val="center"/>
        <w:rPr>
          <w:rFonts w:hint="default" w:ascii="Times New Roman" w:hAnsi="Times New Roman" w:eastAsia="宋体" w:cs="Times New Roman"/>
          <w:b/>
          <w:bCs/>
          <w:kern w:val="2"/>
          <w:sz w:val="52"/>
          <w:szCs w:val="48"/>
          <w:lang w:val="en-US" w:eastAsia="zh-CN" w:bidi="ar-SA"/>
        </w:rPr>
      </w:pPr>
      <w:r>
        <w:rPr>
          <w:rFonts w:hint="eastAsia" w:ascii="Times New Roman" w:hAnsi="Times New Roman" w:cs="Times New Roman"/>
          <w:b/>
          <w:bCs/>
          <w:kern w:val="2"/>
          <w:sz w:val="52"/>
          <w:szCs w:val="48"/>
          <w:lang w:val="en-US" w:eastAsia="zh-CN" w:bidi="ar-SA"/>
        </w:rPr>
        <w:t>神木市职业技术教育中心专业综合实训室建设项目</w:t>
      </w:r>
    </w:p>
    <w:p w14:paraId="1CFA68C7">
      <w:pPr>
        <w:pStyle w:val="8"/>
        <w:jc w:val="center"/>
        <w:rPr>
          <w:rFonts w:hint="default" w:ascii="Times New Roman" w:hAnsi="Times New Roman" w:eastAsia="宋体" w:cs="Times New Roman"/>
          <w:b/>
          <w:bCs/>
          <w:kern w:val="2"/>
          <w:sz w:val="52"/>
          <w:szCs w:val="48"/>
          <w:lang w:val="en-US" w:eastAsia="zh-CN" w:bidi="ar-SA"/>
        </w:rPr>
      </w:pPr>
    </w:p>
    <w:p w14:paraId="6F36A3A7"/>
    <w:p w14:paraId="21D73BEE">
      <w:pPr>
        <w:pStyle w:val="20"/>
      </w:pPr>
    </w:p>
    <w:p w14:paraId="058F1584">
      <w:pPr>
        <w:pStyle w:val="20"/>
      </w:pPr>
    </w:p>
    <w:p w14:paraId="0800CA70"/>
    <w:p w14:paraId="7F06FEA6">
      <w:pPr>
        <w:pStyle w:val="36"/>
      </w:pPr>
    </w:p>
    <w:p w14:paraId="753F4BDF">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291BF2A5"/>
    <w:p w14:paraId="19E204C9">
      <w:pPr>
        <w:pStyle w:val="2"/>
      </w:pPr>
    </w:p>
    <w:p w14:paraId="55A3D286">
      <w:pPr>
        <w:pStyle w:val="2"/>
      </w:pPr>
    </w:p>
    <w:p w14:paraId="729D6007"/>
    <w:p w14:paraId="25A481BA">
      <w:pPr>
        <w:pStyle w:val="9"/>
      </w:pPr>
    </w:p>
    <w:p w14:paraId="1FF2F268">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14:paraId="219330E2">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14:paraId="32F4FC49">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四</w:t>
      </w:r>
      <w:r>
        <w:rPr>
          <w:rFonts w:hint="eastAsia" w:ascii="宋体" w:hAnsi="宋体" w:cs="宋体"/>
          <w:b/>
          <w:sz w:val="28"/>
          <w:szCs w:val="22"/>
        </w:rPr>
        <w:t>年   月</w:t>
      </w:r>
    </w:p>
    <w:p w14:paraId="196E51A0">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17" w:name="_Toc357087380"/>
      <w:bookmarkStart w:id="318" w:name="_Toc21305"/>
    </w:p>
    <w:p w14:paraId="6CB1706A">
      <w:pPr>
        <w:tabs>
          <w:tab w:val="left" w:pos="3329"/>
        </w:tabs>
        <w:jc w:val="center"/>
        <w:rPr>
          <w:rFonts w:hint="eastAsia"/>
          <w:b/>
          <w:sz w:val="44"/>
        </w:rPr>
      </w:pPr>
      <w:bookmarkStart w:id="319" w:name="_Toc22764"/>
      <w:bookmarkStart w:id="320" w:name="_Toc6250"/>
      <w:bookmarkStart w:id="321" w:name="_Toc24244"/>
      <w:bookmarkStart w:id="322" w:name="_Toc15746"/>
      <w:bookmarkStart w:id="323" w:name="_Toc465958130"/>
      <w:bookmarkStart w:id="324" w:name="_Toc30709"/>
    </w:p>
    <w:p w14:paraId="07E29B6F">
      <w:pPr>
        <w:tabs>
          <w:tab w:val="left" w:pos="3329"/>
        </w:tabs>
        <w:jc w:val="center"/>
        <w:rPr>
          <w:rFonts w:hint="eastAsia"/>
          <w:b/>
          <w:sz w:val="44"/>
        </w:rPr>
      </w:pPr>
    </w:p>
    <w:p w14:paraId="1C24190D">
      <w:pPr>
        <w:tabs>
          <w:tab w:val="left" w:pos="3329"/>
        </w:tabs>
        <w:jc w:val="center"/>
        <w:rPr>
          <w:b/>
          <w:sz w:val="44"/>
        </w:rPr>
      </w:pPr>
      <w:r>
        <w:rPr>
          <w:rFonts w:hint="eastAsia"/>
          <w:b/>
          <w:sz w:val="44"/>
        </w:rPr>
        <w:t>目  录</w:t>
      </w:r>
    </w:p>
    <w:p w14:paraId="391E6C9F">
      <w:pPr>
        <w:jc w:val="center"/>
        <w:rPr>
          <w:rFonts w:hAnsi="宋体"/>
          <w:b/>
          <w:bCs/>
          <w:szCs w:val="24"/>
        </w:rPr>
      </w:pPr>
      <w:r>
        <w:rPr>
          <w:rFonts w:hint="eastAsia" w:ascii="宋体" w:hAnsi="宋体" w:cs="宋体"/>
          <w:b/>
          <w:bCs/>
          <w:kern w:val="0"/>
          <w:sz w:val="24"/>
          <w:szCs w:val="24"/>
        </w:rPr>
        <w:t>(引用三级目录）</w:t>
      </w:r>
    </w:p>
    <w:p w14:paraId="11BB2871">
      <w:pPr>
        <w:jc w:val="center"/>
        <w:rPr>
          <w:rFonts w:hAnsi="宋体"/>
          <w:b/>
          <w:bCs/>
          <w:sz w:val="44"/>
        </w:rPr>
      </w:pPr>
    </w:p>
    <w:p w14:paraId="0EC8E6CA">
      <w:pPr>
        <w:pStyle w:val="4"/>
        <w:rPr>
          <w:rFonts w:ascii="宋体" w:hAnsi="宋体" w:eastAsia="宋体" w:cs="宋体"/>
          <w:szCs w:val="22"/>
        </w:rPr>
      </w:pPr>
    </w:p>
    <w:p w14:paraId="490DEECC">
      <w:pPr>
        <w:pStyle w:val="4"/>
        <w:rPr>
          <w:rFonts w:ascii="宋体" w:hAnsi="宋体" w:eastAsia="宋体" w:cs="宋体"/>
          <w:szCs w:val="22"/>
        </w:rPr>
      </w:pPr>
    </w:p>
    <w:p w14:paraId="2EB3160D">
      <w:pPr>
        <w:pStyle w:val="4"/>
        <w:rPr>
          <w:rFonts w:ascii="宋体" w:hAnsi="宋体" w:eastAsia="宋体" w:cs="宋体"/>
          <w:szCs w:val="22"/>
        </w:rPr>
      </w:pPr>
    </w:p>
    <w:p w14:paraId="19C958A6">
      <w:pPr>
        <w:pStyle w:val="4"/>
        <w:rPr>
          <w:rFonts w:ascii="宋体" w:hAnsi="宋体" w:eastAsia="宋体" w:cs="宋体"/>
          <w:szCs w:val="22"/>
        </w:rPr>
      </w:pPr>
    </w:p>
    <w:p w14:paraId="7AA5E53E">
      <w:pPr>
        <w:pStyle w:val="4"/>
        <w:rPr>
          <w:rFonts w:ascii="宋体" w:hAnsi="宋体" w:eastAsia="宋体" w:cs="宋体"/>
          <w:szCs w:val="22"/>
        </w:rPr>
      </w:pPr>
    </w:p>
    <w:p w14:paraId="7C01A55B">
      <w:pPr>
        <w:pStyle w:val="4"/>
        <w:rPr>
          <w:rFonts w:ascii="宋体" w:hAnsi="宋体" w:eastAsia="宋体" w:cs="宋体"/>
          <w:szCs w:val="22"/>
        </w:rPr>
      </w:pPr>
    </w:p>
    <w:p w14:paraId="39002651">
      <w:pPr>
        <w:pStyle w:val="4"/>
        <w:rPr>
          <w:rFonts w:ascii="宋体" w:hAnsi="宋体" w:eastAsia="宋体" w:cs="宋体"/>
          <w:szCs w:val="22"/>
        </w:rPr>
      </w:pPr>
    </w:p>
    <w:p w14:paraId="3FD813B6">
      <w:pPr>
        <w:pStyle w:val="4"/>
        <w:rPr>
          <w:rFonts w:ascii="宋体" w:hAnsi="宋体" w:eastAsia="宋体" w:cs="宋体"/>
          <w:szCs w:val="22"/>
        </w:rPr>
      </w:pPr>
    </w:p>
    <w:p w14:paraId="2D6529A1">
      <w:pPr>
        <w:pStyle w:val="4"/>
        <w:rPr>
          <w:rFonts w:ascii="宋体" w:hAnsi="宋体" w:eastAsia="宋体" w:cs="宋体"/>
          <w:szCs w:val="22"/>
        </w:rPr>
      </w:pPr>
    </w:p>
    <w:bookmarkEnd w:id="305"/>
    <w:bookmarkEnd w:id="317"/>
    <w:bookmarkEnd w:id="318"/>
    <w:bookmarkEnd w:id="319"/>
    <w:bookmarkEnd w:id="320"/>
    <w:bookmarkEnd w:id="321"/>
    <w:bookmarkEnd w:id="322"/>
    <w:bookmarkEnd w:id="323"/>
    <w:bookmarkEnd w:id="324"/>
    <w:p w14:paraId="60E109C7">
      <w:pPr>
        <w:spacing w:line="400" w:lineRule="atLeast"/>
        <w:ind w:firstLine="540" w:firstLineChars="225"/>
        <w:rPr>
          <w:rFonts w:ascii="宋体" w:hAnsi="宋体" w:cs="宋体"/>
          <w:sz w:val="24"/>
          <w:szCs w:val="24"/>
        </w:rPr>
      </w:pPr>
    </w:p>
    <w:p w14:paraId="46D40372">
      <w:pPr>
        <w:spacing w:line="400" w:lineRule="atLeast"/>
        <w:ind w:firstLine="540" w:firstLineChars="225"/>
        <w:rPr>
          <w:rFonts w:ascii="宋体" w:hAnsi="宋体" w:cs="宋体"/>
          <w:sz w:val="24"/>
          <w:szCs w:val="24"/>
        </w:rPr>
      </w:pPr>
    </w:p>
    <w:p w14:paraId="3283AE37">
      <w:pPr>
        <w:spacing w:line="360" w:lineRule="auto"/>
        <w:rPr>
          <w:rFonts w:ascii="宋体" w:hAnsi="宋体" w:cs="宋体"/>
          <w:sz w:val="24"/>
          <w:szCs w:val="24"/>
        </w:rPr>
      </w:pPr>
    </w:p>
    <w:p w14:paraId="72475D53">
      <w:pPr>
        <w:spacing w:line="360" w:lineRule="auto"/>
        <w:rPr>
          <w:rFonts w:ascii="宋体" w:hAnsi="宋体" w:cs="宋体"/>
          <w:sz w:val="24"/>
          <w:szCs w:val="24"/>
        </w:rPr>
      </w:pPr>
    </w:p>
    <w:p w14:paraId="7CF94443">
      <w:pPr>
        <w:spacing w:line="360" w:lineRule="auto"/>
        <w:rPr>
          <w:rFonts w:ascii="宋体" w:hAnsi="宋体" w:cs="宋体"/>
          <w:sz w:val="24"/>
          <w:szCs w:val="24"/>
        </w:rPr>
      </w:pPr>
    </w:p>
    <w:p w14:paraId="6CF44290">
      <w:pPr>
        <w:spacing w:line="360" w:lineRule="auto"/>
        <w:rPr>
          <w:rFonts w:ascii="宋体" w:hAnsi="宋体" w:cs="宋体"/>
          <w:sz w:val="24"/>
          <w:szCs w:val="24"/>
        </w:rPr>
      </w:pPr>
    </w:p>
    <w:p w14:paraId="79FCE992">
      <w:pPr>
        <w:spacing w:line="360" w:lineRule="auto"/>
        <w:rPr>
          <w:rFonts w:ascii="宋体" w:hAnsi="宋体" w:cs="宋体"/>
          <w:sz w:val="24"/>
          <w:szCs w:val="24"/>
        </w:rPr>
      </w:pPr>
    </w:p>
    <w:p w14:paraId="08200641">
      <w:pPr>
        <w:pStyle w:val="11"/>
        <w:rPr>
          <w:rFonts w:ascii="宋体" w:hAnsi="宋体" w:cs="宋体"/>
          <w:sz w:val="24"/>
          <w:szCs w:val="24"/>
        </w:rPr>
      </w:pPr>
    </w:p>
    <w:p w14:paraId="4B51415A">
      <w:pPr>
        <w:pStyle w:val="11"/>
        <w:rPr>
          <w:rFonts w:ascii="宋体" w:hAnsi="宋体" w:cs="宋体"/>
          <w:sz w:val="24"/>
          <w:szCs w:val="24"/>
        </w:rPr>
      </w:pPr>
    </w:p>
    <w:p w14:paraId="7A4915AF">
      <w:pPr>
        <w:pStyle w:val="11"/>
        <w:rPr>
          <w:rFonts w:ascii="宋体" w:hAnsi="宋体" w:cs="宋体"/>
          <w:sz w:val="24"/>
          <w:szCs w:val="24"/>
        </w:rPr>
      </w:pPr>
    </w:p>
    <w:p w14:paraId="27F04783">
      <w:pPr>
        <w:pStyle w:val="11"/>
        <w:rPr>
          <w:rFonts w:ascii="宋体" w:hAnsi="宋体" w:cs="宋体"/>
          <w:sz w:val="24"/>
          <w:szCs w:val="24"/>
        </w:rPr>
      </w:pPr>
    </w:p>
    <w:p w14:paraId="0B829904">
      <w:pPr>
        <w:pStyle w:val="11"/>
        <w:rPr>
          <w:rFonts w:ascii="宋体" w:hAnsi="宋体" w:cs="宋体"/>
          <w:sz w:val="24"/>
          <w:szCs w:val="24"/>
        </w:rPr>
      </w:pPr>
    </w:p>
    <w:p w14:paraId="6D2A0528">
      <w:pPr>
        <w:pStyle w:val="11"/>
        <w:rPr>
          <w:rFonts w:ascii="宋体" w:hAnsi="宋体" w:cs="宋体"/>
          <w:sz w:val="24"/>
          <w:szCs w:val="24"/>
        </w:rPr>
      </w:pPr>
    </w:p>
    <w:p w14:paraId="444AAEE5">
      <w:pPr>
        <w:pStyle w:val="11"/>
        <w:rPr>
          <w:rFonts w:ascii="宋体" w:hAnsi="宋体" w:cs="宋体"/>
          <w:sz w:val="24"/>
          <w:szCs w:val="24"/>
        </w:rPr>
      </w:pPr>
    </w:p>
    <w:p w14:paraId="7045D641">
      <w:pPr>
        <w:pStyle w:val="11"/>
        <w:rPr>
          <w:rFonts w:ascii="宋体" w:hAnsi="宋体" w:cs="宋体"/>
          <w:sz w:val="24"/>
          <w:szCs w:val="24"/>
        </w:rPr>
      </w:pPr>
    </w:p>
    <w:p w14:paraId="398BF26D">
      <w:pPr>
        <w:spacing w:line="360" w:lineRule="auto"/>
        <w:rPr>
          <w:rFonts w:ascii="宋体" w:hAnsi="宋体" w:cs="宋体"/>
          <w:sz w:val="24"/>
          <w:szCs w:val="24"/>
        </w:rPr>
      </w:pPr>
    </w:p>
    <w:p w14:paraId="03C4C4E3">
      <w:pPr>
        <w:pStyle w:val="4"/>
        <w:rPr>
          <w:rFonts w:ascii="宋体" w:hAnsi="宋体" w:cs="宋体"/>
          <w:sz w:val="24"/>
          <w:szCs w:val="24"/>
        </w:rPr>
      </w:pPr>
      <w:r>
        <w:rPr>
          <w:rFonts w:hint="eastAsia" w:ascii="宋体" w:hAnsi="宋体" w:eastAsia="宋体" w:cs="宋体"/>
          <w:szCs w:val="22"/>
        </w:rPr>
        <w:t>一、响应函</w:t>
      </w:r>
    </w:p>
    <w:bookmarkEnd w:id="306"/>
    <w:bookmarkEnd w:id="307"/>
    <w:p w14:paraId="29A1497C">
      <w:pPr>
        <w:spacing w:line="360" w:lineRule="auto"/>
        <w:rPr>
          <w:rFonts w:hint="eastAsia" w:ascii="宋体" w:hAnsi="宋体" w:eastAsia="宋体" w:cs="宋体"/>
          <w:sz w:val="24"/>
          <w:lang w:eastAsia="zh-CN"/>
        </w:rPr>
      </w:pPr>
      <w:bookmarkStart w:id="325" w:name="_Toc25167"/>
      <w:bookmarkStart w:id="326" w:name="_Toc698"/>
      <w:bookmarkStart w:id="327" w:name="_Toc190"/>
      <w:bookmarkStart w:id="328" w:name="_Toc465958131"/>
      <w:bookmarkStart w:id="329" w:name="_Toc21360"/>
      <w:r>
        <w:rPr>
          <w:rFonts w:hint="eastAsia" w:ascii="宋体" w:hAnsi="宋体" w:cs="宋体"/>
          <w:sz w:val="24"/>
        </w:rPr>
        <w:t>致：</w:t>
      </w:r>
      <w:r>
        <w:rPr>
          <w:rFonts w:hint="eastAsia" w:ascii="宋体" w:hAnsi="宋体" w:cs="宋体"/>
          <w:sz w:val="24"/>
          <w:lang w:eastAsia="zh-CN"/>
        </w:rPr>
        <w:t>榆林市恒易达工程项目管理有限公司</w:t>
      </w:r>
    </w:p>
    <w:p w14:paraId="4DCD3746">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(供应商名称、地址、统一社会信用代码）提交包含下述内容的谈判响应文件，正本一份、副本一式二份，电子版（u盘）一份，资格证明文件一套。</w:t>
      </w:r>
    </w:p>
    <w:p w14:paraId="3F8AFAAD">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14:paraId="520A5308">
      <w:pPr>
        <w:spacing w:line="360" w:lineRule="auto"/>
        <w:rPr>
          <w:rFonts w:ascii="宋体" w:hAnsi="宋体" w:cs="宋体"/>
          <w:sz w:val="24"/>
        </w:rPr>
      </w:pPr>
      <w:r>
        <w:rPr>
          <w:rFonts w:hint="eastAsia" w:ascii="宋体" w:hAnsi="宋体" w:cs="宋体"/>
          <w:sz w:val="24"/>
        </w:rPr>
        <w:t xml:space="preserve">    (2) 报价一览表</w:t>
      </w:r>
    </w:p>
    <w:p w14:paraId="6245816F">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14:paraId="3C93E29F">
      <w:pPr>
        <w:spacing w:line="360" w:lineRule="auto"/>
        <w:rPr>
          <w:rFonts w:ascii="宋体" w:hAnsi="宋体" w:cs="宋体"/>
          <w:sz w:val="24"/>
        </w:rPr>
      </w:pPr>
      <w:r>
        <w:rPr>
          <w:rFonts w:hint="eastAsia" w:ascii="宋体" w:hAnsi="宋体" w:cs="宋体"/>
          <w:sz w:val="24"/>
        </w:rPr>
        <w:t xml:space="preserve">    (4) 供应商资格证明文件。</w:t>
      </w:r>
    </w:p>
    <w:p w14:paraId="47A233EB">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14:paraId="25DCCF0B">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14:paraId="083B78CD">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交货期</w:t>
      </w:r>
      <w:r>
        <w:rPr>
          <w:rFonts w:hint="eastAsia" w:ascii="宋体" w:hAnsi="宋体" w:cs="宋体"/>
          <w:sz w:val="24"/>
          <w:u w:val="single"/>
        </w:rPr>
        <w:t xml:space="preserve">         </w:t>
      </w:r>
      <w:r>
        <w:rPr>
          <w:rFonts w:hint="eastAsia" w:ascii="宋体" w:hAnsi="宋体" w:cs="宋体"/>
          <w:sz w:val="24"/>
        </w:rPr>
        <w:t>；</w:t>
      </w:r>
    </w:p>
    <w:p w14:paraId="0B4ABC99">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14:paraId="7A5F65DC">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14:paraId="2E004280">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14:paraId="364C3AFF">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14:paraId="2E7E6AB6">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14:paraId="7E7DDB7C">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14:paraId="41891765">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14:paraId="368E5CD1">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14:paraId="5178C721">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14:paraId="6ED2CA12">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14:paraId="5429317F">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25"/>
    <w:bookmarkEnd w:id="326"/>
    <w:bookmarkEnd w:id="327"/>
    <w:bookmarkEnd w:id="328"/>
    <w:bookmarkEnd w:id="329"/>
    <w:p w14:paraId="2CE2B496">
      <w:pPr>
        <w:pStyle w:val="4"/>
        <w:keepLines w:val="0"/>
        <w:numPr>
          <w:ilvl w:val="0"/>
          <w:numId w:val="8"/>
        </w:numPr>
        <w:adjustRightInd w:val="0"/>
        <w:textAlignment w:val="baseline"/>
        <w:rPr>
          <w:rFonts w:ascii="宋体" w:hAnsi="宋体" w:eastAsia="宋体" w:cs="宋体"/>
        </w:rPr>
      </w:pPr>
      <w:r>
        <w:rPr>
          <w:rFonts w:hint="eastAsia" w:ascii="宋体" w:hAnsi="宋体" w:eastAsia="宋体" w:cs="宋体"/>
        </w:rPr>
        <w:t>第一次谈判报价表</w:t>
      </w:r>
    </w:p>
    <w:p w14:paraId="6C17D6AF">
      <w:pPr>
        <w:pStyle w:val="5"/>
        <w:spacing w:line="360" w:lineRule="auto"/>
        <w:jc w:val="center"/>
      </w:pPr>
      <w:r>
        <w:rPr>
          <w:rFonts w:hint="eastAsia"/>
        </w:rPr>
        <w:t>2.1谈判报价表</w:t>
      </w:r>
    </w:p>
    <w:tbl>
      <w:tblPr>
        <w:tblStyle w:val="21"/>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14:paraId="146924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14:paraId="00C8C3BF">
            <w:pPr>
              <w:spacing w:line="360" w:lineRule="auto"/>
              <w:jc w:val="center"/>
              <w:rPr>
                <w:rFonts w:ascii="宋体" w:hAnsi="宋体" w:cs="宋体"/>
                <w:b/>
                <w:bCs/>
                <w:sz w:val="24"/>
              </w:rPr>
            </w:pPr>
            <w:bookmarkStart w:id="330" w:name="OLE_LINK14"/>
            <w:r>
              <w:rPr>
                <w:rFonts w:hint="eastAsia" w:ascii="宋体" w:hAnsi="宋体" w:cs="宋体"/>
                <w:b/>
                <w:bCs/>
                <w:sz w:val="24"/>
              </w:rPr>
              <w:t>采购项目名称</w:t>
            </w:r>
          </w:p>
        </w:tc>
        <w:tc>
          <w:tcPr>
            <w:tcW w:w="7015" w:type="dxa"/>
            <w:noWrap w:val="0"/>
            <w:vAlign w:val="center"/>
          </w:tcPr>
          <w:p w14:paraId="2924D75C">
            <w:pPr>
              <w:pStyle w:val="3"/>
              <w:spacing w:line="360" w:lineRule="auto"/>
              <w:jc w:val="center"/>
              <w:rPr>
                <w:rFonts w:ascii="宋体" w:hAnsi="宋体" w:cs="宋体"/>
                <w:b w:val="0"/>
                <w:bCs/>
                <w:kern w:val="2"/>
                <w:sz w:val="24"/>
              </w:rPr>
            </w:pPr>
          </w:p>
        </w:tc>
      </w:tr>
      <w:tr w14:paraId="4B0825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14:paraId="1EBD9F93">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14:paraId="208CAC72">
            <w:pPr>
              <w:spacing w:line="360" w:lineRule="auto"/>
              <w:jc w:val="center"/>
              <w:rPr>
                <w:rFonts w:ascii="宋体" w:hAnsi="宋体" w:cs="宋体"/>
                <w:bCs/>
                <w:sz w:val="24"/>
              </w:rPr>
            </w:pPr>
          </w:p>
        </w:tc>
      </w:tr>
      <w:tr w14:paraId="35B06B6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14:paraId="0A46CC5D">
            <w:pPr>
              <w:spacing w:line="360" w:lineRule="auto"/>
              <w:jc w:val="center"/>
              <w:rPr>
                <w:rFonts w:ascii="宋体" w:hAnsi="宋体" w:cs="宋体"/>
                <w:b/>
                <w:bCs/>
                <w:sz w:val="24"/>
              </w:rPr>
            </w:pPr>
            <w:r>
              <w:rPr>
                <w:rFonts w:hint="eastAsia" w:ascii="宋体" w:hAnsi="宋体" w:cs="宋体"/>
                <w:b/>
                <w:bCs/>
                <w:sz w:val="24"/>
              </w:rPr>
              <w:t>供应商名称</w:t>
            </w:r>
          </w:p>
          <w:p w14:paraId="4A1F95BF">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14:paraId="52D7B110">
            <w:pPr>
              <w:spacing w:line="360" w:lineRule="auto"/>
              <w:jc w:val="center"/>
              <w:rPr>
                <w:rFonts w:ascii="宋体" w:hAnsi="宋体" w:cs="宋体"/>
                <w:b/>
                <w:bCs/>
                <w:sz w:val="24"/>
              </w:rPr>
            </w:pPr>
          </w:p>
        </w:tc>
      </w:tr>
      <w:tr w14:paraId="641609C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14:paraId="7B5D7045">
            <w:pPr>
              <w:spacing w:line="360" w:lineRule="auto"/>
              <w:jc w:val="center"/>
              <w:rPr>
                <w:rFonts w:ascii="宋体" w:hAnsi="宋体" w:cs="宋体"/>
                <w:b/>
                <w:bCs/>
                <w:sz w:val="24"/>
              </w:rPr>
            </w:pPr>
            <w:r>
              <w:rPr>
                <w:rFonts w:hint="eastAsia" w:ascii="宋体" w:hAnsi="宋体" w:cs="宋体"/>
                <w:b/>
                <w:bCs/>
                <w:sz w:val="24"/>
              </w:rPr>
              <w:t>谈判报价</w:t>
            </w:r>
          </w:p>
          <w:p w14:paraId="1D8869C0">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14:paraId="7BAB3922">
            <w:pPr>
              <w:spacing w:line="360" w:lineRule="auto"/>
              <w:rPr>
                <w:rFonts w:ascii="宋体" w:hAnsi="宋体" w:cs="宋体"/>
                <w:b/>
                <w:bCs/>
                <w:sz w:val="24"/>
              </w:rPr>
            </w:pPr>
          </w:p>
          <w:p w14:paraId="1CEF4830">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14:paraId="3FA796B0">
            <w:pPr>
              <w:spacing w:line="360" w:lineRule="auto"/>
              <w:rPr>
                <w:rFonts w:ascii="宋体" w:hAnsi="宋体" w:cs="宋体"/>
                <w:b/>
                <w:bCs/>
                <w:sz w:val="24"/>
              </w:rPr>
            </w:pPr>
          </w:p>
          <w:p w14:paraId="0A439891">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14:paraId="4BB1606B">
            <w:pPr>
              <w:spacing w:line="360" w:lineRule="auto"/>
              <w:rPr>
                <w:rFonts w:ascii="宋体" w:hAnsi="宋体" w:cs="宋体"/>
                <w:b/>
                <w:bCs/>
                <w:sz w:val="24"/>
              </w:rPr>
            </w:pPr>
            <w:r>
              <w:rPr>
                <w:rFonts w:hint="eastAsia" w:ascii="宋体" w:hAnsi="宋体" w:cs="宋体"/>
                <w:b/>
                <w:bCs/>
                <w:sz w:val="24"/>
              </w:rPr>
              <w:t xml:space="preserve"> </w:t>
            </w:r>
          </w:p>
        </w:tc>
      </w:tr>
      <w:tr w14:paraId="3DFFA86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14:paraId="5CB90ECB">
            <w:pPr>
              <w:spacing w:line="360" w:lineRule="auto"/>
              <w:jc w:val="center"/>
              <w:rPr>
                <w:rFonts w:ascii="宋体" w:hAnsi="宋体" w:cs="宋体"/>
                <w:b/>
                <w:bCs/>
                <w:sz w:val="24"/>
              </w:rPr>
            </w:pPr>
            <w:r>
              <w:rPr>
                <w:rFonts w:hint="eastAsia" w:ascii="宋体" w:hAnsi="宋体" w:cs="宋体"/>
                <w:b/>
                <w:bCs/>
                <w:sz w:val="24"/>
                <w:lang w:val="en-US" w:eastAsia="zh-CN"/>
              </w:rPr>
              <w:t>交货期</w:t>
            </w:r>
          </w:p>
        </w:tc>
        <w:tc>
          <w:tcPr>
            <w:tcW w:w="7015" w:type="dxa"/>
            <w:noWrap w:val="0"/>
            <w:vAlign w:val="top"/>
          </w:tcPr>
          <w:p w14:paraId="6AA5D1DD">
            <w:pPr>
              <w:spacing w:line="360" w:lineRule="auto"/>
              <w:rPr>
                <w:rFonts w:ascii="宋体" w:hAnsi="宋体" w:cs="宋体"/>
                <w:b/>
                <w:bCs/>
                <w:sz w:val="24"/>
              </w:rPr>
            </w:pPr>
          </w:p>
        </w:tc>
      </w:tr>
      <w:tr w14:paraId="2B53EA1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14:paraId="71238EA5">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14:paraId="577C1C2D">
            <w:pPr>
              <w:spacing w:line="360" w:lineRule="auto"/>
              <w:rPr>
                <w:rFonts w:ascii="宋体" w:hAnsi="宋体" w:cs="宋体"/>
                <w:b/>
                <w:bCs/>
                <w:sz w:val="24"/>
              </w:rPr>
            </w:pPr>
          </w:p>
        </w:tc>
      </w:tr>
      <w:bookmarkEnd w:id="330"/>
    </w:tbl>
    <w:p w14:paraId="7BF4F764">
      <w:pPr>
        <w:spacing w:line="360" w:lineRule="auto"/>
        <w:ind w:right="-161"/>
        <w:rPr>
          <w:rFonts w:hint="eastAsia" w:ascii="宋体" w:hAnsi="宋体" w:eastAsia="宋体" w:cs="宋体"/>
          <w:sz w:val="24"/>
          <w:szCs w:val="24"/>
          <w:lang w:eastAsia="zh-CN"/>
        </w:rPr>
      </w:pPr>
    </w:p>
    <w:p w14:paraId="0518C637">
      <w:pPr>
        <w:pStyle w:val="11"/>
        <w:rPr>
          <w:rFonts w:hint="eastAsia" w:ascii="宋体" w:hAnsi="宋体" w:eastAsia="宋体" w:cs="宋体"/>
          <w:sz w:val="24"/>
          <w:szCs w:val="24"/>
          <w:lang w:eastAsia="zh-CN"/>
        </w:rPr>
      </w:pPr>
    </w:p>
    <w:p w14:paraId="6B1B3857">
      <w:pPr>
        <w:pStyle w:val="11"/>
        <w:rPr>
          <w:rFonts w:hint="eastAsia" w:ascii="宋体" w:hAnsi="宋体" w:eastAsia="宋体" w:cs="宋体"/>
          <w:sz w:val="24"/>
          <w:szCs w:val="24"/>
          <w:lang w:eastAsia="zh-CN"/>
        </w:rPr>
      </w:pPr>
    </w:p>
    <w:p w14:paraId="6238CE76">
      <w:pPr>
        <w:pStyle w:val="11"/>
        <w:rPr>
          <w:rFonts w:hint="eastAsia" w:ascii="宋体" w:hAnsi="宋体" w:eastAsia="宋体" w:cs="宋体"/>
          <w:sz w:val="24"/>
          <w:szCs w:val="24"/>
          <w:lang w:eastAsia="zh-CN"/>
        </w:rPr>
      </w:pPr>
    </w:p>
    <w:p w14:paraId="2BE37904">
      <w:pPr>
        <w:spacing w:line="360" w:lineRule="auto"/>
        <w:ind w:right="-161"/>
        <w:rPr>
          <w:rFonts w:ascii="宋体" w:hAnsi="宋体" w:cs="宋体"/>
          <w:sz w:val="24"/>
          <w:szCs w:val="24"/>
        </w:rPr>
      </w:pPr>
    </w:p>
    <w:p w14:paraId="44DDB60D">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0716FD3D">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14:paraId="24B4AB60">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bookmarkEnd w:id="308"/>
    <w:bookmarkEnd w:id="309"/>
    <w:bookmarkEnd w:id="310"/>
    <w:bookmarkEnd w:id="311"/>
    <w:bookmarkEnd w:id="312"/>
    <w:bookmarkEnd w:id="313"/>
    <w:bookmarkEnd w:id="314"/>
    <w:p w14:paraId="7AD3FB5D">
      <w:pPr>
        <w:bidi w:val="0"/>
        <w:rPr>
          <w:rFonts w:hint="eastAsia"/>
        </w:rPr>
      </w:pPr>
      <w:bookmarkStart w:id="331" w:name="_Toc23496"/>
      <w:bookmarkStart w:id="332" w:name="_Toc27665"/>
      <w:bookmarkStart w:id="333" w:name="_Toc29567"/>
      <w:bookmarkStart w:id="334" w:name="_Toc8483"/>
      <w:bookmarkStart w:id="335" w:name="_Toc29346"/>
      <w:bookmarkStart w:id="336" w:name="_Toc30603"/>
      <w:bookmarkStart w:id="337" w:name="_Toc9067"/>
      <w:bookmarkStart w:id="338" w:name="_Toc14320"/>
      <w:bookmarkStart w:id="339" w:name="_Toc465958133"/>
      <w:bookmarkStart w:id="340" w:name="_Toc26959"/>
      <w:bookmarkStart w:id="341" w:name="_Toc30297"/>
      <w:bookmarkStart w:id="342" w:name="_Toc31054"/>
      <w:bookmarkStart w:id="343" w:name="_Toc25449"/>
      <w:bookmarkStart w:id="344" w:name="_Toc7129"/>
    </w:p>
    <w:p w14:paraId="7D28730F">
      <w:pPr>
        <w:pStyle w:val="2"/>
        <w:rPr>
          <w:rFonts w:hint="eastAsia"/>
        </w:rPr>
      </w:pPr>
    </w:p>
    <w:p w14:paraId="373C8100">
      <w:pPr>
        <w:pStyle w:val="2"/>
        <w:rPr>
          <w:rFonts w:hint="eastAsia"/>
        </w:rPr>
      </w:pPr>
    </w:p>
    <w:p w14:paraId="74661B34">
      <w:pPr>
        <w:pStyle w:val="5"/>
        <w:spacing w:line="360" w:lineRule="auto"/>
        <w:jc w:val="center"/>
        <w:rPr>
          <w:rFonts w:ascii="宋体" w:hAnsi="宋体" w:cs="宋体"/>
          <w:szCs w:val="22"/>
        </w:rPr>
      </w:pPr>
      <w:r>
        <w:rPr>
          <w:rFonts w:hint="eastAsia"/>
        </w:rPr>
        <w:t>2.2分项报价表</w:t>
      </w:r>
      <w:bookmarkEnd w:id="331"/>
    </w:p>
    <w:p w14:paraId="56DD31FE">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 xml:space="preserve">供应商名称：                             </w:t>
      </w:r>
      <w:r>
        <w:rPr>
          <w:rFonts w:hint="eastAsia" w:ascii="宋体" w:hAnsi="宋体" w:cs="宋体"/>
          <w:color w:val="000000"/>
          <w:sz w:val="24"/>
          <w:lang w:val="en-US" w:eastAsia="zh-CN"/>
        </w:rPr>
        <w:t xml:space="preserve">  </w:t>
      </w:r>
      <w:r>
        <w:rPr>
          <w:rFonts w:hint="eastAsia" w:ascii="宋体" w:hAnsi="宋体" w:cs="宋体"/>
          <w:color w:val="000000"/>
          <w:sz w:val="24"/>
        </w:rPr>
        <w:t>采购项目编号：</w:t>
      </w:r>
    </w:p>
    <w:tbl>
      <w:tblPr>
        <w:tblStyle w:val="21"/>
        <w:tblpPr w:leftFromText="180" w:rightFromText="180" w:vertAnchor="text" w:horzAnchor="page" w:tblpX="1432" w:tblpY="252"/>
        <w:tblOverlap w:val="never"/>
        <w:tblW w:w="881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54"/>
        <w:gridCol w:w="771"/>
        <w:gridCol w:w="1786"/>
        <w:gridCol w:w="1304"/>
        <w:gridCol w:w="1395"/>
        <w:gridCol w:w="660"/>
        <w:gridCol w:w="780"/>
        <w:gridCol w:w="720"/>
        <w:gridCol w:w="848"/>
      </w:tblGrid>
      <w:tr w14:paraId="332BCD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915" w:hRule="exact"/>
        </w:trPr>
        <w:tc>
          <w:tcPr>
            <w:tcW w:w="554" w:type="dxa"/>
            <w:tcBorders>
              <w:top w:val="single" w:color="auto" w:sz="6" w:space="0"/>
              <w:left w:val="single" w:color="auto" w:sz="6" w:space="0"/>
              <w:bottom w:val="single" w:color="auto" w:sz="6" w:space="0"/>
              <w:right w:val="single" w:color="auto" w:sz="6" w:space="0"/>
            </w:tcBorders>
            <w:noWrap w:val="0"/>
            <w:vAlign w:val="center"/>
          </w:tcPr>
          <w:p w14:paraId="2701C25C">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类别</w:t>
            </w:r>
          </w:p>
        </w:tc>
        <w:tc>
          <w:tcPr>
            <w:tcW w:w="771" w:type="dxa"/>
            <w:tcBorders>
              <w:top w:val="single" w:color="auto" w:sz="6" w:space="0"/>
              <w:left w:val="single" w:color="auto" w:sz="6" w:space="0"/>
              <w:bottom w:val="single" w:color="auto" w:sz="6" w:space="0"/>
              <w:right w:val="single" w:color="auto" w:sz="4" w:space="0"/>
            </w:tcBorders>
            <w:noWrap w:val="0"/>
            <w:vAlign w:val="center"/>
          </w:tcPr>
          <w:p w14:paraId="4E821BCF">
            <w:pPr>
              <w:spacing w:line="360" w:lineRule="auto"/>
              <w:jc w:val="center"/>
              <w:rPr>
                <w:rFonts w:hint="eastAsia" w:ascii="宋体" w:hAnsi="宋体" w:cs="宋体"/>
                <w:b/>
                <w:color w:val="auto"/>
                <w:szCs w:val="24"/>
              </w:rPr>
            </w:pPr>
            <w:r>
              <w:rPr>
                <w:rFonts w:hint="eastAsia" w:ascii="宋体" w:hAnsi="宋体" w:cs="宋体"/>
                <w:b/>
                <w:color w:val="auto"/>
                <w:sz w:val="24"/>
                <w:szCs w:val="24"/>
              </w:rPr>
              <w:t>序号</w:t>
            </w:r>
          </w:p>
        </w:tc>
        <w:tc>
          <w:tcPr>
            <w:tcW w:w="1786" w:type="dxa"/>
            <w:tcBorders>
              <w:top w:val="single" w:color="auto" w:sz="6" w:space="0"/>
              <w:left w:val="single" w:color="auto" w:sz="4" w:space="0"/>
              <w:bottom w:val="single" w:color="auto" w:sz="6" w:space="0"/>
              <w:right w:val="single" w:color="auto" w:sz="6" w:space="0"/>
            </w:tcBorders>
            <w:noWrap w:val="0"/>
            <w:vAlign w:val="center"/>
          </w:tcPr>
          <w:p w14:paraId="1ABCD4A3">
            <w:pPr>
              <w:pStyle w:val="63"/>
              <w:widowControl w:val="0"/>
              <w:spacing w:before="0" w:after="0" w:line="360" w:lineRule="auto"/>
              <w:rPr>
                <w:rFonts w:cs="宋体"/>
                <w:b/>
                <w:color w:val="auto"/>
                <w:kern w:val="2"/>
                <w:szCs w:val="24"/>
              </w:rPr>
            </w:pPr>
            <w:r>
              <w:rPr>
                <w:rFonts w:cs="宋体"/>
                <w:b/>
                <w:color w:val="auto"/>
                <w:kern w:val="2"/>
                <w:szCs w:val="24"/>
              </w:rPr>
              <w:t>货物名称</w:t>
            </w:r>
          </w:p>
        </w:tc>
        <w:tc>
          <w:tcPr>
            <w:tcW w:w="1304" w:type="dxa"/>
            <w:tcBorders>
              <w:top w:val="single" w:color="auto" w:sz="6" w:space="0"/>
              <w:left w:val="single" w:color="auto" w:sz="6" w:space="0"/>
              <w:bottom w:val="single" w:color="auto" w:sz="6" w:space="0"/>
              <w:right w:val="single" w:color="auto" w:sz="6" w:space="0"/>
            </w:tcBorders>
            <w:noWrap w:val="0"/>
            <w:vAlign w:val="center"/>
          </w:tcPr>
          <w:p w14:paraId="7BFB325D">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型号和规格</w:t>
            </w:r>
          </w:p>
        </w:tc>
        <w:tc>
          <w:tcPr>
            <w:tcW w:w="1395" w:type="dxa"/>
            <w:tcBorders>
              <w:top w:val="single" w:color="auto" w:sz="6" w:space="0"/>
              <w:left w:val="single" w:color="auto" w:sz="6" w:space="0"/>
              <w:bottom w:val="single" w:color="auto" w:sz="6" w:space="0"/>
              <w:right w:val="single" w:color="auto" w:sz="6" w:space="0"/>
            </w:tcBorders>
            <w:noWrap w:val="0"/>
            <w:vAlign w:val="center"/>
          </w:tcPr>
          <w:p w14:paraId="4A84DB4F">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品牌</w:t>
            </w:r>
          </w:p>
        </w:tc>
        <w:tc>
          <w:tcPr>
            <w:tcW w:w="660" w:type="dxa"/>
            <w:tcBorders>
              <w:top w:val="single" w:color="auto" w:sz="6" w:space="0"/>
              <w:left w:val="single" w:color="auto" w:sz="6" w:space="0"/>
              <w:bottom w:val="single" w:color="auto" w:sz="6" w:space="0"/>
              <w:right w:val="single" w:color="auto" w:sz="6" w:space="0"/>
            </w:tcBorders>
            <w:noWrap w:val="0"/>
            <w:vAlign w:val="center"/>
          </w:tcPr>
          <w:p w14:paraId="37431F27">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数量</w:t>
            </w:r>
          </w:p>
        </w:tc>
        <w:tc>
          <w:tcPr>
            <w:tcW w:w="780" w:type="dxa"/>
            <w:tcBorders>
              <w:top w:val="single" w:color="auto" w:sz="6" w:space="0"/>
              <w:left w:val="single" w:color="auto" w:sz="6" w:space="0"/>
              <w:bottom w:val="single" w:color="auto" w:sz="6" w:space="0"/>
              <w:right w:val="single" w:color="auto" w:sz="6" w:space="0"/>
            </w:tcBorders>
            <w:noWrap w:val="0"/>
            <w:vAlign w:val="center"/>
          </w:tcPr>
          <w:p w14:paraId="53868784">
            <w:pPr>
              <w:spacing w:line="360" w:lineRule="auto"/>
              <w:jc w:val="center"/>
              <w:rPr>
                <w:rFonts w:hint="eastAsia" w:ascii="宋体" w:hAnsi="宋体" w:eastAsia="宋体" w:cs="宋体"/>
                <w:b/>
                <w:color w:val="auto"/>
                <w:sz w:val="24"/>
                <w:szCs w:val="24"/>
                <w:lang w:eastAsia="zh-CN"/>
              </w:rPr>
            </w:pPr>
            <w:r>
              <w:rPr>
                <w:rFonts w:hint="eastAsia" w:ascii="宋体" w:hAnsi="宋体" w:cs="宋体"/>
                <w:b/>
                <w:color w:val="auto"/>
                <w:sz w:val="24"/>
                <w:szCs w:val="24"/>
              </w:rPr>
              <w:t>单价</w:t>
            </w:r>
            <w:r>
              <w:rPr>
                <w:rFonts w:hint="eastAsia" w:ascii="宋体" w:hAnsi="宋体" w:cs="宋体"/>
                <w:b/>
                <w:color w:val="auto"/>
                <w:sz w:val="24"/>
                <w:szCs w:val="24"/>
                <w:lang w:eastAsia="zh-CN"/>
              </w:rPr>
              <w:t>（元）</w:t>
            </w:r>
          </w:p>
        </w:tc>
        <w:tc>
          <w:tcPr>
            <w:tcW w:w="720" w:type="dxa"/>
            <w:tcBorders>
              <w:top w:val="single" w:color="auto" w:sz="6" w:space="0"/>
              <w:left w:val="single" w:color="auto" w:sz="6" w:space="0"/>
              <w:bottom w:val="single" w:color="auto" w:sz="6" w:space="0"/>
              <w:right w:val="single" w:color="auto" w:sz="6" w:space="0"/>
            </w:tcBorders>
            <w:noWrap w:val="0"/>
            <w:vAlign w:val="center"/>
          </w:tcPr>
          <w:p w14:paraId="7302FE75">
            <w:pPr>
              <w:spacing w:line="360" w:lineRule="auto"/>
              <w:jc w:val="center"/>
              <w:rPr>
                <w:rFonts w:hint="eastAsia" w:ascii="宋体" w:hAnsi="宋体" w:eastAsia="宋体" w:cs="宋体"/>
                <w:b/>
                <w:color w:val="auto"/>
                <w:sz w:val="24"/>
                <w:szCs w:val="24"/>
                <w:lang w:eastAsia="zh-CN"/>
              </w:rPr>
            </w:pPr>
            <w:r>
              <w:rPr>
                <w:rFonts w:hint="eastAsia" w:ascii="宋体" w:hAnsi="宋体" w:cs="宋体"/>
                <w:b/>
                <w:color w:val="auto"/>
                <w:sz w:val="24"/>
                <w:szCs w:val="24"/>
              </w:rPr>
              <w:t>总价</w:t>
            </w:r>
            <w:r>
              <w:rPr>
                <w:rFonts w:hint="eastAsia" w:ascii="宋体" w:hAnsi="宋体" w:cs="宋体"/>
                <w:b/>
                <w:color w:val="auto"/>
                <w:sz w:val="24"/>
                <w:szCs w:val="24"/>
                <w:lang w:eastAsia="zh-CN"/>
              </w:rPr>
              <w:t>（元）</w:t>
            </w:r>
          </w:p>
        </w:tc>
        <w:tc>
          <w:tcPr>
            <w:tcW w:w="848" w:type="dxa"/>
            <w:tcBorders>
              <w:top w:val="single" w:color="auto" w:sz="6" w:space="0"/>
              <w:left w:val="single" w:color="auto" w:sz="6" w:space="0"/>
              <w:bottom w:val="single" w:color="auto" w:sz="6" w:space="0"/>
              <w:right w:val="single" w:color="auto" w:sz="6" w:space="0"/>
            </w:tcBorders>
            <w:noWrap w:val="0"/>
            <w:vAlign w:val="center"/>
          </w:tcPr>
          <w:p w14:paraId="450ABD7F">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备注</w:t>
            </w:r>
          </w:p>
        </w:tc>
      </w:tr>
      <w:tr w14:paraId="497D28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restart"/>
            <w:tcBorders>
              <w:top w:val="single" w:color="auto" w:sz="6" w:space="0"/>
              <w:left w:val="single" w:color="auto" w:sz="6" w:space="0"/>
              <w:right w:val="single" w:color="auto" w:sz="6" w:space="0"/>
            </w:tcBorders>
            <w:noWrap w:val="0"/>
            <w:vAlign w:val="center"/>
          </w:tcPr>
          <w:p w14:paraId="4BD41E44">
            <w:pPr>
              <w:spacing w:line="360" w:lineRule="auto"/>
              <w:jc w:val="center"/>
              <w:rPr>
                <w:rFonts w:hint="eastAsia" w:ascii="宋体" w:hAnsi="宋体" w:cs="宋体"/>
                <w:bCs/>
                <w:color w:val="auto"/>
                <w:sz w:val="24"/>
                <w:szCs w:val="24"/>
              </w:rPr>
            </w:pPr>
            <w:r>
              <w:rPr>
                <w:rFonts w:hint="eastAsia" w:ascii="宋体" w:hAnsi="宋体" w:cs="宋体"/>
                <w:bCs/>
                <w:color w:val="auto"/>
                <w:sz w:val="24"/>
                <w:szCs w:val="24"/>
              </w:rPr>
              <w:t>货</w:t>
            </w:r>
          </w:p>
          <w:p w14:paraId="6F36551F">
            <w:pPr>
              <w:spacing w:line="360" w:lineRule="auto"/>
              <w:jc w:val="center"/>
              <w:rPr>
                <w:rFonts w:hint="eastAsia" w:ascii="宋体" w:hAnsi="宋体" w:cs="宋体"/>
                <w:bCs/>
                <w:color w:val="auto"/>
                <w:sz w:val="24"/>
                <w:szCs w:val="24"/>
              </w:rPr>
            </w:pPr>
            <w:r>
              <w:rPr>
                <w:rFonts w:hint="eastAsia" w:ascii="宋体" w:hAnsi="宋体" w:cs="宋体"/>
                <w:bCs/>
                <w:color w:val="auto"/>
                <w:sz w:val="24"/>
                <w:szCs w:val="24"/>
              </w:rPr>
              <w:t>物</w:t>
            </w:r>
          </w:p>
          <w:p w14:paraId="4DBD7013">
            <w:pPr>
              <w:spacing w:line="360" w:lineRule="auto"/>
              <w:jc w:val="center"/>
              <w:rPr>
                <w:rFonts w:hint="eastAsia" w:ascii="宋体" w:hAnsi="宋体" w:cs="宋体"/>
                <w:bCs/>
                <w:color w:val="auto"/>
                <w:sz w:val="24"/>
                <w:szCs w:val="24"/>
              </w:rPr>
            </w:pPr>
            <w:r>
              <w:rPr>
                <w:rFonts w:hint="eastAsia" w:ascii="宋体" w:hAnsi="宋体" w:cs="宋体"/>
                <w:bCs/>
                <w:color w:val="auto"/>
                <w:sz w:val="24"/>
                <w:szCs w:val="24"/>
              </w:rPr>
              <w:t>费</w:t>
            </w:r>
          </w:p>
        </w:tc>
        <w:tc>
          <w:tcPr>
            <w:tcW w:w="771" w:type="dxa"/>
            <w:tcBorders>
              <w:top w:val="single" w:color="auto" w:sz="6" w:space="0"/>
              <w:left w:val="single" w:color="auto" w:sz="6" w:space="0"/>
              <w:bottom w:val="single" w:color="auto" w:sz="6" w:space="0"/>
              <w:right w:val="single" w:color="auto" w:sz="4" w:space="0"/>
            </w:tcBorders>
            <w:noWrap w:val="0"/>
            <w:vAlign w:val="center"/>
          </w:tcPr>
          <w:p w14:paraId="05E4EEEC">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3258235C">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5E234F13">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54581F38">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004FE4F8">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26920CF0">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7B951ACA">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41B91B43">
            <w:pPr>
              <w:spacing w:line="360" w:lineRule="auto"/>
              <w:jc w:val="center"/>
              <w:rPr>
                <w:rFonts w:hint="eastAsia" w:ascii="宋体" w:hAnsi="宋体" w:cs="宋体"/>
                <w:color w:val="auto"/>
                <w:sz w:val="24"/>
                <w:szCs w:val="24"/>
              </w:rPr>
            </w:pPr>
          </w:p>
        </w:tc>
      </w:tr>
      <w:tr w14:paraId="56B2C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537BD197">
            <w:pPr>
              <w:spacing w:line="360" w:lineRule="auto"/>
              <w:jc w:val="center"/>
              <w:rPr>
                <w:rFonts w:hint="eastAsia" w:ascii="宋体" w:hAnsi="宋体" w:cs="宋体"/>
                <w:bCs/>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1583A1ED">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129D2D0F">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6886CCF7">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71AE85A7">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308F5B13">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52195DD9">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2D5BF69A">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10AA59DF">
            <w:pPr>
              <w:spacing w:line="360" w:lineRule="auto"/>
              <w:jc w:val="center"/>
              <w:rPr>
                <w:rFonts w:hint="eastAsia" w:ascii="宋体" w:hAnsi="宋体" w:cs="宋体"/>
                <w:color w:val="auto"/>
                <w:sz w:val="24"/>
                <w:szCs w:val="24"/>
              </w:rPr>
            </w:pPr>
          </w:p>
        </w:tc>
      </w:tr>
      <w:tr w14:paraId="3F22A2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05C75BC8">
            <w:pPr>
              <w:spacing w:line="360" w:lineRule="auto"/>
              <w:jc w:val="center"/>
              <w:rPr>
                <w:rFonts w:hint="eastAsia" w:ascii="宋体" w:hAnsi="宋体" w:cs="宋体"/>
                <w:bCs/>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4268CA6D">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3D962F4B">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0AE72586">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472B1311">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67B4F0EC">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38134A94">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30FE06F4">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77C5981F">
            <w:pPr>
              <w:spacing w:line="360" w:lineRule="auto"/>
              <w:jc w:val="center"/>
              <w:rPr>
                <w:rFonts w:hint="eastAsia" w:ascii="宋体" w:hAnsi="宋体" w:cs="宋体"/>
                <w:color w:val="auto"/>
                <w:sz w:val="24"/>
                <w:szCs w:val="24"/>
              </w:rPr>
            </w:pPr>
          </w:p>
        </w:tc>
      </w:tr>
      <w:tr w14:paraId="147546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4F74828E">
            <w:pPr>
              <w:spacing w:line="360" w:lineRule="auto"/>
              <w:jc w:val="center"/>
              <w:rPr>
                <w:rFonts w:hint="eastAsia" w:ascii="宋体" w:hAnsi="宋体" w:cs="宋体"/>
                <w:bCs/>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04BA5894">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61CB4A71">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1EF25F53">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624FC2A4">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1FA96DE9">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4012D820">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225C9C1E">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4EEAD574">
            <w:pPr>
              <w:spacing w:line="360" w:lineRule="auto"/>
              <w:jc w:val="center"/>
              <w:rPr>
                <w:rFonts w:hint="eastAsia" w:ascii="宋体" w:hAnsi="宋体" w:cs="宋体"/>
                <w:color w:val="auto"/>
                <w:sz w:val="24"/>
                <w:szCs w:val="24"/>
              </w:rPr>
            </w:pPr>
          </w:p>
        </w:tc>
      </w:tr>
      <w:tr w14:paraId="654BE8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2D5CC19E">
            <w:pPr>
              <w:spacing w:line="360" w:lineRule="auto"/>
              <w:jc w:val="center"/>
              <w:rPr>
                <w:rFonts w:hint="eastAsia" w:ascii="宋体" w:hAnsi="宋体" w:cs="宋体"/>
                <w:b/>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137FBC0D">
            <w:pPr>
              <w:spacing w:line="360" w:lineRule="auto"/>
              <w:jc w:val="center"/>
              <w:rPr>
                <w:rFonts w:hint="eastAsia" w:ascii="宋体" w:hAnsi="宋体" w:cs="宋体"/>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22ED6764">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07EA1728">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3459BE28">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78A9A6A7">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10E642AF">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071831D0">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68106AD2">
            <w:pPr>
              <w:spacing w:line="360" w:lineRule="auto"/>
              <w:jc w:val="center"/>
              <w:rPr>
                <w:rFonts w:hint="eastAsia" w:ascii="宋体" w:hAnsi="宋体" w:cs="宋体"/>
                <w:color w:val="auto"/>
                <w:sz w:val="24"/>
                <w:szCs w:val="24"/>
              </w:rPr>
            </w:pPr>
          </w:p>
        </w:tc>
      </w:tr>
      <w:tr w14:paraId="7F198D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bottom w:val="single" w:color="auto" w:sz="6" w:space="0"/>
              <w:right w:val="single" w:color="auto" w:sz="6" w:space="0"/>
            </w:tcBorders>
            <w:noWrap w:val="0"/>
            <w:vAlign w:val="center"/>
          </w:tcPr>
          <w:p w14:paraId="661F2B6A">
            <w:pPr>
              <w:spacing w:line="360" w:lineRule="auto"/>
              <w:jc w:val="center"/>
              <w:rPr>
                <w:rFonts w:hint="eastAsia" w:ascii="宋体" w:hAnsi="宋体" w:cs="宋体"/>
                <w:b/>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779F1072">
            <w:pPr>
              <w:spacing w:line="360" w:lineRule="auto"/>
              <w:jc w:val="center"/>
              <w:rPr>
                <w:rFonts w:hint="eastAsia" w:ascii="宋体" w:hAnsi="宋体" w:cs="宋体"/>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2A97BAEF">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194E399D">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693BB375">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58CA5A47">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281EB548">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11E6D661">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7C112650">
            <w:pPr>
              <w:spacing w:line="360" w:lineRule="auto"/>
              <w:jc w:val="center"/>
              <w:rPr>
                <w:rFonts w:hint="eastAsia" w:ascii="宋体" w:hAnsi="宋体" w:cs="宋体"/>
                <w:color w:val="auto"/>
                <w:sz w:val="24"/>
                <w:szCs w:val="24"/>
              </w:rPr>
            </w:pPr>
          </w:p>
        </w:tc>
      </w:tr>
      <w:tr w14:paraId="09AA1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409E6447">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安装调试费</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205E557B">
            <w:pPr>
              <w:spacing w:line="360" w:lineRule="auto"/>
              <w:jc w:val="center"/>
              <w:rPr>
                <w:rFonts w:hint="eastAsia" w:ascii="宋体" w:hAnsi="宋体" w:cs="宋体"/>
                <w:color w:val="auto"/>
                <w:sz w:val="24"/>
                <w:szCs w:val="24"/>
              </w:rPr>
            </w:pPr>
          </w:p>
        </w:tc>
      </w:tr>
      <w:tr w14:paraId="44FC36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458DDB2C">
            <w:pPr>
              <w:spacing w:line="360" w:lineRule="auto"/>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运输费</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26A51DC6">
            <w:pPr>
              <w:spacing w:line="360" w:lineRule="auto"/>
              <w:jc w:val="center"/>
              <w:rPr>
                <w:rFonts w:hint="eastAsia" w:ascii="宋体" w:hAnsi="宋体" w:cs="宋体"/>
                <w:color w:val="auto"/>
                <w:sz w:val="24"/>
                <w:szCs w:val="24"/>
              </w:rPr>
            </w:pPr>
          </w:p>
        </w:tc>
      </w:tr>
      <w:tr w14:paraId="1BA9A9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6E279AAE">
            <w:pPr>
              <w:spacing w:line="360" w:lineRule="auto"/>
              <w:jc w:val="center"/>
              <w:rPr>
                <w:rFonts w:hint="eastAsia" w:ascii="宋体" w:hAnsi="宋体" w:cs="宋体"/>
                <w:color w:val="auto"/>
                <w:sz w:val="24"/>
                <w:szCs w:val="24"/>
              </w:rPr>
            </w:pPr>
            <w:r>
              <w:rPr>
                <w:rFonts w:hint="eastAsia" w:ascii="宋体" w:hAnsi="宋体" w:cs="宋体"/>
                <w:color w:val="auto"/>
                <w:sz w:val="24"/>
                <w:szCs w:val="24"/>
              </w:rPr>
              <w:t>投标总报价</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49BB1D30">
            <w:pPr>
              <w:spacing w:line="360" w:lineRule="auto"/>
              <w:jc w:val="center"/>
              <w:rPr>
                <w:rFonts w:hint="eastAsia" w:ascii="宋体" w:hAnsi="宋体" w:cs="宋体"/>
                <w:color w:val="auto"/>
                <w:sz w:val="24"/>
                <w:szCs w:val="24"/>
              </w:rPr>
            </w:pPr>
            <w:r>
              <w:rPr>
                <w:rFonts w:hint="eastAsia" w:ascii="宋体" w:hAnsi="宋体" w:cs="宋体"/>
                <w:color w:val="auto"/>
                <w:sz w:val="24"/>
                <w:szCs w:val="24"/>
              </w:rPr>
              <w:t>（大写）：       （小写：¥     ）</w:t>
            </w:r>
          </w:p>
        </w:tc>
      </w:tr>
      <w:tr w14:paraId="227BDF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402B5835">
            <w:pPr>
              <w:spacing w:line="360" w:lineRule="auto"/>
              <w:jc w:val="center"/>
              <w:rPr>
                <w:rFonts w:hint="eastAsia" w:ascii="宋体" w:hAnsi="宋体" w:cs="宋体"/>
                <w:color w:val="auto"/>
                <w:sz w:val="24"/>
                <w:szCs w:val="24"/>
              </w:rPr>
            </w:pPr>
            <w:r>
              <w:rPr>
                <w:rFonts w:hint="eastAsia" w:ascii="宋体" w:hAnsi="宋体" w:cs="宋体"/>
                <w:color w:val="auto"/>
                <w:sz w:val="24"/>
                <w:szCs w:val="24"/>
              </w:rPr>
              <w:t>备注</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55B99AD0">
            <w:pPr>
              <w:spacing w:line="360" w:lineRule="auto"/>
              <w:jc w:val="center"/>
              <w:rPr>
                <w:rFonts w:hint="eastAsia" w:ascii="宋体" w:hAnsi="宋体" w:cs="宋体"/>
                <w:color w:val="auto"/>
                <w:sz w:val="24"/>
                <w:szCs w:val="24"/>
              </w:rPr>
            </w:pPr>
            <w:r>
              <w:rPr>
                <w:rFonts w:hint="eastAsia" w:ascii="宋体" w:hAnsi="宋体" w:cs="宋体"/>
                <w:color w:val="auto"/>
                <w:sz w:val="24"/>
                <w:szCs w:val="24"/>
              </w:rPr>
              <w:t>保留小数点后两位。</w:t>
            </w:r>
          </w:p>
        </w:tc>
      </w:tr>
    </w:tbl>
    <w:p w14:paraId="0F58B5D3">
      <w:pPr>
        <w:pStyle w:val="20"/>
        <w:rPr>
          <w:rFonts w:hint="eastAsia" w:ascii="宋体" w:hAnsi="宋体" w:cs="宋体"/>
          <w:sz w:val="24"/>
        </w:rPr>
      </w:pPr>
    </w:p>
    <w:p w14:paraId="7519BEDF">
      <w:pPr>
        <w:pStyle w:val="20"/>
        <w:rPr>
          <w:rFonts w:hint="eastAsia" w:ascii="宋体" w:hAnsi="宋体" w:cs="宋体"/>
          <w:sz w:val="24"/>
        </w:rPr>
      </w:pPr>
    </w:p>
    <w:p w14:paraId="0D56CFAF">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49FE731D">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2D5DFFF0">
      <w:pPr>
        <w:spacing w:line="360" w:lineRule="auto"/>
        <w:ind w:right="480" w:firstLine="2640" w:firstLineChars="1100"/>
        <w:rPr>
          <w:rFonts w:ascii="宋体" w:hAnsi="宋体" w:cs="宋体"/>
          <w:sz w:val="24"/>
        </w:rPr>
        <w:sectPr>
          <w:type w:val="continuous"/>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45" w:name="_Toc5391"/>
    </w:p>
    <w:bookmarkEnd w:id="345"/>
    <w:p w14:paraId="3579734F">
      <w:pPr>
        <w:spacing w:line="480" w:lineRule="auto"/>
        <w:ind w:right="-161"/>
        <w:jc w:val="center"/>
        <w:outlineLvl w:val="0"/>
        <w:rPr>
          <w:b/>
          <w:bCs/>
          <w:sz w:val="36"/>
          <w:szCs w:val="16"/>
        </w:rPr>
      </w:pPr>
    </w:p>
    <w:p w14:paraId="1BF026F0">
      <w:pPr>
        <w:spacing w:line="480" w:lineRule="auto"/>
        <w:ind w:right="-161"/>
        <w:jc w:val="center"/>
        <w:outlineLvl w:val="0"/>
        <w:rPr>
          <w:b/>
          <w:bCs/>
          <w:sz w:val="36"/>
          <w:szCs w:val="16"/>
        </w:rPr>
      </w:pPr>
    </w:p>
    <w:p w14:paraId="58C53258">
      <w:pPr>
        <w:spacing w:line="480" w:lineRule="auto"/>
        <w:ind w:right="-161"/>
        <w:jc w:val="center"/>
        <w:outlineLvl w:val="0"/>
        <w:rPr>
          <w:b/>
          <w:bCs/>
          <w:sz w:val="36"/>
          <w:szCs w:val="16"/>
        </w:rPr>
      </w:pPr>
    </w:p>
    <w:p w14:paraId="1C2CFD63">
      <w:pPr>
        <w:spacing w:line="480" w:lineRule="auto"/>
        <w:ind w:right="-161"/>
        <w:jc w:val="center"/>
        <w:outlineLvl w:val="0"/>
        <w:rPr>
          <w:b/>
          <w:bCs/>
          <w:sz w:val="36"/>
          <w:szCs w:val="16"/>
        </w:rPr>
      </w:pPr>
    </w:p>
    <w:p w14:paraId="32DA288E">
      <w:pPr>
        <w:pStyle w:val="9"/>
        <w:rPr>
          <w:b/>
          <w:bCs/>
          <w:sz w:val="36"/>
          <w:szCs w:val="16"/>
        </w:rPr>
      </w:pPr>
    </w:p>
    <w:p w14:paraId="71C88F72"/>
    <w:p w14:paraId="19EDEA85">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32"/>
      <w:bookmarkEnd w:id="333"/>
      <w:bookmarkEnd w:id="334"/>
      <w:bookmarkEnd w:id="335"/>
      <w:bookmarkEnd w:id="336"/>
      <w:bookmarkEnd w:id="337"/>
    </w:p>
    <w:p w14:paraId="6D3CD4A5">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14:paraId="09E4F18E">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39AB3C5C">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14:paraId="56CB1B20">
      <w:pPr>
        <w:pStyle w:val="14"/>
      </w:pPr>
    </w:p>
    <w:p w14:paraId="0824C3B4">
      <w:pPr>
        <w:pStyle w:val="4"/>
        <w:rPr>
          <w:rFonts w:ascii="宋体" w:hAnsi="宋体" w:eastAsia="宋体" w:cs="宋体"/>
          <w:szCs w:val="22"/>
        </w:rPr>
      </w:pPr>
    </w:p>
    <w:p w14:paraId="1D96953A">
      <w:pPr>
        <w:pStyle w:val="4"/>
        <w:rPr>
          <w:rFonts w:ascii="宋体" w:hAnsi="宋体" w:eastAsia="宋体" w:cs="宋体"/>
          <w:szCs w:val="22"/>
        </w:rPr>
      </w:pPr>
    </w:p>
    <w:p w14:paraId="743BD7BB">
      <w:pPr>
        <w:pStyle w:val="4"/>
        <w:rPr>
          <w:rFonts w:ascii="宋体" w:hAnsi="宋体" w:eastAsia="宋体" w:cs="宋体"/>
          <w:szCs w:val="22"/>
        </w:rPr>
      </w:pPr>
    </w:p>
    <w:p w14:paraId="2897FA07">
      <w:pPr>
        <w:pStyle w:val="4"/>
        <w:rPr>
          <w:rFonts w:ascii="宋体" w:hAnsi="宋体" w:eastAsia="宋体" w:cs="宋体"/>
          <w:szCs w:val="22"/>
        </w:rPr>
      </w:pPr>
    </w:p>
    <w:p w14:paraId="7309A41F">
      <w:pPr>
        <w:rPr>
          <w:rFonts w:ascii="宋体" w:hAnsi="宋体" w:cs="宋体"/>
          <w:szCs w:val="22"/>
        </w:rPr>
      </w:pPr>
    </w:p>
    <w:p w14:paraId="38C46A87">
      <w:pPr>
        <w:pStyle w:val="14"/>
        <w:rPr>
          <w:rFonts w:ascii="宋体" w:hAnsi="宋体" w:cs="宋体"/>
          <w:szCs w:val="22"/>
        </w:rPr>
      </w:pPr>
    </w:p>
    <w:p w14:paraId="2D42E832">
      <w:pPr>
        <w:pStyle w:val="14"/>
        <w:rPr>
          <w:rFonts w:ascii="宋体" w:hAnsi="宋体" w:cs="宋体"/>
          <w:szCs w:val="22"/>
        </w:rPr>
      </w:pPr>
    </w:p>
    <w:p w14:paraId="2AB67307">
      <w:pPr>
        <w:pStyle w:val="14"/>
        <w:rPr>
          <w:rFonts w:ascii="宋体" w:hAnsi="宋体" w:cs="宋体"/>
          <w:szCs w:val="22"/>
        </w:rPr>
      </w:pPr>
    </w:p>
    <w:p w14:paraId="7147092F">
      <w:pPr>
        <w:pStyle w:val="14"/>
        <w:rPr>
          <w:rFonts w:ascii="宋体" w:hAnsi="宋体" w:cs="宋体"/>
          <w:szCs w:val="22"/>
        </w:rPr>
      </w:pPr>
    </w:p>
    <w:p w14:paraId="2FBCE0C4">
      <w:pPr>
        <w:pStyle w:val="14"/>
        <w:rPr>
          <w:rFonts w:ascii="宋体" w:hAnsi="宋体" w:cs="宋体"/>
          <w:szCs w:val="22"/>
        </w:rPr>
      </w:pPr>
    </w:p>
    <w:p w14:paraId="1EE5E734">
      <w:pPr>
        <w:pStyle w:val="14"/>
        <w:rPr>
          <w:rFonts w:ascii="宋体" w:hAnsi="宋体" w:cs="宋体"/>
          <w:szCs w:val="22"/>
        </w:rPr>
      </w:pPr>
    </w:p>
    <w:p w14:paraId="7DEF7E95">
      <w:pPr>
        <w:pStyle w:val="14"/>
        <w:rPr>
          <w:rFonts w:ascii="宋体" w:hAnsi="宋体" w:cs="宋体"/>
          <w:szCs w:val="22"/>
        </w:rPr>
      </w:pPr>
    </w:p>
    <w:p w14:paraId="604D3FDA">
      <w:pPr>
        <w:pStyle w:val="14"/>
        <w:rPr>
          <w:rFonts w:ascii="宋体" w:hAnsi="宋体" w:cs="宋体"/>
          <w:szCs w:val="22"/>
        </w:rPr>
      </w:pPr>
    </w:p>
    <w:p w14:paraId="60BC0EA5">
      <w:pPr>
        <w:pStyle w:val="14"/>
        <w:rPr>
          <w:rFonts w:ascii="宋体" w:hAnsi="宋体" w:cs="宋体"/>
          <w:szCs w:val="22"/>
        </w:rPr>
      </w:pPr>
    </w:p>
    <w:p w14:paraId="767140DF">
      <w:pPr>
        <w:pStyle w:val="14"/>
        <w:rPr>
          <w:rFonts w:ascii="宋体" w:hAnsi="宋体" w:cs="宋体"/>
          <w:szCs w:val="22"/>
        </w:rPr>
      </w:pPr>
    </w:p>
    <w:p w14:paraId="453DD8A4">
      <w:pPr>
        <w:pStyle w:val="14"/>
        <w:rPr>
          <w:rFonts w:ascii="宋体" w:hAnsi="宋体" w:cs="宋体"/>
          <w:szCs w:val="22"/>
        </w:rPr>
      </w:pPr>
    </w:p>
    <w:p w14:paraId="17223195">
      <w:pPr>
        <w:pStyle w:val="14"/>
        <w:rPr>
          <w:rFonts w:ascii="宋体" w:hAnsi="宋体" w:cs="宋体"/>
          <w:szCs w:val="22"/>
        </w:rPr>
      </w:pPr>
    </w:p>
    <w:p w14:paraId="157CBC68">
      <w:pPr>
        <w:pStyle w:val="14"/>
        <w:rPr>
          <w:rFonts w:ascii="宋体" w:hAnsi="宋体" w:cs="宋体"/>
          <w:szCs w:val="22"/>
        </w:rPr>
      </w:pPr>
    </w:p>
    <w:p w14:paraId="3D2AFAB5">
      <w:pPr>
        <w:pStyle w:val="14"/>
        <w:rPr>
          <w:rFonts w:ascii="宋体" w:hAnsi="宋体" w:cs="宋体"/>
          <w:szCs w:val="22"/>
        </w:rPr>
      </w:pPr>
    </w:p>
    <w:p w14:paraId="1E79685B">
      <w:pPr>
        <w:pStyle w:val="14"/>
        <w:rPr>
          <w:rFonts w:ascii="宋体" w:hAnsi="宋体" w:cs="宋体"/>
          <w:szCs w:val="22"/>
        </w:rPr>
      </w:pPr>
    </w:p>
    <w:p w14:paraId="5902F732">
      <w:pPr>
        <w:pStyle w:val="14"/>
        <w:rPr>
          <w:rFonts w:ascii="宋体" w:hAnsi="宋体" w:cs="宋体"/>
          <w:szCs w:val="22"/>
        </w:rPr>
      </w:pPr>
    </w:p>
    <w:p w14:paraId="0046FC26">
      <w:pPr>
        <w:pStyle w:val="14"/>
        <w:rPr>
          <w:rFonts w:ascii="宋体" w:hAnsi="宋体" w:cs="宋体"/>
          <w:szCs w:val="22"/>
        </w:rPr>
      </w:pPr>
    </w:p>
    <w:p w14:paraId="1D0A2F93">
      <w:pPr>
        <w:pStyle w:val="14"/>
        <w:rPr>
          <w:rFonts w:ascii="宋体" w:hAnsi="宋体" w:cs="宋体"/>
          <w:szCs w:val="22"/>
        </w:rPr>
      </w:pPr>
    </w:p>
    <w:p w14:paraId="7761C7F2">
      <w:pPr>
        <w:pStyle w:val="14"/>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14:paraId="111018F6">
      <w:pPr>
        <w:spacing w:line="360" w:lineRule="atLeast"/>
        <w:rPr>
          <w:rFonts w:ascii="宋体" w:hAnsi="宋体" w:cs="宋体"/>
          <w:b w:val="0"/>
          <w:bCs w:val="0"/>
          <w:sz w:val="28"/>
          <w:szCs w:val="28"/>
        </w:rPr>
      </w:pPr>
      <w:r>
        <w:rPr>
          <w:rFonts w:hint="eastAsia" w:ascii="宋体" w:hAnsi="宋体" w:cs="宋体"/>
          <w:b w:val="0"/>
          <w:bCs w:val="0"/>
          <w:sz w:val="28"/>
          <w:szCs w:val="28"/>
        </w:rPr>
        <w:t>附件</w:t>
      </w:r>
      <w:r>
        <w:rPr>
          <w:rFonts w:hint="eastAsia" w:ascii="宋体" w:hAnsi="宋体" w:cs="宋体"/>
          <w:b w:val="0"/>
          <w:bCs w:val="0"/>
          <w:sz w:val="28"/>
          <w:szCs w:val="28"/>
          <w:lang w:val="en-US" w:eastAsia="zh-CN"/>
        </w:rPr>
        <w:t>1</w:t>
      </w:r>
      <w:r>
        <w:rPr>
          <w:rFonts w:hint="eastAsia" w:ascii="宋体" w:hAnsi="宋体" w:cs="宋体"/>
          <w:b w:val="0"/>
          <w:bCs w:val="0"/>
          <w:sz w:val="28"/>
          <w:szCs w:val="28"/>
        </w:rPr>
        <w:t>：</w:t>
      </w:r>
    </w:p>
    <w:p w14:paraId="585FD79F">
      <w:pPr>
        <w:pStyle w:val="18"/>
        <w:widowControl/>
        <w:shd w:val="clear" w:color="060000" w:fill="FFFFFF"/>
        <w:adjustRightInd w:val="0"/>
        <w:snapToGrid w:val="0"/>
        <w:spacing w:before="0" w:beforeAutospacing="0" w:after="150" w:afterAutospacing="0" w:line="500" w:lineRule="exact"/>
        <w:ind w:firstLine="480"/>
        <w:jc w:val="center"/>
        <w:rPr>
          <w:rFonts w:ascii="宋体" w:hAnsi="宋体" w:cs="宋体"/>
          <w:color w:val="333333"/>
          <w:szCs w:val="24"/>
        </w:rPr>
      </w:pPr>
      <w:r>
        <w:rPr>
          <w:rFonts w:hint="eastAsia" w:ascii="宋体" w:hAnsi="宋体" w:cs="宋体"/>
          <w:b/>
          <w:bCs/>
          <w:color w:val="333333"/>
          <w:sz w:val="36"/>
          <w:szCs w:val="36"/>
          <w:shd w:val="clear" w:color="070000" w:fill="FFFFFF"/>
        </w:rPr>
        <w:t>榆林市政府采购</w:t>
      </w:r>
      <w:r>
        <w:rPr>
          <w:rFonts w:hint="eastAsia" w:ascii="宋体" w:hAnsi="宋体" w:cs="宋体"/>
          <w:b/>
          <w:bCs/>
          <w:color w:val="333333"/>
          <w:sz w:val="36"/>
          <w:szCs w:val="36"/>
          <w:shd w:val="clear" w:color="070000" w:fill="FFFFFF"/>
          <w:lang w:val="en-US" w:eastAsia="zh-CN"/>
        </w:rPr>
        <w:t>货物</w:t>
      </w:r>
      <w:r>
        <w:rPr>
          <w:rFonts w:hint="eastAsia" w:ascii="宋体" w:hAnsi="宋体" w:cs="宋体"/>
          <w:b/>
          <w:bCs/>
          <w:color w:val="333333"/>
          <w:sz w:val="36"/>
          <w:szCs w:val="36"/>
          <w:shd w:val="clear" w:color="070000" w:fill="FFFFFF"/>
        </w:rPr>
        <w:t>类项目供应商信用承诺书</w:t>
      </w:r>
    </w:p>
    <w:p w14:paraId="11A83463">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市场主体名称：</w:t>
      </w:r>
    </w:p>
    <w:p w14:paraId="0C4C3C4E">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证件类型：统一社会信用代码</w:t>
      </w:r>
    </w:p>
    <w:p w14:paraId="126B2CF4">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证件号码：</w:t>
      </w:r>
    </w:p>
    <w:p w14:paraId="2CB58508">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法人代表：</w:t>
      </w:r>
    </w:p>
    <w:p w14:paraId="599D950E">
      <w:pPr>
        <w:pStyle w:val="18"/>
        <w:widowControl/>
        <w:shd w:val="clear" w:color="auto" w:fill="FFFFFF"/>
        <w:adjustRightInd w:val="0"/>
        <w:snapToGrid w:val="0"/>
        <w:spacing w:before="0" w:beforeAutospacing="0" w:after="150" w:afterAutospacing="0" w:line="560" w:lineRule="exact"/>
        <w:ind w:firstLine="480"/>
        <w:jc w:val="both"/>
        <w:rPr>
          <w:rFonts w:hint="eastAsia" w:ascii="宋体" w:hAnsi="宋体" w:eastAsia="宋体" w:cs="宋体"/>
          <w:color w:val="333333"/>
          <w:sz w:val="28"/>
          <w:szCs w:val="28"/>
          <w:shd w:val="clear" w:color="auto" w:fill="FFFFFF"/>
          <w:lang w:val="en-US" w:eastAsia="zh-CN"/>
        </w:rPr>
      </w:pPr>
      <w:r>
        <w:rPr>
          <w:rFonts w:hint="eastAsia" w:ascii="宋体" w:hAnsi="宋体" w:cs="宋体"/>
          <w:color w:val="333333"/>
          <w:sz w:val="28"/>
          <w:szCs w:val="28"/>
          <w:shd w:val="clear" w:color="auto" w:fill="FFFFFF"/>
        </w:rPr>
        <w:t>承诺有效期限：   年    月   日—   年   月   日</w:t>
      </w:r>
      <w:r>
        <w:rPr>
          <w:rFonts w:hint="eastAsia" w:ascii="宋体" w:hAnsi="宋体" w:cs="宋体"/>
          <w:color w:val="333333"/>
          <w:sz w:val="28"/>
          <w:szCs w:val="28"/>
          <w:shd w:val="clear" w:color="auto" w:fill="FFFFFF"/>
          <w:lang w:eastAsia="zh-CN"/>
        </w:rPr>
        <w:t>（有效期一年）</w:t>
      </w:r>
    </w:p>
    <w:p w14:paraId="6C465846">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承诺内容：</w:t>
      </w:r>
    </w:p>
    <w:p w14:paraId="29FAD9F3">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为维护公开、公平、公正的政府采购市场秩序，树立诚实守信的政府采购供应商形象，本单位自愿做出以下承诺：</w:t>
      </w:r>
    </w:p>
    <w:p w14:paraId="45AFCF70">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一、承诺本单位严格遵守国家法律、法规和规章，全面履行应尽的责任和义务，全面做到履约守信，具备《政府采购法》第二十二条第一款规定的条件;</w:t>
      </w:r>
    </w:p>
    <w:p w14:paraId="1D074023">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C172D81">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三、承诺本单位严格依法开展生产经营活动，主动接受行业监管，自愿接受依法开展的日常检查；违法失信经营后将自愿接受约束和惩戒，并依法承担相应责任；</w:t>
      </w:r>
    </w:p>
    <w:p w14:paraId="2626CF62">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四、承诺本单位自觉接受行政管理部门、行业组织、社会公众、新闻舆论的监督；</w:t>
      </w:r>
    </w:p>
    <w:p w14:paraId="1CCA253D">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五、承诺本单位自我约束、自我管理，重合同、守信用，不制假售假、商标侵权、虚假宣传、违约毁约、恶意逃债、偷税漏税、价格欺诈、垄断和不正当竞争，维护经营者、消费者的合法权益；</w:t>
      </w:r>
    </w:p>
    <w:p w14:paraId="50998CAA">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六、承诺本单位提出政府采购质疑和投诉坚持依法依规、诚实信用原则，在全国范围12个月内没有三次以上查无实据的政府采购投诉；</w:t>
      </w:r>
    </w:p>
    <w:p w14:paraId="56B97017">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七、根据政府采购相关法律法规的规定需要作出的其他承诺：</w:t>
      </w:r>
      <w:r>
        <w:rPr>
          <w:rFonts w:hint="eastAsia" w:ascii="宋体" w:hAnsi="宋体" w:cs="宋体"/>
          <w:color w:val="333333"/>
          <w:sz w:val="28"/>
          <w:szCs w:val="28"/>
          <w:u w:val="single"/>
          <w:shd w:val="clear" w:color="auto" w:fill="FFFFFF"/>
        </w:rPr>
        <w:t>                                                              </w:t>
      </w:r>
    </w:p>
    <w:p w14:paraId="08B8AA3C">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D6CF330">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w:t>
      </w:r>
    </w:p>
    <w:p w14:paraId="58220F5F">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xml:space="preserve">              承诺单位（盖章）：</w:t>
      </w:r>
    </w:p>
    <w:p w14:paraId="11E3E20A">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xml:space="preserve">      法定代表人（负责人）：          </w:t>
      </w:r>
    </w:p>
    <w:p w14:paraId="22ABCA6D">
      <w:pPr>
        <w:pStyle w:val="18"/>
        <w:widowControl/>
        <w:shd w:val="clear" w:color="auto" w:fill="FFFFFF"/>
        <w:adjustRightInd w:val="0"/>
        <w:snapToGrid w:val="0"/>
        <w:spacing w:before="0" w:beforeAutospacing="0" w:after="150" w:afterAutospacing="0" w:line="560" w:lineRule="exact"/>
        <w:ind w:firstLine="2520" w:firstLineChars="9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法定代表人（负责人）身份证号：</w:t>
      </w:r>
    </w:p>
    <w:p w14:paraId="23E387E9">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承诺日期：</w:t>
      </w:r>
    </w:p>
    <w:p w14:paraId="19347688">
      <w:pPr>
        <w:pStyle w:val="18"/>
        <w:widowControl/>
        <w:shd w:val="clear" w:color="auto" w:fill="FFFFFF"/>
        <w:adjustRightInd w:val="0"/>
        <w:snapToGrid w:val="0"/>
        <w:spacing w:before="0" w:beforeAutospacing="0" w:after="150" w:afterAutospacing="0" w:line="560" w:lineRule="exact"/>
        <w:ind w:firstLine="560" w:firstLineChars="2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注：法定代表人或负责人、主体名称发生变更的应当重新做出承诺；承诺书标题按照工程类、货物类、服务类确定。</w:t>
      </w:r>
    </w:p>
    <w:p w14:paraId="6408B3F4">
      <w:pPr>
        <w:pStyle w:val="9"/>
        <w:adjustRightInd w:val="0"/>
        <w:snapToGrid w:val="0"/>
        <w:spacing w:line="500" w:lineRule="exact"/>
        <w:rPr>
          <w:rFonts w:ascii="宋体" w:hAnsi="宋体" w:cs="宋体"/>
          <w:color w:val="333333"/>
          <w:kern w:val="0"/>
          <w:sz w:val="31"/>
          <w:szCs w:val="31"/>
          <w:shd w:val="clear" w:color="070000" w:fill="FFFFFF"/>
        </w:rPr>
      </w:pPr>
      <w:r>
        <w:rPr>
          <w:rFonts w:hint="eastAsia" w:ascii="宋体" w:hAnsi="宋体" w:cs="宋体"/>
          <w:b/>
          <w:sz w:val="24"/>
        </w:rPr>
        <w:t xml:space="preserve">    </w:t>
      </w:r>
      <w:r>
        <w:rPr>
          <w:rFonts w:hint="eastAsia" w:ascii="宋体" w:hAnsi="宋体" w:cs="宋体"/>
          <w:color w:val="333333"/>
          <w:kern w:val="0"/>
          <w:sz w:val="31"/>
          <w:szCs w:val="31"/>
          <w:shd w:val="clear" w:color="070000" w:fill="FFFFFF"/>
        </w:rPr>
        <w:t xml:space="preserve"> </w:t>
      </w:r>
    </w:p>
    <w:p w14:paraId="6DB09A09">
      <w:pPr>
        <w:rPr>
          <w:rFonts w:ascii="宋体" w:hAnsi="宋体" w:cs="宋体"/>
          <w:color w:val="333333"/>
          <w:kern w:val="0"/>
          <w:sz w:val="31"/>
          <w:szCs w:val="31"/>
          <w:shd w:val="clear" w:color="070000" w:fill="FFFFFF"/>
        </w:rPr>
      </w:pPr>
    </w:p>
    <w:p w14:paraId="62DFB621">
      <w:pPr>
        <w:pStyle w:val="9"/>
        <w:rPr>
          <w:rFonts w:ascii="宋体" w:hAnsi="宋体" w:cs="宋体"/>
          <w:color w:val="333333"/>
          <w:kern w:val="0"/>
          <w:sz w:val="31"/>
          <w:szCs w:val="31"/>
          <w:shd w:val="clear" w:color="070000" w:fill="FFFFFF"/>
        </w:rPr>
      </w:pPr>
    </w:p>
    <w:p w14:paraId="7106C9A2">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附件2：</w:t>
      </w:r>
    </w:p>
    <w:p w14:paraId="6CD61456">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14:paraId="3E35DA2B">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14:paraId="62523F35">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20D3815E">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14:paraId="68BE9CF6">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14:paraId="24472F00">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14:paraId="57C45AE7">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2ABF745">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A53C839">
      <w:pPr>
        <w:widowControl/>
        <w:adjustRightInd w:val="0"/>
        <w:snapToGrid w:val="0"/>
        <w:spacing w:line="540" w:lineRule="exact"/>
        <w:ind w:firstLine="480" w:firstLineChars="200"/>
        <w:jc w:val="left"/>
        <w:rPr>
          <w:rFonts w:hint="eastAsia" w:ascii="宋体" w:hAnsi="宋体" w:eastAsia="宋体" w:cs="宋体"/>
          <w:kern w:val="0"/>
          <w:sz w:val="24"/>
          <w:szCs w:val="24"/>
        </w:rPr>
      </w:pPr>
    </w:p>
    <w:p w14:paraId="54F7342C">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14:paraId="55ACA422">
      <w:pPr>
        <w:adjustRightInd w:val="0"/>
        <w:snapToGrid w:val="0"/>
        <w:spacing w:line="500" w:lineRule="exact"/>
        <w:rPr>
          <w:rFonts w:hint="eastAsia" w:ascii="宋体" w:hAnsi="宋体" w:eastAsia="宋体" w:cs="宋体"/>
          <w:b/>
          <w:kern w:val="0"/>
          <w:sz w:val="24"/>
          <w:szCs w:val="24"/>
        </w:rPr>
      </w:pPr>
    </w:p>
    <w:p w14:paraId="039588F9">
      <w:pPr>
        <w:pStyle w:val="36"/>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14:paraId="7E37D5E7">
      <w:pPr>
        <w:pStyle w:val="36"/>
        <w:rPr>
          <w:rFonts w:hint="eastAsia" w:ascii="宋体" w:hAnsi="宋体" w:eastAsia="宋体" w:cs="宋体"/>
          <w:kern w:val="0"/>
          <w:sz w:val="24"/>
          <w:szCs w:val="24"/>
        </w:rPr>
      </w:pPr>
    </w:p>
    <w:p w14:paraId="4D44F75A">
      <w:pPr>
        <w:pStyle w:val="36"/>
        <w:rPr>
          <w:rFonts w:hint="eastAsia" w:ascii="宋体" w:hAnsi="宋体" w:eastAsia="宋体" w:cs="宋体"/>
          <w:kern w:val="0"/>
          <w:sz w:val="24"/>
          <w:szCs w:val="24"/>
        </w:rPr>
      </w:pPr>
    </w:p>
    <w:p w14:paraId="1D8B0EE5">
      <w:pPr>
        <w:pStyle w:val="36"/>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14:paraId="54B12B96">
      <w:pPr>
        <w:pStyle w:val="14"/>
        <w:jc w:val="center"/>
        <w:rPr>
          <w:rFonts w:hint="eastAsia" w:ascii="宋体" w:hAnsi="宋体" w:cs="宋体"/>
          <w:b/>
          <w:sz w:val="32"/>
          <w:szCs w:val="22"/>
        </w:rPr>
      </w:pPr>
    </w:p>
    <w:p w14:paraId="3D7DB09A">
      <w:pPr>
        <w:pStyle w:val="14"/>
        <w:jc w:val="center"/>
        <w:rPr>
          <w:rFonts w:hint="eastAsia" w:ascii="宋体" w:hAnsi="宋体" w:cs="宋体"/>
          <w:b/>
          <w:sz w:val="32"/>
          <w:szCs w:val="22"/>
        </w:rPr>
      </w:pPr>
    </w:p>
    <w:p w14:paraId="20B348AB">
      <w:pPr>
        <w:pStyle w:val="14"/>
        <w:jc w:val="center"/>
        <w:rPr>
          <w:rFonts w:hint="eastAsia" w:ascii="宋体" w:hAnsi="宋体" w:cs="宋体"/>
          <w:b/>
          <w:sz w:val="32"/>
          <w:szCs w:val="22"/>
        </w:rPr>
      </w:pPr>
    </w:p>
    <w:p w14:paraId="03AB3E5D">
      <w:pPr>
        <w:pStyle w:val="14"/>
        <w:jc w:val="center"/>
        <w:rPr>
          <w:rFonts w:hint="eastAsia" w:ascii="宋体" w:hAnsi="宋体" w:cs="宋体"/>
          <w:b/>
          <w:sz w:val="32"/>
          <w:szCs w:val="22"/>
        </w:rPr>
      </w:pPr>
    </w:p>
    <w:p w14:paraId="34E74E04">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3</w:t>
      </w:r>
      <w:r>
        <w:rPr>
          <w:rFonts w:hint="eastAsia" w:ascii="宋体" w:hAnsi="宋体" w:cs="宋体"/>
          <w:b w:val="0"/>
          <w:bCs/>
          <w:sz w:val="24"/>
        </w:rPr>
        <w:t>：</w:t>
      </w:r>
    </w:p>
    <w:p w14:paraId="7672C24E">
      <w:pPr>
        <w:spacing w:line="200" w:lineRule="exact"/>
        <w:rPr>
          <w:rFonts w:hint="eastAsia" w:ascii="宋体" w:hAnsi="宋体" w:cs="宋体"/>
        </w:rPr>
      </w:pPr>
    </w:p>
    <w:p w14:paraId="5BDBA7C6">
      <w:pPr>
        <w:keepNext/>
        <w:keepLines/>
        <w:widowControl w:val="0"/>
        <w:bidi w:val="0"/>
        <w:spacing w:before="260" w:beforeLines="0" w:beforeAutospacing="0" w:after="260" w:afterLines="0" w:afterAutospacing="0" w:line="360" w:lineRule="auto"/>
        <w:jc w:val="center"/>
        <w:outlineLvl w:val="2"/>
        <w:rPr>
          <w:rFonts w:ascii="Calibri" w:hAnsi="Calibri" w:eastAsia="宋体" w:cs="Times New Roman"/>
          <w:b/>
          <w:kern w:val="2"/>
          <w:sz w:val="24"/>
          <w:szCs w:val="24"/>
          <w:lang w:val="en-US" w:eastAsia="zh-CN" w:bidi="ar-SA"/>
        </w:rPr>
      </w:pPr>
      <w:r>
        <w:rPr>
          <w:rFonts w:ascii="Calibri" w:hAnsi="Calibri" w:eastAsia="宋体" w:cs="Times New Roman"/>
          <w:b/>
          <w:kern w:val="2"/>
          <w:sz w:val="24"/>
          <w:szCs w:val="24"/>
          <w:lang w:val="en-US" w:eastAsia="zh-CN" w:bidi="ar-SA"/>
        </w:rPr>
        <w:t>中小企业声明函（货物）</w:t>
      </w:r>
    </w:p>
    <w:p w14:paraId="2ECAD0A3">
      <w:pPr>
        <w:widowControl w:val="0"/>
        <w:spacing w:before="55" w:line="360" w:lineRule="auto"/>
        <w:ind w:right="415" w:firstLine="640"/>
        <w:jc w:val="both"/>
        <w:rPr>
          <w:rFonts w:hint="eastAsia" w:ascii="宋体" w:hAnsi="宋体" w:eastAsia="宋体" w:cs="宋体"/>
          <w:b w:val="0"/>
          <w:bCs/>
          <w:spacing w:val="-18"/>
          <w:kern w:val="2"/>
          <w:sz w:val="24"/>
          <w:szCs w:val="24"/>
          <w:lang w:val="zh-CN" w:eastAsia="zh-CN" w:bidi="zh-CN"/>
        </w:rPr>
      </w:pPr>
      <w:r>
        <w:rPr>
          <w:rFonts w:hint="eastAsia" w:ascii="宋体" w:hAnsi="宋体" w:eastAsia="宋体" w:cs="宋体"/>
          <w:b w:val="0"/>
          <w:bCs/>
          <w:spacing w:val="-2"/>
          <w:kern w:val="2"/>
          <w:sz w:val="24"/>
          <w:szCs w:val="24"/>
          <w:lang w:val="en-US" w:eastAsia="zh-CN" w:bidi="ar-SA"/>
        </w:rPr>
        <w:t>本公司</w:t>
      </w:r>
      <w:r>
        <w:rPr>
          <w:rFonts w:hint="eastAsia" w:ascii="宋体" w:hAnsi="宋体" w:eastAsia="宋体" w:cs="宋体"/>
          <w:b w:val="0"/>
          <w:bCs/>
          <w:kern w:val="2"/>
          <w:sz w:val="24"/>
          <w:szCs w:val="24"/>
          <w:lang w:val="en-US" w:eastAsia="zh-CN" w:bidi="ar-SA"/>
        </w:rPr>
        <w:t>（联合体</w:t>
      </w:r>
      <w:r>
        <w:rPr>
          <w:rFonts w:hint="eastAsia" w:ascii="宋体" w:hAnsi="宋体" w:eastAsia="宋体" w:cs="宋体"/>
          <w:b w:val="0"/>
          <w:bCs/>
          <w:spacing w:val="-5"/>
          <w:kern w:val="2"/>
          <w:sz w:val="24"/>
          <w:szCs w:val="24"/>
          <w:lang w:val="en-US" w:eastAsia="zh-CN" w:bidi="ar-SA"/>
        </w:rPr>
        <w:t>）</w:t>
      </w:r>
      <w:r>
        <w:rPr>
          <w:rFonts w:hint="eastAsia" w:ascii="宋体" w:hAnsi="宋体" w:eastAsia="宋体" w:cs="宋体"/>
          <w:b w:val="0"/>
          <w:bCs/>
          <w:spacing w:val="-2"/>
          <w:kern w:val="2"/>
          <w:sz w:val="24"/>
          <w:szCs w:val="24"/>
          <w:lang w:val="en-US" w:eastAsia="zh-CN" w:bidi="ar-SA"/>
        </w:rPr>
        <w:t>郑重声明，根据《政府采购促进中小</w:t>
      </w:r>
      <w:r>
        <w:rPr>
          <w:rFonts w:hint="eastAsia" w:ascii="宋体" w:hAnsi="宋体" w:eastAsia="宋体" w:cs="宋体"/>
          <w:b w:val="0"/>
          <w:bCs/>
          <w:spacing w:val="-18"/>
          <w:kern w:val="2"/>
          <w:sz w:val="24"/>
          <w:szCs w:val="24"/>
          <w:lang w:val="en-US" w:eastAsia="zh-CN" w:bidi="ar-SA"/>
        </w:rPr>
        <w:t>企业发展管理办法》</w:t>
      </w:r>
      <w:r>
        <w:rPr>
          <w:rFonts w:hint="eastAsia" w:ascii="宋体" w:hAnsi="宋体" w:eastAsia="宋体" w:cs="宋体"/>
          <w:b w:val="0"/>
          <w:bCs/>
          <w:kern w:val="2"/>
          <w:sz w:val="24"/>
          <w:szCs w:val="24"/>
          <w:lang w:val="en-US" w:eastAsia="zh-CN" w:bidi="ar-SA"/>
        </w:rPr>
        <w:t>（</w:t>
      </w:r>
      <w:r>
        <w:rPr>
          <w:rFonts w:hint="eastAsia" w:ascii="宋体" w:hAnsi="宋体" w:eastAsia="宋体" w:cs="宋体"/>
          <w:b w:val="0"/>
          <w:bCs/>
          <w:spacing w:val="5"/>
          <w:kern w:val="2"/>
          <w:sz w:val="24"/>
          <w:szCs w:val="24"/>
          <w:lang w:val="en-US" w:eastAsia="zh-CN" w:bidi="ar-SA"/>
        </w:rPr>
        <w:t>财库</w:t>
      </w:r>
      <w:r>
        <w:rPr>
          <w:rFonts w:hint="eastAsia" w:ascii="宋体" w:hAnsi="宋体" w:eastAsia="宋体" w:cs="宋体"/>
          <w:b w:val="0"/>
          <w:bCs/>
          <w:kern w:val="2"/>
          <w:sz w:val="24"/>
          <w:szCs w:val="24"/>
          <w:lang w:val="en-US" w:eastAsia="zh-CN" w:bidi="ar-SA"/>
        </w:rPr>
        <w:t>﹝2020﹞46</w:t>
      </w:r>
      <w:r>
        <w:rPr>
          <w:rFonts w:hint="eastAsia" w:ascii="宋体" w:hAnsi="宋体" w:eastAsia="宋体" w:cs="宋体"/>
          <w:b w:val="0"/>
          <w:bCs/>
          <w:spacing w:val="-38"/>
          <w:kern w:val="2"/>
          <w:sz w:val="24"/>
          <w:szCs w:val="24"/>
          <w:lang w:val="en-US" w:eastAsia="zh-CN" w:bidi="ar-SA"/>
        </w:rPr>
        <w:t xml:space="preserve"> 号</w:t>
      </w:r>
      <w:r>
        <w:rPr>
          <w:rFonts w:hint="eastAsia" w:ascii="宋体" w:hAnsi="宋体" w:eastAsia="宋体" w:cs="宋体"/>
          <w:b w:val="0"/>
          <w:bCs/>
          <w:spacing w:val="5"/>
          <w:kern w:val="2"/>
          <w:sz w:val="24"/>
          <w:szCs w:val="24"/>
          <w:lang w:val="en-US" w:eastAsia="zh-CN" w:bidi="ar-SA"/>
        </w:rPr>
        <w:t>）</w:t>
      </w:r>
      <w:r>
        <w:rPr>
          <w:rFonts w:hint="eastAsia" w:ascii="宋体" w:hAnsi="宋体" w:eastAsia="宋体" w:cs="宋体"/>
          <w:b w:val="0"/>
          <w:bCs/>
          <w:kern w:val="2"/>
          <w:sz w:val="24"/>
          <w:szCs w:val="24"/>
          <w:lang w:val="en-US" w:eastAsia="zh-CN" w:bidi="ar-SA"/>
        </w:rPr>
        <w:t>的规定，本公司</w:t>
      </w:r>
      <w:r>
        <w:rPr>
          <w:rFonts w:hint="eastAsia" w:ascii="宋体" w:hAnsi="宋体" w:eastAsia="宋体" w:cs="宋体"/>
          <w:b w:val="0"/>
          <w:bCs/>
          <w:kern w:val="2"/>
          <w:sz w:val="24"/>
          <w:szCs w:val="20"/>
          <w:lang w:val="en-US" w:eastAsia="zh-CN" w:bidi="ar-SA"/>
        </w:rPr>
        <w:t>（联合体）</w:t>
      </w:r>
      <w:r>
        <w:rPr>
          <w:rFonts w:hint="eastAsia" w:ascii="宋体" w:hAnsi="宋体" w:eastAsia="宋体" w:cs="宋体"/>
          <w:b w:val="0"/>
          <w:bCs/>
          <w:spacing w:val="-8"/>
          <w:kern w:val="2"/>
          <w:sz w:val="24"/>
          <w:szCs w:val="20"/>
          <w:lang w:val="en-US" w:eastAsia="zh-CN" w:bidi="ar-SA"/>
        </w:rPr>
        <w:t>参</w:t>
      </w:r>
      <w:r>
        <w:rPr>
          <w:rFonts w:hint="eastAsia" w:ascii="宋体" w:hAnsi="宋体" w:eastAsia="宋体" w:cs="宋体"/>
          <w:b w:val="0"/>
          <w:bCs/>
          <w:spacing w:val="-18"/>
          <w:kern w:val="2"/>
          <w:sz w:val="24"/>
          <w:szCs w:val="24"/>
          <w:lang w:val="zh-CN" w:eastAsia="zh-CN" w:bidi="zh-CN"/>
        </w:rPr>
        <w:t>加</w:t>
      </w:r>
      <w:r>
        <w:rPr>
          <w:rFonts w:hint="eastAsia" w:ascii="宋体" w:hAnsi="宋体" w:eastAsia="宋体" w:cs="宋体"/>
          <w:b w:val="0"/>
          <w:bCs/>
          <w:spacing w:val="-18"/>
          <w:kern w:val="2"/>
          <w:sz w:val="24"/>
          <w:szCs w:val="24"/>
          <w:u w:val="single"/>
          <w:lang w:val="zh-CN" w:eastAsia="zh-CN" w:bidi="zh-CN"/>
        </w:rPr>
        <w:t>（单位名称）</w:t>
      </w:r>
      <w:r>
        <w:rPr>
          <w:rFonts w:hint="eastAsia" w:ascii="宋体" w:hAnsi="宋体" w:eastAsia="宋体" w:cs="宋体"/>
          <w:b w:val="0"/>
          <w:bCs/>
          <w:spacing w:val="-18"/>
          <w:kern w:val="2"/>
          <w:sz w:val="24"/>
          <w:szCs w:val="24"/>
          <w:lang w:val="zh-CN" w:eastAsia="zh-CN" w:bidi="zh-CN"/>
        </w:rPr>
        <w:t>的</w:t>
      </w:r>
      <w:r>
        <w:rPr>
          <w:rFonts w:hint="eastAsia" w:ascii="宋体" w:hAnsi="宋体" w:eastAsia="宋体" w:cs="宋体"/>
          <w:b w:val="0"/>
          <w:bCs/>
          <w:spacing w:val="-18"/>
          <w:kern w:val="2"/>
          <w:sz w:val="24"/>
          <w:szCs w:val="24"/>
          <w:u w:val="single"/>
          <w:lang w:val="zh-CN" w:eastAsia="zh-CN" w:bidi="zh-CN"/>
        </w:rPr>
        <w:t>（项目名称）</w:t>
      </w:r>
      <w:r>
        <w:rPr>
          <w:rFonts w:hint="eastAsia" w:ascii="宋体" w:hAnsi="宋体" w:eastAsia="宋体" w:cs="宋体"/>
          <w:b w:val="0"/>
          <w:bCs/>
          <w:spacing w:val="-18"/>
          <w:kern w:val="2"/>
          <w:sz w:val="24"/>
          <w:szCs w:val="24"/>
          <w:lang w:val="zh-CN" w:eastAsia="zh-CN" w:bidi="zh-CN"/>
        </w:rPr>
        <w:t>采购活动，提供的货物全部由符合政策要求的中小企业制造。相关企业（含联合体中的中小企业、签订分包意向协议的中小企业） 的具体情况如下：</w:t>
      </w:r>
    </w:p>
    <w:p w14:paraId="473C138B">
      <w:pPr>
        <w:widowControl w:val="0"/>
        <w:numPr>
          <w:ilvl w:val="0"/>
          <w:numId w:val="9"/>
        </w:numPr>
        <w:tabs>
          <w:tab w:val="left" w:pos="1183"/>
          <w:tab w:val="left" w:pos="1484"/>
          <w:tab w:val="left" w:pos="4662"/>
          <w:tab w:val="left" w:pos="6903"/>
        </w:tabs>
        <w:spacing w:before="0" w:after="0" w:line="360" w:lineRule="auto"/>
        <w:ind w:left="205" w:right="169" w:firstLine="655"/>
        <w:jc w:val="left"/>
        <w:rPr>
          <w:rFonts w:hint="eastAsia" w:ascii="宋体" w:hAnsi="宋体" w:eastAsia="宋体" w:cs="宋体"/>
          <w:spacing w:val="-18"/>
          <w:kern w:val="2"/>
          <w:sz w:val="24"/>
          <w:szCs w:val="24"/>
          <w:u w:val="single" w:color="000000"/>
          <w:lang w:val="zh-CN" w:eastAsia="zh-CN" w:bidi="zh-CN"/>
        </w:rPr>
      </w:pPr>
      <w:r>
        <w:rPr>
          <w:rFonts w:hint="eastAsia" w:ascii="宋体" w:hAnsi="宋体" w:eastAsia="宋体" w:cs="宋体"/>
          <w:spacing w:val="-18"/>
          <w:kern w:val="2"/>
          <w:sz w:val="24"/>
          <w:szCs w:val="24"/>
          <w:u w:val="single" w:color="000000"/>
          <w:lang w:val="zh-CN" w:eastAsia="zh-CN" w:bidi="zh-CN"/>
        </w:rPr>
        <w:t xml:space="preserve"> （ 标 的 名 称 ）</w:t>
      </w:r>
      <w:r>
        <w:rPr>
          <w:rFonts w:hint="eastAsia" w:ascii="宋体" w:hAnsi="宋体" w:eastAsia="宋体" w:cs="宋体"/>
          <w:spacing w:val="-18"/>
          <w:kern w:val="2"/>
          <w:sz w:val="24"/>
          <w:szCs w:val="24"/>
          <w:u w:val="none" w:color="auto"/>
          <w:lang w:val="zh-CN" w:eastAsia="zh-CN" w:bidi="zh-CN"/>
        </w:rPr>
        <w:t xml:space="preserve"> ， 属 于 </w:t>
      </w:r>
      <w:r>
        <w:rPr>
          <w:rFonts w:hint="eastAsia" w:ascii="宋体" w:hAnsi="宋体" w:eastAsia="宋体" w:cs="宋体"/>
          <w:spacing w:val="-18"/>
          <w:kern w:val="2"/>
          <w:sz w:val="24"/>
          <w:szCs w:val="24"/>
          <w:u w:val="single" w:color="000000"/>
          <w:lang w:val="zh-CN" w:eastAsia="zh-CN" w:bidi="zh-CN"/>
        </w:rPr>
        <w:t xml:space="preserve">（ 采 购 文 件 中 明 确 的 所 属 行 业 ） </w:t>
      </w:r>
      <w:r>
        <w:rPr>
          <w:rFonts w:hint="eastAsia" w:ascii="宋体" w:hAnsi="宋体" w:eastAsia="宋体" w:cs="宋体"/>
          <w:spacing w:val="-18"/>
          <w:kern w:val="2"/>
          <w:sz w:val="24"/>
          <w:szCs w:val="24"/>
          <w:u w:val="none" w:color="auto"/>
          <w:lang w:val="zh-CN" w:eastAsia="zh-CN" w:bidi="zh-CN"/>
        </w:rPr>
        <w:t>行业；制造商为</w:t>
      </w:r>
      <w:r>
        <w:rPr>
          <w:rFonts w:hint="eastAsia" w:ascii="宋体" w:hAnsi="宋体" w:eastAsia="宋体" w:cs="宋体"/>
          <w:spacing w:val="-18"/>
          <w:kern w:val="2"/>
          <w:sz w:val="24"/>
          <w:szCs w:val="24"/>
          <w:u w:val="single" w:color="000000"/>
          <w:lang w:val="zh-CN" w:eastAsia="zh-CN" w:bidi="zh-CN"/>
        </w:rPr>
        <w:t>（企业名称）</w:t>
      </w:r>
      <w:r>
        <w:rPr>
          <w:rFonts w:hint="eastAsia" w:ascii="宋体" w:hAnsi="宋体" w:eastAsia="宋体" w:cs="宋体"/>
          <w:spacing w:val="-18"/>
          <w:kern w:val="2"/>
          <w:sz w:val="24"/>
          <w:szCs w:val="24"/>
          <w:u w:val="none" w:color="auto"/>
          <w:lang w:val="zh-CN" w:eastAsia="zh-CN" w:bidi="zh-CN"/>
        </w:rPr>
        <w:t>，从业人员</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人，营业收入为</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万元，资产总额为</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万元，属于</w:t>
      </w:r>
      <w:r>
        <w:rPr>
          <w:rFonts w:hint="eastAsia" w:ascii="宋体" w:hAnsi="宋体" w:eastAsia="宋体" w:cs="宋体"/>
          <w:spacing w:val="-18"/>
          <w:kern w:val="2"/>
          <w:sz w:val="24"/>
          <w:szCs w:val="24"/>
          <w:u w:val="single" w:color="auto"/>
          <w:lang w:val="zh-CN" w:eastAsia="zh-CN" w:bidi="zh-CN"/>
        </w:rPr>
        <w:t>（中型企业、小型企业、微型企业）；</w:t>
      </w:r>
    </w:p>
    <w:p w14:paraId="5BFCF344">
      <w:pPr>
        <w:widowControl w:val="0"/>
        <w:numPr>
          <w:ilvl w:val="0"/>
          <w:numId w:val="9"/>
        </w:numPr>
        <w:tabs>
          <w:tab w:val="left" w:pos="1165"/>
          <w:tab w:val="left" w:pos="1183"/>
          <w:tab w:val="left" w:pos="4362"/>
          <w:tab w:val="left" w:pos="6577"/>
        </w:tabs>
        <w:spacing w:before="0" w:after="0" w:line="360" w:lineRule="auto"/>
        <w:ind w:left="205" w:right="169" w:firstLine="655"/>
        <w:jc w:val="left"/>
        <w:rPr>
          <w:rFonts w:hint="eastAsia" w:ascii="宋体" w:hAnsi="宋体" w:eastAsia="宋体" w:cs="宋体"/>
          <w:spacing w:val="-18"/>
          <w:kern w:val="2"/>
          <w:sz w:val="24"/>
          <w:szCs w:val="24"/>
          <w:u w:val="single" w:color="000000"/>
          <w:lang w:val="zh-CN" w:eastAsia="zh-CN" w:bidi="zh-CN"/>
        </w:rPr>
      </w:pPr>
      <w:r>
        <w:rPr>
          <w:rFonts w:hint="eastAsia" w:ascii="宋体" w:hAnsi="宋体" w:eastAsia="宋体" w:cs="宋体"/>
          <w:spacing w:val="-18"/>
          <w:kern w:val="2"/>
          <w:sz w:val="24"/>
          <w:szCs w:val="24"/>
          <w:u w:val="single" w:color="000000"/>
          <w:lang w:val="zh-CN" w:eastAsia="zh-CN" w:bidi="zh-CN"/>
        </w:rPr>
        <w:t xml:space="preserve"> （ 标 的 名 称 ）</w:t>
      </w:r>
      <w:r>
        <w:rPr>
          <w:rFonts w:hint="eastAsia" w:ascii="宋体" w:hAnsi="宋体" w:eastAsia="宋体" w:cs="宋体"/>
          <w:spacing w:val="-18"/>
          <w:kern w:val="2"/>
          <w:sz w:val="24"/>
          <w:szCs w:val="24"/>
          <w:u w:val="none" w:color="auto"/>
          <w:lang w:val="zh-CN" w:eastAsia="zh-CN" w:bidi="zh-CN"/>
        </w:rPr>
        <w:t xml:space="preserve"> ， 属 于</w:t>
      </w:r>
      <w:r>
        <w:rPr>
          <w:rFonts w:hint="eastAsia" w:ascii="宋体" w:hAnsi="宋体" w:eastAsia="宋体" w:cs="宋体"/>
          <w:spacing w:val="-18"/>
          <w:kern w:val="2"/>
          <w:sz w:val="24"/>
          <w:szCs w:val="24"/>
          <w:u w:val="single" w:color="000000"/>
          <w:lang w:val="zh-CN" w:eastAsia="zh-CN" w:bidi="zh-CN"/>
        </w:rPr>
        <w:t xml:space="preserve"> （ 采 购 文 件 中 明 确 的 所 属 行 业 ）</w:t>
      </w:r>
      <w:r>
        <w:rPr>
          <w:rFonts w:hint="eastAsia" w:ascii="宋体" w:hAnsi="宋体" w:eastAsia="宋体" w:cs="宋体"/>
          <w:spacing w:val="-18"/>
          <w:kern w:val="2"/>
          <w:sz w:val="24"/>
          <w:szCs w:val="24"/>
          <w:u w:val="none" w:color="auto"/>
          <w:lang w:val="zh-CN" w:eastAsia="zh-CN" w:bidi="zh-CN"/>
        </w:rPr>
        <w:t xml:space="preserve"> 行业；制造商为</w:t>
      </w:r>
      <w:r>
        <w:rPr>
          <w:rFonts w:hint="eastAsia" w:ascii="宋体" w:hAnsi="宋体" w:eastAsia="宋体" w:cs="宋体"/>
          <w:spacing w:val="-18"/>
          <w:kern w:val="2"/>
          <w:sz w:val="24"/>
          <w:szCs w:val="24"/>
          <w:u w:val="single" w:color="000000"/>
          <w:lang w:val="zh-CN" w:eastAsia="zh-CN" w:bidi="zh-CN"/>
        </w:rPr>
        <w:t>（企业名称）</w:t>
      </w:r>
      <w:r>
        <w:rPr>
          <w:rFonts w:hint="eastAsia" w:ascii="宋体" w:hAnsi="宋体" w:eastAsia="宋体" w:cs="宋体"/>
          <w:spacing w:val="-18"/>
          <w:kern w:val="2"/>
          <w:sz w:val="24"/>
          <w:szCs w:val="24"/>
          <w:u w:val="none" w:color="auto"/>
          <w:lang w:val="zh-CN" w:eastAsia="zh-CN" w:bidi="zh-CN"/>
        </w:rPr>
        <w:t>，从业人员</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人，营业收入为</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 xml:space="preserve">万元，资产总额为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万元，属于</w:t>
      </w:r>
      <w:r>
        <w:rPr>
          <w:rFonts w:hint="eastAsia" w:ascii="宋体" w:hAnsi="宋体" w:eastAsia="宋体" w:cs="宋体"/>
          <w:spacing w:val="-18"/>
          <w:kern w:val="2"/>
          <w:sz w:val="24"/>
          <w:szCs w:val="24"/>
          <w:u w:val="single" w:color="000000"/>
          <w:lang w:val="zh-CN" w:eastAsia="zh-CN" w:bidi="zh-CN"/>
        </w:rPr>
        <w:t>（中型企业、小型企业、微型企业）；</w:t>
      </w:r>
    </w:p>
    <w:p w14:paraId="02361821">
      <w:pPr>
        <w:widowControl w:val="0"/>
        <w:spacing w:line="360" w:lineRule="auto"/>
        <w:ind w:left="860"/>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w:t>
      </w:r>
    </w:p>
    <w:p w14:paraId="32C236D8">
      <w:pPr>
        <w:widowControl w:val="0"/>
        <w:spacing w:before="105" w:line="360" w:lineRule="auto"/>
        <w:ind w:right="417" w:firstLine="645"/>
        <w:jc w:val="both"/>
        <w:rPr>
          <w:rFonts w:hint="eastAsia" w:ascii="宋体" w:hAnsi="宋体" w:eastAsia="宋体" w:cs="宋体"/>
          <w:b w:val="0"/>
          <w:bCs/>
          <w:kern w:val="2"/>
          <w:sz w:val="24"/>
          <w:szCs w:val="24"/>
          <w:lang w:val="en-US" w:eastAsia="zh-CN" w:bidi="ar-SA"/>
        </w:rPr>
      </w:pPr>
      <w:r>
        <w:rPr>
          <w:rFonts w:hint="eastAsia" w:ascii="宋体" w:hAnsi="宋体" w:eastAsia="宋体" w:cs="宋体"/>
          <w:b w:val="0"/>
          <w:bCs/>
          <w:spacing w:val="-3"/>
          <w:kern w:val="2"/>
          <w:sz w:val="24"/>
          <w:szCs w:val="24"/>
          <w:lang w:val="en-US" w:eastAsia="zh-CN" w:bidi="ar-SA"/>
        </w:rPr>
        <w:t>以上企业，不属于大企业的分支机构，不存在控股股东</w:t>
      </w:r>
      <w:r>
        <w:rPr>
          <w:rFonts w:hint="eastAsia" w:ascii="宋体" w:hAnsi="宋体" w:eastAsia="宋体" w:cs="宋体"/>
          <w:b w:val="0"/>
          <w:bCs/>
          <w:spacing w:val="-5"/>
          <w:kern w:val="2"/>
          <w:sz w:val="24"/>
          <w:szCs w:val="24"/>
          <w:lang w:val="en-US" w:eastAsia="zh-CN" w:bidi="ar-SA"/>
        </w:rPr>
        <w:t>为大企业的情形，也不存在与大企业的负责人为同一人的情形。</w:t>
      </w:r>
    </w:p>
    <w:p w14:paraId="210BC8D9">
      <w:pPr>
        <w:widowControl w:val="0"/>
        <w:spacing w:line="360" w:lineRule="auto"/>
        <w:ind w:right="372" w:firstLine="645"/>
        <w:jc w:val="both"/>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本企业对上述声明内容的真实性负责。如有虚假，将依法承担相应责任。</w:t>
      </w:r>
    </w:p>
    <w:p w14:paraId="431C11FB">
      <w:pPr>
        <w:widowControl w:val="0"/>
        <w:spacing w:before="35" w:line="360" w:lineRule="auto"/>
        <w:ind w:left="4060" w:right="2166"/>
        <w:jc w:val="both"/>
        <w:rPr>
          <w:rFonts w:hint="eastAsia" w:ascii="宋体" w:hAnsi="宋体" w:eastAsia="宋体" w:cs="宋体"/>
          <w:b w:val="0"/>
          <w:bCs/>
          <w:spacing w:val="24"/>
          <w:kern w:val="2"/>
          <w:sz w:val="24"/>
          <w:szCs w:val="24"/>
          <w:lang w:val="en-US" w:eastAsia="zh-CN" w:bidi="ar-SA"/>
        </w:rPr>
      </w:pPr>
      <w:r>
        <w:rPr>
          <w:rFonts w:hint="eastAsia" w:ascii="宋体" w:hAnsi="宋体" w:eastAsia="宋体" w:cs="宋体"/>
          <w:b w:val="0"/>
          <w:bCs/>
          <w:spacing w:val="24"/>
          <w:kern w:val="2"/>
          <w:sz w:val="24"/>
          <w:szCs w:val="24"/>
          <w:lang w:val="en-US" w:eastAsia="zh-CN" w:bidi="ar-SA"/>
        </w:rPr>
        <w:t>企业名称（盖章）：</w:t>
      </w:r>
    </w:p>
    <w:p w14:paraId="15EF0191">
      <w:pPr>
        <w:widowControl w:val="0"/>
        <w:spacing w:before="35" w:line="360" w:lineRule="auto"/>
        <w:ind w:left="4060" w:right="2166"/>
        <w:jc w:val="both"/>
        <w:rPr>
          <w:rFonts w:hint="eastAsia" w:ascii="宋体" w:hAnsi="宋体" w:eastAsia="宋体" w:cs="宋体"/>
          <w:b w:val="0"/>
          <w:bCs/>
          <w:kern w:val="2"/>
          <w:sz w:val="24"/>
          <w:szCs w:val="24"/>
          <w:lang w:val="en-US" w:eastAsia="zh-CN" w:bidi="ar-SA"/>
        </w:rPr>
      </w:pPr>
      <w:r>
        <w:rPr>
          <w:rFonts w:hint="eastAsia" w:ascii="宋体" w:hAnsi="宋体" w:eastAsia="宋体" w:cs="宋体"/>
          <w:b w:val="0"/>
          <w:bCs/>
          <w:spacing w:val="24"/>
          <w:kern w:val="2"/>
          <w:sz w:val="24"/>
          <w:szCs w:val="24"/>
          <w:lang w:val="en-US" w:eastAsia="zh-CN" w:bidi="ar-SA"/>
        </w:rPr>
        <w:t>日期：</w:t>
      </w:r>
    </w:p>
    <w:p w14:paraId="3B3BA3C9">
      <w:pPr>
        <w:pStyle w:val="14"/>
        <w:jc w:val="center"/>
        <w:rPr>
          <w:rFonts w:hint="eastAsia" w:ascii="宋体" w:hAnsi="宋体" w:cs="宋体"/>
          <w:b/>
          <w:sz w:val="32"/>
          <w:szCs w:val="22"/>
        </w:rPr>
      </w:pPr>
    </w:p>
    <w:p w14:paraId="305EB83C">
      <w:pPr>
        <w:pStyle w:val="14"/>
        <w:jc w:val="center"/>
        <w:rPr>
          <w:rFonts w:hint="eastAsia" w:ascii="宋体" w:hAnsi="宋体" w:cs="宋体"/>
          <w:b/>
          <w:sz w:val="32"/>
          <w:szCs w:val="22"/>
        </w:rPr>
      </w:pPr>
    </w:p>
    <w:p w14:paraId="203D841C">
      <w:pPr>
        <w:pStyle w:val="14"/>
        <w:jc w:val="center"/>
        <w:rPr>
          <w:rFonts w:hint="eastAsia" w:ascii="宋体" w:hAnsi="宋体" w:cs="宋体"/>
          <w:b/>
          <w:sz w:val="32"/>
          <w:szCs w:val="22"/>
        </w:rPr>
      </w:pPr>
    </w:p>
    <w:p w14:paraId="72258812">
      <w:pPr>
        <w:pStyle w:val="14"/>
        <w:jc w:val="center"/>
        <w:rPr>
          <w:rFonts w:hint="eastAsia" w:ascii="宋体" w:hAnsi="宋体" w:cs="宋体"/>
          <w:b/>
          <w:sz w:val="32"/>
          <w:szCs w:val="22"/>
        </w:rPr>
      </w:pPr>
    </w:p>
    <w:p w14:paraId="44F09152">
      <w:pPr>
        <w:pStyle w:val="14"/>
        <w:jc w:val="center"/>
        <w:rPr>
          <w:rFonts w:hint="eastAsia" w:ascii="宋体" w:hAnsi="宋体" w:cs="宋体"/>
          <w:b/>
          <w:sz w:val="32"/>
          <w:szCs w:val="22"/>
        </w:rPr>
      </w:pPr>
    </w:p>
    <w:p w14:paraId="5C6249D7">
      <w:pPr>
        <w:pStyle w:val="14"/>
        <w:jc w:val="center"/>
        <w:rPr>
          <w:rFonts w:hint="eastAsia" w:ascii="宋体" w:hAnsi="宋体" w:cs="宋体"/>
          <w:b/>
          <w:sz w:val="32"/>
          <w:szCs w:val="22"/>
        </w:rPr>
      </w:pPr>
    </w:p>
    <w:p w14:paraId="556977E5">
      <w:pPr>
        <w:pStyle w:val="14"/>
        <w:jc w:val="center"/>
        <w:rPr>
          <w:rFonts w:hint="eastAsia" w:ascii="宋体" w:hAnsi="宋体" w:cs="宋体"/>
          <w:b/>
          <w:sz w:val="32"/>
          <w:szCs w:val="22"/>
        </w:rPr>
      </w:pPr>
    </w:p>
    <w:p w14:paraId="2ED42451">
      <w:pPr>
        <w:pStyle w:val="14"/>
        <w:jc w:val="center"/>
        <w:rPr>
          <w:rFonts w:hint="eastAsia" w:ascii="宋体" w:hAnsi="宋体" w:cs="宋体"/>
          <w:b/>
          <w:sz w:val="32"/>
          <w:szCs w:val="22"/>
        </w:rPr>
      </w:pPr>
    </w:p>
    <w:p w14:paraId="3EB0F1B4">
      <w:pPr>
        <w:pStyle w:val="14"/>
        <w:jc w:val="center"/>
        <w:rPr>
          <w:rFonts w:hint="eastAsia" w:ascii="宋体" w:hAnsi="宋体" w:cs="宋体"/>
          <w:b/>
          <w:sz w:val="32"/>
          <w:szCs w:val="22"/>
        </w:rPr>
      </w:pPr>
    </w:p>
    <w:p w14:paraId="7594B67A">
      <w:pPr>
        <w:pStyle w:val="14"/>
        <w:jc w:val="center"/>
        <w:rPr>
          <w:rFonts w:hint="eastAsia" w:ascii="宋体" w:hAnsi="宋体" w:cs="宋体"/>
          <w:b/>
          <w:sz w:val="32"/>
          <w:szCs w:val="22"/>
        </w:rPr>
      </w:pPr>
    </w:p>
    <w:p w14:paraId="0EC52477">
      <w:pPr>
        <w:pStyle w:val="14"/>
        <w:jc w:val="center"/>
        <w:rPr>
          <w:rFonts w:hint="eastAsia" w:ascii="宋体" w:hAnsi="宋体" w:cs="宋体"/>
          <w:bCs/>
          <w:sz w:val="32"/>
          <w:szCs w:val="32"/>
          <w:lang w:val="en-US" w:eastAsia="zh-CN"/>
        </w:rPr>
      </w:pPr>
      <w:r>
        <w:rPr>
          <w:rFonts w:hint="eastAsia" w:ascii="宋体" w:hAnsi="宋体" w:cs="宋体"/>
          <w:b/>
          <w:sz w:val="32"/>
          <w:szCs w:val="22"/>
        </w:rPr>
        <w:t>四、响应方案</w:t>
      </w:r>
    </w:p>
    <w:p w14:paraId="3CA9967E">
      <w:pPr>
        <w:pStyle w:val="36"/>
      </w:pPr>
    </w:p>
    <w:p w14:paraId="46B645A5">
      <w:pPr>
        <w:adjustRightInd w:val="0"/>
        <w:spacing w:line="360" w:lineRule="auto"/>
        <w:ind w:firstLine="480" w:firstLineChars="200"/>
        <w:textAlignment w:val="baseline"/>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val="en-US"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提供详细的供货方案及服务方案与措施</w:t>
      </w:r>
      <w:r>
        <w:rPr>
          <w:rFonts w:hint="eastAsia" w:ascii="宋体" w:hAnsi="宋体"/>
          <w:color w:val="auto"/>
          <w:sz w:val="24"/>
        </w:rPr>
        <w:t>。包含但不限于以下内容：</w:t>
      </w:r>
    </w:p>
    <w:p w14:paraId="1F75DADA">
      <w:pPr>
        <w:spacing w:line="360" w:lineRule="auto"/>
        <w:ind w:firstLine="480" w:firstLineChars="200"/>
        <w:rPr>
          <w:rFonts w:hint="eastAsia" w:ascii="宋体" w:hAnsi="宋体" w:eastAsia="宋体" w:cs="宋体"/>
          <w:color w:val="FF0000"/>
          <w:sz w:val="24"/>
          <w:szCs w:val="24"/>
          <w:lang w:eastAsia="zh-CN"/>
        </w:rPr>
      </w:pPr>
      <w:r>
        <w:rPr>
          <w:rFonts w:hint="eastAsia" w:ascii="宋体" w:hAnsi="宋体" w:cs="宋体"/>
          <w:color w:val="auto"/>
          <w:sz w:val="24"/>
          <w:szCs w:val="24"/>
        </w:rPr>
        <w:t>一、标的物选型及技术指标说明</w:t>
      </w:r>
      <w:r>
        <w:rPr>
          <w:rFonts w:hint="eastAsia" w:ascii="宋体" w:hAnsi="宋体" w:cs="宋体"/>
          <w:color w:val="auto"/>
          <w:sz w:val="24"/>
          <w:szCs w:val="24"/>
          <w:lang w:eastAsia="zh-CN"/>
        </w:rPr>
        <w:t>；</w:t>
      </w:r>
    </w:p>
    <w:p w14:paraId="7FF76D5C">
      <w:pPr>
        <w:spacing w:line="360" w:lineRule="auto"/>
        <w:ind w:firstLine="523" w:firstLineChars="218"/>
        <w:rPr>
          <w:rFonts w:hint="eastAsia" w:ascii="宋体" w:hAnsi="宋体" w:cs="宋体"/>
          <w:color w:val="auto"/>
          <w:sz w:val="24"/>
          <w:szCs w:val="24"/>
          <w:lang w:eastAsia="zh-CN"/>
        </w:rPr>
      </w:pPr>
      <w:r>
        <w:rPr>
          <w:rFonts w:hint="eastAsia" w:ascii="宋体" w:hAnsi="宋体" w:cs="宋体"/>
          <w:color w:val="auto"/>
          <w:sz w:val="24"/>
          <w:szCs w:val="24"/>
          <w:lang w:eastAsia="zh-CN"/>
        </w:rPr>
        <w:t>二、</w:t>
      </w:r>
      <w:r>
        <w:rPr>
          <w:rFonts w:hint="eastAsia" w:ascii="宋体" w:hAnsi="宋体" w:cs="宋体"/>
          <w:color w:val="auto"/>
          <w:sz w:val="24"/>
          <w:szCs w:val="24"/>
          <w:lang w:val="en-US" w:eastAsia="zh-CN"/>
        </w:rPr>
        <w:t>所投产品来源渠道合法的</w:t>
      </w:r>
      <w:r>
        <w:rPr>
          <w:rFonts w:hint="eastAsia" w:ascii="宋体" w:hAnsi="宋体" w:cs="宋体"/>
          <w:color w:val="auto"/>
          <w:sz w:val="24"/>
          <w:szCs w:val="24"/>
          <w:lang w:eastAsia="zh-CN"/>
        </w:rPr>
        <w:t>书面证明材料。（</w:t>
      </w:r>
      <w:r>
        <w:rPr>
          <w:rFonts w:hint="eastAsia" w:ascii="宋体" w:hAnsi="宋体" w:cs="宋体"/>
          <w:color w:val="auto"/>
          <w:sz w:val="24"/>
          <w:szCs w:val="24"/>
          <w:lang w:val="en-US" w:eastAsia="zh-CN"/>
        </w:rPr>
        <w:t>包括但不限于以下内容</w:t>
      </w:r>
      <w:r>
        <w:rPr>
          <w:rFonts w:hint="eastAsia" w:ascii="宋体" w:hAnsi="宋体" w:cs="宋体"/>
          <w:color w:val="auto"/>
          <w:sz w:val="24"/>
          <w:szCs w:val="24"/>
          <w:lang w:eastAsia="zh-CN"/>
        </w:rPr>
        <w:t>）</w:t>
      </w:r>
    </w:p>
    <w:p w14:paraId="070B22AB">
      <w:pPr>
        <w:spacing w:line="360" w:lineRule="auto"/>
        <w:ind w:firstLine="880" w:firstLineChars="400"/>
        <w:jc w:val="left"/>
        <w:rPr>
          <w:rFonts w:hint="eastAsia" w:ascii="宋体" w:hAnsi="宋体" w:cs="宋体"/>
          <w:color w:val="auto"/>
          <w:kern w:val="0"/>
          <w:sz w:val="22"/>
          <w:lang w:val="en-US" w:eastAsia="zh-CN"/>
        </w:rPr>
      </w:pPr>
      <w:r>
        <w:rPr>
          <w:rFonts w:hint="eastAsia" w:ascii="宋体" w:hAnsi="宋体" w:cs="宋体"/>
          <w:color w:val="auto"/>
          <w:kern w:val="0"/>
          <w:sz w:val="22"/>
          <w:lang w:val="en-US" w:eastAsia="zh-CN"/>
        </w:rPr>
        <w:t>（1）提供产品来源渠道合法的证明文件及厂家售后服务承诺函；</w:t>
      </w:r>
    </w:p>
    <w:p w14:paraId="3D179277">
      <w:pPr>
        <w:spacing w:line="360" w:lineRule="auto"/>
        <w:ind w:firstLine="880" w:firstLineChars="400"/>
        <w:jc w:val="left"/>
        <w:rPr>
          <w:rFonts w:hint="eastAsia" w:ascii="宋体" w:hAnsi="宋体" w:eastAsia="宋体" w:cs="宋体"/>
          <w:color w:val="auto"/>
          <w:kern w:val="0"/>
          <w:sz w:val="22"/>
          <w:lang w:eastAsia="zh-CN"/>
        </w:rPr>
      </w:pPr>
      <w:r>
        <w:rPr>
          <w:rFonts w:hint="eastAsia" w:ascii="宋体" w:hAnsi="宋体" w:cs="宋体"/>
          <w:color w:val="auto"/>
          <w:kern w:val="0"/>
          <w:sz w:val="22"/>
          <w:lang w:val="en-US" w:eastAsia="zh-CN"/>
        </w:rPr>
        <w:t>（2）需</w:t>
      </w:r>
      <w:r>
        <w:rPr>
          <w:rFonts w:hint="eastAsia" w:ascii="宋体" w:hAnsi="宋体" w:eastAsia="宋体" w:cs="宋体"/>
          <w:color w:val="auto"/>
          <w:kern w:val="0"/>
          <w:sz w:val="22"/>
        </w:rPr>
        <w:t>具备软件著作权证书</w:t>
      </w:r>
      <w:r>
        <w:rPr>
          <w:rFonts w:hint="eastAsia" w:ascii="宋体" w:hAnsi="宋体" w:eastAsia="宋体" w:cs="宋体"/>
          <w:color w:val="auto"/>
          <w:kern w:val="0"/>
          <w:sz w:val="22"/>
          <w:lang w:eastAsia="zh-CN"/>
        </w:rPr>
        <w:t>；</w:t>
      </w:r>
    </w:p>
    <w:p w14:paraId="16994E67">
      <w:pPr>
        <w:spacing w:line="360" w:lineRule="auto"/>
        <w:ind w:firstLine="880" w:firstLineChars="400"/>
        <w:jc w:val="left"/>
        <w:rPr>
          <w:rFonts w:hint="eastAsia" w:ascii="宋体" w:hAnsi="宋体" w:eastAsia="宋体" w:cs="宋体"/>
          <w:color w:val="auto"/>
          <w:kern w:val="0"/>
          <w:sz w:val="22"/>
          <w:lang w:eastAsia="zh-CN"/>
        </w:rPr>
      </w:pPr>
      <w:r>
        <w:rPr>
          <w:rFonts w:hint="eastAsia" w:ascii="宋体" w:hAnsi="宋体" w:cs="宋体"/>
          <w:color w:val="auto"/>
          <w:kern w:val="0"/>
          <w:sz w:val="22"/>
          <w:lang w:val="en-US" w:eastAsia="zh-CN"/>
        </w:rPr>
        <w:t>（3）需</w:t>
      </w:r>
      <w:r>
        <w:rPr>
          <w:rFonts w:hint="eastAsia" w:ascii="宋体" w:hAnsi="宋体" w:eastAsia="宋体" w:cs="宋体"/>
          <w:color w:val="auto"/>
          <w:kern w:val="0"/>
          <w:sz w:val="22"/>
        </w:rPr>
        <w:t>具备省级以上软件测评机构所出具的软件产品登记测试报告</w:t>
      </w:r>
      <w:r>
        <w:rPr>
          <w:rFonts w:hint="eastAsia" w:ascii="宋体" w:hAnsi="宋体" w:eastAsia="宋体" w:cs="宋体"/>
          <w:color w:val="auto"/>
          <w:kern w:val="0"/>
          <w:sz w:val="22"/>
          <w:lang w:eastAsia="zh-CN"/>
        </w:rPr>
        <w:t>；</w:t>
      </w:r>
    </w:p>
    <w:p w14:paraId="0AC26B85">
      <w:pPr>
        <w:spacing w:line="360" w:lineRule="auto"/>
        <w:ind w:firstLine="880" w:firstLineChars="400"/>
        <w:jc w:val="left"/>
        <w:rPr>
          <w:rFonts w:hint="eastAsia" w:ascii="宋体" w:hAnsi="宋体" w:eastAsia="宋体" w:cs="宋体"/>
          <w:color w:val="auto"/>
          <w:kern w:val="0"/>
          <w:sz w:val="22"/>
          <w:lang w:eastAsia="zh-CN"/>
        </w:rPr>
      </w:pPr>
      <w:r>
        <w:rPr>
          <w:rFonts w:hint="eastAsia" w:ascii="宋体" w:hAnsi="宋体" w:cs="宋体"/>
          <w:color w:val="auto"/>
          <w:kern w:val="0"/>
          <w:sz w:val="22"/>
          <w:lang w:val="en-US" w:eastAsia="zh-CN"/>
        </w:rPr>
        <w:t>（4）</w:t>
      </w:r>
      <w:r>
        <w:rPr>
          <w:rFonts w:hint="eastAsia" w:ascii="宋体" w:hAnsi="宋体" w:eastAsia="宋体" w:cs="宋体"/>
          <w:color w:val="auto"/>
          <w:kern w:val="0"/>
          <w:sz w:val="22"/>
        </w:rPr>
        <w:t>需具备 IS0:9001认证资质</w:t>
      </w:r>
      <w:r>
        <w:rPr>
          <w:rFonts w:hint="eastAsia" w:ascii="宋体" w:hAnsi="宋体" w:eastAsia="宋体" w:cs="宋体"/>
          <w:color w:val="auto"/>
          <w:kern w:val="0"/>
          <w:sz w:val="22"/>
          <w:lang w:eastAsia="zh-CN"/>
        </w:rPr>
        <w:t>；</w:t>
      </w:r>
    </w:p>
    <w:p w14:paraId="222FEB78">
      <w:pPr>
        <w:spacing w:line="360" w:lineRule="auto"/>
        <w:ind w:firstLine="880" w:firstLineChars="400"/>
        <w:rPr>
          <w:rFonts w:hint="eastAsia" w:ascii="宋体" w:hAnsi="宋体" w:eastAsia="宋体" w:cs="宋体"/>
          <w:color w:val="auto"/>
          <w:sz w:val="24"/>
          <w:szCs w:val="24"/>
          <w:lang w:eastAsia="zh-CN"/>
        </w:rPr>
      </w:pPr>
      <w:r>
        <w:rPr>
          <w:rFonts w:hint="eastAsia" w:ascii="宋体" w:hAnsi="宋体" w:cs="宋体"/>
          <w:color w:val="auto"/>
          <w:kern w:val="0"/>
          <w:sz w:val="22"/>
          <w:lang w:val="en-US" w:eastAsia="zh-CN"/>
        </w:rPr>
        <w:t>（5）</w:t>
      </w:r>
      <w:r>
        <w:rPr>
          <w:rFonts w:hint="eastAsia" w:ascii="宋体" w:hAnsi="宋体" w:eastAsia="宋体" w:cs="宋体"/>
          <w:color w:val="auto"/>
          <w:kern w:val="0"/>
          <w:sz w:val="22"/>
        </w:rPr>
        <w:t>需具备信息安全服务资质三级及以上认证证书</w:t>
      </w:r>
      <w:r>
        <w:rPr>
          <w:rFonts w:hint="eastAsia" w:ascii="宋体" w:hAnsi="宋体" w:eastAsia="宋体" w:cs="宋体"/>
          <w:color w:val="auto"/>
          <w:kern w:val="0"/>
          <w:sz w:val="22"/>
          <w:lang w:eastAsia="zh-CN"/>
        </w:rPr>
        <w:t>；</w:t>
      </w:r>
    </w:p>
    <w:p w14:paraId="4CDB01A0">
      <w:pPr>
        <w:spacing w:line="360" w:lineRule="auto"/>
        <w:ind w:firstLine="523" w:firstLineChars="218"/>
        <w:rPr>
          <w:rFonts w:hint="eastAsia" w:ascii="宋体" w:hAnsi="宋体" w:cs="宋体"/>
          <w:color w:val="auto"/>
          <w:sz w:val="24"/>
          <w:szCs w:val="24"/>
        </w:rPr>
      </w:pPr>
      <w:r>
        <w:rPr>
          <w:rFonts w:hint="eastAsia" w:ascii="宋体" w:hAnsi="宋体" w:cs="宋体"/>
          <w:color w:val="auto"/>
          <w:sz w:val="24"/>
          <w:szCs w:val="24"/>
          <w:lang w:eastAsia="zh-CN"/>
        </w:rPr>
        <w:t>三</w:t>
      </w:r>
      <w:r>
        <w:rPr>
          <w:rFonts w:hint="eastAsia" w:ascii="宋体" w:hAnsi="宋体" w:cs="宋体"/>
          <w:color w:val="auto"/>
          <w:sz w:val="24"/>
          <w:szCs w:val="24"/>
        </w:rPr>
        <w:t>、对本项目的供货、服务</w:t>
      </w:r>
      <w:r>
        <w:rPr>
          <w:rFonts w:hint="eastAsia" w:ascii="宋体" w:hAnsi="宋体" w:cs="宋体"/>
          <w:color w:val="auto"/>
          <w:sz w:val="24"/>
          <w:szCs w:val="24"/>
          <w:lang w:eastAsia="zh-CN"/>
        </w:rPr>
        <w:t>的</w:t>
      </w:r>
      <w:r>
        <w:rPr>
          <w:rFonts w:hint="eastAsia" w:ascii="宋体" w:hAnsi="宋体" w:cs="宋体"/>
          <w:color w:val="auto"/>
          <w:sz w:val="24"/>
          <w:szCs w:val="24"/>
        </w:rPr>
        <w:t>组织措施及人员投入情况。</w:t>
      </w:r>
    </w:p>
    <w:p w14:paraId="3BB35CEC">
      <w:pPr>
        <w:tabs>
          <w:tab w:val="left" w:pos="630"/>
        </w:tabs>
        <w:spacing w:line="360" w:lineRule="auto"/>
        <w:rPr>
          <w:rFonts w:hint="eastAsia"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四</w:t>
      </w:r>
      <w:r>
        <w:rPr>
          <w:rFonts w:hint="eastAsia" w:ascii="宋体" w:hAnsi="宋体" w:cs="宋体"/>
          <w:color w:val="auto"/>
          <w:sz w:val="24"/>
          <w:szCs w:val="24"/>
        </w:rPr>
        <w:t>、质量保证、售后服务计划及措施。</w:t>
      </w:r>
    </w:p>
    <w:p w14:paraId="20E8D623">
      <w:pPr>
        <w:spacing w:line="360" w:lineRule="atLeast"/>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五</w:t>
      </w:r>
      <w:r>
        <w:rPr>
          <w:rFonts w:hint="eastAsia" w:ascii="宋体" w:hAnsi="宋体" w:cs="宋体"/>
          <w:color w:val="auto"/>
          <w:sz w:val="24"/>
          <w:szCs w:val="24"/>
          <w:lang w:eastAsia="zh-CN"/>
        </w:rPr>
        <w:t>、公司服务承诺。</w:t>
      </w:r>
    </w:p>
    <w:p w14:paraId="22F1039C">
      <w:pPr>
        <w:spacing w:line="360" w:lineRule="atLeast"/>
        <w:ind w:firstLine="480" w:firstLineChars="200"/>
        <w:rPr>
          <w:rFonts w:hint="eastAsia" w:ascii="Arial" w:hAnsi="Arial" w:cs="Arial"/>
          <w:color w:val="auto"/>
          <w:sz w:val="24"/>
        </w:rPr>
      </w:pPr>
      <w:r>
        <w:rPr>
          <w:rFonts w:hint="eastAsia" w:ascii="宋体" w:hAnsi="宋体" w:cs="宋体"/>
          <w:color w:val="auto"/>
          <w:sz w:val="24"/>
          <w:szCs w:val="24"/>
          <w:lang w:val="en-US" w:eastAsia="zh-CN"/>
        </w:rPr>
        <w:t>六</w:t>
      </w:r>
      <w:r>
        <w:rPr>
          <w:rFonts w:hint="eastAsia" w:ascii="宋体" w:hAnsi="宋体" w:cs="宋体"/>
          <w:color w:val="auto"/>
          <w:sz w:val="24"/>
          <w:szCs w:val="24"/>
        </w:rPr>
        <w:t>、投标供应商其他有必要说明的问题。</w:t>
      </w:r>
    </w:p>
    <w:p w14:paraId="09492048">
      <w:pPr>
        <w:spacing w:line="360" w:lineRule="auto"/>
        <w:ind w:right="-161" w:firstLine="2640" w:firstLineChars="1100"/>
        <w:rPr>
          <w:rFonts w:hint="eastAsia" w:ascii="宋体" w:hAnsi="宋体" w:cs="宋体"/>
          <w:sz w:val="24"/>
        </w:rPr>
      </w:pPr>
    </w:p>
    <w:p w14:paraId="4D37E669">
      <w:pPr>
        <w:spacing w:line="360" w:lineRule="auto"/>
        <w:ind w:right="-161" w:firstLine="2640" w:firstLineChars="1100"/>
        <w:rPr>
          <w:rFonts w:hint="eastAsia" w:ascii="宋体" w:hAnsi="宋体" w:cs="宋体"/>
          <w:sz w:val="24"/>
        </w:rPr>
      </w:pPr>
    </w:p>
    <w:p w14:paraId="748E17F9">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5C0B0839">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6B280E03">
      <w:pPr>
        <w:spacing w:line="360" w:lineRule="auto"/>
        <w:ind w:right="480" w:firstLine="2640" w:firstLineChars="1100"/>
        <w:rPr>
          <w:rFonts w:hint="eastAsia" w:ascii="宋体" w:hAnsi="宋体" w:cs="宋体"/>
          <w:sz w:val="24"/>
        </w:rPr>
      </w:pPr>
      <w:r>
        <w:rPr>
          <w:rFonts w:hint="eastAsia" w:ascii="宋体" w:hAnsi="宋体" w:cs="宋体"/>
          <w:sz w:val="24"/>
        </w:rPr>
        <w:t>日期：</w:t>
      </w:r>
    </w:p>
    <w:p w14:paraId="426EAAB7">
      <w:pPr>
        <w:spacing w:line="360" w:lineRule="auto"/>
        <w:ind w:right="480" w:firstLine="2640" w:firstLineChars="1100"/>
        <w:rPr>
          <w:rFonts w:hint="eastAsia" w:ascii="宋体" w:hAnsi="宋体" w:cs="宋体"/>
          <w:sz w:val="24"/>
        </w:rPr>
      </w:pPr>
    </w:p>
    <w:p w14:paraId="12978114">
      <w:pPr>
        <w:spacing w:line="360" w:lineRule="auto"/>
        <w:ind w:right="480" w:firstLine="2640" w:firstLineChars="1100"/>
        <w:rPr>
          <w:rFonts w:hint="eastAsia" w:ascii="宋体" w:hAnsi="宋体" w:cs="宋体"/>
          <w:sz w:val="24"/>
        </w:rPr>
      </w:pPr>
    </w:p>
    <w:p w14:paraId="58F81E20">
      <w:pPr>
        <w:spacing w:line="360" w:lineRule="auto"/>
        <w:ind w:right="480" w:firstLine="2640" w:firstLineChars="1100"/>
        <w:rPr>
          <w:rFonts w:hint="eastAsia" w:ascii="宋体" w:hAnsi="宋体" w:cs="宋体"/>
          <w:sz w:val="24"/>
        </w:rPr>
      </w:pPr>
    </w:p>
    <w:p w14:paraId="2CC4A9F2">
      <w:pPr>
        <w:spacing w:line="360" w:lineRule="auto"/>
        <w:ind w:right="480" w:firstLine="2640" w:firstLineChars="1100"/>
        <w:rPr>
          <w:rFonts w:hint="eastAsia" w:ascii="宋体" w:hAnsi="宋体" w:cs="宋体"/>
          <w:sz w:val="24"/>
        </w:rPr>
      </w:pPr>
    </w:p>
    <w:p w14:paraId="6095D70B">
      <w:pPr>
        <w:spacing w:line="360" w:lineRule="auto"/>
        <w:ind w:right="480" w:firstLine="2640" w:firstLineChars="1100"/>
        <w:rPr>
          <w:rFonts w:hint="eastAsia" w:ascii="宋体" w:hAnsi="宋体" w:cs="宋体"/>
          <w:sz w:val="24"/>
        </w:rPr>
      </w:pPr>
    </w:p>
    <w:p w14:paraId="5EDDA880">
      <w:pPr>
        <w:spacing w:line="360" w:lineRule="auto"/>
        <w:ind w:right="480" w:firstLine="2640" w:firstLineChars="1100"/>
        <w:rPr>
          <w:rFonts w:hint="eastAsia" w:ascii="宋体" w:hAnsi="宋体" w:cs="宋体"/>
          <w:sz w:val="24"/>
        </w:rPr>
      </w:pPr>
    </w:p>
    <w:p w14:paraId="7F1341C9">
      <w:pPr>
        <w:spacing w:line="360" w:lineRule="auto"/>
        <w:ind w:right="480" w:firstLine="2640" w:firstLineChars="1100"/>
        <w:rPr>
          <w:rFonts w:hint="eastAsia" w:ascii="宋体" w:hAnsi="宋体" w:cs="宋体"/>
          <w:sz w:val="24"/>
        </w:rPr>
      </w:pPr>
    </w:p>
    <w:p w14:paraId="55B1669E">
      <w:pPr>
        <w:spacing w:line="360" w:lineRule="auto"/>
        <w:ind w:right="480" w:firstLine="2640" w:firstLineChars="1100"/>
        <w:rPr>
          <w:rFonts w:hint="eastAsia" w:ascii="宋体" w:hAnsi="宋体" w:cs="宋体"/>
          <w:sz w:val="24"/>
        </w:rPr>
      </w:pPr>
    </w:p>
    <w:p w14:paraId="6EA8BE88">
      <w:pPr>
        <w:spacing w:line="360" w:lineRule="auto"/>
        <w:ind w:right="480" w:firstLine="2640" w:firstLineChars="1100"/>
        <w:rPr>
          <w:rFonts w:hint="eastAsia" w:ascii="宋体" w:hAnsi="宋体" w:cs="宋体"/>
          <w:sz w:val="24"/>
        </w:rPr>
      </w:pPr>
    </w:p>
    <w:p w14:paraId="774821FE">
      <w:pPr>
        <w:spacing w:line="360" w:lineRule="auto"/>
        <w:ind w:right="480" w:firstLine="2640" w:firstLineChars="1100"/>
        <w:rPr>
          <w:rFonts w:hint="eastAsia" w:ascii="宋体" w:hAnsi="宋体" w:cs="宋体"/>
          <w:sz w:val="24"/>
        </w:rPr>
      </w:pPr>
    </w:p>
    <w:p w14:paraId="55088E74">
      <w:pPr>
        <w:pStyle w:val="4"/>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w:t>
      </w:r>
    </w:p>
    <w:p w14:paraId="0997AAE9">
      <w:pPr>
        <w:pStyle w:val="4"/>
        <w:jc w:val="center"/>
        <w:rPr>
          <w:rFonts w:hint="eastAsia" w:ascii="仿宋" w:hAnsi="仿宋" w:eastAsia="仿宋" w:cs="仿宋"/>
          <w:color w:val="auto"/>
          <w:sz w:val="24"/>
          <w:szCs w:val="24"/>
        </w:rPr>
      </w:pPr>
      <w:r>
        <w:rPr>
          <w:rFonts w:hint="eastAsia" w:ascii="仿宋" w:hAnsi="仿宋" w:eastAsia="仿宋" w:cs="仿宋"/>
          <w:color w:val="auto"/>
          <w:sz w:val="24"/>
          <w:szCs w:val="24"/>
        </w:rPr>
        <w:t>人员投入情况表</w:t>
      </w:r>
    </w:p>
    <w:p w14:paraId="3B46B333">
      <w:pPr>
        <w:rPr>
          <w:rFonts w:hint="eastAsia"/>
        </w:rPr>
      </w:pPr>
    </w:p>
    <w:tbl>
      <w:tblPr>
        <w:tblStyle w:val="21"/>
        <w:tblW w:w="8817" w:type="dxa"/>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532"/>
        <w:gridCol w:w="1254"/>
        <w:gridCol w:w="881"/>
        <w:gridCol w:w="1244"/>
        <w:gridCol w:w="1441"/>
        <w:gridCol w:w="1419"/>
      </w:tblGrid>
      <w:tr w14:paraId="0C7F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1046" w:type="dxa"/>
            <w:noWrap w:val="0"/>
            <w:vAlign w:val="center"/>
          </w:tcPr>
          <w:p w14:paraId="2DF00C01">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姓名</w:t>
            </w:r>
          </w:p>
        </w:tc>
        <w:tc>
          <w:tcPr>
            <w:tcW w:w="1532" w:type="dxa"/>
            <w:noWrap w:val="0"/>
            <w:vAlign w:val="center"/>
          </w:tcPr>
          <w:p w14:paraId="54EEB542">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本项目拟任岗位</w:t>
            </w:r>
          </w:p>
        </w:tc>
        <w:tc>
          <w:tcPr>
            <w:tcW w:w="1254" w:type="dxa"/>
            <w:noWrap w:val="0"/>
            <w:vAlign w:val="center"/>
          </w:tcPr>
          <w:p w14:paraId="2061B37F">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性别</w:t>
            </w:r>
          </w:p>
        </w:tc>
        <w:tc>
          <w:tcPr>
            <w:tcW w:w="881" w:type="dxa"/>
            <w:noWrap w:val="0"/>
            <w:vAlign w:val="center"/>
          </w:tcPr>
          <w:p w14:paraId="6FB0D607">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年龄</w:t>
            </w:r>
          </w:p>
        </w:tc>
        <w:tc>
          <w:tcPr>
            <w:tcW w:w="1244" w:type="dxa"/>
            <w:noWrap w:val="0"/>
            <w:vAlign w:val="center"/>
          </w:tcPr>
          <w:p w14:paraId="17C14031">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专业/学历</w:t>
            </w:r>
          </w:p>
        </w:tc>
        <w:tc>
          <w:tcPr>
            <w:tcW w:w="1441" w:type="dxa"/>
            <w:noWrap w:val="0"/>
            <w:vAlign w:val="center"/>
          </w:tcPr>
          <w:p w14:paraId="39D9A40A">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专业工作年限</w:t>
            </w:r>
          </w:p>
        </w:tc>
        <w:tc>
          <w:tcPr>
            <w:tcW w:w="1419" w:type="dxa"/>
            <w:noWrap w:val="0"/>
            <w:vAlign w:val="center"/>
          </w:tcPr>
          <w:p w14:paraId="5EE3C3F6">
            <w:pPr>
              <w:snapToGrid w:val="0"/>
              <w:spacing w:line="360" w:lineRule="auto"/>
              <w:ind w:right="-113"/>
              <w:jc w:val="center"/>
              <w:rPr>
                <w:rFonts w:hint="eastAsia" w:ascii="仿宋" w:hAnsi="仿宋" w:eastAsia="仿宋" w:cs="仿宋"/>
                <w:color w:val="auto"/>
                <w:sz w:val="20"/>
                <w:szCs w:val="18"/>
                <w:highlight w:val="white"/>
              </w:rPr>
            </w:pPr>
            <w:r>
              <w:rPr>
                <w:rFonts w:hint="eastAsia" w:ascii="仿宋" w:hAnsi="仿宋" w:eastAsia="仿宋" w:cs="仿宋"/>
                <w:color w:val="auto"/>
                <w:sz w:val="20"/>
                <w:szCs w:val="18"/>
                <w:highlight w:val="white"/>
              </w:rPr>
              <w:t>现任职务/职称</w:t>
            </w:r>
          </w:p>
        </w:tc>
      </w:tr>
      <w:tr w14:paraId="1B04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27AEE1DD">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6AA51934">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19CDC19F">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3D0185C4">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49D5C592">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166A9BB8">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6A81902F">
            <w:pPr>
              <w:snapToGrid w:val="0"/>
              <w:spacing w:line="360" w:lineRule="auto"/>
              <w:ind w:right="-113"/>
              <w:jc w:val="center"/>
              <w:rPr>
                <w:rFonts w:hint="eastAsia" w:ascii="仿宋" w:hAnsi="仿宋" w:eastAsia="仿宋" w:cs="仿宋"/>
                <w:color w:val="auto"/>
                <w:sz w:val="18"/>
                <w:szCs w:val="16"/>
                <w:highlight w:val="white"/>
              </w:rPr>
            </w:pPr>
          </w:p>
        </w:tc>
      </w:tr>
      <w:tr w14:paraId="5261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15F1D52B">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2267C231">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28440A49">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1719C2C3">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5BCBBF52">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6D1BC30A">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49CA639B">
            <w:pPr>
              <w:snapToGrid w:val="0"/>
              <w:spacing w:line="360" w:lineRule="auto"/>
              <w:ind w:right="-113"/>
              <w:jc w:val="center"/>
              <w:rPr>
                <w:rFonts w:hint="eastAsia" w:ascii="仿宋" w:hAnsi="仿宋" w:eastAsia="仿宋" w:cs="仿宋"/>
                <w:color w:val="auto"/>
                <w:sz w:val="18"/>
                <w:szCs w:val="16"/>
                <w:highlight w:val="white"/>
              </w:rPr>
            </w:pPr>
          </w:p>
        </w:tc>
      </w:tr>
      <w:tr w14:paraId="0601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08219F10">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3AED28E1">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3B8AF6C0">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5A9F6C5D">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36F9E856">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3A95FB4D">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3FC85258">
            <w:pPr>
              <w:snapToGrid w:val="0"/>
              <w:spacing w:line="360" w:lineRule="auto"/>
              <w:ind w:right="-113"/>
              <w:jc w:val="center"/>
              <w:rPr>
                <w:rFonts w:hint="eastAsia" w:ascii="仿宋" w:hAnsi="仿宋" w:eastAsia="仿宋" w:cs="仿宋"/>
                <w:color w:val="auto"/>
                <w:sz w:val="18"/>
                <w:szCs w:val="16"/>
                <w:highlight w:val="white"/>
              </w:rPr>
            </w:pPr>
          </w:p>
        </w:tc>
      </w:tr>
      <w:tr w14:paraId="543F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6195C143">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785EBD6D">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5E92991D">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10E2066E">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0FC2DF46">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4899BA04">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4AFF17AD">
            <w:pPr>
              <w:snapToGrid w:val="0"/>
              <w:spacing w:line="360" w:lineRule="auto"/>
              <w:ind w:right="-113"/>
              <w:jc w:val="center"/>
              <w:rPr>
                <w:rFonts w:hint="eastAsia" w:ascii="仿宋" w:hAnsi="仿宋" w:eastAsia="仿宋" w:cs="仿宋"/>
                <w:color w:val="auto"/>
                <w:sz w:val="18"/>
                <w:szCs w:val="16"/>
                <w:highlight w:val="white"/>
              </w:rPr>
            </w:pPr>
          </w:p>
        </w:tc>
      </w:tr>
      <w:tr w14:paraId="0E34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2215457D">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1E261435">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6D69D742">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6C6766D2">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523E0C53">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2A63B858">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0534A9F4">
            <w:pPr>
              <w:snapToGrid w:val="0"/>
              <w:spacing w:line="360" w:lineRule="auto"/>
              <w:ind w:right="-113"/>
              <w:jc w:val="center"/>
              <w:rPr>
                <w:rFonts w:hint="eastAsia" w:ascii="仿宋" w:hAnsi="仿宋" w:eastAsia="仿宋" w:cs="仿宋"/>
                <w:color w:val="auto"/>
                <w:sz w:val="18"/>
                <w:szCs w:val="16"/>
                <w:highlight w:val="white"/>
              </w:rPr>
            </w:pPr>
          </w:p>
        </w:tc>
      </w:tr>
      <w:tr w14:paraId="0BD2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04B1FB45">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05447111">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6E084E4C">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34AAAE8F">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1E01EB80">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362A8447">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330FF2BF">
            <w:pPr>
              <w:snapToGrid w:val="0"/>
              <w:spacing w:line="360" w:lineRule="auto"/>
              <w:ind w:right="-113"/>
              <w:jc w:val="center"/>
              <w:rPr>
                <w:rFonts w:hint="eastAsia" w:ascii="仿宋" w:hAnsi="仿宋" w:eastAsia="仿宋" w:cs="仿宋"/>
                <w:color w:val="auto"/>
                <w:sz w:val="18"/>
                <w:szCs w:val="16"/>
                <w:highlight w:val="white"/>
              </w:rPr>
            </w:pPr>
          </w:p>
        </w:tc>
      </w:tr>
      <w:tr w14:paraId="2E7E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7A456254">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5C1E4F08">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4A971D1E">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1D31C74B">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2C235D6F">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4201D934">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4C14564C">
            <w:pPr>
              <w:snapToGrid w:val="0"/>
              <w:spacing w:line="360" w:lineRule="auto"/>
              <w:ind w:right="-113"/>
              <w:jc w:val="center"/>
              <w:rPr>
                <w:rFonts w:hint="eastAsia" w:ascii="仿宋" w:hAnsi="仿宋" w:eastAsia="仿宋" w:cs="仿宋"/>
                <w:color w:val="auto"/>
                <w:sz w:val="18"/>
                <w:szCs w:val="16"/>
                <w:highlight w:val="white"/>
              </w:rPr>
            </w:pPr>
          </w:p>
        </w:tc>
      </w:tr>
      <w:tr w14:paraId="33E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29081F40">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69C1A773">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20EA2EE6">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6370804C">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592CD27D">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6EAA84FE">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528573FA">
            <w:pPr>
              <w:snapToGrid w:val="0"/>
              <w:spacing w:line="360" w:lineRule="auto"/>
              <w:ind w:right="-113"/>
              <w:jc w:val="center"/>
              <w:rPr>
                <w:rFonts w:hint="eastAsia" w:ascii="仿宋" w:hAnsi="仿宋" w:eastAsia="仿宋" w:cs="仿宋"/>
                <w:color w:val="auto"/>
                <w:sz w:val="18"/>
                <w:szCs w:val="16"/>
                <w:highlight w:val="white"/>
              </w:rPr>
            </w:pPr>
          </w:p>
        </w:tc>
      </w:tr>
      <w:tr w14:paraId="5FB8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6" w:type="dxa"/>
            <w:noWrap w:val="0"/>
            <w:vAlign w:val="center"/>
          </w:tcPr>
          <w:p w14:paraId="3974D8F8">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3EE6281A">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208FBE82">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610014BE">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02D87084">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3A523096">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068850F7">
            <w:pPr>
              <w:snapToGrid w:val="0"/>
              <w:spacing w:line="360" w:lineRule="auto"/>
              <w:ind w:right="-113"/>
              <w:jc w:val="center"/>
              <w:rPr>
                <w:rFonts w:hint="eastAsia" w:ascii="仿宋" w:hAnsi="仿宋" w:eastAsia="仿宋" w:cs="仿宋"/>
                <w:color w:val="auto"/>
                <w:sz w:val="18"/>
                <w:szCs w:val="16"/>
                <w:highlight w:val="white"/>
              </w:rPr>
            </w:pPr>
          </w:p>
        </w:tc>
      </w:tr>
      <w:tr w14:paraId="7A60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46" w:type="dxa"/>
            <w:noWrap w:val="0"/>
            <w:vAlign w:val="center"/>
          </w:tcPr>
          <w:p w14:paraId="0FDBC746">
            <w:pPr>
              <w:snapToGrid w:val="0"/>
              <w:spacing w:line="360" w:lineRule="auto"/>
              <w:ind w:right="-113"/>
              <w:jc w:val="center"/>
              <w:rPr>
                <w:rFonts w:hint="eastAsia" w:ascii="仿宋" w:hAnsi="仿宋" w:eastAsia="仿宋" w:cs="仿宋"/>
                <w:color w:val="auto"/>
                <w:sz w:val="18"/>
                <w:szCs w:val="16"/>
                <w:highlight w:val="white"/>
              </w:rPr>
            </w:pPr>
          </w:p>
        </w:tc>
        <w:tc>
          <w:tcPr>
            <w:tcW w:w="1532" w:type="dxa"/>
            <w:noWrap w:val="0"/>
            <w:vAlign w:val="center"/>
          </w:tcPr>
          <w:p w14:paraId="02F03E06">
            <w:pPr>
              <w:snapToGrid w:val="0"/>
              <w:spacing w:line="360" w:lineRule="auto"/>
              <w:ind w:right="-113"/>
              <w:jc w:val="center"/>
              <w:rPr>
                <w:rFonts w:hint="eastAsia" w:ascii="仿宋" w:hAnsi="仿宋" w:eastAsia="仿宋" w:cs="仿宋"/>
                <w:color w:val="auto"/>
                <w:sz w:val="18"/>
                <w:szCs w:val="16"/>
                <w:highlight w:val="white"/>
              </w:rPr>
            </w:pPr>
          </w:p>
        </w:tc>
        <w:tc>
          <w:tcPr>
            <w:tcW w:w="1254" w:type="dxa"/>
            <w:noWrap w:val="0"/>
            <w:vAlign w:val="center"/>
          </w:tcPr>
          <w:p w14:paraId="74135EDE">
            <w:pPr>
              <w:snapToGrid w:val="0"/>
              <w:spacing w:line="360" w:lineRule="auto"/>
              <w:ind w:right="-113"/>
              <w:jc w:val="center"/>
              <w:rPr>
                <w:rFonts w:hint="eastAsia" w:ascii="仿宋" w:hAnsi="仿宋" w:eastAsia="仿宋" w:cs="仿宋"/>
                <w:color w:val="auto"/>
                <w:sz w:val="18"/>
                <w:szCs w:val="16"/>
                <w:highlight w:val="white"/>
              </w:rPr>
            </w:pPr>
          </w:p>
        </w:tc>
        <w:tc>
          <w:tcPr>
            <w:tcW w:w="881" w:type="dxa"/>
            <w:noWrap w:val="0"/>
            <w:vAlign w:val="center"/>
          </w:tcPr>
          <w:p w14:paraId="2FB63C9B">
            <w:pPr>
              <w:snapToGrid w:val="0"/>
              <w:spacing w:line="360" w:lineRule="auto"/>
              <w:ind w:right="-113"/>
              <w:jc w:val="center"/>
              <w:rPr>
                <w:rFonts w:hint="eastAsia" w:ascii="仿宋" w:hAnsi="仿宋" w:eastAsia="仿宋" w:cs="仿宋"/>
                <w:color w:val="auto"/>
                <w:sz w:val="18"/>
                <w:szCs w:val="16"/>
                <w:highlight w:val="white"/>
              </w:rPr>
            </w:pPr>
          </w:p>
        </w:tc>
        <w:tc>
          <w:tcPr>
            <w:tcW w:w="1244" w:type="dxa"/>
            <w:noWrap w:val="0"/>
            <w:vAlign w:val="center"/>
          </w:tcPr>
          <w:p w14:paraId="76379C6F">
            <w:pPr>
              <w:snapToGrid w:val="0"/>
              <w:spacing w:line="360" w:lineRule="auto"/>
              <w:ind w:right="-113"/>
              <w:jc w:val="center"/>
              <w:rPr>
                <w:rFonts w:hint="eastAsia" w:ascii="仿宋" w:hAnsi="仿宋" w:eastAsia="仿宋" w:cs="仿宋"/>
                <w:color w:val="auto"/>
                <w:sz w:val="18"/>
                <w:szCs w:val="16"/>
                <w:highlight w:val="white"/>
              </w:rPr>
            </w:pPr>
          </w:p>
        </w:tc>
        <w:tc>
          <w:tcPr>
            <w:tcW w:w="1441" w:type="dxa"/>
            <w:noWrap w:val="0"/>
            <w:vAlign w:val="center"/>
          </w:tcPr>
          <w:p w14:paraId="55B814D3">
            <w:pPr>
              <w:snapToGrid w:val="0"/>
              <w:spacing w:line="360" w:lineRule="auto"/>
              <w:ind w:right="-113"/>
              <w:jc w:val="center"/>
              <w:rPr>
                <w:rFonts w:hint="eastAsia" w:ascii="仿宋" w:hAnsi="仿宋" w:eastAsia="仿宋" w:cs="仿宋"/>
                <w:color w:val="auto"/>
                <w:sz w:val="18"/>
                <w:szCs w:val="16"/>
                <w:highlight w:val="white"/>
              </w:rPr>
            </w:pPr>
          </w:p>
        </w:tc>
        <w:tc>
          <w:tcPr>
            <w:tcW w:w="1419" w:type="dxa"/>
            <w:noWrap w:val="0"/>
            <w:vAlign w:val="center"/>
          </w:tcPr>
          <w:p w14:paraId="171B58C4">
            <w:pPr>
              <w:snapToGrid w:val="0"/>
              <w:spacing w:line="360" w:lineRule="auto"/>
              <w:ind w:right="-113"/>
              <w:jc w:val="center"/>
              <w:rPr>
                <w:rFonts w:hint="eastAsia" w:ascii="仿宋" w:hAnsi="仿宋" w:eastAsia="仿宋" w:cs="仿宋"/>
                <w:color w:val="auto"/>
                <w:sz w:val="18"/>
                <w:szCs w:val="16"/>
                <w:highlight w:val="white"/>
              </w:rPr>
            </w:pPr>
          </w:p>
        </w:tc>
      </w:tr>
    </w:tbl>
    <w:p w14:paraId="7244B8EE">
      <w:pPr>
        <w:snapToGrid w:val="0"/>
        <w:spacing w:line="360" w:lineRule="auto"/>
        <w:ind w:right="-113"/>
        <w:rPr>
          <w:rFonts w:hint="eastAsia" w:ascii="仿宋" w:hAnsi="仿宋" w:eastAsia="仿宋" w:cs="仿宋"/>
          <w:color w:val="auto"/>
          <w:highlight w:val="white"/>
        </w:rPr>
      </w:pPr>
    </w:p>
    <w:p w14:paraId="737D2085">
      <w:pPr>
        <w:spacing w:line="360" w:lineRule="auto"/>
        <w:ind w:right="480" w:firstLine="2640" w:firstLineChars="1100"/>
        <w:rPr>
          <w:rFonts w:hint="eastAsia" w:ascii="宋体" w:hAnsi="宋体" w:cs="宋体"/>
          <w:sz w:val="24"/>
        </w:rPr>
        <w:sectPr>
          <w:pgSz w:w="11906" w:h="16838"/>
          <w:pgMar w:top="1440" w:right="1417" w:bottom="1440" w:left="1417" w:header="1134" w:footer="1134" w:gutter="0"/>
          <w:cols w:space="720" w:num="1"/>
          <w:titlePg/>
          <w:docGrid w:type="lines" w:linePitch="312" w:charSpace="0"/>
        </w:sectPr>
      </w:pPr>
    </w:p>
    <w:bookmarkEnd w:id="338"/>
    <w:bookmarkEnd w:id="339"/>
    <w:bookmarkEnd w:id="340"/>
    <w:bookmarkEnd w:id="341"/>
    <w:bookmarkEnd w:id="342"/>
    <w:bookmarkEnd w:id="343"/>
    <w:bookmarkEnd w:id="344"/>
    <w:p w14:paraId="6C956D2A">
      <w:pPr>
        <w:pStyle w:val="9"/>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14:paraId="1B609CFB">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21"/>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14:paraId="34D63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15CFA6BF">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14:paraId="5AEE3356">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14:paraId="7BB995B1">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14:paraId="6EDE07A7">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14:paraId="5C54DA25">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14:paraId="393D5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88AEBA3">
            <w:pPr>
              <w:spacing w:line="360" w:lineRule="auto"/>
              <w:jc w:val="center"/>
              <w:rPr>
                <w:rFonts w:ascii="宋体" w:hAnsi="宋体" w:cs="宋体"/>
                <w:color w:val="000000"/>
                <w:sz w:val="24"/>
              </w:rPr>
            </w:pPr>
          </w:p>
        </w:tc>
        <w:tc>
          <w:tcPr>
            <w:tcW w:w="2931" w:type="dxa"/>
            <w:noWrap w:val="0"/>
            <w:vAlign w:val="top"/>
          </w:tcPr>
          <w:p w14:paraId="23E5C44F">
            <w:pPr>
              <w:spacing w:line="360" w:lineRule="auto"/>
              <w:jc w:val="center"/>
              <w:rPr>
                <w:rFonts w:ascii="宋体" w:hAnsi="宋体" w:cs="宋体"/>
                <w:color w:val="000000"/>
                <w:sz w:val="24"/>
              </w:rPr>
            </w:pPr>
          </w:p>
        </w:tc>
        <w:tc>
          <w:tcPr>
            <w:tcW w:w="3231" w:type="dxa"/>
            <w:noWrap w:val="0"/>
            <w:vAlign w:val="top"/>
          </w:tcPr>
          <w:p w14:paraId="13E49FE5">
            <w:pPr>
              <w:spacing w:line="360" w:lineRule="auto"/>
              <w:jc w:val="center"/>
              <w:rPr>
                <w:rFonts w:ascii="宋体" w:hAnsi="宋体" w:cs="宋体"/>
                <w:color w:val="000000"/>
                <w:sz w:val="24"/>
              </w:rPr>
            </w:pPr>
          </w:p>
        </w:tc>
        <w:tc>
          <w:tcPr>
            <w:tcW w:w="807" w:type="dxa"/>
            <w:noWrap w:val="0"/>
            <w:vAlign w:val="top"/>
          </w:tcPr>
          <w:p w14:paraId="3E138D91">
            <w:pPr>
              <w:spacing w:line="360" w:lineRule="auto"/>
              <w:jc w:val="center"/>
              <w:rPr>
                <w:rFonts w:ascii="宋体" w:hAnsi="宋体" w:cs="宋体"/>
                <w:color w:val="000000"/>
                <w:sz w:val="24"/>
              </w:rPr>
            </w:pPr>
          </w:p>
        </w:tc>
        <w:tc>
          <w:tcPr>
            <w:tcW w:w="1072" w:type="dxa"/>
            <w:noWrap w:val="0"/>
            <w:vAlign w:val="top"/>
          </w:tcPr>
          <w:p w14:paraId="091C61BE">
            <w:pPr>
              <w:spacing w:line="360" w:lineRule="auto"/>
              <w:jc w:val="center"/>
              <w:rPr>
                <w:rFonts w:ascii="宋体" w:hAnsi="宋体" w:cs="宋体"/>
                <w:color w:val="000000"/>
                <w:sz w:val="24"/>
              </w:rPr>
            </w:pPr>
          </w:p>
        </w:tc>
      </w:tr>
      <w:tr w14:paraId="13979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5E5D593">
            <w:pPr>
              <w:spacing w:line="360" w:lineRule="auto"/>
              <w:jc w:val="center"/>
              <w:rPr>
                <w:rFonts w:ascii="宋体" w:hAnsi="宋体" w:cs="宋体"/>
                <w:color w:val="000000"/>
                <w:sz w:val="24"/>
              </w:rPr>
            </w:pPr>
          </w:p>
        </w:tc>
        <w:tc>
          <w:tcPr>
            <w:tcW w:w="2931" w:type="dxa"/>
            <w:noWrap w:val="0"/>
            <w:vAlign w:val="top"/>
          </w:tcPr>
          <w:p w14:paraId="4B0FB173">
            <w:pPr>
              <w:spacing w:line="360" w:lineRule="auto"/>
              <w:jc w:val="center"/>
              <w:rPr>
                <w:rFonts w:ascii="宋体" w:hAnsi="宋体" w:cs="宋体"/>
                <w:color w:val="000000"/>
                <w:sz w:val="24"/>
              </w:rPr>
            </w:pPr>
          </w:p>
        </w:tc>
        <w:tc>
          <w:tcPr>
            <w:tcW w:w="3231" w:type="dxa"/>
            <w:noWrap w:val="0"/>
            <w:vAlign w:val="top"/>
          </w:tcPr>
          <w:p w14:paraId="2541695E">
            <w:pPr>
              <w:spacing w:line="360" w:lineRule="auto"/>
              <w:jc w:val="center"/>
              <w:rPr>
                <w:rFonts w:ascii="宋体" w:hAnsi="宋体" w:cs="宋体"/>
                <w:color w:val="000000"/>
                <w:sz w:val="24"/>
              </w:rPr>
            </w:pPr>
          </w:p>
        </w:tc>
        <w:tc>
          <w:tcPr>
            <w:tcW w:w="807" w:type="dxa"/>
            <w:noWrap w:val="0"/>
            <w:vAlign w:val="top"/>
          </w:tcPr>
          <w:p w14:paraId="230FE459">
            <w:pPr>
              <w:spacing w:line="360" w:lineRule="auto"/>
              <w:jc w:val="center"/>
              <w:rPr>
                <w:rFonts w:ascii="宋体" w:hAnsi="宋体" w:cs="宋体"/>
                <w:color w:val="000000"/>
                <w:sz w:val="24"/>
              </w:rPr>
            </w:pPr>
          </w:p>
        </w:tc>
        <w:tc>
          <w:tcPr>
            <w:tcW w:w="1072" w:type="dxa"/>
            <w:noWrap w:val="0"/>
            <w:vAlign w:val="top"/>
          </w:tcPr>
          <w:p w14:paraId="164867A4">
            <w:pPr>
              <w:spacing w:line="360" w:lineRule="auto"/>
              <w:jc w:val="center"/>
              <w:rPr>
                <w:rFonts w:ascii="宋体" w:hAnsi="宋体" w:cs="宋体"/>
                <w:color w:val="000000"/>
                <w:sz w:val="24"/>
              </w:rPr>
            </w:pPr>
          </w:p>
        </w:tc>
      </w:tr>
      <w:tr w14:paraId="66DA3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AE31381">
            <w:pPr>
              <w:spacing w:line="360" w:lineRule="auto"/>
              <w:jc w:val="center"/>
              <w:rPr>
                <w:rFonts w:ascii="宋体" w:hAnsi="宋体" w:cs="宋体"/>
                <w:color w:val="000000"/>
                <w:sz w:val="24"/>
              </w:rPr>
            </w:pPr>
          </w:p>
        </w:tc>
        <w:tc>
          <w:tcPr>
            <w:tcW w:w="2931" w:type="dxa"/>
            <w:noWrap w:val="0"/>
            <w:vAlign w:val="top"/>
          </w:tcPr>
          <w:p w14:paraId="331CC0F0">
            <w:pPr>
              <w:spacing w:line="360" w:lineRule="auto"/>
              <w:jc w:val="center"/>
              <w:rPr>
                <w:rFonts w:ascii="宋体" w:hAnsi="宋体" w:cs="宋体"/>
                <w:color w:val="000000"/>
                <w:sz w:val="24"/>
              </w:rPr>
            </w:pPr>
          </w:p>
        </w:tc>
        <w:tc>
          <w:tcPr>
            <w:tcW w:w="3231" w:type="dxa"/>
            <w:noWrap w:val="0"/>
            <w:vAlign w:val="top"/>
          </w:tcPr>
          <w:p w14:paraId="51239831">
            <w:pPr>
              <w:spacing w:line="360" w:lineRule="auto"/>
              <w:jc w:val="center"/>
              <w:rPr>
                <w:rFonts w:ascii="宋体" w:hAnsi="宋体" w:cs="宋体"/>
                <w:color w:val="000000"/>
                <w:sz w:val="24"/>
              </w:rPr>
            </w:pPr>
          </w:p>
        </w:tc>
        <w:tc>
          <w:tcPr>
            <w:tcW w:w="807" w:type="dxa"/>
            <w:noWrap w:val="0"/>
            <w:vAlign w:val="top"/>
          </w:tcPr>
          <w:p w14:paraId="000F3556">
            <w:pPr>
              <w:spacing w:line="360" w:lineRule="auto"/>
              <w:jc w:val="center"/>
              <w:rPr>
                <w:rFonts w:ascii="宋体" w:hAnsi="宋体" w:cs="宋体"/>
                <w:color w:val="000000"/>
                <w:sz w:val="24"/>
              </w:rPr>
            </w:pPr>
          </w:p>
        </w:tc>
        <w:tc>
          <w:tcPr>
            <w:tcW w:w="1072" w:type="dxa"/>
            <w:noWrap w:val="0"/>
            <w:vAlign w:val="top"/>
          </w:tcPr>
          <w:p w14:paraId="331E6069">
            <w:pPr>
              <w:spacing w:line="360" w:lineRule="auto"/>
              <w:jc w:val="center"/>
              <w:rPr>
                <w:rFonts w:ascii="宋体" w:hAnsi="宋体" w:cs="宋体"/>
                <w:color w:val="000000"/>
                <w:sz w:val="24"/>
              </w:rPr>
            </w:pPr>
          </w:p>
        </w:tc>
      </w:tr>
      <w:tr w14:paraId="72823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0042ACB">
            <w:pPr>
              <w:spacing w:line="360" w:lineRule="auto"/>
              <w:jc w:val="center"/>
              <w:rPr>
                <w:rFonts w:ascii="宋体" w:hAnsi="宋体" w:cs="宋体"/>
                <w:color w:val="000000"/>
                <w:sz w:val="24"/>
              </w:rPr>
            </w:pPr>
          </w:p>
        </w:tc>
        <w:tc>
          <w:tcPr>
            <w:tcW w:w="2931" w:type="dxa"/>
            <w:noWrap w:val="0"/>
            <w:vAlign w:val="top"/>
          </w:tcPr>
          <w:p w14:paraId="2F8F579F">
            <w:pPr>
              <w:spacing w:line="360" w:lineRule="auto"/>
              <w:jc w:val="center"/>
              <w:rPr>
                <w:rFonts w:ascii="宋体" w:hAnsi="宋体" w:cs="宋体"/>
                <w:color w:val="000000"/>
                <w:sz w:val="24"/>
              </w:rPr>
            </w:pPr>
          </w:p>
        </w:tc>
        <w:tc>
          <w:tcPr>
            <w:tcW w:w="3231" w:type="dxa"/>
            <w:noWrap w:val="0"/>
            <w:vAlign w:val="top"/>
          </w:tcPr>
          <w:p w14:paraId="5B31BCE3">
            <w:pPr>
              <w:spacing w:line="360" w:lineRule="auto"/>
              <w:jc w:val="center"/>
              <w:rPr>
                <w:rFonts w:ascii="宋体" w:hAnsi="宋体" w:cs="宋体"/>
                <w:color w:val="000000"/>
                <w:sz w:val="24"/>
              </w:rPr>
            </w:pPr>
          </w:p>
        </w:tc>
        <w:tc>
          <w:tcPr>
            <w:tcW w:w="807" w:type="dxa"/>
            <w:noWrap w:val="0"/>
            <w:vAlign w:val="top"/>
          </w:tcPr>
          <w:p w14:paraId="5821B742">
            <w:pPr>
              <w:spacing w:line="360" w:lineRule="auto"/>
              <w:jc w:val="center"/>
              <w:rPr>
                <w:rFonts w:ascii="宋体" w:hAnsi="宋体" w:cs="宋体"/>
                <w:color w:val="000000"/>
                <w:sz w:val="24"/>
              </w:rPr>
            </w:pPr>
          </w:p>
        </w:tc>
        <w:tc>
          <w:tcPr>
            <w:tcW w:w="1072" w:type="dxa"/>
            <w:noWrap w:val="0"/>
            <w:vAlign w:val="top"/>
          </w:tcPr>
          <w:p w14:paraId="1CAB367D">
            <w:pPr>
              <w:spacing w:line="360" w:lineRule="auto"/>
              <w:jc w:val="center"/>
              <w:rPr>
                <w:rFonts w:ascii="宋体" w:hAnsi="宋体" w:cs="宋体"/>
                <w:color w:val="000000"/>
                <w:sz w:val="24"/>
              </w:rPr>
            </w:pPr>
          </w:p>
        </w:tc>
      </w:tr>
      <w:tr w14:paraId="28433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6312B48">
            <w:pPr>
              <w:spacing w:line="360" w:lineRule="auto"/>
              <w:jc w:val="center"/>
              <w:rPr>
                <w:rFonts w:ascii="宋体" w:hAnsi="宋体" w:cs="宋体"/>
                <w:color w:val="000000"/>
                <w:sz w:val="24"/>
              </w:rPr>
            </w:pPr>
          </w:p>
        </w:tc>
        <w:tc>
          <w:tcPr>
            <w:tcW w:w="2931" w:type="dxa"/>
            <w:noWrap w:val="0"/>
            <w:vAlign w:val="top"/>
          </w:tcPr>
          <w:p w14:paraId="08A250A3">
            <w:pPr>
              <w:spacing w:line="360" w:lineRule="auto"/>
              <w:jc w:val="center"/>
              <w:rPr>
                <w:rFonts w:ascii="宋体" w:hAnsi="宋体" w:cs="宋体"/>
                <w:color w:val="000000"/>
                <w:sz w:val="24"/>
              </w:rPr>
            </w:pPr>
          </w:p>
        </w:tc>
        <w:tc>
          <w:tcPr>
            <w:tcW w:w="3231" w:type="dxa"/>
            <w:noWrap w:val="0"/>
            <w:vAlign w:val="top"/>
          </w:tcPr>
          <w:p w14:paraId="6D59FB0E">
            <w:pPr>
              <w:spacing w:line="360" w:lineRule="auto"/>
              <w:jc w:val="center"/>
              <w:rPr>
                <w:rFonts w:ascii="宋体" w:hAnsi="宋体" w:cs="宋体"/>
                <w:color w:val="000000"/>
                <w:sz w:val="24"/>
              </w:rPr>
            </w:pPr>
          </w:p>
        </w:tc>
        <w:tc>
          <w:tcPr>
            <w:tcW w:w="807" w:type="dxa"/>
            <w:noWrap w:val="0"/>
            <w:vAlign w:val="top"/>
          </w:tcPr>
          <w:p w14:paraId="4EDDE1A2">
            <w:pPr>
              <w:spacing w:line="360" w:lineRule="auto"/>
              <w:jc w:val="center"/>
              <w:rPr>
                <w:rFonts w:ascii="宋体" w:hAnsi="宋体" w:cs="宋体"/>
                <w:color w:val="000000"/>
                <w:sz w:val="24"/>
              </w:rPr>
            </w:pPr>
          </w:p>
        </w:tc>
        <w:tc>
          <w:tcPr>
            <w:tcW w:w="1072" w:type="dxa"/>
            <w:noWrap w:val="0"/>
            <w:vAlign w:val="top"/>
          </w:tcPr>
          <w:p w14:paraId="2BC44634">
            <w:pPr>
              <w:spacing w:line="360" w:lineRule="auto"/>
              <w:jc w:val="center"/>
              <w:rPr>
                <w:rFonts w:ascii="宋体" w:hAnsi="宋体" w:cs="宋体"/>
                <w:color w:val="000000"/>
                <w:sz w:val="24"/>
              </w:rPr>
            </w:pPr>
          </w:p>
        </w:tc>
      </w:tr>
      <w:tr w14:paraId="203C4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6679665">
            <w:pPr>
              <w:spacing w:line="360" w:lineRule="auto"/>
              <w:jc w:val="center"/>
              <w:rPr>
                <w:rFonts w:ascii="宋体" w:hAnsi="宋体" w:cs="宋体"/>
                <w:color w:val="000000"/>
                <w:sz w:val="24"/>
              </w:rPr>
            </w:pPr>
          </w:p>
        </w:tc>
        <w:tc>
          <w:tcPr>
            <w:tcW w:w="2931" w:type="dxa"/>
            <w:noWrap w:val="0"/>
            <w:vAlign w:val="top"/>
          </w:tcPr>
          <w:p w14:paraId="7B5CD2E1">
            <w:pPr>
              <w:spacing w:line="360" w:lineRule="auto"/>
              <w:jc w:val="center"/>
              <w:rPr>
                <w:rFonts w:ascii="宋体" w:hAnsi="宋体" w:cs="宋体"/>
                <w:color w:val="000000"/>
                <w:sz w:val="24"/>
              </w:rPr>
            </w:pPr>
          </w:p>
        </w:tc>
        <w:tc>
          <w:tcPr>
            <w:tcW w:w="3231" w:type="dxa"/>
            <w:noWrap w:val="0"/>
            <w:vAlign w:val="top"/>
          </w:tcPr>
          <w:p w14:paraId="0577C67C">
            <w:pPr>
              <w:spacing w:line="360" w:lineRule="auto"/>
              <w:jc w:val="center"/>
              <w:rPr>
                <w:rFonts w:ascii="宋体" w:hAnsi="宋体" w:cs="宋体"/>
                <w:color w:val="000000"/>
                <w:sz w:val="24"/>
              </w:rPr>
            </w:pPr>
          </w:p>
        </w:tc>
        <w:tc>
          <w:tcPr>
            <w:tcW w:w="807" w:type="dxa"/>
            <w:noWrap w:val="0"/>
            <w:vAlign w:val="top"/>
          </w:tcPr>
          <w:p w14:paraId="397124DC">
            <w:pPr>
              <w:spacing w:line="360" w:lineRule="auto"/>
              <w:jc w:val="center"/>
              <w:rPr>
                <w:rFonts w:ascii="宋体" w:hAnsi="宋体" w:cs="宋体"/>
                <w:color w:val="000000"/>
                <w:sz w:val="24"/>
              </w:rPr>
            </w:pPr>
          </w:p>
        </w:tc>
        <w:tc>
          <w:tcPr>
            <w:tcW w:w="1072" w:type="dxa"/>
            <w:noWrap w:val="0"/>
            <w:vAlign w:val="top"/>
          </w:tcPr>
          <w:p w14:paraId="19EAE56C">
            <w:pPr>
              <w:spacing w:line="360" w:lineRule="auto"/>
              <w:jc w:val="center"/>
              <w:rPr>
                <w:rFonts w:ascii="宋体" w:hAnsi="宋体" w:cs="宋体"/>
                <w:color w:val="000000"/>
                <w:sz w:val="24"/>
              </w:rPr>
            </w:pPr>
          </w:p>
        </w:tc>
      </w:tr>
      <w:tr w14:paraId="7A0F0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15C53DE">
            <w:pPr>
              <w:spacing w:line="360" w:lineRule="auto"/>
              <w:jc w:val="center"/>
              <w:rPr>
                <w:rFonts w:ascii="宋体" w:hAnsi="宋体" w:cs="宋体"/>
                <w:color w:val="000000"/>
                <w:sz w:val="24"/>
              </w:rPr>
            </w:pPr>
          </w:p>
        </w:tc>
        <w:tc>
          <w:tcPr>
            <w:tcW w:w="2931" w:type="dxa"/>
            <w:noWrap w:val="0"/>
            <w:vAlign w:val="top"/>
          </w:tcPr>
          <w:p w14:paraId="30227E48">
            <w:pPr>
              <w:spacing w:line="360" w:lineRule="auto"/>
              <w:jc w:val="center"/>
              <w:rPr>
                <w:rFonts w:ascii="宋体" w:hAnsi="宋体" w:cs="宋体"/>
                <w:color w:val="000000"/>
                <w:sz w:val="24"/>
              </w:rPr>
            </w:pPr>
          </w:p>
        </w:tc>
        <w:tc>
          <w:tcPr>
            <w:tcW w:w="3231" w:type="dxa"/>
            <w:noWrap w:val="0"/>
            <w:vAlign w:val="top"/>
          </w:tcPr>
          <w:p w14:paraId="19440E09">
            <w:pPr>
              <w:spacing w:line="360" w:lineRule="auto"/>
              <w:jc w:val="center"/>
              <w:rPr>
                <w:rFonts w:ascii="宋体" w:hAnsi="宋体" w:cs="宋体"/>
                <w:color w:val="000000"/>
                <w:sz w:val="24"/>
              </w:rPr>
            </w:pPr>
          </w:p>
        </w:tc>
        <w:tc>
          <w:tcPr>
            <w:tcW w:w="807" w:type="dxa"/>
            <w:noWrap w:val="0"/>
            <w:vAlign w:val="top"/>
          </w:tcPr>
          <w:p w14:paraId="7445BFE9">
            <w:pPr>
              <w:spacing w:line="360" w:lineRule="auto"/>
              <w:jc w:val="center"/>
              <w:rPr>
                <w:rFonts w:ascii="宋体" w:hAnsi="宋体" w:cs="宋体"/>
                <w:color w:val="000000"/>
                <w:sz w:val="24"/>
              </w:rPr>
            </w:pPr>
          </w:p>
        </w:tc>
        <w:tc>
          <w:tcPr>
            <w:tcW w:w="1072" w:type="dxa"/>
            <w:noWrap w:val="0"/>
            <w:vAlign w:val="top"/>
          </w:tcPr>
          <w:p w14:paraId="247B8F76">
            <w:pPr>
              <w:spacing w:line="360" w:lineRule="auto"/>
              <w:jc w:val="center"/>
              <w:rPr>
                <w:rFonts w:ascii="宋体" w:hAnsi="宋体" w:cs="宋体"/>
                <w:color w:val="000000"/>
                <w:sz w:val="24"/>
              </w:rPr>
            </w:pPr>
          </w:p>
        </w:tc>
      </w:tr>
      <w:tr w14:paraId="07FD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D25E7A2">
            <w:pPr>
              <w:spacing w:line="360" w:lineRule="auto"/>
              <w:jc w:val="center"/>
              <w:rPr>
                <w:rFonts w:ascii="宋体" w:hAnsi="宋体" w:cs="宋体"/>
                <w:color w:val="000000"/>
                <w:sz w:val="24"/>
              </w:rPr>
            </w:pPr>
          </w:p>
        </w:tc>
        <w:tc>
          <w:tcPr>
            <w:tcW w:w="2931" w:type="dxa"/>
            <w:noWrap w:val="0"/>
            <w:vAlign w:val="top"/>
          </w:tcPr>
          <w:p w14:paraId="77F4864F">
            <w:pPr>
              <w:spacing w:line="360" w:lineRule="auto"/>
              <w:jc w:val="center"/>
              <w:rPr>
                <w:rFonts w:ascii="宋体" w:hAnsi="宋体" w:cs="宋体"/>
                <w:color w:val="000000"/>
                <w:sz w:val="24"/>
              </w:rPr>
            </w:pPr>
          </w:p>
        </w:tc>
        <w:tc>
          <w:tcPr>
            <w:tcW w:w="3231" w:type="dxa"/>
            <w:noWrap w:val="0"/>
            <w:vAlign w:val="top"/>
          </w:tcPr>
          <w:p w14:paraId="6C9F6313">
            <w:pPr>
              <w:spacing w:line="360" w:lineRule="auto"/>
              <w:jc w:val="center"/>
              <w:rPr>
                <w:rFonts w:ascii="宋体" w:hAnsi="宋体" w:cs="宋体"/>
                <w:color w:val="000000"/>
                <w:sz w:val="24"/>
              </w:rPr>
            </w:pPr>
          </w:p>
        </w:tc>
        <w:tc>
          <w:tcPr>
            <w:tcW w:w="807" w:type="dxa"/>
            <w:noWrap w:val="0"/>
            <w:vAlign w:val="top"/>
          </w:tcPr>
          <w:p w14:paraId="6C3EF6DD">
            <w:pPr>
              <w:spacing w:line="360" w:lineRule="auto"/>
              <w:jc w:val="center"/>
              <w:rPr>
                <w:rFonts w:ascii="宋体" w:hAnsi="宋体" w:cs="宋体"/>
                <w:color w:val="000000"/>
                <w:sz w:val="24"/>
              </w:rPr>
            </w:pPr>
          </w:p>
        </w:tc>
        <w:tc>
          <w:tcPr>
            <w:tcW w:w="1072" w:type="dxa"/>
            <w:noWrap w:val="0"/>
            <w:vAlign w:val="top"/>
          </w:tcPr>
          <w:p w14:paraId="5913CACD">
            <w:pPr>
              <w:spacing w:line="360" w:lineRule="auto"/>
              <w:jc w:val="center"/>
              <w:rPr>
                <w:rFonts w:ascii="宋体" w:hAnsi="宋体" w:cs="宋体"/>
                <w:color w:val="000000"/>
                <w:sz w:val="24"/>
              </w:rPr>
            </w:pPr>
          </w:p>
        </w:tc>
      </w:tr>
      <w:tr w14:paraId="133F3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4DF06FB">
            <w:pPr>
              <w:spacing w:line="360" w:lineRule="auto"/>
              <w:jc w:val="center"/>
              <w:rPr>
                <w:rFonts w:ascii="宋体" w:hAnsi="宋体" w:cs="宋体"/>
                <w:color w:val="000000"/>
                <w:sz w:val="24"/>
              </w:rPr>
            </w:pPr>
          </w:p>
        </w:tc>
        <w:tc>
          <w:tcPr>
            <w:tcW w:w="2931" w:type="dxa"/>
            <w:noWrap w:val="0"/>
            <w:vAlign w:val="top"/>
          </w:tcPr>
          <w:p w14:paraId="1BD3B0A3">
            <w:pPr>
              <w:spacing w:line="360" w:lineRule="auto"/>
              <w:jc w:val="center"/>
              <w:rPr>
                <w:rFonts w:ascii="宋体" w:hAnsi="宋体" w:cs="宋体"/>
                <w:color w:val="000000"/>
                <w:sz w:val="24"/>
              </w:rPr>
            </w:pPr>
          </w:p>
        </w:tc>
        <w:tc>
          <w:tcPr>
            <w:tcW w:w="3231" w:type="dxa"/>
            <w:noWrap w:val="0"/>
            <w:vAlign w:val="top"/>
          </w:tcPr>
          <w:p w14:paraId="585092AD">
            <w:pPr>
              <w:spacing w:line="360" w:lineRule="auto"/>
              <w:jc w:val="center"/>
              <w:rPr>
                <w:rFonts w:ascii="宋体" w:hAnsi="宋体" w:cs="宋体"/>
                <w:color w:val="000000"/>
                <w:sz w:val="24"/>
              </w:rPr>
            </w:pPr>
          </w:p>
        </w:tc>
        <w:tc>
          <w:tcPr>
            <w:tcW w:w="807" w:type="dxa"/>
            <w:noWrap w:val="0"/>
            <w:vAlign w:val="top"/>
          </w:tcPr>
          <w:p w14:paraId="3B17C536">
            <w:pPr>
              <w:spacing w:line="360" w:lineRule="auto"/>
              <w:jc w:val="center"/>
              <w:rPr>
                <w:rFonts w:ascii="宋体" w:hAnsi="宋体" w:cs="宋体"/>
                <w:color w:val="000000"/>
                <w:sz w:val="24"/>
              </w:rPr>
            </w:pPr>
          </w:p>
        </w:tc>
        <w:tc>
          <w:tcPr>
            <w:tcW w:w="1072" w:type="dxa"/>
            <w:noWrap w:val="0"/>
            <w:vAlign w:val="top"/>
          </w:tcPr>
          <w:p w14:paraId="11A24C38">
            <w:pPr>
              <w:spacing w:line="360" w:lineRule="auto"/>
              <w:jc w:val="center"/>
              <w:rPr>
                <w:rFonts w:ascii="宋体" w:hAnsi="宋体" w:cs="宋体"/>
                <w:color w:val="000000"/>
                <w:sz w:val="24"/>
              </w:rPr>
            </w:pPr>
          </w:p>
        </w:tc>
      </w:tr>
      <w:tr w14:paraId="67181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A0B3551">
            <w:pPr>
              <w:spacing w:line="360" w:lineRule="auto"/>
              <w:jc w:val="center"/>
              <w:rPr>
                <w:rFonts w:ascii="宋体" w:hAnsi="宋体" w:cs="宋体"/>
                <w:color w:val="000000"/>
                <w:sz w:val="24"/>
              </w:rPr>
            </w:pPr>
          </w:p>
        </w:tc>
        <w:tc>
          <w:tcPr>
            <w:tcW w:w="2931" w:type="dxa"/>
            <w:noWrap w:val="0"/>
            <w:vAlign w:val="top"/>
          </w:tcPr>
          <w:p w14:paraId="174A9FBB">
            <w:pPr>
              <w:spacing w:line="360" w:lineRule="auto"/>
              <w:jc w:val="center"/>
              <w:rPr>
                <w:rFonts w:ascii="宋体" w:hAnsi="宋体" w:cs="宋体"/>
                <w:color w:val="000000"/>
                <w:sz w:val="24"/>
              </w:rPr>
            </w:pPr>
          </w:p>
        </w:tc>
        <w:tc>
          <w:tcPr>
            <w:tcW w:w="3231" w:type="dxa"/>
            <w:noWrap w:val="0"/>
            <w:vAlign w:val="top"/>
          </w:tcPr>
          <w:p w14:paraId="12FABFC2">
            <w:pPr>
              <w:spacing w:line="360" w:lineRule="auto"/>
              <w:jc w:val="center"/>
              <w:rPr>
                <w:rFonts w:ascii="宋体" w:hAnsi="宋体" w:cs="宋体"/>
                <w:color w:val="000000"/>
                <w:sz w:val="24"/>
              </w:rPr>
            </w:pPr>
          </w:p>
        </w:tc>
        <w:tc>
          <w:tcPr>
            <w:tcW w:w="807" w:type="dxa"/>
            <w:noWrap w:val="0"/>
            <w:vAlign w:val="top"/>
          </w:tcPr>
          <w:p w14:paraId="01D90978">
            <w:pPr>
              <w:spacing w:line="360" w:lineRule="auto"/>
              <w:jc w:val="center"/>
              <w:rPr>
                <w:rFonts w:ascii="宋体" w:hAnsi="宋体" w:cs="宋体"/>
                <w:color w:val="000000"/>
                <w:sz w:val="24"/>
              </w:rPr>
            </w:pPr>
          </w:p>
        </w:tc>
        <w:tc>
          <w:tcPr>
            <w:tcW w:w="1072" w:type="dxa"/>
            <w:noWrap w:val="0"/>
            <w:vAlign w:val="top"/>
          </w:tcPr>
          <w:p w14:paraId="753353AE">
            <w:pPr>
              <w:spacing w:line="360" w:lineRule="auto"/>
              <w:jc w:val="center"/>
              <w:rPr>
                <w:rFonts w:ascii="宋体" w:hAnsi="宋体" w:cs="宋体"/>
                <w:color w:val="000000"/>
                <w:sz w:val="24"/>
              </w:rPr>
            </w:pPr>
          </w:p>
        </w:tc>
      </w:tr>
      <w:tr w14:paraId="04044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72C6C46">
            <w:pPr>
              <w:spacing w:line="360" w:lineRule="auto"/>
              <w:jc w:val="center"/>
              <w:rPr>
                <w:rFonts w:ascii="宋体" w:hAnsi="宋体" w:cs="宋体"/>
                <w:color w:val="000000"/>
                <w:sz w:val="24"/>
              </w:rPr>
            </w:pPr>
          </w:p>
        </w:tc>
        <w:tc>
          <w:tcPr>
            <w:tcW w:w="2931" w:type="dxa"/>
            <w:noWrap w:val="0"/>
            <w:vAlign w:val="top"/>
          </w:tcPr>
          <w:p w14:paraId="5EDB874B">
            <w:pPr>
              <w:spacing w:line="360" w:lineRule="auto"/>
              <w:jc w:val="center"/>
              <w:rPr>
                <w:rFonts w:ascii="宋体" w:hAnsi="宋体" w:cs="宋体"/>
                <w:color w:val="000000"/>
                <w:sz w:val="24"/>
              </w:rPr>
            </w:pPr>
          </w:p>
        </w:tc>
        <w:tc>
          <w:tcPr>
            <w:tcW w:w="3231" w:type="dxa"/>
            <w:noWrap w:val="0"/>
            <w:vAlign w:val="top"/>
          </w:tcPr>
          <w:p w14:paraId="7FEBF310">
            <w:pPr>
              <w:spacing w:line="360" w:lineRule="auto"/>
              <w:jc w:val="center"/>
              <w:rPr>
                <w:rFonts w:ascii="宋体" w:hAnsi="宋体" w:cs="宋体"/>
                <w:color w:val="000000"/>
                <w:sz w:val="24"/>
              </w:rPr>
            </w:pPr>
          </w:p>
        </w:tc>
        <w:tc>
          <w:tcPr>
            <w:tcW w:w="807" w:type="dxa"/>
            <w:noWrap w:val="0"/>
            <w:vAlign w:val="top"/>
          </w:tcPr>
          <w:p w14:paraId="6087EB53">
            <w:pPr>
              <w:spacing w:line="360" w:lineRule="auto"/>
              <w:jc w:val="center"/>
              <w:rPr>
                <w:rFonts w:ascii="宋体" w:hAnsi="宋体" w:cs="宋体"/>
                <w:color w:val="000000"/>
                <w:sz w:val="24"/>
              </w:rPr>
            </w:pPr>
          </w:p>
        </w:tc>
        <w:tc>
          <w:tcPr>
            <w:tcW w:w="1072" w:type="dxa"/>
            <w:noWrap w:val="0"/>
            <w:vAlign w:val="top"/>
          </w:tcPr>
          <w:p w14:paraId="625955A0">
            <w:pPr>
              <w:spacing w:line="360" w:lineRule="auto"/>
              <w:jc w:val="center"/>
              <w:rPr>
                <w:rFonts w:ascii="宋体" w:hAnsi="宋体" w:cs="宋体"/>
                <w:color w:val="000000"/>
                <w:sz w:val="24"/>
              </w:rPr>
            </w:pPr>
          </w:p>
        </w:tc>
      </w:tr>
      <w:tr w14:paraId="50F0F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1BB5DBA">
            <w:pPr>
              <w:spacing w:line="360" w:lineRule="auto"/>
              <w:jc w:val="center"/>
              <w:rPr>
                <w:rFonts w:ascii="宋体" w:hAnsi="宋体" w:cs="宋体"/>
                <w:color w:val="000000"/>
                <w:sz w:val="24"/>
              </w:rPr>
            </w:pPr>
          </w:p>
        </w:tc>
        <w:tc>
          <w:tcPr>
            <w:tcW w:w="2931" w:type="dxa"/>
            <w:noWrap w:val="0"/>
            <w:vAlign w:val="top"/>
          </w:tcPr>
          <w:p w14:paraId="2DEFED3E">
            <w:pPr>
              <w:spacing w:line="360" w:lineRule="auto"/>
              <w:jc w:val="center"/>
              <w:rPr>
                <w:rFonts w:ascii="宋体" w:hAnsi="宋体" w:cs="宋体"/>
                <w:color w:val="000000"/>
                <w:sz w:val="24"/>
              </w:rPr>
            </w:pPr>
          </w:p>
        </w:tc>
        <w:tc>
          <w:tcPr>
            <w:tcW w:w="3231" w:type="dxa"/>
            <w:noWrap w:val="0"/>
            <w:vAlign w:val="top"/>
          </w:tcPr>
          <w:p w14:paraId="2B62BF52">
            <w:pPr>
              <w:spacing w:line="360" w:lineRule="auto"/>
              <w:jc w:val="center"/>
              <w:rPr>
                <w:rFonts w:ascii="宋体" w:hAnsi="宋体" w:cs="宋体"/>
                <w:color w:val="000000"/>
                <w:sz w:val="24"/>
              </w:rPr>
            </w:pPr>
          </w:p>
        </w:tc>
        <w:tc>
          <w:tcPr>
            <w:tcW w:w="807" w:type="dxa"/>
            <w:noWrap w:val="0"/>
            <w:vAlign w:val="top"/>
          </w:tcPr>
          <w:p w14:paraId="506E0F30">
            <w:pPr>
              <w:spacing w:line="360" w:lineRule="auto"/>
              <w:jc w:val="center"/>
              <w:rPr>
                <w:rFonts w:ascii="宋体" w:hAnsi="宋体" w:cs="宋体"/>
                <w:color w:val="000000"/>
                <w:sz w:val="24"/>
              </w:rPr>
            </w:pPr>
          </w:p>
        </w:tc>
        <w:tc>
          <w:tcPr>
            <w:tcW w:w="1072" w:type="dxa"/>
            <w:noWrap w:val="0"/>
            <w:vAlign w:val="top"/>
          </w:tcPr>
          <w:p w14:paraId="3B117473">
            <w:pPr>
              <w:spacing w:line="360" w:lineRule="auto"/>
              <w:jc w:val="center"/>
              <w:rPr>
                <w:rFonts w:ascii="宋体" w:hAnsi="宋体" w:cs="宋体"/>
                <w:color w:val="000000"/>
                <w:sz w:val="24"/>
              </w:rPr>
            </w:pPr>
          </w:p>
        </w:tc>
      </w:tr>
    </w:tbl>
    <w:p w14:paraId="4E111813">
      <w:pPr>
        <w:spacing w:line="360" w:lineRule="auto"/>
        <w:ind w:right="-161"/>
        <w:rPr>
          <w:rFonts w:ascii="宋体" w:hAnsi="宋体" w:cs="宋体"/>
          <w:color w:val="000000"/>
          <w:sz w:val="24"/>
        </w:rPr>
      </w:pPr>
      <w:r>
        <w:rPr>
          <w:rFonts w:hint="eastAsia" w:ascii="宋体" w:hAnsi="宋体" w:cs="宋体"/>
          <w:color w:val="000000"/>
          <w:sz w:val="24"/>
        </w:rPr>
        <w:t>说明：</w:t>
      </w:r>
    </w:p>
    <w:p w14:paraId="7A82E5F6">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14:paraId="2EF84CAD">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14:paraId="27C39DCB">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14:paraId="5817724F">
      <w:pPr>
        <w:spacing w:line="360" w:lineRule="auto"/>
        <w:ind w:right="-161" w:firstLine="2640" w:firstLineChars="1100"/>
        <w:rPr>
          <w:rFonts w:ascii="宋体" w:hAnsi="宋体" w:cs="宋体"/>
          <w:color w:val="000000"/>
          <w:sz w:val="24"/>
          <w:szCs w:val="24"/>
        </w:rPr>
      </w:pPr>
    </w:p>
    <w:p w14:paraId="7BF8C695">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14:paraId="04DA5209">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14:paraId="684478FE">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46" w:name="_Toc312789407"/>
      <w:bookmarkStart w:id="347" w:name="_Toc283240500"/>
      <w:bookmarkStart w:id="348" w:name="_Toc334522295"/>
      <w:bookmarkStart w:id="349" w:name="_Toc347478750"/>
      <w:bookmarkStart w:id="350" w:name="_Toc311415661"/>
    </w:p>
    <w:bookmarkEnd w:id="346"/>
    <w:bookmarkEnd w:id="347"/>
    <w:bookmarkEnd w:id="348"/>
    <w:bookmarkEnd w:id="349"/>
    <w:bookmarkEnd w:id="350"/>
    <w:p w14:paraId="382614C7">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51" w:name="_Hlt491573425"/>
      <w:bookmarkEnd w:id="351"/>
      <w:bookmarkStart w:id="352" w:name="_Hlt491766019"/>
      <w:bookmarkEnd w:id="352"/>
      <w:bookmarkStart w:id="353" w:name="_Hlt491572882"/>
      <w:bookmarkEnd w:id="353"/>
      <w:bookmarkStart w:id="354" w:name="_Hlt491765868"/>
      <w:bookmarkEnd w:id="354"/>
      <w:bookmarkStart w:id="355" w:name="_Hlt491765944"/>
      <w:bookmarkEnd w:id="355"/>
      <w:bookmarkStart w:id="356" w:name="_Toc17542"/>
      <w:bookmarkStart w:id="357" w:name="_Toc12278"/>
      <w:bookmarkStart w:id="358" w:name="_Toc10670"/>
      <w:bookmarkStart w:id="359" w:name="_Toc19031"/>
      <w:bookmarkStart w:id="360" w:name="_Toc465958135"/>
      <w:bookmarkStart w:id="361" w:name="_Toc354655332"/>
      <w:bookmarkStart w:id="362" w:name="_Toc14838"/>
      <w:bookmarkStart w:id="363" w:name="_Toc32070"/>
      <w:bookmarkStart w:id="364" w:name="_Toc389620250"/>
      <w:bookmarkStart w:id="365" w:name="_Toc385992410"/>
    </w:p>
    <w:p w14:paraId="61D4CC8A">
      <w:pPr>
        <w:jc w:val="center"/>
        <w:outlineLvl w:val="0"/>
        <w:rPr>
          <w:rFonts w:hint="eastAsia" w:ascii="宋体" w:hAnsi="宋体" w:cs="宋体"/>
          <w:b/>
          <w:color w:val="auto"/>
          <w:sz w:val="32"/>
          <w:szCs w:val="22"/>
        </w:rPr>
      </w:pPr>
      <w:r>
        <w:rPr>
          <w:rFonts w:hint="eastAsia" w:ascii="宋体" w:hAnsi="宋体" w:cs="宋体"/>
          <w:b/>
          <w:color w:val="auto"/>
          <w:sz w:val="32"/>
          <w:szCs w:val="22"/>
        </w:rPr>
        <w:t>六、</w:t>
      </w:r>
      <w:bookmarkStart w:id="366" w:name="_Toc23210"/>
      <w:bookmarkStart w:id="367" w:name="_Toc7554"/>
      <w:r>
        <w:rPr>
          <w:rFonts w:hint="eastAsia" w:ascii="宋体" w:hAnsi="宋体" w:cs="宋体"/>
          <w:b/>
          <w:color w:val="auto"/>
          <w:sz w:val="32"/>
          <w:szCs w:val="22"/>
        </w:rPr>
        <w:t>规格技术参数偏离表</w:t>
      </w:r>
      <w:bookmarkEnd w:id="366"/>
      <w:bookmarkEnd w:id="367"/>
    </w:p>
    <w:p w14:paraId="0AE948CC">
      <w:pPr>
        <w:spacing w:line="360" w:lineRule="auto"/>
        <w:rPr>
          <w:rFonts w:hint="eastAsia" w:ascii="宋体" w:hAnsi="宋体" w:cs="宋体"/>
          <w:color w:val="auto"/>
          <w:sz w:val="24"/>
          <w:szCs w:val="24"/>
        </w:rPr>
      </w:pPr>
      <w:r>
        <w:rPr>
          <w:rFonts w:hint="eastAsia" w:ascii="宋体" w:hAnsi="宋体" w:cs="宋体"/>
          <w:color w:val="auto"/>
          <w:sz w:val="24"/>
          <w:szCs w:val="24"/>
        </w:rPr>
        <w:t>投标人名称：</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采购项目编号：</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tbl>
      <w:tblPr>
        <w:tblStyle w:val="21"/>
        <w:tblW w:w="96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325"/>
        <w:gridCol w:w="1969"/>
        <w:gridCol w:w="2404"/>
        <w:gridCol w:w="1559"/>
        <w:gridCol w:w="1417"/>
      </w:tblGrid>
      <w:tr w14:paraId="4E93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06C9B67">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内容</w:t>
            </w:r>
          </w:p>
        </w:tc>
        <w:tc>
          <w:tcPr>
            <w:tcW w:w="1969" w:type="dxa"/>
            <w:noWrap w:val="0"/>
            <w:vAlign w:val="center"/>
          </w:tcPr>
          <w:p w14:paraId="226D262D">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采购需求</w:t>
            </w:r>
          </w:p>
        </w:tc>
        <w:tc>
          <w:tcPr>
            <w:tcW w:w="2404" w:type="dxa"/>
            <w:noWrap w:val="0"/>
            <w:vAlign w:val="center"/>
          </w:tcPr>
          <w:p w14:paraId="53CD2AB5">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投标响应</w:t>
            </w:r>
          </w:p>
        </w:tc>
        <w:tc>
          <w:tcPr>
            <w:tcW w:w="1559" w:type="dxa"/>
            <w:noWrap w:val="0"/>
            <w:vAlign w:val="center"/>
          </w:tcPr>
          <w:p w14:paraId="63984701">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偏离情况</w:t>
            </w:r>
          </w:p>
        </w:tc>
        <w:tc>
          <w:tcPr>
            <w:tcW w:w="1417" w:type="dxa"/>
            <w:noWrap w:val="0"/>
            <w:vAlign w:val="center"/>
          </w:tcPr>
          <w:p w14:paraId="07AB7249">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偏离说明</w:t>
            </w:r>
          </w:p>
        </w:tc>
      </w:tr>
      <w:tr w14:paraId="4EFFA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3B86F36">
            <w:pPr>
              <w:spacing w:line="360" w:lineRule="auto"/>
              <w:jc w:val="center"/>
              <w:rPr>
                <w:rFonts w:hint="eastAsia" w:ascii="宋体" w:hAnsi="宋体" w:cs="宋体"/>
                <w:color w:val="auto"/>
                <w:sz w:val="24"/>
                <w:szCs w:val="24"/>
              </w:rPr>
            </w:pPr>
          </w:p>
        </w:tc>
        <w:tc>
          <w:tcPr>
            <w:tcW w:w="1969" w:type="dxa"/>
            <w:noWrap w:val="0"/>
            <w:vAlign w:val="center"/>
          </w:tcPr>
          <w:p w14:paraId="093BBB48">
            <w:pPr>
              <w:spacing w:line="360" w:lineRule="auto"/>
              <w:jc w:val="center"/>
              <w:rPr>
                <w:rFonts w:hint="eastAsia" w:ascii="宋体" w:hAnsi="宋体" w:cs="宋体"/>
                <w:color w:val="auto"/>
                <w:sz w:val="24"/>
                <w:szCs w:val="24"/>
              </w:rPr>
            </w:pPr>
          </w:p>
        </w:tc>
        <w:tc>
          <w:tcPr>
            <w:tcW w:w="2404" w:type="dxa"/>
            <w:noWrap w:val="0"/>
            <w:vAlign w:val="center"/>
          </w:tcPr>
          <w:p w14:paraId="17CC64FD">
            <w:pPr>
              <w:spacing w:line="360" w:lineRule="auto"/>
              <w:jc w:val="center"/>
              <w:rPr>
                <w:rFonts w:hint="eastAsia" w:ascii="宋体" w:hAnsi="宋体" w:cs="宋体"/>
                <w:color w:val="auto"/>
                <w:sz w:val="24"/>
                <w:szCs w:val="24"/>
              </w:rPr>
            </w:pPr>
          </w:p>
        </w:tc>
        <w:tc>
          <w:tcPr>
            <w:tcW w:w="1559" w:type="dxa"/>
            <w:noWrap w:val="0"/>
            <w:vAlign w:val="center"/>
          </w:tcPr>
          <w:p w14:paraId="57C335CF">
            <w:pPr>
              <w:spacing w:line="360" w:lineRule="auto"/>
              <w:jc w:val="center"/>
              <w:rPr>
                <w:rFonts w:hint="eastAsia" w:ascii="宋体" w:hAnsi="宋体" w:cs="宋体"/>
                <w:color w:val="auto"/>
                <w:sz w:val="24"/>
                <w:szCs w:val="24"/>
              </w:rPr>
            </w:pPr>
          </w:p>
        </w:tc>
        <w:tc>
          <w:tcPr>
            <w:tcW w:w="1417" w:type="dxa"/>
            <w:noWrap w:val="0"/>
            <w:vAlign w:val="center"/>
          </w:tcPr>
          <w:p w14:paraId="1BEEE4ED">
            <w:pPr>
              <w:spacing w:line="360" w:lineRule="auto"/>
              <w:jc w:val="center"/>
              <w:rPr>
                <w:rFonts w:hint="eastAsia" w:ascii="宋体" w:hAnsi="宋体" w:cs="宋体"/>
                <w:color w:val="auto"/>
                <w:sz w:val="24"/>
                <w:szCs w:val="24"/>
              </w:rPr>
            </w:pPr>
          </w:p>
        </w:tc>
      </w:tr>
      <w:tr w14:paraId="3D607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573F671E">
            <w:pPr>
              <w:spacing w:line="360" w:lineRule="auto"/>
              <w:jc w:val="center"/>
              <w:rPr>
                <w:rFonts w:hint="eastAsia" w:ascii="宋体" w:hAnsi="宋体" w:cs="宋体"/>
                <w:color w:val="auto"/>
                <w:sz w:val="24"/>
                <w:szCs w:val="24"/>
              </w:rPr>
            </w:pPr>
          </w:p>
        </w:tc>
        <w:tc>
          <w:tcPr>
            <w:tcW w:w="1969" w:type="dxa"/>
            <w:noWrap w:val="0"/>
            <w:vAlign w:val="center"/>
          </w:tcPr>
          <w:p w14:paraId="5575864A">
            <w:pPr>
              <w:spacing w:line="360" w:lineRule="auto"/>
              <w:jc w:val="center"/>
              <w:rPr>
                <w:rFonts w:hint="eastAsia" w:ascii="宋体" w:hAnsi="宋体" w:cs="宋体"/>
                <w:color w:val="auto"/>
                <w:sz w:val="24"/>
                <w:szCs w:val="24"/>
              </w:rPr>
            </w:pPr>
          </w:p>
        </w:tc>
        <w:tc>
          <w:tcPr>
            <w:tcW w:w="2404" w:type="dxa"/>
            <w:noWrap w:val="0"/>
            <w:vAlign w:val="center"/>
          </w:tcPr>
          <w:p w14:paraId="441F5938">
            <w:pPr>
              <w:spacing w:line="360" w:lineRule="auto"/>
              <w:jc w:val="center"/>
              <w:rPr>
                <w:rFonts w:hint="eastAsia" w:ascii="宋体" w:hAnsi="宋体" w:cs="宋体"/>
                <w:color w:val="auto"/>
                <w:sz w:val="24"/>
                <w:szCs w:val="24"/>
              </w:rPr>
            </w:pPr>
          </w:p>
        </w:tc>
        <w:tc>
          <w:tcPr>
            <w:tcW w:w="1559" w:type="dxa"/>
            <w:noWrap w:val="0"/>
            <w:vAlign w:val="center"/>
          </w:tcPr>
          <w:p w14:paraId="5994D9DB">
            <w:pPr>
              <w:spacing w:line="360" w:lineRule="auto"/>
              <w:jc w:val="center"/>
              <w:rPr>
                <w:rFonts w:hint="eastAsia" w:ascii="宋体" w:hAnsi="宋体" w:cs="宋体"/>
                <w:color w:val="auto"/>
                <w:sz w:val="24"/>
                <w:szCs w:val="24"/>
              </w:rPr>
            </w:pPr>
          </w:p>
        </w:tc>
        <w:tc>
          <w:tcPr>
            <w:tcW w:w="1417" w:type="dxa"/>
            <w:noWrap w:val="0"/>
            <w:vAlign w:val="top"/>
          </w:tcPr>
          <w:p w14:paraId="48BC8C48">
            <w:pPr>
              <w:spacing w:line="360" w:lineRule="auto"/>
              <w:jc w:val="center"/>
              <w:rPr>
                <w:rFonts w:hint="eastAsia" w:ascii="宋体" w:hAnsi="宋体" w:cs="宋体"/>
                <w:color w:val="auto"/>
                <w:sz w:val="24"/>
                <w:szCs w:val="24"/>
              </w:rPr>
            </w:pPr>
          </w:p>
        </w:tc>
      </w:tr>
      <w:tr w14:paraId="1283D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545562B1">
            <w:pPr>
              <w:spacing w:line="360" w:lineRule="auto"/>
              <w:jc w:val="center"/>
              <w:rPr>
                <w:rFonts w:hint="eastAsia" w:ascii="宋体" w:hAnsi="宋体" w:cs="宋体"/>
                <w:color w:val="auto"/>
                <w:sz w:val="24"/>
                <w:szCs w:val="24"/>
              </w:rPr>
            </w:pPr>
          </w:p>
        </w:tc>
        <w:tc>
          <w:tcPr>
            <w:tcW w:w="1969" w:type="dxa"/>
            <w:noWrap w:val="0"/>
            <w:vAlign w:val="center"/>
          </w:tcPr>
          <w:p w14:paraId="220657BF">
            <w:pPr>
              <w:spacing w:line="360" w:lineRule="auto"/>
              <w:jc w:val="center"/>
              <w:rPr>
                <w:rFonts w:hint="eastAsia" w:ascii="宋体" w:hAnsi="宋体" w:cs="宋体"/>
                <w:color w:val="auto"/>
                <w:sz w:val="24"/>
                <w:szCs w:val="24"/>
              </w:rPr>
            </w:pPr>
          </w:p>
        </w:tc>
        <w:tc>
          <w:tcPr>
            <w:tcW w:w="2404" w:type="dxa"/>
            <w:noWrap w:val="0"/>
            <w:vAlign w:val="center"/>
          </w:tcPr>
          <w:p w14:paraId="50C3DCA6">
            <w:pPr>
              <w:spacing w:line="360" w:lineRule="auto"/>
              <w:jc w:val="center"/>
              <w:rPr>
                <w:rFonts w:hint="eastAsia" w:ascii="宋体" w:hAnsi="宋体" w:cs="宋体"/>
                <w:color w:val="auto"/>
                <w:sz w:val="24"/>
                <w:szCs w:val="24"/>
              </w:rPr>
            </w:pPr>
          </w:p>
        </w:tc>
        <w:tc>
          <w:tcPr>
            <w:tcW w:w="1559" w:type="dxa"/>
            <w:noWrap w:val="0"/>
            <w:vAlign w:val="center"/>
          </w:tcPr>
          <w:p w14:paraId="7825EF35">
            <w:pPr>
              <w:spacing w:line="360" w:lineRule="auto"/>
              <w:jc w:val="center"/>
              <w:rPr>
                <w:rFonts w:hint="eastAsia" w:ascii="宋体" w:hAnsi="宋体" w:cs="宋体"/>
                <w:color w:val="auto"/>
                <w:sz w:val="24"/>
                <w:szCs w:val="24"/>
              </w:rPr>
            </w:pPr>
          </w:p>
        </w:tc>
        <w:tc>
          <w:tcPr>
            <w:tcW w:w="1417" w:type="dxa"/>
            <w:noWrap w:val="0"/>
            <w:vAlign w:val="top"/>
          </w:tcPr>
          <w:p w14:paraId="20E03FDD">
            <w:pPr>
              <w:spacing w:line="360" w:lineRule="auto"/>
              <w:jc w:val="center"/>
              <w:rPr>
                <w:rFonts w:hint="eastAsia" w:ascii="宋体" w:hAnsi="宋体" w:cs="宋体"/>
                <w:color w:val="auto"/>
                <w:sz w:val="24"/>
                <w:szCs w:val="24"/>
              </w:rPr>
            </w:pPr>
          </w:p>
        </w:tc>
      </w:tr>
      <w:tr w14:paraId="082E2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60165C39">
            <w:pPr>
              <w:spacing w:line="360" w:lineRule="auto"/>
              <w:jc w:val="center"/>
              <w:rPr>
                <w:rFonts w:hint="eastAsia" w:ascii="宋体" w:hAnsi="宋体" w:cs="宋体"/>
                <w:color w:val="auto"/>
                <w:sz w:val="24"/>
                <w:szCs w:val="24"/>
              </w:rPr>
            </w:pPr>
          </w:p>
        </w:tc>
        <w:tc>
          <w:tcPr>
            <w:tcW w:w="1969" w:type="dxa"/>
            <w:noWrap w:val="0"/>
            <w:vAlign w:val="center"/>
          </w:tcPr>
          <w:p w14:paraId="3BB4CA74">
            <w:pPr>
              <w:spacing w:line="360" w:lineRule="auto"/>
              <w:jc w:val="center"/>
              <w:rPr>
                <w:rFonts w:hint="eastAsia" w:ascii="宋体" w:hAnsi="宋体" w:cs="宋体"/>
                <w:color w:val="auto"/>
                <w:sz w:val="24"/>
                <w:szCs w:val="24"/>
              </w:rPr>
            </w:pPr>
          </w:p>
        </w:tc>
        <w:tc>
          <w:tcPr>
            <w:tcW w:w="2404" w:type="dxa"/>
            <w:noWrap w:val="0"/>
            <w:vAlign w:val="center"/>
          </w:tcPr>
          <w:p w14:paraId="6A979A3B">
            <w:pPr>
              <w:spacing w:line="360" w:lineRule="auto"/>
              <w:jc w:val="center"/>
              <w:rPr>
                <w:rFonts w:hint="eastAsia" w:ascii="宋体" w:hAnsi="宋体" w:cs="宋体"/>
                <w:color w:val="auto"/>
                <w:sz w:val="24"/>
                <w:szCs w:val="24"/>
              </w:rPr>
            </w:pPr>
          </w:p>
        </w:tc>
        <w:tc>
          <w:tcPr>
            <w:tcW w:w="1559" w:type="dxa"/>
            <w:noWrap w:val="0"/>
            <w:vAlign w:val="center"/>
          </w:tcPr>
          <w:p w14:paraId="44D8B7D3">
            <w:pPr>
              <w:spacing w:line="360" w:lineRule="auto"/>
              <w:jc w:val="center"/>
              <w:rPr>
                <w:rFonts w:hint="eastAsia" w:ascii="宋体" w:hAnsi="宋体" w:cs="宋体"/>
                <w:color w:val="auto"/>
                <w:sz w:val="24"/>
                <w:szCs w:val="24"/>
              </w:rPr>
            </w:pPr>
          </w:p>
        </w:tc>
        <w:tc>
          <w:tcPr>
            <w:tcW w:w="1417" w:type="dxa"/>
            <w:noWrap w:val="0"/>
            <w:vAlign w:val="top"/>
          </w:tcPr>
          <w:p w14:paraId="259CB35A">
            <w:pPr>
              <w:spacing w:line="360" w:lineRule="auto"/>
              <w:jc w:val="center"/>
              <w:rPr>
                <w:rFonts w:hint="eastAsia" w:ascii="宋体" w:hAnsi="宋体" w:cs="宋体"/>
                <w:color w:val="auto"/>
                <w:sz w:val="24"/>
                <w:szCs w:val="24"/>
              </w:rPr>
            </w:pPr>
          </w:p>
        </w:tc>
      </w:tr>
      <w:tr w14:paraId="62811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6D795B1">
            <w:pPr>
              <w:spacing w:line="360" w:lineRule="auto"/>
              <w:jc w:val="center"/>
              <w:rPr>
                <w:rFonts w:hint="eastAsia" w:ascii="宋体" w:hAnsi="宋体" w:cs="宋体"/>
                <w:color w:val="auto"/>
                <w:sz w:val="24"/>
                <w:szCs w:val="24"/>
              </w:rPr>
            </w:pPr>
          </w:p>
        </w:tc>
        <w:tc>
          <w:tcPr>
            <w:tcW w:w="1969" w:type="dxa"/>
            <w:noWrap w:val="0"/>
            <w:vAlign w:val="center"/>
          </w:tcPr>
          <w:p w14:paraId="161085BB">
            <w:pPr>
              <w:spacing w:line="360" w:lineRule="auto"/>
              <w:jc w:val="center"/>
              <w:rPr>
                <w:rFonts w:hint="eastAsia" w:ascii="宋体" w:hAnsi="宋体" w:cs="宋体"/>
                <w:color w:val="auto"/>
                <w:sz w:val="24"/>
                <w:szCs w:val="24"/>
              </w:rPr>
            </w:pPr>
          </w:p>
        </w:tc>
        <w:tc>
          <w:tcPr>
            <w:tcW w:w="2404" w:type="dxa"/>
            <w:noWrap w:val="0"/>
            <w:vAlign w:val="center"/>
          </w:tcPr>
          <w:p w14:paraId="3FAF0866">
            <w:pPr>
              <w:spacing w:line="360" w:lineRule="auto"/>
              <w:jc w:val="center"/>
              <w:rPr>
                <w:rFonts w:hint="eastAsia" w:ascii="宋体" w:hAnsi="宋体" w:cs="宋体"/>
                <w:color w:val="auto"/>
                <w:sz w:val="24"/>
                <w:szCs w:val="24"/>
              </w:rPr>
            </w:pPr>
          </w:p>
        </w:tc>
        <w:tc>
          <w:tcPr>
            <w:tcW w:w="1559" w:type="dxa"/>
            <w:noWrap w:val="0"/>
            <w:vAlign w:val="center"/>
          </w:tcPr>
          <w:p w14:paraId="6BA75796">
            <w:pPr>
              <w:spacing w:line="360" w:lineRule="auto"/>
              <w:jc w:val="center"/>
              <w:rPr>
                <w:rFonts w:hint="eastAsia" w:ascii="宋体" w:hAnsi="宋体" w:cs="宋体"/>
                <w:color w:val="auto"/>
                <w:sz w:val="24"/>
                <w:szCs w:val="24"/>
              </w:rPr>
            </w:pPr>
          </w:p>
        </w:tc>
        <w:tc>
          <w:tcPr>
            <w:tcW w:w="1417" w:type="dxa"/>
            <w:noWrap w:val="0"/>
            <w:vAlign w:val="top"/>
          </w:tcPr>
          <w:p w14:paraId="43CAE8A0">
            <w:pPr>
              <w:spacing w:line="360" w:lineRule="auto"/>
              <w:jc w:val="center"/>
              <w:rPr>
                <w:rFonts w:hint="eastAsia" w:ascii="宋体" w:hAnsi="宋体" w:cs="宋体"/>
                <w:color w:val="auto"/>
                <w:sz w:val="24"/>
                <w:szCs w:val="24"/>
              </w:rPr>
            </w:pPr>
          </w:p>
        </w:tc>
      </w:tr>
      <w:tr w14:paraId="5DDB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8482CEC">
            <w:pPr>
              <w:spacing w:line="360" w:lineRule="auto"/>
              <w:jc w:val="center"/>
              <w:rPr>
                <w:rFonts w:hint="eastAsia" w:ascii="宋体" w:hAnsi="宋体" w:cs="宋体"/>
                <w:color w:val="auto"/>
                <w:sz w:val="24"/>
                <w:szCs w:val="24"/>
              </w:rPr>
            </w:pPr>
          </w:p>
        </w:tc>
        <w:tc>
          <w:tcPr>
            <w:tcW w:w="1969" w:type="dxa"/>
            <w:noWrap w:val="0"/>
            <w:vAlign w:val="center"/>
          </w:tcPr>
          <w:p w14:paraId="710D63ED">
            <w:pPr>
              <w:spacing w:line="360" w:lineRule="auto"/>
              <w:jc w:val="center"/>
              <w:rPr>
                <w:rFonts w:hint="eastAsia" w:ascii="宋体" w:hAnsi="宋体" w:cs="宋体"/>
                <w:color w:val="auto"/>
                <w:sz w:val="24"/>
                <w:szCs w:val="24"/>
              </w:rPr>
            </w:pPr>
          </w:p>
        </w:tc>
        <w:tc>
          <w:tcPr>
            <w:tcW w:w="2404" w:type="dxa"/>
            <w:noWrap w:val="0"/>
            <w:vAlign w:val="center"/>
          </w:tcPr>
          <w:p w14:paraId="4AF8DFBF">
            <w:pPr>
              <w:spacing w:line="360" w:lineRule="auto"/>
              <w:jc w:val="center"/>
              <w:rPr>
                <w:rFonts w:hint="eastAsia" w:ascii="宋体" w:hAnsi="宋体" w:cs="宋体"/>
                <w:color w:val="auto"/>
                <w:sz w:val="24"/>
                <w:szCs w:val="24"/>
              </w:rPr>
            </w:pPr>
          </w:p>
        </w:tc>
        <w:tc>
          <w:tcPr>
            <w:tcW w:w="1559" w:type="dxa"/>
            <w:noWrap w:val="0"/>
            <w:vAlign w:val="center"/>
          </w:tcPr>
          <w:p w14:paraId="1E13FEE2">
            <w:pPr>
              <w:spacing w:line="360" w:lineRule="auto"/>
              <w:jc w:val="center"/>
              <w:rPr>
                <w:rFonts w:hint="eastAsia" w:ascii="宋体" w:hAnsi="宋体" w:cs="宋体"/>
                <w:color w:val="auto"/>
                <w:sz w:val="24"/>
                <w:szCs w:val="24"/>
              </w:rPr>
            </w:pPr>
          </w:p>
        </w:tc>
        <w:tc>
          <w:tcPr>
            <w:tcW w:w="1417" w:type="dxa"/>
            <w:noWrap w:val="0"/>
            <w:vAlign w:val="top"/>
          </w:tcPr>
          <w:p w14:paraId="1646D72A">
            <w:pPr>
              <w:spacing w:line="360" w:lineRule="auto"/>
              <w:jc w:val="center"/>
              <w:rPr>
                <w:rFonts w:hint="eastAsia" w:ascii="宋体" w:hAnsi="宋体" w:cs="宋体"/>
                <w:color w:val="auto"/>
                <w:sz w:val="24"/>
                <w:szCs w:val="24"/>
              </w:rPr>
            </w:pPr>
          </w:p>
        </w:tc>
      </w:tr>
      <w:tr w14:paraId="79138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6375E12B">
            <w:pPr>
              <w:spacing w:line="360" w:lineRule="auto"/>
              <w:jc w:val="center"/>
              <w:rPr>
                <w:rFonts w:hint="eastAsia" w:ascii="宋体" w:hAnsi="宋体" w:cs="宋体"/>
                <w:color w:val="auto"/>
                <w:sz w:val="24"/>
                <w:szCs w:val="24"/>
              </w:rPr>
            </w:pPr>
          </w:p>
        </w:tc>
        <w:tc>
          <w:tcPr>
            <w:tcW w:w="1969" w:type="dxa"/>
            <w:noWrap w:val="0"/>
            <w:vAlign w:val="center"/>
          </w:tcPr>
          <w:p w14:paraId="51B9BA16">
            <w:pPr>
              <w:spacing w:line="360" w:lineRule="auto"/>
              <w:jc w:val="center"/>
              <w:rPr>
                <w:rFonts w:hint="eastAsia" w:ascii="宋体" w:hAnsi="宋体" w:cs="宋体"/>
                <w:color w:val="auto"/>
                <w:sz w:val="24"/>
                <w:szCs w:val="24"/>
              </w:rPr>
            </w:pPr>
          </w:p>
        </w:tc>
        <w:tc>
          <w:tcPr>
            <w:tcW w:w="2404" w:type="dxa"/>
            <w:noWrap w:val="0"/>
            <w:vAlign w:val="center"/>
          </w:tcPr>
          <w:p w14:paraId="6B10482A">
            <w:pPr>
              <w:spacing w:line="360" w:lineRule="auto"/>
              <w:jc w:val="center"/>
              <w:rPr>
                <w:rFonts w:hint="eastAsia" w:ascii="宋体" w:hAnsi="宋体" w:cs="宋体"/>
                <w:color w:val="auto"/>
                <w:sz w:val="24"/>
                <w:szCs w:val="24"/>
              </w:rPr>
            </w:pPr>
          </w:p>
        </w:tc>
        <w:tc>
          <w:tcPr>
            <w:tcW w:w="1559" w:type="dxa"/>
            <w:noWrap w:val="0"/>
            <w:vAlign w:val="center"/>
          </w:tcPr>
          <w:p w14:paraId="757DA3C5">
            <w:pPr>
              <w:spacing w:line="360" w:lineRule="auto"/>
              <w:jc w:val="center"/>
              <w:rPr>
                <w:rFonts w:hint="eastAsia" w:ascii="宋体" w:hAnsi="宋体" w:cs="宋体"/>
                <w:color w:val="auto"/>
                <w:sz w:val="24"/>
                <w:szCs w:val="24"/>
              </w:rPr>
            </w:pPr>
          </w:p>
        </w:tc>
        <w:tc>
          <w:tcPr>
            <w:tcW w:w="1417" w:type="dxa"/>
            <w:noWrap w:val="0"/>
            <w:vAlign w:val="top"/>
          </w:tcPr>
          <w:p w14:paraId="479193EE">
            <w:pPr>
              <w:spacing w:line="360" w:lineRule="auto"/>
              <w:jc w:val="center"/>
              <w:rPr>
                <w:rFonts w:hint="eastAsia" w:ascii="宋体" w:hAnsi="宋体" w:cs="宋体"/>
                <w:color w:val="auto"/>
                <w:sz w:val="24"/>
                <w:szCs w:val="24"/>
              </w:rPr>
            </w:pPr>
          </w:p>
        </w:tc>
      </w:tr>
      <w:tr w14:paraId="0D683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6233A771">
            <w:pPr>
              <w:spacing w:line="360" w:lineRule="auto"/>
              <w:jc w:val="center"/>
              <w:rPr>
                <w:rFonts w:hint="eastAsia" w:ascii="宋体" w:hAnsi="宋体" w:cs="宋体"/>
                <w:color w:val="auto"/>
                <w:sz w:val="24"/>
                <w:szCs w:val="24"/>
              </w:rPr>
            </w:pPr>
          </w:p>
        </w:tc>
        <w:tc>
          <w:tcPr>
            <w:tcW w:w="1969" w:type="dxa"/>
            <w:noWrap w:val="0"/>
            <w:vAlign w:val="center"/>
          </w:tcPr>
          <w:p w14:paraId="771CA0EF">
            <w:pPr>
              <w:spacing w:line="360" w:lineRule="auto"/>
              <w:jc w:val="center"/>
              <w:rPr>
                <w:rFonts w:hint="eastAsia" w:ascii="宋体" w:hAnsi="宋体" w:cs="宋体"/>
                <w:color w:val="auto"/>
                <w:sz w:val="24"/>
                <w:szCs w:val="24"/>
              </w:rPr>
            </w:pPr>
          </w:p>
        </w:tc>
        <w:tc>
          <w:tcPr>
            <w:tcW w:w="2404" w:type="dxa"/>
            <w:noWrap w:val="0"/>
            <w:vAlign w:val="center"/>
          </w:tcPr>
          <w:p w14:paraId="43778420">
            <w:pPr>
              <w:spacing w:line="360" w:lineRule="auto"/>
              <w:jc w:val="center"/>
              <w:rPr>
                <w:rFonts w:hint="eastAsia" w:ascii="宋体" w:hAnsi="宋体" w:cs="宋体"/>
                <w:color w:val="auto"/>
                <w:sz w:val="24"/>
                <w:szCs w:val="24"/>
              </w:rPr>
            </w:pPr>
          </w:p>
        </w:tc>
        <w:tc>
          <w:tcPr>
            <w:tcW w:w="1559" w:type="dxa"/>
            <w:noWrap w:val="0"/>
            <w:vAlign w:val="center"/>
          </w:tcPr>
          <w:p w14:paraId="397B8AAD">
            <w:pPr>
              <w:spacing w:line="360" w:lineRule="auto"/>
              <w:jc w:val="center"/>
              <w:rPr>
                <w:rFonts w:hint="eastAsia" w:ascii="宋体" w:hAnsi="宋体" w:cs="宋体"/>
                <w:color w:val="auto"/>
                <w:sz w:val="24"/>
                <w:szCs w:val="24"/>
              </w:rPr>
            </w:pPr>
          </w:p>
        </w:tc>
        <w:tc>
          <w:tcPr>
            <w:tcW w:w="1417" w:type="dxa"/>
            <w:noWrap w:val="0"/>
            <w:vAlign w:val="top"/>
          </w:tcPr>
          <w:p w14:paraId="7160B590">
            <w:pPr>
              <w:spacing w:line="360" w:lineRule="auto"/>
              <w:jc w:val="center"/>
              <w:rPr>
                <w:rFonts w:hint="eastAsia" w:ascii="宋体" w:hAnsi="宋体" w:cs="宋体"/>
                <w:color w:val="auto"/>
                <w:sz w:val="24"/>
                <w:szCs w:val="24"/>
              </w:rPr>
            </w:pPr>
          </w:p>
        </w:tc>
      </w:tr>
      <w:tr w14:paraId="0E424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3BA11534">
            <w:pPr>
              <w:spacing w:line="360" w:lineRule="auto"/>
              <w:jc w:val="center"/>
              <w:rPr>
                <w:rFonts w:hint="eastAsia" w:ascii="宋体" w:hAnsi="宋体" w:cs="宋体"/>
                <w:color w:val="auto"/>
                <w:sz w:val="24"/>
                <w:szCs w:val="24"/>
              </w:rPr>
            </w:pPr>
          </w:p>
        </w:tc>
        <w:tc>
          <w:tcPr>
            <w:tcW w:w="1969" w:type="dxa"/>
            <w:noWrap w:val="0"/>
            <w:vAlign w:val="center"/>
          </w:tcPr>
          <w:p w14:paraId="26E70204">
            <w:pPr>
              <w:spacing w:line="360" w:lineRule="auto"/>
              <w:jc w:val="center"/>
              <w:rPr>
                <w:rFonts w:hint="eastAsia" w:ascii="宋体" w:hAnsi="宋体" w:cs="宋体"/>
                <w:color w:val="auto"/>
                <w:sz w:val="24"/>
                <w:szCs w:val="24"/>
              </w:rPr>
            </w:pPr>
          </w:p>
        </w:tc>
        <w:tc>
          <w:tcPr>
            <w:tcW w:w="2404" w:type="dxa"/>
            <w:noWrap w:val="0"/>
            <w:vAlign w:val="center"/>
          </w:tcPr>
          <w:p w14:paraId="2E933925">
            <w:pPr>
              <w:spacing w:line="360" w:lineRule="auto"/>
              <w:jc w:val="center"/>
              <w:rPr>
                <w:rFonts w:hint="eastAsia" w:ascii="宋体" w:hAnsi="宋体" w:cs="宋体"/>
                <w:color w:val="auto"/>
                <w:sz w:val="24"/>
                <w:szCs w:val="24"/>
              </w:rPr>
            </w:pPr>
          </w:p>
        </w:tc>
        <w:tc>
          <w:tcPr>
            <w:tcW w:w="1559" w:type="dxa"/>
            <w:noWrap w:val="0"/>
            <w:vAlign w:val="center"/>
          </w:tcPr>
          <w:p w14:paraId="5B1E7D6B">
            <w:pPr>
              <w:spacing w:line="360" w:lineRule="auto"/>
              <w:jc w:val="center"/>
              <w:rPr>
                <w:rFonts w:hint="eastAsia" w:ascii="宋体" w:hAnsi="宋体" w:cs="宋体"/>
                <w:color w:val="auto"/>
                <w:sz w:val="24"/>
                <w:szCs w:val="24"/>
              </w:rPr>
            </w:pPr>
          </w:p>
        </w:tc>
        <w:tc>
          <w:tcPr>
            <w:tcW w:w="1417" w:type="dxa"/>
            <w:noWrap w:val="0"/>
            <w:vAlign w:val="top"/>
          </w:tcPr>
          <w:p w14:paraId="588AA3C2">
            <w:pPr>
              <w:spacing w:line="360" w:lineRule="auto"/>
              <w:jc w:val="center"/>
              <w:rPr>
                <w:rFonts w:hint="eastAsia" w:ascii="宋体" w:hAnsi="宋体" w:cs="宋体"/>
                <w:color w:val="auto"/>
                <w:sz w:val="24"/>
                <w:szCs w:val="24"/>
              </w:rPr>
            </w:pPr>
          </w:p>
        </w:tc>
      </w:tr>
      <w:tr w14:paraId="328DE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2FCFA8A">
            <w:pPr>
              <w:spacing w:line="360" w:lineRule="auto"/>
              <w:jc w:val="center"/>
              <w:rPr>
                <w:rFonts w:hint="eastAsia" w:ascii="宋体" w:hAnsi="宋体" w:cs="宋体"/>
                <w:color w:val="auto"/>
                <w:sz w:val="24"/>
                <w:szCs w:val="24"/>
              </w:rPr>
            </w:pPr>
          </w:p>
        </w:tc>
        <w:tc>
          <w:tcPr>
            <w:tcW w:w="1969" w:type="dxa"/>
            <w:noWrap w:val="0"/>
            <w:vAlign w:val="center"/>
          </w:tcPr>
          <w:p w14:paraId="0489A132">
            <w:pPr>
              <w:spacing w:line="360" w:lineRule="auto"/>
              <w:jc w:val="center"/>
              <w:rPr>
                <w:rFonts w:hint="eastAsia" w:ascii="宋体" w:hAnsi="宋体" w:cs="宋体"/>
                <w:color w:val="auto"/>
                <w:sz w:val="24"/>
                <w:szCs w:val="24"/>
              </w:rPr>
            </w:pPr>
          </w:p>
        </w:tc>
        <w:tc>
          <w:tcPr>
            <w:tcW w:w="2404" w:type="dxa"/>
            <w:noWrap w:val="0"/>
            <w:vAlign w:val="center"/>
          </w:tcPr>
          <w:p w14:paraId="6ECA541D">
            <w:pPr>
              <w:spacing w:line="360" w:lineRule="auto"/>
              <w:jc w:val="center"/>
              <w:rPr>
                <w:rFonts w:hint="eastAsia" w:ascii="宋体" w:hAnsi="宋体" w:cs="宋体"/>
                <w:color w:val="auto"/>
                <w:sz w:val="24"/>
                <w:szCs w:val="24"/>
              </w:rPr>
            </w:pPr>
          </w:p>
        </w:tc>
        <w:tc>
          <w:tcPr>
            <w:tcW w:w="1559" w:type="dxa"/>
            <w:noWrap w:val="0"/>
            <w:vAlign w:val="center"/>
          </w:tcPr>
          <w:p w14:paraId="6C2CF766">
            <w:pPr>
              <w:spacing w:line="360" w:lineRule="auto"/>
              <w:jc w:val="center"/>
              <w:rPr>
                <w:rFonts w:hint="eastAsia" w:ascii="宋体" w:hAnsi="宋体" w:cs="宋体"/>
                <w:color w:val="auto"/>
                <w:sz w:val="24"/>
                <w:szCs w:val="24"/>
              </w:rPr>
            </w:pPr>
          </w:p>
        </w:tc>
        <w:tc>
          <w:tcPr>
            <w:tcW w:w="1417" w:type="dxa"/>
            <w:noWrap w:val="0"/>
            <w:vAlign w:val="top"/>
          </w:tcPr>
          <w:p w14:paraId="651A522D">
            <w:pPr>
              <w:spacing w:line="360" w:lineRule="auto"/>
              <w:jc w:val="center"/>
              <w:rPr>
                <w:rFonts w:hint="eastAsia" w:ascii="宋体" w:hAnsi="宋体" w:cs="宋体"/>
                <w:color w:val="auto"/>
                <w:sz w:val="24"/>
                <w:szCs w:val="24"/>
              </w:rPr>
            </w:pPr>
          </w:p>
        </w:tc>
      </w:tr>
      <w:tr w14:paraId="3DF4B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6D1A3B82">
            <w:pPr>
              <w:spacing w:line="360" w:lineRule="auto"/>
              <w:jc w:val="center"/>
              <w:rPr>
                <w:rFonts w:hint="eastAsia" w:ascii="宋体" w:hAnsi="宋体" w:cs="宋体"/>
                <w:color w:val="auto"/>
                <w:sz w:val="24"/>
                <w:szCs w:val="24"/>
              </w:rPr>
            </w:pPr>
          </w:p>
        </w:tc>
        <w:tc>
          <w:tcPr>
            <w:tcW w:w="1969" w:type="dxa"/>
            <w:noWrap w:val="0"/>
            <w:vAlign w:val="center"/>
          </w:tcPr>
          <w:p w14:paraId="0510B767">
            <w:pPr>
              <w:spacing w:line="360" w:lineRule="auto"/>
              <w:jc w:val="center"/>
              <w:rPr>
                <w:rFonts w:hint="eastAsia" w:ascii="宋体" w:hAnsi="宋体" w:cs="宋体"/>
                <w:color w:val="auto"/>
                <w:sz w:val="24"/>
                <w:szCs w:val="24"/>
              </w:rPr>
            </w:pPr>
          </w:p>
        </w:tc>
        <w:tc>
          <w:tcPr>
            <w:tcW w:w="2404" w:type="dxa"/>
            <w:noWrap w:val="0"/>
            <w:vAlign w:val="center"/>
          </w:tcPr>
          <w:p w14:paraId="477299F6">
            <w:pPr>
              <w:spacing w:line="360" w:lineRule="auto"/>
              <w:jc w:val="center"/>
              <w:rPr>
                <w:rFonts w:hint="eastAsia" w:ascii="宋体" w:hAnsi="宋体" w:cs="宋体"/>
                <w:color w:val="auto"/>
                <w:sz w:val="24"/>
                <w:szCs w:val="24"/>
              </w:rPr>
            </w:pPr>
          </w:p>
        </w:tc>
        <w:tc>
          <w:tcPr>
            <w:tcW w:w="1559" w:type="dxa"/>
            <w:noWrap w:val="0"/>
            <w:vAlign w:val="center"/>
          </w:tcPr>
          <w:p w14:paraId="2F612C4E">
            <w:pPr>
              <w:spacing w:line="360" w:lineRule="auto"/>
              <w:jc w:val="center"/>
              <w:rPr>
                <w:rFonts w:hint="eastAsia" w:ascii="宋体" w:hAnsi="宋体" w:cs="宋体"/>
                <w:color w:val="auto"/>
                <w:sz w:val="24"/>
                <w:szCs w:val="24"/>
              </w:rPr>
            </w:pPr>
          </w:p>
        </w:tc>
        <w:tc>
          <w:tcPr>
            <w:tcW w:w="1417" w:type="dxa"/>
            <w:noWrap w:val="0"/>
            <w:vAlign w:val="top"/>
          </w:tcPr>
          <w:p w14:paraId="569B0A5A">
            <w:pPr>
              <w:spacing w:line="360" w:lineRule="auto"/>
              <w:jc w:val="center"/>
              <w:rPr>
                <w:rFonts w:hint="eastAsia" w:ascii="宋体" w:hAnsi="宋体" w:cs="宋体"/>
                <w:color w:val="auto"/>
                <w:sz w:val="24"/>
                <w:szCs w:val="24"/>
              </w:rPr>
            </w:pPr>
          </w:p>
        </w:tc>
      </w:tr>
    </w:tbl>
    <w:p w14:paraId="2A103E95">
      <w:pPr>
        <w:pStyle w:val="11"/>
        <w:spacing w:line="360" w:lineRule="auto"/>
        <w:rPr>
          <w:rFonts w:hint="eastAsia" w:hAnsi="宋体" w:cs="宋体"/>
          <w:color w:val="auto"/>
        </w:rPr>
      </w:pPr>
      <w:r>
        <w:rPr>
          <w:rFonts w:hint="eastAsia" w:hAnsi="宋体" w:cs="宋体"/>
          <w:color w:val="auto"/>
        </w:rPr>
        <w:t>说明：</w:t>
      </w:r>
    </w:p>
    <w:p w14:paraId="3C625B77">
      <w:pPr>
        <w:autoSpaceDE w:val="0"/>
        <w:autoSpaceDN w:val="0"/>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1、请按项目的实际技术参数，逐条对应</w:t>
      </w:r>
      <w:r>
        <w:rPr>
          <w:rFonts w:hint="eastAsia" w:ascii="宋体" w:hAnsi="宋体" w:cs="宋体"/>
          <w:color w:val="auto"/>
          <w:sz w:val="24"/>
          <w:lang w:eastAsia="zh-CN"/>
        </w:rPr>
        <w:t>谈判文件</w:t>
      </w:r>
      <w:r>
        <w:rPr>
          <w:rFonts w:hint="eastAsia" w:ascii="宋体" w:hAnsi="宋体" w:cs="宋体"/>
          <w:color w:val="auto"/>
          <w:sz w:val="24"/>
        </w:rPr>
        <w:t>的“采购内容及要求”，认真填写本表。偏离情况填写：优于、等于或低于，偏离说明对偏离情况做出详细说明。</w:t>
      </w:r>
    </w:p>
    <w:p w14:paraId="6500EAAC">
      <w:pPr>
        <w:autoSpaceDE w:val="0"/>
        <w:autoSpaceDN w:val="0"/>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2、投标人应按实际情况填写。</w:t>
      </w:r>
    </w:p>
    <w:p w14:paraId="5DDB6B85">
      <w:pPr>
        <w:spacing w:line="480" w:lineRule="auto"/>
        <w:ind w:right="-161" w:firstLine="2640" w:firstLineChars="1100"/>
        <w:rPr>
          <w:rFonts w:hint="eastAsia" w:ascii="宋体" w:hAnsi="宋体" w:cs="宋体"/>
          <w:color w:val="auto"/>
          <w:sz w:val="24"/>
        </w:rPr>
      </w:pPr>
    </w:p>
    <w:p w14:paraId="389319F4">
      <w:pPr>
        <w:spacing w:line="360" w:lineRule="auto"/>
        <w:ind w:right="-161"/>
        <w:jc w:val="right"/>
        <w:rPr>
          <w:rFonts w:hint="eastAsia" w:ascii="宋体" w:hAnsi="宋体" w:cs="宋体"/>
          <w:color w:val="auto"/>
          <w:sz w:val="24"/>
          <w:szCs w:val="24"/>
          <w:u w:val="single"/>
        </w:rPr>
      </w:pPr>
      <w:r>
        <w:rPr>
          <w:rFonts w:hint="eastAsia" w:ascii="宋体" w:hAnsi="宋体" w:cs="宋体"/>
          <w:color w:val="auto"/>
          <w:sz w:val="24"/>
          <w:szCs w:val="24"/>
        </w:rPr>
        <w:t>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（盖章或签字）</w:t>
      </w:r>
    </w:p>
    <w:p w14:paraId="5D02AE71">
      <w:pPr>
        <w:widowControl/>
        <w:spacing w:line="360" w:lineRule="auto"/>
        <w:jc w:val="center"/>
        <w:rPr>
          <w:rFonts w:hint="eastAsia" w:ascii="宋体" w:hAnsi="宋体" w:cs="宋体"/>
          <w:color w:val="auto"/>
          <w:sz w:val="24"/>
          <w:szCs w:val="24"/>
          <w:u w:val="single"/>
        </w:rPr>
      </w:pPr>
      <w:r>
        <w:rPr>
          <w:rFonts w:hint="eastAsia" w:ascii="宋体" w:hAnsi="宋体" w:cs="宋体"/>
          <w:color w:val="auto"/>
          <w:sz w:val="24"/>
          <w:szCs w:val="24"/>
        </w:rPr>
        <w:t xml:space="preserve">            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7C738699">
      <w:pPr>
        <w:spacing w:line="360" w:lineRule="auto"/>
        <w:ind w:firstLine="2160" w:firstLineChars="900"/>
        <w:rPr>
          <w:rFonts w:hint="eastAsia" w:ascii="宋体" w:hAnsi="宋体" w:cs="宋体"/>
          <w:b/>
          <w:color w:val="auto"/>
          <w:sz w:val="32"/>
          <w:szCs w:val="22"/>
        </w:r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142B4C74">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七</w:t>
      </w:r>
      <w:r>
        <w:rPr>
          <w:rFonts w:hint="eastAsia" w:ascii="宋体" w:hAnsi="宋体" w:eastAsia="宋体" w:cs="宋体"/>
          <w:color w:val="000000"/>
          <w:szCs w:val="22"/>
        </w:rPr>
        <w:t>、法定代表人证明书及法定代表人授权委托书</w:t>
      </w:r>
    </w:p>
    <w:p w14:paraId="51036D3D">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7</w:t>
      </w:r>
      <w:r>
        <w:rPr>
          <w:rFonts w:hint="eastAsia" w:ascii="宋体" w:hAnsi="宋体" w:eastAsia="宋体" w:cs="宋体"/>
          <w:color w:val="000000"/>
          <w:szCs w:val="22"/>
        </w:rPr>
        <w:t>.1法定代表人证明书</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14:paraId="3D6B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540" w:type="dxa"/>
            <w:gridSpan w:val="6"/>
            <w:noWrap w:val="0"/>
            <w:vAlign w:val="center"/>
          </w:tcPr>
          <w:p w14:paraId="21CA4930">
            <w:pPr>
              <w:tabs>
                <w:tab w:val="left" w:pos="210"/>
              </w:tabs>
              <w:spacing w:line="320" w:lineRule="exact"/>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Arial"/>
                <w:color w:val="000000"/>
                <w:kern w:val="0"/>
                <w:sz w:val="24"/>
                <w:lang w:eastAsia="zh-CN"/>
              </w:rPr>
              <w:t>榆林市恒易达工程项目管理有限公司</w:t>
            </w:r>
          </w:p>
        </w:tc>
      </w:tr>
      <w:tr w14:paraId="5F53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1819B4C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032A4D0A">
            <w:pPr>
              <w:tabs>
                <w:tab w:val="left" w:pos="210"/>
              </w:tabs>
              <w:spacing w:line="320" w:lineRule="exact"/>
              <w:jc w:val="center"/>
              <w:rPr>
                <w:rFonts w:ascii="宋体" w:hAnsi="宋体" w:cs="Arial"/>
                <w:color w:val="000000"/>
                <w:kern w:val="0"/>
                <w:sz w:val="24"/>
              </w:rPr>
            </w:pPr>
          </w:p>
          <w:p w14:paraId="213CC70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18D919E5">
            <w:pPr>
              <w:tabs>
                <w:tab w:val="left" w:pos="210"/>
              </w:tabs>
              <w:spacing w:line="320" w:lineRule="exact"/>
              <w:jc w:val="center"/>
              <w:rPr>
                <w:rFonts w:ascii="宋体" w:hAnsi="宋体" w:cs="Arial"/>
                <w:color w:val="000000"/>
                <w:kern w:val="0"/>
                <w:sz w:val="24"/>
              </w:rPr>
            </w:pPr>
          </w:p>
          <w:p w14:paraId="252610F1">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29C5EA86">
            <w:pPr>
              <w:tabs>
                <w:tab w:val="left" w:pos="210"/>
              </w:tabs>
              <w:spacing w:line="320" w:lineRule="exact"/>
              <w:jc w:val="center"/>
              <w:rPr>
                <w:rFonts w:ascii="宋体" w:hAnsi="宋体" w:cs="Arial"/>
                <w:color w:val="000000"/>
                <w:kern w:val="0"/>
                <w:sz w:val="24"/>
              </w:rPr>
            </w:pPr>
          </w:p>
          <w:p w14:paraId="7C18F1C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14:paraId="2560B5D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14:paraId="326E44B3">
            <w:pPr>
              <w:tabs>
                <w:tab w:val="left" w:pos="210"/>
              </w:tabs>
              <w:spacing w:line="320" w:lineRule="exact"/>
              <w:jc w:val="center"/>
              <w:rPr>
                <w:rFonts w:ascii="宋体" w:hAnsi="宋体" w:cs="Arial"/>
                <w:color w:val="000000"/>
                <w:kern w:val="0"/>
                <w:sz w:val="24"/>
              </w:rPr>
            </w:pPr>
          </w:p>
        </w:tc>
      </w:tr>
      <w:tr w14:paraId="198F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57A4CAC5">
            <w:pPr>
              <w:tabs>
                <w:tab w:val="left" w:pos="210"/>
              </w:tabs>
              <w:spacing w:line="320" w:lineRule="exact"/>
              <w:jc w:val="center"/>
              <w:rPr>
                <w:rFonts w:ascii="宋体" w:hAnsi="宋体" w:cs="Arial"/>
                <w:color w:val="000000"/>
                <w:kern w:val="0"/>
                <w:sz w:val="24"/>
              </w:rPr>
            </w:pPr>
          </w:p>
        </w:tc>
        <w:tc>
          <w:tcPr>
            <w:tcW w:w="2207" w:type="dxa"/>
            <w:noWrap w:val="0"/>
            <w:vAlign w:val="center"/>
          </w:tcPr>
          <w:p w14:paraId="46AD911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14:paraId="32617D41">
            <w:pPr>
              <w:tabs>
                <w:tab w:val="left" w:pos="210"/>
              </w:tabs>
              <w:spacing w:line="320" w:lineRule="exact"/>
              <w:jc w:val="center"/>
              <w:rPr>
                <w:rFonts w:ascii="宋体" w:hAnsi="宋体" w:cs="Arial"/>
                <w:color w:val="000000"/>
                <w:kern w:val="0"/>
                <w:sz w:val="24"/>
              </w:rPr>
            </w:pPr>
          </w:p>
        </w:tc>
      </w:tr>
      <w:tr w14:paraId="3E0B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29C179C1">
            <w:pPr>
              <w:tabs>
                <w:tab w:val="left" w:pos="210"/>
              </w:tabs>
              <w:spacing w:line="320" w:lineRule="exact"/>
              <w:jc w:val="center"/>
              <w:rPr>
                <w:rFonts w:ascii="宋体" w:hAnsi="宋体" w:cs="Arial"/>
                <w:color w:val="000000"/>
                <w:kern w:val="0"/>
                <w:sz w:val="24"/>
              </w:rPr>
            </w:pPr>
          </w:p>
        </w:tc>
        <w:tc>
          <w:tcPr>
            <w:tcW w:w="2207" w:type="dxa"/>
            <w:noWrap w:val="0"/>
            <w:vAlign w:val="center"/>
          </w:tcPr>
          <w:p w14:paraId="6998925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14:paraId="7E728ED3">
            <w:pPr>
              <w:tabs>
                <w:tab w:val="left" w:pos="210"/>
              </w:tabs>
              <w:spacing w:line="320" w:lineRule="exact"/>
              <w:jc w:val="center"/>
              <w:rPr>
                <w:rFonts w:ascii="宋体" w:hAnsi="宋体" w:cs="Arial"/>
                <w:color w:val="000000"/>
                <w:kern w:val="0"/>
                <w:sz w:val="24"/>
              </w:rPr>
            </w:pPr>
          </w:p>
        </w:tc>
      </w:tr>
      <w:tr w14:paraId="3ED1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4FC60942">
            <w:pPr>
              <w:tabs>
                <w:tab w:val="left" w:pos="210"/>
              </w:tabs>
              <w:spacing w:line="320" w:lineRule="exact"/>
              <w:jc w:val="center"/>
              <w:rPr>
                <w:rFonts w:ascii="宋体" w:hAnsi="宋体" w:cs="Arial"/>
                <w:color w:val="000000"/>
                <w:kern w:val="0"/>
                <w:sz w:val="24"/>
              </w:rPr>
            </w:pPr>
          </w:p>
        </w:tc>
        <w:tc>
          <w:tcPr>
            <w:tcW w:w="2207" w:type="dxa"/>
            <w:noWrap w:val="0"/>
            <w:vAlign w:val="center"/>
          </w:tcPr>
          <w:p w14:paraId="60D65F95">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14:paraId="6032F0B3">
            <w:pPr>
              <w:tabs>
                <w:tab w:val="left" w:pos="210"/>
              </w:tabs>
              <w:spacing w:line="320" w:lineRule="exact"/>
              <w:jc w:val="center"/>
              <w:rPr>
                <w:rFonts w:ascii="宋体" w:hAnsi="宋体" w:cs="Arial"/>
                <w:color w:val="000000"/>
                <w:kern w:val="0"/>
                <w:sz w:val="24"/>
              </w:rPr>
            </w:pPr>
          </w:p>
        </w:tc>
      </w:tr>
      <w:tr w14:paraId="4F7E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14:paraId="20C84420">
            <w:pPr>
              <w:tabs>
                <w:tab w:val="left" w:pos="210"/>
              </w:tabs>
              <w:spacing w:line="320" w:lineRule="exact"/>
              <w:jc w:val="center"/>
              <w:rPr>
                <w:rFonts w:ascii="宋体" w:hAnsi="宋体" w:cs="Arial"/>
                <w:color w:val="000000"/>
                <w:kern w:val="0"/>
                <w:sz w:val="24"/>
              </w:rPr>
            </w:pPr>
          </w:p>
        </w:tc>
        <w:tc>
          <w:tcPr>
            <w:tcW w:w="2207" w:type="dxa"/>
            <w:noWrap w:val="0"/>
            <w:vAlign w:val="center"/>
          </w:tcPr>
          <w:p w14:paraId="018E729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14:paraId="1AD211EC">
            <w:pPr>
              <w:tabs>
                <w:tab w:val="left" w:pos="210"/>
              </w:tabs>
              <w:spacing w:line="320" w:lineRule="exact"/>
              <w:jc w:val="center"/>
              <w:rPr>
                <w:rFonts w:ascii="宋体" w:hAnsi="宋体" w:cs="Arial"/>
                <w:color w:val="000000"/>
                <w:kern w:val="0"/>
                <w:sz w:val="24"/>
              </w:rPr>
            </w:pPr>
          </w:p>
        </w:tc>
      </w:tr>
      <w:tr w14:paraId="2D83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550C33C5">
            <w:pPr>
              <w:tabs>
                <w:tab w:val="left" w:pos="210"/>
              </w:tabs>
              <w:spacing w:line="320" w:lineRule="exact"/>
              <w:jc w:val="center"/>
              <w:rPr>
                <w:rFonts w:ascii="宋体" w:hAnsi="宋体" w:cs="Arial"/>
                <w:color w:val="000000"/>
                <w:kern w:val="0"/>
                <w:sz w:val="24"/>
              </w:rPr>
            </w:pPr>
          </w:p>
        </w:tc>
        <w:tc>
          <w:tcPr>
            <w:tcW w:w="2207" w:type="dxa"/>
            <w:noWrap w:val="0"/>
            <w:vAlign w:val="center"/>
          </w:tcPr>
          <w:p w14:paraId="6677943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14:paraId="36883B7D">
            <w:pPr>
              <w:tabs>
                <w:tab w:val="left" w:pos="210"/>
              </w:tabs>
              <w:spacing w:line="320" w:lineRule="exact"/>
              <w:jc w:val="center"/>
              <w:rPr>
                <w:rFonts w:ascii="宋体" w:hAnsi="宋体" w:cs="Arial"/>
                <w:color w:val="000000"/>
                <w:kern w:val="0"/>
                <w:sz w:val="24"/>
              </w:rPr>
            </w:pPr>
          </w:p>
        </w:tc>
      </w:tr>
      <w:tr w14:paraId="5F4D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0D0B7EA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14:paraId="1E14D90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14:paraId="2E96998E">
            <w:pPr>
              <w:tabs>
                <w:tab w:val="left" w:pos="210"/>
              </w:tabs>
              <w:spacing w:line="320" w:lineRule="exact"/>
              <w:jc w:val="center"/>
              <w:rPr>
                <w:rFonts w:ascii="宋体" w:hAnsi="宋体" w:cs="Arial"/>
                <w:color w:val="000000"/>
                <w:kern w:val="0"/>
                <w:sz w:val="24"/>
              </w:rPr>
            </w:pPr>
          </w:p>
        </w:tc>
        <w:tc>
          <w:tcPr>
            <w:tcW w:w="2203" w:type="dxa"/>
            <w:noWrap w:val="0"/>
            <w:vAlign w:val="center"/>
          </w:tcPr>
          <w:p w14:paraId="3F4BA5E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14:paraId="684D1672">
            <w:pPr>
              <w:tabs>
                <w:tab w:val="left" w:pos="210"/>
              </w:tabs>
              <w:spacing w:line="320" w:lineRule="exact"/>
              <w:jc w:val="center"/>
              <w:rPr>
                <w:rFonts w:ascii="宋体" w:hAnsi="宋体" w:cs="Arial"/>
                <w:color w:val="000000"/>
                <w:kern w:val="0"/>
                <w:sz w:val="24"/>
              </w:rPr>
            </w:pPr>
          </w:p>
        </w:tc>
      </w:tr>
      <w:tr w14:paraId="5AB5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6DD9CE08">
            <w:pPr>
              <w:tabs>
                <w:tab w:val="left" w:pos="210"/>
              </w:tabs>
              <w:spacing w:line="320" w:lineRule="exact"/>
              <w:jc w:val="center"/>
              <w:rPr>
                <w:rFonts w:ascii="宋体" w:hAnsi="宋体" w:cs="Arial"/>
                <w:color w:val="000000"/>
                <w:kern w:val="0"/>
                <w:sz w:val="24"/>
              </w:rPr>
            </w:pPr>
          </w:p>
        </w:tc>
        <w:tc>
          <w:tcPr>
            <w:tcW w:w="2207" w:type="dxa"/>
            <w:noWrap w:val="0"/>
            <w:vAlign w:val="center"/>
          </w:tcPr>
          <w:p w14:paraId="50145E1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14:paraId="7F46DB0F">
            <w:pPr>
              <w:tabs>
                <w:tab w:val="left" w:pos="210"/>
              </w:tabs>
              <w:spacing w:line="320" w:lineRule="exact"/>
              <w:jc w:val="center"/>
              <w:rPr>
                <w:rFonts w:ascii="宋体" w:hAnsi="宋体" w:cs="Arial"/>
                <w:color w:val="000000"/>
                <w:kern w:val="0"/>
                <w:sz w:val="24"/>
              </w:rPr>
            </w:pPr>
          </w:p>
        </w:tc>
        <w:tc>
          <w:tcPr>
            <w:tcW w:w="2203" w:type="dxa"/>
            <w:noWrap w:val="0"/>
            <w:vAlign w:val="center"/>
          </w:tcPr>
          <w:p w14:paraId="6BE03AA1">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14:paraId="5963202F">
            <w:pPr>
              <w:tabs>
                <w:tab w:val="left" w:pos="210"/>
              </w:tabs>
              <w:spacing w:line="320" w:lineRule="exact"/>
              <w:jc w:val="center"/>
              <w:rPr>
                <w:rFonts w:ascii="宋体" w:hAnsi="宋体" w:cs="Arial"/>
                <w:color w:val="000000"/>
                <w:kern w:val="0"/>
                <w:sz w:val="24"/>
              </w:rPr>
            </w:pPr>
          </w:p>
        </w:tc>
      </w:tr>
      <w:tr w14:paraId="6597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46DF0F5C">
            <w:pPr>
              <w:tabs>
                <w:tab w:val="left" w:pos="210"/>
              </w:tabs>
              <w:spacing w:line="320" w:lineRule="exact"/>
              <w:jc w:val="center"/>
              <w:rPr>
                <w:rFonts w:ascii="宋体" w:hAnsi="宋体" w:cs="Arial"/>
                <w:color w:val="000000"/>
                <w:kern w:val="0"/>
                <w:sz w:val="24"/>
              </w:rPr>
            </w:pPr>
          </w:p>
        </w:tc>
        <w:tc>
          <w:tcPr>
            <w:tcW w:w="2207" w:type="dxa"/>
            <w:noWrap w:val="0"/>
            <w:vAlign w:val="center"/>
          </w:tcPr>
          <w:p w14:paraId="46D146C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14:paraId="11234AAC">
            <w:pPr>
              <w:tabs>
                <w:tab w:val="left" w:pos="210"/>
              </w:tabs>
              <w:spacing w:line="320" w:lineRule="exact"/>
              <w:jc w:val="center"/>
              <w:rPr>
                <w:rFonts w:ascii="宋体" w:hAnsi="宋体" w:cs="Arial"/>
                <w:color w:val="000000"/>
                <w:kern w:val="0"/>
                <w:sz w:val="24"/>
              </w:rPr>
            </w:pPr>
          </w:p>
        </w:tc>
      </w:tr>
      <w:tr w14:paraId="2CA1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14:paraId="1303F84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14:paraId="5153B726">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16EF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14:paraId="21DAB8FC">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14:paraId="7D2BFD41">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79359647">
            <w:pPr>
              <w:tabs>
                <w:tab w:val="left" w:pos="210"/>
              </w:tabs>
              <w:spacing w:line="320" w:lineRule="exact"/>
              <w:jc w:val="center"/>
              <w:rPr>
                <w:rFonts w:ascii="宋体" w:hAnsi="宋体" w:cs="Arial"/>
                <w:color w:val="000000"/>
                <w:kern w:val="0"/>
                <w:sz w:val="24"/>
              </w:rPr>
            </w:pPr>
          </w:p>
          <w:p w14:paraId="592A30EE">
            <w:pPr>
              <w:tabs>
                <w:tab w:val="left" w:pos="210"/>
              </w:tabs>
              <w:spacing w:line="320" w:lineRule="exact"/>
              <w:jc w:val="center"/>
              <w:rPr>
                <w:rFonts w:ascii="宋体" w:hAnsi="宋体" w:cs="Arial"/>
                <w:color w:val="000000"/>
                <w:kern w:val="0"/>
                <w:sz w:val="24"/>
              </w:rPr>
            </w:pPr>
          </w:p>
          <w:p w14:paraId="50E0AB7F">
            <w:pPr>
              <w:tabs>
                <w:tab w:val="left" w:pos="210"/>
              </w:tabs>
              <w:spacing w:line="320" w:lineRule="exact"/>
              <w:jc w:val="center"/>
              <w:rPr>
                <w:rFonts w:ascii="宋体" w:hAnsi="宋体" w:cs="Arial"/>
                <w:color w:val="000000"/>
                <w:kern w:val="0"/>
                <w:sz w:val="24"/>
              </w:rPr>
            </w:pPr>
          </w:p>
          <w:p w14:paraId="1D779391">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14:paraId="31CD3945">
      <w:pPr>
        <w:pStyle w:val="4"/>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7</w:t>
      </w:r>
      <w:r>
        <w:rPr>
          <w:rFonts w:hint="eastAsia" w:ascii="宋体" w:hAnsi="宋体" w:eastAsia="宋体" w:cs="宋体"/>
          <w:color w:val="000000"/>
          <w:szCs w:val="22"/>
        </w:rPr>
        <w:t>.2法定代表人授权委托书</w:t>
      </w:r>
    </w:p>
    <w:p w14:paraId="3B4989D7">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063D082F">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202ACB36">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68" w:name="_Toc26509"/>
      <w:bookmarkStart w:id="369" w:name="_Toc17538"/>
      <w:bookmarkStart w:id="370" w:name="_Toc12419"/>
      <w:bookmarkStart w:id="371" w:name="_Toc3685"/>
      <w:r>
        <w:rPr>
          <w:rFonts w:hint="eastAsia" w:ascii="宋体" w:hAnsi="宋体" w:cs="宋体"/>
          <w:color w:val="000000"/>
          <w:sz w:val="24"/>
          <w:szCs w:val="24"/>
        </w:rPr>
        <w:t>附：法定代表人、被授权人身份证复印件。（注：如使用二代身份证需复印正、反两面）</w:t>
      </w:r>
      <w:bookmarkEnd w:id="368"/>
      <w:bookmarkEnd w:id="369"/>
      <w:bookmarkEnd w:id="370"/>
      <w:bookmarkEnd w:id="371"/>
    </w:p>
    <w:tbl>
      <w:tblPr>
        <w:tblStyle w:val="21"/>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14:paraId="5268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7406CA20">
            <w:pPr>
              <w:spacing w:line="360" w:lineRule="auto"/>
              <w:jc w:val="center"/>
              <w:rPr>
                <w:rFonts w:ascii="宋体" w:hAnsi="宋体" w:cs="宋体"/>
                <w:color w:val="000000"/>
                <w:sz w:val="24"/>
                <w:szCs w:val="24"/>
              </w:rPr>
            </w:pPr>
          </w:p>
          <w:p w14:paraId="46C68DE6">
            <w:pPr>
              <w:spacing w:line="360" w:lineRule="auto"/>
              <w:jc w:val="center"/>
              <w:outlineLvl w:val="0"/>
              <w:rPr>
                <w:rFonts w:ascii="宋体" w:hAnsi="宋体" w:cs="宋体"/>
                <w:color w:val="000000"/>
                <w:sz w:val="24"/>
                <w:szCs w:val="24"/>
              </w:rPr>
            </w:pPr>
            <w:bookmarkStart w:id="372" w:name="_Toc5583"/>
            <w:bookmarkStart w:id="373" w:name="_Toc3175"/>
            <w:bookmarkStart w:id="374" w:name="_Toc19741"/>
            <w:bookmarkStart w:id="375" w:name="_Toc12606"/>
            <w:r>
              <w:rPr>
                <w:rFonts w:hint="eastAsia" w:ascii="宋体" w:hAnsi="宋体" w:cs="宋体"/>
                <w:color w:val="000000"/>
                <w:sz w:val="24"/>
                <w:szCs w:val="24"/>
              </w:rPr>
              <w:t>法定代表人身份证复印件</w:t>
            </w:r>
            <w:bookmarkEnd w:id="372"/>
            <w:bookmarkEnd w:id="373"/>
            <w:bookmarkEnd w:id="374"/>
            <w:bookmarkEnd w:id="375"/>
          </w:p>
          <w:p w14:paraId="71AF5E49">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14:paraId="72634F94">
            <w:pPr>
              <w:spacing w:line="360" w:lineRule="auto"/>
              <w:jc w:val="center"/>
              <w:outlineLvl w:val="0"/>
              <w:rPr>
                <w:rFonts w:ascii="宋体" w:hAnsi="宋体" w:cs="宋体"/>
                <w:color w:val="000000"/>
                <w:sz w:val="24"/>
                <w:szCs w:val="24"/>
              </w:rPr>
            </w:pPr>
            <w:bookmarkStart w:id="376" w:name="_Toc31188"/>
            <w:bookmarkStart w:id="377" w:name="_Toc28825"/>
            <w:bookmarkStart w:id="378" w:name="_Toc2151"/>
            <w:bookmarkStart w:id="379" w:name="_Toc14341"/>
            <w:r>
              <w:rPr>
                <w:rFonts w:hint="eastAsia" w:ascii="宋体" w:hAnsi="宋体" w:cs="宋体"/>
                <w:color w:val="000000"/>
                <w:sz w:val="24"/>
                <w:szCs w:val="24"/>
              </w:rPr>
              <w:t>被授权人身份证复印件</w:t>
            </w:r>
            <w:bookmarkEnd w:id="376"/>
            <w:bookmarkEnd w:id="377"/>
            <w:bookmarkEnd w:id="378"/>
            <w:bookmarkEnd w:id="379"/>
          </w:p>
          <w:p w14:paraId="64D94786">
            <w:pPr>
              <w:spacing w:line="360" w:lineRule="auto"/>
              <w:jc w:val="center"/>
              <w:outlineLvl w:val="0"/>
              <w:rPr>
                <w:rFonts w:ascii="宋体" w:hAnsi="宋体" w:cs="宋体"/>
                <w:color w:val="000000"/>
                <w:sz w:val="24"/>
                <w:szCs w:val="24"/>
              </w:rPr>
            </w:pPr>
          </w:p>
        </w:tc>
      </w:tr>
      <w:tr w14:paraId="0187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5067F5AE">
            <w:pPr>
              <w:spacing w:line="360" w:lineRule="auto"/>
              <w:jc w:val="center"/>
              <w:outlineLvl w:val="0"/>
              <w:rPr>
                <w:rFonts w:ascii="宋体" w:hAnsi="宋体" w:cs="宋体"/>
                <w:color w:val="000000"/>
                <w:sz w:val="24"/>
                <w:szCs w:val="24"/>
              </w:rPr>
            </w:pPr>
            <w:bookmarkStart w:id="380" w:name="_Toc12477"/>
            <w:bookmarkStart w:id="381" w:name="_Toc14312"/>
            <w:bookmarkStart w:id="382" w:name="_Toc28549"/>
            <w:bookmarkStart w:id="383" w:name="_Toc28695"/>
            <w:r>
              <w:rPr>
                <w:rFonts w:hint="eastAsia" w:ascii="宋体" w:hAnsi="宋体" w:cs="宋体"/>
                <w:color w:val="000000"/>
                <w:sz w:val="24"/>
                <w:szCs w:val="24"/>
              </w:rPr>
              <w:t>法定代表人身份证复印件</w:t>
            </w:r>
            <w:bookmarkEnd w:id="380"/>
            <w:bookmarkEnd w:id="381"/>
            <w:bookmarkEnd w:id="382"/>
            <w:bookmarkEnd w:id="383"/>
          </w:p>
          <w:p w14:paraId="27DFBF34">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14:paraId="11B9A63D">
            <w:pPr>
              <w:spacing w:line="360" w:lineRule="auto"/>
              <w:jc w:val="center"/>
              <w:outlineLvl w:val="0"/>
              <w:rPr>
                <w:rFonts w:ascii="宋体" w:hAnsi="宋体" w:cs="宋体"/>
                <w:color w:val="000000"/>
                <w:sz w:val="24"/>
                <w:szCs w:val="24"/>
              </w:rPr>
            </w:pPr>
            <w:bookmarkStart w:id="384" w:name="_Toc7697"/>
            <w:bookmarkStart w:id="385" w:name="_Toc5386"/>
            <w:bookmarkStart w:id="386" w:name="_Toc17968"/>
            <w:bookmarkStart w:id="387" w:name="_Toc17870"/>
            <w:r>
              <w:rPr>
                <w:rFonts w:hint="eastAsia" w:ascii="宋体" w:hAnsi="宋体" w:cs="宋体"/>
                <w:color w:val="000000"/>
                <w:sz w:val="24"/>
                <w:szCs w:val="24"/>
              </w:rPr>
              <w:t>被授权人身份证复印件</w:t>
            </w:r>
            <w:bookmarkEnd w:id="384"/>
            <w:bookmarkEnd w:id="385"/>
            <w:bookmarkEnd w:id="386"/>
            <w:bookmarkEnd w:id="387"/>
          </w:p>
          <w:p w14:paraId="767DF898">
            <w:pPr>
              <w:spacing w:line="360" w:lineRule="auto"/>
              <w:jc w:val="center"/>
              <w:outlineLvl w:val="0"/>
              <w:rPr>
                <w:rFonts w:ascii="宋体" w:hAnsi="宋体" w:cs="宋体"/>
                <w:color w:val="000000"/>
                <w:sz w:val="24"/>
                <w:szCs w:val="24"/>
              </w:rPr>
            </w:pPr>
          </w:p>
        </w:tc>
      </w:tr>
    </w:tbl>
    <w:p w14:paraId="238DA059">
      <w:pPr>
        <w:spacing w:line="360" w:lineRule="auto"/>
        <w:ind w:firstLine="3360" w:firstLineChars="1400"/>
        <w:rPr>
          <w:rFonts w:hint="eastAsia" w:ascii="宋体" w:hAnsi="宋体" w:cs="宋体"/>
          <w:color w:val="000000"/>
          <w:sz w:val="24"/>
          <w:szCs w:val="24"/>
        </w:rPr>
      </w:pPr>
    </w:p>
    <w:p w14:paraId="04CB2B73">
      <w:pPr>
        <w:spacing w:line="360" w:lineRule="auto"/>
        <w:ind w:firstLine="3360" w:firstLineChars="1400"/>
        <w:rPr>
          <w:rFonts w:hint="eastAsia" w:ascii="宋体" w:hAnsi="宋体" w:cs="宋体"/>
          <w:color w:val="000000"/>
          <w:sz w:val="24"/>
          <w:szCs w:val="24"/>
        </w:rPr>
      </w:pPr>
    </w:p>
    <w:p w14:paraId="0289577C">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5CF8BABC">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14:paraId="13D4E986">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56"/>
    <w:bookmarkEnd w:id="357"/>
    <w:bookmarkEnd w:id="358"/>
    <w:bookmarkEnd w:id="359"/>
    <w:bookmarkEnd w:id="360"/>
    <w:bookmarkEnd w:id="361"/>
    <w:bookmarkEnd w:id="362"/>
    <w:bookmarkEnd w:id="363"/>
    <w:p w14:paraId="254328B3">
      <w:pPr>
        <w:pStyle w:val="11"/>
        <w:spacing w:line="360" w:lineRule="auto"/>
        <w:rPr>
          <w:rFonts w:hint="default" w:ascii="Times New Roman" w:hAnsi="Times New Roman"/>
        </w:rPr>
      </w:pPr>
      <w:bookmarkStart w:id="388" w:name="_Toc26762"/>
      <w:bookmarkStart w:id="389" w:name="_Toc465958138"/>
      <w:bookmarkStart w:id="390" w:name="_Toc246928973"/>
    </w:p>
    <w:bookmarkEnd w:id="364"/>
    <w:bookmarkEnd w:id="365"/>
    <w:bookmarkEnd w:id="388"/>
    <w:bookmarkEnd w:id="389"/>
    <w:bookmarkEnd w:id="390"/>
    <w:p w14:paraId="7A4C3D72">
      <w:pPr>
        <w:pStyle w:val="3"/>
        <w:numPr>
          <w:ilvl w:val="0"/>
          <w:numId w:val="0"/>
        </w:numPr>
        <w:spacing w:line="240" w:lineRule="auto"/>
        <w:jc w:val="center"/>
        <w:rPr>
          <w:rFonts w:hint="eastAsia" w:ascii="宋体" w:hAnsi="宋体" w:cs="宋体"/>
          <w:bCs w:val="0"/>
          <w:sz w:val="32"/>
          <w:szCs w:val="32"/>
        </w:rPr>
      </w:pPr>
      <w:bookmarkStart w:id="391" w:name="_Toc25170"/>
      <w:bookmarkStart w:id="392" w:name="_Toc31861"/>
      <w:bookmarkStart w:id="393" w:name="_Hlk17733230"/>
      <w:r>
        <w:rPr>
          <w:rFonts w:hint="eastAsia" w:ascii="宋体" w:hAnsi="宋体" w:cs="宋体"/>
          <w:bCs w:val="0"/>
          <w:sz w:val="32"/>
          <w:szCs w:val="32"/>
          <w:lang w:val="en-US" w:eastAsia="zh-CN"/>
        </w:rPr>
        <w:t>八、</w:t>
      </w:r>
      <w:r>
        <w:rPr>
          <w:rFonts w:hint="eastAsia" w:ascii="宋体" w:hAnsi="宋体" w:cs="宋体"/>
          <w:bCs w:val="0"/>
          <w:sz w:val="32"/>
          <w:szCs w:val="32"/>
        </w:rPr>
        <w:t>信用中国陕西榆林承诺申报截图</w:t>
      </w:r>
      <w:bookmarkEnd w:id="391"/>
      <w:bookmarkEnd w:id="392"/>
    </w:p>
    <w:p w14:paraId="36CE5034">
      <w:pPr>
        <w:widowControl w:val="0"/>
        <w:numPr>
          <w:ilvl w:val="0"/>
          <w:numId w:val="0"/>
        </w:numPr>
        <w:jc w:val="both"/>
        <w:rPr>
          <w:rFonts w:hint="eastAsia"/>
        </w:rPr>
      </w:pPr>
    </w:p>
    <w:p w14:paraId="5E7410C5">
      <w:pPr>
        <w:pStyle w:val="163"/>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93"/>
    <w:p w14:paraId="5C83EF82">
      <w:pPr>
        <w:spacing w:line="360" w:lineRule="auto"/>
        <w:jc w:val="center"/>
        <w:rPr>
          <w:rFonts w:hint="eastAsia" w:ascii="宋体" w:hAnsi="宋体" w:cs="宋体"/>
          <w:b/>
          <w:bCs/>
          <w:color w:val="auto"/>
          <w:sz w:val="32"/>
          <w:szCs w:val="32"/>
        </w:rPr>
      </w:pPr>
      <w:r>
        <w:rPr>
          <w:rFonts w:hint="eastAsia"/>
          <w:b/>
          <w:bCs/>
          <w:sz w:val="28"/>
          <w:szCs w:val="28"/>
        </w:rPr>
        <w:t>（投标人须在开标前将附件1、附件2、附件3按时上传至信用中国（陕西榆林）进行公示，并将上传后的截图附在投标文件中。）</w:t>
      </w:r>
    </w:p>
    <w:p w14:paraId="432393B6">
      <w:pPr>
        <w:spacing w:line="360" w:lineRule="auto"/>
        <w:jc w:val="center"/>
        <w:rPr>
          <w:rFonts w:hint="eastAsia" w:ascii="宋体" w:hAnsi="宋体" w:cs="宋体"/>
          <w:color w:val="auto"/>
          <w:sz w:val="40"/>
          <w:szCs w:val="40"/>
        </w:rPr>
      </w:pPr>
      <w:r>
        <w:rPr>
          <w:rFonts w:hint="eastAsia" w:ascii="宋体" w:hAnsi="宋体" w:cs="宋体"/>
          <w:b/>
          <w:bCs/>
          <w:color w:val="auto"/>
          <w:sz w:val="32"/>
          <w:szCs w:val="32"/>
        </w:rPr>
        <w:t>附件1 投标人信用承诺书</w:t>
      </w:r>
    </w:p>
    <w:p w14:paraId="3F26CECC">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05194845">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48FE37E4">
      <w:pPr>
        <w:widowControl/>
        <w:adjustRightInd w:val="0"/>
        <w:snapToGrid w:val="0"/>
        <w:spacing w:line="480" w:lineRule="auto"/>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6C8D7C19">
      <w:pPr>
        <w:widowControl/>
        <w:adjustRightInd w:val="0"/>
        <w:snapToGrid w:val="0"/>
        <w:spacing w:line="480" w:lineRule="auto"/>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项目招投标活动中，我公司（单位）郑重作出以下信用承诺：</w:t>
      </w:r>
    </w:p>
    <w:p w14:paraId="35DA1EDD">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F943F1A">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1825ACD1">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66B40A2D">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（四）同意将此信用承诺纳入陕西省公共信用信息平台和榆林市公共信用信息共享平台，并上网公示，接受社会监督。</w:t>
      </w:r>
    </w:p>
    <w:p w14:paraId="096BDE31">
      <w:pPr>
        <w:widowControl/>
        <w:adjustRightInd w:val="0"/>
        <w:snapToGrid w:val="0"/>
        <w:spacing w:line="480" w:lineRule="auto"/>
        <w:ind w:firstLine="480"/>
        <w:jc w:val="left"/>
        <w:rPr>
          <w:rFonts w:hint="eastAsia" w:ascii="宋体" w:hAnsi="宋体" w:cs="宋体"/>
          <w:color w:val="auto"/>
          <w:kern w:val="0"/>
          <w:sz w:val="24"/>
        </w:rPr>
      </w:pPr>
      <w:r>
        <w:rPr>
          <w:rFonts w:hint="eastAsia" w:ascii="宋体" w:hAnsi="宋体" w:cs="宋体"/>
          <w:color w:val="auto"/>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7D5B1246">
      <w:pPr>
        <w:pStyle w:val="9"/>
        <w:rPr>
          <w:color w:val="auto"/>
        </w:rPr>
      </w:pPr>
    </w:p>
    <w:p w14:paraId="60FFFCF4">
      <w:pPr>
        <w:widowControl/>
        <w:tabs>
          <w:tab w:val="left" w:pos="4395"/>
        </w:tabs>
        <w:adjustRightInd w:val="0"/>
        <w:snapToGrid w:val="0"/>
        <w:spacing w:line="480" w:lineRule="auto"/>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2ACED3AC">
      <w:pPr>
        <w:adjustRightInd w:val="0"/>
        <w:snapToGrid w:val="0"/>
        <w:spacing w:line="480" w:lineRule="auto"/>
        <w:jc w:val="center"/>
        <w:rPr>
          <w:rFonts w:ascii="宋体" w:cs="宋体"/>
          <w:color w:val="auto"/>
          <w:kern w:val="0"/>
          <w:sz w:val="24"/>
        </w:rPr>
      </w:pPr>
    </w:p>
    <w:p w14:paraId="435C9AEE">
      <w:pPr>
        <w:adjustRightInd w:val="0"/>
        <w:snapToGrid w:val="0"/>
        <w:spacing w:line="480" w:lineRule="auto"/>
        <w:jc w:val="center"/>
        <w:rPr>
          <w:rFonts w:ascii="宋体" w:cs="宋体"/>
          <w:color w:val="auto"/>
          <w:kern w:val="0"/>
          <w:sz w:val="24"/>
        </w:rPr>
      </w:pPr>
      <w:r>
        <w:rPr>
          <w:rFonts w:hint="eastAsia" w:ascii="宋体" w:hAnsi="宋体" w:cs="宋体"/>
          <w:color w:val="auto"/>
          <w:kern w:val="0"/>
          <w:sz w:val="24"/>
        </w:rPr>
        <w:t xml:space="preserve">                             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437AF633">
      <w:pPr>
        <w:spacing w:line="480" w:lineRule="auto"/>
        <w:ind w:right="-2"/>
        <w:jc w:val="center"/>
        <w:rPr>
          <w:rFonts w:hint="eastAsia" w:ascii="宋体" w:hAnsi="宋体" w:cs="宋体"/>
          <w:b/>
          <w:bCs/>
          <w:color w:val="auto"/>
          <w:sz w:val="32"/>
          <w:szCs w:val="32"/>
        </w:rPr>
        <w:sectPr>
          <w:footerReference r:id="rId13" w:type="default"/>
          <w:pgSz w:w="11906" w:h="16838"/>
          <w:pgMar w:top="1219" w:right="1803" w:bottom="1219" w:left="1803" w:header="850" w:footer="992" w:gutter="0"/>
          <w:pgNumType w:fmt="decimal"/>
          <w:cols w:space="720" w:num="1"/>
          <w:rtlGutter w:val="0"/>
          <w:docGrid w:type="lines" w:linePitch="313" w:charSpace="0"/>
        </w:sectPr>
      </w:pPr>
    </w:p>
    <w:p w14:paraId="189FD778">
      <w:pPr>
        <w:spacing w:line="560" w:lineRule="exact"/>
        <w:ind w:right="-2"/>
        <w:jc w:val="center"/>
        <w:rPr>
          <w:rFonts w:hint="eastAsia" w:ascii="宋体" w:hAnsi="宋体" w:cs="宋体"/>
          <w:b/>
          <w:bCs/>
          <w:color w:val="auto"/>
          <w:sz w:val="32"/>
          <w:szCs w:val="32"/>
        </w:rPr>
      </w:pPr>
      <w:r>
        <w:rPr>
          <w:rFonts w:hint="eastAsia" w:ascii="宋体" w:hAnsi="宋体" w:cs="宋体"/>
          <w:b/>
          <w:bCs/>
          <w:color w:val="auto"/>
          <w:sz w:val="32"/>
          <w:szCs w:val="32"/>
        </w:rPr>
        <w:t>附件2 投标人委托代理人员信用承诺书</w:t>
      </w:r>
    </w:p>
    <w:p w14:paraId="497DF5F0">
      <w:pPr>
        <w:widowControl/>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项目招投标活动中，我个人郑重作出以下信用承诺：</w:t>
      </w:r>
    </w:p>
    <w:p w14:paraId="45E3D59A">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002A3EF7">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2F016B42">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4D2688EF">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（四）同意将此信用承诺纳入陕西省公共信用信息平台和榆林市公共信用信息共享平台，并接受社会监督。</w:t>
      </w:r>
    </w:p>
    <w:p w14:paraId="3E488091">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（五）若我违背以上承诺事项，即被视为失信人，依据《关于对公共资源交易领域严重失信主体开展联合惩戒的备忘录》（发改法规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1307AE17">
      <w:pPr>
        <w:widowControl/>
        <w:spacing w:line="320" w:lineRule="exact"/>
        <w:ind w:firstLine="482"/>
        <w:jc w:val="left"/>
        <w:rPr>
          <w:rFonts w:ascii="宋体" w:hAnsi="宋体" w:cs="宋体"/>
          <w:color w:val="auto"/>
          <w:kern w:val="0"/>
          <w:sz w:val="24"/>
        </w:rPr>
      </w:pPr>
    </w:p>
    <w:p w14:paraId="7A1B0E32">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55F744A1">
      <w:pPr>
        <w:widowControl/>
        <w:spacing w:line="320" w:lineRule="exact"/>
        <w:ind w:firstLine="482"/>
        <w:jc w:val="left"/>
        <w:rPr>
          <w:rFonts w:ascii="宋体" w:hAnsi="宋体" w:cs="宋体"/>
          <w:color w:val="auto"/>
          <w:kern w:val="0"/>
          <w:sz w:val="24"/>
        </w:rPr>
      </w:pPr>
    </w:p>
    <w:p w14:paraId="7F4A43A7">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p>
    <w:p w14:paraId="57F9C9C4">
      <w:pPr>
        <w:widowControl/>
        <w:spacing w:line="320" w:lineRule="exact"/>
        <w:ind w:firstLine="482"/>
        <w:jc w:val="left"/>
        <w:rPr>
          <w:rFonts w:ascii="宋体" w:hAnsi="宋体" w:cs="宋体"/>
          <w:color w:val="auto"/>
          <w:kern w:val="0"/>
          <w:sz w:val="24"/>
        </w:rPr>
      </w:pPr>
    </w:p>
    <w:p w14:paraId="409BE6CC">
      <w:pPr>
        <w:widowControl/>
        <w:spacing w:line="320" w:lineRule="exact"/>
        <w:ind w:firstLine="482"/>
        <w:jc w:val="left"/>
        <w:rPr>
          <w:rFonts w:ascii="宋体" w:hAnsi="宋体" w:cs="宋体"/>
          <w:color w:val="auto"/>
          <w:kern w:val="0"/>
          <w:sz w:val="24"/>
          <w:u w:val="single"/>
        </w:rPr>
      </w:pPr>
      <w:r>
        <w:rPr>
          <w:rFonts w:hint="eastAsia" w:ascii="宋体" w:hAnsi="宋体" w:cs="宋体"/>
          <w:color w:val="auto"/>
          <w:kern w:val="0"/>
          <w:sz w:val="24"/>
        </w:rPr>
        <w:t>承诺人</w:t>
      </w:r>
      <w:r>
        <w:rPr>
          <w:rFonts w:hint="eastAsia" w:ascii="宋体" w:hAnsi="宋体" w:cs="宋体"/>
          <w:color w:val="auto"/>
          <w:sz w:val="24"/>
          <w:szCs w:val="24"/>
        </w:rPr>
        <w:t>（签字或盖章）</w:t>
      </w:r>
      <w:r>
        <w:rPr>
          <w:rFonts w:hint="eastAsia" w:ascii="宋体" w:hAnsi="宋体" w:cs="宋体"/>
          <w:color w:val="auto"/>
          <w:kern w:val="0"/>
          <w:sz w:val="24"/>
        </w:rPr>
        <w:t>：</w:t>
      </w:r>
      <w:r>
        <w:rPr>
          <w:rFonts w:hint="eastAsia" w:ascii="宋体" w:hAnsi="宋体" w:cs="宋体"/>
          <w:color w:val="auto"/>
          <w:kern w:val="0"/>
          <w:sz w:val="24"/>
          <w:u w:val="single"/>
        </w:rPr>
        <w:t xml:space="preserve">                 </w:t>
      </w:r>
    </w:p>
    <w:p w14:paraId="79CC87A4">
      <w:pPr>
        <w:widowControl/>
        <w:spacing w:line="320" w:lineRule="exact"/>
        <w:ind w:firstLine="482"/>
        <w:jc w:val="left"/>
        <w:rPr>
          <w:rFonts w:ascii="宋体" w:hAnsi="宋体" w:cs="宋体"/>
          <w:color w:val="auto"/>
          <w:kern w:val="0"/>
          <w:sz w:val="24"/>
          <w:u w:val="single"/>
        </w:rPr>
      </w:pPr>
    </w:p>
    <w:p w14:paraId="61EFEDD0">
      <w:pPr>
        <w:ind w:firstLine="480" w:firstLineChars="200"/>
        <w:rPr>
          <w:color w:val="auto"/>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04690681">
      <w:pPr>
        <w:spacing w:line="560" w:lineRule="exact"/>
        <w:ind w:right="-2"/>
        <w:jc w:val="center"/>
        <w:rPr>
          <w:rFonts w:hint="eastAsia" w:ascii="宋体" w:hAnsi="宋体" w:cs="宋体"/>
          <w:b/>
          <w:bCs/>
          <w:color w:val="auto"/>
          <w:sz w:val="32"/>
          <w:szCs w:val="32"/>
        </w:rPr>
        <w:sectPr>
          <w:pgSz w:w="11906" w:h="16838"/>
          <w:pgMar w:top="1219" w:right="1803" w:bottom="1219" w:left="1803" w:header="850" w:footer="992" w:gutter="0"/>
          <w:pgNumType w:fmt="decimal"/>
          <w:cols w:space="720" w:num="1"/>
          <w:rtlGutter w:val="0"/>
          <w:docGrid w:type="lines" w:linePitch="313" w:charSpace="0"/>
        </w:sectPr>
      </w:pPr>
    </w:p>
    <w:p w14:paraId="356BD8DC">
      <w:pPr>
        <w:spacing w:line="560" w:lineRule="exact"/>
        <w:ind w:right="-2"/>
        <w:jc w:val="center"/>
        <w:rPr>
          <w:rFonts w:hint="eastAsia" w:ascii="宋体" w:hAnsi="宋体" w:cs="宋体"/>
          <w:b/>
          <w:bCs/>
          <w:color w:val="auto"/>
          <w:kern w:val="0"/>
          <w:szCs w:val="16"/>
        </w:rPr>
      </w:pPr>
      <w:r>
        <w:rPr>
          <w:rFonts w:hint="eastAsia" w:ascii="宋体" w:hAnsi="宋体" w:cs="宋体"/>
          <w:b/>
          <w:bCs/>
          <w:color w:val="auto"/>
          <w:sz w:val="32"/>
          <w:szCs w:val="32"/>
        </w:rPr>
        <w:t>附件3  投标信用承诺书</w:t>
      </w:r>
    </w:p>
    <w:p w14:paraId="2D37EB66">
      <w:pPr>
        <w:widowControl/>
        <w:spacing w:line="540" w:lineRule="exact"/>
        <w:jc w:val="left"/>
        <w:rPr>
          <w:rFonts w:ascii="宋体" w:cs="宋体"/>
          <w:color w:val="auto"/>
          <w:kern w:val="0"/>
          <w:sz w:val="24"/>
          <w:u w:val="single"/>
        </w:rPr>
      </w:pPr>
      <w:r>
        <w:rPr>
          <w:rFonts w:hint="eastAsia" w:ascii="宋体" w:hAnsi="宋体" w:cs="宋体"/>
          <w:color w:val="auto"/>
          <w:kern w:val="0"/>
          <w:sz w:val="24"/>
        </w:rPr>
        <w:t>项目</w:t>
      </w:r>
      <w:r>
        <w:rPr>
          <w:rFonts w:hint="eastAsia" w:ascii="宋体" w:hAnsi="宋体" w:cs="宋体"/>
          <w:color w:val="auto"/>
          <w:kern w:val="0"/>
          <w:sz w:val="24"/>
          <w:lang w:val="en-US" w:eastAsia="zh-CN"/>
        </w:rPr>
        <w:t>名称</w:t>
      </w:r>
      <w:r>
        <w:rPr>
          <w:rFonts w:hint="eastAsia"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u w:val="single"/>
        </w:rPr>
        <w:t xml:space="preserve">  </w:t>
      </w:r>
      <w:r>
        <w:rPr>
          <w:rFonts w:ascii="宋体" w:hAnsi="宋体" w:cs="宋体"/>
          <w:color w:val="auto"/>
          <w:kern w:val="0"/>
          <w:sz w:val="24"/>
          <w:u w:val="single"/>
        </w:rPr>
        <w:t xml:space="preserve">                                                    </w:t>
      </w:r>
    </w:p>
    <w:p w14:paraId="20B32931">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6D3E948D">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38F4F3FA">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在本项目标段招投标活动中，我公司（单位）自愿作出以下投标信用承诺：</w:t>
      </w:r>
    </w:p>
    <w:p w14:paraId="02D19CDE">
      <w:pPr>
        <w:widowControl/>
        <w:adjustRightInd w:val="0"/>
        <w:snapToGrid w:val="0"/>
        <w:spacing w:line="540" w:lineRule="exact"/>
        <w:ind w:firstLine="480" w:firstLineChars="200"/>
        <w:jc w:val="left"/>
        <w:rPr>
          <w:rFonts w:ascii="宋体" w:hAnsi="宋体" w:cs="宋体"/>
          <w:color w:val="auto"/>
          <w:kern w:val="0"/>
          <w:sz w:val="24"/>
        </w:rPr>
      </w:pPr>
      <w:r>
        <w:rPr>
          <w:rFonts w:hint="eastAsia" w:ascii="宋体" w:hAnsi="宋体" w:cs="宋体"/>
          <w:color w:val="auto"/>
          <w:kern w:val="0"/>
          <w:sz w:val="24"/>
        </w:rPr>
        <w:t>（一）能严格遵守法律法规、职业道德和行业规范。</w:t>
      </w:r>
    </w:p>
    <w:p w14:paraId="23BEF127">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2FC46C94">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w:t>
      </w:r>
      <w:r>
        <w:rPr>
          <w:rFonts w:ascii="宋体" w:hAnsi="宋体" w:cs="宋体"/>
          <w:color w:val="auto"/>
          <w:kern w:val="0"/>
          <w:sz w:val="24"/>
        </w:rPr>
        <w:t>1</w:t>
      </w:r>
      <w:r>
        <w:rPr>
          <w:rFonts w:hint="eastAsia" w:ascii="宋体" w:hAnsi="宋体" w:cs="宋体"/>
          <w:color w:val="auto"/>
          <w:kern w:val="0"/>
          <w:sz w:val="24"/>
        </w:rPr>
        <w:t>至</w:t>
      </w:r>
      <w:r>
        <w:rPr>
          <w:rFonts w:ascii="宋体" w:hAnsi="宋体" w:cs="宋体"/>
          <w:color w:val="auto"/>
          <w:kern w:val="0"/>
          <w:sz w:val="24"/>
        </w:rPr>
        <w:t>3</w:t>
      </w:r>
      <w:r>
        <w:rPr>
          <w:rFonts w:hint="eastAsia" w:ascii="宋体" w:hAnsi="宋体" w:cs="宋体"/>
          <w:color w:val="auto"/>
          <w:kern w:val="0"/>
          <w:sz w:val="24"/>
        </w:rPr>
        <w:t>年内限制参与公共资源交易活动。</w:t>
      </w:r>
    </w:p>
    <w:p w14:paraId="6BBA29FC">
      <w:pPr>
        <w:widowControl/>
        <w:adjustRightInd w:val="0"/>
        <w:snapToGrid w:val="0"/>
        <w:spacing w:line="540" w:lineRule="exact"/>
        <w:ind w:firstLine="480" w:firstLineChars="200"/>
        <w:jc w:val="left"/>
        <w:rPr>
          <w:rFonts w:ascii="宋体" w:hAnsi="宋体" w:cs="宋体"/>
          <w:color w:val="auto"/>
          <w:kern w:val="0"/>
          <w:sz w:val="24"/>
        </w:rPr>
      </w:pPr>
    </w:p>
    <w:p w14:paraId="641A75F6">
      <w:pPr>
        <w:widowControl/>
        <w:tabs>
          <w:tab w:val="left" w:pos="4395"/>
        </w:tabs>
        <w:adjustRightInd w:val="0"/>
        <w:snapToGrid w:val="0"/>
        <w:spacing w:line="500" w:lineRule="exact"/>
        <w:ind w:firstLine="480" w:firstLineChars="200"/>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0187B3AB">
      <w:pPr>
        <w:adjustRightInd w:val="0"/>
        <w:snapToGrid w:val="0"/>
        <w:spacing w:line="500" w:lineRule="exact"/>
        <w:rPr>
          <w:rFonts w:ascii="宋体" w:hAnsi="宋体" w:cs="宋体"/>
          <w:b/>
          <w:color w:val="auto"/>
          <w:kern w:val="0"/>
          <w:sz w:val="24"/>
        </w:rPr>
      </w:pPr>
    </w:p>
    <w:p w14:paraId="5842BCA9">
      <w:pPr>
        <w:adjustRightInd w:val="0"/>
        <w:snapToGrid w:val="0"/>
        <w:spacing w:line="500" w:lineRule="exact"/>
        <w:ind w:firstLine="4440" w:firstLineChars="1850"/>
        <w:rPr>
          <w:rFonts w:ascii="宋体" w:hAnsi="宋体" w:cs="宋体"/>
          <w:b/>
          <w:color w:val="auto"/>
          <w:kern w:val="0"/>
          <w:sz w:val="24"/>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4F5A1207">
      <w:pPr>
        <w:pStyle w:val="4"/>
        <w:spacing w:line="240" w:lineRule="auto"/>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p w14:paraId="406F51CD">
      <w:pPr>
        <w:pStyle w:val="4"/>
        <w:spacing w:line="240" w:lineRule="auto"/>
        <w:jc w:val="center"/>
        <w:rPr>
          <w:rFonts w:hint="eastAsia" w:ascii="宋体" w:hAnsi="宋体" w:eastAsia="宋体" w:cs="宋体"/>
          <w:color w:val="auto"/>
          <w:kern w:val="0"/>
          <w:sz w:val="24"/>
          <w:lang w:val="en-US" w:eastAsia="zh-CN"/>
        </w:rPr>
      </w:pPr>
    </w:p>
    <w:p w14:paraId="5FDA3B2B">
      <w:pPr>
        <w:pStyle w:val="4"/>
        <w:spacing w:line="240" w:lineRule="auto"/>
        <w:jc w:val="center"/>
        <w:rPr>
          <w:rFonts w:hint="eastAsia" w:ascii="宋体" w:hAnsi="宋体" w:eastAsia="宋体" w:cs="宋体"/>
          <w:b/>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说明：本承诺书效力和作用等</w:t>
      </w:r>
      <w:r>
        <w:rPr>
          <w:rFonts w:hint="eastAsia" w:ascii="宋体" w:hAnsi="宋体" w:eastAsia="宋体" w:cs="宋体"/>
          <w:b/>
          <w:color w:val="auto"/>
          <w:kern w:val="0"/>
          <w:sz w:val="24"/>
        </w:rPr>
        <w:t>同投标保证金，其有效期与投标有效期一致</w:t>
      </w:r>
      <w:r>
        <w:rPr>
          <w:rFonts w:hint="eastAsia" w:ascii="宋体" w:hAnsi="宋体" w:eastAsia="宋体" w:cs="宋体"/>
          <w:b/>
          <w:color w:val="auto"/>
          <w:kern w:val="0"/>
          <w:sz w:val="24"/>
          <w:lang w:eastAsia="zh-CN"/>
        </w:rPr>
        <w:t>。</w:t>
      </w:r>
    </w:p>
    <w:p w14:paraId="1B0F4AB8"/>
    <w:p w14:paraId="0922FBB3"/>
    <w:p w14:paraId="56597C64"/>
    <w:p w14:paraId="0FF5AE2C">
      <w:pPr>
        <w:shd w:val="clear" w:color="auto" w:fill="auto"/>
        <w:spacing w:line="360" w:lineRule="auto"/>
        <w:jc w:val="both"/>
        <w:rPr>
          <w:rFonts w:hint="eastAsia" w:ascii="宋体" w:hAnsi="宋体" w:eastAsia="宋体" w:cs="宋体"/>
          <w:b/>
          <w:bCs/>
          <w:color w:val="auto"/>
          <w:sz w:val="24"/>
          <w:szCs w:val="22"/>
          <w:highlight w:val="none"/>
        </w:rPr>
      </w:pPr>
    </w:p>
    <w:p w14:paraId="6939B0A9">
      <w:pPr>
        <w:shd w:val="clear" w:color="auto" w:fill="auto"/>
        <w:spacing w:line="360" w:lineRule="auto"/>
        <w:jc w:val="both"/>
        <w:rPr>
          <w:rFonts w:hint="eastAsia" w:ascii="宋体" w:hAnsi="宋体" w:eastAsia="宋体" w:cs="宋体"/>
          <w:b/>
          <w:bCs/>
          <w:color w:val="auto"/>
          <w:sz w:val="24"/>
          <w:szCs w:val="22"/>
          <w:highlight w:val="none"/>
        </w:rPr>
      </w:pPr>
    </w:p>
    <w:p w14:paraId="319D0B51">
      <w:pPr>
        <w:shd w:val="clear" w:color="auto" w:fill="auto"/>
        <w:spacing w:line="360" w:lineRule="auto"/>
        <w:jc w:val="both"/>
        <w:rPr>
          <w:rFonts w:hint="eastAsia" w:ascii="宋体" w:hAnsi="宋体" w:eastAsia="宋体" w:cs="宋体"/>
          <w:b/>
          <w:bCs/>
          <w:color w:val="auto"/>
          <w:sz w:val="24"/>
          <w:szCs w:val="22"/>
          <w:highlight w:val="none"/>
          <w:lang w:eastAsia="zh-CN"/>
        </w:rPr>
      </w:pPr>
      <w:r>
        <w:rPr>
          <w:rFonts w:hint="eastAsia" w:ascii="宋体" w:hAnsi="宋体" w:eastAsia="宋体" w:cs="宋体"/>
          <w:b/>
          <w:bCs/>
          <w:color w:val="auto"/>
          <w:sz w:val="24"/>
          <w:szCs w:val="22"/>
          <w:highlight w:val="none"/>
        </w:rPr>
        <w:t>附件：</w:t>
      </w:r>
      <w:r>
        <w:rPr>
          <w:rFonts w:hint="eastAsia" w:ascii="宋体" w:hAnsi="宋体" w:eastAsia="宋体" w:cs="宋体"/>
          <w:b/>
          <w:bCs/>
          <w:color w:val="auto"/>
          <w:sz w:val="24"/>
          <w:szCs w:val="22"/>
          <w:highlight w:val="none"/>
          <w:lang w:eastAsia="zh-CN"/>
        </w:rPr>
        <w:t>信用承诺上报操作指南</w:t>
      </w:r>
    </w:p>
    <w:p w14:paraId="0D956F60">
      <w:pPr>
        <w:bidi w:val="0"/>
      </w:pPr>
      <w:r>
        <w:drawing>
          <wp:inline distT="0" distB="0" distL="114300" distR="114300">
            <wp:extent cx="6110605" cy="3481070"/>
            <wp:effectExtent l="0" t="0" r="444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6110605" cy="3481070"/>
                    </a:xfrm>
                    <a:prstGeom prst="rect">
                      <a:avLst/>
                    </a:prstGeom>
                    <a:noFill/>
                    <a:ln>
                      <a:noFill/>
                    </a:ln>
                  </pic:spPr>
                </pic:pic>
              </a:graphicData>
            </a:graphic>
          </wp:inline>
        </w:drawing>
      </w:r>
    </w:p>
    <w:p w14:paraId="1D4E1A4B">
      <w:pPr>
        <w:bidi w:val="0"/>
      </w:pPr>
    </w:p>
    <w:p w14:paraId="63947497">
      <w:pPr>
        <w:bidi w:val="0"/>
      </w:pPr>
      <w:r>
        <w:drawing>
          <wp:inline distT="0" distB="0" distL="114300" distR="114300">
            <wp:extent cx="6172200" cy="3448685"/>
            <wp:effectExtent l="0" t="0" r="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6172200" cy="3448685"/>
                    </a:xfrm>
                    <a:prstGeom prst="rect">
                      <a:avLst/>
                    </a:prstGeom>
                    <a:noFill/>
                    <a:ln>
                      <a:noFill/>
                    </a:ln>
                  </pic:spPr>
                </pic:pic>
              </a:graphicData>
            </a:graphic>
          </wp:inline>
        </w:drawing>
      </w:r>
      <w:r>
        <w:drawing>
          <wp:inline distT="0" distB="0" distL="114300" distR="114300">
            <wp:extent cx="5977255" cy="3370580"/>
            <wp:effectExtent l="0" t="0" r="444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977255" cy="3370580"/>
                    </a:xfrm>
                    <a:prstGeom prst="rect">
                      <a:avLst/>
                    </a:prstGeom>
                    <a:noFill/>
                    <a:ln>
                      <a:noFill/>
                    </a:ln>
                  </pic:spPr>
                </pic:pic>
              </a:graphicData>
            </a:graphic>
          </wp:inline>
        </w:drawing>
      </w:r>
    </w:p>
    <w:p w14:paraId="67486603">
      <w:pPr>
        <w:bidi w:val="0"/>
      </w:pPr>
    </w:p>
    <w:p w14:paraId="5DFF424A">
      <w:pPr>
        <w:bidi w:val="0"/>
      </w:pPr>
      <w:r>
        <w:drawing>
          <wp:inline distT="0" distB="0" distL="114300" distR="114300">
            <wp:extent cx="5993130" cy="3397250"/>
            <wp:effectExtent l="0" t="0" r="762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993130" cy="3397250"/>
                    </a:xfrm>
                    <a:prstGeom prst="rect">
                      <a:avLst/>
                    </a:prstGeom>
                    <a:noFill/>
                    <a:ln>
                      <a:noFill/>
                    </a:ln>
                  </pic:spPr>
                </pic:pic>
              </a:graphicData>
            </a:graphic>
          </wp:inline>
        </w:drawing>
      </w:r>
      <w:r>
        <w:drawing>
          <wp:inline distT="0" distB="0" distL="114300" distR="114300">
            <wp:extent cx="6019165" cy="3403600"/>
            <wp:effectExtent l="0" t="0" r="63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6019165" cy="3403600"/>
                    </a:xfrm>
                    <a:prstGeom prst="rect">
                      <a:avLst/>
                    </a:prstGeom>
                    <a:noFill/>
                    <a:ln>
                      <a:noFill/>
                    </a:ln>
                  </pic:spPr>
                </pic:pic>
              </a:graphicData>
            </a:graphic>
          </wp:inline>
        </w:drawing>
      </w:r>
    </w:p>
    <w:p w14:paraId="2319A512">
      <w:pPr>
        <w:bidi w:val="0"/>
      </w:pPr>
    </w:p>
    <w:p w14:paraId="41A8F82D">
      <w:pPr>
        <w:bidi w:val="0"/>
      </w:pPr>
      <w:r>
        <w:drawing>
          <wp:inline distT="0" distB="0" distL="114300" distR="114300">
            <wp:extent cx="6025515" cy="3397885"/>
            <wp:effectExtent l="0" t="0" r="1333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6025515" cy="3397885"/>
                    </a:xfrm>
                    <a:prstGeom prst="rect">
                      <a:avLst/>
                    </a:prstGeom>
                    <a:noFill/>
                    <a:ln>
                      <a:noFill/>
                    </a:ln>
                  </pic:spPr>
                </pic:pic>
              </a:graphicData>
            </a:graphic>
          </wp:inline>
        </w:drawing>
      </w:r>
      <w:r>
        <w:drawing>
          <wp:inline distT="0" distB="0" distL="114300" distR="114300">
            <wp:extent cx="6084570" cy="3452495"/>
            <wp:effectExtent l="0" t="0" r="1143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6084570" cy="3452495"/>
                    </a:xfrm>
                    <a:prstGeom prst="rect">
                      <a:avLst/>
                    </a:prstGeom>
                    <a:noFill/>
                    <a:ln>
                      <a:noFill/>
                    </a:ln>
                  </pic:spPr>
                </pic:pic>
              </a:graphicData>
            </a:graphic>
          </wp:inline>
        </w:drawing>
      </w:r>
    </w:p>
    <w:p w14:paraId="29FF77EB">
      <w:pPr>
        <w:bidi w:val="0"/>
      </w:pPr>
    </w:p>
    <w:p w14:paraId="1132408D">
      <w:pPr>
        <w:bidi w:val="0"/>
      </w:pPr>
      <w: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6120765" cy="3474720"/>
                    </a:xfrm>
                    <a:prstGeom prst="rect">
                      <a:avLst/>
                    </a:prstGeom>
                    <a:noFill/>
                    <a:ln>
                      <a:noFill/>
                    </a:ln>
                  </pic:spPr>
                </pic:pic>
              </a:graphicData>
            </a:graphic>
          </wp:inline>
        </w:drawing>
      </w:r>
      <w:r>
        <w:drawing>
          <wp:inline distT="0" distB="0" distL="114300" distR="114300">
            <wp:extent cx="5997575" cy="3375025"/>
            <wp:effectExtent l="0" t="0" r="317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997575" cy="3375025"/>
                    </a:xfrm>
                    <a:prstGeom prst="rect">
                      <a:avLst/>
                    </a:prstGeom>
                    <a:noFill/>
                    <a:ln>
                      <a:noFill/>
                    </a:ln>
                  </pic:spPr>
                </pic:pic>
              </a:graphicData>
            </a:graphic>
          </wp:inline>
        </w:drawing>
      </w:r>
    </w:p>
    <w:p w14:paraId="4E20890D">
      <w:pPr>
        <w:bidi w:val="0"/>
      </w:pPr>
    </w:p>
    <w:p w14:paraId="5AC6CDB4">
      <w:pPr>
        <w:bidi w:val="0"/>
        <w:rPr>
          <w:rFonts w:hint="eastAsia"/>
        </w:rPr>
      </w:pPr>
      <w: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6045200" cy="3383280"/>
                    </a:xfrm>
                    <a:prstGeom prst="rect">
                      <a:avLst/>
                    </a:prstGeom>
                    <a:noFill/>
                    <a:ln>
                      <a:noFill/>
                    </a:ln>
                  </pic:spPr>
                </pic:pic>
              </a:graphicData>
            </a:graphic>
          </wp:inline>
        </w:drawing>
      </w:r>
      <w:r>
        <w:drawing>
          <wp:inline distT="0" distB="0" distL="114300" distR="114300">
            <wp:extent cx="6045200" cy="3409950"/>
            <wp:effectExtent l="0" t="0" r="1270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6045200" cy="3409950"/>
                    </a:xfrm>
                    <a:prstGeom prst="rect">
                      <a:avLst/>
                    </a:prstGeom>
                    <a:noFill/>
                    <a:ln>
                      <a:noFill/>
                    </a:ln>
                  </pic:spPr>
                </pic:pic>
              </a:graphicData>
            </a:graphic>
          </wp:inline>
        </w:drawing>
      </w:r>
    </w:p>
    <w:p w14:paraId="65709D73">
      <w:pPr>
        <w:keepNext w:val="0"/>
        <w:keepLines w:val="0"/>
        <w:widowControl w:val="0"/>
        <w:suppressLineNumbers w:val="0"/>
        <w:shd w:val="clear" w:color="auto" w:fill="auto"/>
        <w:spacing w:before="0" w:beforeAutospacing="0" w:after="0" w:afterAutospacing="0" w:line="300" w:lineRule="auto"/>
        <w:ind w:left="0" w:right="0" w:firstLine="420" w:firstLineChars="200"/>
        <w:jc w:val="both"/>
        <w:rPr>
          <w:rFonts w:hint="default" w:ascii="Times New Roman" w:hAnsi="Times New Roman" w:eastAsia="宋体" w:cs="Times New Roman"/>
          <w:color w:val="auto"/>
          <w:kern w:val="2"/>
          <w:sz w:val="21"/>
          <w:szCs w:val="24"/>
          <w:highlight w:val="none"/>
          <w:lang w:val="en-US" w:eastAsia="zh-CN" w:bidi="ar"/>
        </w:rPr>
      </w:pPr>
    </w:p>
    <w:p w14:paraId="22FA5E78">
      <w:pPr>
        <w:pStyle w:val="15"/>
        <w:shd w:val="clear" w:color="auto" w:fill="auto"/>
        <w:rPr>
          <w:rFonts w:hint="eastAsia" w:eastAsia="宋体" w:cs="Times New Roman"/>
          <w:b/>
          <w:bCs/>
          <w:color w:val="auto"/>
          <w:highlight w:val="none"/>
        </w:rPr>
      </w:pPr>
    </w:p>
    <w:p w14:paraId="457C3CDB">
      <w:pPr>
        <w:widowControl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p>
    <w:p w14:paraId="2BB1F01C">
      <w:pPr>
        <w:pStyle w:val="5"/>
        <w:bidi w:val="0"/>
        <w:jc w:val="center"/>
        <w:rPr>
          <w:rFonts w:hint="eastAsia" w:ascii="Times New Roman" w:hAnsi="Times New Roman" w:eastAsia="宋体" w:cs="Times New Roman"/>
          <w:b/>
        </w:rPr>
      </w:pPr>
    </w:p>
    <w:p w14:paraId="33E2983A">
      <w:pPr>
        <w:pStyle w:val="20"/>
        <w:rPr>
          <w:rFonts w:hint="eastAsia"/>
          <w:b/>
          <w:bCs/>
          <w:color w:val="auto"/>
          <w:sz w:val="32"/>
          <w:szCs w:val="32"/>
        </w:rPr>
      </w:pPr>
    </w:p>
    <w:p w14:paraId="1EAC1C74">
      <w:pPr>
        <w:pStyle w:val="4"/>
      </w:pPr>
    </w:p>
    <w:p w14:paraId="64B10DCF"/>
    <w:p w14:paraId="06D79E51">
      <w:pPr>
        <w:pStyle w:val="4"/>
      </w:pPr>
    </w:p>
    <w:p w14:paraId="5DCFFC2A"/>
    <w:sectPr>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SourceHanSansCN-Regular">
    <w:altName w:val="Segoe Print"/>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GYXIQ+Frutiger-Cn">
    <w:altName w:val="宋体"/>
    <w:panose1 w:val="020B0604020202020204"/>
    <w:charset w:val="86"/>
    <w:family w:val="swiss"/>
    <w:pitch w:val="default"/>
    <w:sig w:usb0="00000000" w:usb1="00000000" w:usb2="00000010" w:usb3="00000000" w:csb0="00040000" w:csb1="00000000"/>
  </w:font>
  <w:font w:name="方正仿宋_GBK">
    <w:altName w:val="微软雅黑"/>
    <w:panose1 w:val="02000000000000000000"/>
    <w:charset w:val="86"/>
    <w:family w:val="script"/>
    <w:pitch w:val="default"/>
    <w:sig w:usb0="00000000" w:usb1="00000000" w:usb2="00000000" w:usb3="00000000" w:csb0="0016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00"/>
    <w:family w:val="auto"/>
    <w:pitch w:val="default"/>
    <w:sig w:usb0="00000000" w:usb1="00000000" w:usb2="00000016" w:usb3="00000000" w:csb0="60060107"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527BB">
    <w:pPr>
      <w:pStyle w:val="14"/>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16D59">
    <w:pPr>
      <w:pStyle w:val="14"/>
      <w:tabs>
        <w:tab w:val="left" w:pos="5022"/>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E7EBF27">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14:paraId="4E7EBF27">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823C4">
    <w:pPr>
      <w:pStyle w:val="14"/>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FF62DA">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14:paraId="60FF62DA">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50C6D">
    <w:pPr>
      <w:pStyle w:val="14"/>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39CEE7B9">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1312;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14:paraId="39CEE7B9">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B21E6">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D37F9A">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14:paraId="5AD37F9A">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3B57E">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155DAB4">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14:paraId="2155DAB4">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9AA7B">
    <w:pPr>
      <w:pStyle w:val="16"/>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F643">
    <w:pPr>
      <w:pStyle w:val="16"/>
      <w:jc w:val="left"/>
    </w:pPr>
    <w:r>
      <w:rPr>
        <w:rFonts w:hint="eastAsia"/>
        <w:szCs w:val="18"/>
        <w:lang w:eastAsia="zh-CN"/>
      </w:rPr>
      <w:t>榆林市恒易达工程项目管理有限公司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822A1">
    <w:pPr>
      <w:pStyle w:val="16"/>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榆林市恒易达工程项目管理有限公司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96918">
    <w:pPr>
      <w:pStyle w:val="16"/>
      <w:jc w:val="left"/>
    </w:pPr>
    <w:r>
      <w:rPr>
        <w:rFonts w:hint="eastAsia"/>
        <w:szCs w:val="18"/>
        <w:lang w:eastAsia="zh-CN"/>
      </w:rPr>
      <w:t>榆林市恒易达工程项目管理有限公司</w:t>
    </w:r>
    <w:r>
      <w:rPr>
        <w:rFonts w:hint="eastAsia"/>
        <w:szCs w:val="18"/>
      </w:rPr>
      <w:t xml:space="preserve">                                             竞争性谈判文件</w:t>
    </w:r>
  </w:p>
  <w:p w14:paraId="5BFDDC04">
    <w:pPr>
      <w:pStyle w:val="16"/>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86F06">
    <w:pPr>
      <w:pStyle w:val="16"/>
      <w:jc w:val="left"/>
    </w:pPr>
    <w:r>
      <w:rPr>
        <w:rFonts w:hint="eastAsia"/>
        <w:szCs w:val="18"/>
        <w:lang w:eastAsia="zh-CN"/>
      </w:rPr>
      <w:t>榆林市恒易达工程项目管理有限公司</w:t>
    </w:r>
    <w:r>
      <w:rPr>
        <w:rFonts w:hint="eastAsia"/>
        <w:szCs w:val="18"/>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E87660C1"/>
    <w:multiLevelType w:val="singleLevel"/>
    <w:tmpl w:val="E87660C1"/>
    <w:lvl w:ilvl="0" w:tentative="0">
      <w:start w:val="2"/>
      <w:numFmt w:val="chineseCounting"/>
      <w:suff w:val="nothing"/>
      <w:lvlText w:val="%1、"/>
      <w:lvlJc w:val="left"/>
      <w:rPr>
        <w:rFonts w:hint="eastAsia"/>
      </w:rPr>
    </w:lvl>
  </w:abstractNum>
  <w:abstractNum w:abstractNumId="3">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53208E"/>
    <w:multiLevelType w:val="multilevel"/>
    <w:tmpl w:val="0053208E"/>
    <w:lvl w:ilvl="0" w:tentative="0">
      <w:start w:val="1"/>
      <w:numFmt w:val="decimal"/>
      <w:lvlText w:val="%1."/>
      <w:lvlJc w:val="left"/>
      <w:pPr>
        <w:ind w:left="205" w:hanging="322"/>
        <w:jc w:val="left"/>
      </w:pPr>
      <w:rPr>
        <w:rFonts w:hint="default" w:ascii="仿宋" w:hAnsi="仿宋" w:eastAsia="仿宋" w:cs="仿宋"/>
        <w:spacing w:val="-46"/>
        <w:w w:val="99"/>
        <w:sz w:val="30"/>
        <w:szCs w:val="30"/>
        <w:lang w:val="zh-CN" w:eastAsia="zh-CN" w:bidi="zh-CN"/>
      </w:rPr>
    </w:lvl>
    <w:lvl w:ilvl="1" w:tentative="0">
      <w:start w:val="0"/>
      <w:numFmt w:val="bullet"/>
      <w:lvlText w:val="•"/>
      <w:lvlJc w:val="left"/>
      <w:pPr>
        <w:ind w:left="1074" w:hanging="322"/>
      </w:pPr>
      <w:rPr>
        <w:rFonts w:hint="default"/>
        <w:lang w:val="zh-CN" w:eastAsia="zh-CN" w:bidi="zh-CN"/>
      </w:rPr>
    </w:lvl>
    <w:lvl w:ilvl="2" w:tentative="0">
      <w:start w:val="0"/>
      <w:numFmt w:val="bullet"/>
      <w:lvlText w:val="•"/>
      <w:lvlJc w:val="left"/>
      <w:pPr>
        <w:ind w:left="1949" w:hanging="322"/>
      </w:pPr>
      <w:rPr>
        <w:rFonts w:hint="default"/>
        <w:lang w:val="zh-CN" w:eastAsia="zh-CN" w:bidi="zh-CN"/>
      </w:rPr>
    </w:lvl>
    <w:lvl w:ilvl="3" w:tentative="0">
      <w:start w:val="0"/>
      <w:numFmt w:val="bullet"/>
      <w:lvlText w:val="•"/>
      <w:lvlJc w:val="left"/>
      <w:pPr>
        <w:ind w:left="2823" w:hanging="322"/>
      </w:pPr>
      <w:rPr>
        <w:rFonts w:hint="default"/>
        <w:lang w:val="zh-CN" w:eastAsia="zh-CN" w:bidi="zh-CN"/>
      </w:rPr>
    </w:lvl>
    <w:lvl w:ilvl="4" w:tentative="0">
      <w:start w:val="0"/>
      <w:numFmt w:val="bullet"/>
      <w:lvlText w:val="•"/>
      <w:lvlJc w:val="left"/>
      <w:pPr>
        <w:ind w:left="3698" w:hanging="322"/>
      </w:pPr>
      <w:rPr>
        <w:rFonts w:hint="default"/>
        <w:lang w:val="zh-CN" w:eastAsia="zh-CN" w:bidi="zh-CN"/>
      </w:rPr>
    </w:lvl>
    <w:lvl w:ilvl="5" w:tentative="0">
      <w:start w:val="0"/>
      <w:numFmt w:val="bullet"/>
      <w:lvlText w:val="•"/>
      <w:lvlJc w:val="left"/>
      <w:pPr>
        <w:ind w:left="4573" w:hanging="322"/>
      </w:pPr>
      <w:rPr>
        <w:rFonts w:hint="default"/>
        <w:lang w:val="zh-CN" w:eastAsia="zh-CN" w:bidi="zh-CN"/>
      </w:rPr>
    </w:lvl>
    <w:lvl w:ilvl="6" w:tentative="0">
      <w:start w:val="0"/>
      <w:numFmt w:val="bullet"/>
      <w:lvlText w:val="•"/>
      <w:lvlJc w:val="left"/>
      <w:pPr>
        <w:ind w:left="5447" w:hanging="322"/>
      </w:pPr>
      <w:rPr>
        <w:rFonts w:hint="default"/>
        <w:lang w:val="zh-CN" w:eastAsia="zh-CN" w:bidi="zh-CN"/>
      </w:rPr>
    </w:lvl>
    <w:lvl w:ilvl="7" w:tentative="0">
      <w:start w:val="0"/>
      <w:numFmt w:val="bullet"/>
      <w:lvlText w:val="•"/>
      <w:lvlJc w:val="left"/>
      <w:pPr>
        <w:ind w:left="6322" w:hanging="322"/>
      </w:pPr>
      <w:rPr>
        <w:rFonts w:hint="default"/>
        <w:lang w:val="zh-CN" w:eastAsia="zh-CN" w:bidi="zh-CN"/>
      </w:rPr>
    </w:lvl>
    <w:lvl w:ilvl="8" w:tentative="0">
      <w:start w:val="0"/>
      <w:numFmt w:val="bullet"/>
      <w:lvlText w:val="•"/>
      <w:lvlJc w:val="left"/>
      <w:pPr>
        <w:ind w:left="7196" w:hanging="322"/>
      </w:pPr>
      <w:rPr>
        <w:rFonts w:hint="default"/>
        <w:lang w:val="zh-CN" w:eastAsia="zh-CN" w:bidi="zh-CN"/>
      </w:rPr>
    </w:lvl>
  </w:abstractNum>
  <w:abstractNum w:abstractNumId="6">
    <w:nsid w:val="31210425"/>
    <w:multiLevelType w:val="multilevel"/>
    <w:tmpl w:val="31210425"/>
    <w:lvl w:ilvl="0" w:tentative="0">
      <w:start w:val="1"/>
      <w:numFmt w:val="decimal"/>
      <w:pStyle w:val="165"/>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
    <w:nsid w:val="59FB0796"/>
    <w:multiLevelType w:val="singleLevel"/>
    <w:tmpl w:val="59FB0796"/>
    <w:lvl w:ilvl="0" w:tentative="0">
      <w:start w:val="1"/>
      <w:numFmt w:val="decimal"/>
      <w:suff w:val="nothing"/>
      <w:lvlText w:val="%1、"/>
      <w:lvlJc w:val="left"/>
    </w:lvl>
  </w:abstractNum>
  <w:abstractNum w:abstractNumId="8">
    <w:nsid w:val="5A1F7005"/>
    <w:multiLevelType w:val="singleLevel"/>
    <w:tmpl w:val="5A1F7005"/>
    <w:lvl w:ilvl="0" w:tentative="0">
      <w:start w:val="2"/>
      <w:numFmt w:val="chineseCounting"/>
      <w:suff w:val="space"/>
      <w:lvlText w:val="第%1部分"/>
      <w:lvlJc w:val="left"/>
    </w:lvl>
  </w:abstractNum>
  <w:num w:numId="1">
    <w:abstractNumId w:val="6"/>
  </w:num>
  <w:num w:numId="2">
    <w:abstractNumId w:val="8"/>
  </w:num>
  <w:num w:numId="3">
    <w:abstractNumId w:val="4"/>
  </w:num>
  <w:num w:numId="4">
    <w:abstractNumId w:val="7"/>
  </w:num>
  <w:num w:numId="5">
    <w:abstractNumId w:val="1"/>
  </w:num>
  <w:num w:numId="6">
    <w:abstractNumId w:val="0"/>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OGE4OWVmOTcwNjQ0ZTIxNDc2YTU0NjQ2Mjg3MDYifQ=="/>
  </w:docVars>
  <w:rsids>
    <w:rsidRoot w:val="7AD2169E"/>
    <w:rsid w:val="0020796E"/>
    <w:rsid w:val="003776F8"/>
    <w:rsid w:val="00531B7A"/>
    <w:rsid w:val="008C36D4"/>
    <w:rsid w:val="008D1106"/>
    <w:rsid w:val="00DB6DE4"/>
    <w:rsid w:val="00E41943"/>
    <w:rsid w:val="01113D6B"/>
    <w:rsid w:val="01AF5332"/>
    <w:rsid w:val="01D64C2C"/>
    <w:rsid w:val="01EB45BC"/>
    <w:rsid w:val="024F1E56"/>
    <w:rsid w:val="029702A0"/>
    <w:rsid w:val="02A44DCE"/>
    <w:rsid w:val="03345AEF"/>
    <w:rsid w:val="03401B03"/>
    <w:rsid w:val="035C6DF3"/>
    <w:rsid w:val="04BF588C"/>
    <w:rsid w:val="04CB2483"/>
    <w:rsid w:val="05D0476C"/>
    <w:rsid w:val="060847BA"/>
    <w:rsid w:val="06565574"/>
    <w:rsid w:val="08A27337"/>
    <w:rsid w:val="094A21A2"/>
    <w:rsid w:val="0A9652E1"/>
    <w:rsid w:val="0AB06179"/>
    <w:rsid w:val="0B0B7D58"/>
    <w:rsid w:val="0B371ABC"/>
    <w:rsid w:val="0B827D72"/>
    <w:rsid w:val="0BB94EEC"/>
    <w:rsid w:val="0C1A050D"/>
    <w:rsid w:val="0C361E92"/>
    <w:rsid w:val="0C5A2E51"/>
    <w:rsid w:val="0CF34650"/>
    <w:rsid w:val="0D2C67AC"/>
    <w:rsid w:val="0E550B2A"/>
    <w:rsid w:val="0ED14B39"/>
    <w:rsid w:val="0ED168E7"/>
    <w:rsid w:val="11867E5D"/>
    <w:rsid w:val="11902A8A"/>
    <w:rsid w:val="137E6912"/>
    <w:rsid w:val="13904FC3"/>
    <w:rsid w:val="13D16BF6"/>
    <w:rsid w:val="14117786"/>
    <w:rsid w:val="14C4231A"/>
    <w:rsid w:val="14DC5FE6"/>
    <w:rsid w:val="15033573"/>
    <w:rsid w:val="151E0666"/>
    <w:rsid w:val="151E288C"/>
    <w:rsid w:val="15211C4B"/>
    <w:rsid w:val="156009C5"/>
    <w:rsid w:val="156C23C2"/>
    <w:rsid w:val="17E268DE"/>
    <w:rsid w:val="18150D29"/>
    <w:rsid w:val="18340673"/>
    <w:rsid w:val="189A5F9C"/>
    <w:rsid w:val="18AC437F"/>
    <w:rsid w:val="18E11E1D"/>
    <w:rsid w:val="191044B0"/>
    <w:rsid w:val="19EC0A79"/>
    <w:rsid w:val="1A2F2313"/>
    <w:rsid w:val="1B6C00C4"/>
    <w:rsid w:val="1BB2744F"/>
    <w:rsid w:val="1DB93368"/>
    <w:rsid w:val="1DCD0BC2"/>
    <w:rsid w:val="1FAA11BB"/>
    <w:rsid w:val="1FD177C5"/>
    <w:rsid w:val="1FE93FAC"/>
    <w:rsid w:val="21867A05"/>
    <w:rsid w:val="21F20BF7"/>
    <w:rsid w:val="22347461"/>
    <w:rsid w:val="23797AEA"/>
    <w:rsid w:val="23A203FB"/>
    <w:rsid w:val="24A106B2"/>
    <w:rsid w:val="25657932"/>
    <w:rsid w:val="25C61A2C"/>
    <w:rsid w:val="26246288"/>
    <w:rsid w:val="28FE4902"/>
    <w:rsid w:val="293D3C3C"/>
    <w:rsid w:val="2A585CB7"/>
    <w:rsid w:val="2B520D22"/>
    <w:rsid w:val="2B88437A"/>
    <w:rsid w:val="2C864D5D"/>
    <w:rsid w:val="2CB01DDA"/>
    <w:rsid w:val="2CDD4919"/>
    <w:rsid w:val="2D016553"/>
    <w:rsid w:val="2D92328E"/>
    <w:rsid w:val="2E45132A"/>
    <w:rsid w:val="2E586286"/>
    <w:rsid w:val="2E8928E3"/>
    <w:rsid w:val="2F1F547B"/>
    <w:rsid w:val="2F353AB6"/>
    <w:rsid w:val="2F4A3E20"/>
    <w:rsid w:val="30EC0490"/>
    <w:rsid w:val="313C3C3D"/>
    <w:rsid w:val="31466AF4"/>
    <w:rsid w:val="31FF7E5D"/>
    <w:rsid w:val="33065AD0"/>
    <w:rsid w:val="3392223A"/>
    <w:rsid w:val="33E74334"/>
    <w:rsid w:val="347F27BE"/>
    <w:rsid w:val="34F4706D"/>
    <w:rsid w:val="351D1FD7"/>
    <w:rsid w:val="35D00DF7"/>
    <w:rsid w:val="35E825E5"/>
    <w:rsid w:val="35FF5D90"/>
    <w:rsid w:val="36214C00"/>
    <w:rsid w:val="362E7723"/>
    <w:rsid w:val="36405F7D"/>
    <w:rsid w:val="375907F6"/>
    <w:rsid w:val="38BB5D8F"/>
    <w:rsid w:val="39D97A10"/>
    <w:rsid w:val="3A176FF5"/>
    <w:rsid w:val="3B016F16"/>
    <w:rsid w:val="3B1E43B3"/>
    <w:rsid w:val="3B345984"/>
    <w:rsid w:val="3B4402BD"/>
    <w:rsid w:val="3B806E1C"/>
    <w:rsid w:val="3BC22595"/>
    <w:rsid w:val="3C6F3118"/>
    <w:rsid w:val="3C8B3CCA"/>
    <w:rsid w:val="3E0E4BB3"/>
    <w:rsid w:val="3E860A9B"/>
    <w:rsid w:val="3E9B60A4"/>
    <w:rsid w:val="3F2B5902"/>
    <w:rsid w:val="3FA0183A"/>
    <w:rsid w:val="3FA109E2"/>
    <w:rsid w:val="3FA96941"/>
    <w:rsid w:val="3FD00372"/>
    <w:rsid w:val="40077B0C"/>
    <w:rsid w:val="40421EA3"/>
    <w:rsid w:val="4175335E"/>
    <w:rsid w:val="41831141"/>
    <w:rsid w:val="41DF2AEE"/>
    <w:rsid w:val="42873B0C"/>
    <w:rsid w:val="42884F34"/>
    <w:rsid w:val="44417DD6"/>
    <w:rsid w:val="44441E0B"/>
    <w:rsid w:val="44D54F56"/>
    <w:rsid w:val="44ED72D0"/>
    <w:rsid w:val="45162194"/>
    <w:rsid w:val="45344EFF"/>
    <w:rsid w:val="456330E1"/>
    <w:rsid w:val="463278E8"/>
    <w:rsid w:val="463F16FB"/>
    <w:rsid w:val="465D66D7"/>
    <w:rsid w:val="469B2D5C"/>
    <w:rsid w:val="471A45C8"/>
    <w:rsid w:val="47266AC9"/>
    <w:rsid w:val="47995741"/>
    <w:rsid w:val="48142DC6"/>
    <w:rsid w:val="482B7A3F"/>
    <w:rsid w:val="486A487A"/>
    <w:rsid w:val="48F12205"/>
    <w:rsid w:val="49426B77"/>
    <w:rsid w:val="495516A9"/>
    <w:rsid w:val="49932766"/>
    <w:rsid w:val="49A43D68"/>
    <w:rsid w:val="4AB32D6A"/>
    <w:rsid w:val="4AC2591E"/>
    <w:rsid w:val="4D4D14B4"/>
    <w:rsid w:val="4DA90454"/>
    <w:rsid w:val="4DE53493"/>
    <w:rsid w:val="4E1E674C"/>
    <w:rsid w:val="4E477394"/>
    <w:rsid w:val="4EE64015"/>
    <w:rsid w:val="4F22401A"/>
    <w:rsid w:val="4FE70DC0"/>
    <w:rsid w:val="501E2878"/>
    <w:rsid w:val="5058443B"/>
    <w:rsid w:val="50865861"/>
    <w:rsid w:val="508D7BB9"/>
    <w:rsid w:val="5163251D"/>
    <w:rsid w:val="52374D6B"/>
    <w:rsid w:val="52A04F8E"/>
    <w:rsid w:val="52ED5725"/>
    <w:rsid w:val="53220A8C"/>
    <w:rsid w:val="53446C55"/>
    <w:rsid w:val="53D855EF"/>
    <w:rsid w:val="54300F87"/>
    <w:rsid w:val="554C1DF1"/>
    <w:rsid w:val="55843C1A"/>
    <w:rsid w:val="55C64900"/>
    <w:rsid w:val="56B7773E"/>
    <w:rsid w:val="56BF519F"/>
    <w:rsid w:val="56FE7D56"/>
    <w:rsid w:val="57193E77"/>
    <w:rsid w:val="571B5F1F"/>
    <w:rsid w:val="57411A85"/>
    <w:rsid w:val="57A001D2"/>
    <w:rsid w:val="586B4468"/>
    <w:rsid w:val="58783B88"/>
    <w:rsid w:val="599C4537"/>
    <w:rsid w:val="5AF509F4"/>
    <w:rsid w:val="5AFB2BCB"/>
    <w:rsid w:val="5BD01963"/>
    <w:rsid w:val="5D41670D"/>
    <w:rsid w:val="5E083F42"/>
    <w:rsid w:val="5E1717A5"/>
    <w:rsid w:val="5E84084D"/>
    <w:rsid w:val="5E9D23EF"/>
    <w:rsid w:val="5F0455DC"/>
    <w:rsid w:val="5F08322C"/>
    <w:rsid w:val="5F1871E8"/>
    <w:rsid w:val="5F2931A3"/>
    <w:rsid w:val="5F921474"/>
    <w:rsid w:val="60E50312"/>
    <w:rsid w:val="610F24CD"/>
    <w:rsid w:val="61344F63"/>
    <w:rsid w:val="61BF4336"/>
    <w:rsid w:val="61D05B58"/>
    <w:rsid w:val="622814F0"/>
    <w:rsid w:val="6355699C"/>
    <w:rsid w:val="63B43AF8"/>
    <w:rsid w:val="63C11A36"/>
    <w:rsid w:val="63DE27AE"/>
    <w:rsid w:val="64631235"/>
    <w:rsid w:val="64D14887"/>
    <w:rsid w:val="64D36A0C"/>
    <w:rsid w:val="65432F68"/>
    <w:rsid w:val="65FC1361"/>
    <w:rsid w:val="66315EC2"/>
    <w:rsid w:val="68352BB8"/>
    <w:rsid w:val="68C93267"/>
    <w:rsid w:val="696A74A4"/>
    <w:rsid w:val="69B62C25"/>
    <w:rsid w:val="6A1F767C"/>
    <w:rsid w:val="6A381D3E"/>
    <w:rsid w:val="6A3D3FA6"/>
    <w:rsid w:val="6A415CDB"/>
    <w:rsid w:val="6A5512F0"/>
    <w:rsid w:val="6A62547B"/>
    <w:rsid w:val="6ADB7A47"/>
    <w:rsid w:val="6AED32D6"/>
    <w:rsid w:val="6BD667C4"/>
    <w:rsid w:val="6C7F463A"/>
    <w:rsid w:val="6C940135"/>
    <w:rsid w:val="6CB51B62"/>
    <w:rsid w:val="6CCD7344"/>
    <w:rsid w:val="6D4164CC"/>
    <w:rsid w:val="6D543AE1"/>
    <w:rsid w:val="6D9640F9"/>
    <w:rsid w:val="6DCA78FF"/>
    <w:rsid w:val="6DEA1D4F"/>
    <w:rsid w:val="6DF25D19"/>
    <w:rsid w:val="6E0B0E56"/>
    <w:rsid w:val="6E6E5F9D"/>
    <w:rsid w:val="6F30035B"/>
    <w:rsid w:val="70003AAC"/>
    <w:rsid w:val="703D085C"/>
    <w:rsid w:val="71265794"/>
    <w:rsid w:val="71570B74"/>
    <w:rsid w:val="716C0C61"/>
    <w:rsid w:val="717D271A"/>
    <w:rsid w:val="727F515C"/>
    <w:rsid w:val="729D3834"/>
    <w:rsid w:val="72C24A5E"/>
    <w:rsid w:val="72E94CCB"/>
    <w:rsid w:val="7345352C"/>
    <w:rsid w:val="739F538A"/>
    <w:rsid w:val="762070B4"/>
    <w:rsid w:val="769A6A08"/>
    <w:rsid w:val="76A2766B"/>
    <w:rsid w:val="77010F17"/>
    <w:rsid w:val="773C6A7A"/>
    <w:rsid w:val="77B6112A"/>
    <w:rsid w:val="78890D98"/>
    <w:rsid w:val="78F16688"/>
    <w:rsid w:val="79FC1788"/>
    <w:rsid w:val="7A075F91"/>
    <w:rsid w:val="7AD2169E"/>
    <w:rsid w:val="7B7755C5"/>
    <w:rsid w:val="7B9F23CB"/>
    <w:rsid w:val="7C234BCD"/>
    <w:rsid w:val="7C5238E1"/>
    <w:rsid w:val="7C9932BE"/>
    <w:rsid w:val="7D0133EC"/>
    <w:rsid w:val="7D0D7808"/>
    <w:rsid w:val="7D2D56B4"/>
    <w:rsid w:val="7D407BDD"/>
    <w:rsid w:val="7D653A0A"/>
    <w:rsid w:val="7D787377"/>
    <w:rsid w:val="7DCB56F9"/>
    <w:rsid w:val="7DCC7162"/>
    <w:rsid w:val="7E157BB7"/>
    <w:rsid w:val="7E6520B7"/>
    <w:rsid w:val="7F1E7AAB"/>
    <w:rsid w:val="7F6776A3"/>
    <w:rsid w:val="FBFE0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9"/>
    <w:pPr>
      <w:keepNext/>
      <w:keepLines/>
      <w:spacing w:line="576" w:lineRule="auto"/>
      <w:outlineLvl w:val="0"/>
    </w:pPr>
    <w:rPr>
      <w:b/>
      <w:kern w:val="44"/>
      <w:sz w:val="44"/>
    </w:rPr>
  </w:style>
  <w:style w:type="paragraph" w:styleId="4">
    <w:name w:val="heading 2"/>
    <w:basedOn w:val="1"/>
    <w:next w:val="1"/>
    <w:autoRedefine/>
    <w:unhideWhenUsed/>
    <w:qFormat/>
    <w:uiPriority w:val="0"/>
    <w:pPr>
      <w:keepNext/>
      <w:keepLines/>
      <w:spacing w:line="360" w:lineRule="auto"/>
      <w:jc w:val="center"/>
      <w:outlineLvl w:val="1"/>
    </w:pPr>
    <w:rPr>
      <w:rFonts w:ascii="Arial" w:hAnsi="Arial" w:eastAsia="黑体"/>
      <w:b/>
      <w:bCs/>
      <w:sz w:val="32"/>
      <w:szCs w:val="32"/>
    </w:rPr>
  </w:style>
  <w:style w:type="paragraph" w:styleId="5">
    <w:name w:val="heading 3"/>
    <w:basedOn w:val="1"/>
    <w:next w:val="1"/>
    <w:link w:val="166"/>
    <w:autoRedefine/>
    <w:unhideWhenUsed/>
    <w:qFormat/>
    <w:uiPriority w:val="0"/>
    <w:pPr>
      <w:keepNext/>
      <w:keepLines/>
      <w:jc w:val="left"/>
      <w:outlineLvl w:val="2"/>
    </w:pPr>
    <w:rPr>
      <w:b/>
      <w:bCs/>
      <w:sz w:val="28"/>
      <w:szCs w:val="32"/>
    </w:rPr>
  </w:style>
  <w:style w:type="paragraph" w:styleId="6">
    <w:name w:val="heading 4"/>
    <w:basedOn w:val="1"/>
    <w:next w:val="1"/>
    <w:autoRedefine/>
    <w:unhideWhenUsed/>
    <w:qFormat/>
    <w:uiPriority w:val="0"/>
    <w:pPr>
      <w:keepNext/>
      <w:keepLines/>
      <w:spacing w:beforeLines="50" w:afterLines="50"/>
      <w:jc w:val="left"/>
      <w:outlineLvl w:val="3"/>
    </w:pPr>
    <w:rPr>
      <w:rFonts w:ascii="Calibri" w:hAnsi="Calibri"/>
      <w:b/>
      <w:bCs/>
      <w:sz w:val="24"/>
      <w:szCs w:val="28"/>
      <w:lang w:val="zh-CN"/>
    </w:rPr>
  </w:style>
  <w:style w:type="paragraph" w:styleId="7">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3">
    <w:name w:val="Default Paragraph Font"/>
    <w:autoRedefine/>
    <w:unhideWhenUsed/>
    <w:qFormat/>
    <w:uiPriority w:val="1"/>
  </w:style>
  <w:style w:type="table" w:default="1" w:styleId="21">
    <w:name w:val="Normal Table"/>
    <w:autoRedefine/>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toa heading"/>
    <w:basedOn w:val="1"/>
    <w:next w:val="1"/>
    <w:autoRedefine/>
    <w:semiHidden/>
    <w:qFormat/>
    <w:uiPriority w:val="99"/>
    <w:pPr>
      <w:spacing w:before="120"/>
    </w:pPr>
    <w:rPr>
      <w:rFonts w:ascii="Arial" w:hAnsi="Arial"/>
      <w:sz w:val="24"/>
      <w:szCs w:val="20"/>
    </w:rPr>
  </w:style>
  <w:style w:type="paragraph" w:styleId="9">
    <w:name w:val="Body Text"/>
    <w:basedOn w:val="1"/>
    <w:next w:val="1"/>
    <w:autoRedefine/>
    <w:qFormat/>
    <w:uiPriority w:val="0"/>
  </w:style>
  <w:style w:type="paragraph" w:styleId="10">
    <w:name w:val="Body Text Indent"/>
    <w:basedOn w:val="1"/>
    <w:autoRedefine/>
    <w:qFormat/>
    <w:uiPriority w:val="0"/>
    <w:pPr>
      <w:ind w:left="1083" w:leftChars="30" w:hanging="1020" w:hangingChars="425"/>
    </w:pPr>
    <w:rPr>
      <w:rFonts w:ascii="宋体" w:hAnsi="宋体"/>
      <w:sz w:val="24"/>
    </w:rPr>
  </w:style>
  <w:style w:type="paragraph" w:styleId="11">
    <w:name w:val="Plain Text"/>
    <w:basedOn w:val="9"/>
    <w:autoRedefine/>
    <w:unhideWhenUsed/>
    <w:qFormat/>
    <w:uiPriority w:val="99"/>
    <w:rPr>
      <w:rFonts w:hint="eastAsia" w:ascii="宋体" w:hAnsi="Courier New"/>
      <w:sz w:val="24"/>
    </w:rPr>
  </w:style>
  <w:style w:type="paragraph" w:styleId="12">
    <w:name w:val="Body Text Indent 2"/>
    <w:basedOn w:val="1"/>
    <w:autoRedefine/>
    <w:qFormat/>
    <w:uiPriority w:val="99"/>
    <w:pPr>
      <w:tabs>
        <w:tab w:val="left" w:pos="5625"/>
      </w:tabs>
      <w:ind w:left="1138" w:leftChars="542"/>
    </w:pPr>
    <w:rPr>
      <w:rFonts w:ascii="Times New Roman"/>
      <w:kern w:val="2"/>
    </w:rPr>
  </w:style>
  <w:style w:type="paragraph" w:styleId="13">
    <w:name w:val="Balloon Text"/>
    <w:basedOn w:val="1"/>
    <w:link w:val="39"/>
    <w:autoRedefine/>
    <w:qFormat/>
    <w:uiPriority w:val="0"/>
    <w:rPr>
      <w:sz w:val="18"/>
      <w:szCs w:val="18"/>
    </w:rPr>
  </w:style>
  <w:style w:type="paragraph" w:styleId="14">
    <w:name w:val="footer"/>
    <w:basedOn w:val="1"/>
    <w:next w:val="1"/>
    <w:autoRedefine/>
    <w:unhideWhenUsed/>
    <w:qFormat/>
    <w:uiPriority w:val="99"/>
    <w:pPr>
      <w:tabs>
        <w:tab w:val="center" w:pos="4153"/>
        <w:tab w:val="right" w:pos="8306"/>
      </w:tabs>
      <w:snapToGrid w:val="0"/>
      <w:jc w:val="left"/>
    </w:pPr>
    <w:rPr>
      <w:sz w:val="18"/>
    </w:rPr>
  </w:style>
  <w:style w:type="paragraph" w:styleId="15">
    <w:name w:val="envelope return"/>
    <w:basedOn w:val="1"/>
    <w:autoRedefine/>
    <w:qFormat/>
    <w:uiPriority w:val="0"/>
    <w:pPr>
      <w:snapToGrid w:val="0"/>
    </w:pPr>
    <w:rPr>
      <w:rFonts w:ascii="Arial" w:hAnsi="Arial"/>
    </w:rPr>
  </w:style>
  <w:style w:type="paragraph" w:styleId="16">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7">
    <w:name w:val="toc 1"/>
    <w:basedOn w:val="1"/>
    <w:next w:val="1"/>
    <w:autoRedefine/>
    <w:unhideWhenUsed/>
    <w:qFormat/>
    <w:uiPriority w:val="39"/>
  </w:style>
  <w:style w:type="paragraph" w:styleId="18">
    <w:name w:val="Normal (Web)"/>
    <w:basedOn w:val="1"/>
    <w:next w:val="15"/>
    <w:autoRedefine/>
    <w:unhideWhenUsed/>
    <w:qFormat/>
    <w:uiPriority w:val="99"/>
    <w:pPr>
      <w:spacing w:before="100" w:beforeAutospacing="1" w:after="100" w:afterAutospacing="1"/>
      <w:jc w:val="left"/>
    </w:pPr>
    <w:rPr>
      <w:kern w:val="0"/>
      <w:sz w:val="24"/>
    </w:rPr>
  </w:style>
  <w:style w:type="paragraph" w:styleId="19">
    <w:name w:val="Body Text First Indent"/>
    <w:basedOn w:val="9"/>
    <w:next w:val="1"/>
    <w:autoRedefine/>
    <w:unhideWhenUsed/>
    <w:qFormat/>
    <w:uiPriority w:val="99"/>
    <w:pPr>
      <w:ind w:firstLine="420" w:firstLineChars="100"/>
    </w:pPr>
  </w:style>
  <w:style w:type="paragraph" w:styleId="20">
    <w:name w:val="Body Text First Indent 2"/>
    <w:basedOn w:val="10"/>
    <w:autoRedefine/>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2">
    <w:name w:val="Table Grid"/>
    <w:basedOn w:val="21"/>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bCs/>
    </w:rPr>
  </w:style>
  <w:style w:type="character" w:styleId="25">
    <w:name w:val="FollowedHyperlink"/>
    <w:basedOn w:val="23"/>
    <w:autoRedefine/>
    <w:qFormat/>
    <w:uiPriority w:val="0"/>
    <w:rPr>
      <w:color w:val="800080"/>
      <w:u w:val="none"/>
    </w:rPr>
  </w:style>
  <w:style w:type="character" w:styleId="26">
    <w:name w:val="Emphasis"/>
    <w:basedOn w:val="23"/>
    <w:autoRedefine/>
    <w:qFormat/>
    <w:uiPriority w:val="0"/>
    <w:rPr>
      <w:b/>
      <w:bCs/>
    </w:rPr>
  </w:style>
  <w:style w:type="character" w:styleId="27">
    <w:name w:val="HTML Definition"/>
    <w:basedOn w:val="23"/>
    <w:autoRedefine/>
    <w:qFormat/>
    <w:uiPriority w:val="0"/>
  </w:style>
  <w:style w:type="character" w:styleId="28">
    <w:name w:val="HTML Typewriter"/>
    <w:basedOn w:val="23"/>
    <w:autoRedefine/>
    <w:qFormat/>
    <w:uiPriority w:val="0"/>
    <w:rPr>
      <w:rFonts w:hint="default" w:ascii="monospace" w:hAnsi="monospace" w:eastAsia="monospace" w:cs="monospace"/>
      <w:sz w:val="20"/>
    </w:rPr>
  </w:style>
  <w:style w:type="character" w:styleId="29">
    <w:name w:val="HTML Acronym"/>
    <w:basedOn w:val="23"/>
    <w:autoRedefine/>
    <w:qFormat/>
    <w:uiPriority w:val="0"/>
  </w:style>
  <w:style w:type="character" w:styleId="30">
    <w:name w:val="HTML Variable"/>
    <w:basedOn w:val="23"/>
    <w:autoRedefine/>
    <w:qFormat/>
    <w:uiPriority w:val="0"/>
  </w:style>
  <w:style w:type="character" w:styleId="31">
    <w:name w:val="Hyperlink"/>
    <w:basedOn w:val="23"/>
    <w:autoRedefine/>
    <w:qFormat/>
    <w:uiPriority w:val="0"/>
    <w:rPr>
      <w:rFonts w:hint="eastAsia" w:ascii="宋体" w:hAnsi="宋体" w:eastAsia="宋体" w:cs="宋体"/>
      <w:color w:val="000000"/>
      <w:sz w:val="18"/>
      <w:szCs w:val="18"/>
      <w:u w:val="none"/>
    </w:rPr>
  </w:style>
  <w:style w:type="character" w:styleId="32">
    <w:name w:val="HTML Code"/>
    <w:basedOn w:val="23"/>
    <w:autoRedefine/>
    <w:qFormat/>
    <w:uiPriority w:val="0"/>
    <w:rPr>
      <w:rFonts w:hint="default" w:ascii="monospace" w:hAnsi="monospace" w:eastAsia="monospace" w:cs="monospace"/>
      <w:sz w:val="20"/>
    </w:rPr>
  </w:style>
  <w:style w:type="character" w:styleId="33">
    <w:name w:val="HTML Cite"/>
    <w:basedOn w:val="23"/>
    <w:autoRedefine/>
    <w:qFormat/>
    <w:uiPriority w:val="0"/>
  </w:style>
  <w:style w:type="character" w:styleId="34">
    <w:name w:val="HTML Keyboard"/>
    <w:basedOn w:val="23"/>
    <w:autoRedefine/>
    <w:qFormat/>
    <w:uiPriority w:val="0"/>
    <w:rPr>
      <w:rFonts w:ascii="monospace" w:hAnsi="monospace" w:eastAsia="monospace" w:cs="monospace"/>
      <w:sz w:val="20"/>
    </w:rPr>
  </w:style>
  <w:style w:type="character" w:styleId="35">
    <w:name w:val="HTML Sample"/>
    <w:basedOn w:val="23"/>
    <w:autoRedefine/>
    <w:qFormat/>
    <w:uiPriority w:val="0"/>
    <w:rPr>
      <w:rFonts w:hint="default" w:ascii="monospace" w:hAnsi="monospace" w:eastAsia="monospace" w:cs="monospace"/>
    </w:rPr>
  </w:style>
  <w:style w:type="paragraph" w:customStyle="1" w:styleId="36">
    <w:name w:val="正文缩进1"/>
    <w:basedOn w:val="1"/>
    <w:autoRedefine/>
    <w:qFormat/>
    <w:uiPriority w:val="0"/>
    <w:pPr>
      <w:ind w:firstLine="420" w:firstLineChars="200"/>
    </w:pPr>
  </w:style>
  <w:style w:type="character" w:customStyle="1" w:styleId="37">
    <w:name w:val="标题 3 Char"/>
    <w:link w:val="5"/>
    <w:autoRedefine/>
    <w:qFormat/>
    <w:uiPriority w:val="0"/>
    <w:rPr>
      <w:rFonts w:ascii="Times New Roman" w:hAnsi="Times New Roman" w:eastAsia="宋体" w:cs="Times New Roman"/>
      <w:b/>
      <w:bCs/>
      <w:sz w:val="28"/>
      <w:szCs w:val="32"/>
    </w:rPr>
  </w:style>
  <w:style w:type="paragraph" w:customStyle="1" w:styleId="38">
    <w:name w:val="样式1"/>
    <w:basedOn w:val="1"/>
    <w:autoRedefine/>
    <w:qFormat/>
    <w:uiPriority w:val="0"/>
    <w:rPr>
      <w:sz w:val="18"/>
    </w:rPr>
  </w:style>
  <w:style w:type="character" w:customStyle="1" w:styleId="39">
    <w:name w:val="批注框文本 Char"/>
    <w:basedOn w:val="23"/>
    <w:link w:val="13"/>
    <w:autoRedefine/>
    <w:qFormat/>
    <w:uiPriority w:val="0"/>
    <w:rPr>
      <w:kern w:val="2"/>
      <w:sz w:val="18"/>
      <w:szCs w:val="18"/>
    </w:rPr>
  </w:style>
  <w:style w:type="paragraph" w:customStyle="1" w:styleId="40">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Heading2"/>
    <w:basedOn w:val="1"/>
    <w:next w:val="1"/>
    <w:autoRedefine/>
    <w:qFormat/>
    <w:uiPriority w:val="0"/>
    <w:pPr>
      <w:keepNext/>
      <w:keepLines/>
      <w:spacing w:before="260" w:after="260"/>
      <w:jc w:val="center"/>
    </w:pPr>
    <w:rPr>
      <w:rFonts w:ascii="Arial" w:hAnsi="Arial"/>
      <w:b/>
      <w:sz w:val="30"/>
    </w:rPr>
  </w:style>
  <w:style w:type="character" w:customStyle="1" w:styleId="42">
    <w:name w:val="NormalCharacter"/>
    <w:link w:val="43"/>
    <w:autoRedefine/>
    <w:qFormat/>
    <w:uiPriority w:val="0"/>
  </w:style>
  <w:style w:type="paragraph" w:customStyle="1" w:styleId="43">
    <w:name w:val="UserStyle_34"/>
    <w:basedOn w:val="1"/>
    <w:link w:val="42"/>
    <w:autoRedefine/>
    <w:qFormat/>
    <w:uiPriority w:val="0"/>
  </w:style>
  <w:style w:type="paragraph" w:customStyle="1" w:styleId="44">
    <w:name w:val="List Paragraph"/>
    <w:basedOn w:val="1"/>
    <w:autoRedefine/>
    <w:qFormat/>
    <w:uiPriority w:val="34"/>
    <w:pPr>
      <w:ind w:firstLine="420" w:firstLineChars="200"/>
    </w:pPr>
    <w:rPr>
      <w:szCs w:val="24"/>
    </w:rPr>
  </w:style>
  <w:style w:type="character" w:customStyle="1" w:styleId="45">
    <w:name w:val="font91"/>
    <w:basedOn w:val="23"/>
    <w:autoRedefine/>
    <w:qFormat/>
    <w:uiPriority w:val="0"/>
    <w:rPr>
      <w:rFonts w:hint="eastAsia" w:ascii="宋体" w:hAnsi="宋体" w:eastAsia="宋体" w:cs="宋体"/>
      <w:color w:val="000000"/>
      <w:sz w:val="24"/>
      <w:szCs w:val="24"/>
      <w:u w:val="none"/>
    </w:rPr>
  </w:style>
  <w:style w:type="character" w:customStyle="1" w:styleId="46">
    <w:name w:val="font121"/>
    <w:basedOn w:val="23"/>
    <w:autoRedefine/>
    <w:qFormat/>
    <w:uiPriority w:val="0"/>
    <w:rPr>
      <w:rFonts w:hint="eastAsia" w:ascii="宋体" w:hAnsi="宋体" w:eastAsia="宋体" w:cs="宋体"/>
      <w:color w:val="000000"/>
      <w:sz w:val="24"/>
      <w:szCs w:val="24"/>
      <w:u w:val="none"/>
    </w:rPr>
  </w:style>
  <w:style w:type="character" w:customStyle="1" w:styleId="47">
    <w:name w:val="font141"/>
    <w:basedOn w:val="23"/>
    <w:autoRedefine/>
    <w:qFormat/>
    <w:uiPriority w:val="0"/>
    <w:rPr>
      <w:rFonts w:hint="eastAsia" w:ascii="宋体" w:hAnsi="宋体" w:eastAsia="宋体" w:cs="宋体"/>
      <w:color w:val="000000"/>
      <w:sz w:val="24"/>
      <w:szCs w:val="24"/>
      <w:u w:val="none"/>
    </w:rPr>
  </w:style>
  <w:style w:type="character" w:customStyle="1" w:styleId="48">
    <w:name w:val="font212"/>
    <w:basedOn w:val="23"/>
    <w:autoRedefine/>
    <w:qFormat/>
    <w:uiPriority w:val="0"/>
    <w:rPr>
      <w:rFonts w:hint="eastAsia" w:ascii="宋体" w:hAnsi="宋体" w:eastAsia="宋体" w:cs="宋体"/>
      <w:color w:val="000000"/>
      <w:sz w:val="24"/>
      <w:szCs w:val="24"/>
      <w:u w:val="none"/>
      <w:vertAlign w:val="superscript"/>
    </w:rPr>
  </w:style>
  <w:style w:type="character" w:customStyle="1" w:styleId="49">
    <w:name w:val="font31"/>
    <w:basedOn w:val="23"/>
    <w:autoRedefine/>
    <w:qFormat/>
    <w:uiPriority w:val="0"/>
    <w:rPr>
      <w:rFonts w:hint="eastAsia" w:ascii="宋体" w:hAnsi="宋体" w:eastAsia="宋体" w:cs="宋体"/>
      <w:color w:val="000000"/>
      <w:sz w:val="24"/>
      <w:szCs w:val="24"/>
      <w:u w:val="none"/>
    </w:rPr>
  </w:style>
  <w:style w:type="character" w:customStyle="1" w:styleId="50">
    <w:name w:val="font231"/>
    <w:basedOn w:val="23"/>
    <w:autoRedefine/>
    <w:qFormat/>
    <w:uiPriority w:val="0"/>
    <w:rPr>
      <w:rFonts w:hint="eastAsia" w:ascii="宋体" w:hAnsi="宋体" w:eastAsia="宋体" w:cs="宋体"/>
      <w:color w:val="000000"/>
      <w:sz w:val="24"/>
      <w:szCs w:val="24"/>
      <w:u w:val="none"/>
    </w:rPr>
  </w:style>
  <w:style w:type="table" w:customStyle="1" w:styleId="51">
    <w:name w:val="Table Normal"/>
    <w:autoRedefine/>
    <w:unhideWhenUsed/>
    <w:qFormat/>
    <w:uiPriority w:val="0"/>
    <w:tblPr>
      <w:tblCellMar>
        <w:top w:w="0" w:type="dxa"/>
        <w:left w:w="0" w:type="dxa"/>
        <w:bottom w:w="0" w:type="dxa"/>
        <w:right w:w="0" w:type="dxa"/>
      </w:tblCellMar>
    </w:tblPr>
  </w:style>
  <w:style w:type="character" w:customStyle="1" w:styleId="52">
    <w:name w:val="tang-pass-qrcode-list-bj"/>
    <w:basedOn w:val="23"/>
    <w:autoRedefine/>
    <w:qFormat/>
    <w:uiPriority w:val="0"/>
  </w:style>
  <w:style w:type="character" w:customStyle="1" w:styleId="53">
    <w:name w:val="pass-generalerror"/>
    <w:basedOn w:val="23"/>
    <w:autoRedefine/>
    <w:qFormat/>
    <w:uiPriority w:val="0"/>
    <w:rPr>
      <w:sz w:val="21"/>
      <w:szCs w:val="21"/>
    </w:rPr>
  </w:style>
  <w:style w:type="character" w:customStyle="1" w:styleId="54">
    <w:name w:val="pass-placeholder"/>
    <w:basedOn w:val="23"/>
    <w:autoRedefine/>
    <w:qFormat/>
    <w:uiPriority w:val="0"/>
  </w:style>
  <w:style w:type="character" w:customStyle="1" w:styleId="55">
    <w:name w:val="pass-placeholder1"/>
    <w:basedOn w:val="23"/>
    <w:autoRedefine/>
    <w:qFormat/>
    <w:uiPriority w:val="0"/>
  </w:style>
  <w:style w:type="character" w:customStyle="1" w:styleId="56">
    <w:name w:val="pass-placeholder2"/>
    <w:basedOn w:val="23"/>
    <w:autoRedefine/>
    <w:qFormat/>
    <w:uiPriority w:val="0"/>
  </w:style>
  <w:style w:type="character" w:customStyle="1" w:styleId="57">
    <w:name w:val="pass-placeholder3"/>
    <w:basedOn w:val="23"/>
    <w:autoRedefine/>
    <w:qFormat/>
    <w:uiPriority w:val="0"/>
  </w:style>
  <w:style w:type="character" w:customStyle="1" w:styleId="58">
    <w:name w:val="tang-pass-qrcode-list-aq"/>
    <w:basedOn w:val="23"/>
    <w:autoRedefine/>
    <w:qFormat/>
    <w:uiPriority w:val="0"/>
  </w:style>
  <w:style w:type="character" w:customStyle="1" w:styleId="59">
    <w:name w:val="pass-clearbtn-verifycode"/>
    <w:basedOn w:val="23"/>
    <w:autoRedefine/>
    <w:qFormat/>
    <w:uiPriority w:val="0"/>
    <w:rPr>
      <w:color w:val="CCCCCC"/>
      <w:sz w:val="21"/>
      <w:szCs w:val="21"/>
    </w:rPr>
  </w:style>
  <w:style w:type="character" w:customStyle="1" w:styleId="60">
    <w:name w:val="pass-clearbtn-smsverifycode"/>
    <w:basedOn w:val="23"/>
    <w:autoRedefine/>
    <w:qFormat/>
    <w:uiPriority w:val="0"/>
  </w:style>
  <w:style w:type="character" w:customStyle="1" w:styleId="61">
    <w:name w:val="open"/>
    <w:basedOn w:val="23"/>
    <w:autoRedefine/>
    <w:qFormat/>
    <w:uiPriority w:val="0"/>
  </w:style>
  <w:style w:type="character" w:customStyle="1" w:styleId="62">
    <w:name w:val="tang-pass-qrcode-list-gx"/>
    <w:basedOn w:val="23"/>
    <w:autoRedefine/>
    <w:qFormat/>
    <w:uiPriority w:val="0"/>
  </w:style>
  <w:style w:type="paragraph" w:customStyle="1" w:styleId="63">
    <w:name w:val="xl36"/>
    <w:basedOn w:val="1"/>
    <w:autoRedefine/>
    <w:qFormat/>
    <w:uiPriority w:val="0"/>
    <w:pPr>
      <w:widowControl/>
      <w:spacing w:before="100" w:beforeLines="0" w:beforeAutospacing="0" w:after="100" w:afterLines="0" w:afterAutospacing="0"/>
      <w:jc w:val="center"/>
    </w:pPr>
    <w:rPr>
      <w:rFonts w:hint="eastAsia" w:ascii="宋体" w:hAnsi="宋体"/>
      <w:kern w:val="0"/>
      <w:sz w:val="24"/>
    </w:rPr>
  </w:style>
  <w:style w:type="character" w:customStyle="1" w:styleId="64">
    <w:name w:val="font101"/>
    <w:basedOn w:val="23"/>
    <w:autoRedefine/>
    <w:qFormat/>
    <w:uiPriority w:val="0"/>
    <w:rPr>
      <w:rFonts w:hint="default" w:ascii="Calibri" w:hAnsi="Calibri" w:cs="Calibri"/>
      <w:color w:val="000000"/>
      <w:sz w:val="21"/>
      <w:szCs w:val="21"/>
      <w:u w:val="none"/>
    </w:rPr>
  </w:style>
  <w:style w:type="character" w:customStyle="1" w:styleId="65">
    <w:name w:val="nth-of-type(3)"/>
    <w:basedOn w:val="23"/>
    <w:autoRedefine/>
    <w:qFormat/>
    <w:uiPriority w:val="0"/>
  </w:style>
  <w:style w:type="character" w:customStyle="1" w:styleId="66">
    <w:name w:val="nth-of-type(3)1"/>
    <w:basedOn w:val="23"/>
    <w:autoRedefine/>
    <w:qFormat/>
    <w:uiPriority w:val="0"/>
  </w:style>
  <w:style w:type="character" w:customStyle="1" w:styleId="67">
    <w:name w:val="nth-of-type(3)2"/>
    <w:basedOn w:val="23"/>
    <w:autoRedefine/>
    <w:qFormat/>
    <w:uiPriority w:val="0"/>
  </w:style>
  <w:style w:type="character" w:customStyle="1" w:styleId="68">
    <w:name w:val="nth-of-type(3)3"/>
    <w:basedOn w:val="23"/>
    <w:autoRedefine/>
    <w:qFormat/>
    <w:uiPriority w:val="0"/>
  </w:style>
  <w:style w:type="character" w:customStyle="1" w:styleId="69">
    <w:name w:val="nth-of-type(3)4"/>
    <w:basedOn w:val="23"/>
    <w:autoRedefine/>
    <w:qFormat/>
    <w:uiPriority w:val="0"/>
  </w:style>
  <w:style w:type="character" w:customStyle="1" w:styleId="70">
    <w:name w:val="nth-of-type(3)5"/>
    <w:basedOn w:val="23"/>
    <w:autoRedefine/>
    <w:qFormat/>
    <w:uiPriority w:val="0"/>
  </w:style>
  <w:style w:type="character" w:customStyle="1" w:styleId="71">
    <w:name w:val="nth-of-type(3)6"/>
    <w:basedOn w:val="23"/>
    <w:autoRedefine/>
    <w:qFormat/>
    <w:uiPriority w:val="0"/>
    <w:rPr>
      <w:sz w:val="21"/>
      <w:szCs w:val="21"/>
    </w:rPr>
  </w:style>
  <w:style w:type="character" w:customStyle="1" w:styleId="72">
    <w:name w:val="nth-of-type(3)7"/>
    <w:basedOn w:val="23"/>
    <w:autoRedefine/>
    <w:qFormat/>
    <w:uiPriority w:val="0"/>
  </w:style>
  <w:style w:type="character" w:customStyle="1" w:styleId="73">
    <w:name w:val="last-child"/>
    <w:basedOn w:val="23"/>
    <w:autoRedefine/>
    <w:qFormat/>
    <w:uiPriority w:val="0"/>
  </w:style>
  <w:style w:type="character" w:customStyle="1" w:styleId="74">
    <w:name w:val="last-child1"/>
    <w:basedOn w:val="23"/>
    <w:autoRedefine/>
    <w:qFormat/>
    <w:uiPriority w:val="0"/>
    <w:rPr>
      <w:color w:val="FFFFFF"/>
    </w:rPr>
  </w:style>
  <w:style w:type="character" w:customStyle="1" w:styleId="75">
    <w:name w:val="nth-of-type(4)"/>
    <w:basedOn w:val="23"/>
    <w:autoRedefine/>
    <w:qFormat/>
    <w:uiPriority w:val="0"/>
  </w:style>
  <w:style w:type="character" w:customStyle="1" w:styleId="76">
    <w:name w:val="nth-of-type(1)"/>
    <w:basedOn w:val="23"/>
    <w:autoRedefine/>
    <w:qFormat/>
    <w:uiPriority w:val="0"/>
  </w:style>
  <w:style w:type="character" w:customStyle="1" w:styleId="77">
    <w:name w:val="nth-of-type(1)1"/>
    <w:basedOn w:val="23"/>
    <w:autoRedefine/>
    <w:qFormat/>
    <w:uiPriority w:val="0"/>
  </w:style>
  <w:style w:type="character" w:customStyle="1" w:styleId="78">
    <w:name w:val="nth-of-type(1)2"/>
    <w:basedOn w:val="23"/>
    <w:autoRedefine/>
    <w:qFormat/>
    <w:uiPriority w:val="0"/>
  </w:style>
  <w:style w:type="character" w:customStyle="1" w:styleId="79">
    <w:name w:val="nth-of-type(1)3"/>
    <w:basedOn w:val="23"/>
    <w:autoRedefine/>
    <w:qFormat/>
    <w:uiPriority w:val="0"/>
  </w:style>
  <w:style w:type="character" w:customStyle="1" w:styleId="80">
    <w:name w:val="nth-of-type(1)4"/>
    <w:basedOn w:val="23"/>
    <w:autoRedefine/>
    <w:qFormat/>
    <w:uiPriority w:val="0"/>
    <w:rPr>
      <w:rFonts w:ascii="SourceHanSansCN-Regular" w:hAnsi="SourceHanSansCN-Regular" w:eastAsia="SourceHanSansCN-Regular" w:cs="SourceHanSansCN-Regular"/>
      <w:color w:val="FB560A"/>
      <w:sz w:val="21"/>
      <w:szCs w:val="21"/>
    </w:rPr>
  </w:style>
  <w:style w:type="character" w:customStyle="1" w:styleId="81">
    <w:name w:val="nth-of-type(1)5"/>
    <w:basedOn w:val="23"/>
    <w:autoRedefine/>
    <w:qFormat/>
    <w:uiPriority w:val="0"/>
  </w:style>
  <w:style w:type="character" w:customStyle="1" w:styleId="82">
    <w:name w:val="nth-of-type(1)6"/>
    <w:basedOn w:val="23"/>
    <w:autoRedefine/>
    <w:qFormat/>
    <w:uiPriority w:val="0"/>
  </w:style>
  <w:style w:type="character" w:customStyle="1" w:styleId="83">
    <w:name w:val="nth-of-type(1)7"/>
    <w:basedOn w:val="23"/>
    <w:autoRedefine/>
    <w:qFormat/>
    <w:uiPriority w:val="0"/>
  </w:style>
  <w:style w:type="character" w:customStyle="1" w:styleId="84">
    <w:name w:val="nth-of-type(1)8"/>
    <w:basedOn w:val="23"/>
    <w:autoRedefine/>
    <w:qFormat/>
    <w:uiPriority w:val="0"/>
  </w:style>
  <w:style w:type="character" w:customStyle="1" w:styleId="85">
    <w:name w:val="nth-of-type(1)9"/>
    <w:basedOn w:val="23"/>
    <w:autoRedefine/>
    <w:qFormat/>
    <w:uiPriority w:val="0"/>
  </w:style>
  <w:style w:type="character" w:customStyle="1" w:styleId="86">
    <w:name w:val="nth-of-type(1)10"/>
    <w:basedOn w:val="23"/>
    <w:autoRedefine/>
    <w:qFormat/>
    <w:uiPriority w:val="0"/>
  </w:style>
  <w:style w:type="character" w:customStyle="1" w:styleId="87">
    <w:name w:val="nth-of-type(1)11"/>
    <w:basedOn w:val="23"/>
    <w:autoRedefine/>
    <w:qFormat/>
    <w:uiPriority w:val="0"/>
  </w:style>
  <w:style w:type="character" w:customStyle="1" w:styleId="88">
    <w:name w:val="nth-of-type(1)12"/>
    <w:basedOn w:val="23"/>
    <w:autoRedefine/>
    <w:qFormat/>
    <w:uiPriority w:val="0"/>
  </w:style>
  <w:style w:type="character" w:customStyle="1" w:styleId="89">
    <w:name w:val="nth-of-type(1)13"/>
    <w:basedOn w:val="23"/>
    <w:autoRedefine/>
    <w:qFormat/>
    <w:uiPriority w:val="0"/>
  </w:style>
  <w:style w:type="character" w:customStyle="1" w:styleId="90">
    <w:name w:val="nth-of-type(1)14"/>
    <w:basedOn w:val="23"/>
    <w:autoRedefine/>
    <w:qFormat/>
    <w:uiPriority w:val="0"/>
  </w:style>
  <w:style w:type="character" w:customStyle="1" w:styleId="91">
    <w:name w:val="nth-of-type(1)15"/>
    <w:basedOn w:val="23"/>
    <w:autoRedefine/>
    <w:qFormat/>
    <w:uiPriority w:val="0"/>
  </w:style>
  <w:style w:type="character" w:customStyle="1" w:styleId="92">
    <w:name w:val="nth-of-type(1)16"/>
    <w:basedOn w:val="23"/>
    <w:autoRedefine/>
    <w:qFormat/>
    <w:uiPriority w:val="0"/>
  </w:style>
  <w:style w:type="character" w:customStyle="1" w:styleId="93">
    <w:name w:val="nth-of-type(1)17"/>
    <w:basedOn w:val="23"/>
    <w:autoRedefine/>
    <w:qFormat/>
    <w:uiPriority w:val="0"/>
    <w:rPr>
      <w:sz w:val="21"/>
      <w:szCs w:val="21"/>
    </w:rPr>
  </w:style>
  <w:style w:type="character" w:customStyle="1" w:styleId="94">
    <w:name w:val="nth-of-type(1)18"/>
    <w:basedOn w:val="23"/>
    <w:autoRedefine/>
    <w:qFormat/>
    <w:uiPriority w:val="0"/>
  </w:style>
  <w:style w:type="character" w:customStyle="1" w:styleId="95">
    <w:name w:val="nth-of-type(9)"/>
    <w:basedOn w:val="23"/>
    <w:autoRedefine/>
    <w:qFormat/>
    <w:uiPriority w:val="0"/>
  </w:style>
  <w:style w:type="character" w:customStyle="1" w:styleId="96">
    <w:name w:val="nth-of-type(2)"/>
    <w:basedOn w:val="23"/>
    <w:autoRedefine/>
    <w:qFormat/>
    <w:uiPriority w:val="0"/>
  </w:style>
  <w:style w:type="character" w:customStyle="1" w:styleId="97">
    <w:name w:val="nth-of-type(2)1"/>
    <w:basedOn w:val="23"/>
    <w:autoRedefine/>
    <w:qFormat/>
    <w:uiPriority w:val="0"/>
  </w:style>
  <w:style w:type="character" w:customStyle="1" w:styleId="98">
    <w:name w:val="nth-of-type(2)2"/>
    <w:basedOn w:val="23"/>
    <w:autoRedefine/>
    <w:qFormat/>
    <w:uiPriority w:val="0"/>
  </w:style>
  <w:style w:type="character" w:customStyle="1" w:styleId="99">
    <w:name w:val="nth-of-type(2)3"/>
    <w:basedOn w:val="23"/>
    <w:autoRedefine/>
    <w:qFormat/>
    <w:uiPriority w:val="0"/>
  </w:style>
  <w:style w:type="character" w:customStyle="1" w:styleId="100">
    <w:name w:val="nth-of-type(2)4"/>
    <w:basedOn w:val="23"/>
    <w:autoRedefine/>
    <w:qFormat/>
    <w:uiPriority w:val="0"/>
  </w:style>
  <w:style w:type="character" w:customStyle="1" w:styleId="101">
    <w:name w:val="nth-of-type(2)5"/>
    <w:basedOn w:val="23"/>
    <w:autoRedefine/>
    <w:qFormat/>
    <w:uiPriority w:val="0"/>
  </w:style>
  <w:style w:type="character" w:customStyle="1" w:styleId="102">
    <w:name w:val="nth-of-type(2)6"/>
    <w:basedOn w:val="23"/>
    <w:autoRedefine/>
    <w:qFormat/>
    <w:uiPriority w:val="0"/>
  </w:style>
  <w:style w:type="character" w:customStyle="1" w:styleId="103">
    <w:name w:val="nth-of-type(2)7"/>
    <w:basedOn w:val="23"/>
    <w:autoRedefine/>
    <w:qFormat/>
    <w:uiPriority w:val="0"/>
  </w:style>
  <w:style w:type="character" w:customStyle="1" w:styleId="104">
    <w:name w:val="nth-of-type(2)8"/>
    <w:basedOn w:val="23"/>
    <w:autoRedefine/>
    <w:qFormat/>
    <w:uiPriority w:val="0"/>
  </w:style>
  <w:style w:type="character" w:customStyle="1" w:styleId="105">
    <w:name w:val="nth-of-type(2)9"/>
    <w:basedOn w:val="23"/>
    <w:autoRedefine/>
    <w:qFormat/>
    <w:uiPriority w:val="0"/>
  </w:style>
  <w:style w:type="character" w:customStyle="1" w:styleId="106">
    <w:name w:val="nth-of-type(2)10"/>
    <w:basedOn w:val="23"/>
    <w:autoRedefine/>
    <w:qFormat/>
    <w:uiPriority w:val="0"/>
  </w:style>
  <w:style w:type="character" w:customStyle="1" w:styleId="107">
    <w:name w:val="nth-of-type(2)11"/>
    <w:basedOn w:val="23"/>
    <w:autoRedefine/>
    <w:qFormat/>
    <w:uiPriority w:val="0"/>
  </w:style>
  <w:style w:type="character" w:customStyle="1" w:styleId="108">
    <w:name w:val="nth-of-type(2)12"/>
    <w:basedOn w:val="23"/>
    <w:autoRedefine/>
    <w:qFormat/>
    <w:uiPriority w:val="0"/>
  </w:style>
  <w:style w:type="character" w:customStyle="1" w:styleId="109">
    <w:name w:val="nth-of-type(2)13"/>
    <w:basedOn w:val="23"/>
    <w:autoRedefine/>
    <w:qFormat/>
    <w:uiPriority w:val="0"/>
    <w:rPr>
      <w:sz w:val="21"/>
      <w:szCs w:val="21"/>
    </w:rPr>
  </w:style>
  <w:style w:type="character" w:customStyle="1" w:styleId="110">
    <w:name w:val="nth-of-type(2)14"/>
    <w:basedOn w:val="23"/>
    <w:autoRedefine/>
    <w:qFormat/>
    <w:uiPriority w:val="0"/>
  </w:style>
  <w:style w:type="character" w:customStyle="1" w:styleId="111">
    <w:name w:val="layui-this4"/>
    <w:basedOn w:val="23"/>
    <w:autoRedefine/>
    <w:qFormat/>
    <w:uiPriority w:val="0"/>
    <w:rPr>
      <w:bdr w:val="single" w:color="EEEEEE" w:sz="6" w:space="0"/>
      <w:shd w:val="clear" w:color="auto" w:fill="FFFFFF"/>
    </w:rPr>
  </w:style>
  <w:style w:type="character" w:customStyle="1" w:styleId="112">
    <w:name w:val="nth-child(1)"/>
    <w:basedOn w:val="23"/>
    <w:autoRedefine/>
    <w:qFormat/>
    <w:uiPriority w:val="0"/>
  </w:style>
  <w:style w:type="character" w:customStyle="1" w:styleId="113">
    <w:name w:val="before2"/>
    <w:basedOn w:val="23"/>
    <w:autoRedefine/>
    <w:qFormat/>
    <w:uiPriority w:val="0"/>
    <w:rPr>
      <w:shd w:val="clear" w:color="auto" w:fill="C20E0C"/>
    </w:rPr>
  </w:style>
  <w:style w:type="character" w:customStyle="1" w:styleId="114">
    <w:name w:val="lineshow"/>
    <w:basedOn w:val="23"/>
    <w:autoRedefine/>
    <w:qFormat/>
    <w:uiPriority w:val="0"/>
  </w:style>
  <w:style w:type="character" w:customStyle="1" w:styleId="115">
    <w:name w:val="lineshow1"/>
    <w:basedOn w:val="23"/>
    <w:autoRedefine/>
    <w:qFormat/>
    <w:uiPriority w:val="0"/>
  </w:style>
  <w:style w:type="character" w:customStyle="1" w:styleId="116">
    <w:name w:val="first-child"/>
    <w:basedOn w:val="23"/>
    <w:autoRedefine/>
    <w:qFormat/>
    <w:uiPriority w:val="0"/>
  </w:style>
  <w:style w:type="character" w:customStyle="1" w:styleId="117">
    <w:name w:val="first-child1"/>
    <w:basedOn w:val="23"/>
    <w:autoRedefine/>
    <w:qFormat/>
    <w:uiPriority w:val="0"/>
  </w:style>
  <w:style w:type="character" w:customStyle="1" w:styleId="118">
    <w:name w:val="first-child2"/>
    <w:basedOn w:val="23"/>
    <w:autoRedefine/>
    <w:qFormat/>
    <w:uiPriority w:val="0"/>
  </w:style>
  <w:style w:type="character" w:customStyle="1" w:styleId="119">
    <w:name w:val="first-child3"/>
    <w:basedOn w:val="23"/>
    <w:autoRedefine/>
    <w:qFormat/>
    <w:uiPriority w:val="0"/>
  </w:style>
  <w:style w:type="character" w:customStyle="1" w:styleId="120">
    <w:name w:val="hover25"/>
    <w:basedOn w:val="23"/>
    <w:autoRedefine/>
    <w:qFormat/>
    <w:uiPriority w:val="0"/>
    <w:rPr>
      <w:color w:val="167AE0"/>
    </w:rPr>
  </w:style>
  <w:style w:type="character" w:customStyle="1" w:styleId="121">
    <w:name w:val="hover26"/>
    <w:basedOn w:val="23"/>
    <w:autoRedefine/>
    <w:qFormat/>
    <w:uiPriority w:val="0"/>
  </w:style>
  <w:style w:type="character" w:customStyle="1" w:styleId="122">
    <w:name w:val="nth-of-type(5)"/>
    <w:basedOn w:val="23"/>
    <w:autoRedefine/>
    <w:qFormat/>
    <w:uiPriority w:val="0"/>
  </w:style>
  <w:style w:type="character" w:customStyle="1" w:styleId="123">
    <w:name w:val="nth-of-type(5)1"/>
    <w:basedOn w:val="23"/>
    <w:autoRedefine/>
    <w:qFormat/>
    <w:uiPriority w:val="0"/>
  </w:style>
  <w:style w:type="character" w:customStyle="1" w:styleId="124">
    <w:name w:val="nth-of-type(5)2"/>
    <w:basedOn w:val="23"/>
    <w:autoRedefine/>
    <w:qFormat/>
    <w:uiPriority w:val="0"/>
  </w:style>
  <w:style w:type="character" w:customStyle="1" w:styleId="125">
    <w:name w:val="nth-of-type(5)3"/>
    <w:basedOn w:val="23"/>
    <w:autoRedefine/>
    <w:qFormat/>
    <w:uiPriority w:val="0"/>
  </w:style>
  <w:style w:type="character" w:customStyle="1" w:styleId="126">
    <w:name w:val="nth-of-type(5)4"/>
    <w:basedOn w:val="23"/>
    <w:autoRedefine/>
    <w:qFormat/>
    <w:uiPriority w:val="0"/>
  </w:style>
  <w:style w:type="character" w:customStyle="1" w:styleId="127">
    <w:name w:val="nth-of-type(5)5"/>
    <w:basedOn w:val="23"/>
    <w:autoRedefine/>
    <w:qFormat/>
    <w:uiPriority w:val="0"/>
    <w:rPr>
      <w:sz w:val="21"/>
      <w:szCs w:val="21"/>
    </w:rPr>
  </w:style>
  <w:style w:type="character" w:customStyle="1" w:styleId="128">
    <w:name w:val="nth-of-type(5)6"/>
    <w:basedOn w:val="23"/>
    <w:autoRedefine/>
    <w:qFormat/>
    <w:uiPriority w:val="0"/>
  </w:style>
  <w:style w:type="character" w:customStyle="1" w:styleId="129">
    <w:name w:val="nth-of-type(8)"/>
    <w:basedOn w:val="23"/>
    <w:autoRedefine/>
    <w:qFormat/>
    <w:uiPriority w:val="0"/>
  </w:style>
  <w:style w:type="character" w:customStyle="1" w:styleId="130">
    <w:name w:val="nth-of-type(10)"/>
    <w:basedOn w:val="23"/>
    <w:autoRedefine/>
    <w:qFormat/>
    <w:uiPriority w:val="0"/>
  </w:style>
  <w:style w:type="character" w:customStyle="1" w:styleId="131">
    <w:name w:val="nth-of-type(7)"/>
    <w:basedOn w:val="23"/>
    <w:autoRedefine/>
    <w:qFormat/>
    <w:uiPriority w:val="0"/>
  </w:style>
  <w:style w:type="character" w:customStyle="1" w:styleId="132">
    <w:name w:val="nth-of-type(7)1"/>
    <w:basedOn w:val="23"/>
    <w:autoRedefine/>
    <w:qFormat/>
    <w:uiPriority w:val="0"/>
  </w:style>
  <w:style w:type="character" w:customStyle="1" w:styleId="133">
    <w:name w:val="nth-of-type(7)2"/>
    <w:basedOn w:val="23"/>
    <w:autoRedefine/>
    <w:qFormat/>
    <w:uiPriority w:val="0"/>
  </w:style>
  <w:style w:type="character" w:customStyle="1" w:styleId="134">
    <w:name w:val="nth-of-type(6)"/>
    <w:basedOn w:val="23"/>
    <w:autoRedefine/>
    <w:qFormat/>
    <w:uiPriority w:val="0"/>
  </w:style>
  <w:style w:type="character" w:customStyle="1" w:styleId="135">
    <w:name w:val="nth-of-type(6)1"/>
    <w:basedOn w:val="23"/>
    <w:autoRedefine/>
    <w:qFormat/>
    <w:uiPriority w:val="0"/>
  </w:style>
  <w:style w:type="character" w:customStyle="1" w:styleId="136">
    <w:name w:val="nth-of-type(6)2"/>
    <w:basedOn w:val="23"/>
    <w:autoRedefine/>
    <w:qFormat/>
    <w:uiPriority w:val="0"/>
  </w:style>
  <w:style w:type="character" w:customStyle="1" w:styleId="137">
    <w:name w:val="nth-of-type(6)3"/>
    <w:basedOn w:val="23"/>
    <w:autoRedefine/>
    <w:qFormat/>
    <w:uiPriority w:val="0"/>
    <w:rPr>
      <w:color w:val="0082DF"/>
    </w:rPr>
  </w:style>
  <w:style w:type="character" w:customStyle="1" w:styleId="138">
    <w:name w:val="nth-of-type(6)4"/>
    <w:basedOn w:val="23"/>
    <w:autoRedefine/>
    <w:qFormat/>
    <w:uiPriority w:val="0"/>
  </w:style>
  <w:style w:type="character" w:customStyle="1" w:styleId="139">
    <w:name w:val="nth-of-type(6)5"/>
    <w:basedOn w:val="23"/>
    <w:autoRedefine/>
    <w:qFormat/>
    <w:uiPriority w:val="0"/>
  </w:style>
  <w:style w:type="character" w:customStyle="1" w:styleId="140">
    <w:name w:val="nth-child(2)"/>
    <w:basedOn w:val="23"/>
    <w:autoRedefine/>
    <w:qFormat/>
    <w:uiPriority w:val="0"/>
  </w:style>
  <w:style w:type="character" w:customStyle="1" w:styleId="141">
    <w:name w:val="layui-laypage-curr"/>
    <w:basedOn w:val="23"/>
    <w:autoRedefine/>
    <w:qFormat/>
    <w:uiPriority w:val="0"/>
  </w:style>
  <w:style w:type="character" w:customStyle="1" w:styleId="142">
    <w:name w:val="titleshow"/>
    <w:basedOn w:val="23"/>
    <w:autoRedefine/>
    <w:qFormat/>
    <w:uiPriority w:val="0"/>
    <w:rPr>
      <w:color w:val="3E464C"/>
    </w:rPr>
  </w:style>
  <w:style w:type="character" w:customStyle="1" w:styleId="143">
    <w:name w:val="nth-child(3)"/>
    <w:basedOn w:val="23"/>
    <w:autoRedefine/>
    <w:qFormat/>
    <w:uiPriority w:val="0"/>
  </w:style>
  <w:style w:type="character" w:customStyle="1" w:styleId="144">
    <w:name w:val="last-child2"/>
    <w:basedOn w:val="23"/>
    <w:autoRedefine/>
    <w:qFormat/>
    <w:uiPriority w:val="0"/>
    <w:rPr>
      <w:color w:val="011F4F"/>
    </w:rPr>
  </w:style>
  <w:style w:type="character" w:customStyle="1" w:styleId="145">
    <w:name w:val="hover23"/>
    <w:basedOn w:val="23"/>
    <w:autoRedefine/>
    <w:qFormat/>
    <w:uiPriority w:val="0"/>
  </w:style>
  <w:style w:type="character" w:customStyle="1" w:styleId="146">
    <w:name w:val="hover24"/>
    <w:basedOn w:val="23"/>
    <w:autoRedefine/>
    <w:qFormat/>
    <w:uiPriority w:val="0"/>
    <w:rPr>
      <w:color w:val="167AE0"/>
    </w:rPr>
  </w:style>
  <w:style w:type="character" w:customStyle="1" w:styleId="147">
    <w:name w:val="nth-of-type(4)1"/>
    <w:basedOn w:val="23"/>
    <w:autoRedefine/>
    <w:qFormat/>
    <w:uiPriority w:val="0"/>
  </w:style>
  <w:style w:type="character" w:customStyle="1" w:styleId="148">
    <w:name w:val="nth-of-type(4)2"/>
    <w:basedOn w:val="23"/>
    <w:autoRedefine/>
    <w:qFormat/>
    <w:uiPriority w:val="0"/>
  </w:style>
  <w:style w:type="character" w:customStyle="1" w:styleId="149">
    <w:name w:val="nth-of-type(4)3"/>
    <w:basedOn w:val="23"/>
    <w:autoRedefine/>
    <w:qFormat/>
    <w:uiPriority w:val="0"/>
  </w:style>
  <w:style w:type="character" w:customStyle="1" w:styleId="150">
    <w:name w:val="nth-of-type(4)4"/>
    <w:basedOn w:val="23"/>
    <w:autoRedefine/>
    <w:qFormat/>
    <w:uiPriority w:val="0"/>
  </w:style>
  <w:style w:type="character" w:customStyle="1" w:styleId="151">
    <w:name w:val="nth-of-type(4)5"/>
    <w:basedOn w:val="23"/>
    <w:autoRedefine/>
    <w:qFormat/>
    <w:uiPriority w:val="0"/>
  </w:style>
  <w:style w:type="character" w:customStyle="1" w:styleId="152">
    <w:name w:val="nth-of-type(4)6"/>
    <w:basedOn w:val="23"/>
    <w:autoRedefine/>
    <w:qFormat/>
    <w:uiPriority w:val="0"/>
  </w:style>
  <w:style w:type="character" w:customStyle="1" w:styleId="153">
    <w:name w:val="nth-of-type(4)7"/>
    <w:basedOn w:val="23"/>
    <w:autoRedefine/>
    <w:qFormat/>
    <w:uiPriority w:val="0"/>
  </w:style>
  <w:style w:type="character" w:customStyle="1" w:styleId="154">
    <w:name w:val="nth-of-type(4)8"/>
    <w:basedOn w:val="23"/>
    <w:autoRedefine/>
    <w:qFormat/>
    <w:uiPriority w:val="0"/>
  </w:style>
  <w:style w:type="character" w:customStyle="1" w:styleId="155">
    <w:name w:val="layui-this"/>
    <w:basedOn w:val="23"/>
    <w:autoRedefine/>
    <w:qFormat/>
    <w:uiPriority w:val="0"/>
    <w:rPr>
      <w:bdr w:val="single" w:color="EEEEEE" w:sz="6" w:space="0"/>
      <w:shd w:val="clear" w:color="auto" w:fill="FFFFFF"/>
    </w:rPr>
  </w:style>
  <w:style w:type="character" w:customStyle="1" w:styleId="156">
    <w:name w:val="font21"/>
    <w:basedOn w:val="23"/>
    <w:autoRedefine/>
    <w:qFormat/>
    <w:uiPriority w:val="0"/>
    <w:rPr>
      <w:rFonts w:hint="eastAsia" w:ascii="仿宋" w:hAnsi="仿宋" w:eastAsia="仿宋" w:cs="仿宋"/>
      <w:color w:val="000000"/>
      <w:sz w:val="28"/>
      <w:szCs w:val="28"/>
      <w:u w:val="none"/>
    </w:rPr>
  </w:style>
  <w:style w:type="character" w:customStyle="1" w:styleId="157">
    <w:name w:val="font11"/>
    <w:basedOn w:val="23"/>
    <w:autoRedefine/>
    <w:qFormat/>
    <w:uiPriority w:val="0"/>
    <w:rPr>
      <w:rFonts w:hint="eastAsia" w:ascii="宋体" w:hAnsi="宋体" w:eastAsia="宋体" w:cs="宋体"/>
      <w:color w:val="000000"/>
      <w:sz w:val="28"/>
      <w:szCs w:val="28"/>
      <w:u w:val="none"/>
    </w:rPr>
  </w:style>
  <w:style w:type="character" w:customStyle="1" w:styleId="158">
    <w:name w:val="font71"/>
    <w:basedOn w:val="23"/>
    <w:autoRedefine/>
    <w:qFormat/>
    <w:uiPriority w:val="0"/>
    <w:rPr>
      <w:rFonts w:hint="eastAsia" w:ascii="微软雅黑" w:hAnsi="微软雅黑" w:eastAsia="微软雅黑" w:cs="微软雅黑"/>
      <w:color w:val="000000"/>
      <w:sz w:val="20"/>
      <w:szCs w:val="20"/>
      <w:u w:val="none"/>
    </w:rPr>
  </w:style>
  <w:style w:type="character" w:customStyle="1" w:styleId="159">
    <w:name w:val="font131"/>
    <w:basedOn w:val="23"/>
    <w:autoRedefine/>
    <w:qFormat/>
    <w:uiPriority w:val="0"/>
    <w:rPr>
      <w:rFonts w:ascii="宋体" w:hAnsi="宋体" w:eastAsia="宋体" w:cs="宋体"/>
      <w:color w:val="000000"/>
      <w:sz w:val="20"/>
      <w:szCs w:val="20"/>
      <w:u w:val="none"/>
    </w:rPr>
  </w:style>
  <w:style w:type="character" w:customStyle="1" w:styleId="160">
    <w:name w:val="font81"/>
    <w:basedOn w:val="23"/>
    <w:autoRedefine/>
    <w:qFormat/>
    <w:uiPriority w:val="0"/>
    <w:rPr>
      <w:rFonts w:hint="eastAsia" w:ascii="宋体" w:hAnsi="宋体" w:eastAsia="宋体" w:cs="宋体"/>
      <w:color w:val="000000"/>
      <w:sz w:val="20"/>
      <w:szCs w:val="20"/>
      <w:u w:val="none"/>
    </w:rPr>
  </w:style>
  <w:style w:type="character" w:customStyle="1" w:styleId="161">
    <w:name w:val="font112"/>
    <w:basedOn w:val="23"/>
    <w:autoRedefine/>
    <w:qFormat/>
    <w:uiPriority w:val="0"/>
    <w:rPr>
      <w:rFonts w:hint="eastAsia" w:ascii="微软雅黑" w:hAnsi="微软雅黑" w:eastAsia="微软雅黑" w:cs="微软雅黑"/>
      <w:color w:val="000000"/>
      <w:sz w:val="20"/>
      <w:szCs w:val="20"/>
      <w:u w:val="none"/>
    </w:rPr>
  </w:style>
  <w:style w:type="character" w:customStyle="1" w:styleId="162">
    <w:name w:val="font51"/>
    <w:basedOn w:val="23"/>
    <w:autoRedefine/>
    <w:qFormat/>
    <w:uiPriority w:val="0"/>
    <w:rPr>
      <w:rFonts w:hint="eastAsia" w:ascii="仿宋" w:hAnsi="仿宋" w:eastAsia="仿宋" w:cs="仿宋"/>
      <w:color w:val="000000"/>
      <w:sz w:val="22"/>
      <w:szCs w:val="22"/>
      <w:u w:val="none"/>
    </w:rPr>
  </w:style>
  <w:style w:type="paragraph" w:customStyle="1" w:styleId="163">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165">
    <w:name w:val="1"/>
    <w:basedOn w:val="44"/>
    <w:qFormat/>
    <w:uiPriority w:val="0"/>
    <w:pPr>
      <w:numPr>
        <w:ilvl w:val="0"/>
        <w:numId w:val="1"/>
      </w:numPr>
      <w:adjustRightInd w:val="0"/>
      <w:snapToGrid w:val="0"/>
      <w:spacing w:before="190" w:beforeLines="50"/>
      <w:ind w:firstLine="0" w:firstLineChars="0"/>
    </w:pPr>
    <w:rPr>
      <w:rFonts w:ascii="黑体" w:hAnsi="黑体" w:eastAsia="黑体" w:cs="宋体"/>
      <w:szCs w:val="28"/>
    </w:rPr>
  </w:style>
  <w:style w:type="character" w:customStyle="1" w:styleId="166">
    <w:name w:val="标题 3 字符"/>
    <w:link w:val="5"/>
    <w:qFormat/>
    <w:uiPriority w:val="0"/>
    <w:rPr>
      <w:rFonts w:ascii="方正仿宋_GBK" w:hAnsi="方正仿宋_GBK" w:eastAsia="方正仿宋_GBK"/>
      <w:b/>
      <w:bCs/>
      <w:kern w:val="2"/>
      <w:sz w:val="28"/>
      <w:szCs w:val="32"/>
      <w:lang w:val="en-US" w:eastAsia="zh-CN" w:bidi="ar-SA"/>
    </w:rPr>
  </w:style>
  <w:style w:type="character" w:customStyle="1" w:styleId="167">
    <w:name w:val="font161"/>
    <w:basedOn w:val="23"/>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42065</Words>
  <Characters>46173</Characters>
  <Lines>320</Lines>
  <Paragraphs>90</Paragraphs>
  <TotalTime>3</TotalTime>
  <ScaleCrop>false</ScaleCrop>
  <LinksUpToDate>false</LinksUpToDate>
  <CharactersWithSpaces>49368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2021-10-28T17:47:00Z</dcterms:created>
  <dc:creator>、许多年以后</dc:creator>
  <cp:lastModifiedBy>、小纪炖蘑菇</cp:lastModifiedBy>
  <cp:lastPrinted>2022-06-07T17:41:00Z</cp:lastPrinted>
  <dcterms:modified xsi:type="dcterms:W3CDTF">2024-07-16T08:47:42Z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F4CF655664B84C63B6CA60A12D58B3E7_13</vt:lpwstr>
  </property>
</Properties>
</file>