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color w:val="auto"/>
          <w:sz w:val="52"/>
          <w:szCs w:val="52"/>
        </w:rPr>
      </w:pPr>
    </w:p>
    <w:p>
      <w:pPr>
        <w:spacing w:line="240" w:lineRule="auto"/>
        <w:jc w:val="both"/>
        <w:rPr>
          <w:color w:val="auto"/>
          <w:sz w:val="52"/>
          <w:szCs w:val="52"/>
        </w:rPr>
      </w:pPr>
    </w:p>
    <w:p>
      <w:pPr>
        <w:spacing w:line="240" w:lineRule="auto"/>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kern w:val="0"/>
          <w:sz w:val="96"/>
          <w:szCs w:val="96"/>
          <w:lang w:val="en-US" w:eastAsia="zh-CN"/>
        </w:rPr>
        <w:t>汉中市</w:t>
      </w:r>
      <w:r>
        <w:rPr>
          <w:rFonts w:hint="eastAsia" w:ascii="方正小标宋简体" w:hAnsi="方正小标宋简体" w:eastAsia="方正小标宋简体" w:cs="方正小标宋简体"/>
          <w:b w:val="0"/>
          <w:bCs/>
          <w:color w:val="auto"/>
          <w:kern w:val="0"/>
          <w:sz w:val="96"/>
          <w:szCs w:val="96"/>
        </w:rPr>
        <w:t>政府采购中心</w:t>
      </w:r>
    </w:p>
    <w:p>
      <w:pPr>
        <w:spacing w:line="240" w:lineRule="auto"/>
        <w:jc w:val="center"/>
        <w:rPr>
          <w:rFonts w:ascii="黑体" w:hAnsi="黑体" w:eastAsia="黑体" w:cs="黑体"/>
          <w:b w:val="0"/>
          <w:bCs/>
          <w:color w:val="auto"/>
          <w:sz w:val="96"/>
          <w:szCs w:val="96"/>
        </w:rPr>
      </w:pPr>
      <w:r>
        <w:rPr>
          <w:rFonts w:hint="eastAsia" w:ascii="方正小标宋简体" w:hAnsi="方正小标宋简体" w:eastAsia="方正小标宋简体" w:cs="方正小标宋简体"/>
          <w:b w:val="0"/>
          <w:bCs/>
          <w:color w:val="auto"/>
          <w:kern w:val="0"/>
          <w:sz w:val="96"/>
          <w:szCs w:val="96"/>
        </w:rPr>
        <w:t>竞争性磋商文件</w:t>
      </w:r>
    </w:p>
    <w:p>
      <w:pPr>
        <w:pStyle w:val="36"/>
        <w:spacing w:line="240" w:lineRule="auto"/>
        <w:ind w:left="0" w:leftChars="0" w:right="424" w:rightChars="150" w:firstLine="0" w:firstLineChars="0"/>
        <w:jc w:val="center"/>
        <w:rPr>
          <w:rFonts w:hint="eastAsia" w:ascii="仿宋_GB2312" w:hAnsi="仿宋_GB2312" w:eastAsia="仿宋_GB2312" w:cs="仿宋_GB2312"/>
          <w:color w:val="auto"/>
          <w:sz w:val="36"/>
          <w:szCs w:val="36"/>
          <w:lang w:eastAsia="zh-CN"/>
        </w:rPr>
      </w:pPr>
      <w:r>
        <w:rPr>
          <w:rFonts w:hint="eastAsia" w:ascii="仿宋_GB2312" w:hAnsi="仿宋_GB2312" w:eastAsia="仿宋_GB2312" w:cs="仿宋_GB2312"/>
          <w:color w:val="auto"/>
          <w:sz w:val="44"/>
          <w:szCs w:val="44"/>
          <w:lang w:eastAsia="zh-CN"/>
        </w:rPr>
        <w:t>（</w:t>
      </w:r>
      <w:r>
        <w:rPr>
          <w:rFonts w:hint="eastAsia" w:ascii="仿宋_GB2312" w:hAnsi="仿宋_GB2312" w:eastAsia="仿宋_GB2312" w:cs="仿宋_GB2312"/>
          <w:color w:val="auto"/>
          <w:sz w:val="44"/>
          <w:szCs w:val="44"/>
          <w:lang w:val="en-US" w:eastAsia="zh-CN"/>
        </w:rPr>
        <w:t>专门面向中小企业采购</w:t>
      </w:r>
      <w:r>
        <w:rPr>
          <w:rFonts w:hint="eastAsia" w:ascii="仿宋_GB2312" w:hAnsi="仿宋_GB2312" w:eastAsia="仿宋_GB2312" w:cs="仿宋_GB2312"/>
          <w:color w:val="auto"/>
          <w:sz w:val="44"/>
          <w:szCs w:val="44"/>
          <w:lang w:eastAsia="zh-CN"/>
        </w:rPr>
        <w:t>）</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100"/>
          <w:sz w:val="36"/>
          <w:szCs w:val="36"/>
        </w:rPr>
      </w:pP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w w:val="95"/>
          <w:sz w:val="36"/>
          <w:szCs w:val="36"/>
          <w:highlight w:val="yellow"/>
          <w:lang w:val="en-US" w:eastAsia="zh-CN"/>
        </w:rPr>
      </w:pPr>
      <w:r>
        <w:rPr>
          <w:rFonts w:hint="eastAsia" w:ascii="仿宋_GB2312" w:hAnsi="仿宋_GB2312" w:eastAsia="仿宋_GB2312" w:cs="仿宋_GB2312"/>
          <w:b w:val="0"/>
          <w:bCs w:val="0"/>
          <w:color w:val="auto"/>
          <w:w w:val="100"/>
          <w:sz w:val="36"/>
          <w:szCs w:val="36"/>
        </w:rPr>
        <w:t>项目名称：</w:t>
      </w:r>
      <w:r>
        <w:rPr>
          <w:rFonts w:hint="eastAsia" w:ascii="仿宋_GB2312" w:hAnsi="仿宋_GB2312" w:eastAsia="仿宋_GB2312" w:cs="仿宋_GB2312"/>
          <w:b w:val="0"/>
          <w:bCs w:val="0"/>
          <w:color w:val="auto"/>
          <w:w w:val="100"/>
          <w:sz w:val="36"/>
          <w:szCs w:val="36"/>
          <w:lang w:val="en-US" w:eastAsia="zh-CN"/>
        </w:rPr>
        <w:t>汉中市中心医院电梯运行服务采购项目（二次）</w:t>
      </w:r>
    </w:p>
    <w:p>
      <w:pPr>
        <w:spacing w:line="240" w:lineRule="auto"/>
        <w:ind w:left="2539" w:leftChars="256" w:right="707" w:rightChars="250" w:hanging="1815" w:hangingChars="500"/>
        <w:jc w:val="left"/>
        <w:rPr>
          <w:rFonts w:hint="eastAsia" w:ascii="仿宋_GB2312" w:hAnsi="仿宋_GB2312" w:eastAsia="仿宋_GB2312" w:cs="仿宋_GB2312"/>
          <w:b w:val="0"/>
          <w:bCs w:val="0"/>
          <w:color w:val="auto"/>
          <w:sz w:val="36"/>
          <w:szCs w:val="36"/>
        </w:rPr>
      </w:pPr>
      <w:r>
        <w:rPr>
          <w:rFonts w:hint="eastAsia" w:ascii="仿宋_GB2312" w:hAnsi="仿宋_GB2312" w:eastAsia="仿宋_GB2312" w:cs="仿宋_GB2312"/>
          <w:b w:val="0"/>
          <w:bCs w:val="0"/>
          <w:color w:val="auto"/>
          <w:sz w:val="36"/>
          <w:szCs w:val="36"/>
        </w:rPr>
        <w:t>项目编号：</w:t>
      </w:r>
      <w:r>
        <w:rPr>
          <w:rFonts w:hint="eastAsia" w:ascii="仿宋_GB2312" w:hAnsi="仿宋_GB2312" w:eastAsia="仿宋_GB2312" w:cs="仿宋_GB2312"/>
          <w:b w:val="0"/>
          <w:bCs w:val="0"/>
          <w:color w:val="auto"/>
          <w:sz w:val="36"/>
          <w:szCs w:val="36"/>
          <w:lang w:val="en-US" w:eastAsia="zh-CN"/>
        </w:rPr>
        <w:t>汉采FW【2024】1号</w:t>
      </w:r>
    </w:p>
    <w:p>
      <w:pPr>
        <w:spacing w:line="240" w:lineRule="auto"/>
        <w:ind w:right="424" w:rightChars="150" w:firstLine="726" w:firstLineChars="200"/>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36"/>
          <w:szCs w:val="36"/>
        </w:rPr>
      </w:pPr>
    </w:p>
    <w:p>
      <w:pPr>
        <w:pStyle w:val="8"/>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sz w:val="36"/>
          <w:szCs w:val="36"/>
        </w:rPr>
      </w:pPr>
    </w:p>
    <w:p>
      <w:pPr>
        <w:rPr>
          <w:rFonts w:hint="eastAsia" w:ascii="仿宋_GB2312" w:hAnsi="仿宋_GB2312" w:eastAsia="仿宋_GB2312" w:cs="仿宋_GB2312"/>
          <w:b w:val="0"/>
          <w:bCs w:val="0"/>
          <w:color w:val="auto"/>
        </w:rPr>
      </w:pPr>
    </w:p>
    <w:p>
      <w:pPr>
        <w:pStyle w:val="8"/>
        <w:rPr>
          <w:rFonts w:hint="eastAsia"/>
        </w:rPr>
      </w:pPr>
    </w:p>
    <w:p>
      <w:pPr>
        <w:spacing w:line="240" w:lineRule="auto"/>
        <w:jc w:val="center"/>
        <w:rPr>
          <w:rFonts w:hint="eastAsia" w:ascii="仿宋_GB2312" w:hAnsi="仿宋_GB2312" w:eastAsia="仿宋_GB2312" w:cs="仿宋_GB2312"/>
          <w:b w:val="0"/>
          <w:bCs w:val="0"/>
          <w:color w:val="auto"/>
          <w:sz w:val="36"/>
          <w:szCs w:val="36"/>
        </w:rPr>
      </w:pPr>
    </w:p>
    <w:p>
      <w:pPr>
        <w:spacing w:line="240" w:lineRule="auto"/>
        <w:jc w:val="center"/>
        <w:rPr>
          <w:rFonts w:hint="eastAsia" w:ascii="仿宋_GB2312" w:hAnsi="仿宋_GB2312" w:eastAsia="仿宋_GB2312" w:cs="仿宋_GB2312"/>
          <w:b w:val="0"/>
          <w:bCs w:val="0"/>
          <w:color w:val="auto"/>
          <w:sz w:val="44"/>
          <w:szCs w:val="44"/>
        </w:rPr>
      </w:pPr>
      <w:r>
        <w:rPr>
          <w:rFonts w:hint="eastAsia" w:ascii="仿宋_GB2312" w:hAnsi="仿宋_GB2312" w:eastAsia="仿宋_GB2312" w:cs="仿宋_GB2312"/>
          <w:b w:val="0"/>
          <w:bCs w:val="0"/>
          <w:color w:val="auto"/>
          <w:sz w:val="44"/>
          <w:szCs w:val="44"/>
        </w:rPr>
        <w:t>202</w:t>
      </w:r>
      <w:r>
        <w:rPr>
          <w:rFonts w:hint="eastAsia" w:ascii="仿宋_GB2312" w:hAnsi="仿宋_GB2312" w:eastAsia="仿宋_GB2312" w:cs="仿宋_GB2312"/>
          <w:b w:val="0"/>
          <w:bCs w:val="0"/>
          <w:color w:val="auto"/>
          <w:sz w:val="44"/>
          <w:szCs w:val="44"/>
          <w:lang w:val="en-US" w:eastAsia="zh-CN"/>
        </w:rPr>
        <w:t>4</w:t>
      </w:r>
      <w:r>
        <w:rPr>
          <w:rFonts w:hint="eastAsia" w:ascii="仿宋_GB2312" w:hAnsi="仿宋_GB2312" w:eastAsia="仿宋_GB2312" w:cs="仿宋_GB2312"/>
          <w:b w:val="0"/>
          <w:bCs w:val="0"/>
          <w:color w:val="auto"/>
          <w:sz w:val="44"/>
          <w:szCs w:val="44"/>
        </w:rPr>
        <w:t>年</w:t>
      </w:r>
      <w:r>
        <w:rPr>
          <w:rFonts w:hint="eastAsia" w:ascii="仿宋_GB2312" w:hAnsi="仿宋_GB2312" w:eastAsia="仿宋_GB2312" w:cs="仿宋_GB2312"/>
          <w:b w:val="0"/>
          <w:bCs w:val="0"/>
          <w:color w:val="auto"/>
          <w:sz w:val="44"/>
          <w:szCs w:val="44"/>
          <w:highlight w:val="none"/>
          <w:lang w:val="en-US" w:eastAsia="zh-CN"/>
        </w:rPr>
        <w:t>1</w:t>
      </w:r>
      <w:r>
        <w:rPr>
          <w:rFonts w:hint="eastAsia" w:ascii="仿宋_GB2312" w:hAnsi="仿宋_GB2312" w:eastAsia="仿宋_GB2312" w:cs="仿宋_GB2312"/>
          <w:b w:val="0"/>
          <w:bCs w:val="0"/>
          <w:color w:val="auto"/>
          <w:sz w:val="44"/>
          <w:szCs w:val="44"/>
          <w:highlight w:val="none"/>
        </w:rPr>
        <w:t>月</w:t>
      </w:r>
      <w:r>
        <w:rPr>
          <w:rFonts w:hint="eastAsia" w:ascii="仿宋_GB2312" w:hAnsi="仿宋_GB2312" w:eastAsia="仿宋_GB2312" w:cs="仿宋_GB2312"/>
          <w:b w:val="0"/>
          <w:bCs w:val="0"/>
          <w:color w:val="auto"/>
          <w:sz w:val="44"/>
          <w:szCs w:val="44"/>
          <w:highlight w:val="none"/>
          <w:lang w:val="en-US" w:eastAsia="zh-CN"/>
        </w:rPr>
        <w:t>12</w:t>
      </w:r>
      <w:r>
        <w:rPr>
          <w:rFonts w:hint="eastAsia" w:ascii="仿宋_GB2312" w:hAnsi="仿宋_GB2312" w:eastAsia="仿宋_GB2312" w:cs="仿宋_GB2312"/>
          <w:b w:val="0"/>
          <w:bCs w:val="0"/>
          <w:color w:val="auto"/>
          <w:sz w:val="44"/>
          <w:szCs w:val="44"/>
        </w:rPr>
        <w:t>日</w:t>
      </w:r>
      <w:bookmarkStart w:id="0" w:name="_Toc10222_WPSOffice_Level1"/>
      <w:bookmarkStart w:id="1" w:name="_Toc30340_WPSOffice_Level1"/>
      <w:bookmarkStart w:id="2" w:name="_Toc30102_WPSOffice_Level1"/>
    </w:p>
    <w:p>
      <w:pPr>
        <w:pStyle w:val="8"/>
        <w:rPr>
          <w:rFonts w:hint="eastAsia"/>
          <w:color w:val="auto"/>
        </w:rPr>
      </w:pPr>
    </w:p>
    <w:p>
      <w:pPr>
        <w:pStyle w:val="15"/>
        <w:tabs>
          <w:tab w:val="right" w:leader="dot" w:pos="9072"/>
        </w:tabs>
        <w:spacing w:before="190" w:beforeLines="50" w:after="190" w:afterLines="50" w:line="500" w:lineRule="exact"/>
        <w:jc w:val="center"/>
        <w:rPr>
          <w:rFonts w:hint="eastAsia" w:ascii="仿宋" w:hAnsi="仿宋" w:eastAsia="仿宋" w:cs="仿宋"/>
          <w:color w:val="auto"/>
          <w:sz w:val="44"/>
          <w:szCs w:val="44"/>
        </w:rPr>
        <w:sectPr>
          <w:footerReference r:id="rId5"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tabs>
          <w:tab w:val="right" w:leader="hyphen" w:pos="8504"/>
        </w:tabs>
        <w:spacing w:after="381" w:afterLines="100" w:line="240" w:lineRule="auto"/>
        <w:ind w:left="567" w:right="566" w:rightChars="200"/>
        <w:jc w:val="center"/>
        <w:rPr>
          <w:rFonts w:ascii="仿宋" w:hAnsi="仿宋" w:eastAsia="仿宋"/>
          <w:b w:val="0"/>
          <w:bCs/>
          <w:color w:val="auto"/>
          <w:sz w:val="44"/>
        </w:rPr>
      </w:pPr>
      <w:r>
        <w:rPr>
          <w:rFonts w:hint="eastAsia" w:ascii="黑体" w:hAnsi="黑体" w:eastAsia="黑体" w:cs="黑体"/>
          <w:b w:val="0"/>
          <w:bCs/>
          <w:color w:val="auto"/>
          <w:sz w:val="44"/>
        </w:rPr>
        <w:t>目  录</w:t>
      </w:r>
    </w:p>
    <w:p>
      <w:pPr>
        <w:pStyle w:val="13"/>
        <w:rPr>
          <w:color w:val="auto"/>
          <w:highlight w:val="yellow"/>
        </w:rPr>
      </w:pP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default"/>
          <w:color w:val="auto"/>
          <w:sz w:val="32"/>
          <w:szCs w:val="32"/>
          <w:lang w:val="en-US" w:eastAsia="zh-CN"/>
        </w:rPr>
        <w:fldChar w:fldCharType="begin"/>
      </w:r>
      <w:r>
        <w:rPr>
          <w:rFonts w:hint="default"/>
          <w:color w:val="auto"/>
          <w:sz w:val="32"/>
          <w:szCs w:val="32"/>
          <w:lang w:val="en-US" w:eastAsia="zh-CN"/>
        </w:rPr>
        <w:instrText xml:space="preserve">TOC \o "1-2" \u </w:instrText>
      </w:r>
      <w:r>
        <w:rPr>
          <w:rFonts w:hint="default"/>
          <w:color w:val="auto"/>
          <w:sz w:val="32"/>
          <w:szCs w:val="32"/>
          <w:lang w:val="en-US" w:eastAsia="zh-CN"/>
        </w:rPr>
        <w:fldChar w:fldCharType="separate"/>
      </w:r>
      <w:r>
        <w:rPr>
          <w:rFonts w:hint="eastAsia" w:ascii="黑体" w:hAnsi="黑体" w:eastAsia="黑体" w:cs="黑体"/>
          <w:color w:val="auto"/>
          <w:sz w:val="32"/>
          <w:szCs w:val="32"/>
        </w:rPr>
        <w:t>第一章 磋商邀请函</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黑体" w:hAnsi="黑体" w:eastAsia="黑体" w:cs="黑体"/>
          <w:bCs/>
          <w:color w:val="auto"/>
          <w:sz w:val="32"/>
          <w:szCs w:val="32"/>
        </w:rPr>
        <w:t>第二章 供应商须知</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_Toc9601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一、定义</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_Toc3062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二、供应商注意事项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_Toc24646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三、磋商文件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_Toc3130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、磋商报价</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_Toc3559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、响应文件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_Toc12154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响应文件开启</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_Toc17536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、组织评审</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_Toc31905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、成交</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_Toc3023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28</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、签订</w:t>
      </w:r>
      <w:r>
        <w:rPr>
          <w:rFonts w:hint="eastAsia" w:ascii="仿宋_GB2312" w:hAnsi="仿宋_GB2312" w:eastAsia="仿宋_GB2312" w:cs="仿宋_GB2312"/>
          <w:color w:val="auto"/>
          <w:kern w:val="0"/>
          <w:sz w:val="32"/>
          <w:szCs w:val="32"/>
        </w:rPr>
        <w:t>政府采购合同</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_Toc23938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采购代理服务费</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_Toc14560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29</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第三章  磋商内容及采购要求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_Toc2772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 xml:space="preserve">第四章 </w:t>
      </w:r>
      <w:r>
        <w:rPr>
          <w:rFonts w:hint="eastAsia" w:ascii="黑体" w:hAnsi="黑体" w:eastAsia="黑体" w:cs="黑体"/>
          <w:color w:val="auto"/>
          <w:sz w:val="32"/>
          <w:szCs w:val="32"/>
          <w:lang w:val="en-US" w:eastAsia="zh-CN"/>
        </w:rPr>
        <w:t xml:space="preserve"> </w:t>
      </w:r>
      <w:r>
        <w:rPr>
          <w:rFonts w:hint="eastAsia" w:ascii="黑体" w:hAnsi="黑体" w:eastAsia="黑体" w:cs="黑体"/>
          <w:color w:val="auto"/>
          <w:sz w:val="32"/>
          <w:szCs w:val="32"/>
        </w:rPr>
        <w:t>合同</w:t>
      </w:r>
      <w:r>
        <w:rPr>
          <w:rFonts w:hint="eastAsia" w:ascii="黑体" w:hAnsi="黑体" w:eastAsia="黑体" w:cs="黑体"/>
          <w:color w:val="auto"/>
          <w:sz w:val="32"/>
          <w:szCs w:val="32"/>
          <w:lang w:val="en-US" w:eastAsia="zh-CN"/>
        </w:rPr>
        <w:t>草案</w:t>
      </w:r>
      <w:r>
        <w:rPr>
          <w:rFonts w:hint="eastAsia" w:ascii="黑体" w:hAnsi="黑体" w:eastAsia="黑体" w:cs="黑体"/>
          <w:color w:val="auto"/>
          <w:sz w:val="32"/>
          <w:szCs w:val="32"/>
        </w:rPr>
        <w:t>条款</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_Toc10371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36</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第五章  响应文件构成及格式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_Toc5571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38</w:t>
      </w:r>
      <w:r>
        <w:rPr>
          <w:rFonts w:hint="eastAsia" w:ascii="仿宋_GB2312" w:hAnsi="仿宋_GB2312" w:eastAsia="仿宋_GB2312" w:cs="仿宋_GB2312"/>
          <w:color w:val="auto"/>
          <w:sz w:val="32"/>
          <w:szCs w:val="32"/>
        </w:rPr>
        <w:fldChar w:fldCharType="end"/>
      </w:r>
    </w:p>
    <w:p>
      <w:pPr>
        <w:pStyle w:val="15"/>
        <w:keepNext w:val="0"/>
        <w:keepLines w:val="0"/>
        <w:pageBreakBefore w:val="0"/>
        <w:widowControl/>
        <w:tabs>
          <w:tab w:val="right" w:leader="dot" w:pos="9072"/>
        </w:tabs>
        <w:kinsoku/>
        <w:wordWrap/>
        <w:overflowPunct/>
        <w:topLinePunct w:val="0"/>
        <w:autoSpaceDE/>
        <w:autoSpaceDN/>
        <w:bidi w:val="0"/>
        <w:adjustRightInd/>
        <w:snapToGrid/>
        <w:spacing w:line="560" w:lineRule="exact"/>
        <w:ind w:firstLine="646" w:firstLineChars="200"/>
        <w:textAlignment w:val="auto"/>
        <w:rPr>
          <w:rFonts w:hint="eastAsia" w:ascii="黑体" w:hAnsi="黑体" w:eastAsia="黑体" w:cs="黑体"/>
          <w:color w:val="auto"/>
          <w:sz w:val="32"/>
          <w:szCs w:val="32"/>
        </w:rPr>
      </w:pPr>
      <w:r>
        <w:rPr>
          <w:rFonts w:hint="eastAsia" w:ascii="黑体" w:hAnsi="黑体" w:eastAsia="黑体" w:cs="黑体"/>
          <w:bCs/>
          <w:color w:val="auto"/>
          <w:sz w:val="32"/>
          <w:szCs w:val="32"/>
        </w:rPr>
        <w:t>第一部分  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_Toc8079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41</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第二部分  符合性证明文件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_Toc9751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rPr>
        <w:fldChar w:fldCharType="end"/>
      </w:r>
    </w:p>
    <w:p>
      <w:pPr>
        <w:pStyle w:val="16"/>
        <w:keepNext w:val="0"/>
        <w:keepLines w:val="0"/>
        <w:pageBreakBefore w:val="0"/>
        <w:widowControl/>
        <w:tabs>
          <w:tab w:val="right" w:leader="dot" w:pos="9072"/>
        </w:tabs>
        <w:kinsoku/>
        <w:wordWrap/>
        <w:overflowPunct/>
        <w:topLinePunct w:val="0"/>
        <w:autoSpaceDE/>
        <w:autoSpaceDN/>
        <w:bidi w:val="0"/>
        <w:adjustRightInd/>
        <w:snapToGrid/>
        <w:spacing w:line="560" w:lineRule="exact"/>
        <w:ind w:left="0" w:leftChars="0" w:firstLine="646" w:firstLineChars="200"/>
        <w:textAlignment w:val="auto"/>
        <w:rPr>
          <w:rFonts w:hint="eastAsia" w:ascii="黑体" w:hAnsi="黑体" w:eastAsia="黑体" w:cs="黑体"/>
          <w:color w:val="auto"/>
          <w:sz w:val="32"/>
          <w:szCs w:val="32"/>
        </w:rPr>
      </w:pPr>
      <w:r>
        <w:rPr>
          <w:rFonts w:hint="eastAsia" w:ascii="黑体" w:hAnsi="黑体" w:eastAsia="黑体" w:cs="黑体"/>
          <w:bCs w:val="0"/>
          <w:color w:val="auto"/>
          <w:sz w:val="32"/>
          <w:szCs w:val="32"/>
        </w:rPr>
        <w:t>第三部分  响应方案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PAGEREF _Toc17248 \h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52</w:t>
      </w:r>
      <w:r>
        <w:rPr>
          <w:rFonts w:hint="eastAsia" w:ascii="仿宋_GB2312" w:hAnsi="仿宋_GB2312" w:eastAsia="仿宋_GB2312" w:cs="仿宋_GB2312"/>
          <w:color w:val="auto"/>
          <w:sz w:val="32"/>
          <w:szCs w:val="32"/>
        </w:rPr>
        <w:fldChar w:fldCharType="end"/>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default"/>
          <w:color w:val="auto"/>
          <w:sz w:val="32"/>
          <w:szCs w:val="32"/>
          <w:lang w:val="en-US" w:eastAsia="zh-CN"/>
        </w:rPr>
        <w:fldChar w:fldCharType="end"/>
      </w:r>
    </w:p>
    <w:p>
      <w:pPr>
        <w:pageBreakBefore w:val="0"/>
        <w:kinsoku/>
        <w:wordWrap/>
        <w:overflowPunct/>
        <w:topLinePunct w:val="0"/>
        <w:bidi w:val="0"/>
        <w:snapToGrid/>
        <w:spacing w:line="560" w:lineRule="exact"/>
        <w:textAlignment w:val="auto"/>
        <w:rPr>
          <w:color w:val="auto"/>
        </w:rPr>
      </w:pPr>
    </w:p>
    <w:p>
      <w:pPr>
        <w:pStyle w:val="2"/>
        <w:pageBreakBefore w:val="0"/>
        <w:kinsoku/>
        <w:wordWrap/>
        <w:overflowPunct/>
        <w:topLinePunct w:val="0"/>
        <w:bidi w:val="0"/>
        <w:snapToGrid/>
        <w:spacing w:line="560" w:lineRule="exact"/>
        <w:textAlignment w:val="auto"/>
        <w:rPr>
          <w:rFonts w:ascii="黑体" w:hAnsi="黑体" w:eastAsia="黑体"/>
          <w:b w:val="0"/>
          <w:color w:val="auto"/>
          <w:sz w:val="32"/>
          <w:szCs w:val="32"/>
        </w:rPr>
        <w:sectPr>
          <w:footerReference r:id="rId6" w:type="default"/>
          <w:pgSz w:w="11906" w:h="16838"/>
          <w:pgMar w:top="1417" w:right="1417" w:bottom="1417"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p>
    <w:p>
      <w:pPr>
        <w:pStyle w:val="2"/>
        <w:pageBreakBefore w:val="0"/>
        <w:numPr>
          <w:ilvl w:val="0"/>
          <w:numId w:val="1"/>
        </w:numPr>
        <w:kinsoku/>
        <w:wordWrap/>
        <w:overflowPunct/>
        <w:topLinePunct w:val="0"/>
        <w:bidi w:val="0"/>
        <w:snapToGrid/>
        <w:spacing w:line="560" w:lineRule="exact"/>
        <w:textAlignment w:val="auto"/>
        <w:rPr>
          <w:rFonts w:ascii="黑体" w:hAnsi="黑体" w:eastAsia="黑体"/>
          <w:b w:val="0"/>
          <w:color w:val="auto"/>
          <w:sz w:val="32"/>
          <w:szCs w:val="32"/>
        </w:rPr>
      </w:pPr>
      <w:bookmarkStart w:id="3" w:name="_Toc21489"/>
      <w:bookmarkStart w:id="4" w:name="_Toc26235"/>
      <w:bookmarkStart w:id="5" w:name="_Toc5655"/>
      <w:r>
        <w:rPr>
          <w:rFonts w:ascii="黑体" w:hAnsi="黑体" w:eastAsia="黑体"/>
          <w:b w:val="0"/>
          <w:color w:val="auto"/>
          <w:sz w:val="32"/>
          <w:szCs w:val="32"/>
        </w:rPr>
        <w:t xml:space="preserve"> </w:t>
      </w:r>
      <w:bookmarkStart w:id="6" w:name="_Toc8073"/>
      <w:r>
        <w:rPr>
          <w:rFonts w:hint="eastAsia" w:ascii="黑体" w:hAnsi="黑体" w:eastAsia="黑体"/>
          <w:b w:val="0"/>
          <w:color w:val="auto"/>
          <w:sz w:val="32"/>
          <w:szCs w:val="32"/>
        </w:rPr>
        <w:t>磋商</w:t>
      </w:r>
      <w:r>
        <w:rPr>
          <w:rFonts w:ascii="黑体" w:hAnsi="黑体" w:eastAsia="黑体"/>
          <w:b w:val="0"/>
          <w:color w:val="auto"/>
          <w:sz w:val="32"/>
          <w:szCs w:val="32"/>
        </w:rPr>
        <w:t>邀请函</w:t>
      </w:r>
      <w:bookmarkEnd w:id="0"/>
      <w:bookmarkEnd w:id="1"/>
      <w:bookmarkEnd w:id="2"/>
      <w:bookmarkEnd w:id="3"/>
      <w:bookmarkEnd w:id="4"/>
      <w:bookmarkEnd w:id="5"/>
      <w:bookmarkEnd w:id="6"/>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项目概况</w:t>
      </w:r>
    </w:p>
    <w:p>
      <w:pPr>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highlight w:val="none"/>
          <w:u w:val="single"/>
          <w:lang w:val="en-US" w:eastAsia="zh-CN"/>
        </w:rPr>
        <w:t xml:space="preserve"> 汉中市中心医院电梯运行服务（二次）</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 xml:space="preserve"> 采购项目的潜在供应商应在</w:t>
      </w:r>
      <w:r>
        <w:rPr>
          <w:rFonts w:hint="eastAsia" w:ascii="仿宋_GB2312" w:hAnsi="仿宋_GB2312" w:eastAsia="仿宋_GB2312" w:cs="仿宋_GB2312"/>
          <w:color w:val="auto"/>
          <w:sz w:val="28"/>
          <w:szCs w:val="28"/>
          <w:u w:val="single"/>
          <w:lang w:val="en-US" w:eastAsia="zh-CN"/>
        </w:rPr>
        <w:t xml:space="preserve"> 全国公共资源交易平台（汉中市）（sxggzyjy.hanzhong.gov.cn） </w:t>
      </w:r>
      <w:r>
        <w:rPr>
          <w:rFonts w:hint="eastAsia" w:ascii="仿宋_GB2312" w:hAnsi="仿宋_GB2312" w:eastAsia="仿宋_GB2312" w:cs="仿宋_GB2312"/>
          <w:color w:val="auto"/>
          <w:sz w:val="28"/>
          <w:szCs w:val="28"/>
        </w:rPr>
        <w:t>获取采购文件，并于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2024</w:t>
      </w:r>
      <w:r>
        <w:rPr>
          <w:rFonts w:hint="eastAsia" w:ascii="仿宋_GB2312" w:hAnsi="仿宋_GB2312" w:eastAsia="仿宋_GB2312" w:cs="仿宋_GB2312"/>
          <w:bCs/>
          <w:color w:val="auto"/>
          <w:sz w:val="28"/>
          <w:szCs w:val="28"/>
          <w:u w:val="single"/>
        </w:rPr>
        <w:t>年</w:t>
      </w:r>
      <w:r>
        <w:rPr>
          <w:rFonts w:hint="eastAsia" w:ascii="仿宋_GB2312" w:hAnsi="仿宋_GB2312" w:eastAsia="仿宋_GB2312" w:cs="仿宋_GB2312"/>
          <w:bCs/>
          <w:color w:val="auto"/>
          <w:sz w:val="28"/>
          <w:szCs w:val="28"/>
          <w:u w:val="single"/>
          <w:lang w:val="en-US" w:eastAsia="zh-CN"/>
        </w:rPr>
        <w:t xml:space="preserve"> 1 </w:t>
      </w:r>
      <w:r>
        <w:rPr>
          <w:rFonts w:hint="eastAsia" w:ascii="仿宋_GB2312" w:hAnsi="仿宋_GB2312" w:eastAsia="仿宋_GB2312" w:cs="仿宋_GB2312"/>
          <w:bCs/>
          <w:color w:val="auto"/>
          <w:sz w:val="28"/>
          <w:szCs w:val="28"/>
          <w:u w:val="single"/>
        </w:rPr>
        <w:t>月</w:t>
      </w:r>
      <w:r>
        <w:rPr>
          <w:rFonts w:hint="eastAsia" w:ascii="仿宋_GB2312" w:hAnsi="仿宋_GB2312" w:eastAsia="仿宋_GB2312" w:cs="仿宋_GB2312"/>
          <w:bCs/>
          <w:color w:val="auto"/>
          <w:sz w:val="28"/>
          <w:szCs w:val="28"/>
          <w:u w:val="single"/>
          <w:lang w:val="en-US" w:eastAsia="zh-CN"/>
        </w:rPr>
        <w:t xml:space="preserve"> 31 </w:t>
      </w:r>
      <w:r>
        <w:rPr>
          <w:rFonts w:hint="eastAsia" w:ascii="仿宋_GB2312" w:hAnsi="仿宋_GB2312" w:eastAsia="仿宋_GB2312" w:cs="仿宋_GB2312"/>
          <w:bCs/>
          <w:color w:val="auto"/>
          <w:sz w:val="28"/>
          <w:szCs w:val="28"/>
          <w:u w:val="single"/>
        </w:rPr>
        <w:t>日</w:t>
      </w:r>
      <w:r>
        <w:rPr>
          <w:rFonts w:hint="eastAsia" w:ascii="仿宋_GB2312" w:hAnsi="仿宋_GB2312" w:eastAsia="仿宋_GB2312" w:cs="仿宋_GB2312"/>
          <w:bCs/>
          <w:color w:val="auto"/>
          <w:sz w:val="28"/>
          <w:szCs w:val="28"/>
          <w:u w:val="single"/>
          <w:lang w:val="en-US" w:eastAsia="zh-CN"/>
        </w:rPr>
        <w:t xml:space="preserve"> 9 </w:t>
      </w:r>
      <w:r>
        <w:rPr>
          <w:rFonts w:hint="eastAsia" w:ascii="仿宋_GB2312" w:hAnsi="仿宋_GB2312" w:eastAsia="仿宋_GB2312" w:cs="仿宋_GB2312"/>
          <w:bCs/>
          <w:color w:val="auto"/>
          <w:sz w:val="28"/>
          <w:szCs w:val="28"/>
          <w:u w:val="single"/>
        </w:rPr>
        <w:t>点</w:t>
      </w:r>
      <w:r>
        <w:rPr>
          <w:rFonts w:hint="eastAsia" w:ascii="仿宋_GB2312" w:hAnsi="仿宋_GB2312" w:eastAsia="仿宋_GB2312" w:cs="仿宋_GB2312"/>
          <w:bCs/>
          <w:color w:val="auto"/>
          <w:sz w:val="28"/>
          <w:szCs w:val="28"/>
          <w:u w:val="single"/>
          <w:lang w:val="en-US" w:eastAsia="zh-CN"/>
        </w:rPr>
        <w:t xml:space="preserve"> 30</w:t>
      </w:r>
      <w:r>
        <w:rPr>
          <w:rFonts w:hint="eastAsia" w:ascii="仿宋_GB2312" w:hAnsi="仿宋_GB2312" w:eastAsia="仿宋_GB2312" w:cs="仿宋_GB2312"/>
          <w:bCs/>
          <w:color w:val="auto"/>
          <w:sz w:val="28"/>
          <w:szCs w:val="28"/>
          <w:u w:val="single"/>
        </w:rPr>
        <w:t>分</w:t>
      </w:r>
      <w:r>
        <w:rPr>
          <w:rFonts w:hint="eastAsia" w:ascii="仿宋_GB2312" w:hAnsi="仿宋_GB2312" w:eastAsia="仿宋_GB2312" w:cs="仿宋_GB2312"/>
          <w:bCs/>
          <w:color w:val="auto"/>
          <w:sz w:val="28"/>
          <w:szCs w:val="28"/>
        </w:rPr>
        <w:t>（北京时间）前提交响应文件</w:t>
      </w:r>
      <w:r>
        <w:rPr>
          <w:rFonts w:hint="eastAsia" w:ascii="仿宋_GB2312" w:hAnsi="仿宋_GB2312" w:eastAsia="仿宋_GB2312" w:cs="仿宋_GB2312"/>
          <w:color w:val="auto"/>
          <w:sz w:val="28"/>
          <w:szCs w:val="28"/>
        </w:rPr>
        <w:t>。</w:t>
      </w:r>
    </w:p>
    <w:p>
      <w:pPr>
        <w:keepLines w:val="0"/>
        <w:pageBreakBefore w:val="0"/>
        <w:widowControl w:val="0"/>
        <w:kinsoku/>
        <w:wordWrap/>
        <w:overflowPunct/>
        <w:topLinePunct w:val="0"/>
        <w:bidi w:val="0"/>
        <w:snapToGrid/>
        <w:spacing w:line="500" w:lineRule="exact"/>
        <w:textAlignment w:val="auto"/>
        <w:rPr>
          <w:rFonts w:hint="eastAsia" w:ascii="仿宋_GB2312" w:hAnsi="仿宋_GB2312" w:eastAsia="仿宋_GB2312" w:cs="仿宋_GB2312"/>
          <w:color w:val="auto"/>
          <w:sz w:val="28"/>
          <w:szCs w:val="28"/>
        </w:rPr>
      </w:pP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7" w:name="_Toc35393798"/>
      <w:bookmarkStart w:id="8" w:name="_Toc28840"/>
      <w:bookmarkStart w:id="9" w:name="_Toc28359089"/>
      <w:bookmarkStart w:id="10" w:name="_Toc35393629"/>
      <w:bookmarkStart w:id="11" w:name="_Toc28359012"/>
      <w:r>
        <w:rPr>
          <w:rFonts w:hint="eastAsia" w:ascii="仿宋_GB2312" w:hAnsi="仿宋_GB2312" w:eastAsia="仿宋_GB2312" w:cs="仿宋_GB2312"/>
          <w:b/>
          <w:bCs/>
          <w:color w:val="auto"/>
          <w:kern w:val="2"/>
          <w:sz w:val="28"/>
          <w:szCs w:val="28"/>
          <w:lang w:val="en-US" w:eastAsia="zh-CN" w:bidi="ar-SA"/>
        </w:rPr>
        <w:t>一、项目基本情况</w:t>
      </w:r>
      <w:bookmarkEnd w:id="7"/>
      <w:bookmarkEnd w:id="8"/>
      <w:bookmarkEnd w:id="9"/>
      <w:bookmarkEnd w:id="10"/>
      <w:bookmarkEnd w:id="1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项目编号：汉采</w:t>
      </w:r>
      <w:r>
        <w:rPr>
          <w:rFonts w:hint="eastAsia" w:ascii="仿宋_GB2312" w:hAnsi="仿宋_GB2312" w:eastAsia="仿宋_GB2312" w:cs="仿宋_GB2312"/>
          <w:color w:val="auto"/>
          <w:sz w:val="28"/>
          <w:szCs w:val="28"/>
          <w:lang w:val="en-US" w:eastAsia="zh-CN"/>
        </w:rPr>
        <w:t>FW</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号</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highlight w:val="yellow"/>
          <w:u w:val="single"/>
          <w:lang w:val="en-US" w:eastAsia="zh-CN"/>
        </w:rPr>
      </w:pPr>
      <w:r>
        <w:rPr>
          <w:rFonts w:hint="eastAsia" w:ascii="仿宋_GB2312" w:hAnsi="仿宋_GB2312" w:eastAsia="仿宋_GB2312" w:cs="仿宋_GB2312"/>
          <w:color w:val="auto"/>
          <w:sz w:val="28"/>
          <w:szCs w:val="28"/>
        </w:rPr>
        <w:t>项目名称：</w:t>
      </w:r>
      <w:r>
        <w:rPr>
          <w:rFonts w:hint="eastAsia" w:ascii="仿宋_GB2312" w:hAnsi="仿宋_GB2312" w:eastAsia="仿宋_GB2312" w:cs="仿宋_GB2312"/>
          <w:color w:val="auto"/>
          <w:sz w:val="28"/>
          <w:szCs w:val="28"/>
          <w:highlight w:val="none"/>
          <w:lang w:val="en-US" w:eastAsia="zh-CN"/>
        </w:rPr>
        <w:t>汉中市中心医院电梯运行服务采购项目（二次）</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采购方式：竞争性磋商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预算金额：</w:t>
      </w:r>
      <w:r>
        <w:rPr>
          <w:rFonts w:hint="eastAsia" w:ascii="仿宋_GB2312" w:hAnsi="仿宋_GB2312" w:eastAsia="仿宋_GB2312" w:cs="仿宋_GB2312"/>
          <w:color w:val="auto"/>
          <w:sz w:val="28"/>
          <w:szCs w:val="28"/>
          <w:highlight w:val="none"/>
          <w:lang w:val="en-US" w:eastAsia="zh-CN"/>
        </w:rPr>
        <w:t>1100000</w:t>
      </w:r>
      <w:r>
        <w:rPr>
          <w:rFonts w:hint="eastAsia" w:ascii="仿宋_GB2312" w:hAnsi="仿宋_GB2312" w:eastAsia="仿宋_GB2312" w:cs="仿宋_GB2312"/>
          <w:color w:val="auto"/>
          <w:sz w:val="28"/>
          <w:szCs w:val="28"/>
          <w:lang w:val="en-US" w:eastAsia="zh-CN"/>
        </w:rPr>
        <w:t>元</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最高限价：</w:t>
      </w:r>
      <w:r>
        <w:rPr>
          <w:rFonts w:hint="eastAsia" w:ascii="仿宋_GB2312" w:hAnsi="仿宋_GB2312" w:eastAsia="仿宋_GB2312" w:cs="仿宋_GB2312"/>
          <w:color w:val="auto"/>
          <w:sz w:val="28"/>
          <w:szCs w:val="28"/>
          <w:lang w:val="en-US" w:eastAsia="zh-CN"/>
        </w:rPr>
        <w:t>无</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采购需求：</w:t>
      </w:r>
      <w:r>
        <w:rPr>
          <w:rFonts w:hint="eastAsia" w:ascii="仿宋_GB2312" w:hAnsi="仿宋_GB2312" w:eastAsia="仿宋_GB2312" w:cs="仿宋_GB2312"/>
          <w:color w:val="auto"/>
          <w:sz w:val="28"/>
          <w:szCs w:val="28"/>
          <w:highlight w:val="none"/>
          <w:lang w:val="en-US" w:eastAsia="zh-CN"/>
        </w:rPr>
        <w:t>汉中市中心医院本部现有的55部电梯（其中扶梯16部）、龙岗院区9部电梯（其中扶梯4部）的日常运行管理、清洁保养和应急事件处理，不含电梯的维修保养。本项目投入总计22人。（详见第三章）</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rPr>
        <w:t>合同履行期限：</w:t>
      </w:r>
      <w:r>
        <w:rPr>
          <w:rFonts w:hint="eastAsia" w:ascii="仿宋_GB2312" w:hAnsi="仿宋_GB2312" w:eastAsia="仿宋_GB2312" w:cs="仿宋_GB2312"/>
          <w:color w:val="auto"/>
          <w:sz w:val="28"/>
          <w:szCs w:val="28"/>
          <w:highlight w:val="none"/>
          <w:lang w:val="en-US" w:eastAsia="zh-CN"/>
        </w:rPr>
        <w:t>一年。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w:t>
      </w:r>
      <w:r>
        <w:rPr>
          <w:rFonts w:hint="eastAsia" w:ascii="仿宋_GB2312" w:hAnsi="仿宋_GB2312" w:eastAsia="仿宋_GB2312" w:cs="仿宋_GB2312"/>
          <w:color w:val="auto"/>
          <w:sz w:val="28"/>
          <w:szCs w:val="28"/>
          <w:lang w:val="en-US" w:eastAsia="zh-CN"/>
        </w:rPr>
        <w:t>不</w:t>
      </w:r>
      <w:r>
        <w:rPr>
          <w:rFonts w:hint="eastAsia" w:ascii="仿宋_GB2312" w:hAnsi="仿宋_GB2312" w:eastAsia="仿宋_GB2312" w:cs="仿宋_GB2312"/>
          <w:color w:val="auto"/>
          <w:sz w:val="28"/>
          <w:szCs w:val="28"/>
        </w:rPr>
        <w:t>接受联合体。</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2" w:name="_Toc3608"/>
      <w:bookmarkStart w:id="13" w:name="_Toc28359013"/>
      <w:bookmarkStart w:id="14" w:name="_Toc35393630"/>
      <w:bookmarkStart w:id="15" w:name="_Toc28359090"/>
      <w:bookmarkStart w:id="16" w:name="_Toc35393799"/>
      <w:r>
        <w:rPr>
          <w:rFonts w:hint="eastAsia" w:ascii="仿宋_GB2312" w:hAnsi="仿宋_GB2312" w:eastAsia="仿宋_GB2312" w:cs="仿宋_GB2312"/>
          <w:b/>
          <w:bCs/>
          <w:color w:val="auto"/>
          <w:kern w:val="2"/>
          <w:sz w:val="28"/>
          <w:szCs w:val="28"/>
          <w:lang w:val="en-US" w:eastAsia="zh-CN" w:bidi="ar-SA"/>
        </w:rPr>
        <w:t>二、申请人的资格要求：</w:t>
      </w:r>
      <w:bookmarkEnd w:id="12"/>
      <w:bookmarkEnd w:id="13"/>
      <w:bookmarkEnd w:id="14"/>
      <w:bookmarkEnd w:id="15"/>
      <w:bookmarkEnd w:id="1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1.满足《中华人民共和国政府采购法》第二十二条规定；</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eastAsia="zh-CN"/>
        </w:rPr>
      </w:pPr>
      <w:bookmarkStart w:id="17" w:name="_Toc28359091"/>
      <w:bookmarkStart w:id="18" w:name="_Toc28359014"/>
      <w:r>
        <w:rPr>
          <w:rFonts w:hint="eastAsia" w:ascii="仿宋_GB2312" w:hAnsi="仿宋_GB2312" w:eastAsia="仿宋_GB2312" w:cs="仿宋_GB2312"/>
          <w:color w:val="auto"/>
          <w:sz w:val="28"/>
          <w:szCs w:val="28"/>
        </w:rPr>
        <w:t>2.落实政府采购政策需满足的资格要求：</w:t>
      </w:r>
      <w:r>
        <w:rPr>
          <w:rFonts w:hint="eastAsia" w:ascii="仿宋_GB2312" w:hAnsi="仿宋_GB2312" w:eastAsia="仿宋_GB2312" w:cs="仿宋_GB2312"/>
          <w:color w:val="auto"/>
          <w:sz w:val="28"/>
          <w:szCs w:val="28"/>
          <w:u w:val="none"/>
          <w:lang w:val="en-US" w:eastAsia="zh-CN"/>
        </w:rPr>
        <w:t>本项目</w:t>
      </w:r>
      <w:r>
        <w:rPr>
          <w:rFonts w:hint="eastAsia" w:ascii="仿宋_GB2312" w:hAnsi="仿宋_GB2312" w:eastAsia="仿宋_GB2312" w:cs="仿宋_GB2312"/>
          <w:color w:val="auto"/>
          <w:sz w:val="28"/>
          <w:szCs w:val="28"/>
          <w:highlight w:val="none"/>
          <w:u w:val="none"/>
          <w:lang w:val="en-US" w:eastAsia="zh-CN"/>
        </w:rPr>
        <w:t>专门面向中小企业采购，供应商应为中小微企业，磋商时须提供《中小企业声明函》（按第五章格式填写）。本项目采购标的对应的中小企业划分标准所属行业为：物业管理。</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3.本项目的特定资格要求：</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（1）营业执照等主体资格证明文件：提供有效存续的企业营业执照（副本）/事业单位法人证书/专业服务机构执业许可证/民办非企业单位登记证书。</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（2）财务状况报告：提供202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（3）社保缴纳证明：提供递交响应文件截止之日前一年内任意一个月的社会保障资金缴存单据或社保机构开具的社会保险参保缴费情况证明。依法不需要缴纳社会保障资金的供应商应提供相关证明文件。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（4）税收缴纳证明：提供递交响应文件截止之日前一年内任意一个月的依法缴纳税收的相关凭据（时间以税款所属日期为准、税种须同时包含</w:t>
      </w:r>
      <w:r>
        <w:rPr>
          <w:rFonts w:hint="eastAsia" w:ascii="仿宋_GB2312" w:hAnsi="仿宋_GB2312" w:eastAsia="仿宋_GB2312" w:cs="仿宋_GB2312"/>
          <w:b/>
          <w:bCs/>
          <w:color w:val="auto"/>
          <w:sz w:val="28"/>
          <w:szCs w:val="28"/>
        </w:rPr>
        <w:t>增值税和企业所得税</w:t>
      </w:r>
      <w:r>
        <w:rPr>
          <w:rFonts w:hint="eastAsia" w:ascii="仿宋_GB2312" w:hAnsi="仿宋_GB2312" w:eastAsia="仿宋_GB2312" w:cs="仿宋_GB2312"/>
          <w:color w:val="auto"/>
          <w:sz w:val="28"/>
          <w:szCs w:val="28"/>
        </w:rPr>
        <w:t>），凭据应有税务机关或代收机关的公章或业务专用章。</w:t>
      </w:r>
      <w:r>
        <w:rPr>
          <w:rFonts w:hint="eastAsia" w:ascii="仿宋_GB2312" w:hAnsi="仿宋_GB2312" w:eastAsia="仿宋_GB2312" w:cs="仿宋_GB2312"/>
          <w:b/>
          <w:bCs/>
          <w:color w:val="auto"/>
          <w:sz w:val="28"/>
          <w:szCs w:val="28"/>
        </w:rPr>
        <w:t>依法免税或无须缴纳税收的供应商，应提供相应证明文件。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书面声明：</w:t>
      </w:r>
      <w:r>
        <w:rPr>
          <w:rFonts w:hint="eastAsia" w:ascii="仿宋_GB2312" w:hAnsi="仿宋_GB2312" w:eastAsia="仿宋_GB2312" w:cs="仿宋_GB2312"/>
          <w:color w:val="auto"/>
          <w:kern w:val="2"/>
          <w:sz w:val="28"/>
          <w:szCs w:val="28"/>
          <w:lang w:val="en-US" w:eastAsia="zh-CN" w:bidi="ar-SA"/>
        </w:rPr>
        <w:t>提供《近三年内在经营活动中无重大违法记录声明》。（按第五章格式填写）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6）法定代表人授权委托书：法定代表人参加磋商的，须提供本人身份证复印件（附在资格证明文件中）；法定代表人授权他人参加磋商的，须提供法定代表人授权委托书。磋商文件中凡是需要法定代表人盖章之处，非法人单位的负责人均参照执行。</w:t>
      </w:r>
      <w:r>
        <w:rPr>
          <w:rFonts w:hint="eastAsia" w:ascii="仿宋_GB2312" w:hAnsi="仿宋_GB2312" w:eastAsia="仿宋_GB2312" w:cs="仿宋_GB2312"/>
          <w:color w:val="auto"/>
          <w:kern w:val="2"/>
          <w:sz w:val="28"/>
          <w:szCs w:val="28"/>
          <w:lang w:val="en-US" w:eastAsia="zh-CN" w:bidi="ar-SA"/>
        </w:rPr>
        <w:t>（按第五章格式填写）</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备注：1、以上资格要求均为必备资格，须提供相关证明文件并加盖响应人公章（如相关证明材料由第三方出具，应有第三方公章），缺少其中任何一项，其响应文件视为无效文件。</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 xml:space="preserve">2、分支机构参与磋商时，响应文件中应附法人出具的授权书。法人只能授权一家分支机构参与磋商，且不能与分支机构同时参与磋商。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3、事业单位法人参与磋商可不提供财务状况报告、社会保障资金缴纳证明及税收缴纳证明。</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19" w:name="_Toc35393631"/>
      <w:bookmarkStart w:id="20" w:name="_Toc35393800"/>
      <w:bookmarkStart w:id="21" w:name="_Toc29259"/>
      <w:r>
        <w:rPr>
          <w:rFonts w:hint="eastAsia" w:ascii="仿宋_GB2312" w:hAnsi="仿宋_GB2312" w:eastAsia="仿宋_GB2312" w:cs="仿宋_GB2312"/>
          <w:b/>
          <w:bCs/>
          <w:color w:val="auto"/>
          <w:kern w:val="2"/>
          <w:sz w:val="28"/>
          <w:szCs w:val="28"/>
          <w:lang w:val="en-US" w:eastAsia="zh-CN" w:bidi="ar-SA"/>
        </w:rPr>
        <w:t>三、获取采购文件</w:t>
      </w:r>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rPr>
        <w:t>时间：</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highlight w:val="none"/>
          <w:u w:val="single"/>
          <w:lang w:val="en-US" w:eastAsia="zh-CN"/>
        </w:rPr>
        <w:t>24</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u w:val="single"/>
        </w:rPr>
        <w:t xml:space="preserve">月 </w:t>
      </w:r>
      <w:r>
        <w:rPr>
          <w:rFonts w:hint="eastAsia" w:ascii="仿宋_GB2312" w:hAnsi="仿宋_GB2312" w:eastAsia="仿宋_GB2312" w:cs="仿宋_GB2312"/>
          <w:color w:val="auto"/>
          <w:sz w:val="28"/>
          <w:szCs w:val="28"/>
          <w:highlight w:val="none"/>
          <w:u w:val="single"/>
          <w:lang w:val="en-US" w:eastAsia="zh-CN"/>
        </w:rPr>
        <w:t xml:space="preserve">15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0 点 00 分</w:t>
      </w:r>
      <w:r>
        <w:rPr>
          <w:rFonts w:hint="eastAsia" w:ascii="仿宋_GB2312" w:hAnsi="仿宋_GB2312" w:eastAsia="仿宋_GB2312" w:cs="仿宋_GB2312"/>
          <w:color w:val="auto"/>
          <w:sz w:val="28"/>
          <w:szCs w:val="28"/>
          <w:highlight w:val="none"/>
        </w:rPr>
        <w:t>至</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年</w:t>
      </w:r>
      <w:r>
        <w:rPr>
          <w:rFonts w:hint="eastAsia" w:ascii="仿宋_GB2312" w:hAnsi="仿宋_GB2312" w:eastAsia="仿宋_GB2312" w:cs="仿宋_GB2312"/>
          <w:color w:val="auto"/>
          <w:sz w:val="28"/>
          <w:szCs w:val="28"/>
          <w:highlight w:val="none"/>
          <w:u w:val="single"/>
          <w:lang w:val="en-US" w:eastAsia="zh-CN"/>
        </w:rPr>
        <w:t xml:space="preserve"> 1 </w:t>
      </w:r>
      <w:r>
        <w:rPr>
          <w:rFonts w:hint="eastAsia" w:ascii="仿宋_GB2312" w:hAnsi="仿宋_GB2312" w:eastAsia="仿宋_GB2312" w:cs="仿宋_GB2312"/>
          <w:color w:val="auto"/>
          <w:sz w:val="28"/>
          <w:szCs w:val="28"/>
          <w:highlight w:val="none"/>
          <w:u w:val="single"/>
        </w:rPr>
        <w:t>月</w:t>
      </w:r>
      <w:r>
        <w:rPr>
          <w:rFonts w:hint="eastAsia" w:ascii="仿宋_GB2312" w:hAnsi="仿宋_GB2312" w:eastAsia="仿宋_GB2312" w:cs="仿宋_GB2312"/>
          <w:color w:val="auto"/>
          <w:sz w:val="28"/>
          <w:szCs w:val="28"/>
          <w:highlight w:val="none"/>
          <w:u w:val="single"/>
          <w:lang w:val="en-US" w:eastAsia="zh-CN"/>
        </w:rPr>
        <w:t xml:space="preserve"> 19 </w:t>
      </w:r>
      <w:r>
        <w:rPr>
          <w:rFonts w:hint="eastAsia" w:ascii="仿宋_GB2312" w:hAnsi="仿宋_GB2312" w:eastAsia="仿宋_GB2312" w:cs="仿宋_GB2312"/>
          <w:color w:val="auto"/>
          <w:sz w:val="28"/>
          <w:szCs w:val="28"/>
          <w:highlight w:val="none"/>
          <w:u w:val="single"/>
        </w:rPr>
        <w:t>日</w:t>
      </w:r>
      <w:r>
        <w:rPr>
          <w:rFonts w:hint="eastAsia" w:ascii="仿宋_GB2312" w:hAnsi="仿宋_GB2312" w:eastAsia="仿宋_GB2312" w:cs="仿宋_GB2312"/>
          <w:color w:val="auto"/>
          <w:sz w:val="28"/>
          <w:szCs w:val="28"/>
          <w:highlight w:val="none"/>
          <w:u w:val="single"/>
          <w:lang w:val="en-US" w:eastAsia="zh-CN"/>
        </w:rPr>
        <w:t xml:space="preserve"> 24 点 00 分（北京时间）</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eastAsia="zh-CN"/>
        </w:rPr>
      </w:pPr>
      <w:r>
        <w:rPr>
          <w:rFonts w:hint="eastAsia" w:ascii="仿宋_GB2312" w:hAnsi="仿宋_GB2312" w:eastAsia="仿宋_GB2312" w:cs="仿宋_GB2312"/>
          <w:color w:val="auto"/>
          <w:sz w:val="28"/>
          <w:szCs w:val="28"/>
          <w:highlight w:val="none"/>
        </w:rPr>
        <w:t>地点：</w:t>
      </w:r>
      <w:r>
        <w:rPr>
          <w:rFonts w:hint="eastAsia" w:ascii="仿宋_GB2312" w:hAnsi="仿宋_GB2312" w:eastAsia="仿宋_GB2312" w:cs="仿宋_GB2312"/>
          <w:color w:val="auto"/>
          <w:sz w:val="28"/>
          <w:szCs w:val="28"/>
          <w:highlight w:val="none"/>
          <w:lang w:val="en-US" w:eastAsia="zh-CN"/>
        </w:rPr>
        <w:t>响应人</w:t>
      </w:r>
      <w:r>
        <w:rPr>
          <w:rFonts w:hint="eastAsia" w:ascii="仿宋_GB2312" w:hAnsi="仿宋_GB2312" w:eastAsia="仿宋_GB2312" w:cs="仿宋_GB2312"/>
          <w:color w:val="auto"/>
          <w:sz w:val="28"/>
          <w:szCs w:val="28"/>
          <w:highlight w:val="none"/>
        </w:rPr>
        <w:t>登录全国公共资源交易平台（汉中市）（sxggzyjy.hanzhong.gov.cn）〖首页·〉电子交易平台·〉企业端〗后，在〖招标公告/出让公告·〉政府采购〗模块中选择项目点击“我要投标”，参与</w:t>
      </w:r>
      <w:r>
        <w:rPr>
          <w:rFonts w:hint="eastAsia" w:ascii="仿宋_GB2312" w:hAnsi="仿宋_GB2312" w:eastAsia="仿宋_GB2312" w:cs="仿宋_GB2312"/>
          <w:color w:val="auto"/>
          <w:sz w:val="28"/>
          <w:szCs w:val="28"/>
          <w:highlight w:val="none"/>
          <w:lang w:val="en-US" w:eastAsia="zh-CN"/>
        </w:rPr>
        <w:t>采购</w:t>
      </w:r>
      <w:r>
        <w:rPr>
          <w:rFonts w:hint="eastAsia" w:ascii="仿宋_GB2312" w:hAnsi="仿宋_GB2312" w:eastAsia="仿宋_GB2312" w:cs="仿宋_GB2312"/>
          <w:color w:val="auto"/>
          <w:sz w:val="28"/>
          <w:szCs w:val="28"/>
          <w:highlight w:val="none"/>
        </w:rPr>
        <w:t>活动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然后即可在〖我的项目〗中点击“项目流程&gt;交易文件下载”下载电子招标文件（*.SXSZF）。</w:t>
      </w:r>
      <w:r>
        <w:rPr>
          <w:rFonts w:hint="eastAsia" w:ascii="仿宋_GB2312" w:hAnsi="仿宋_GB2312" w:eastAsia="仿宋_GB2312" w:cs="仿宋_GB2312"/>
          <w:color w:val="auto"/>
          <w:sz w:val="28"/>
          <w:szCs w:val="28"/>
          <w:highlight w:val="none"/>
          <w:lang w:val="en-US" w:eastAsia="zh-CN"/>
        </w:rPr>
        <w:t>操作流程详见</w:t>
      </w:r>
      <w:r>
        <w:rPr>
          <w:rFonts w:hint="eastAsia" w:ascii="仿宋_GB2312" w:hAnsi="仿宋_GB2312" w:eastAsia="仿宋_GB2312" w:cs="仿宋_GB2312"/>
          <w:color w:val="auto"/>
          <w:sz w:val="28"/>
          <w:szCs w:val="28"/>
          <w:highlight w:val="none"/>
          <w:lang w:eastAsia="zh-CN"/>
        </w:rPr>
        <w:t>全国公共资源交易平台（汉中市）网站〖首页·〉服务指南·〉下载专区〗中的《政府采购供应商操作手册》。</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方式：</w:t>
      </w:r>
      <w:r>
        <w:rPr>
          <w:rFonts w:hint="eastAsia" w:ascii="仿宋_GB2312" w:hAnsi="仿宋_GB2312" w:eastAsia="仿宋_GB2312" w:cs="仿宋_GB2312"/>
          <w:color w:val="auto"/>
          <w:sz w:val="28"/>
          <w:szCs w:val="28"/>
          <w:highlight w:val="none"/>
          <w:lang w:val="en-US" w:eastAsia="zh-CN"/>
        </w:rPr>
        <w:t>线上获取</w:t>
      </w:r>
    </w:p>
    <w:p>
      <w:pPr>
        <w:keepLines w:val="0"/>
        <w:pageBreakBefore w:val="0"/>
        <w:widowControl w:val="0"/>
        <w:kinsoku/>
        <w:wordWrap/>
        <w:overflowPunct/>
        <w:topLinePunct w:val="0"/>
        <w:bidi w:val="0"/>
        <w:snapToGrid/>
        <w:spacing w:line="500" w:lineRule="exact"/>
        <w:ind w:firstLine="54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售价：</w:t>
      </w:r>
      <w:r>
        <w:rPr>
          <w:rFonts w:hint="eastAsia" w:ascii="仿宋_GB2312" w:hAnsi="仿宋_GB2312" w:eastAsia="仿宋_GB2312" w:cs="仿宋_GB2312"/>
          <w:color w:val="auto"/>
          <w:sz w:val="28"/>
          <w:szCs w:val="28"/>
          <w:highlight w:val="none"/>
          <w:lang w:val="en-US" w:eastAsia="zh-CN"/>
        </w:rPr>
        <w:t>0.00元</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2" w:name="_Toc859"/>
      <w:bookmarkStart w:id="23" w:name="_Toc35393632"/>
      <w:bookmarkStart w:id="24" w:name="_Toc28359015"/>
      <w:bookmarkStart w:id="25" w:name="_Toc35393801"/>
      <w:bookmarkStart w:id="26" w:name="_Toc28359092"/>
      <w:r>
        <w:rPr>
          <w:rFonts w:hint="eastAsia" w:ascii="仿宋_GB2312" w:hAnsi="仿宋_GB2312" w:eastAsia="仿宋_GB2312" w:cs="仿宋_GB2312"/>
          <w:b/>
          <w:bCs/>
          <w:color w:val="auto"/>
          <w:kern w:val="2"/>
          <w:sz w:val="28"/>
          <w:szCs w:val="28"/>
          <w:highlight w:val="none"/>
          <w:lang w:val="en-US" w:eastAsia="zh-CN" w:bidi="ar-SA"/>
        </w:rPr>
        <w:t>四、响应文件提交</w:t>
      </w:r>
      <w:bookmarkEnd w:id="22"/>
      <w:bookmarkEnd w:id="23"/>
      <w:bookmarkEnd w:id="24"/>
      <w:bookmarkEnd w:id="25"/>
      <w:bookmarkEnd w:id="2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color w:val="auto"/>
          <w:sz w:val="28"/>
          <w:szCs w:val="28"/>
          <w:highlight w:val="none"/>
        </w:rPr>
        <w:t>截止时间：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年</w:t>
      </w:r>
      <w:r>
        <w:rPr>
          <w:rFonts w:hint="eastAsia" w:ascii="仿宋_GB2312" w:hAnsi="仿宋_GB2312" w:eastAsia="仿宋_GB2312" w:cs="仿宋_GB2312"/>
          <w:bCs/>
          <w:color w:val="auto"/>
          <w:sz w:val="28"/>
          <w:szCs w:val="28"/>
          <w:highlight w:val="none"/>
          <w:u w:val="single"/>
          <w:lang w:val="en-US" w:eastAsia="zh-CN"/>
        </w:rPr>
        <w:t xml:space="preserve"> 1</w:t>
      </w:r>
      <w:r>
        <w:rPr>
          <w:rFonts w:hint="eastAsia" w:ascii="仿宋_GB2312" w:hAnsi="仿宋_GB2312" w:eastAsia="仿宋_GB2312" w:cs="仿宋_GB2312"/>
          <w:bCs/>
          <w:color w:val="auto"/>
          <w:sz w:val="28"/>
          <w:szCs w:val="28"/>
          <w:highlight w:val="none"/>
          <w:u w:val="single"/>
        </w:rPr>
        <w:t xml:space="preserve"> 月</w:t>
      </w:r>
      <w:r>
        <w:rPr>
          <w:rFonts w:hint="eastAsia" w:ascii="仿宋_GB2312" w:hAnsi="仿宋_GB2312" w:eastAsia="仿宋_GB2312" w:cs="仿宋_GB2312"/>
          <w:bCs/>
          <w:color w:val="auto"/>
          <w:sz w:val="28"/>
          <w:szCs w:val="28"/>
          <w:highlight w:val="none"/>
          <w:u w:val="single"/>
          <w:lang w:val="en-US" w:eastAsia="zh-CN"/>
        </w:rPr>
        <w:t xml:space="preserve"> 31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lang w:val="en-US" w:eastAsia="zh-CN"/>
        </w:rPr>
      </w:pPr>
      <w:r>
        <w:rPr>
          <w:rFonts w:hint="eastAsia" w:ascii="仿宋_GB2312" w:hAnsi="仿宋_GB2312" w:eastAsia="仿宋_GB2312" w:cs="仿宋_GB2312"/>
          <w:color w:val="auto"/>
          <w:sz w:val="28"/>
          <w:szCs w:val="28"/>
          <w:highlight w:val="none"/>
        </w:rPr>
        <w:t>地点：电子</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文件（*.SXSTF）可于提交</w:t>
      </w:r>
      <w:r>
        <w:rPr>
          <w:rFonts w:hint="eastAsia" w:ascii="仿宋_GB2312" w:hAnsi="仿宋_GB2312" w:eastAsia="仿宋_GB2312" w:cs="仿宋_GB2312"/>
          <w:color w:val="auto"/>
          <w:sz w:val="28"/>
          <w:szCs w:val="28"/>
          <w:highlight w:val="none"/>
          <w:lang w:val="en-US" w:eastAsia="zh-CN"/>
        </w:rPr>
        <w:t>响应</w:t>
      </w:r>
      <w:r>
        <w:rPr>
          <w:rFonts w:hint="eastAsia" w:ascii="仿宋_GB2312" w:hAnsi="仿宋_GB2312" w:eastAsia="仿宋_GB2312" w:cs="仿宋_GB2312"/>
          <w:color w:val="auto"/>
          <w:sz w:val="28"/>
          <w:szCs w:val="28"/>
          <w:highlight w:val="none"/>
        </w:rPr>
        <w:t>文件截止时间前任意时段登录全国公共资源交易平台（</w:t>
      </w:r>
      <w:r>
        <w:rPr>
          <w:rFonts w:hint="eastAsia" w:ascii="仿宋_GB2312" w:hAnsi="仿宋_GB2312" w:eastAsia="仿宋_GB2312" w:cs="仿宋_GB2312"/>
          <w:color w:val="auto"/>
          <w:sz w:val="28"/>
          <w:szCs w:val="28"/>
          <w:highlight w:val="none"/>
          <w:lang w:val="en-US" w:eastAsia="zh-CN"/>
        </w:rPr>
        <w:t>汉中市</w:t>
      </w:r>
      <w:r>
        <w:rPr>
          <w:rFonts w:hint="eastAsia" w:ascii="仿宋_GB2312" w:hAnsi="仿宋_GB2312" w:eastAsia="仿宋_GB2312" w:cs="仿宋_GB2312"/>
          <w:color w:val="auto"/>
          <w:sz w:val="28"/>
          <w:szCs w:val="28"/>
          <w:highlight w:val="none"/>
        </w:rPr>
        <w:t>）网站进行提交</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逾期系统将拒绝接收。</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highlight w:val="none"/>
          <w:lang w:val="en-US" w:eastAsia="zh-CN" w:bidi="ar-SA"/>
        </w:rPr>
      </w:pPr>
      <w:bookmarkStart w:id="27" w:name="_Toc35393633"/>
      <w:bookmarkStart w:id="28" w:name="_Toc28359016"/>
      <w:bookmarkStart w:id="29" w:name="_Toc32165"/>
      <w:bookmarkStart w:id="30" w:name="_Toc28359093"/>
      <w:bookmarkStart w:id="31" w:name="_Toc35393802"/>
      <w:r>
        <w:rPr>
          <w:rFonts w:hint="eastAsia" w:ascii="仿宋_GB2312" w:hAnsi="仿宋_GB2312" w:eastAsia="仿宋_GB2312" w:cs="仿宋_GB2312"/>
          <w:b/>
          <w:bCs/>
          <w:color w:val="auto"/>
          <w:kern w:val="2"/>
          <w:sz w:val="28"/>
          <w:szCs w:val="28"/>
          <w:highlight w:val="none"/>
          <w:lang w:val="en-US" w:eastAsia="zh-CN" w:bidi="ar-SA"/>
        </w:rPr>
        <w:t>五、开启</w:t>
      </w:r>
      <w:bookmarkEnd w:id="27"/>
      <w:bookmarkEnd w:id="28"/>
      <w:bookmarkEnd w:id="29"/>
      <w:bookmarkEnd w:id="30"/>
      <w:bookmarkEnd w:id="31"/>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highlight w:val="none"/>
          <w:u w:val="single"/>
        </w:rPr>
      </w:pPr>
      <w:r>
        <w:rPr>
          <w:rFonts w:hint="eastAsia" w:ascii="仿宋_GB2312" w:hAnsi="仿宋_GB2312" w:eastAsia="仿宋_GB2312" w:cs="仿宋_GB2312"/>
          <w:color w:val="auto"/>
          <w:sz w:val="28"/>
          <w:szCs w:val="28"/>
          <w:highlight w:val="none"/>
        </w:rPr>
        <w:t>时间：</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u w:val="single"/>
          <w:lang w:val="en-US" w:eastAsia="zh-CN"/>
        </w:rPr>
        <w:t>2024</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bCs/>
          <w:color w:val="auto"/>
          <w:sz w:val="28"/>
          <w:szCs w:val="28"/>
          <w:highlight w:val="none"/>
          <w:u w:val="single"/>
        </w:rPr>
        <w:t xml:space="preserve">年 </w:t>
      </w:r>
      <w:r>
        <w:rPr>
          <w:rFonts w:hint="eastAsia" w:ascii="仿宋_GB2312" w:hAnsi="仿宋_GB2312" w:eastAsia="仿宋_GB2312" w:cs="仿宋_GB2312"/>
          <w:bCs/>
          <w:color w:val="auto"/>
          <w:sz w:val="28"/>
          <w:szCs w:val="28"/>
          <w:highlight w:val="none"/>
          <w:u w:val="single"/>
          <w:lang w:val="en-US" w:eastAsia="zh-CN"/>
        </w:rPr>
        <w:t xml:space="preserve">1 </w:t>
      </w:r>
      <w:r>
        <w:rPr>
          <w:rFonts w:hint="eastAsia" w:ascii="仿宋_GB2312" w:hAnsi="仿宋_GB2312" w:eastAsia="仿宋_GB2312" w:cs="仿宋_GB2312"/>
          <w:bCs/>
          <w:color w:val="auto"/>
          <w:sz w:val="28"/>
          <w:szCs w:val="28"/>
          <w:highlight w:val="none"/>
          <w:u w:val="single"/>
        </w:rPr>
        <w:t>月</w:t>
      </w:r>
      <w:r>
        <w:rPr>
          <w:rFonts w:hint="eastAsia" w:ascii="仿宋_GB2312" w:hAnsi="仿宋_GB2312" w:eastAsia="仿宋_GB2312" w:cs="仿宋_GB2312"/>
          <w:bCs/>
          <w:color w:val="auto"/>
          <w:sz w:val="28"/>
          <w:szCs w:val="28"/>
          <w:highlight w:val="none"/>
          <w:u w:val="single"/>
          <w:lang w:val="en-US" w:eastAsia="zh-CN"/>
        </w:rPr>
        <w:t xml:space="preserve"> 31 </w:t>
      </w:r>
      <w:r>
        <w:rPr>
          <w:rFonts w:hint="eastAsia" w:ascii="仿宋_GB2312" w:hAnsi="仿宋_GB2312" w:eastAsia="仿宋_GB2312" w:cs="仿宋_GB2312"/>
          <w:bCs/>
          <w:color w:val="auto"/>
          <w:sz w:val="28"/>
          <w:szCs w:val="28"/>
          <w:highlight w:val="none"/>
          <w:u w:val="single"/>
        </w:rPr>
        <w:t xml:space="preserve">日 </w:t>
      </w:r>
      <w:r>
        <w:rPr>
          <w:rFonts w:hint="eastAsia" w:ascii="仿宋_GB2312" w:hAnsi="仿宋_GB2312" w:eastAsia="仿宋_GB2312" w:cs="仿宋_GB2312"/>
          <w:bCs/>
          <w:color w:val="auto"/>
          <w:sz w:val="28"/>
          <w:szCs w:val="28"/>
          <w:highlight w:val="none"/>
          <w:u w:val="single"/>
          <w:lang w:val="en-US" w:eastAsia="zh-CN"/>
        </w:rPr>
        <w:t>9</w:t>
      </w:r>
      <w:r>
        <w:rPr>
          <w:rFonts w:hint="eastAsia" w:ascii="仿宋_GB2312" w:hAnsi="仿宋_GB2312" w:eastAsia="仿宋_GB2312" w:cs="仿宋_GB2312"/>
          <w:bCs/>
          <w:color w:val="auto"/>
          <w:sz w:val="28"/>
          <w:szCs w:val="28"/>
          <w:highlight w:val="none"/>
          <w:u w:val="single"/>
        </w:rPr>
        <w:t xml:space="preserve"> 点 </w:t>
      </w:r>
      <w:r>
        <w:rPr>
          <w:rFonts w:hint="eastAsia" w:ascii="仿宋_GB2312" w:hAnsi="仿宋_GB2312" w:eastAsia="仿宋_GB2312" w:cs="仿宋_GB2312"/>
          <w:bCs/>
          <w:color w:val="auto"/>
          <w:sz w:val="28"/>
          <w:szCs w:val="28"/>
          <w:highlight w:val="none"/>
          <w:u w:val="single"/>
          <w:lang w:val="en-US" w:eastAsia="zh-CN"/>
        </w:rPr>
        <w:t>30</w:t>
      </w:r>
      <w:r>
        <w:rPr>
          <w:rFonts w:hint="eastAsia" w:ascii="仿宋_GB2312" w:hAnsi="仿宋_GB2312" w:eastAsia="仿宋_GB2312" w:cs="仿宋_GB2312"/>
          <w:bCs/>
          <w:color w:val="auto"/>
          <w:sz w:val="28"/>
          <w:szCs w:val="28"/>
          <w:highlight w:val="none"/>
          <w:u w:val="single"/>
        </w:rPr>
        <w:t xml:space="preserve"> 分</w:t>
      </w:r>
      <w:r>
        <w:rPr>
          <w:rFonts w:hint="eastAsia" w:ascii="仿宋_GB2312" w:hAnsi="仿宋_GB2312" w:eastAsia="仿宋_GB2312" w:cs="仿宋_GB2312"/>
          <w:bCs/>
          <w:color w:val="auto"/>
          <w:sz w:val="28"/>
          <w:szCs w:val="28"/>
          <w:highlight w:val="none"/>
        </w:rPr>
        <w:t>（北京时间）</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bCs/>
          <w:color w:val="auto"/>
          <w:sz w:val="28"/>
          <w:szCs w:val="28"/>
          <w:u w:val="single"/>
        </w:rPr>
      </w:pPr>
      <w:r>
        <w:rPr>
          <w:rFonts w:hint="eastAsia" w:ascii="仿宋_GB2312" w:hAnsi="仿宋_GB2312" w:eastAsia="仿宋_GB2312" w:cs="仿宋_GB2312"/>
          <w:color w:val="auto"/>
          <w:sz w:val="28"/>
          <w:szCs w:val="28"/>
        </w:rPr>
        <w:t>地点：</w:t>
      </w:r>
      <w:r>
        <w:rPr>
          <w:rFonts w:hint="eastAsia" w:ascii="仿宋_GB2312" w:hAnsi="仿宋_GB2312" w:eastAsia="仿宋_GB2312" w:cs="仿宋_GB2312"/>
          <w:b/>
          <w:bCs/>
          <w:color w:val="auto"/>
          <w:sz w:val="28"/>
          <w:szCs w:val="28"/>
          <w:highlight w:val="none"/>
        </w:rPr>
        <w:t>采用</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不见面开标方式</w:t>
      </w:r>
      <w:r>
        <w:rPr>
          <w:rFonts w:hint="eastAsia" w:ascii="仿宋_GB2312" w:hAnsi="仿宋_GB2312" w:eastAsia="仿宋_GB2312" w:cs="仿宋_GB2312"/>
          <w:b/>
          <w:bCs/>
          <w:color w:val="auto"/>
          <w:sz w:val="28"/>
          <w:szCs w:val="28"/>
          <w:highlight w:val="none"/>
          <w:lang w:eastAsia="zh-CN"/>
        </w:rPr>
        <w:t>”</w:t>
      </w:r>
      <w:r>
        <w:rPr>
          <w:rFonts w:hint="eastAsia" w:ascii="仿宋_GB2312" w:hAnsi="仿宋_GB2312" w:eastAsia="仿宋_GB2312" w:cs="仿宋_GB2312"/>
          <w:b/>
          <w:bCs/>
          <w:color w:val="auto"/>
          <w:sz w:val="28"/>
          <w:szCs w:val="28"/>
          <w:highlight w:val="none"/>
        </w:rPr>
        <w:t>。</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前，</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人登录全国公共资源交易平台（陕西省·汉中市）网站〖首页〉不见面开标〗系统，在线参加</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过程。</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时，按照工作人员要求进行远程解密，如因</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人自身原因造成无法解密</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文件，按无效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对待。</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2" w:name="_Toc35393634"/>
      <w:bookmarkStart w:id="33" w:name="_Toc4869"/>
      <w:bookmarkStart w:id="34" w:name="_Toc35393803"/>
      <w:bookmarkStart w:id="35" w:name="_Toc28359094"/>
      <w:bookmarkStart w:id="36" w:name="_Toc28359017"/>
      <w:r>
        <w:rPr>
          <w:rFonts w:hint="eastAsia" w:ascii="仿宋_GB2312" w:hAnsi="仿宋_GB2312" w:eastAsia="仿宋_GB2312" w:cs="仿宋_GB2312"/>
          <w:b/>
          <w:bCs/>
          <w:color w:val="auto"/>
          <w:kern w:val="2"/>
          <w:sz w:val="28"/>
          <w:szCs w:val="28"/>
          <w:lang w:val="en-US" w:eastAsia="zh-CN" w:bidi="ar-SA"/>
        </w:rPr>
        <w:t>六、公告期限</w:t>
      </w:r>
      <w:bookmarkEnd w:id="32"/>
      <w:bookmarkEnd w:id="33"/>
      <w:bookmarkEnd w:id="34"/>
      <w:bookmarkEnd w:id="35"/>
      <w:bookmarkEnd w:id="36"/>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自本公告发布之日起3个工作日。</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37" w:name="_Toc35393804"/>
      <w:bookmarkStart w:id="38" w:name="_Toc35393635"/>
      <w:bookmarkStart w:id="39" w:name="_Toc24605"/>
      <w:r>
        <w:rPr>
          <w:rFonts w:hint="eastAsia" w:ascii="仿宋_GB2312" w:hAnsi="仿宋_GB2312" w:eastAsia="仿宋_GB2312" w:cs="仿宋_GB2312"/>
          <w:b/>
          <w:bCs/>
          <w:color w:val="auto"/>
          <w:kern w:val="2"/>
          <w:sz w:val="28"/>
          <w:szCs w:val="28"/>
          <w:lang w:val="en-US" w:eastAsia="zh-CN" w:bidi="ar-SA"/>
        </w:rPr>
        <w:t>七、其他补充事宜</w:t>
      </w:r>
      <w:bookmarkEnd w:id="37"/>
      <w:bookmarkEnd w:id="38"/>
      <w:bookmarkEnd w:id="39"/>
      <w:bookmarkStart w:id="442" w:name="_GoBack"/>
      <w:bookmarkEnd w:id="442"/>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１、响应人初次使用交易平台，须先完成诚信入库登记、数字认证证书 （CA 锁）认证及企业信息绑定。电子交易平台现已接入陕西CA、深圳CA、西部CA、北京CA四家数字证书公司，各供应商在交易过程中登录系统、加密/解密投标文件、文件签章等均可使用上述四家CA公司签发的数字证书。办理须知及所需资料详见：http://www.sxggzyjy.cn/fwzn/004003/20220701/6972fe02-f996-4928-951e-545dab02e53c.html</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2、</w:t>
      </w:r>
      <w:r>
        <w:rPr>
          <w:rFonts w:hint="eastAsia" w:ascii="仿宋_GB2312" w:hAnsi="仿宋_GB2312" w:eastAsia="仿宋_GB2312" w:cs="仿宋_GB2312"/>
          <w:b/>
          <w:bCs/>
          <w:color w:val="auto"/>
          <w:kern w:val="0"/>
          <w:sz w:val="28"/>
          <w:szCs w:val="28"/>
          <w:lang w:val="en-US" w:eastAsia="zh-CN"/>
        </w:rPr>
        <w:t>本项目采用“电子化采购”及“不见面开标”方式，</w:t>
      </w:r>
      <w:r>
        <w:rPr>
          <w:rFonts w:hint="eastAsia" w:ascii="仿宋_GB2312" w:hAnsi="仿宋_GB2312" w:eastAsia="仿宋_GB2312" w:cs="仿宋_GB2312"/>
          <w:color w:val="auto"/>
          <w:kern w:val="0"/>
          <w:sz w:val="28"/>
          <w:szCs w:val="28"/>
          <w:lang w:val="en-US" w:eastAsia="zh-CN"/>
        </w:rPr>
        <w:t>响应人须使用数字认证证书（CA锁）对电子响应文件进行签章、加密、递交及开启时解密等相关事宜。（操作手册详见〖首页〉服务指南〉下载专区〗中的《汉中公共资源交易不见面开标大厅投标单位操作手册》）</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 xml:space="preserve">3、请响应人务必及时下载采购文件并做好备份，否则会影响响应文件编制及后续采购活动。 </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4、按照2018年12月26日发布的“陕西省财政厅关于政府采购供应商注册登记有关事项的通知”要求，我省政府采购供应商注册登记工作自本通知印发之日起恢复办理。符合《政府采购法》第二十二条规定的合格供应商通过陕西省政府采购网（http://www.ccgp-shaanxi.gov.cn/）注册登记加入陕西省政府采购供应商库。详细内容请查阅“陕西省政府采购网”。供应商注册登记咨询电话：029-96702-7  87611761。</w:t>
      </w:r>
    </w:p>
    <w:p>
      <w:pPr>
        <w:keepLines w:val="0"/>
        <w:pageBreakBefore w:val="0"/>
        <w:widowControl w:val="0"/>
        <w:kinsoku/>
        <w:wordWrap/>
        <w:overflowPunct/>
        <w:topLinePunct w:val="0"/>
        <w:bidi w:val="0"/>
        <w:snapToGrid/>
        <w:spacing w:line="500" w:lineRule="exact"/>
        <w:ind w:firstLine="566" w:firstLineChars="200"/>
        <w:textAlignment w:val="auto"/>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lang w:val="en-US" w:eastAsia="zh-CN"/>
        </w:rPr>
        <w:t>5、有融资需求的中标（成交）供应商可根据自身情况，根据《陕西省财政厅关于加快推进我省中小企业政府采购信用融资工作的通知》（陕财办采〔2020〕15号）文件精神，自主选择融资平台或金融机构及其融资产品，凭政府采购中标（成交）通知书或政府采购合同向金融机构提出融资申请。</w:t>
      </w:r>
    </w:p>
    <w:p>
      <w:pPr>
        <w:keepNext/>
        <w:keepLines w:val="0"/>
        <w:pageBreakBefore w:val="0"/>
        <w:widowControl w:val="0"/>
        <w:kinsoku/>
        <w:wordWrap/>
        <w:overflowPunct/>
        <w:topLinePunct w:val="0"/>
        <w:autoSpaceDE w:val="0"/>
        <w:autoSpaceDN w:val="0"/>
        <w:bidi w:val="0"/>
        <w:adjustRightInd w:val="0"/>
        <w:snapToGrid/>
        <w:spacing w:line="500" w:lineRule="exact"/>
        <w:jc w:val="both"/>
        <w:textAlignment w:val="auto"/>
        <w:outlineLvl w:val="1"/>
        <w:rPr>
          <w:rFonts w:hint="eastAsia" w:ascii="仿宋_GB2312" w:hAnsi="仿宋_GB2312" w:eastAsia="仿宋_GB2312" w:cs="仿宋_GB2312"/>
          <w:b/>
          <w:bCs/>
          <w:color w:val="auto"/>
          <w:kern w:val="2"/>
          <w:sz w:val="28"/>
          <w:szCs w:val="28"/>
          <w:lang w:val="en-US" w:eastAsia="zh-CN" w:bidi="ar-SA"/>
        </w:rPr>
      </w:pPr>
      <w:bookmarkStart w:id="40" w:name="_Toc35393636"/>
      <w:bookmarkStart w:id="41" w:name="_Toc28359095"/>
      <w:bookmarkStart w:id="42" w:name="_Toc35393805"/>
      <w:bookmarkStart w:id="43" w:name="_Toc17247"/>
      <w:bookmarkStart w:id="44" w:name="_Toc28359018"/>
      <w:r>
        <w:rPr>
          <w:rFonts w:hint="eastAsia" w:ascii="仿宋_GB2312" w:hAnsi="仿宋_GB2312" w:eastAsia="仿宋_GB2312" w:cs="仿宋_GB2312"/>
          <w:b/>
          <w:bCs/>
          <w:color w:val="auto"/>
          <w:kern w:val="2"/>
          <w:sz w:val="28"/>
          <w:szCs w:val="28"/>
          <w:lang w:val="en-US" w:eastAsia="zh-CN" w:bidi="ar-SA"/>
        </w:rPr>
        <w:t>八、凡对本次采购提出询问，请按以下方式联系。</w:t>
      </w:r>
      <w:bookmarkEnd w:id="40"/>
      <w:bookmarkEnd w:id="41"/>
      <w:bookmarkEnd w:id="42"/>
      <w:bookmarkEnd w:id="43"/>
      <w:bookmarkEnd w:id="44"/>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45" w:name="_Toc28359096"/>
      <w:bookmarkStart w:id="46" w:name="_Toc35393637"/>
      <w:bookmarkStart w:id="47" w:name="_Toc28359019"/>
      <w:bookmarkStart w:id="48" w:name="_Toc9063"/>
      <w:bookmarkStart w:id="49" w:name="_Toc35393806"/>
      <w:r>
        <w:rPr>
          <w:rFonts w:hint="eastAsia" w:ascii="仿宋_GB2312" w:hAnsi="仿宋_GB2312" w:eastAsia="仿宋_GB2312" w:cs="仿宋_GB2312"/>
          <w:b w:val="0"/>
          <w:color w:val="auto"/>
          <w:kern w:val="2"/>
          <w:sz w:val="28"/>
          <w:szCs w:val="28"/>
          <w:lang w:val="en-US" w:eastAsia="zh-CN" w:bidi="ar-SA"/>
        </w:rPr>
        <w:t>1.采购人信息</w:t>
      </w:r>
      <w:bookmarkEnd w:id="45"/>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bookmarkStart w:id="50" w:name="_Toc28359097"/>
      <w:bookmarkStart w:id="51" w:name="_Toc35393807"/>
      <w:bookmarkStart w:id="52" w:name="_Toc35393638"/>
      <w:bookmarkStart w:id="53" w:name="_Toc28359020"/>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汉中市中心医院 </w:t>
      </w:r>
      <w:r>
        <w:rPr>
          <w:rFonts w:hint="eastAsia" w:ascii="仿宋_GB2312" w:hAnsi="仿宋_GB2312" w:eastAsia="仿宋_GB2312" w:cs="仿宋_GB2312"/>
          <w:color w:val="auto"/>
          <w:sz w:val="28"/>
          <w:szCs w:val="28"/>
          <w:highlight w:val="none"/>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汉中市汉台区康复路 </w:t>
      </w:r>
      <w:r>
        <w:rPr>
          <w:rFonts w:hint="eastAsia" w:ascii="仿宋_GB2312" w:hAnsi="仿宋_GB2312" w:eastAsia="仿宋_GB2312" w:cs="仿宋_GB2312"/>
          <w:color w:val="auto"/>
          <w:sz w:val="28"/>
          <w:szCs w:val="28"/>
          <w:u w:val="single"/>
        </w:rPr>
        <w:t>　</w:t>
      </w:r>
    </w:p>
    <w:p>
      <w:pPr>
        <w:keepNext w:val="0"/>
        <w:keepLines w:val="0"/>
        <w:pageBreakBefore w:val="0"/>
        <w:widowControl w:val="0"/>
        <w:kinsoku/>
        <w:wordWrap/>
        <w:overflowPunct/>
        <w:topLinePunct w:val="0"/>
        <w:autoSpaceDE/>
        <w:autoSpaceDN/>
        <w:bidi w:val="0"/>
        <w:adjustRightInd/>
        <w:snapToGrid/>
        <w:spacing w:line="500" w:lineRule="exact"/>
        <w:ind w:firstLine="849" w:firstLineChars="3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highlight w:val="none"/>
          <w:u w:val="single"/>
          <w:lang w:val="en-US" w:eastAsia="zh-CN"/>
        </w:rPr>
        <w:t xml:space="preserve">0916-2682065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4" w:name="_Toc27032"/>
      <w:r>
        <w:rPr>
          <w:rFonts w:hint="eastAsia" w:ascii="仿宋_GB2312" w:hAnsi="仿宋_GB2312" w:eastAsia="仿宋_GB2312" w:cs="仿宋_GB2312"/>
          <w:b w:val="0"/>
          <w:color w:val="auto"/>
          <w:kern w:val="2"/>
          <w:sz w:val="28"/>
          <w:szCs w:val="28"/>
          <w:lang w:val="en-US" w:eastAsia="zh-CN" w:bidi="ar-SA"/>
        </w:rPr>
        <w:t>2.采购代理机构信息</w:t>
      </w:r>
      <w:bookmarkEnd w:id="50"/>
      <w:bookmarkEnd w:id="51"/>
      <w:bookmarkEnd w:id="52"/>
      <w:bookmarkEnd w:id="53"/>
      <w:bookmarkEnd w:id="54"/>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    称：</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汉中市政府采购中心</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　　址：</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汉中市汉台区南团结街与汉宁路十字金格大厦四楼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sz w:val="28"/>
          <w:szCs w:val="28"/>
        </w:rPr>
        <w:t>联系方式：</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0916-2109082</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Next/>
        <w:keepLines w:val="0"/>
        <w:pageBreakBefore w:val="0"/>
        <w:widowControl w:val="0"/>
        <w:kinsoku/>
        <w:wordWrap/>
        <w:overflowPunct/>
        <w:topLinePunct w:val="0"/>
        <w:autoSpaceDE w:val="0"/>
        <w:autoSpaceDN w:val="0"/>
        <w:bidi w:val="0"/>
        <w:adjustRightInd w:val="0"/>
        <w:snapToGrid/>
        <w:spacing w:line="500" w:lineRule="exact"/>
        <w:ind w:firstLine="849" w:firstLineChars="300"/>
        <w:jc w:val="both"/>
        <w:textAlignment w:val="auto"/>
        <w:outlineLvl w:val="1"/>
        <w:rPr>
          <w:rFonts w:hint="eastAsia" w:ascii="仿宋_GB2312" w:hAnsi="仿宋_GB2312" w:eastAsia="仿宋_GB2312" w:cs="仿宋_GB2312"/>
          <w:b w:val="0"/>
          <w:color w:val="auto"/>
          <w:kern w:val="2"/>
          <w:sz w:val="28"/>
          <w:szCs w:val="28"/>
          <w:lang w:val="en-US" w:eastAsia="zh-CN" w:bidi="ar-SA"/>
        </w:rPr>
      </w:pPr>
      <w:bookmarkStart w:id="55" w:name="_Toc35393639"/>
      <w:bookmarkStart w:id="56" w:name="_Toc6426"/>
      <w:bookmarkStart w:id="57" w:name="_Toc28359021"/>
      <w:bookmarkStart w:id="58" w:name="_Toc35393808"/>
      <w:bookmarkStart w:id="59" w:name="_Toc28359098"/>
      <w:r>
        <w:rPr>
          <w:rFonts w:hint="eastAsia" w:ascii="仿宋_GB2312" w:hAnsi="仿宋_GB2312" w:eastAsia="仿宋_GB2312" w:cs="仿宋_GB2312"/>
          <w:b w:val="0"/>
          <w:color w:val="auto"/>
          <w:kern w:val="2"/>
          <w:sz w:val="28"/>
          <w:szCs w:val="28"/>
          <w:lang w:val="en-US" w:eastAsia="zh-CN" w:bidi="ar-SA"/>
        </w:rPr>
        <w:t>3.项目联系方式</w:t>
      </w:r>
      <w:bookmarkEnd w:id="55"/>
      <w:bookmarkEnd w:id="56"/>
      <w:bookmarkEnd w:id="57"/>
      <w:bookmarkEnd w:id="58"/>
      <w:bookmarkEnd w:id="59"/>
    </w:p>
    <w:p>
      <w:pPr>
        <w:pStyle w:val="10"/>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项目联系人：</w:t>
      </w:r>
      <w:r>
        <w:rPr>
          <w:rFonts w:hint="eastAsia" w:ascii="仿宋_GB2312" w:hAnsi="仿宋_GB2312" w:eastAsia="仿宋_GB2312" w:cs="仿宋_GB2312"/>
          <w:color w:val="auto"/>
          <w:kern w:val="2"/>
          <w:sz w:val="28"/>
          <w:szCs w:val="28"/>
          <w:u w:val="single"/>
          <w:lang w:val="en-US" w:eastAsia="zh-CN" w:bidi="ar-SA"/>
        </w:rPr>
        <w:t xml:space="preserve">  王月</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w:t>
      </w:r>
    </w:p>
    <w:p>
      <w:pPr>
        <w:keepLines w:val="0"/>
        <w:pageBreakBefore w:val="0"/>
        <w:widowControl w:val="0"/>
        <w:kinsoku/>
        <w:wordWrap/>
        <w:overflowPunct/>
        <w:topLinePunct w:val="0"/>
        <w:bidi w:val="0"/>
        <w:snapToGrid/>
        <w:spacing w:line="500" w:lineRule="exact"/>
        <w:ind w:firstLine="849" w:firstLineChars="3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电　　 话：</w:t>
      </w:r>
      <w:r>
        <w:rPr>
          <w:rFonts w:hint="eastAsia" w:ascii="仿宋_GB2312" w:hAnsi="仿宋_GB2312" w:eastAsia="仿宋_GB2312" w:cs="仿宋_GB2312"/>
          <w:color w:val="auto"/>
          <w:sz w:val="28"/>
          <w:szCs w:val="28"/>
          <w:u w:val="single"/>
        </w:rPr>
        <w:t>　</w:t>
      </w:r>
      <w:r>
        <w:rPr>
          <w:rFonts w:hint="eastAsia" w:ascii="仿宋_GB2312" w:hAnsi="仿宋_GB2312" w:eastAsia="仿宋_GB2312" w:cs="仿宋_GB2312"/>
          <w:color w:val="auto"/>
          <w:sz w:val="28"/>
          <w:szCs w:val="28"/>
          <w:u w:val="single"/>
          <w:lang w:val="en-US" w:eastAsia="zh-CN"/>
        </w:rPr>
        <w:t xml:space="preserve">0916-2109082 </w:t>
      </w:r>
      <w:r>
        <w:rPr>
          <w:rFonts w:hint="eastAsia" w:ascii="仿宋_GB2312" w:hAnsi="仿宋_GB2312" w:eastAsia="仿宋_GB2312" w:cs="仿宋_GB2312"/>
          <w:color w:val="auto"/>
          <w:sz w:val="28"/>
          <w:szCs w:val="28"/>
          <w:u w:val="single"/>
        </w:rPr>
        <w:t>　</w:t>
      </w:r>
    </w:p>
    <w:p>
      <w:pPr>
        <w:pStyle w:val="2"/>
        <w:pageBreakBefore w:val="0"/>
        <w:kinsoku/>
        <w:wordWrap/>
        <w:overflowPunct/>
        <w:topLinePunct w:val="0"/>
        <w:bidi w:val="0"/>
        <w:snapToGrid/>
        <w:spacing w:line="500" w:lineRule="exact"/>
        <w:textAlignment w:val="auto"/>
        <w:rPr>
          <w:rFonts w:ascii="黑体" w:hAnsi="黑体" w:eastAsia="黑体"/>
          <w:color w:val="auto"/>
          <w:sz w:val="32"/>
          <w:szCs w:val="32"/>
        </w:rPr>
      </w:pPr>
      <w:r>
        <w:rPr>
          <w:color w:val="auto"/>
          <w:sz w:val="28"/>
          <w:szCs w:val="28"/>
        </w:rPr>
        <w:br w:type="page"/>
      </w:r>
      <w:bookmarkStart w:id="60" w:name="_Toc445306492"/>
      <w:bookmarkStart w:id="61" w:name="_Toc495014648"/>
      <w:bookmarkStart w:id="62" w:name="_Toc495014610"/>
      <w:bookmarkStart w:id="63" w:name="_Toc495012770"/>
      <w:bookmarkStart w:id="64" w:name="_Toc7814"/>
      <w:bookmarkStart w:id="65" w:name="_Toc22804_WPSOffice_Level1"/>
      <w:bookmarkStart w:id="66" w:name="_Toc9601"/>
      <w:bookmarkStart w:id="67" w:name="_Toc19337_WPSOffice_Level1"/>
      <w:bookmarkStart w:id="68" w:name="_Toc495014953"/>
      <w:bookmarkStart w:id="69" w:name="_Toc495012820"/>
      <w:bookmarkStart w:id="70" w:name="_Toc495014919"/>
      <w:bookmarkStart w:id="71" w:name="_Toc10140"/>
      <w:bookmarkStart w:id="72" w:name="_Toc4326"/>
      <w:bookmarkStart w:id="73" w:name="_Toc15046_WPSOffice_Level1"/>
      <w:bookmarkStart w:id="74" w:name="_Toc495014584"/>
      <w:r>
        <w:rPr>
          <w:rFonts w:ascii="黑体" w:hAnsi="黑体" w:eastAsia="黑体"/>
          <w:b w:val="0"/>
          <w:bCs/>
          <w:color w:val="auto"/>
          <w:sz w:val="32"/>
          <w:szCs w:val="32"/>
        </w:rPr>
        <w:t xml:space="preserve">第二章  </w:t>
      </w:r>
      <w:r>
        <w:rPr>
          <w:rFonts w:hint="eastAsia" w:ascii="黑体" w:hAnsi="黑体" w:eastAsia="黑体"/>
          <w:b w:val="0"/>
          <w:bCs/>
          <w:color w:val="auto"/>
          <w:sz w:val="32"/>
          <w:szCs w:val="32"/>
        </w:rPr>
        <w:t>供应商</w:t>
      </w:r>
      <w:r>
        <w:rPr>
          <w:rFonts w:ascii="黑体" w:hAnsi="黑体" w:eastAsia="黑体"/>
          <w:b w:val="0"/>
          <w:bCs/>
          <w:color w:val="auto"/>
          <w:sz w:val="32"/>
          <w:szCs w:val="32"/>
        </w:rPr>
        <w:t>须知</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pPr>
        <w:pStyle w:val="3"/>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75" w:name="_Toc23184"/>
      <w:bookmarkStart w:id="76" w:name="_Toc12337"/>
      <w:bookmarkStart w:id="77" w:name="_Toc24451_WPSOffice_Level2"/>
      <w:bookmarkStart w:id="78" w:name="_Toc3062"/>
      <w:bookmarkStart w:id="79" w:name="_Toc18466_WPSOffice_Level2"/>
      <w:bookmarkStart w:id="80" w:name="_Toc16238"/>
      <w:bookmarkStart w:id="81" w:name="_Toc3858_WPSOffice_Level2"/>
      <w:r>
        <w:rPr>
          <w:rFonts w:hint="eastAsia" w:ascii="仿宋_GB2312" w:hAnsi="仿宋_GB2312" w:eastAsia="仿宋_GB2312" w:cs="仿宋_GB2312"/>
          <w:color w:val="auto"/>
          <w:sz w:val="28"/>
          <w:szCs w:val="28"/>
        </w:rPr>
        <w:t>一、定义</w:t>
      </w:r>
      <w:bookmarkEnd w:id="75"/>
      <w:bookmarkEnd w:id="76"/>
      <w:bookmarkEnd w:id="77"/>
      <w:bookmarkEnd w:id="78"/>
      <w:bookmarkEnd w:id="79"/>
      <w:bookmarkEnd w:id="80"/>
      <w:bookmarkEnd w:id="81"/>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82" w:name="_Toc11840_WPSOffice_Level3"/>
      <w:r>
        <w:rPr>
          <w:rFonts w:hint="eastAsia" w:ascii="仿宋_GB2312" w:hAnsi="仿宋_GB2312" w:eastAsia="仿宋_GB2312" w:cs="仿宋_GB2312"/>
          <w:color w:val="auto"/>
          <w:sz w:val="28"/>
          <w:szCs w:val="28"/>
        </w:rPr>
        <w:t>（一）采 购 人</w:t>
      </w:r>
      <w:r>
        <w:rPr>
          <w:rFonts w:hint="eastAsia" w:ascii="仿宋_GB2312" w:hAnsi="仿宋_GB2312" w:eastAsia="仿宋_GB2312" w:cs="仿宋_GB2312"/>
          <w:color w:val="auto"/>
          <w:sz w:val="28"/>
          <w:szCs w:val="28"/>
          <w:lang w:val="en-US" w:eastAsia="zh-CN"/>
        </w:rPr>
        <w:t>：</w:t>
      </w:r>
      <w:bookmarkEnd w:id="82"/>
      <w:bookmarkStart w:id="83" w:name="_Toc9917_WPSOffice_Level3"/>
      <w:r>
        <w:rPr>
          <w:rFonts w:hint="eastAsia" w:ascii="仿宋_GB2312" w:hAnsi="仿宋_GB2312" w:eastAsia="仿宋_GB2312" w:cs="仿宋_GB2312"/>
          <w:color w:val="auto"/>
          <w:sz w:val="28"/>
          <w:szCs w:val="28"/>
          <w:lang w:val="en-US" w:eastAsia="zh-CN"/>
        </w:rPr>
        <w:t xml:space="preserve">汉中市中心医院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（二）监督机构：</w:t>
      </w:r>
      <w:bookmarkEnd w:id="83"/>
      <w:r>
        <w:rPr>
          <w:rFonts w:hint="eastAsia" w:ascii="仿宋_GB2312" w:hAnsi="仿宋_GB2312" w:eastAsia="仿宋_GB2312" w:cs="仿宋_GB2312"/>
          <w:color w:val="auto"/>
          <w:sz w:val="28"/>
          <w:szCs w:val="28"/>
          <w:lang w:val="en-US" w:eastAsia="zh-CN"/>
        </w:rPr>
        <w:t>汉中市财政局</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4" w:name="_Toc8219_WPSOffice_Level3"/>
      <w:r>
        <w:rPr>
          <w:rFonts w:hint="eastAsia" w:ascii="仿宋_GB2312" w:hAnsi="仿宋_GB2312" w:eastAsia="仿宋_GB2312" w:cs="仿宋_GB2312"/>
          <w:color w:val="auto"/>
          <w:sz w:val="28"/>
          <w:szCs w:val="28"/>
        </w:rPr>
        <w:t>（三）集中采购机构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采购代理机构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bookmarkEnd w:id="84"/>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5" w:name="_Toc20141_WPSOffice_Level3"/>
      <w:r>
        <w:rPr>
          <w:rFonts w:hint="eastAsia" w:ascii="仿宋_GB2312" w:hAnsi="仿宋_GB2312" w:eastAsia="仿宋_GB2312" w:cs="仿宋_GB2312"/>
          <w:color w:val="auto"/>
          <w:sz w:val="28"/>
          <w:szCs w:val="28"/>
        </w:rPr>
        <w:t>（四）供应商：拟向采购人提供货物、工程或者服务的法人、其他组织或者自然人</w:t>
      </w:r>
      <w:bookmarkEnd w:id="85"/>
    </w:p>
    <w:p>
      <w:pPr>
        <w:pStyle w:val="3"/>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86" w:name="_Toc4606"/>
      <w:bookmarkStart w:id="87" w:name="_Toc20906_WPSOffice_Level2"/>
      <w:bookmarkStart w:id="88" w:name="_Toc27278_WPSOffice_Level2"/>
      <w:bookmarkStart w:id="89" w:name="_Toc11745_WPSOffice_Level2"/>
      <w:bookmarkStart w:id="90" w:name="_Toc24646"/>
      <w:bookmarkStart w:id="91" w:name="_Toc9291"/>
      <w:bookmarkStart w:id="92" w:name="_Toc13654"/>
      <w:r>
        <w:rPr>
          <w:rFonts w:hint="eastAsia" w:ascii="仿宋_GB2312" w:hAnsi="仿宋_GB2312" w:eastAsia="仿宋_GB2312" w:cs="仿宋_GB2312"/>
          <w:color w:val="auto"/>
          <w:sz w:val="28"/>
          <w:szCs w:val="28"/>
        </w:rPr>
        <w:t>二、供应商注意事项</w:t>
      </w:r>
      <w:bookmarkEnd w:id="86"/>
      <w:bookmarkEnd w:id="87"/>
      <w:bookmarkEnd w:id="88"/>
      <w:bookmarkEnd w:id="89"/>
      <w:bookmarkEnd w:id="90"/>
      <w:bookmarkEnd w:id="91"/>
      <w:bookmarkEnd w:id="92"/>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3" w:name="_Toc21291"/>
      <w:bookmarkStart w:id="94" w:name="_Toc26982_WPSOffice_Level3"/>
      <w:r>
        <w:rPr>
          <w:rFonts w:hint="eastAsia" w:ascii="仿宋_GB2312" w:hAnsi="仿宋_GB2312" w:eastAsia="仿宋_GB2312" w:cs="仿宋_GB2312"/>
          <w:b/>
          <w:bCs/>
          <w:color w:val="auto"/>
          <w:sz w:val="28"/>
          <w:szCs w:val="28"/>
        </w:rPr>
        <w:t>（一）</w:t>
      </w:r>
      <w:r>
        <w:rPr>
          <w:rFonts w:hint="eastAsia" w:ascii="仿宋_GB2312" w:hAnsi="仿宋_GB2312" w:eastAsia="仿宋_GB2312" w:cs="仿宋_GB2312"/>
          <w:b/>
          <w:color w:val="auto"/>
          <w:sz w:val="28"/>
          <w:szCs w:val="28"/>
        </w:rPr>
        <w:t>现场</w:t>
      </w:r>
      <w:r>
        <w:rPr>
          <w:rFonts w:hint="eastAsia" w:ascii="仿宋_GB2312" w:hAnsi="仿宋_GB2312" w:eastAsia="仿宋_GB2312" w:cs="仿宋_GB2312"/>
          <w:b/>
          <w:color w:val="auto"/>
          <w:sz w:val="28"/>
          <w:szCs w:val="28"/>
          <w:lang w:val="en-US" w:eastAsia="zh-CN"/>
        </w:rPr>
        <w:t>考察</w:t>
      </w:r>
      <w:r>
        <w:rPr>
          <w:rFonts w:hint="eastAsia" w:ascii="仿宋_GB2312" w:hAnsi="仿宋_GB2312" w:eastAsia="仿宋_GB2312" w:cs="仿宋_GB2312"/>
          <w:b/>
          <w:color w:val="auto"/>
          <w:sz w:val="28"/>
          <w:szCs w:val="28"/>
        </w:rPr>
        <w:t>及</w:t>
      </w:r>
      <w:r>
        <w:rPr>
          <w:rFonts w:hint="eastAsia" w:ascii="仿宋_GB2312" w:hAnsi="仿宋_GB2312" w:eastAsia="仿宋_GB2312" w:cs="仿宋_GB2312"/>
          <w:b/>
          <w:color w:val="auto"/>
          <w:sz w:val="28"/>
          <w:szCs w:val="28"/>
          <w:lang w:val="en-US" w:eastAsia="zh-CN"/>
        </w:rPr>
        <w:t>磋商</w:t>
      </w:r>
      <w:r>
        <w:rPr>
          <w:rFonts w:hint="eastAsia" w:ascii="仿宋_GB2312" w:hAnsi="仿宋_GB2312" w:eastAsia="仿宋_GB2312" w:cs="仿宋_GB2312"/>
          <w:b/>
          <w:color w:val="auto"/>
          <w:sz w:val="28"/>
          <w:szCs w:val="28"/>
        </w:rPr>
        <w:t>前答疑会</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采购项目安排现场考察和</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前答疑的，采购人应尽量在现场予以解答 （口头提问可口头答复），现场不能做出解答的，应在三个工作日内书面答复，并交由</w:t>
      </w:r>
      <w:r>
        <w:rPr>
          <w:rFonts w:hint="eastAsia" w:ascii="仿宋_GB2312" w:hAnsi="仿宋_GB2312" w:eastAsia="仿宋_GB2312" w:cs="仿宋_GB2312"/>
          <w:bCs/>
          <w:color w:val="auto"/>
          <w:sz w:val="28"/>
          <w:szCs w:val="28"/>
          <w:lang w:val="en-US" w:eastAsia="zh-CN"/>
        </w:rPr>
        <w:t>集中采购机构</w:t>
      </w:r>
      <w:r>
        <w:rPr>
          <w:rFonts w:hint="eastAsia" w:ascii="仿宋_GB2312" w:hAnsi="仿宋_GB2312" w:eastAsia="仿宋_GB2312" w:cs="仿宋_GB2312"/>
          <w:bCs/>
          <w:color w:val="auto"/>
          <w:sz w:val="28"/>
          <w:szCs w:val="28"/>
        </w:rPr>
        <w:t>在财政部门指定的媒体上发布。 答复内容可能影响响应文件编制的，应当顺延</w:t>
      </w:r>
      <w:r>
        <w:rPr>
          <w:rFonts w:hint="eastAsia" w:ascii="仿宋_GB2312" w:hAnsi="仿宋_GB2312" w:eastAsia="仿宋_GB2312" w:cs="仿宋_GB2312"/>
          <w:bCs/>
          <w:color w:val="auto"/>
          <w:sz w:val="28"/>
          <w:szCs w:val="28"/>
          <w:lang w:val="en-US" w:eastAsia="zh-CN"/>
        </w:rPr>
        <w:t>磋商</w:t>
      </w:r>
      <w:r>
        <w:rPr>
          <w:rFonts w:hint="eastAsia" w:ascii="仿宋_GB2312" w:hAnsi="仿宋_GB2312" w:eastAsia="仿宋_GB2312" w:cs="仿宋_GB2312"/>
          <w:bCs/>
          <w:color w:val="auto"/>
          <w:sz w:val="28"/>
          <w:szCs w:val="28"/>
        </w:rPr>
        <w:t xml:space="preserve">时间。凡未参加现场考察及磋商前答疑会的供应商，由此造成的偏差由各供应商自行负责。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b/>
          <w:color w:val="auto"/>
          <w:sz w:val="28"/>
          <w:szCs w:val="28"/>
        </w:rPr>
        <w:t>本项目</w:t>
      </w:r>
      <w:r>
        <w:rPr>
          <w:rFonts w:hint="eastAsia" w:ascii="仿宋_GB2312" w:hAnsi="仿宋_GB2312" w:eastAsia="仿宋_GB2312" w:cs="仿宋_GB2312"/>
          <w:b/>
          <w:color w:val="auto"/>
          <w:sz w:val="28"/>
          <w:szCs w:val="28"/>
          <w:lang w:val="en-US" w:eastAsia="zh-CN"/>
        </w:rPr>
        <w:t>不</w:t>
      </w:r>
      <w:r>
        <w:rPr>
          <w:rFonts w:hint="eastAsia" w:ascii="仿宋_GB2312" w:hAnsi="仿宋_GB2312" w:eastAsia="仿宋_GB2312" w:cs="仿宋_GB2312"/>
          <w:b/>
          <w:color w:val="auto"/>
          <w:sz w:val="28"/>
          <w:szCs w:val="28"/>
        </w:rPr>
        <w:t>组织集中踏勘</w:t>
      </w:r>
      <w:r>
        <w:rPr>
          <w:rFonts w:hint="eastAsia" w:ascii="仿宋_GB2312" w:hAnsi="仿宋_GB2312" w:eastAsia="仿宋_GB2312" w:cs="仿宋_GB2312"/>
          <w:b/>
          <w:color w:val="auto"/>
          <w:sz w:val="28"/>
          <w:szCs w:val="28"/>
          <w:lang w:val="en-US" w:eastAsia="zh-CN"/>
        </w:rPr>
        <w:t>和磋商前答疑会</w:t>
      </w:r>
      <w:r>
        <w:rPr>
          <w:rFonts w:hint="eastAsia" w:ascii="仿宋_GB2312" w:hAnsi="仿宋_GB2312" w:eastAsia="仿宋_GB2312" w:cs="仿宋_GB2312"/>
          <w:b/>
          <w:color w:val="auto"/>
          <w:sz w:val="28"/>
          <w:szCs w:val="28"/>
        </w:rPr>
        <w:t>。</w:t>
      </w:r>
      <w:bookmarkEnd w:id="93"/>
      <w:bookmarkEnd w:id="94"/>
      <w:bookmarkStart w:id="95" w:name="_Toc669_WPSOffice_Level3"/>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color w:val="auto"/>
          <w:sz w:val="28"/>
          <w:szCs w:val="28"/>
        </w:rPr>
        <w:t>（二）</w:t>
      </w:r>
      <w:bookmarkEnd w:id="95"/>
      <w:bookmarkStart w:id="96" w:name="_Toc9412_WPSOffice_Level3"/>
      <w:r>
        <w:rPr>
          <w:rFonts w:hint="eastAsia" w:ascii="仿宋_GB2312" w:hAnsi="仿宋_GB2312" w:eastAsia="仿宋_GB2312" w:cs="仿宋_GB2312"/>
          <w:b/>
          <w:bCs/>
          <w:color w:val="auto"/>
          <w:sz w:val="28"/>
          <w:szCs w:val="28"/>
        </w:rPr>
        <w:t>询问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针对采购文件，向采购人</w:t>
      </w:r>
      <w:r>
        <w:rPr>
          <w:rFonts w:hint="eastAsia" w:ascii="仿宋_GB2312" w:hAnsi="仿宋_GB2312" w:eastAsia="仿宋_GB2312" w:cs="仿宋_GB2312"/>
          <w:color w:val="auto"/>
          <w:sz w:val="28"/>
          <w:szCs w:val="28"/>
        </w:rPr>
        <w:t>提出书面询问的，采购人应在三个工作日内书面答复；供应商向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en-US" w:eastAsia="zh-CN"/>
        </w:rPr>
        <w:t>在委托授权范围内作出答复，超出范围</w:t>
      </w:r>
      <w:r>
        <w:rPr>
          <w:rFonts w:hint="eastAsia" w:ascii="仿宋_GB2312" w:hAnsi="仿宋_GB2312" w:eastAsia="仿宋_GB2312" w:cs="仿宋_GB2312"/>
          <w:color w:val="auto"/>
          <w:sz w:val="28"/>
          <w:szCs w:val="28"/>
        </w:rPr>
        <w:t>应告知采购人</w:t>
      </w:r>
      <w:r>
        <w:rPr>
          <w:rFonts w:hint="eastAsia" w:ascii="仿宋_GB2312" w:hAnsi="仿宋_GB2312" w:eastAsia="仿宋_GB2312" w:cs="仿宋_GB2312"/>
          <w:color w:val="auto"/>
          <w:sz w:val="28"/>
          <w:szCs w:val="28"/>
          <w:lang w:val="en-US" w:eastAsia="zh-CN"/>
        </w:rPr>
        <w:t>作</w:t>
      </w:r>
      <w:r>
        <w:rPr>
          <w:rFonts w:hint="eastAsia" w:ascii="仿宋_GB2312" w:hAnsi="仿宋_GB2312" w:eastAsia="仿宋_GB2312" w:cs="仿宋_GB2312"/>
          <w:color w:val="auto"/>
          <w:sz w:val="28"/>
          <w:szCs w:val="28"/>
        </w:rPr>
        <w:t xml:space="preserve">出答复。 </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lang w:val="en-US" w:eastAsia="zh-CN"/>
        </w:rPr>
        <w:t>针</w:t>
      </w:r>
      <w:r>
        <w:rPr>
          <w:rFonts w:hint="eastAsia" w:ascii="仿宋_GB2312" w:hAnsi="仿宋_GB2312" w:eastAsia="仿宋_GB2312" w:cs="仿宋_GB2312"/>
          <w:color w:val="auto"/>
          <w:sz w:val="28"/>
          <w:szCs w:val="28"/>
        </w:rPr>
        <w:t>对采购过程、中标（成交）结果，向</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提出书面询问的，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应在三个工作日内书面答复</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（三）质疑和投诉</w:t>
      </w:r>
      <w:bookmarkEnd w:id="96"/>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供应商如果认为采购过程</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w:t>
      </w:r>
      <w:r>
        <w:rPr>
          <w:rFonts w:hint="eastAsia" w:ascii="仿宋_GB2312" w:hAnsi="仿宋_GB2312" w:eastAsia="仿宋_GB2312" w:cs="仿宋_GB2312"/>
          <w:color w:val="auto"/>
          <w:sz w:val="28"/>
          <w:szCs w:val="28"/>
          <w:lang w:val="en-US" w:eastAsia="zh-CN"/>
        </w:rPr>
        <w:t>或者成交</w:t>
      </w:r>
      <w:r>
        <w:rPr>
          <w:rFonts w:hint="eastAsia" w:ascii="仿宋_GB2312" w:hAnsi="仿宋_GB2312" w:eastAsia="仿宋_GB2312" w:cs="仿宋_GB2312"/>
          <w:color w:val="auto"/>
          <w:sz w:val="28"/>
          <w:szCs w:val="28"/>
        </w:rPr>
        <w:t>结果使自身的合法权益受到损害，可以在知道或者应知其权益受到损害之日起7个工作日内，以书面形式向采购人、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提出质疑。</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潜在供应商已依法获取其可质疑的采购文件的，可以对该文件提出质疑。对采购文件提出质疑的，应当在获取采购文件或者采购文件公告期限届满之日起7个工作日内提出。</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供应商在法定质疑期内针对同一采购程序环节的质疑</w:t>
      </w:r>
      <w:r>
        <w:rPr>
          <w:rFonts w:hint="eastAsia" w:ascii="仿宋_GB2312" w:hAnsi="仿宋_GB2312" w:eastAsia="仿宋_GB2312" w:cs="仿宋_GB2312"/>
          <w:color w:val="auto"/>
          <w:sz w:val="28"/>
          <w:szCs w:val="28"/>
          <w:lang w:val="en-US" w:eastAsia="zh-CN"/>
        </w:rPr>
        <w:t>应</w:t>
      </w:r>
      <w:r>
        <w:rPr>
          <w:rFonts w:hint="eastAsia" w:ascii="仿宋_GB2312" w:hAnsi="仿宋_GB2312" w:eastAsia="仿宋_GB2312" w:cs="仿宋_GB2312"/>
          <w:color w:val="auto"/>
          <w:sz w:val="28"/>
          <w:szCs w:val="28"/>
        </w:rPr>
        <w:t>一次性提出</w:t>
      </w:r>
      <w:r>
        <w:rPr>
          <w:rFonts w:hint="eastAsia" w:ascii="仿宋_GB2312" w:hAnsi="仿宋_GB2312" w:eastAsia="仿宋_GB2312" w:cs="仿宋_GB2312"/>
          <w:color w:val="auto"/>
          <w:sz w:val="28"/>
          <w:szCs w:val="28"/>
          <w:lang w:eastAsia="zh-CN"/>
        </w:rPr>
        <w:t>。</w:t>
      </w:r>
    </w:p>
    <w:p>
      <w:pPr>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提出质疑应当提交质疑函和必要的证明材料，并按财政部《质疑函范本》给定的格式进行填写，范本下载详见【财政部国库司（gks.mof.gov.cn）】网站〖首页•〉政府采购管理〗栏目中的《政府采购供应商质疑函范本》。</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《政府采购供应商质疑函范本》链接地址</w:t>
      </w:r>
      <w:r>
        <w:rPr>
          <w:rFonts w:hint="eastAsia" w:ascii="仿宋_GB2312" w:hAnsi="仿宋_GB2312" w:eastAsia="仿宋_GB2312" w:cs="仿宋_GB2312"/>
          <w:color w:val="auto"/>
          <w:sz w:val="28"/>
          <w:szCs w:val="28"/>
          <w:lang w:eastAsia="zh-CN"/>
        </w:rPr>
        <w:t>：</w:t>
      </w:r>
    </w:p>
    <w:p>
      <w:pPr>
        <w:keepNext w:val="0"/>
        <w:keepLines w:val="0"/>
        <w:pageBreakBefore w:val="0"/>
        <w:widowControl/>
        <w:kinsoku/>
        <w:wordWrap/>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http://gks.mof.gov.cn/ztztz/zhengfucaigouguanli/201802/t20180201_2804589.htm</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质疑人为自然人的，应当由本人签字；质疑人为法人或者其他组织的，应当由法定代表人、主要负责人，或者其授权代表签字或者盖章，并加盖公章。授权代表办理质疑事项时，除提交质疑函外，还应当提交授权委托书及授权代表的有效身份证明，授权委托书应当载明委托代理的具体权限和事项。</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接收质疑函方式：现场递交或邮件（快递）寄送；</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联系部门：</w:t>
      </w:r>
      <w:r>
        <w:rPr>
          <w:rFonts w:hint="eastAsia" w:ascii="仿宋_GB2312" w:hAnsi="仿宋_GB2312" w:eastAsia="仿宋_GB2312" w:cs="仿宋_GB2312"/>
          <w:color w:val="auto"/>
          <w:sz w:val="28"/>
          <w:szCs w:val="28"/>
          <w:lang w:val="en-US" w:eastAsia="zh-CN"/>
        </w:rPr>
        <w:t>交易监督科</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联系电话：0916-210908</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通讯地址：汉中市汉台区南团结街与汉宁路十字金格大厦四楼4</w:t>
      </w:r>
      <w:r>
        <w:rPr>
          <w:rFonts w:hint="eastAsia" w:ascii="仿宋_GB2312" w:hAnsi="仿宋_GB2312" w:eastAsia="仿宋_GB2312" w:cs="仿宋_GB2312"/>
          <w:color w:val="auto"/>
          <w:sz w:val="28"/>
          <w:szCs w:val="28"/>
          <w:lang w:val="en-US" w:eastAsia="zh-CN"/>
        </w:rPr>
        <w:t>11</w:t>
      </w:r>
      <w:r>
        <w:rPr>
          <w:rFonts w:hint="eastAsia" w:ascii="仿宋_GB2312" w:hAnsi="仿宋_GB2312" w:eastAsia="仿宋_GB2312" w:cs="仿宋_GB2312"/>
          <w:color w:val="auto"/>
          <w:sz w:val="28"/>
          <w:szCs w:val="28"/>
        </w:rPr>
        <w:t>室。</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、采购代理机构或采购人将在收到书面质疑后7个工作日内做出答复，并以书面形式通知质疑人和其他有关供应商。</w:t>
      </w:r>
    </w:p>
    <w:p>
      <w:pPr>
        <w:pageBreakBefore w:val="0"/>
        <w:widowControl/>
        <w:kinsoku/>
        <w:overflowPunct/>
        <w:topLinePunct w:val="0"/>
        <w:autoSpaceDE/>
        <w:autoSpaceDN/>
        <w:bidi w:val="0"/>
        <w:adjustRightInd/>
        <w:snapToGrid/>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、质疑</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或采购人的答复不满意，以及</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或采购人未在规定时间内</w:t>
      </w:r>
      <w:r>
        <w:rPr>
          <w:rFonts w:hint="eastAsia" w:ascii="仿宋_GB2312" w:hAnsi="仿宋_GB2312" w:eastAsia="仿宋_GB2312" w:cs="仿宋_GB2312"/>
          <w:color w:val="auto"/>
          <w:sz w:val="28"/>
          <w:szCs w:val="28"/>
          <w:lang w:val="en-US" w:eastAsia="zh-CN"/>
        </w:rPr>
        <w:t>作出</w:t>
      </w:r>
      <w:r>
        <w:rPr>
          <w:rFonts w:hint="eastAsia" w:ascii="仿宋_GB2312" w:hAnsi="仿宋_GB2312" w:eastAsia="仿宋_GB2312" w:cs="仿宋_GB2312"/>
          <w:color w:val="auto"/>
          <w:sz w:val="28"/>
          <w:szCs w:val="28"/>
        </w:rPr>
        <w:t>答复的，可以在答复期满后15个工作日内向政府采购监管机构提出投诉。</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97" w:name="_Toc14110_WPSOffice_Level3"/>
      <w:r>
        <w:rPr>
          <w:rFonts w:hint="eastAsia" w:ascii="仿宋_GB2312" w:hAnsi="仿宋_GB2312" w:eastAsia="仿宋_GB2312" w:cs="仿宋_GB2312"/>
          <w:b/>
          <w:color w:val="auto"/>
          <w:sz w:val="28"/>
          <w:szCs w:val="28"/>
        </w:rPr>
        <w:t>（四）对参加政府采购活动的中小企业的扶持政策[依据《政府采购促进中小企业发展管理办法》（财库〔2020〕46号）相关规定]</w:t>
      </w:r>
    </w:p>
    <w:bookmarkEnd w:id="97"/>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本项目专门面向</w:t>
      </w:r>
      <w:r>
        <w:rPr>
          <w:rFonts w:hint="eastAsia" w:ascii="仿宋_GB2312" w:hAnsi="仿宋_GB2312" w:eastAsia="仿宋_GB2312" w:cs="仿宋_GB2312"/>
          <w:b/>
          <w:bCs/>
          <w:color w:val="auto"/>
          <w:sz w:val="28"/>
          <w:szCs w:val="28"/>
          <w:lang w:val="en-US" w:eastAsia="zh-CN"/>
        </w:rPr>
        <w:t>中小</w:t>
      </w:r>
      <w:r>
        <w:rPr>
          <w:rFonts w:hint="eastAsia" w:ascii="仿宋_GB2312" w:hAnsi="仿宋_GB2312" w:eastAsia="仿宋_GB2312" w:cs="仿宋_GB2312"/>
          <w:b/>
          <w:bCs/>
          <w:color w:val="auto"/>
          <w:sz w:val="28"/>
          <w:szCs w:val="28"/>
        </w:rPr>
        <w:t>企业采购，不再执行价格评审优惠扶持政策；本项目采购标的对应的中小企业划分标准所属行业为：</w:t>
      </w:r>
      <w:r>
        <w:rPr>
          <w:rFonts w:hint="eastAsia" w:ascii="仿宋_GB2312" w:hAnsi="仿宋_GB2312" w:eastAsia="仿宋_GB2312" w:cs="仿宋_GB2312"/>
          <w:b/>
          <w:bCs/>
          <w:color w:val="auto"/>
          <w:sz w:val="28"/>
          <w:szCs w:val="28"/>
          <w:lang w:val="en-US" w:eastAsia="zh-CN"/>
        </w:rPr>
        <w:t>物业管理</w:t>
      </w:r>
      <w:r>
        <w:rPr>
          <w:rFonts w:hint="eastAsia" w:ascii="仿宋_GB2312" w:hAnsi="仿宋_GB2312" w:eastAsia="仿宋_GB2312" w:cs="仿宋_GB2312"/>
          <w:b/>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供应商提供的货物、工程或者服务符合下列情形的，享受相关中小企业扶持政策：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（1）在货物采购项目中，货物由中小企业制造，即货物由中小企业生产且使用该中小企业商号或者注册商标；</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（2）在工程采购项目中，工程由中小企业承建，即工程施工单位为中小企业；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（3）在服务采购项目中，服务由中小企业承接，即提供服务的人员为中小企业依照《中华人民共和国劳动合同法》订立劳动合同的从业人员。</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在货物采购项目中，供应商提供的货物既有中小企业制造货物，也有大型企业制造货物的，不享受相关中小企业扶持政策。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以联合体形式参加政府采购活动，联合体各方均为中小企业的，联合体视同中小企业。其中，联合体各方均为小微企业的，联合体视同小微企业。</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 xml:space="preserve">对符合上述情形的小微企业报价给予 </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 </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%（工程项目为 1%—2%）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价格扣除比例或者价格分加分比例对小型企业和微型企业同等对待，不作区分。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中小企业参加政府采购活动，应当出具《中小企业声明函》（见附件），否则不得享受相关中小企业扶持政策。</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标、成交供应商享受相关中小企业扶持政策的，将随中标、成交结果公开中标、成交供应商的《中小企业声明函》。适用招标投标法的政府采购工程建设项目，将在公示中标候选人时公开中标候选人的《中小企业声明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中小企业中标（成交）的采购项目</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合同</w:t>
      </w:r>
      <w:r>
        <w:rPr>
          <w:rFonts w:hint="eastAsia" w:ascii="仿宋_GB2312" w:hAnsi="仿宋_GB2312" w:eastAsia="仿宋_GB2312" w:cs="仿宋_GB2312"/>
          <w:color w:val="auto"/>
          <w:sz w:val="28"/>
          <w:szCs w:val="28"/>
          <w:lang w:val="en-US" w:eastAsia="zh-CN"/>
        </w:rPr>
        <w:t>预</w:t>
      </w:r>
      <w:r>
        <w:rPr>
          <w:rFonts w:hint="eastAsia" w:ascii="仿宋_GB2312" w:hAnsi="仿宋_GB2312" w:eastAsia="仿宋_GB2312" w:cs="仿宋_GB2312"/>
          <w:color w:val="auto"/>
          <w:sz w:val="28"/>
          <w:szCs w:val="28"/>
        </w:rPr>
        <w:t>付款比例不</w:t>
      </w:r>
      <w:r>
        <w:rPr>
          <w:rFonts w:hint="eastAsia" w:ascii="仿宋_GB2312" w:hAnsi="仿宋_GB2312" w:eastAsia="仿宋_GB2312" w:cs="仿宋_GB2312"/>
          <w:color w:val="auto"/>
          <w:sz w:val="28"/>
          <w:szCs w:val="28"/>
          <w:lang w:val="en-US" w:eastAsia="zh-CN"/>
        </w:rPr>
        <w:t>得</w:t>
      </w:r>
      <w:r>
        <w:rPr>
          <w:rFonts w:hint="eastAsia" w:ascii="仿宋_GB2312" w:hAnsi="仿宋_GB2312" w:eastAsia="仿宋_GB2312" w:cs="仿宋_GB2312"/>
          <w:color w:val="auto"/>
          <w:sz w:val="28"/>
          <w:szCs w:val="28"/>
        </w:rPr>
        <w:t>低于</w:t>
      </w:r>
      <w:r>
        <w:rPr>
          <w:rFonts w:hint="eastAsia" w:ascii="仿宋_GB2312" w:hAnsi="仿宋_GB2312" w:eastAsia="仿宋_GB2312" w:cs="仿宋_GB2312"/>
          <w:color w:val="auto"/>
          <w:sz w:val="28"/>
          <w:szCs w:val="28"/>
          <w:lang w:val="en-US" w:eastAsia="zh-CN"/>
        </w:rPr>
        <w:t>合同价款的4</w:t>
      </w:r>
      <w:r>
        <w:rPr>
          <w:rFonts w:hint="eastAsia" w:ascii="仿宋_GB2312" w:hAnsi="仿宋_GB2312" w:eastAsia="仿宋_GB2312" w:cs="仿宋_GB2312"/>
          <w:color w:val="auto"/>
          <w:sz w:val="28"/>
          <w:szCs w:val="28"/>
        </w:rPr>
        <w:t>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中小企业投标（包括磋商、谈判、询价）保证金（需要交纳保证金时）减半，履约保证金全免。</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7</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监狱企业、残疾人福利性单位等视同小型、微型企业情况按照《财政部司法部关于政府采购支持监狱企业发展有关问题的通知》（财库〔2014〕68 号）及《关于促进残疾人就业政府采购政策的通知》（财库〔2017〕141 号）等相关内容执行。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8、</w:t>
      </w:r>
      <w:r>
        <w:rPr>
          <w:rFonts w:hint="eastAsia" w:ascii="仿宋_GB2312" w:hAnsi="仿宋_GB2312" w:eastAsia="仿宋_GB2312" w:cs="仿宋_GB2312"/>
          <w:color w:val="auto"/>
          <w:sz w:val="28"/>
          <w:szCs w:val="28"/>
        </w:rPr>
        <w:t>未尽事宜以《政府采购促进中小企业发展管理办法》（财库〔2020〕46号）为准。</w:t>
      </w:r>
      <w:bookmarkStart w:id="98" w:name="_Toc11745_WPSOffice_Level3"/>
    </w:p>
    <w:bookmarkEnd w:id="98"/>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99" w:name="_Toc10768_WPSOffice_Level2"/>
      <w:bookmarkStart w:id="100" w:name="_Toc2960"/>
      <w:bookmarkStart w:id="101" w:name="_Toc8798_WPSOffice_Level2"/>
      <w:bookmarkStart w:id="102" w:name="_Toc3130"/>
      <w:bookmarkStart w:id="103" w:name="_Toc17868_WPSOffice_Level2"/>
      <w:bookmarkStart w:id="104" w:name="_Toc30436"/>
      <w:bookmarkStart w:id="105" w:name="_Toc9976"/>
      <w:r>
        <w:rPr>
          <w:rFonts w:hint="eastAsia" w:ascii="仿宋_GB2312" w:hAnsi="仿宋_GB2312" w:eastAsia="仿宋_GB2312" w:cs="仿宋_GB2312"/>
          <w:color w:val="auto"/>
          <w:sz w:val="28"/>
          <w:szCs w:val="28"/>
        </w:rPr>
        <w:t>三、磋商文件</w:t>
      </w:r>
      <w:bookmarkEnd w:id="99"/>
      <w:bookmarkEnd w:id="100"/>
      <w:bookmarkEnd w:id="101"/>
      <w:bookmarkEnd w:id="102"/>
      <w:bookmarkEnd w:id="103"/>
      <w:bookmarkEnd w:id="104"/>
      <w:bookmarkEnd w:id="105"/>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6" w:name="_Toc20873_WPSOffice_Level3"/>
      <w:r>
        <w:rPr>
          <w:rFonts w:hint="eastAsia" w:ascii="仿宋_GB2312" w:hAnsi="仿宋_GB2312" w:eastAsia="仿宋_GB2312" w:cs="仿宋_GB2312"/>
          <w:b/>
          <w:color w:val="auto"/>
          <w:sz w:val="28"/>
          <w:szCs w:val="28"/>
        </w:rPr>
        <w:t>（一）磋商文件包括下列内容</w:t>
      </w:r>
      <w:bookmarkEnd w:id="10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第一章　磋商邀请函</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第二章　供应商须知</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bookmarkStart w:id="107" w:name="_Toc20041_WPSOffice_Level3"/>
      <w:r>
        <w:rPr>
          <w:rFonts w:hint="eastAsia" w:ascii="仿宋_GB2312" w:hAnsi="仿宋_GB2312" w:eastAsia="仿宋_GB2312" w:cs="仿宋_GB2312"/>
          <w:bCs/>
          <w:color w:val="auto"/>
          <w:sz w:val="28"/>
          <w:szCs w:val="28"/>
        </w:rPr>
        <w:t>第三章　磋商内容及采购要求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第四章　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第五章　响应文件构成及格式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（二）磋商文件的检查及阅读</w:t>
      </w:r>
      <w:bookmarkEnd w:id="10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供应商下载磋商文件后应仔细阅读检查磋商文件中的所有内容，按照磋商文件中所列事项、条款、规范要求及格式，在响应文件中对磋商文件做出全面的响</w:t>
      </w:r>
      <w:r>
        <w:rPr>
          <w:rFonts w:hint="eastAsia" w:ascii="仿宋_GB2312" w:hAnsi="仿宋_GB2312" w:eastAsia="仿宋_GB2312" w:cs="仿宋_GB2312"/>
          <w:color w:val="auto"/>
          <w:w w:val="1"/>
          <w:sz w:val="28"/>
          <w:szCs w:val="28"/>
        </w:rPr>
        <w:t xml:space="preserve"> </w:t>
      </w:r>
      <w:r>
        <w:rPr>
          <w:rFonts w:hint="eastAsia" w:ascii="仿宋_GB2312" w:hAnsi="仿宋_GB2312" w:eastAsia="仿宋_GB2312" w:cs="仿宋_GB2312"/>
          <w:color w:val="auto"/>
          <w:sz w:val="28"/>
          <w:szCs w:val="28"/>
        </w:rPr>
        <w:t>应，并按磋商文件的要求提交全部资料。</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08" w:name="_Toc12798_WPSOffice_Level3"/>
      <w:r>
        <w:rPr>
          <w:rFonts w:hint="eastAsia" w:ascii="仿宋_GB2312" w:hAnsi="仿宋_GB2312" w:eastAsia="仿宋_GB2312" w:cs="仿宋_GB2312"/>
          <w:b/>
          <w:color w:val="auto"/>
          <w:sz w:val="28"/>
          <w:szCs w:val="28"/>
        </w:rPr>
        <w:t>（三）磋商文件的修改、澄清</w:t>
      </w:r>
      <w:bookmarkEnd w:id="10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1、在提交响应文件截止之日前，</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可对已发出的磋商文件进行必要的澄清或者修改，澄清或者修改的内容作为磋商文件的组成部分。澄清或者修改的内容可能影响响应文件编制的，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将在提交响应文件截止之日至少5日前，在财政部门指定的政府采购信息发布媒体上</w:t>
      </w:r>
      <w:r>
        <w:rPr>
          <w:rFonts w:hint="eastAsia" w:ascii="仿宋_GB2312" w:hAnsi="仿宋_GB2312" w:eastAsia="仿宋_GB2312" w:cs="仿宋_GB2312"/>
          <w:b/>
          <w:bCs/>
          <w:color w:val="auto"/>
          <w:sz w:val="28"/>
          <w:szCs w:val="28"/>
        </w:rPr>
        <w:t>发布更正公告</w:t>
      </w:r>
      <w:r>
        <w:rPr>
          <w:rFonts w:hint="eastAsia" w:ascii="仿宋_GB2312" w:hAnsi="仿宋_GB2312" w:eastAsia="仿宋_GB2312" w:cs="仿宋_GB2312"/>
          <w:color w:val="auto"/>
          <w:sz w:val="28"/>
          <w:szCs w:val="28"/>
        </w:rPr>
        <w:t>；不足5日，</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将顺延提交响应文件的截止时间。</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2、各供应商在提交响应文件截止时间之前，应随时关注下列地址发布的变更公告，也可登录全国公共资源交易平台（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）政府采购交易系统查看</w:t>
      </w:r>
      <w:r>
        <w:rPr>
          <w:rFonts w:hint="eastAsia" w:ascii="仿宋_GB2312" w:hAnsi="仿宋_GB2312" w:eastAsia="仿宋_GB2312" w:cs="仿宋_GB2312"/>
          <w:color w:val="auto"/>
          <w:sz w:val="28"/>
          <w:szCs w:val="28"/>
          <w:lang w:val="en-US" w:eastAsia="zh-CN"/>
        </w:rPr>
        <w:t>右</w:t>
      </w:r>
      <w:r>
        <w:rPr>
          <w:rFonts w:hint="eastAsia" w:ascii="仿宋_GB2312" w:hAnsi="仿宋_GB2312" w:eastAsia="仿宋_GB2312" w:cs="仿宋_GB2312"/>
          <w:color w:val="auto"/>
          <w:sz w:val="28"/>
          <w:szCs w:val="28"/>
        </w:rPr>
        <w:t>上角的信息提醒，</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b/>
          <w:bCs/>
          <w:color w:val="auto"/>
          <w:sz w:val="28"/>
          <w:szCs w:val="28"/>
        </w:rPr>
        <w:t>不再单独通知，因供应商未及时关注所造成的一切后果由供应商自行承担：</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r>
        <w:rPr>
          <w:rFonts w:hint="eastAsia" w:ascii="仿宋_GB2312" w:hAnsi="仿宋_GB2312" w:eastAsia="仿宋_GB2312" w:cs="仿宋_GB2312"/>
          <w:color w:val="auto"/>
          <w:sz w:val="28"/>
          <w:szCs w:val="28"/>
        </w:rPr>
        <w:fldChar w:fldCharType="begin"/>
      </w:r>
      <w:r>
        <w:rPr>
          <w:rFonts w:hint="eastAsia" w:ascii="仿宋_GB2312" w:hAnsi="仿宋_GB2312" w:eastAsia="仿宋_GB2312" w:cs="仿宋_GB2312"/>
          <w:color w:val="auto"/>
          <w:sz w:val="28"/>
          <w:szCs w:val="28"/>
        </w:rPr>
        <w:instrText xml:space="preserve"> HYPERLINK "http://www.ccgp-shaanxi.gov.cn/" </w:instrText>
      </w:r>
      <w:r>
        <w:rPr>
          <w:rFonts w:hint="eastAsia" w:ascii="仿宋_GB2312" w:hAnsi="仿宋_GB2312" w:eastAsia="仿宋_GB2312" w:cs="仿宋_GB2312"/>
          <w:color w:val="auto"/>
          <w:sz w:val="28"/>
          <w:szCs w:val="28"/>
        </w:rPr>
        <w:fldChar w:fldCharType="separate"/>
      </w:r>
      <w:r>
        <w:rPr>
          <w:rStyle w:val="30"/>
          <w:rFonts w:hint="eastAsia" w:ascii="仿宋_GB2312" w:hAnsi="仿宋_GB2312" w:eastAsia="仿宋_GB2312" w:cs="仿宋_GB2312"/>
          <w:color w:val="auto"/>
          <w:sz w:val="28"/>
          <w:szCs w:val="28"/>
        </w:rPr>
        <w:t>陕西省政府采购网</w:t>
      </w:r>
      <w:r>
        <w:rPr>
          <w:rStyle w:val="30"/>
          <w:rFonts w:hint="eastAsia" w:ascii="仿宋_GB2312" w:hAnsi="仿宋_GB2312" w:eastAsia="仿宋_GB2312" w:cs="仿宋_GB2312"/>
          <w:color w:val="auto"/>
          <w:sz w:val="28"/>
          <w:szCs w:val="28"/>
        </w:rPr>
        <w:fldChar w:fldCharType="end"/>
      </w:r>
      <w:r>
        <w:rPr>
          <w:rFonts w:hint="eastAsia" w:ascii="仿宋_GB2312" w:hAnsi="仿宋_GB2312" w:eastAsia="仿宋_GB2312" w:cs="仿宋_GB2312"/>
          <w:color w:val="auto"/>
          <w:sz w:val="28"/>
          <w:szCs w:val="28"/>
        </w:rPr>
        <w:t>（www.ccgp-shaanxi.gov.cn/）】中的〖首页·〉</w:t>
      </w:r>
      <w:r>
        <w:rPr>
          <w:rFonts w:hint="eastAsia" w:ascii="仿宋_GB2312" w:hAnsi="仿宋_GB2312" w:eastAsia="仿宋_GB2312" w:cs="仿宋_GB2312"/>
          <w:color w:val="auto"/>
          <w:sz w:val="28"/>
          <w:szCs w:val="28"/>
          <w:lang w:val="en-US" w:eastAsia="zh-CN"/>
        </w:rPr>
        <w:t>市级</w:t>
      </w:r>
      <w:r>
        <w:rPr>
          <w:rFonts w:hint="eastAsia" w:ascii="仿宋_GB2312" w:hAnsi="仿宋_GB2312" w:eastAsia="仿宋_GB2312" w:cs="仿宋_GB2312"/>
          <w:color w:val="auto"/>
          <w:sz w:val="28"/>
          <w:szCs w:val="28"/>
        </w:rPr>
        <w:t>公告·〉更正公告〗；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kern w:val="0"/>
          <w:sz w:val="28"/>
          <w:szCs w:val="28"/>
        </w:rPr>
        <w:t>（sxggzyjy.hanzhong.gov.cn）</w:t>
      </w:r>
      <w:r>
        <w:rPr>
          <w:rFonts w:hint="eastAsia" w:ascii="仿宋_GB2312" w:hAnsi="仿宋_GB2312" w:eastAsia="仿宋_GB2312" w:cs="仿宋_GB2312"/>
          <w:color w:val="auto"/>
          <w:sz w:val="28"/>
          <w:szCs w:val="28"/>
        </w:rPr>
        <w:t>】中的〖首页·〉交易大厅·〉政府采购·〉</w:t>
      </w:r>
      <w:r>
        <w:rPr>
          <w:rFonts w:hint="eastAsia" w:ascii="仿宋_GB2312" w:hAnsi="仿宋_GB2312" w:eastAsia="仿宋_GB2312" w:cs="仿宋_GB2312"/>
          <w:color w:val="auto"/>
          <w:sz w:val="28"/>
          <w:szCs w:val="28"/>
          <w:lang w:val="en-US" w:eastAsia="zh-CN"/>
        </w:rPr>
        <w:t>更正公告</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09" w:name="_Toc18733_WPSOffice_Level3"/>
      <w:r>
        <w:rPr>
          <w:rFonts w:hint="eastAsia" w:ascii="仿宋_GB2312" w:hAnsi="仿宋_GB2312" w:eastAsia="仿宋_GB2312" w:cs="仿宋_GB2312"/>
          <w:b/>
          <w:color w:val="auto"/>
          <w:sz w:val="28"/>
          <w:szCs w:val="28"/>
        </w:rPr>
        <w:t>（四）磋商文件的解释权归</w:t>
      </w:r>
      <w:r>
        <w:rPr>
          <w:rFonts w:hint="eastAsia" w:ascii="仿宋_GB2312" w:hAnsi="仿宋_GB2312" w:eastAsia="仿宋_GB2312" w:cs="仿宋_GB2312"/>
          <w:b/>
          <w:color w:val="auto"/>
          <w:sz w:val="28"/>
          <w:szCs w:val="28"/>
          <w:lang w:val="en-US" w:eastAsia="zh-CN"/>
        </w:rPr>
        <w:t>集中采购机构</w:t>
      </w:r>
      <w:r>
        <w:rPr>
          <w:rFonts w:hint="eastAsia" w:ascii="仿宋_GB2312" w:hAnsi="仿宋_GB2312" w:eastAsia="仿宋_GB2312" w:cs="仿宋_GB2312"/>
          <w:b/>
          <w:color w:val="auto"/>
          <w:sz w:val="28"/>
          <w:szCs w:val="28"/>
        </w:rPr>
        <w:t>。</w:t>
      </w:r>
      <w:bookmarkEnd w:id="109"/>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0" w:name="_Toc3559"/>
      <w:bookmarkStart w:id="111" w:name="_Toc13064"/>
      <w:bookmarkStart w:id="112" w:name="_Toc19768_WPSOffice_Level2"/>
      <w:bookmarkStart w:id="113" w:name="_Toc20873_WPSOffice_Level2"/>
      <w:bookmarkStart w:id="114" w:name="_Toc22501_WPSOffice_Level2"/>
      <w:bookmarkStart w:id="115" w:name="_Toc30095"/>
      <w:bookmarkStart w:id="116" w:name="_Toc30415"/>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rPr>
        <w:t>、磋商报价</w:t>
      </w:r>
      <w:bookmarkEnd w:id="110"/>
      <w:bookmarkEnd w:id="111"/>
      <w:bookmarkEnd w:id="112"/>
      <w:bookmarkEnd w:id="113"/>
      <w:bookmarkEnd w:id="114"/>
      <w:bookmarkEnd w:id="115"/>
      <w:bookmarkEnd w:id="11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磋商报价是供应商响应</w:t>
      </w:r>
      <w:r>
        <w:rPr>
          <w:rFonts w:hint="eastAsia" w:ascii="仿宋_GB2312" w:hAnsi="仿宋_GB2312" w:eastAsia="仿宋_GB2312" w:cs="仿宋_GB2312"/>
          <w:color w:val="auto"/>
          <w:sz w:val="28"/>
          <w:szCs w:val="28"/>
          <w:lang w:val="en-US" w:eastAsia="zh-CN"/>
        </w:rPr>
        <w:t>采购</w:t>
      </w:r>
      <w:r>
        <w:rPr>
          <w:rFonts w:hint="eastAsia" w:ascii="仿宋_GB2312" w:hAnsi="仿宋_GB2312" w:eastAsia="仿宋_GB2312" w:cs="仿宋_GB2312"/>
          <w:color w:val="auto"/>
          <w:sz w:val="28"/>
          <w:szCs w:val="28"/>
        </w:rPr>
        <w:t>项目要求的全部工作内容的价格体现，包括完成采购内容所需的直接费、间接费、利润、税金及其它相关的一切费用。供应商在报价时应充分考虑所有可能发生的费用，</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文件未列明，而供应商认为应当计取的费用均应列入报价中。报价时不论是否计取，采购人均按已计取对待。</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供应商应按照《响应文件构成及格式》中《第一次磋商报价表》中的相关要求填写需要响应的内容。</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磋商报价采取多轮报价的办法，最后报价作为计算价格分值的依据。供应商应在磋商当天，磋商小组规定的报价时间内，使用制作标书的数字认证证书（CA锁）登录全国公共资源交易平台（</w:t>
      </w:r>
      <w:r>
        <w:rPr>
          <w:rFonts w:hint="eastAsia" w:ascii="仿宋_GB2312" w:hAnsi="仿宋_GB2312" w:eastAsia="仿宋_GB2312" w:cs="仿宋_GB2312"/>
          <w:b/>
          <w:bCs/>
          <w:color w:val="auto"/>
          <w:sz w:val="28"/>
          <w:szCs w:val="28"/>
          <w:lang w:val="en-US" w:eastAsia="zh-CN"/>
        </w:rPr>
        <w:t>汉中市</w:t>
      </w:r>
      <w:r>
        <w:rPr>
          <w:rFonts w:hint="eastAsia" w:ascii="仿宋_GB2312" w:hAnsi="仿宋_GB2312" w:eastAsia="仿宋_GB2312" w:cs="仿宋_GB2312"/>
          <w:b/>
          <w:bCs/>
          <w:color w:val="auto"/>
          <w:sz w:val="28"/>
          <w:szCs w:val="28"/>
        </w:rPr>
        <w:t>）网站〖首页·〉电子交易平台·〉企业端〗后，在〖我的项目〗下找到本次磋商的项目，填写最后报价表，签章并提交。</w:t>
      </w:r>
    </w:p>
    <w:p>
      <w:pPr>
        <w:pageBreakBefore w:val="0"/>
        <w:widowControl/>
        <w:numPr>
          <w:ilvl w:val="0"/>
          <w:numId w:val="2"/>
        </w:numPr>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如采购内容无实质性变更，各供应商的报价应逐次降低。本次报价超过采购预算或磋商文件规定的最高限价的，按无效投标处理；本次报价超过上次报价但未超过采购预算或磋商文件规定的最高限价的，或在规定时间内最后报价提交不成功的均为无效报价，磋商小组在综合比较与评价时将使用上一轮有效报价进行报价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w:t>
      </w:r>
      <w:r>
        <w:rPr>
          <w:rFonts w:hint="eastAsia" w:ascii="仿宋_GB2312" w:hAnsi="仿宋_GB2312" w:eastAsia="仿宋_GB2312" w:cs="仿宋_GB2312"/>
          <w:color w:val="auto"/>
          <w:sz w:val="28"/>
          <w:szCs w:val="28"/>
          <w:lang w:val="zh-CN"/>
        </w:rPr>
        <w:t>磋商</w:t>
      </w:r>
      <w:r>
        <w:rPr>
          <w:rFonts w:hint="eastAsia" w:ascii="仿宋_GB2312" w:hAnsi="仿宋_GB2312" w:eastAsia="仿宋_GB2312" w:cs="仿宋_GB2312"/>
          <w:color w:val="auto"/>
          <w:sz w:val="28"/>
          <w:szCs w:val="28"/>
        </w:rPr>
        <w:t>报价货币：</w:t>
      </w:r>
      <w:r>
        <w:rPr>
          <w:rFonts w:hint="eastAsia" w:ascii="仿宋_GB2312" w:hAnsi="仿宋_GB2312" w:eastAsia="仿宋_GB2312" w:cs="仿宋_GB2312"/>
          <w:b/>
          <w:color w:val="auto"/>
          <w:sz w:val="28"/>
          <w:szCs w:val="28"/>
        </w:rPr>
        <w:t>人民币</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b/>
          <w:bCs/>
          <w:color w:val="auto"/>
          <w:sz w:val="28"/>
          <w:szCs w:val="28"/>
        </w:rPr>
        <w:t>单位：元</w:t>
      </w:r>
      <w:r>
        <w:rPr>
          <w:rFonts w:hint="eastAsia" w:ascii="仿宋_GB2312" w:hAnsi="仿宋_GB2312" w:eastAsia="仿宋_GB2312" w:cs="仿宋_GB2312"/>
          <w:bCs/>
          <w:color w:val="auto"/>
          <w:sz w:val="28"/>
          <w:szCs w:val="28"/>
        </w:rPr>
        <w:t>，</w:t>
      </w:r>
      <w:r>
        <w:rPr>
          <w:rFonts w:hint="eastAsia" w:ascii="仿宋_GB2312" w:hAnsi="仿宋_GB2312" w:eastAsia="仿宋_GB2312" w:cs="仿宋_GB2312"/>
          <w:b/>
          <w:color w:val="auto"/>
          <w:sz w:val="28"/>
          <w:szCs w:val="28"/>
        </w:rPr>
        <w:t>保留到元</w:t>
      </w:r>
      <w:r>
        <w:rPr>
          <w:rFonts w:hint="eastAsia" w:ascii="仿宋_GB2312" w:hAnsi="仿宋_GB2312" w:eastAsia="仿宋_GB2312" w:cs="仿宋_GB2312"/>
          <w:bCs/>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（五）磋商报价大小写不一致的以大写为准。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（六）因供应商对磋商文件理解不透、误解、疏漏或对市场行情了解不清造成的后果和风险，均由供应商自己负责。</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17" w:name="_Toc12154"/>
      <w:bookmarkStart w:id="118" w:name="_Toc29669_WPSOffice_Level2"/>
      <w:bookmarkStart w:id="119" w:name="_Toc20041_WPSOffice_Level2"/>
      <w:bookmarkStart w:id="120" w:name="_Toc11009"/>
      <w:bookmarkStart w:id="121" w:name="_Toc14959_WPSOffice_Level2"/>
      <w:bookmarkStart w:id="122" w:name="_Toc666"/>
      <w:bookmarkStart w:id="123" w:name="_Toc14979"/>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、响应文件</w:t>
      </w:r>
      <w:bookmarkEnd w:id="117"/>
      <w:bookmarkEnd w:id="118"/>
      <w:bookmarkEnd w:id="119"/>
      <w:bookmarkEnd w:id="120"/>
      <w:bookmarkEnd w:id="121"/>
      <w:bookmarkEnd w:id="122"/>
      <w:bookmarkEnd w:id="12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（一）响应文件形式</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本项目采用电子响应文件，供应商在</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时须提供电子响应文件。</w:t>
      </w:r>
      <w:bookmarkStart w:id="124" w:name="_Toc18733_WPSOffice_Level2"/>
      <w:bookmarkStart w:id="125" w:name="_Toc30535_WPSOffice_Level2"/>
      <w:bookmarkStart w:id="126" w:name="_Toc7898_WPSOffice_Level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编制电子响应文件时，应使用最新发布的电子磋商文件及专用制作工具进行编制。并使用数字认证证书（CA锁）对电子响应文件进行签署、加密、递交及磋商时解密等相关操作。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1、电子磋商文件下载。供应商登录全国公共资源交易平台（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）网站〖首页·〉电子交易平台·〉企业端〗后，在〖招标公告/出让公告·〉</w:t>
      </w:r>
      <w:r>
        <w:rPr>
          <w:rFonts w:hint="eastAsia" w:ascii="仿宋_GB2312" w:hAnsi="仿宋_GB2312" w:eastAsia="仿宋_GB2312" w:cs="仿宋_GB2312"/>
          <w:color w:val="auto"/>
          <w:sz w:val="28"/>
          <w:szCs w:val="28"/>
          <w:lang w:val="en-US" w:eastAsia="zh-CN"/>
        </w:rPr>
        <w:t>政府采购</w:t>
      </w:r>
      <w:r>
        <w:rPr>
          <w:rFonts w:hint="eastAsia" w:ascii="仿宋_GB2312" w:hAnsi="仿宋_GB2312" w:eastAsia="仿宋_GB2312" w:cs="仿宋_GB2312"/>
          <w:color w:val="auto"/>
          <w:sz w:val="28"/>
          <w:szCs w:val="28"/>
        </w:rPr>
        <w:t>〗模块中选择项目</w:t>
      </w:r>
      <w:r>
        <w:rPr>
          <w:rFonts w:hint="eastAsia" w:ascii="仿宋_GB2312" w:hAnsi="仿宋_GB2312" w:eastAsia="仿宋_GB2312" w:cs="仿宋_GB2312"/>
          <w:bCs/>
          <w:color w:val="auto"/>
          <w:sz w:val="28"/>
          <w:szCs w:val="28"/>
        </w:rPr>
        <w:t>点击“我要投标”，参与投标活动。然后即可</w:t>
      </w:r>
      <w:r>
        <w:rPr>
          <w:rFonts w:hint="eastAsia" w:ascii="仿宋_GB2312" w:hAnsi="仿宋_GB2312" w:eastAsia="仿宋_GB2312" w:cs="仿宋_GB2312"/>
          <w:color w:val="auto"/>
          <w:sz w:val="28"/>
          <w:szCs w:val="28"/>
        </w:rPr>
        <w:t>在〖我的项目〗中点击“项目流程&gt;交易文件下载”下载电子磋商文件（*.SXSZF）。</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注意：该项目如有变更文件，则应点击“项目流程&gt;答疑文件下载”下载更新后的电子磋商文件（*.SXSCF），使用旧版电子磋商文件制作的电子响应文件，系统将拒绝接收。</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电子磋商文件需要使用专用软件打开、浏览。供应商可在全国公共资源交易平台（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免费下载“陕西省公共资源交易平台政府采购电子标书制作工具”，并升级至最新版本，使用该客户端可以打开电子磋商文件。软件操作手册详见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）网站〖首页·〉服务指南·〉下载专区〗中的《政府采购</w:t>
      </w:r>
      <w:r>
        <w:rPr>
          <w:rFonts w:hint="eastAsia" w:ascii="仿宋_GB2312" w:hAnsi="仿宋_GB2312" w:eastAsia="仿宋_GB2312" w:cs="仿宋_GB2312"/>
          <w:color w:val="auto"/>
          <w:sz w:val="28"/>
          <w:szCs w:val="28"/>
          <w:lang w:val="en-US" w:eastAsia="zh-CN"/>
        </w:rPr>
        <w:t>供应商</w:t>
      </w:r>
      <w:r>
        <w:rPr>
          <w:rFonts w:hint="eastAsia" w:ascii="仿宋_GB2312" w:hAnsi="仿宋_GB2312" w:eastAsia="仿宋_GB2312" w:cs="仿宋_GB2312"/>
          <w:color w:val="auto"/>
          <w:sz w:val="28"/>
          <w:szCs w:val="28"/>
        </w:rPr>
        <w:t>操作手册》。</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sz w:val="28"/>
          <w:szCs w:val="28"/>
          <w:lang w:eastAsia="zh-CN"/>
        </w:rPr>
      </w:pPr>
      <w:bookmarkStart w:id="127" w:name="_Toc9096"/>
      <w:r>
        <w:rPr>
          <w:rFonts w:hint="eastAsia" w:ascii="仿宋_GB2312" w:hAnsi="仿宋_GB2312" w:eastAsia="仿宋_GB2312" w:cs="仿宋_GB2312"/>
          <w:b w:val="0"/>
          <w:bCs w:val="0"/>
          <w:color w:val="auto"/>
          <w:sz w:val="28"/>
          <w:szCs w:val="28"/>
        </w:rPr>
        <w:t>3、制作电子响应文件。电子响应文件同样需要使用上述软件进行编制。在编制过程中，如有技术性问题，请先翻阅操作手册，或致电软件开发商。技术支持热线：4009980000</w:t>
      </w:r>
      <w:bookmarkStart w:id="128" w:name="_Toc18427_WPSOffice_Level3"/>
      <w:bookmarkStart w:id="129" w:name="_Toc11164"/>
      <w:r>
        <w:rPr>
          <w:rFonts w:hint="eastAsia" w:ascii="仿宋_GB2312" w:hAnsi="仿宋_GB2312" w:eastAsia="仿宋_GB2312" w:cs="仿宋_GB2312"/>
          <w:b w:val="0"/>
          <w:bCs w:val="0"/>
          <w:color w:val="auto"/>
          <w:sz w:val="28"/>
          <w:szCs w:val="28"/>
          <w:lang w:eastAsia="zh-CN"/>
        </w:rPr>
        <w:t>。</w:t>
      </w:r>
      <w:bookmarkEnd w:id="127"/>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val="0"/>
          <w:bCs w:val="0"/>
          <w:color w:val="auto"/>
          <w:kern w:val="2"/>
          <w:sz w:val="28"/>
          <w:szCs w:val="28"/>
          <w:lang w:val="en-US" w:eastAsia="zh-CN" w:bidi="ar-SA"/>
        </w:rPr>
      </w:pPr>
      <w:r>
        <w:rPr>
          <w:rFonts w:hint="eastAsia" w:ascii="仿宋_GB2312" w:hAnsi="仿宋_GB2312" w:eastAsia="仿宋_GB2312" w:cs="仿宋_GB2312"/>
          <w:b w:val="0"/>
          <w:bCs w:val="0"/>
          <w:color w:val="auto"/>
          <w:kern w:val="2"/>
          <w:sz w:val="28"/>
          <w:szCs w:val="28"/>
          <w:lang w:val="en-US" w:eastAsia="zh-CN" w:bidi="ar-SA"/>
        </w:rPr>
        <w:t>（需要法定代表人签字或盖章的地方，请使用“法人CA”进行签章；需要加盖响应人公章的地方，请使用“企业 CA”进行盖章。加密和解密应当使用同一CA，否则将会导致解密失败。请勿同时插入企业CA和法人CA，以免系统自动识别法人CA导致开启时标书解密失败。）</w:t>
      </w:r>
    </w:p>
    <w:bookmarkEnd w:id="128"/>
    <w:bookmarkEnd w:id="129"/>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（二）</w:t>
      </w:r>
      <w:r>
        <w:rPr>
          <w:rFonts w:hint="eastAsia" w:ascii="仿宋_GB2312" w:hAnsi="仿宋_GB2312" w:eastAsia="仿宋_GB2312" w:cs="仿宋_GB2312"/>
          <w:b/>
          <w:bCs/>
          <w:color w:val="auto"/>
          <w:sz w:val="28"/>
          <w:szCs w:val="28"/>
        </w:rPr>
        <w:t>响应文件有效期</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1、响应活动的所有文件、资料、函电文均使用简体中文，确需提交用 其他语言形成的资料，必须翻译成简体中文，如有差异，以简体中文为准。 </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2、响应文件有效期为自响应文件开启之日起 90 个日历日。如成交， 延长至合同执行完毕时止。</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（三）响应文件的提交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电子响应文件可于提交响应文件截止时间前任意时段登录全国公共资源交易平台（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）网站“电子交易平台&gt;企业端”进行提交，逾期系统将拒绝接收。提交时，供应商应登录全国公共资源交易中心平台（</w:t>
      </w: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选择“首页&gt;电子交易平台&gt;企业端&gt;我的项目”，点击“项目流程”，在打开的“项目管理”对话框中选择“上传响应文件”，上传加密的电子响应文件（*.SXSTF）。上传成功后，电子化平台将予以记录。</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30" w:name="_Toc15608"/>
      <w:bookmarkStart w:id="131" w:name="_Toc24468"/>
      <w:bookmarkStart w:id="132" w:name="_Toc6095"/>
      <w:r>
        <w:rPr>
          <w:rFonts w:hint="eastAsia" w:ascii="仿宋_GB2312" w:hAnsi="仿宋_GB2312" w:eastAsia="仿宋_GB2312" w:cs="仿宋_GB2312"/>
          <w:b/>
          <w:color w:val="auto"/>
          <w:sz w:val="28"/>
          <w:szCs w:val="28"/>
        </w:rPr>
        <w:t>（四）响应文件的补充、修改和撤回</w:t>
      </w:r>
      <w:bookmarkEnd w:id="130"/>
      <w:bookmarkEnd w:id="131"/>
      <w:bookmarkEnd w:id="132"/>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1、供应商在递交电子响应文件后，且在提交电子响应文件截止时间前，可以对所提交的电子响应文件进行补充、修改或撤回。</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2、对电子响应文件进行补充、修改的，应先从电子交易平台上撤回旧版，再重新提交新版。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3、电子响应文件提交截止时间后，供应商不得对其电子响应文件做任何修改。</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（五）供应商提交响应文件时，出现下列情况之一的，其响应文件将被拒绝接收：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33" w:name="_Toc8003"/>
      <w:bookmarkStart w:id="134" w:name="_Toc10744"/>
      <w:bookmarkStart w:id="135" w:name="_Toc6837"/>
      <w:bookmarkStart w:id="136" w:name="_Toc7022"/>
      <w:bookmarkStart w:id="137" w:name="_Toc595"/>
      <w:bookmarkStart w:id="138" w:name="_Toc28054"/>
      <w:r>
        <w:rPr>
          <w:rFonts w:hint="eastAsia" w:ascii="仿宋_GB2312" w:hAnsi="仿宋_GB2312" w:eastAsia="仿宋_GB2312" w:cs="仿宋_GB2312"/>
          <w:color w:val="auto"/>
          <w:sz w:val="28"/>
          <w:szCs w:val="28"/>
        </w:rPr>
        <w:t>1、逾期提交电子响应文件的；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2、提交的电子响应文件与本项目不相符的。</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bookmarkStart w:id="139" w:name="_Toc17536"/>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w:t>
      </w:r>
      <w:bookmarkEnd w:id="133"/>
      <w:bookmarkEnd w:id="134"/>
      <w:bookmarkEnd w:id="135"/>
      <w:bookmarkEnd w:id="136"/>
      <w:bookmarkEnd w:id="137"/>
      <w:bookmarkEnd w:id="138"/>
      <w:bookmarkEnd w:id="139"/>
      <w:r>
        <w:rPr>
          <w:rFonts w:hint="eastAsia" w:ascii="仿宋_GB2312" w:hAnsi="仿宋_GB2312" w:eastAsia="仿宋_GB2312" w:cs="仿宋_GB2312"/>
          <w:color w:val="auto"/>
          <w:sz w:val="28"/>
          <w:szCs w:val="28"/>
          <w:lang w:val="en-US" w:eastAsia="zh-CN"/>
        </w:rPr>
        <w:t>响应文件开启</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组织响应文件开启、评审工作，整个过程受政府采购监管机构的监督、管理。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（二）</w:t>
      </w:r>
      <w:r>
        <w:rPr>
          <w:rFonts w:hint="eastAsia" w:ascii="仿宋_GB2312" w:hAnsi="仿宋_GB2312" w:eastAsia="仿宋_GB2312" w:cs="仿宋_GB2312"/>
          <w:b/>
          <w:bCs/>
          <w:color w:val="auto"/>
          <w:sz w:val="28"/>
          <w:szCs w:val="28"/>
          <w:lang w:val="en-US" w:eastAsia="zh-CN"/>
        </w:rPr>
        <w:t>本项目采用“不见面开标”方式。供应商需在开启前最少一小时登录全国公共资源交易平台（汉中市）首页选择“不见面开标”自行调试。并按照工作人员要求进行响应文件解密，远程观看开启直播。如遇困难，请拨打系统平台技术支持电话：4009980000。</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人需安装新点播放器，以便观看远程不见面开标直播画面（播放器下载链接为：http://sxggzyjy.hanzhong.gov.cn/fwzn/004003/20230223/17ebe025-dd9a-4eba-b702-8f1696646f01.html）。</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供应商不足3家的，不得开启响应文件。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（三）响应文件开启时，</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现场工作人员将根据项目</w:t>
      </w:r>
      <w:r>
        <w:rPr>
          <w:rFonts w:hint="eastAsia" w:ascii="仿宋_GB2312" w:hAnsi="仿宋_GB2312" w:eastAsia="仿宋_GB2312" w:cs="仿宋_GB2312"/>
          <w:color w:val="auto"/>
          <w:sz w:val="28"/>
          <w:szCs w:val="28"/>
          <w:lang w:val="en-US" w:eastAsia="zh-CN"/>
        </w:rPr>
        <w:t>响应家</w:t>
      </w:r>
      <w:r>
        <w:rPr>
          <w:rFonts w:hint="eastAsia" w:ascii="仿宋_GB2312" w:hAnsi="仿宋_GB2312" w:eastAsia="仿宋_GB2312" w:cs="仿宋_GB2312"/>
          <w:color w:val="auto"/>
          <w:sz w:val="28"/>
          <w:szCs w:val="28"/>
        </w:rPr>
        <w:t>数约定解密时长，供应商应在规定时间内，须使用电子响应文件加密时所用的数字认证证书（CA锁）自行解密电子响应文件，未在规定时间内解密的，视为无效</w:t>
      </w:r>
      <w:r>
        <w:rPr>
          <w:rFonts w:hint="eastAsia" w:ascii="仿宋_GB2312" w:hAnsi="仿宋_GB2312" w:eastAsia="仿宋_GB2312" w:cs="仿宋_GB2312"/>
          <w:color w:val="auto"/>
          <w:sz w:val="28"/>
          <w:szCs w:val="28"/>
          <w:lang w:val="en-US" w:eastAsia="zh-CN"/>
        </w:rPr>
        <w:t>响应</w:t>
      </w:r>
      <w:r>
        <w:rPr>
          <w:rFonts w:hint="eastAsia" w:ascii="仿宋_GB2312" w:hAnsi="仿宋_GB2312" w:eastAsia="仿宋_GB2312" w:cs="仿宋_GB2312"/>
          <w:color w:val="auto"/>
          <w:sz w:val="28"/>
          <w:szCs w:val="28"/>
        </w:rPr>
        <w:t>。</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highlight w:val="yellow"/>
        </w:rPr>
      </w:pPr>
      <w:r>
        <w:rPr>
          <w:rFonts w:hint="eastAsia" w:ascii="仿宋_GB2312" w:hAnsi="仿宋_GB2312" w:eastAsia="仿宋_GB2312" w:cs="仿宋_GB2312"/>
          <w:color w:val="auto"/>
          <w:sz w:val="28"/>
          <w:szCs w:val="28"/>
          <w:highlight w:val="none"/>
        </w:rPr>
        <w:t>（四）</w:t>
      </w:r>
      <w:r>
        <w:rPr>
          <w:rFonts w:hint="eastAsia" w:ascii="仿宋_GB2312" w:hAnsi="仿宋_GB2312" w:eastAsia="仿宋_GB2312" w:cs="仿宋_GB2312"/>
          <w:color w:val="auto"/>
          <w:sz w:val="28"/>
          <w:szCs w:val="28"/>
          <w:lang w:val="en-US" w:eastAsia="zh-CN"/>
        </w:rPr>
        <w:t>响应人</w:t>
      </w:r>
      <w:r>
        <w:rPr>
          <w:rFonts w:hint="eastAsia" w:ascii="仿宋_GB2312" w:hAnsi="仿宋_GB2312" w:eastAsia="仿宋_GB2312" w:cs="仿宋_GB2312"/>
          <w:color w:val="auto"/>
          <w:sz w:val="28"/>
          <w:szCs w:val="28"/>
        </w:rPr>
        <w:t>对响应文件开启过程和记录有疑义，以及认为采购人、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相关工作人员有需要回避情形的，应在</w:t>
      </w:r>
      <w:r>
        <w:rPr>
          <w:rFonts w:hint="eastAsia" w:ascii="仿宋_GB2312" w:hAnsi="仿宋_GB2312" w:eastAsia="仿宋_GB2312" w:cs="仿宋_GB2312"/>
          <w:color w:val="auto"/>
          <w:sz w:val="28"/>
          <w:szCs w:val="28"/>
          <w:lang w:val="en-US" w:eastAsia="zh-CN"/>
        </w:rPr>
        <w:t>不见面开标大厅</w:t>
      </w:r>
      <w:r>
        <w:rPr>
          <w:rFonts w:hint="eastAsia" w:ascii="仿宋_GB2312" w:hAnsi="仿宋_GB2312" w:eastAsia="仿宋_GB2312" w:cs="仿宋_GB2312"/>
          <w:color w:val="auto"/>
          <w:sz w:val="28"/>
          <w:szCs w:val="28"/>
        </w:rPr>
        <w:t>提出询问或回避申请，采购人、</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应当及时处理。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（五）响应供应商未参加响应文件开启的，视同认可</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结果。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（六）在响应文件开启出现下列情况之一的，其响应文件视为无效文件：</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1、供应商拒绝对电子响应文件进行解密的；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2、因供应商自身原因（如迟到、或所</w:t>
      </w:r>
      <w:r>
        <w:rPr>
          <w:rFonts w:hint="eastAsia" w:ascii="仿宋_GB2312" w:hAnsi="仿宋_GB2312" w:eastAsia="仿宋_GB2312" w:cs="仿宋_GB2312"/>
          <w:color w:val="auto"/>
          <w:sz w:val="28"/>
          <w:szCs w:val="28"/>
          <w:lang w:val="en-US" w:eastAsia="zh-CN"/>
        </w:rPr>
        <w:t>用</w:t>
      </w:r>
      <w:r>
        <w:rPr>
          <w:rFonts w:hint="eastAsia" w:ascii="仿宋_GB2312" w:hAnsi="仿宋_GB2312" w:eastAsia="仿宋_GB2312" w:cs="仿宋_GB2312"/>
          <w:color w:val="auto"/>
          <w:sz w:val="28"/>
          <w:szCs w:val="28"/>
        </w:rPr>
        <w:t>CA锁与制作电子响应文件使用的CA锁不一致、或沿用旧版磋商文件编制响应文件等情形），导致在规定时间内无法解密响应文件的；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3、上传的电子响应文件无法打开的；</w:t>
      </w:r>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4、政府采购法律法规规定的其他无效情形。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）特殊情形下的应急处置</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在响应文件开启、评审过程中，如因停电、断网、电子化系统故障等特殊原因导致电子化开、评审工作无法正常进行时，将视文件解密情况特殊处理。</w:t>
      </w:r>
    </w:p>
    <w:p>
      <w:pPr>
        <w:pStyle w:val="8"/>
        <w:pageBreakBefore w:val="0"/>
        <w:widowControl/>
        <w:kinsoku/>
        <w:overflowPunct/>
        <w:topLinePunct w:val="0"/>
        <w:autoSpaceDE/>
        <w:autoSpaceDN/>
        <w:bidi w:val="0"/>
        <w:adjustRightInd/>
        <w:snapToGrid/>
        <w:spacing w:after="0"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1、响应文件开启时文件未解密的，将另行确定时间继续完成</w:t>
      </w:r>
      <w:r>
        <w:rPr>
          <w:rFonts w:hint="eastAsia" w:ascii="仿宋_GB2312" w:hAnsi="仿宋_GB2312" w:eastAsia="仿宋_GB2312" w:cs="仿宋_GB2312"/>
          <w:color w:val="auto"/>
          <w:sz w:val="28"/>
          <w:szCs w:val="28"/>
          <w:lang w:val="en-US" w:eastAsia="zh-CN"/>
        </w:rPr>
        <w:t>开启</w:t>
      </w:r>
      <w:r>
        <w:rPr>
          <w:rFonts w:hint="eastAsia" w:ascii="仿宋_GB2312" w:hAnsi="仿宋_GB2312" w:eastAsia="仿宋_GB2312" w:cs="仿宋_GB2312"/>
          <w:color w:val="auto"/>
          <w:sz w:val="28"/>
          <w:szCs w:val="28"/>
        </w:rPr>
        <w:t>程序；</w:t>
      </w:r>
    </w:p>
    <w:p>
      <w:pPr>
        <w:pageBreakBefore w:val="0"/>
        <w:widowControl/>
        <w:kinsoku/>
        <w:overflowPunct/>
        <w:topLinePunct w:val="0"/>
        <w:autoSpaceDE/>
        <w:autoSpaceDN/>
        <w:bidi w:val="0"/>
        <w:adjustRightInd/>
        <w:snapToGrid/>
        <w:spacing w:line="500" w:lineRule="exact"/>
        <w:ind w:firstLine="566"/>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2、文件已解密但评审结论未形成的，将发布</w:t>
      </w:r>
      <w:r>
        <w:rPr>
          <w:rFonts w:hint="eastAsia" w:ascii="仿宋_GB2312" w:hAnsi="仿宋_GB2312" w:eastAsia="仿宋_GB2312" w:cs="仿宋_GB2312"/>
          <w:color w:val="auto"/>
          <w:sz w:val="28"/>
          <w:szCs w:val="28"/>
          <w:lang w:val="en-US" w:eastAsia="zh-CN"/>
        </w:rPr>
        <w:t>终止</w:t>
      </w:r>
      <w:r>
        <w:rPr>
          <w:rFonts w:hint="eastAsia" w:ascii="仿宋_GB2312" w:hAnsi="仿宋_GB2312" w:eastAsia="仿宋_GB2312" w:cs="仿宋_GB2312"/>
          <w:color w:val="auto"/>
          <w:sz w:val="28"/>
          <w:szCs w:val="28"/>
        </w:rPr>
        <w:t>公告，重新组织采购活动；</w:t>
      </w:r>
    </w:p>
    <w:p>
      <w:pPr>
        <w:pStyle w:val="8"/>
        <w:pageBreakBefore w:val="0"/>
        <w:widowControl/>
        <w:kinsoku/>
        <w:overflowPunct/>
        <w:topLinePunct w:val="0"/>
        <w:autoSpaceDE/>
        <w:autoSpaceDN/>
        <w:bidi w:val="0"/>
        <w:adjustRightInd/>
        <w:snapToGrid/>
        <w:spacing w:line="5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3、文件已解密且评审结论已形成的，待特殊情况排除后，继续完成评审活动。</w:t>
      </w:r>
      <w:bookmarkStart w:id="140" w:name="_Toc8349"/>
      <w:bookmarkStart w:id="141" w:name="_Toc8460"/>
      <w:bookmarkStart w:id="142" w:name="_Toc31720"/>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43" w:name="_Toc31905"/>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、组织评审</w:t>
      </w:r>
      <w:bookmarkEnd w:id="124"/>
      <w:bookmarkEnd w:id="125"/>
      <w:bookmarkEnd w:id="126"/>
      <w:bookmarkEnd w:id="140"/>
      <w:bookmarkEnd w:id="141"/>
      <w:bookmarkEnd w:id="142"/>
      <w:bookmarkEnd w:id="143"/>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bookmarkStart w:id="144" w:name="_Toc3816_WPSOffice_Level3"/>
      <w:r>
        <w:rPr>
          <w:rFonts w:hint="eastAsia" w:ascii="仿宋_GB2312" w:hAnsi="仿宋_GB2312" w:eastAsia="仿宋_GB2312" w:cs="仿宋_GB2312"/>
          <w:b/>
          <w:bCs/>
          <w:color w:val="auto"/>
          <w:sz w:val="28"/>
          <w:szCs w:val="28"/>
          <w:shd w:val="clear" w:color="auto" w:fill="FFFFFF"/>
        </w:rPr>
        <w:t>（一）</w:t>
      </w:r>
      <w:bookmarkEnd w:id="144"/>
      <w:r>
        <w:rPr>
          <w:rFonts w:hint="eastAsia" w:ascii="仿宋_GB2312" w:hAnsi="仿宋_GB2312" w:eastAsia="仿宋_GB2312" w:cs="仿宋_GB2312"/>
          <w:b/>
          <w:bCs/>
          <w:color w:val="auto"/>
          <w:sz w:val="28"/>
          <w:szCs w:val="28"/>
        </w:rPr>
        <w:t>成立磋商小组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1、为了确保磋商工作的公平、公正，依据政府采购法和政府采购相关法规、规章，成立磋商小组，磋商小组由采购人代表和评审专家共3人以上单数组成，其中评审专家人数不少于磋商小组成员总数的三分之二。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评审专家对本单位的采购项目只能作为采购人代表参与评审。采购代理机构工作人员不得参加由本机构代理的政府采购项目的评审。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磋商小组成员名单在评审结果公告前应当保密。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评审专家将从政府采购评审专家库内相关专业的专家名单中随机抽取。市场竞争不充分的科研项目、需要扶持的科技成果转化项目，以及情况特殊、通过随机方式难以确定合适的评审专家的项目，经主管预算单位同意，可以自行选定评审专家。技术复杂、专业性强的采购项目，评审专家中应当包含1名法律专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3、评审中因磋商小组成员缺席、回避或者健康等特殊原因导致磋商小组组成不符合规定的，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应当依法补足后继续评审。被更换的磋商小组成员所做出的评审意见无效。无法及时补足磋商小组成员的，</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应当停止评审活动，封存所有响应文件和开标、评审资料，依法重新组建磋商小组进行评审。原磋商小组所做出的评审意见无效。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应当将变更、重新组建磋商小组的情况予以记录，并随采购文件一并存档。</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5" w:name="_Toc3147_WPSOffice_Level3"/>
      <w:r>
        <w:rPr>
          <w:rFonts w:hint="eastAsia" w:ascii="仿宋_GB2312" w:hAnsi="仿宋_GB2312" w:eastAsia="仿宋_GB2312" w:cs="仿宋_GB2312"/>
          <w:b/>
          <w:bCs/>
          <w:color w:val="auto"/>
          <w:sz w:val="28"/>
          <w:szCs w:val="28"/>
          <w:shd w:val="clear" w:color="auto" w:fill="FFFFFF"/>
        </w:rPr>
        <w:t>（二）磋商小组负责具体评审事务，并独立履行下列职责：</w:t>
      </w:r>
      <w:bookmarkEnd w:id="145"/>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lang w:val="en-US" w:eastAsia="zh-CN"/>
        </w:rPr>
      </w:pPr>
      <w:r>
        <w:rPr>
          <w:rFonts w:hint="eastAsia" w:ascii="仿宋_GB2312" w:hAnsi="仿宋_GB2312" w:eastAsia="仿宋_GB2312" w:cs="仿宋_GB2312"/>
          <w:color w:val="auto"/>
          <w:sz w:val="28"/>
          <w:szCs w:val="28"/>
          <w:shd w:val="clear" w:color="auto" w:fill="FFFFFF"/>
          <w:lang w:val="en-US" w:eastAsia="zh-CN"/>
        </w:rPr>
        <w:t>1、遵守评审工作纪律，不得泄露评审情况和评审中获悉的商业秘密；</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2、按照客观、公正、审慎的原则，根据磋商文件规定的评审程序、评审方法和评审标准进行独立评审；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3、要求供应商对响应文件有关事项做出澄清或者说明；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4、与供应商分别进行磋商；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5、对响应文件进行比较和评价；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6、确定成交候选人名单，以及根据采购人委托直接确定成交供应商；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shd w:val="clear" w:color="auto" w:fill="FFFFFF"/>
        </w:rPr>
      </w:pPr>
      <w:r>
        <w:rPr>
          <w:rFonts w:hint="eastAsia" w:ascii="仿宋_GB2312" w:hAnsi="仿宋_GB2312" w:eastAsia="仿宋_GB2312" w:cs="仿宋_GB2312"/>
          <w:color w:val="auto"/>
          <w:sz w:val="28"/>
          <w:szCs w:val="28"/>
          <w:shd w:val="clear" w:color="auto" w:fill="FFFFFF"/>
          <w:lang w:val="en-US" w:eastAsia="zh-CN"/>
        </w:rPr>
        <w:t xml:space="preserve">7、配合答复供应商的询问、质疑和投诉等事项，不得泄露评审文件、评审情况和在评审过程中获悉的商业秘密； </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lang w:val="en-US" w:eastAsia="zh-CN"/>
        </w:rPr>
        <w:t xml:space="preserve">8、向采购人、集中采购机构或者有关部门报告评审中发现的违法行为。 </w:t>
      </w:r>
    </w:p>
    <w:p>
      <w:pPr>
        <w:pStyle w:val="17"/>
        <w:pageBreakBefore w:val="0"/>
        <w:widowControl/>
        <w:kinsoku/>
        <w:overflowPunct/>
        <w:topLinePunct w:val="0"/>
        <w:autoSpaceDE/>
        <w:autoSpaceDN/>
        <w:bidi w:val="0"/>
        <w:adjustRightInd/>
        <w:snapToGrid/>
        <w:spacing w:beforeAutospacing="0" w:afterAutospacing="0" w:line="500" w:lineRule="exact"/>
        <w:ind w:firstLine="420"/>
        <w:textAlignment w:val="auto"/>
        <w:rPr>
          <w:rFonts w:hint="eastAsia" w:ascii="仿宋_GB2312" w:hAnsi="仿宋_GB2312" w:eastAsia="仿宋_GB2312" w:cs="仿宋_GB2312"/>
          <w:b/>
          <w:bCs/>
          <w:color w:val="auto"/>
          <w:sz w:val="28"/>
          <w:szCs w:val="28"/>
        </w:rPr>
      </w:pPr>
      <w:bookmarkStart w:id="146" w:name="_Toc8872_WPSOffice_Level3"/>
      <w:r>
        <w:rPr>
          <w:rFonts w:hint="eastAsia" w:ascii="仿宋_GB2312" w:hAnsi="仿宋_GB2312" w:eastAsia="仿宋_GB2312" w:cs="仿宋_GB2312"/>
          <w:b/>
          <w:bCs/>
          <w:color w:val="auto"/>
          <w:sz w:val="28"/>
          <w:szCs w:val="28"/>
        </w:rPr>
        <w:t>（三）</w:t>
      </w:r>
      <w:r>
        <w:rPr>
          <w:rFonts w:hint="eastAsia" w:ascii="仿宋_GB2312" w:hAnsi="仿宋_GB2312" w:eastAsia="仿宋_GB2312" w:cs="仿宋_GB2312"/>
          <w:b/>
          <w:bCs/>
          <w:color w:val="auto"/>
          <w:sz w:val="28"/>
          <w:szCs w:val="28"/>
          <w:shd w:val="clear" w:color="auto" w:fill="FFFFFF"/>
        </w:rPr>
        <w:t>集中采购机构负责组织评审工作，并履行下列职责：</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1、核对评审专家身份和采购人代表授权函，对评审专家在政府采购活动中的职责履行情况予以记录，并及时将有关违法违规行为向财政部门报告;</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2、宣布评审纪律;</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3、公布</w:t>
      </w:r>
      <w:r>
        <w:rPr>
          <w:rFonts w:hint="eastAsia" w:ascii="仿宋_GB2312" w:hAnsi="仿宋_GB2312" w:eastAsia="仿宋_GB2312" w:cs="仿宋_GB2312"/>
          <w:color w:val="auto"/>
          <w:sz w:val="28"/>
          <w:szCs w:val="28"/>
          <w:shd w:val="clear" w:color="auto" w:fill="FFFFFF"/>
          <w:lang w:val="en-US" w:eastAsia="zh-CN"/>
        </w:rPr>
        <w:t>供应商</w:t>
      </w:r>
      <w:r>
        <w:rPr>
          <w:rFonts w:hint="eastAsia" w:ascii="仿宋_GB2312" w:hAnsi="仿宋_GB2312" w:eastAsia="仿宋_GB2312" w:cs="仿宋_GB2312"/>
          <w:color w:val="auto"/>
          <w:sz w:val="28"/>
          <w:szCs w:val="28"/>
          <w:shd w:val="clear" w:color="auto" w:fill="FFFFFF"/>
        </w:rPr>
        <w:t>名单，告知评审专家应当回避的情形;</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4、组织磋商小组推选评审组长，采购人代表不得担任组长;</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5、在评审期间采取必要的通讯管理措施，保证评审活动不受外界干扰;</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6、根据磋商小组的要求介绍政府采购相关政策法规、磋商文件;</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7、维护评审秩序，监督磋商小组依照磋商文件规定的评审程序、方法和标准进行独立评审，及时制止和纠正采购人代表、评审专家的倾向性言论或者违法违规行为;</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8、核对评审结果;</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9、评审工作完成后，按照规定向评审专家支付劳务报酬和异地评审差旅费，不得向评审专家以外的其他人员支付评审劳务报酬;</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10、处理与评审有关的其他事项。</w:t>
      </w:r>
    </w:p>
    <w:p>
      <w:pPr>
        <w:pStyle w:val="17"/>
        <w:pageBreakBefore w:val="0"/>
        <w:widowControl/>
        <w:kinsoku/>
        <w:overflowPunct/>
        <w:topLinePunct w:val="0"/>
        <w:autoSpaceDE/>
        <w:autoSpaceDN/>
        <w:bidi w:val="0"/>
        <w:adjustRightInd/>
        <w:snapToGrid/>
        <w:spacing w:beforeAutospacing="0" w:afterAutospacing="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shd w:val="clear" w:color="auto" w:fill="FFFFFF"/>
        </w:rPr>
        <w:t>采购人可以在评审前说明项目背景和采购需求，说明内容不得含有歧视性、倾向性意见，不得超出磋商文件所述范围。说明应当提交书面材料，并随采购文件一并存档。</w:t>
      </w:r>
      <w:bookmarkEnd w:id="146"/>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bookmarkStart w:id="147" w:name="_Toc4079_WPSOffice_Level3"/>
      <w:r>
        <w:rPr>
          <w:rFonts w:hint="eastAsia" w:ascii="仿宋_GB2312" w:hAnsi="仿宋_GB2312" w:eastAsia="仿宋_GB2312" w:cs="仿宋_GB2312"/>
          <w:b/>
          <w:color w:val="auto"/>
          <w:sz w:val="28"/>
          <w:szCs w:val="28"/>
        </w:rPr>
        <w:t>（四）评审方法：综合评分法</w:t>
      </w:r>
      <w:bookmarkEnd w:id="14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综合评分法，是指响应文件满足磋商文件全部实质性要求且按评审因 素的量化指标评审得分最高的供应商为成交候选供应商的评审方法。</w:t>
      </w:r>
    </w:p>
    <w:p>
      <w:pPr>
        <w:pageBreakBefore w:val="0"/>
        <w:widowControl/>
        <w:kinsoku/>
        <w:overflowPunct/>
        <w:topLinePunct w:val="0"/>
        <w:autoSpaceDE/>
        <w:autoSpaceDN/>
        <w:bidi w:val="0"/>
        <w:adjustRightInd/>
        <w:snapToGrid/>
        <w:spacing w:line="500" w:lineRule="exact"/>
        <w:ind w:left="567"/>
        <w:textAlignment w:val="auto"/>
        <w:rPr>
          <w:rFonts w:hint="eastAsia" w:ascii="仿宋_GB2312" w:hAnsi="仿宋_GB2312" w:eastAsia="仿宋_GB2312" w:cs="仿宋_GB2312"/>
          <w:color w:val="auto"/>
          <w:sz w:val="28"/>
          <w:szCs w:val="28"/>
        </w:rPr>
      </w:pPr>
      <w:bookmarkStart w:id="148" w:name="_Toc25396_WPSOffice_Level3"/>
      <w:r>
        <w:rPr>
          <w:rFonts w:hint="eastAsia" w:ascii="仿宋_GB2312" w:hAnsi="仿宋_GB2312" w:eastAsia="仿宋_GB2312" w:cs="仿宋_GB2312"/>
          <w:b/>
          <w:color w:val="auto"/>
          <w:sz w:val="28"/>
          <w:szCs w:val="28"/>
        </w:rPr>
        <w:t>（五）评审程序</w:t>
      </w:r>
      <w:bookmarkEnd w:id="148"/>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分步评审，每一步评审不符合磋商文件要求者，不得进入下一步评审，全部评审合格的供应商，进入最后的打分，最后按得分由高向低排序，推荐成交候选供应商。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1、资格性审查</w:t>
      </w:r>
    </w:p>
    <w:p>
      <w:pPr>
        <w:pageBreakBefore w:val="0"/>
        <w:widowControl/>
        <w:kinsoku/>
        <w:overflowPunct/>
        <w:topLinePunct w:val="0"/>
        <w:autoSpaceDE/>
        <w:autoSpaceDN/>
        <w:bidi w:val="0"/>
        <w:adjustRightInd/>
        <w:snapToGrid/>
        <w:spacing w:after="190" w:afterLines="50"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响应文件开启</w:t>
      </w:r>
      <w:r>
        <w:rPr>
          <w:rFonts w:hint="eastAsia" w:ascii="仿宋_GB2312" w:hAnsi="仿宋_GB2312" w:eastAsia="仿宋_GB2312" w:cs="仿宋_GB2312"/>
          <w:color w:val="auto"/>
          <w:sz w:val="28"/>
          <w:szCs w:val="28"/>
        </w:rPr>
        <w:t>结束后，磋商小组依据法律法规和磋商文件的规定，对响应文件中的供应商资格证明文件进行审查，以确定供应商是否具备磋商资格。</w:t>
      </w:r>
    </w:p>
    <w:p>
      <w:pPr>
        <w:pageBreakBefore w:val="0"/>
        <w:kinsoku/>
        <w:overflowPunct/>
        <w:topLinePunct w:val="0"/>
        <w:bidi w:val="0"/>
        <w:spacing w:line="500" w:lineRule="exact"/>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资格审查表</w:t>
      </w:r>
    </w:p>
    <w:tbl>
      <w:tblPr>
        <w:tblStyle w:val="20"/>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640"/>
        <w:gridCol w:w="5053"/>
        <w:gridCol w:w="791"/>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资格审查项</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8"/>
                <w:sz w:val="28"/>
                <w:szCs w:val="28"/>
              </w:rPr>
            </w:pPr>
            <w:r>
              <w:rPr>
                <w:rFonts w:hint="eastAsia" w:ascii="仿宋_GB2312" w:hAnsi="仿宋_GB2312" w:eastAsia="仿宋_GB2312" w:cs="仿宋_GB2312"/>
                <w:b/>
                <w:color w:val="auto"/>
                <w:kern w:val="28"/>
                <w:sz w:val="28"/>
                <w:szCs w:val="28"/>
              </w:rPr>
              <w:t>通过条件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结论</w:t>
            </w: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不通过原因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营业执照等主体资格证明文件</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提供有效存续的企业营业执照（副本）/事业单位法人证书/专业服务机构执业许可证/民办非企业单位登记证书。</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2</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财务状况报告</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sz w:val="28"/>
                <w:szCs w:val="28"/>
              </w:rPr>
              <w:t>提供202</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年度或202</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年度经审计的财务会计报告（包括审计报告、资产负债表、利润表、现金流量表、所有者权益变动表及其附注，成立时间至提交响应文件截止时间不足一年的可提供成立后任意时段的资产负债表），或其开标前三个月内基本存款账户开户银行出具的资信证明，或信用担保机构出具的投标担保函。（以上三种形式的资料提供任何一种即可）。</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3</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社保缴纳证明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提供递交响应文件截止之日前一年内任意一个月的社会保障资金缴存单据或社保机构开具的社会保险参保缴费情况证明。依法不需要缴纳社会保障资金的供应商应提供相关证明文件。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4</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税收缴纳证明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递交响应文件截止之日前一年内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5</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lang w:eastAsia="zh-CN"/>
              </w:rPr>
            </w:pPr>
            <w:r>
              <w:rPr>
                <w:rFonts w:hint="eastAsia" w:ascii="仿宋_GB2312" w:hAnsi="仿宋_GB2312" w:eastAsia="仿宋_GB2312" w:cs="仿宋_GB2312"/>
                <w:color w:val="auto"/>
                <w:kern w:val="28"/>
                <w:sz w:val="28"/>
                <w:szCs w:val="28"/>
                <w:lang w:val="en-US" w:eastAsia="zh-CN"/>
              </w:rPr>
              <w:t>书面声明</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提供《近三年内在经营活动中无重大违法记录声明》。（按第五章格式填写）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6</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法定代表人授权委托书</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rPr>
            </w:pPr>
            <w:r>
              <w:rPr>
                <w:rFonts w:hint="eastAsia" w:ascii="仿宋_GB2312" w:hAnsi="仿宋_GB2312" w:eastAsia="仿宋_GB2312" w:cs="仿宋_GB2312"/>
                <w:color w:val="auto"/>
                <w:kern w:val="28"/>
                <w:sz w:val="28"/>
                <w:szCs w:val="28"/>
              </w:rPr>
              <w:t>法定代表人参加磋商的，须提供本人身份证复印件（附在资格证明文件中）；法定代表人授权他人参加磋商的，须提供法定代表人授权委托书。磋商文件中凡是需要法定代表人盖章之处，非法人单位的负责人均参照执行。（按第五章格式填写）</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z w:val="28"/>
                <w:szCs w:val="28"/>
                <w:lang w:val="en-US" w:eastAsia="zh-CN"/>
              </w:rPr>
            </w:pPr>
            <w:r>
              <w:rPr>
                <w:rFonts w:hint="eastAsia" w:ascii="仿宋_GB2312" w:hAnsi="仿宋_GB2312" w:eastAsia="仿宋_GB2312" w:cs="仿宋_GB2312"/>
                <w:bCs/>
                <w:color w:val="auto"/>
                <w:sz w:val="28"/>
                <w:szCs w:val="28"/>
                <w:lang w:val="en-US" w:eastAsia="zh-CN"/>
              </w:rPr>
              <w:t>7</w:t>
            </w:r>
          </w:p>
        </w:tc>
        <w:tc>
          <w:tcPr>
            <w:tcW w:w="1640"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kern w:val="28"/>
                <w:sz w:val="28"/>
                <w:szCs w:val="28"/>
                <w:highlight w:val="none"/>
              </w:rPr>
            </w:pPr>
            <w:r>
              <w:rPr>
                <w:rFonts w:hint="eastAsia" w:ascii="仿宋_GB2312" w:hAnsi="仿宋_GB2312" w:eastAsia="仿宋_GB2312" w:cs="仿宋_GB2312"/>
                <w:color w:val="auto"/>
                <w:kern w:val="28"/>
                <w:sz w:val="28"/>
                <w:szCs w:val="28"/>
                <w:highlight w:val="none"/>
              </w:rPr>
              <w:t>落实政府采购政策需满足的资格要求</w:t>
            </w:r>
          </w:p>
        </w:tc>
        <w:tc>
          <w:tcPr>
            <w:tcW w:w="5053"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本项目专门面向中小企业采购，供应商应为中小微企业，磋商时须提供《中小企业声明函》（按第五章格式填写）。本项目采购标的对应的中小企业划分标准所属行业为：</w:t>
            </w:r>
            <w:r>
              <w:rPr>
                <w:rFonts w:hint="eastAsia" w:ascii="仿宋_GB2312" w:hAnsi="仿宋_GB2312" w:eastAsia="仿宋_GB2312" w:cs="仿宋_GB2312"/>
                <w:color w:val="auto"/>
                <w:sz w:val="28"/>
                <w:szCs w:val="28"/>
                <w:highlight w:val="none"/>
                <w:lang w:val="en-US" w:eastAsia="zh-CN"/>
              </w:rPr>
              <w:t>物业管理</w:t>
            </w:r>
            <w:r>
              <w:rPr>
                <w:rFonts w:hint="eastAsia" w:ascii="仿宋_GB2312" w:hAnsi="仿宋_GB2312" w:eastAsia="仿宋_GB2312" w:cs="仿宋_GB2312"/>
                <w:color w:val="auto"/>
                <w:sz w:val="28"/>
                <w:szCs w:val="28"/>
                <w:highlight w:val="none"/>
              </w:rPr>
              <w:t>。</w:t>
            </w:r>
          </w:p>
        </w:tc>
        <w:tc>
          <w:tcPr>
            <w:tcW w:w="791"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c>
          <w:tcPr>
            <w:tcW w:w="1105" w:type="dxa"/>
            <w:vAlign w:val="center"/>
          </w:tcPr>
          <w:p>
            <w:pPr>
              <w:keepNext w:val="0"/>
              <w:keepLines w:val="0"/>
              <w:pageBreakBefore w:val="0"/>
              <w:widowControl/>
              <w:kinsoku/>
              <w:wordWrap/>
              <w:overflowPunct/>
              <w:topLinePunct w:val="0"/>
              <w:autoSpaceDE/>
              <w:autoSpaceDN/>
              <w:bidi w:val="0"/>
              <w:adjustRightInd/>
              <w:snapToGrid/>
              <w:spacing w:before="40" w:after="40" w:line="400" w:lineRule="exact"/>
              <w:textAlignment w:val="auto"/>
              <w:rPr>
                <w:rFonts w:hint="eastAsia" w:ascii="仿宋_GB2312" w:hAnsi="仿宋_GB2312" w:eastAsia="仿宋_GB2312" w:cs="仿宋_GB2312"/>
                <w:b/>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140"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textAlignment w:val="auto"/>
        <w:rPr>
          <w:rFonts w:ascii="Calibri" w:hAnsi="Calibri"/>
          <w:b/>
          <w:bCs/>
          <w:color w:val="auto"/>
          <w:sz w:val="28"/>
          <w:szCs w:val="28"/>
        </w:rPr>
      </w:pP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出现下列情形的，响应文件将被视为无效：</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（1）不具备磋商文件中规定的资格要求的；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（2）未按磋商文件要求提供资格证明文件原件，或未按磋商文件要求加盖公章的；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（3）磋商小组认为供应商的资格证明文件存在疑点，要求供应商现场提供原件，供应商不能在规定时限内提供原件或其所提供的原件无法证实响应文件所附证明文件有效性的。</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资格审查结束后，磋商小组成员应当对审查结果进行签字确认，并告知无效投标供应商资格审查未通过的原因。</w:t>
      </w:r>
    </w:p>
    <w:p>
      <w:pPr>
        <w:pStyle w:val="8"/>
        <w:keepNext w:val="0"/>
        <w:keepLines w:val="0"/>
        <w:pageBreakBefore w:val="0"/>
        <w:kinsoku/>
        <w:wordWrap/>
        <w:overflowPunct/>
        <w:topLinePunct w:val="0"/>
        <w:autoSpaceDE/>
        <w:autoSpaceDN/>
        <w:bidi w:val="0"/>
        <w:adjustRightInd/>
        <w:spacing w:after="0"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通过资格审查的供应商不足3家的，不得进行符合性审查。</w:t>
      </w:r>
    </w:p>
    <w:p>
      <w:pPr>
        <w:pStyle w:val="13"/>
        <w:keepNext w:val="0"/>
        <w:keepLines w:val="0"/>
        <w:pageBreakBefore w:val="0"/>
        <w:kinsoku/>
        <w:wordWrap/>
        <w:overflowPunct/>
        <w:topLinePunct w:val="0"/>
        <w:autoSpaceDE/>
        <w:autoSpaceDN/>
        <w:bidi w:val="0"/>
        <w:adjustRightInd/>
        <w:spacing w:line="500" w:lineRule="exact"/>
        <w:textAlignment w:val="auto"/>
        <w:rPr>
          <w:rFonts w:hint="eastAsia" w:ascii="仿宋_GB2312" w:hAnsi="仿宋_GB2312" w:eastAsia="仿宋_GB2312" w:cs="仿宋_GB2312"/>
          <w:color w:val="auto"/>
          <w:sz w:val="28"/>
          <w:szCs w:val="28"/>
        </w:rPr>
      </w:pP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2、响应文件的符合性审查</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磋商小组依据磋商文件的规定，对响应文件的有效性、完整性和对磋商文件的响应程度进行审查，以确定是否对磋商文件的全部实质性要求做出响应。</w:t>
      </w:r>
    </w:p>
    <w:p>
      <w:pPr>
        <w:keepNext w:val="0"/>
        <w:keepLines w:val="0"/>
        <w:pageBreakBefore w:val="0"/>
        <w:kinsoku/>
        <w:wordWrap/>
        <w:overflowPunct/>
        <w:topLinePunct w:val="0"/>
        <w:autoSpaceDE/>
        <w:autoSpaceDN/>
        <w:bidi w:val="0"/>
        <w:adjustRightIn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要审查每份响应文件是否实质上响应了磋商文件的要求。实质上没有响应磋商文件要求的响应文件作无效响应处理，磋商小组要告知有关供应商未通过审查的原因。供应商不得通过修正或撤销不符之处而使其成为实质上响应。</w:t>
      </w:r>
    </w:p>
    <w:p>
      <w:pPr>
        <w:pageBreakBefore w:val="0"/>
        <w:kinsoku/>
        <w:overflowPunct/>
        <w:topLinePunct w:val="0"/>
        <w:bidi w:val="0"/>
        <w:spacing w:line="500" w:lineRule="exact"/>
        <w:ind w:firstLine="566" w:firstLineChars="200"/>
        <w:jc w:val="center"/>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响应文件的符合性审查</w:t>
      </w:r>
    </w:p>
    <w:tbl>
      <w:tblPr>
        <w:tblStyle w:val="20"/>
        <w:tblW w:w="9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518"/>
        <w:gridCol w:w="4173"/>
        <w:gridCol w:w="807"/>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序号</w:t>
            </w:r>
          </w:p>
        </w:tc>
        <w:tc>
          <w:tcPr>
            <w:tcW w:w="2518"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符合性审查项</w:t>
            </w:r>
          </w:p>
        </w:tc>
        <w:tc>
          <w:tcPr>
            <w:tcW w:w="4173"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通过条件</w:t>
            </w:r>
          </w:p>
        </w:tc>
        <w:tc>
          <w:tcPr>
            <w:tcW w:w="807"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结论</w:t>
            </w:r>
          </w:p>
        </w:tc>
        <w:tc>
          <w:tcPr>
            <w:tcW w:w="1440" w:type="dxa"/>
            <w:shd w:val="clear" w:color="auto" w:fill="D9D9D9"/>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未通过原因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1</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响应文件语言及有效期</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响应文件语言</w:t>
            </w:r>
            <w:r>
              <w:rPr>
                <w:rFonts w:hint="eastAsia" w:ascii="仿宋_GB2312" w:hAnsi="仿宋_GB2312" w:eastAsia="仿宋_GB2312" w:cs="仿宋_GB2312"/>
                <w:bCs/>
                <w:color w:val="auto"/>
                <w:kern w:val="0"/>
                <w:sz w:val="28"/>
                <w:szCs w:val="28"/>
              </w:rPr>
              <w:t>及有效期</w:t>
            </w:r>
            <w:r>
              <w:rPr>
                <w:rFonts w:hint="eastAsia" w:ascii="仿宋_GB2312" w:hAnsi="仿宋_GB2312" w:eastAsia="仿宋_GB2312" w:cs="仿宋_GB2312"/>
                <w:color w:val="auto"/>
                <w:sz w:val="28"/>
                <w:szCs w:val="28"/>
              </w:rPr>
              <w:t>符合磋商文件要求。</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2</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响应文件封面、响应 函、法定代表人授权 委托书三处的项目名 称、项目编号、标段 （如有）</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三处均无遗漏，且与所投项目名称、 项目编号、标段（如有）一致。</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3</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响应文件签署、盖章</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均按磋商文件要求签字、盖章（评分标准中要求提供的证明材料除外）。</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4</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bCs/>
                <w:color w:val="auto"/>
                <w:kern w:val="0"/>
                <w:sz w:val="28"/>
                <w:szCs w:val="28"/>
              </w:rPr>
              <w:t>第一次磋商报价表</w:t>
            </w:r>
          </w:p>
        </w:tc>
        <w:tc>
          <w:tcPr>
            <w:tcW w:w="4173" w:type="dxa"/>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（1）第一次磋商报价表填写符合要求；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（2）计量单位、报价货币均符合磋商文件要求；</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（3）第一次磋商报价未超出采购预算或磋商文件规定的最高限价。</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5</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响应文件完整性</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响应文件按照磋商文件要求编制，三部分内容齐全，无重大缺漏项。</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6</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技术服务要求</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完全理解并接受对合格供应商、合格的货物、工程或服务要求，根据响应文件中《技术服务偏差表》第三章“★”标识的实质性要求没有负偏离。</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7</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合同草案响应</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有完全理解并接受磋商文件合同草案 条款要求的描述。</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val="en-US" w:eastAsia="zh-CN"/>
              </w:rPr>
            </w:pPr>
            <w:r>
              <w:rPr>
                <w:rFonts w:hint="eastAsia" w:ascii="仿宋_GB2312" w:hAnsi="仿宋_GB2312" w:eastAsia="仿宋_GB2312" w:cs="仿宋_GB2312"/>
                <w:bCs/>
                <w:color w:val="auto"/>
                <w:kern w:val="0"/>
                <w:sz w:val="28"/>
                <w:szCs w:val="28"/>
                <w:lang w:val="en-US" w:eastAsia="zh-CN"/>
              </w:rPr>
              <w:t>8</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供应商承诺书</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完全理解并填写《拒绝政府采购领域商业贿赂承诺书》。</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8"/>
                <w:szCs w:val="28"/>
                <w:lang w:eastAsia="zh-CN"/>
              </w:rPr>
            </w:pPr>
            <w:r>
              <w:rPr>
                <w:rFonts w:hint="eastAsia" w:ascii="仿宋_GB2312" w:hAnsi="仿宋_GB2312" w:eastAsia="仿宋_GB2312" w:cs="仿宋_GB2312"/>
                <w:bCs/>
                <w:color w:val="auto"/>
                <w:kern w:val="0"/>
                <w:sz w:val="28"/>
                <w:szCs w:val="28"/>
                <w:lang w:val="en-US" w:eastAsia="zh-CN"/>
              </w:rPr>
              <w:t>9</w:t>
            </w:r>
          </w:p>
        </w:tc>
        <w:tc>
          <w:tcPr>
            <w:tcW w:w="2518"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无其他磋商文件或法规明确规定响应无效的事项</w:t>
            </w:r>
          </w:p>
        </w:tc>
        <w:tc>
          <w:tcPr>
            <w:tcW w:w="4173" w:type="dxa"/>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Cs/>
                <w:color w:val="auto"/>
                <w:kern w:val="0"/>
                <w:sz w:val="28"/>
                <w:szCs w:val="28"/>
              </w:rPr>
            </w:pPr>
            <w:r>
              <w:rPr>
                <w:rFonts w:hint="eastAsia" w:ascii="仿宋_GB2312" w:hAnsi="仿宋_GB2312" w:eastAsia="仿宋_GB2312" w:cs="仿宋_GB2312"/>
                <w:color w:val="auto"/>
                <w:sz w:val="28"/>
                <w:szCs w:val="28"/>
              </w:rPr>
              <w:t>没有不符合磋商文件规定的被视为无效响应的其他条款。</w:t>
            </w:r>
          </w:p>
        </w:tc>
        <w:tc>
          <w:tcPr>
            <w:tcW w:w="807"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c>
          <w:tcPr>
            <w:tcW w:w="1440"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57" w:type="dxa"/>
            <w:gridSpan w:val="5"/>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color w:val="auto"/>
                <w:kern w:val="0"/>
                <w:sz w:val="28"/>
                <w:szCs w:val="28"/>
              </w:rPr>
            </w:pPr>
            <w:r>
              <w:rPr>
                <w:rFonts w:hint="eastAsia" w:ascii="仿宋_GB2312" w:hAnsi="仿宋_GB2312" w:eastAsia="仿宋_GB2312" w:cs="仿宋_GB2312"/>
                <w:b/>
                <w:bCs/>
                <w:color w:val="auto"/>
                <w:kern w:val="0"/>
                <w:sz w:val="28"/>
                <w:szCs w:val="28"/>
              </w:rPr>
              <w:t>磋商小组成员：（签字或盖章）</w:t>
            </w:r>
          </w:p>
        </w:tc>
      </w:tr>
    </w:tbl>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3、响应文件的澄清</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（1）磋商小组在对响应文件的有效性、完整性和响应程度进行审查时，可以要求供应商对响应文件中含义不明确、同类问题表述不一致或者有明显文字和计算错误的内容等做出必要的澄清、说明或者更正。</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（2）依照《中华人民共和国民法典》中的过失责任原则，澄清、说明 或更正前磋商小组将按最不利于参与本次磋商供应商的原则对响应文件做 出评判。</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磋商小组要求供应商澄清、说明或者更正响应文件应通过电子交易平台或电子邮件等书面形式做出。供应商应当在规定的澄清时限内通过公共资源交易平台（以下简称“平台”）或电子邮件（在平台无法支持的情况下）等书面形式提交，</w:t>
      </w:r>
      <w:r>
        <w:rPr>
          <w:rFonts w:hint="eastAsia" w:ascii="仿宋_GB2312" w:hAnsi="仿宋_GB2312" w:eastAsia="仿宋_GB2312" w:cs="仿宋_GB2312"/>
          <w:color w:val="auto"/>
          <w:sz w:val="28"/>
          <w:szCs w:val="28"/>
          <w:lang w:val="en-US" w:eastAsia="zh-CN"/>
        </w:rPr>
        <w:t>通过电子邮件提交的</w:t>
      </w:r>
      <w:r>
        <w:rPr>
          <w:rFonts w:hint="eastAsia" w:ascii="仿宋_GB2312" w:hAnsi="仿宋_GB2312" w:eastAsia="仿宋_GB2312" w:cs="仿宋_GB2312"/>
          <w:color w:val="auto"/>
          <w:sz w:val="28"/>
          <w:szCs w:val="28"/>
        </w:rPr>
        <w:t>澄清、说明或者更正应当由法定代表人或其授权代表签字或者加盖公章。</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（4）供应商的澄清、说明或者更正不得超出响应文件的范围或者改变响应文件的实质性内容。澄清、说明或者更正的内容将作为</w:t>
      </w:r>
      <w:r>
        <w:rPr>
          <w:rFonts w:hint="eastAsia" w:ascii="仿宋_GB2312" w:hAnsi="仿宋_GB2312" w:eastAsia="仿宋_GB2312" w:cs="仿宋_GB2312"/>
          <w:color w:val="auto"/>
          <w:kern w:val="0"/>
          <w:sz w:val="28"/>
          <w:szCs w:val="28"/>
        </w:rPr>
        <w:t>合同</w:t>
      </w:r>
      <w:r>
        <w:rPr>
          <w:rFonts w:hint="eastAsia" w:ascii="仿宋_GB2312" w:hAnsi="仿宋_GB2312" w:eastAsia="仿宋_GB2312" w:cs="仿宋_GB2312"/>
          <w:color w:val="auto"/>
          <w:sz w:val="28"/>
          <w:szCs w:val="28"/>
        </w:rPr>
        <w:t>履行的重要依据。</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除采用竞争性磋商方式采购的政府购买服务项目、市场竞争不充分的 科研项目以及需要扶持的科技成果转化项目外，通过符合性审查的供应商 不足3家的，不得进行后续磋商活动，应予以</w:t>
      </w:r>
      <w:r>
        <w:rPr>
          <w:rFonts w:hint="eastAsia" w:ascii="仿宋_GB2312" w:hAnsi="仿宋_GB2312" w:eastAsia="仿宋_GB2312" w:cs="仿宋_GB2312"/>
          <w:b/>
          <w:bCs/>
          <w:color w:val="auto"/>
          <w:sz w:val="28"/>
          <w:szCs w:val="28"/>
          <w:lang w:val="en-US" w:eastAsia="zh-CN"/>
        </w:rPr>
        <w:t>终止</w:t>
      </w:r>
      <w:r>
        <w:rPr>
          <w:rFonts w:hint="eastAsia" w:ascii="仿宋_GB2312" w:hAnsi="仿宋_GB2312" w:eastAsia="仿宋_GB2312" w:cs="仿宋_GB2312"/>
          <w:b/>
          <w:bCs/>
          <w:color w:val="auto"/>
          <w:sz w:val="28"/>
          <w:szCs w:val="28"/>
        </w:rPr>
        <w:t>。</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4、进行磋商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磋商小组所有成员应当集中与单一供应商分别进行磋商，并给予所有参加磋商的供应商平等的磋商机会。需要供应商书面答复磋商内容的，供应商应当按照磋商小组的要求，在磋商小组规定的时限内通过公共资源交易平台（以下简称“平台”）或电子邮件（在平台无法支持的情况下）等书面形式答复磋商的内容，</w:t>
      </w:r>
      <w:r>
        <w:rPr>
          <w:rFonts w:hint="eastAsia" w:ascii="仿宋_GB2312" w:hAnsi="仿宋_GB2312" w:eastAsia="仿宋_GB2312" w:cs="仿宋_GB2312"/>
          <w:bCs/>
          <w:color w:val="auto"/>
          <w:sz w:val="28"/>
          <w:szCs w:val="28"/>
          <w:lang w:val="en-US" w:eastAsia="zh-CN"/>
        </w:rPr>
        <w:t>通过电子邮件答复的内容应当</w:t>
      </w:r>
      <w:r>
        <w:rPr>
          <w:rFonts w:hint="eastAsia" w:ascii="仿宋_GB2312" w:hAnsi="仿宋_GB2312" w:eastAsia="仿宋_GB2312" w:cs="仿宋_GB2312"/>
          <w:bCs/>
          <w:color w:val="auto"/>
          <w:sz w:val="28"/>
          <w:szCs w:val="28"/>
        </w:rPr>
        <w:t>由法定代表人或其授权代表签字或者加盖公章。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5、磋商文件的实质性变更</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（1）在磋商过程中，磋商小组可以根据磋商文件和磋商情况实质性变动采购需求中的技术、服务要求以及合同</w:t>
      </w:r>
      <w:r>
        <w:rPr>
          <w:rFonts w:hint="eastAsia" w:ascii="仿宋_GB2312" w:hAnsi="仿宋_GB2312" w:eastAsia="仿宋_GB2312" w:cs="仿宋_GB2312"/>
          <w:color w:val="auto"/>
          <w:sz w:val="28"/>
          <w:szCs w:val="28"/>
          <w:lang w:val="en-US" w:eastAsia="zh-CN"/>
        </w:rPr>
        <w:t>草案</w:t>
      </w:r>
      <w:r>
        <w:rPr>
          <w:rFonts w:hint="eastAsia" w:ascii="仿宋_GB2312" w:hAnsi="仿宋_GB2312" w:eastAsia="仿宋_GB2312" w:cs="仿宋_GB2312"/>
          <w:color w:val="auto"/>
          <w:sz w:val="28"/>
          <w:szCs w:val="28"/>
        </w:rPr>
        <w:t>条款，但不得变动磋商文件中的其他内容。实质性变动的内容，须经采购人代表确认。</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实质性变动不得改变原标的物，且应遵循有利于采购活动顺利实施的原则，当出现下列情形时，可实质性变动：</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当磋商小组发现磋商文件有明显错误、自相矛盾时，可通过实质性变动纠正错误，且应尽可能保证该变动不会排除各参与供应商；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当进入最后报价环节的供应商不足</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家时，可通过实质性变动实现不少于</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家供应商提交最后报价，但不得通过实质性变动将原本进入最后报价环节的供应商排除在外。</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）对磋商文件作出的实质性变动是磋商文件的有效组成部分，磋商小组将通过公共资源交易平台（以下简称“平台”）或电子邮件（在平台无法支持的情况下）等书面形式通知所有参加磋商的供应商。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）供应商应当按照磋商文件的变动情况和磋商小组的要求，在磋商 小组规定的时限内重新提交响应文件，并用数字认证证书（CA 锁）签章或 由法定代表人或其授权代表签字或者加盖公章。</w:t>
      </w:r>
    </w:p>
    <w:p>
      <w:pPr>
        <w:pStyle w:val="19"/>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）供应商未能在规定的时间内按照磋商小组的要求通过公共资源交易平台（以下简称“平台”）或电子邮件（在平台无法支持的情况下）等书面形式提交实质性变更响应文件的，视作未实质性响应。</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6、最后报价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（1）磋商文件能够详细列明采购标的的技术、服务要求的，磋商结束 后，磋商小组应当要求所有实质性响应的供应商在规定时间内提交最后报 价，提交最后报价的供应商不得少于3家。</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（2）磋商文件不能详细列明采购标的的技术、服务要求，需经磋商由 供应商提供最终设计方案或解决方案的，磋商结束后，磋商小组应当按照 少数服从多数的原则投票推荐3家以上供应商的设计方案或者解决方案， 并要求其在规定时间内提交最后报价。</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（3）最后报价是供应商响应文件的有效组成部分。符合《政府采购竞 争性磋商采购方式管理暂行办法》第三条第四项情形的，即市场竞争不充 分的科研项目，以及需要扶持的科技成果转化项目，提交最后报价的供应 商可以为 2 家。根据《财政部关于政府采购竞争性磋商采购方式管理暂行 办法有关问题的补充通知》（财库〔2015〕124号），采购的政府购买服务项目（含政府和社会资本合作项目），在采购过程中符合要求的供应商 （社会资本）只有2家的，竞争性磋商采购活动可以继续进行。</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要在电子交易平台中提交最后报价，并用数字认证证书（CA锁）签章。平台系统无法使用时，供应商要以书面形式提交最后报价。最后报价表应由其法定代表人或被授权代表签字或者加盖公章。最后报价将作为综合评分法中价格分的计算依据。</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（5）已提交响应文件的供应商，在提交最后报价之前，可以根据磋商 情况书面申请退出磋商，书面申请应由其法定代表人或被授权代表签字或 者加盖公章。</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6）磋商小组认为供应商的报价明显低于其他通过符合性和响应性审查供应商的报价，有可能影响工程、货物、服务质量或者不能诚信履约的，要求供应商在规定时间内通过公共资源交易平台（以下简称“平台”）或电子邮件（在平台无法支持的情况下）等书面形式提供说明（必要时提交相关证明材料），供应商不能证明其报价合理性的，按无效响应</w:t>
      </w:r>
      <w:r>
        <w:rPr>
          <w:rFonts w:hint="eastAsia" w:ascii="仿宋_GB2312" w:hAnsi="仿宋_GB2312" w:eastAsia="仿宋_GB2312" w:cs="仿宋_GB2312"/>
          <w:color w:val="auto"/>
          <w:sz w:val="28"/>
          <w:szCs w:val="28"/>
          <w:lang w:val="en-US" w:eastAsia="zh-CN"/>
        </w:rPr>
        <w:t>处理</w:t>
      </w:r>
      <w:r>
        <w:rPr>
          <w:rFonts w:hint="eastAsia" w:ascii="仿宋_GB2312" w:hAnsi="仿宋_GB2312" w:eastAsia="仿宋_GB2312" w:cs="仿宋_GB2312"/>
          <w:color w:val="auto"/>
          <w:sz w:val="28"/>
          <w:szCs w:val="28"/>
        </w:rPr>
        <w:t>。</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7、综合比较与评价</w:t>
      </w:r>
    </w:p>
    <w:p>
      <w:pPr>
        <w:pageBreakBefore w:val="0"/>
        <w:kinsoku/>
        <w:overflowPunct/>
        <w:topLinePunct w:val="0"/>
        <w:bidi w:val="0"/>
        <w:spacing w:line="500" w:lineRule="exact"/>
        <w:ind w:firstLine="566" w:firstLineChars="200"/>
        <w:textAlignment w:val="auto"/>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color w:val="auto"/>
          <w:sz w:val="28"/>
          <w:szCs w:val="28"/>
        </w:rPr>
        <w:t>经磋商确定最终采购需求和提交最后报价的供应商后，由磋商小组按“评审要素及分值一览表”中规定的评审方法和标准，对提交最后报价的供应商的响应文件和最后报价进行综合评分。</w:t>
      </w:r>
    </w:p>
    <w:p>
      <w:pPr>
        <w:pageBreakBefore w:val="0"/>
        <w:kinsoku/>
        <w:overflowPunct/>
        <w:topLinePunct w:val="0"/>
        <w:bidi w:val="0"/>
        <w:spacing w:line="500" w:lineRule="exact"/>
        <w:ind w:firstLine="566" w:firstLineChars="200"/>
        <w:contextualSpacing/>
        <w:textAlignment w:val="auto"/>
        <w:rPr>
          <w:rFonts w:hint="eastAsia" w:ascii="仿宋_GB2312" w:hAnsi="仿宋_GB2312" w:eastAsia="仿宋_GB2312" w:cs="仿宋_GB2312"/>
          <w:b/>
          <w:bCs/>
          <w:color w:val="auto"/>
          <w:sz w:val="28"/>
          <w:szCs w:val="28"/>
          <w:u w:val="double"/>
        </w:rPr>
      </w:pPr>
      <w:r>
        <w:rPr>
          <w:rFonts w:hint="eastAsia" w:ascii="仿宋_GB2312" w:hAnsi="仿宋_GB2312" w:eastAsia="仿宋_GB2312" w:cs="仿宋_GB2312"/>
          <w:color w:val="auto"/>
          <w:sz w:val="28"/>
          <w:szCs w:val="28"/>
        </w:rPr>
        <w:t>评审时，磋商小组各成员应当独立对每个有效响应的文件进行评价、打分，然后汇总每个供应商每项评审因素的得分。</w:t>
      </w:r>
    </w:p>
    <w:p>
      <w:pPr>
        <w:pageBreakBefore w:val="0"/>
        <w:kinsoku/>
        <w:overflowPunct/>
        <w:topLinePunct w:val="0"/>
        <w:bidi w:val="0"/>
        <w:spacing w:after="190" w:afterLines="50" w:line="500" w:lineRule="exact"/>
        <w:jc w:val="center"/>
        <w:textAlignment w:val="auto"/>
        <w:rPr>
          <w:rFonts w:hint="eastAsia" w:ascii="仿宋_GB2312" w:hAnsi="仿宋_GB2312" w:eastAsia="仿宋_GB2312" w:cs="仿宋_GB2312"/>
          <w:b/>
          <w:bCs/>
          <w:color w:val="auto"/>
          <w:sz w:val="28"/>
          <w:szCs w:val="28"/>
        </w:rPr>
      </w:pPr>
      <w:bookmarkStart w:id="149" w:name="_Toc9626"/>
      <w:bookmarkStart w:id="150" w:name="_Toc27187"/>
      <w:bookmarkStart w:id="151" w:name="_Toc27797"/>
      <w:bookmarkStart w:id="152" w:name="_Toc2392"/>
      <w:r>
        <w:rPr>
          <w:rFonts w:hint="eastAsia" w:ascii="仿宋_GB2312" w:hAnsi="仿宋_GB2312" w:eastAsia="仿宋_GB2312" w:cs="仿宋_GB2312"/>
          <w:b/>
          <w:bCs/>
          <w:color w:val="auto"/>
          <w:sz w:val="28"/>
          <w:szCs w:val="28"/>
        </w:rPr>
        <w:t>评审要素及分值一览表</w:t>
      </w:r>
      <w:bookmarkEnd w:id="149"/>
      <w:bookmarkEnd w:id="150"/>
      <w:bookmarkEnd w:id="151"/>
      <w:bookmarkEnd w:id="152"/>
    </w:p>
    <w:tbl>
      <w:tblPr>
        <w:tblStyle w:val="20"/>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840"/>
        <w:gridCol w:w="826"/>
        <w:gridCol w:w="787"/>
        <w:gridCol w:w="5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631"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项别</w:t>
            </w:r>
          </w:p>
        </w:tc>
        <w:tc>
          <w:tcPr>
            <w:tcW w:w="1613" w:type="dxa"/>
            <w:gridSpan w:val="2"/>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w:t>
            </w:r>
          </w:p>
        </w:tc>
        <w:tc>
          <w:tcPr>
            <w:tcW w:w="5838"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791"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840"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总分值100</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名称</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分项最高分值</w:t>
            </w:r>
          </w:p>
        </w:tc>
        <w:tc>
          <w:tcPr>
            <w:tcW w:w="5838"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791"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840"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826" w:type="dxa"/>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价格</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w:t>
            </w:r>
          </w:p>
        </w:tc>
        <w:tc>
          <w:tcPr>
            <w:tcW w:w="5838" w:type="dxa"/>
            <w:vAlign w:val="center"/>
          </w:tcPr>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有效供应商最低报价为基准价得</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分，其他各供应商的报价得分按下列公式计算：</w:t>
            </w:r>
          </w:p>
          <w:p>
            <w:pPr>
              <w:keepNext w:val="0"/>
              <w:keepLines w:val="0"/>
              <w:pageBreakBefore w:val="0"/>
              <w:tabs>
                <w:tab w:val="left" w:pos="547"/>
              </w:tabs>
              <w:kinsoku/>
              <w:wordWrap/>
              <w:overflowPunct/>
              <w:topLinePunct w:val="0"/>
              <w:autoSpaceDE w:val="0"/>
              <w:autoSpaceDN w:val="0"/>
              <w:bidi w:val="0"/>
              <w:adjustRightInd w:val="0"/>
              <w:spacing w:line="400" w:lineRule="exact"/>
              <w:jc w:val="left"/>
              <w:textAlignment w:val="auto"/>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（基准价/磋商报价）×</w:t>
            </w: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0</w:t>
            </w:r>
            <w:r>
              <w:rPr>
                <w:rFonts w:hint="eastAsia" w:ascii="仿宋_GB2312" w:hAnsi="仿宋_GB2312" w:eastAsia="仿宋_GB2312" w:cs="仿宋_GB2312"/>
                <w:b/>
                <w:bCs/>
                <w:sz w:val="28"/>
                <w:szCs w:val="28"/>
                <w:lang w:eastAsia="zh-CN"/>
              </w:rPr>
              <w:t>。</w:t>
            </w:r>
          </w:p>
          <w:p>
            <w:pPr>
              <w:pStyle w:val="5"/>
              <w:keepNext/>
              <w:keepLines/>
              <w:pageBreakBefore w:val="0"/>
              <w:widowControl/>
              <w:kinsoku/>
              <w:wordWrap/>
              <w:overflowPunct/>
              <w:topLinePunct w:val="0"/>
              <w:autoSpaceDE/>
              <w:autoSpaceDN/>
              <w:bidi w:val="0"/>
              <w:adjustRightInd w:val="0"/>
              <w:snapToGrid/>
              <w:spacing w:before="0" w:after="0" w:line="400" w:lineRule="exact"/>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spacing w:val="0"/>
                <w:kern w:val="2"/>
                <w:sz w:val="28"/>
                <w:szCs w:val="28"/>
                <w:lang w:val="en-US" w:eastAsia="zh-CN" w:bidi="ar-SA"/>
              </w:rPr>
              <w:t>根据“最后报价”计算价格得分。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eastAsia="zh-CN"/>
              </w:rPr>
              <w:t>服务方案</w:t>
            </w:r>
          </w:p>
        </w:tc>
        <w:tc>
          <w:tcPr>
            <w:tcW w:w="840"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64</w:t>
            </w: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总体服务方案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响应人提供本项目总体服务方案，包括①</w:t>
            </w:r>
            <w:r>
              <w:rPr>
                <w:rFonts w:hint="eastAsia" w:ascii="仿宋_GB2312" w:hAnsi="仿宋_GB2312" w:eastAsia="仿宋_GB2312" w:cs="仿宋_GB2312"/>
                <w:kern w:val="2"/>
                <w:sz w:val="28"/>
                <w:szCs w:val="28"/>
                <w:lang w:val="en-US" w:eastAsia="zh-CN" w:bidi="ar-SA"/>
              </w:rPr>
              <w:t>服务目标</w:t>
            </w:r>
            <w:r>
              <w:rPr>
                <w:rFonts w:hint="eastAsia" w:ascii="仿宋_GB2312" w:hAnsi="仿宋_GB2312" w:eastAsia="仿宋_GB2312" w:cs="仿宋_GB2312"/>
                <w:sz w:val="28"/>
                <w:szCs w:val="28"/>
                <w:lang w:val="en-US" w:eastAsia="zh-CN"/>
              </w:rPr>
              <w:t>②</w:t>
            </w:r>
            <w:r>
              <w:rPr>
                <w:rFonts w:hint="eastAsia" w:ascii="仿宋_GB2312" w:hAnsi="仿宋_GB2312" w:eastAsia="仿宋_GB2312" w:cs="仿宋_GB2312"/>
                <w:kern w:val="2"/>
                <w:sz w:val="28"/>
                <w:szCs w:val="28"/>
                <w:lang w:val="en-US" w:eastAsia="zh-CN" w:bidi="ar-SA"/>
              </w:rPr>
              <w:t>管理理念</w:t>
            </w:r>
            <w:r>
              <w:rPr>
                <w:rFonts w:hint="eastAsia" w:ascii="仿宋_GB2312" w:hAnsi="仿宋_GB2312" w:eastAsia="仿宋_GB2312" w:cs="仿宋_GB2312"/>
                <w:sz w:val="28"/>
                <w:szCs w:val="28"/>
                <w:lang w:val="en-US" w:eastAsia="zh-CN"/>
              </w:rPr>
              <w:t>③</w:t>
            </w:r>
            <w:r>
              <w:rPr>
                <w:rFonts w:hint="eastAsia" w:ascii="仿宋_GB2312" w:hAnsi="仿宋_GB2312" w:eastAsia="仿宋_GB2312" w:cs="仿宋_GB2312"/>
                <w:kern w:val="2"/>
                <w:sz w:val="28"/>
                <w:szCs w:val="28"/>
                <w:lang w:val="en-US" w:eastAsia="zh-CN" w:bidi="ar-SA"/>
              </w:rPr>
              <w:t>重难点分析及保障措施④项目进驻及筹备程序</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组织机构设置</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响应人提供本项目组织机构设置，包括①</w:t>
            </w:r>
            <w:r>
              <w:rPr>
                <w:rFonts w:hint="eastAsia" w:ascii="仿宋_GB2312" w:hAnsi="仿宋_GB2312" w:eastAsia="仿宋_GB2312" w:cs="仿宋_GB2312"/>
                <w:kern w:val="2"/>
                <w:sz w:val="28"/>
                <w:szCs w:val="28"/>
                <w:lang w:val="en-US" w:eastAsia="zh-CN" w:bidi="ar-SA"/>
              </w:rPr>
              <w:t>公司组织机构设置</w:t>
            </w:r>
            <w:r>
              <w:rPr>
                <w:rFonts w:hint="eastAsia" w:ascii="仿宋_GB2312" w:hAnsi="仿宋_GB2312" w:eastAsia="仿宋_GB2312" w:cs="仿宋_GB2312"/>
                <w:sz w:val="28"/>
                <w:szCs w:val="28"/>
                <w:lang w:val="en-US" w:eastAsia="zh-CN"/>
              </w:rPr>
              <w:t>②项目组织机构设置③</w:t>
            </w:r>
            <w:r>
              <w:rPr>
                <w:rFonts w:hint="eastAsia" w:ascii="仿宋_GB2312" w:hAnsi="仿宋_GB2312" w:eastAsia="仿宋_GB2312" w:cs="仿宋_GB2312"/>
                <w:kern w:val="2"/>
                <w:sz w:val="28"/>
                <w:szCs w:val="28"/>
                <w:lang w:val="en-US" w:eastAsia="zh-CN" w:bidi="ar-SA"/>
              </w:rPr>
              <w:t>拟派人员清单</w:t>
            </w:r>
            <w:r>
              <w:rPr>
                <w:rFonts w:hint="eastAsia" w:ascii="仿宋_GB2312" w:hAnsi="仿宋_GB2312" w:eastAsia="仿宋_GB2312" w:cs="仿宋_GB2312"/>
                <w:kern w:val="2"/>
                <w:sz w:val="28"/>
                <w:szCs w:val="28"/>
                <w:highlight w:val="none"/>
                <w:lang w:val="en-US" w:eastAsia="zh-CN" w:bidi="ar-SA"/>
              </w:rPr>
              <w:t>（包含姓名、年龄、工作经验等信息）</w:t>
            </w:r>
            <w:r>
              <w:rPr>
                <w:rFonts w:hint="eastAsia" w:ascii="仿宋_GB2312" w:hAnsi="仿宋_GB2312" w:eastAsia="仿宋_GB2312" w:cs="仿宋_GB2312"/>
                <w:kern w:val="2"/>
                <w:sz w:val="28"/>
                <w:szCs w:val="28"/>
                <w:lang w:val="en-US" w:eastAsia="zh-CN" w:bidi="ar-SA"/>
              </w:rPr>
              <w:t>④拟派人员分工及岗位职责</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日常运行服务方案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响应人提供本项目日常运行服务方案，包括①引导、运送乘客</w:t>
            </w:r>
            <w:r>
              <w:rPr>
                <w:rFonts w:hint="eastAsia" w:ascii="仿宋_GB2312" w:hAnsi="仿宋_GB2312" w:eastAsia="仿宋_GB2312" w:cs="仿宋_GB2312"/>
                <w:kern w:val="2"/>
                <w:sz w:val="28"/>
                <w:szCs w:val="28"/>
                <w:lang w:val="en-US" w:eastAsia="zh-CN" w:bidi="ar-SA"/>
              </w:rPr>
              <w:t>实施方案</w:t>
            </w:r>
            <w:r>
              <w:rPr>
                <w:rFonts w:hint="eastAsia" w:ascii="仿宋_GB2312" w:hAnsi="仿宋_GB2312" w:eastAsia="仿宋_GB2312" w:cs="仿宋_GB2312"/>
                <w:sz w:val="28"/>
                <w:szCs w:val="28"/>
                <w:lang w:val="en-US" w:eastAsia="zh-CN"/>
              </w:rPr>
              <w:t>②电梯卫生清洁</w:t>
            </w:r>
            <w:r>
              <w:rPr>
                <w:rFonts w:hint="eastAsia" w:ascii="仿宋_GB2312" w:hAnsi="仿宋_GB2312" w:eastAsia="仿宋_GB2312" w:cs="仿宋_GB2312"/>
                <w:kern w:val="2"/>
                <w:sz w:val="28"/>
                <w:szCs w:val="28"/>
                <w:lang w:val="en-US" w:eastAsia="zh-CN" w:bidi="ar-SA"/>
              </w:rPr>
              <w:t>实施方案</w:t>
            </w:r>
            <w:r>
              <w:rPr>
                <w:rFonts w:hint="eastAsia" w:ascii="仿宋_GB2312" w:hAnsi="仿宋_GB2312" w:eastAsia="仿宋_GB2312" w:cs="仿宋_GB2312"/>
                <w:sz w:val="28"/>
                <w:szCs w:val="28"/>
                <w:lang w:val="en-US" w:eastAsia="zh-CN"/>
              </w:rPr>
              <w:t>③电梯安全巡查实施方案④开、关电梯</w:t>
            </w:r>
            <w:r>
              <w:rPr>
                <w:rFonts w:hint="eastAsia" w:ascii="仿宋_GB2312" w:hAnsi="仿宋_GB2312" w:eastAsia="仿宋_GB2312" w:cs="仿宋_GB2312"/>
                <w:kern w:val="2"/>
                <w:sz w:val="28"/>
                <w:szCs w:val="28"/>
                <w:lang w:val="en-US" w:eastAsia="zh-CN" w:bidi="ar-SA"/>
              </w:rPr>
              <w:t>实施方案</w:t>
            </w:r>
            <w:r>
              <w:rPr>
                <w:rFonts w:hint="eastAsia" w:ascii="仿宋_GB2312" w:hAnsi="仿宋_GB2312" w:eastAsia="仿宋_GB2312" w:cs="仿宋_GB2312"/>
                <w:sz w:val="28"/>
                <w:szCs w:val="28"/>
                <w:lang w:val="en-US" w:eastAsia="zh-CN"/>
              </w:rPr>
              <w:t>。</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1、完整性：方案内容完整全面，对上述各项内容均有详细描述及说明，得2分；缺1项，得1.5分；缺2项，得1分；缺3项，得0.5分。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2、针对性：针对性强，得4分；针对性一般，得2分；缺乏针对性，得0分。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3、可实施性：可实施性强，得4分；可实施性一般，得2分；缺乏可实施性，得0分。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特殊情况服务方案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w:t>
            </w:r>
            <w:r>
              <w:rPr>
                <w:rFonts w:hint="eastAsia" w:ascii="仿宋_GB2312" w:hAnsi="仿宋_GB2312" w:eastAsia="仿宋_GB2312" w:cs="仿宋_GB2312"/>
                <w:kern w:val="2"/>
                <w:sz w:val="28"/>
                <w:szCs w:val="28"/>
                <w:lang w:val="en-US" w:eastAsia="zh-CN" w:bidi="ar-SA"/>
              </w:rPr>
              <w:t>特殊情况服务方案</w:t>
            </w:r>
            <w:r>
              <w:rPr>
                <w:rFonts w:hint="eastAsia" w:ascii="仿宋_GB2312" w:hAnsi="仿宋_GB2312" w:eastAsia="仿宋_GB2312" w:cs="仿宋_GB2312"/>
                <w:sz w:val="28"/>
                <w:szCs w:val="28"/>
                <w:lang w:val="en-US" w:eastAsia="zh-CN"/>
              </w:rPr>
              <w:t>，包括①工作日</w:t>
            </w:r>
            <w:r>
              <w:rPr>
                <w:rFonts w:hint="eastAsia" w:ascii="仿宋_GB2312" w:hAnsi="仿宋_GB2312" w:eastAsia="仿宋_GB2312" w:cs="仿宋_GB2312"/>
                <w:kern w:val="2"/>
                <w:sz w:val="28"/>
                <w:szCs w:val="28"/>
                <w:lang w:val="en-US" w:eastAsia="zh-CN" w:bidi="ar-SA"/>
              </w:rPr>
              <w:t>下班时间及节假日服务</w:t>
            </w:r>
            <w:r>
              <w:rPr>
                <w:rFonts w:hint="eastAsia" w:ascii="仿宋_GB2312" w:hAnsi="仿宋_GB2312" w:eastAsia="仿宋_GB2312" w:cs="仿宋_GB2312"/>
                <w:sz w:val="28"/>
                <w:szCs w:val="28"/>
                <w:lang w:val="en-US" w:eastAsia="zh-CN"/>
              </w:rPr>
              <w:t>方案②就诊高峰期</w:t>
            </w:r>
            <w:r>
              <w:rPr>
                <w:rFonts w:hint="eastAsia" w:ascii="仿宋_GB2312" w:hAnsi="仿宋_GB2312" w:eastAsia="仿宋_GB2312" w:cs="仿宋_GB2312"/>
                <w:kern w:val="2"/>
                <w:sz w:val="28"/>
                <w:szCs w:val="28"/>
                <w:lang w:val="en-US" w:eastAsia="zh-CN" w:bidi="ar-SA"/>
              </w:rPr>
              <w:t>服务</w:t>
            </w:r>
            <w:r>
              <w:rPr>
                <w:rFonts w:hint="eastAsia" w:ascii="仿宋_GB2312" w:hAnsi="仿宋_GB2312" w:eastAsia="仿宋_GB2312" w:cs="仿宋_GB2312"/>
                <w:sz w:val="28"/>
                <w:szCs w:val="28"/>
                <w:lang w:val="en-US" w:eastAsia="zh-CN"/>
              </w:rPr>
              <w:t>方案③临时活动（大型会议、上级检查等）服务方案。</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1、完整性：方案内容完整全面，对上述各项内容均有详细描述及说明，得2分；缺1项，得1.3分；缺2项，得0.6分。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2、针对性：针对性强，得2分；针对性一般，得1分；缺乏针对性，得0分。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应急预案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838" w:type="dxa"/>
            <w:vAlign w:val="center"/>
          </w:tcPr>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一、评审内容</w:t>
            </w:r>
          </w:p>
          <w:p>
            <w:pPr>
              <w:keepNext w:val="0"/>
              <w:keepLines w:val="0"/>
              <w:pageBreakBefore w:val="0"/>
              <w:widowControl/>
              <w:numPr>
                <w:ilvl w:val="0"/>
                <w:numId w:val="0"/>
              </w:numPr>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响应人提供本项目</w:t>
            </w:r>
            <w:r>
              <w:rPr>
                <w:rFonts w:hint="eastAsia" w:ascii="仿宋_GB2312" w:hAnsi="仿宋_GB2312" w:eastAsia="仿宋_GB2312" w:cs="仿宋_GB2312"/>
                <w:kern w:val="2"/>
                <w:sz w:val="28"/>
                <w:szCs w:val="28"/>
                <w:lang w:val="en-US" w:eastAsia="zh-CN" w:bidi="ar-SA"/>
              </w:rPr>
              <w:t>应急预案</w:t>
            </w:r>
            <w:r>
              <w:rPr>
                <w:rFonts w:hint="eastAsia" w:ascii="仿宋_GB2312" w:hAnsi="仿宋_GB2312" w:eastAsia="仿宋_GB2312" w:cs="仿宋_GB2312"/>
                <w:sz w:val="28"/>
                <w:szCs w:val="28"/>
                <w:lang w:val="en-US" w:eastAsia="zh-CN"/>
              </w:rPr>
              <w:t>，包括①电梯事故应急预案（</w:t>
            </w:r>
            <w:r>
              <w:rPr>
                <w:rFonts w:hint="eastAsia" w:ascii="仿宋_GB2312" w:hAnsi="仿宋_GB2312" w:eastAsia="仿宋_GB2312" w:cs="仿宋_GB2312"/>
                <w:kern w:val="2"/>
                <w:sz w:val="28"/>
                <w:szCs w:val="28"/>
                <w:lang w:val="en-US" w:eastAsia="zh-CN" w:bidi="ar-SA"/>
              </w:rPr>
              <w:t>停电、困人、溢水、火灾、地震等突发事件</w:t>
            </w:r>
            <w:r>
              <w:rPr>
                <w:rFonts w:hint="eastAsia" w:ascii="仿宋_GB2312" w:hAnsi="仿宋_GB2312" w:eastAsia="仿宋_GB2312" w:cs="仿宋_GB2312"/>
                <w:sz w:val="28"/>
                <w:szCs w:val="28"/>
                <w:lang w:val="en-US" w:eastAsia="zh-CN"/>
              </w:rPr>
              <w:t>）②危重病人紧急运送实施方案。</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二、赋分标准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1、完整性：方案内容完整全面，对上述各项内容均有详细描述及说明，得1分；缺1项，得0.5分。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2、针对性：针对性强，得3分；针对性一般，得1.5分；缺乏针对性，得0分。</w:t>
            </w:r>
          </w:p>
          <w:p>
            <w:pPr>
              <w:pStyle w:val="50"/>
              <w:keepNext w:val="0"/>
              <w:keepLines w:val="0"/>
              <w:pageBreakBefore w:val="0"/>
              <w:widowControl/>
              <w:kinsoku/>
              <w:wordWrap/>
              <w:overflowPunct/>
              <w:topLinePunct w:val="0"/>
              <w:bidi w:val="0"/>
              <w:spacing w:line="400" w:lineRule="exact"/>
              <w:ind w:left="0" w:leftChars="0" w:firstLine="0" w:firstLineChars="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安全保障方案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响应人提供本项目安全保障方案，包括①维持乘梯秩序方案②故障处置措施③电梯维保配合工作方案④消防安全管理方案。</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1、完整性：方案内容完整全面，对上述各项内容均有详细描述及说明，得2分；缺1项，得1.5分；缺2项，得1分；缺3项，得0.5分。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此项不提供不得分。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管理制度</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管理制度，包括①工作制度：岗位工作职责、服务质量标准、工作记录及档案管理制度②内控制度：服务质量监督考核办法、奖惩制度、问责机制③人员制度：人员考勤及请销假制度、仪容仪表制度、人员培训制度。</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1、完整性：方案内容完整全面，对上述各项内容均有详细描述及说明，得2分；缺1项，得1.3分；缺2项，得0.6分。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2、针对性：针对性强，得3分；针对性一般，得1.5分；缺乏针对性，得0分。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3、可实施性：可实施性强，得3分；可实施性一般，得1.5分；缺乏可实施性，得0分。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培训实施方案</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一、评审内容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响应人提供本项目的培训实施方案，包括①培训计划②培训形式③培训内容。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二、赋分标准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1、完整性：方案内容完整全面，对上述各项内容均有详细描述及说明，得2分；缺1项，得1.3分；缺2项，得0.6分。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2、针对性：针对性强，得2分；针对性一般，得1分；缺乏针对性，得0分。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3、可实施性：可实施性强，得2分；可实施性一般，得1分；缺乏可实施性，得0分。</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此项不提供不得分。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40" w:type="dxa"/>
            <w:vMerge w:val="continue"/>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服务优化</w:t>
            </w:r>
          </w:p>
        </w:tc>
        <w:tc>
          <w:tcPr>
            <w:tcW w:w="787" w:type="dxa"/>
            <w:vAlign w:val="center"/>
          </w:tcPr>
          <w:p>
            <w:pPr>
              <w:keepNext w:val="0"/>
              <w:keepLines w:val="0"/>
              <w:pageBreakBefore w:val="0"/>
              <w:widowControl w:val="0"/>
              <w:kinsoku/>
              <w:wordWrap/>
              <w:overflowPunct/>
              <w:topLinePunct w:val="0"/>
              <w:bidi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838" w:type="dxa"/>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针对本项目提供具有特色的管理服务思路和措施、增值服务等，每项1分，最多得2分。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6" w:hRule="atLeast"/>
          <w:jc w:val="center"/>
        </w:trPr>
        <w:tc>
          <w:tcPr>
            <w:tcW w:w="791" w:type="dxa"/>
            <w:vMerge w:val="continue"/>
            <w:vAlign w:val="center"/>
          </w:tcPr>
          <w:p>
            <w:pPr>
              <w:keepNext w:val="0"/>
              <w:keepLines w:val="0"/>
              <w:pageBreakBefore w:val="0"/>
              <w:kinsoku/>
              <w:wordWrap/>
              <w:overflowPunct/>
              <w:topLinePunct w:val="0"/>
              <w:bidi w:val="0"/>
              <w:spacing w:line="400" w:lineRule="exact"/>
              <w:textAlignment w:val="auto"/>
              <w:rPr>
                <w:rFonts w:hint="eastAsia" w:ascii="仿宋_GB2312" w:hAnsi="仿宋_GB2312" w:eastAsia="仿宋_GB2312" w:cs="仿宋_GB231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bidi w:val="0"/>
              <w:adjustRightInd w:val="0"/>
              <w:snapToGrid w:val="0"/>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人员配备</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838" w:type="dxa"/>
            <w:vAlign w:val="center"/>
          </w:tcPr>
          <w:p>
            <w:pPr>
              <w:keepNext w:val="0"/>
              <w:keepLines w:val="0"/>
              <w:pageBreakBefore w:val="0"/>
              <w:numPr>
                <w:ilvl w:val="0"/>
                <w:numId w:val="0"/>
              </w:numPr>
              <w:kinsoku/>
              <w:wordWrap/>
              <w:overflowPunct/>
              <w:topLinePunct w:val="0"/>
              <w:bidi w:val="0"/>
              <w:spacing w:line="40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拟派管理人员具有电梯运行服务管理经验的，每年得1分，最多得3分。</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赋分依据：</w:t>
            </w:r>
            <w:r>
              <w:rPr>
                <w:rFonts w:hint="eastAsia" w:ascii="仿宋_GB2312" w:hAnsi="仿宋_GB2312" w:eastAsia="仿宋_GB2312" w:cs="仿宋_GB2312"/>
                <w:sz w:val="28"/>
                <w:szCs w:val="28"/>
                <w:lang w:val="en-US" w:eastAsia="zh-CN"/>
              </w:rPr>
              <w:t>提供相关管理经验证明材料或被服务单位加盖公章的管理经验证明材料，证明材料可累计，格式不限，不提供或提供无效材料均不得分。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791" w:type="dxa"/>
            <w:vMerge w:val="restart"/>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lang w:val="en-US" w:eastAsia="zh-CN"/>
              </w:rPr>
              <w:t>商务</w:t>
            </w:r>
          </w:p>
        </w:tc>
        <w:tc>
          <w:tcPr>
            <w:tcW w:w="840" w:type="dxa"/>
            <w:vMerge w:val="restart"/>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826"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业绩</w:t>
            </w:r>
          </w:p>
        </w:tc>
        <w:tc>
          <w:tcPr>
            <w:tcW w:w="787" w:type="dxa"/>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lang w:val="en-US" w:eastAsia="zh-CN"/>
              </w:rPr>
              <w:t>4</w:t>
            </w:r>
          </w:p>
        </w:tc>
        <w:tc>
          <w:tcPr>
            <w:tcW w:w="5838" w:type="dxa"/>
            <w:vAlign w:val="center"/>
          </w:tcPr>
          <w:p>
            <w:pPr>
              <w:keepNext w:val="0"/>
              <w:keepLines w:val="0"/>
              <w:pageBreakBefore w:val="0"/>
              <w:kinsoku/>
              <w:wordWrap/>
              <w:overflowPunct/>
              <w:topLinePunct w:val="0"/>
              <w:bidi w:val="0"/>
              <w:spacing w:line="400" w:lineRule="exact"/>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提供</w:t>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lang w:val="en-US" w:eastAsia="zh-CN"/>
              </w:rPr>
              <w:t>21</w:t>
            </w:r>
            <w:r>
              <w:rPr>
                <w:rFonts w:hint="eastAsia" w:ascii="仿宋_GB2312" w:hAnsi="仿宋_GB2312" w:eastAsia="仿宋_GB2312" w:cs="仿宋_GB2312"/>
                <w:sz w:val="28"/>
                <w:szCs w:val="28"/>
              </w:rPr>
              <w:t>年1月1日以来</w:t>
            </w:r>
            <w:r>
              <w:rPr>
                <w:rFonts w:hint="eastAsia" w:ascii="仿宋_GB2312" w:hAnsi="仿宋_GB2312" w:eastAsia="仿宋_GB2312" w:cs="仿宋_GB2312"/>
                <w:sz w:val="28"/>
                <w:szCs w:val="28"/>
                <w:lang w:val="en-US" w:eastAsia="zh-CN"/>
              </w:rPr>
              <w:t>同类</w:t>
            </w:r>
            <w:r>
              <w:rPr>
                <w:rFonts w:hint="eastAsia" w:ascii="仿宋_GB2312" w:hAnsi="仿宋_GB2312" w:eastAsia="仿宋_GB2312" w:cs="仿宋_GB2312"/>
                <w:sz w:val="28"/>
                <w:szCs w:val="28"/>
              </w:rPr>
              <w:t>项目</w:t>
            </w:r>
            <w:r>
              <w:rPr>
                <w:rFonts w:hint="eastAsia" w:ascii="仿宋_GB2312" w:hAnsi="仿宋_GB2312" w:eastAsia="仿宋_GB2312" w:cs="仿宋_GB2312"/>
                <w:sz w:val="28"/>
                <w:szCs w:val="28"/>
                <w:lang w:val="en-US" w:eastAsia="zh-CN"/>
              </w:rPr>
              <w:t>合同</w:t>
            </w:r>
            <w:r>
              <w:rPr>
                <w:rFonts w:hint="eastAsia" w:ascii="仿宋_GB2312" w:hAnsi="仿宋_GB2312" w:eastAsia="仿宋_GB2312" w:cs="仿宋_GB2312"/>
                <w:sz w:val="28"/>
                <w:szCs w:val="28"/>
              </w:rPr>
              <w:t>复印件加盖响应人公章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以合同签订日期为准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，每份1分，</w:t>
            </w:r>
            <w:r>
              <w:rPr>
                <w:rFonts w:hint="eastAsia" w:ascii="仿宋_GB2312" w:hAnsi="仿宋_GB2312" w:eastAsia="仿宋_GB2312" w:cs="仿宋_GB2312"/>
                <w:sz w:val="28"/>
                <w:szCs w:val="28"/>
                <w:lang w:val="en-US" w:eastAsia="zh-CN"/>
              </w:rPr>
              <w:t>最多得4</w:t>
            </w:r>
            <w:r>
              <w:rPr>
                <w:rFonts w:hint="eastAsia" w:ascii="仿宋_GB2312" w:hAns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91" w:type="dxa"/>
            <w:vMerge w:val="continue"/>
            <w:vAlign w:val="center"/>
          </w:tcPr>
          <w:p>
            <w:pPr>
              <w:pStyle w:val="17"/>
              <w:keepNext w:val="0"/>
              <w:keepLines w:val="0"/>
              <w:pageBreakBefore w:val="0"/>
              <w:kinsoku/>
              <w:wordWrap/>
              <w:overflowPunct/>
              <w:topLinePunct w:val="0"/>
              <w:bidi w:val="0"/>
              <w:snapToGrid w:val="0"/>
              <w:spacing w:beforeAutospacing="0" w:afterAutospacing="0" w:line="400" w:lineRule="exact"/>
              <w:jc w:val="center"/>
              <w:textAlignment w:val="auto"/>
              <w:rPr>
                <w:rFonts w:hint="eastAsia" w:ascii="仿宋_GB2312" w:hAnsi="仿宋_GB2312" w:eastAsia="仿宋_GB2312" w:cs="仿宋_GB2312"/>
                <w:kern w:val="2"/>
                <w:sz w:val="28"/>
                <w:szCs w:val="28"/>
              </w:rPr>
            </w:pPr>
          </w:p>
        </w:tc>
        <w:tc>
          <w:tcPr>
            <w:tcW w:w="840" w:type="dxa"/>
            <w:vMerge w:val="continue"/>
            <w:vAlign w:val="center"/>
          </w:tcPr>
          <w:p>
            <w:pPr>
              <w:keepNext w:val="0"/>
              <w:keepLines w:val="0"/>
              <w:pageBreakBefore w:val="0"/>
              <w:kinsoku/>
              <w:wordWrap/>
              <w:overflowPunct/>
              <w:topLinePunct w:val="0"/>
              <w:bidi w:val="0"/>
              <w:snapToGrid w:val="0"/>
              <w:spacing w:line="400" w:lineRule="exact"/>
              <w:jc w:val="center"/>
              <w:textAlignment w:val="auto"/>
              <w:rPr>
                <w:rFonts w:hint="eastAsia" w:ascii="仿宋_GB2312" w:hAnsi="仿宋_GB2312" w:eastAsia="仿宋_GB2312" w:cs="仿宋_GB2312"/>
                <w:sz w:val="28"/>
                <w:szCs w:val="28"/>
              </w:rPr>
            </w:pPr>
          </w:p>
        </w:tc>
        <w:tc>
          <w:tcPr>
            <w:tcW w:w="826"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服务承诺</w:t>
            </w:r>
          </w:p>
        </w:tc>
        <w:tc>
          <w:tcPr>
            <w:tcW w:w="787" w:type="dxa"/>
            <w:vAlign w:val="center"/>
          </w:tcPr>
          <w:p>
            <w:pPr>
              <w:keepNext w:val="0"/>
              <w:keepLines w:val="0"/>
              <w:pageBreakBefore w:val="0"/>
              <w:kinsoku/>
              <w:wordWrap/>
              <w:overflowPunct/>
              <w:topLinePunct w:val="0"/>
              <w:autoSpaceDE w:val="0"/>
              <w:autoSpaceDN w:val="0"/>
              <w:bidi w:val="0"/>
              <w:adjustRightInd w:val="0"/>
              <w:spacing w:line="400" w:lineRule="exact"/>
              <w:jc w:val="center"/>
              <w:textAlignment w:val="auto"/>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5838" w:type="dxa"/>
            <w:vAlign w:val="center"/>
          </w:tcPr>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上岗人员固定，不随意更换，若出现人员因事、病等不能工作的，及时调整其他人员补充，确保服务工作的正常进行</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r>
              <w:rPr>
                <w:rFonts w:hint="eastAsia" w:ascii="仿宋_GB2312" w:hAnsi="仿宋_GB2312" w:eastAsia="仿宋_GB2312" w:cs="仿宋_GB2312"/>
                <w:sz w:val="28"/>
                <w:szCs w:val="28"/>
                <w:lang w:eastAsia="zh-CN"/>
              </w:rPr>
              <w:t>。</w:t>
            </w:r>
          </w:p>
          <w:p>
            <w:pPr>
              <w:keepNext w:val="0"/>
              <w:keepLines w:val="0"/>
              <w:pageBreakBefore w:val="0"/>
              <w:numPr>
                <w:ilvl w:val="0"/>
                <w:numId w:val="0"/>
              </w:numPr>
              <w:kinsoku/>
              <w:wordWrap/>
              <w:overflowPunct/>
              <w:topLinePunct w:val="0"/>
              <w:bidi w:val="0"/>
              <w:spacing w:line="400" w:lineRule="exact"/>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w:t>
            </w:r>
            <w:r>
              <w:rPr>
                <w:rFonts w:hint="eastAsia" w:ascii="仿宋_GB2312" w:hAnsi="仿宋_GB2312" w:eastAsia="仿宋_GB2312" w:cs="仿宋_GB2312"/>
                <w:sz w:val="28"/>
                <w:szCs w:val="28"/>
                <w:lang w:val="en-US" w:eastAsia="zh-CN"/>
              </w:rPr>
              <w:t>承诺：</w:t>
            </w:r>
            <w:r>
              <w:rPr>
                <w:rFonts w:hint="eastAsia" w:ascii="仿宋_GB2312" w:hAnsi="仿宋_GB2312" w:eastAsia="仿宋_GB2312" w:cs="仿宋_GB2312"/>
                <w:sz w:val="28"/>
                <w:szCs w:val="28"/>
              </w:rPr>
              <w:t>储备可调度人员，调度人员</w:t>
            </w:r>
            <w:r>
              <w:rPr>
                <w:rFonts w:hint="eastAsia" w:ascii="仿宋_GB2312" w:hAnsi="仿宋_GB2312" w:eastAsia="仿宋_GB2312" w:cs="仿宋_GB2312"/>
                <w:sz w:val="28"/>
                <w:szCs w:val="28"/>
                <w:lang w:val="en-US" w:eastAsia="zh-CN"/>
              </w:rPr>
              <w:t>能够</w:t>
            </w:r>
            <w:r>
              <w:rPr>
                <w:rFonts w:hint="eastAsia" w:ascii="仿宋_GB2312" w:hAnsi="仿宋_GB2312" w:eastAsia="仿宋_GB2312" w:cs="仿宋_GB2312"/>
                <w:sz w:val="28"/>
                <w:szCs w:val="28"/>
              </w:rPr>
              <w:t>保障临时性工作需要及处置突发事件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得1分，无承诺不得分。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restart"/>
            <w:vAlign w:val="center"/>
          </w:tcPr>
          <w:p>
            <w:pPr>
              <w:keepNext w:val="0"/>
              <w:keepLines w:val="0"/>
              <w:pageBreakBefore w:val="0"/>
              <w:kinsoku/>
              <w:wordWrap/>
              <w:overflowPunct/>
              <w:topLinePunct w:val="0"/>
              <w:bidi w:val="0"/>
              <w:spacing w:line="40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说明</w:t>
            </w:r>
          </w:p>
        </w:tc>
        <w:tc>
          <w:tcPr>
            <w:tcW w:w="8291" w:type="dxa"/>
            <w:gridSpan w:val="4"/>
            <w:vAlign w:val="center"/>
          </w:tcPr>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eastAsia="zh-CN"/>
              </w:rPr>
              <w:t>评审标准</w:t>
            </w:r>
            <w:r>
              <w:rPr>
                <w:rFonts w:hint="eastAsia" w:ascii="仿宋_GB2312" w:hAnsi="仿宋_GB2312" w:eastAsia="仿宋_GB2312" w:cs="仿宋_GB2312"/>
                <w:sz w:val="28"/>
                <w:szCs w:val="28"/>
                <w:lang w:eastAsia="zh-CN"/>
              </w:rPr>
              <w:t>：</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（1）针对性强：方案能够完全切合本项目实际情况。</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（2）针对性一般：方案中多数内容能够切合本项目实际情况，但存在至少一处不适用本项目实际的内容。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（3）缺乏针对性：方案描述不符合本项目</w:t>
            </w:r>
            <w:r>
              <w:rPr>
                <w:rFonts w:hint="eastAsia" w:ascii="仿宋_GB2312" w:hAnsi="仿宋_GB2312" w:eastAsia="仿宋_GB2312" w:cs="仿宋_GB2312"/>
                <w:sz w:val="28"/>
                <w:szCs w:val="28"/>
                <w:highlight w:val="none"/>
                <w:lang w:val="en-US" w:eastAsia="zh-CN"/>
              </w:rPr>
              <w:t>实际情况</w:t>
            </w:r>
            <w:r>
              <w:rPr>
                <w:rFonts w:hint="eastAsia" w:ascii="仿宋_GB2312" w:hAnsi="仿宋_GB2312" w:eastAsia="仿宋_GB2312" w:cs="仿宋_GB2312"/>
                <w:sz w:val="28"/>
                <w:szCs w:val="28"/>
                <w:lang w:eastAsia="zh-CN"/>
              </w:rPr>
              <w:t>，存在明显套用其他项目方案的内容。</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2、可实施性：</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（1）可实施性强：方案</w:t>
            </w:r>
            <w:r>
              <w:rPr>
                <w:rFonts w:hint="eastAsia" w:ascii="仿宋_GB2312" w:hAnsi="仿宋_GB2312" w:eastAsia="仿宋_GB2312" w:cs="仿宋_GB2312"/>
                <w:sz w:val="28"/>
                <w:szCs w:val="28"/>
                <w:lang w:val="en-US" w:eastAsia="zh-CN"/>
              </w:rPr>
              <w:t>工作流程完善，</w:t>
            </w:r>
            <w:r>
              <w:rPr>
                <w:rFonts w:hint="eastAsia" w:ascii="仿宋_GB2312" w:hAnsi="仿宋_GB2312" w:eastAsia="仿宋_GB2312" w:cs="仿宋_GB2312"/>
                <w:sz w:val="28"/>
                <w:szCs w:val="28"/>
                <w:lang w:eastAsia="zh-CN"/>
              </w:rPr>
              <w:t>实施步骤清晰，科学合理，可操作性强。</w:t>
            </w:r>
          </w:p>
          <w:p>
            <w:pPr>
              <w:keepNext w:val="0"/>
              <w:keepLines w:val="0"/>
              <w:pageBreakBefore w:val="0"/>
              <w:widowControl/>
              <w:kinsoku/>
              <w:wordWrap/>
              <w:overflowPunct/>
              <w:topLinePunct w:val="0"/>
              <w:bidi w:val="0"/>
              <w:spacing w:line="400" w:lineRule="exact"/>
              <w:jc w:val="left"/>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lang w:eastAsia="zh-CN"/>
              </w:rPr>
              <w:t>（2）可实施性一般：方案中存在至少一处表述模糊、难以执行或不够科学合理</w:t>
            </w:r>
            <w:r>
              <w:rPr>
                <w:rFonts w:hint="eastAsia" w:ascii="仿宋_GB2312" w:hAnsi="仿宋_GB2312" w:eastAsia="仿宋_GB2312" w:cs="仿宋_GB2312"/>
                <w:sz w:val="28"/>
                <w:szCs w:val="28"/>
                <w:highlight w:val="none"/>
                <w:lang w:eastAsia="zh-CN"/>
              </w:rPr>
              <w:t>的内容。</w:t>
            </w:r>
          </w:p>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highlight w:val="none"/>
                <w:lang w:eastAsia="zh-CN"/>
              </w:rPr>
              <w:t>（3）缺乏可实施性：方案内容空洞，工作流程不完善，实施标准、实施质量不利于采购需求的实现，存在逻辑漏洞、</w:t>
            </w:r>
            <w:r>
              <w:rPr>
                <w:rFonts w:hint="eastAsia" w:ascii="仿宋_GB2312" w:hAnsi="仿宋_GB2312" w:eastAsia="仿宋_GB2312" w:cs="仿宋_GB2312"/>
                <w:sz w:val="28"/>
                <w:szCs w:val="28"/>
                <w:highlight w:val="none"/>
                <w:lang w:val="en-US" w:eastAsia="zh-CN"/>
              </w:rPr>
              <w:t>常识错误</w:t>
            </w:r>
            <w:r>
              <w:rPr>
                <w:rFonts w:hint="eastAsia" w:ascii="仿宋_GB2312" w:hAnsi="仿宋_GB2312" w:eastAsia="仿宋_GB2312" w:cs="仿宋_GB2312"/>
                <w:sz w:val="28"/>
                <w:szCs w:val="28"/>
                <w:highlight w:val="none"/>
                <w:lang w:eastAsia="zh-CN"/>
              </w:rPr>
              <w:t>或合理性差</w:t>
            </w:r>
            <w:r>
              <w:rPr>
                <w:rFonts w:hint="eastAsia" w:ascii="仿宋_GB2312" w:hAnsi="仿宋_GB2312" w:eastAsia="仿宋_GB2312" w:cs="仿宋_GB2312"/>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91" w:type="dxa"/>
            <w:vMerge w:val="continue"/>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p>
        </w:tc>
        <w:tc>
          <w:tcPr>
            <w:tcW w:w="8291" w:type="dxa"/>
            <w:gridSpan w:val="4"/>
            <w:vAlign w:val="center"/>
          </w:tcPr>
          <w:p>
            <w:pPr>
              <w:keepNext w:val="0"/>
              <w:keepLines w:val="0"/>
              <w:pageBreakBefore w:val="0"/>
              <w:kinsoku/>
              <w:wordWrap/>
              <w:overflowPunct/>
              <w:topLinePunct w:val="0"/>
              <w:bidi w:val="0"/>
              <w:spacing w:line="40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磋商小组成员必须按照本评审要素据实打分，各类数字计算均按“四舍五入”保留小数点后两位</w:t>
            </w:r>
            <w:r>
              <w:rPr>
                <w:rFonts w:hint="eastAsia" w:ascii="仿宋_GB2312" w:hAnsi="仿宋_GB2312" w:eastAsia="仿宋_GB2312" w:cs="仿宋_GB2312"/>
                <w:sz w:val="28"/>
                <w:szCs w:val="28"/>
                <w:lang w:eastAsia="zh-CN"/>
              </w:rPr>
              <w:t>。</w:t>
            </w:r>
          </w:p>
        </w:tc>
      </w:tr>
    </w:tbl>
    <w:p>
      <w:pPr>
        <w:pStyle w:val="19"/>
        <w:pageBreakBefore w:val="0"/>
        <w:kinsoku/>
        <w:overflowPunct/>
        <w:topLinePunct w:val="0"/>
        <w:bidi w:val="0"/>
        <w:spacing w:line="500" w:lineRule="exact"/>
        <w:ind w:firstLine="0" w:firstLineChars="0"/>
        <w:textAlignment w:val="auto"/>
        <w:rPr>
          <w:color w:val="auto"/>
        </w:rPr>
      </w:pP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8、推荐成交候选供应商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小组应当根据综合评分情况，按照评审得分由高到低顺序推荐3名以上成交候选供应商（有效供应商不足三家时以实际数量推荐）。评审得分相同的，按照最后报价由低到高的顺序推荐。评审得分且最后报价相同的，按照技术指标优劣顺序推荐。</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9、编写评审报告</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同按评审报告推荐的顺序确定成交供应商。对拒绝说明理由的，须报政府采购监管部门处理，并将其评审情况如实计入考核表。</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当排序推荐磋商供应商名单出现多数评委成员的评审意见比较一致，某一个别评委的赋分畸高畸低，导致排序结果改变的，该评委</w:t>
      </w:r>
      <w:r>
        <w:rPr>
          <w:rFonts w:hint="eastAsia" w:ascii="仿宋_GB2312" w:hAnsi="仿宋_GB2312" w:eastAsia="仿宋_GB2312" w:cs="仿宋_GB2312"/>
          <w:color w:val="auto"/>
          <w:sz w:val="28"/>
          <w:szCs w:val="28"/>
          <w:lang w:val="en-US" w:eastAsia="zh-CN"/>
        </w:rPr>
        <w:t>应当</w:t>
      </w:r>
      <w:r>
        <w:rPr>
          <w:rFonts w:hint="eastAsia" w:ascii="仿宋_GB2312" w:hAnsi="仿宋_GB2312" w:eastAsia="仿宋_GB2312" w:cs="仿宋_GB2312"/>
          <w:color w:val="auto"/>
          <w:sz w:val="28"/>
          <w:szCs w:val="28"/>
        </w:rPr>
        <w:t>重新进行评价，并向磋商</w:t>
      </w:r>
      <w:r>
        <w:rPr>
          <w:rFonts w:hint="eastAsia" w:ascii="仿宋_GB2312" w:hAnsi="仿宋_GB2312" w:eastAsia="仿宋_GB2312" w:cs="仿宋_GB2312"/>
          <w:color w:val="auto"/>
          <w:sz w:val="28"/>
          <w:szCs w:val="28"/>
          <w:lang w:val="en-US" w:eastAsia="zh-CN"/>
        </w:rPr>
        <w:t>小组</w:t>
      </w:r>
      <w:r>
        <w:rPr>
          <w:rFonts w:hint="eastAsia" w:ascii="仿宋_GB2312" w:hAnsi="仿宋_GB2312" w:eastAsia="仿宋_GB2312" w:cs="仿宋_GB2312"/>
          <w:color w:val="auto"/>
          <w:sz w:val="28"/>
          <w:szCs w:val="28"/>
        </w:rPr>
        <w:t>说明其赋分的合理理由，对拒绝说明、拒绝重新评价的，报告同级财政政府采购管理部门处理。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除下列情形外，任何人不得以任何理由组织重新评审：</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①</w:t>
      </w:r>
      <w:r>
        <w:rPr>
          <w:rFonts w:hint="eastAsia" w:ascii="仿宋_GB2312" w:hAnsi="仿宋_GB2312" w:eastAsia="仿宋_GB2312" w:cs="仿宋_GB2312"/>
          <w:color w:val="auto"/>
          <w:sz w:val="28"/>
          <w:szCs w:val="28"/>
        </w:rPr>
        <w:t>资格性检查认定错误的；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②</w:t>
      </w:r>
      <w:r>
        <w:rPr>
          <w:rFonts w:hint="eastAsia" w:ascii="仿宋_GB2312" w:hAnsi="仿宋_GB2312" w:eastAsia="仿宋_GB2312" w:cs="仿宋_GB2312"/>
          <w:color w:val="auto"/>
          <w:sz w:val="28"/>
          <w:szCs w:val="28"/>
        </w:rPr>
        <w:t xml:space="preserve">分值汇总计算错误的； </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③</w:t>
      </w:r>
      <w:r>
        <w:rPr>
          <w:rFonts w:hint="eastAsia" w:ascii="仿宋_GB2312" w:hAnsi="仿宋_GB2312" w:eastAsia="仿宋_GB2312" w:cs="仿宋_GB2312"/>
          <w:color w:val="auto"/>
          <w:sz w:val="28"/>
          <w:szCs w:val="28"/>
        </w:rPr>
        <w:t>分项评分超出评分标准范围的；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④</w:t>
      </w:r>
      <w:r>
        <w:rPr>
          <w:rFonts w:hint="eastAsia" w:ascii="仿宋_GB2312" w:hAnsi="仿宋_GB2312" w:eastAsia="仿宋_GB2312" w:cs="仿宋_GB2312"/>
          <w:color w:val="auto"/>
          <w:sz w:val="28"/>
          <w:szCs w:val="28"/>
        </w:rPr>
        <w:t>客观分因素评分不一致的；</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⑤</w:t>
      </w:r>
      <w:r>
        <w:rPr>
          <w:rFonts w:hint="eastAsia" w:ascii="仿宋_GB2312" w:hAnsi="仿宋_GB2312" w:eastAsia="仿宋_GB2312" w:cs="仿宋_GB2312"/>
          <w:color w:val="auto"/>
          <w:sz w:val="28"/>
          <w:szCs w:val="28"/>
        </w:rPr>
        <w:t>经磋商小组一致认定评分畸高、畸低的情形。</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（六）有下列情况之一的，视为供应商串通投标，其投标无效：</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1、不同供应商的响应文件由同一单位或者个人编制；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2、不同供应商的响应文件由同一台电脑编制；</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3、不同供应商委托同一单位或者个人办理投标事宜；</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4、不同供应商的响应文件载明的项目管理成员或者联系人员为同一人；</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5、不同供应商的响应文件异常一致或者磋商报价呈规律性差异；</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6、政府采购法律法规及磋商文件规定的其他情形。</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53" w:name="_Toc22712"/>
      <w:bookmarkStart w:id="154" w:name="_Toc25855"/>
      <w:bookmarkStart w:id="155" w:name="_Toc28384"/>
      <w:bookmarkStart w:id="156" w:name="_Toc28287"/>
      <w:bookmarkStart w:id="157" w:name="_Toc4670"/>
      <w:bookmarkStart w:id="158" w:name="_Toc3023"/>
      <w:bookmarkStart w:id="159" w:name="_Toc17612"/>
      <w:bookmarkStart w:id="160" w:name="_Toc495014611"/>
      <w:bookmarkStart w:id="161" w:name="_Toc495014585"/>
      <w:bookmarkStart w:id="162" w:name="_Toc619_WPSOffice_Level1"/>
      <w:bookmarkStart w:id="163" w:name="_Toc424636365"/>
      <w:bookmarkStart w:id="164" w:name="_Toc495014954"/>
      <w:bookmarkStart w:id="165" w:name="_Toc495014920"/>
      <w:bookmarkStart w:id="166" w:name="_Toc28286_WPSOffice_Level1"/>
      <w:bookmarkStart w:id="167" w:name="_Toc495012771"/>
      <w:bookmarkStart w:id="168" w:name="_Toc495014649"/>
      <w:bookmarkStart w:id="169" w:name="_Toc445306493"/>
      <w:bookmarkStart w:id="170" w:name="_Toc495012821"/>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、成交</w:t>
      </w:r>
      <w:bookmarkEnd w:id="153"/>
      <w:bookmarkEnd w:id="154"/>
      <w:bookmarkEnd w:id="155"/>
      <w:bookmarkEnd w:id="156"/>
      <w:bookmarkEnd w:id="157"/>
      <w:bookmarkEnd w:id="158"/>
      <w:bookmarkEnd w:id="159"/>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在评审结束后2个工作日内将评审报告送采购人确认。</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采购人在收到评审报告之日起5个工作日内，从评审报告提出的成交候选供应商中，按照排序由高到低的原则确定成交供应商。采购人逾期未确定成交供应商且不提出异议的，视同按评审报告提出的排序第一的供应商为成交供应商。</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lang w:val="en-US" w:eastAsia="zh-CN"/>
        </w:rPr>
        <w:t>集中采购机构</w:t>
      </w:r>
      <w:r>
        <w:rPr>
          <w:rFonts w:hint="eastAsia" w:ascii="仿宋_GB2312" w:hAnsi="仿宋_GB2312" w:eastAsia="仿宋_GB2312" w:cs="仿宋_GB2312"/>
          <w:color w:val="auto"/>
          <w:sz w:val="28"/>
          <w:szCs w:val="28"/>
        </w:rPr>
        <w:t>将在成交供应商确定之日起2个工作日内，在</w:t>
      </w:r>
      <w:r>
        <w:rPr>
          <w:rFonts w:hint="eastAsia" w:ascii="仿宋_GB2312" w:hAnsi="仿宋_GB2312" w:eastAsia="仿宋_GB2312" w:cs="仿宋_GB2312"/>
          <w:color w:val="auto"/>
          <w:sz w:val="28"/>
          <w:szCs w:val="28"/>
          <w:lang w:val="en-US" w:eastAsia="zh-CN"/>
        </w:rPr>
        <w:t>以下网址发布结果公告：</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【陕西省政府采购网（www.ccgp-shaanxi.gov.cn/）】中的〖首页·〉市级公告·〉</w:t>
      </w:r>
      <w:r>
        <w:rPr>
          <w:rFonts w:hint="eastAsia" w:ascii="仿宋_GB2312" w:hAnsi="仿宋_GB2312" w:eastAsia="仿宋_GB2312" w:cs="仿宋_GB2312"/>
          <w:color w:val="auto"/>
          <w:sz w:val="28"/>
          <w:szCs w:val="28"/>
          <w:lang w:val="en-US" w:eastAsia="zh-CN"/>
        </w:rPr>
        <w:t>结果</w:t>
      </w:r>
      <w:r>
        <w:rPr>
          <w:rFonts w:hint="eastAsia" w:ascii="仿宋_GB2312" w:hAnsi="仿宋_GB2312" w:eastAsia="仿宋_GB2312" w:cs="仿宋_GB2312"/>
          <w:color w:val="auto"/>
          <w:sz w:val="28"/>
          <w:szCs w:val="28"/>
        </w:rPr>
        <w:t>公告</w:t>
      </w:r>
      <w:r>
        <w:rPr>
          <w:rFonts w:hint="eastAsia" w:ascii="仿宋_GB2312" w:hAnsi="仿宋_GB2312" w:eastAsia="仿宋_GB2312" w:cs="仿宋_GB2312"/>
          <w:color w:val="auto"/>
          <w:sz w:val="28"/>
          <w:szCs w:val="28"/>
          <w:lang w:val="en-US" w:eastAsia="zh-CN"/>
        </w:rPr>
        <w:t>/终止公告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【全国公共资源交易平台（汉中市）（sxggzyjy.hanzhong.gov.cn/）】中的〖首页·〉交易大厅·〉政府采购·〉</w:t>
      </w:r>
      <w:r>
        <w:rPr>
          <w:rFonts w:hint="eastAsia" w:ascii="仿宋_GB2312" w:hAnsi="仿宋_GB2312" w:eastAsia="仿宋_GB2312" w:cs="仿宋_GB2312"/>
          <w:color w:val="auto"/>
          <w:sz w:val="28"/>
          <w:szCs w:val="28"/>
          <w:lang w:val="en-US" w:eastAsia="zh-CN"/>
        </w:rPr>
        <w:t>中标（成交）结果/终止公告</w:t>
      </w:r>
      <w:r>
        <w:rPr>
          <w:rFonts w:hint="eastAsia" w:ascii="仿宋_GB2312" w:hAnsi="仿宋_GB2312" w:eastAsia="仿宋_GB2312" w:cs="仿宋_GB2312"/>
          <w:color w:val="auto"/>
          <w:sz w:val="28"/>
          <w:szCs w:val="28"/>
        </w:rPr>
        <w:t>〗。</w:t>
      </w:r>
    </w:p>
    <w:p>
      <w:pPr>
        <w:pageBreakBefore w:val="0"/>
        <w:widowControl/>
        <w:kinsoku/>
        <w:wordWrap w:val="0"/>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四</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采购人</w:t>
      </w:r>
      <w:r>
        <w:rPr>
          <w:rFonts w:hint="eastAsia" w:ascii="仿宋_GB2312" w:hAnsi="仿宋_GB2312" w:eastAsia="仿宋_GB2312" w:cs="仿宋_GB2312"/>
          <w:color w:val="auto"/>
          <w:sz w:val="28"/>
          <w:szCs w:val="28"/>
        </w:rPr>
        <w:t>向成交供应商发出成交通知书。</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bookmarkStart w:id="171" w:name="_Toc20049"/>
      <w:bookmarkStart w:id="172" w:name="_Toc10386"/>
      <w:bookmarkStart w:id="173" w:name="_Toc23938"/>
      <w:bookmarkStart w:id="174" w:name="_Toc3100"/>
      <w:bookmarkStart w:id="175" w:name="_Toc28870"/>
      <w:bookmarkStart w:id="176" w:name="_Toc18233"/>
      <w:bookmarkStart w:id="177" w:name="_Toc14009"/>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、签订</w:t>
      </w:r>
      <w:r>
        <w:rPr>
          <w:rFonts w:hint="eastAsia" w:ascii="仿宋_GB2312" w:hAnsi="仿宋_GB2312" w:eastAsia="仿宋_GB2312" w:cs="仿宋_GB2312"/>
          <w:color w:val="auto"/>
          <w:kern w:val="0"/>
          <w:sz w:val="28"/>
          <w:szCs w:val="28"/>
        </w:rPr>
        <w:t>政府采购合同</w:t>
      </w:r>
      <w:bookmarkEnd w:id="171"/>
      <w:bookmarkEnd w:id="172"/>
      <w:bookmarkEnd w:id="173"/>
      <w:bookmarkEnd w:id="174"/>
      <w:bookmarkEnd w:id="175"/>
      <w:bookmarkEnd w:id="176"/>
      <w:bookmarkEnd w:id="177"/>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（一）采购人与成交供应商应当在《成交通知书》发出之后，洽谈合同条款内容，拟定合同文本草案。并在《成交通知书》发出之日起30日内签订书面合同。</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（二）合同在执行过程中，确需修改、变更时，应当按照相应的审核批准程序办理。</w:t>
      </w:r>
    </w:p>
    <w:p>
      <w:pPr>
        <w:pageBreakBefore w:val="0"/>
        <w:widowControl/>
        <w:kinsoku/>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（三）磋商文件、补充通知、磋商响应文件、补充协议等为合同的组成部分，具有同等法律效力。成交供应商不得将合同分包、转让他人。</w:t>
      </w:r>
    </w:p>
    <w:p>
      <w:pPr>
        <w:pStyle w:val="3"/>
        <w:pageBreakBefore w:val="0"/>
        <w:widowControl/>
        <w:kinsoku/>
        <w:overflowPunct/>
        <w:topLinePunct w:val="0"/>
        <w:autoSpaceDE/>
        <w:autoSpaceDN/>
        <w:bidi w:val="0"/>
        <w:adjustRightInd/>
        <w:snapToGrid/>
        <w:spacing w:line="500" w:lineRule="exact"/>
        <w:ind w:firstLine="566" w:firstLineChars="200"/>
        <w:textAlignment w:val="auto"/>
        <w:rPr>
          <w:rFonts w:ascii="黑体" w:hAnsi="黑体" w:eastAsia="黑体"/>
          <w:color w:val="auto"/>
          <w:sz w:val="28"/>
          <w:szCs w:val="28"/>
        </w:rPr>
        <w:sectPr>
          <w:headerReference r:id="rId7" w:type="default"/>
          <w:footerReference r:id="rId8" w:type="default"/>
          <w:pgSz w:w="11906" w:h="16838"/>
          <w:pgMar w:top="1417" w:right="1417" w:bottom="1134" w:left="1417" w:header="850" w:footer="992" w:gutter="0"/>
          <w:pgBorders>
            <w:top w:val="none" w:sz="0" w:space="0"/>
            <w:left w:val="none" w:sz="0" w:space="0"/>
            <w:bottom w:val="none" w:sz="0" w:space="0"/>
            <w:right w:val="none" w:sz="0" w:space="0"/>
          </w:pgBorders>
          <w:pgNumType w:start="1"/>
          <w:cols w:space="720" w:num="1"/>
          <w:docGrid w:type="linesAndChars" w:linePitch="381" w:charSpace="704"/>
        </w:sectPr>
      </w:pPr>
      <w:bookmarkStart w:id="178" w:name="_Toc17324"/>
      <w:bookmarkStart w:id="179" w:name="_Toc14560"/>
      <w:bookmarkStart w:id="180" w:name="_Toc4764"/>
      <w:bookmarkStart w:id="181" w:name="_Toc23303"/>
      <w:bookmarkStart w:id="182" w:name="_Toc11780"/>
      <w:bookmarkStart w:id="183" w:name="_Toc11584"/>
      <w:bookmarkStart w:id="184" w:name="_Toc5278"/>
      <w:bookmarkStart w:id="185" w:name="_Toc8426"/>
      <w:bookmarkStart w:id="186" w:name="_Toc10336"/>
      <w:r>
        <w:rPr>
          <w:rFonts w:hint="eastAsia" w:ascii="仿宋_GB2312" w:hAnsi="仿宋_GB2312" w:eastAsia="仿宋_GB2312" w:cs="仿宋_GB2312"/>
          <w:color w:val="auto"/>
          <w:sz w:val="28"/>
          <w:szCs w:val="28"/>
        </w:rPr>
        <w:t>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采购代理服务费：免费</w:t>
      </w:r>
      <w:bookmarkEnd w:id="178"/>
      <w:bookmarkEnd w:id="179"/>
      <w:bookmarkEnd w:id="180"/>
      <w:bookmarkEnd w:id="181"/>
      <w:bookmarkEnd w:id="182"/>
      <w:bookmarkEnd w:id="183"/>
      <w:bookmarkEnd w:id="184"/>
      <w:bookmarkEnd w:id="185"/>
      <w:bookmarkEnd w:id="186"/>
    </w:p>
    <w:p>
      <w:pPr>
        <w:pStyle w:val="2"/>
        <w:rPr>
          <w:rFonts w:ascii="宋体" w:hAnsi="宋体" w:eastAsia="宋体" w:cs="仿宋"/>
          <w:szCs w:val="32"/>
        </w:rPr>
      </w:pPr>
      <w:bookmarkStart w:id="187" w:name="_Toc10476_WPSOffice_Level1"/>
      <w:bookmarkStart w:id="188" w:name="_Toc31517"/>
      <w:bookmarkStart w:id="189" w:name="_Toc2772"/>
      <w:bookmarkStart w:id="190" w:name="_Toc6345"/>
      <w:bookmarkStart w:id="191" w:name="_Toc22915"/>
      <w:r>
        <w:rPr>
          <w:rFonts w:hint="eastAsia" w:ascii="黑体" w:hAnsi="黑体" w:eastAsia="黑体" w:cs="黑体"/>
          <w:b w:val="0"/>
          <w:bCs/>
          <w:color w:val="auto"/>
          <w:sz w:val="32"/>
          <w:szCs w:val="40"/>
        </w:rPr>
        <w:t>第三章  磋商内容及采</w:t>
      </w:r>
      <w:bookmarkEnd w:id="187"/>
      <w:r>
        <w:rPr>
          <w:rFonts w:hint="eastAsia" w:ascii="黑体" w:hAnsi="黑体" w:eastAsia="黑体" w:cs="黑体"/>
          <w:b w:val="0"/>
          <w:bCs/>
          <w:color w:val="auto"/>
          <w:sz w:val="32"/>
          <w:szCs w:val="40"/>
        </w:rPr>
        <w:t>购要求</w:t>
      </w:r>
      <w:bookmarkEnd w:id="160"/>
      <w:bookmarkEnd w:id="161"/>
      <w:bookmarkEnd w:id="162"/>
      <w:bookmarkEnd w:id="163"/>
      <w:bookmarkEnd w:id="164"/>
      <w:bookmarkEnd w:id="165"/>
      <w:bookmarkEnd w:id="166"/>
      <w:bookmarkEnd w:id="167"/>
      <w:bookmarkEnd w:id="168"/>
      <w:bookmarkEnd w:id="169"/>
      <w:bookmarkEnd w:id="170"/>
      <w:bookmarkEnd w:id="188"/>
      <w:bookmarkEnd w:id="189"/>
      <w:bookmarkEnd w:id="190"/>
      <w:bookmarkEnd w:id="191"/>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一、项目名称：电梯运行管理外包服务项目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招标范围：汉中市中心医院本部现有的55部电梯（其中扶梯16部）、龙岗院区9部电梯（其中扶梯4部）的日常运行管理、清洁保养和应急事件处理，不含电梯的维修保养。本项目投入总计22人，具体人员配置见附件1。</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三、服务期限</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一</w:t>
      </w:r>
      <w:r>
        <w:rPr>
          <w:rFonts w:hint="eastAsia" w:ascii="仿宋_GB2312" w:hAnsi="仿宋_GB2312" w:eastAsia="仿宋_GB2312" w:cs="仿宋_GB2312"/>
          <w:sz w:val="28"/>
          <w:szCs w:val="28"/>
          <w:highlight w:val="none"/>
        </w:rPr>
        <w:t>年</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四、服务要求：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1、所有电梯运行服务人员年龄必须在50岁以下，其中年龄在40岁以下的不少于12人，全体人员服装统一，容貌姣好。</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2、负责为院内电梯提供相关服务，主要包括：开、关电梯，引导、运送乘客，卫生清洁、电梯安全巡查等，熟知医院各科室及病房的位置，并提供电梯指引咨询服务。</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在电梯出现故障时，能够做好应急处置工作，及时上报电梯运行公司负责人、电梯维保公司负责人、医院后勤保障或相关职能部门，配合电梯维保人员做好应急救援：设置警示标识围栏、及时疏散乘客、安抚被困乘客、严禁乘客入内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4、负责电梯运行状况的巡视工作，维持乘梯秩序，提示病人注意安全，每日做好相关记录。</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5、按照医院电梯运行管理制度，电梯运行服务规程、操作规程认真落实电梯运行管理工作，保证电梯处于良好的运行状态。</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按照特种设备运行管理要求做好电梯运行管理人员的岗位培训工作，全体人员每年必须经过一次培训，经医院主管部门考核合格后，方可上岗。严禁未经培训的人员上岗。公司每季度对电梯运行管理人员进行一次电梯安全知识培训。参加医院组织的一年一次的电梯应急救援演练工作。</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7、在电梯运行管理过程中，因电梯操作不当或应急处置不当，对医院造成的一切损失由电梯运行管理方负责。</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、投标费用包括：所有人员的工资、辞职补偿金、夜班补助、加班费、过节补助费、劳保费、电梯清洁费、职工四项基金（养老、失业、医保、工伤保险）。企业管理费（含利润）、税金等。</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六</w:t>
      </w:r>
      <w:r>
        <w:rPr>
          <w:rFonts w:hint="eastAsia" w:ascii="仿宋_GB2312" w:hAnsi="仿宋_GB2312" w:eastAsia="仿宋_GB2312" w:cs="仿宋_GB2312"/>
          <w:sz w:val="28"/>
          <w:szCs w:val="28"/>
        </w:rPr>
        <w:t>、费用支付：按照双方约定的考核办法对公司每月进行考核，根据考核结果每两月支付一次承包费。</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附：1、《汉中市中心医院电梯运行管理制度》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2、《电梯运行人员配置表》</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left"/>
        <w:textAlignment w:val="auto"/>
        <w:rPr>
          <w:rFonts w:hint="eastAsia"/>
          <w:sz w:val="36"/>
          <w:szCs w:val="36"/>
        </w:rPr>
      </w:pPr>
      <w:r>
        <w:rPr>
          <w:rFonts w:hint="eastAsia" w:ascii="仿宋_GB2312" w:hAnsi="仿宋_GB2312" w:eastAsia="仿宋_GB2312" w:cs="仿宋_GB2312"/>
          <w:sz w:val="28"/>
          <w:szCs w:val="28"/>
        </w:rPr>
        <w:t>3、《医院电梯运行质量考核表》</w:t>
      </w:r>
    </w:p>
    <w:p>
      <w:pPr>
        <w:jc w:val="center"/>
        <w:rPr>
          <w:rFonts w:hint="eastAsia"/>
          <w:sz w:val="36"/>
          <w:szCs w:val="36"/>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pPr>
        <w:keepNext w:val="0"/>
        <w:keepLines w:val="0"/>
        <w:pageBreakBefore w:val="0"/>
        <w:widowControl/>
        <w:kinsoku/>
        <w:wordWrap/>
        <w:overflowPunct/>
        <w:topLinePunct w:val="0"/>
        <w:autoSpaceDE/>
        <w:autoSpaceDN/>
        <w:bidi w:val="0"/>
        <w:adjustRightInd/>
        <w:snapToGrid/>
        <w:spacing w:line="500" w:lineRule="exact"/>
        <w:ind w:firstLine="643" w:firstLineChars="20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汉中市中心医院电梯运行管理制度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（一）为加强社会化电梯服务公司管理，保证医院电梯设备正常运行，保证乘梯人员人身安全，制定本制度。</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（二）医院所有电梯设备安装使用严格执行国家标准，落实上级卫生健康行政等部门相关法规制度要求。</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（三）社会化电梯服务公司制订电梯运行管理人员培训计划，周密组织实施，培训考核合格后方可持证上岗。</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（四）厢式电梯由司梯值守，严格执行电梯安全操作规程，详细记录运行状态，熟练掌握应急预案流程。</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（五）司梯文明礼貌服务，引导乘客有序乘梯，对不合理要求婉言拒绝。</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（六）严格交接班。出现违章等现象时，交班人员处理完毕方可交接班。</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（七）司梯不得脱岗，不得空梯，电梯不得超载，运送医疗废物的电梯设置警示标志禁止医疗废物与人同乘。</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（八）电梯维护保养期间，设置警示标识围栏，严禁乘客入内。</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（九）电梯机房随时上锁，钥匙专人保管，未经批准严禁内。机房通风良好，照明满足要求，消防器材置于显著位置。</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（十）电梯出现异常情况时，司梯立即采取紧急措施，疏散乘客，上报电梯服务公司负责人、医院后勤保障或相关专职管理部门，紧急情况启动应急预案。</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（十一）加强消防安全管理，及时清理杂物。电梯间及机房配备消防器材设施，严禁存放易燃易爆或危险品、私人用品和杂物。</w:t>
      </w: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jc w:val="center"/>
        <w:textAlignment w:val="auto"/>
        <w:rPr>
          <w:rFonts w:hint="eastAsia"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医院电梯班人员配置清单</w:t>
      </w:r>
    </w:p>
    <w:p>
      <w:pPr>
        <w:jc w:val="center"/>
        <w:rPr>
          <w:rFonts w:hint="eastAsia" w:ascii="仿宋_GB2312" w:hAnsi="仿宋_GB2312" w:eastAsia="仿宋_GB2312" w:cs="仿宋_GB2312"/>
          <w:sz w:val="28"/>
          <w:szCs w:val="28"/>
        </w:rPr>
      </w:pP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1016"/>
        <w:gridCol w:w="1015"/>
        <w:gridCol w:w="1015"/>
        <w:gridCol w:w="950"/>
        <w:gridCol w:w="950"/>
        <w:gridCol w:w="960"/>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区域</w:t>
            </w:r>
          </w:p>
        </w:tc>
        <w:tc>
          <w:tcPr>
            <w:tcW w:w="1016"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位置</w:t>
            </w:r>
          </w:p>
        </w:tc>
        <w:tc>
          <w:tcPr>
            <w:tcW w:w="1015"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司机</w:t>
            </w:r>
          </w:p>
        </w:tc>
        <w:tc>
          <w:tcPr>
            <w:tcW w:w="1015"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大厅引导员</w:t>
            </w:r>
          </w:p>
        </w:tc>
        <w:tc>
          <w:tcPr>
            <w:tcW w:w="950"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扶梯引导员</w:t>
            </w:r>
          </w:p>
        </w:tc>
        <w:tc>
          <w:tcPr>
            <w:tcW w:w="950"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夜班</w:t>
            </w:r>
          </w:p>
        </w:tc>
        <w:tc>
          <w:tcPr>
            <w:tcW w:w="960"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管理员</w:t>
            </w:r>
          </w:p>
        </w:tc>
        <w:tc>
          <w:tcPr>
            <w:tcW w:w="946"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restart"/>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w:t>
            </w:r>
          </w:p>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心</w:t>
            </w:r>
          </w:p>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w:t>
            </w:r>
          </w:p>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院</w:t>
            </w:r>
          </w:p>
        </w:tc>
        <w:tc>
          <w:tcPr>
            <w:tcW w:w="1016" w:type="dxa"/>
            <w:noWrap w:val="0"/>
            <w:vAlign w:val="center"/>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1#楼</w:t>
            </w:r>
          </w:p>
        </w:tc>
        <w:tc>
          <w:tcPr>
            <w:tcW w:w="1015" w:type="dxa"/>
            <w:noWrap w:val="0"/>
            <w:vAlign w:val="center"/>
          </w:tcPr>
          <w:p>
            <w:pPr>
              <w:widowControl w:val="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2</w:t>
            </w:r>
          </w:p>
        </w:tc>
        <w:tc>
          <w:tcPr>
            <w:tcW w:w="1015" w:type="dxa"/>
            <w:noWrap w:val="0"/>
            <w:vAlign w:val="center"/>
          </w:tcPr>
          <w:p>
            <w:pPr>
              <w:widowControl w:val="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5</w:t>
            </w:r>
          </w:p>
        </w:tc>
        <w:tc>
          <w:tcPr>
            <w:tcW w:w="950" w:type="dxa"/>
            <w:noWrap w:val="0"/>
            <w:vAlign w:val="center"/>
          </w:tcPr>
          <w:p>
            <w:pPr>
              <w:widowControl w:val="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2</w:t>
            </w:r>
          </w:p>
        </w:tc>
        <w:tc>
          <w:tcPr>
            <w:tcW w:w="950" w:type="dxa"/>
            <w:vMerge w:val="restart"/>
            <w:noWrap w:val="0"/>
            <w:vAlign w:val="center"/>
          </w:tcPr>
          <w:p>
            <w:pPr>
              <w:widowControl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4</w:t>
            </w:r>
          </w:p>
        </w:tc>
        <w:tc>
          <w:tcPr>
            <w:tcW w:w="960" w:type="dxa"/>
            <w:vMerge w:val="restart"/>
            <w:noWrap w:val="0"/>
            <w:vAlign w:val="center"/>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946" w:type="dxa"/>
            <w:vMerge w:val="restart"/>
            <w:noWrap w:val="0"/>
            <w:vAlign w:val="center"/>
          </w:tcPr>
          <w:p>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noWrap w:val="0"/>
            <w:vAlign w:val="top"/>
          </w:tcPr>
          <w:p>
            <w:pPr>
              <w:widowControl w:val="0"/>
              <w:jc w:val="center"/>
              <w:rPr>
                <w:rFonts w:hint="eastAsia" w:ascii="仿宋_GB2312" w:hAnsi="仿宋_GB2312" w:eastAsia="仿宋_GB2312" w:cs="仿宋_GB2312"/>
                <w:sz w:val="28"/>
                <w:szCs w:val="28"/>
              </w:rPr>
            </w:pPr>
          </w:p>
        </w:tc>
        <w:tc>
          <w:tcPr>
            <w:tcW w:w="1016" w:type="dxa"/>
            <w:noWrap w:val="0"/>
            <w:vAlign w:val="center"/>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2#楼</w:t>
            </w:r>
          </w:p>
        </w:tc>
        <w:tc>
          <w:tcPr>
            <w:tcW w:w="1015" w:type="dxa"/>
            <w:noWrap w:val="0"/>
            <w:vAlign w:val="center"/>
          </w:tcPr>
          <w:p>
            <w:pPr>
              <w:widowControl w:val="0"/>
              <w:jc w:val="center"/>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1</w:t>
            </w:r>
          </w:p>
        </w:tc>
        <w:tc>
          <w:tcPr>
            <w:tcW w:w="1015" w:type="dxa"/>
            <w:noWrap w:val="0"/>
            <w:vAlign w:val="center"/>
          </w:tcPr>
          <w:p>
            <w:pPr>
              <w:widowControl w:val="0"/>
              <w:jc w:val="center"/>
              <w:rPr>
                <w:rFonts w:hint="eastAsia" w:ascii="仿宋_GB2312" w:hAnsi="仿宋_GB2312" w:eastAsia="仿宋_GB2312" w:cs="仿宋_GB2312"/>
                <w:b/>
                <w:bCs/>
                <w:color w:val="auto"/>
                <w:sz w:val="28"/>
                <w:szCs w:val="28"/>
              </w:rPr>
            </w:pPr>
          </w:p>
        </w:tc>
        <w:tc>
          <w:tcPr>
            <w:tcW w:w="950" w:type="dxa"/>
            <w:noWrap w:val="0"/>
            <w:vAlign w:val="center"/>
          </w:tcPr>
          <w:p>
            <w:pPr>
              <w:widowControl w:val="0"/>
              <w:jc w:val="center"/>
              <w:rPr>
                <w:rFonts w:hint="eastAsia" w:ascii="仿宋_GB2312" w:hAnsi="仿宋_GB2312" w:eastAsia="仿宋_GB2312" w:cs="仿宋_GB2312"/>
                <w:b/>
                <w:bCs/>
                <w:color w:val="auto"/>
                <w:sz w:val="28"/>
                <w:szCs w:val="28"/>
              </w:rPr>
            </w:pPr>
          </w:p>
        </w:tc>
        <w:tc>
          <w:tcPr>
            <w:tcW w:w="950" w:type="dxa"/>
            <w:vMerge w:val="continue"/>
            <w:noWrap w:val="0"/>
            <w:vAlign w:val="center"/>
          </w:tcPr>
          <w:p>
            <w:pPr>
              <w:widowControl w:val="0"/>
              <w:jc w:val="center"/>
              <w:rPr>
                <w:rFonts w:hint="eastAsia" w:ascii="仿宋_GB2312" w:hAnsi="仿宋_GB2312" w:eastAsia="仿宋_GB2312" w:cs="仿宋_GB2312"/>
                <w:sz w:val="28"/>
                <w:szCs w:val="28"/>
              </w:rPr>
            </w:pPr>
          </w:p>
        </w:tc>
        <w:tc>
          <w:tcPr>
            <w:tcW w:w="960" w:type="dxa"/>
            <w:vMerge w:val="continue"/>
            <w:noWrap w:val="0"/>
            <w:vAlign w:val="center"/>
          </w:tcPr>
          <w:p>
            <w:pPr>
              <w:widowControl w:val="0"/>
              <w:jc w:val="center"/>
              <w:rPr>
                <w:rFonts w:hint="eastAsia" w:ascii="仿宋_GB2312" w:hAnsi="仿宋_GB2312" w:eastAsia="仿宋_GB2312" w:cs="仿宋_GB2312"/>
                <w:sz w:val="28"/>
                <w:szCs w:val="28"/>
              </w:rPr>
            </w:pPr>
          </w:p>
        </w:tc>
        <w:tc>
          <w:tcPr>
            <w:tcW w:w="946" w:type="dxa"/>
            <w:vMerge w:val="continue"/>
            <w:noWrap w:val="0"/>
            <w:vAlign w:val="center"/>
          </w:tcPr>
          <w:p>
            <w:pPr>
              <w:widowControl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noWrap w:val="0"/>
            <w:vAlign w:val="top"/>
          </w:tcPr>
          <w:p>
            <w:pPr>
              <w:widowControl w:val="0"/>
              <w:jc w:val="center"/>
              <w:rPr>
                <w:rFonts w:hint="eastAsia" w:ascii="仿宋_GB2312" w:hAnsi="仿宋_GB2312" w:eastAsia="仿宋_GB2312" w:cs="仿宋_GB2312"/>
                <w:sz w:val="28"/>
                <w:szCs w:val="28"/>
              </w:rPr>
            </w:pPr>
          </w:p>
        </w:tc>
        <w:tc>
          <w:tcPr>
            <w:tcW w:w="1016" w:type="dxa"/>
            <w:noWrap w:val="0"/>
            <w:vAlign w:val="center"/>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3#楼</w:t>
            </w:r>
          </w:p>
        </w:tc>
        <w:tc>
          <w:tcPr>
            <w:tcW w:w="1015" w:type="dxa"/>
            <w:noWrap w:val="0"/>
            <w:vAlign w:val="center"/>
          </w:tcPr>
          <w:p>
            <w:pPr>
              <w:widowControl w:val="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2</w:t>
            </w:r>
          </w:p>
        </w:tc>
        <w:tc>
          <w:tcPr>
            <w:tcW w:w="1015" w:type="dxa"/>
            <w:noWrap w:val="0"/>
            <w:vAlign w:val="center"/>
          </w:tcPr>
          <w:p>
            <w:pPr>
              <w:widowControl w:val="0"/>
              <w:jc w:val="center"/>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val="en-US" w:eastAsia="zh-CN"/>
              </w:rPr>
              <w:t>2</w:t>
            </w:r>
          </w:p>
        </w:tc>
        <w:tc>
          <w:tcPr>
            <w:tcW w:w="950" w:type="dxa"/>
            <w:noWrap w:val="0"/>
            <w:vAlign w:val="center"/>
          </w:tcPr>
          <w:p>
            <w:pPr>
              <w:widowControl w:val="0"/>
              <w:jc w:val="center"/>
              <w:rPr>
                <w:rFonts w:hint="eastAsia" w:ascii="仿宋_GB2312" w:hAnsi="仿宋_GB2312" w:eastAsia="仿宋_GB2312" w:cs="仿宋_GB2312"/>
                <w:b/>
                <w:bCs/>
                <w:color w:val="auto"/>
                <w:sz w:val="28"/>
                <w:szCs w:val="28"/>
              </w:rPr>
            </w:pPr>
          </w:p>
        </w:tc>
        <w:tc>
          <w:tcPr>
            <w:tcW w:w="950" w:type="dxa"/>
            <w:vMerge w:val="continue"/>
            <w:noWrap w:val="0"/>
            <w:vAlign w:val="center"/>
          </w:tcPr>
          <w:p>
            <w:pPr>
              <w:widowControl w:val="0"/>
              <w:jc w:val="center"/>
              <w:rPr>
                <w:rFonts w:hint="eastAsia" w:ascii="仿宋_GB2312" w:hAnsi="仿宋_GB2312" w:eastAsia="仿宋_GB2312" w:cs="仿宋_GB2312"/>
                <w:sz w:val="28"/>
                <w:szCs w:val="28"/>
              </w:rPr>
            </w:pPr>
          </w:p>
        </w:tc>
        <w:tc>
          <w:tcPr>
            <w:tcW w:w="960" w:type="dxa"/>
            <w:vMerge w:val="continue"/>
            <w:noWrap w:val="0"/>
            <w:vAlign w:val="center"/>
          </w:tcPr>
          <w:p>
            <w:pPr>
              <w:widowControl w:val="0"/>
              <w:jc w:val="center"/>
              <w:rPr>
                <w:rFonts w:hint="eastAsia" w:ascii="仿宋_GB2312" w:hAnsi="仿宋_GB2312" w:eastAsia="仿宋_GB2312" w:cs="仿宋_GB2312"/>
                <w:sz w:val="28"/>
                <w:szCs w:val="28"/>
              </w:rPr>
            </w:pPr>
          </w:p>
        </w:tc>
        <w:tc>
          <w:tcPr>
            <w:tcW w:w="946" w:type="dxa"/>
            <w:vMerge w:val="continue"/>
            <w:noWrap w:val="0"/>
            <w:vAlign w:val="center"/>
          </w:tcPr>
          <w:p>
            <w:pPr>
              <w:widowControl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vMerge w:val="continue"/>
            <w:noWrap w:val="0"/>
            <w:vAlign w:val="top"/>
          </w:tcPr>
          <w:p>
            <w:pPr>
              <w:widowControl w:val="0"/>
              <w:jc w:val="center"/>
              <w:rPr>
                <w:rFonts w:hint="eastAsia" w:ascii="仿宋_GB2312" w:hAnsi="仿宋_GB2312" w:eastAsia="仿宋_GB2312" w:cs="仿宋_GB2312"/>
                <w:sz w:val="28"/>
                <w:szCs w:val="28"/>
              </w:rPr>
            </w:pPr>
          </w:p>
        </w:tc>
        <w:tc>
          <w:tcPr>
            <w:tcW w:w="1016" w:type="dxa"/>
            <w:noWrap w:val="0"/>
            <w:vAlign w:val="center"/>
          </w:tcPr>
          <w:p>
            <w:pPr>
              <w:widowControl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妇儿楼</w:t>
            </w:r>
          </w:p>
        </w:tc>
        <w:tc>
          <w:tcPr>
            <w:tcW w:w="1015" w:type="dxa"/>
            <w:noWrap w:val="0"/>
            <w:vAlign w:val="center"/>
          </w:tcPr>
          <w:p>
            <w:pPr>
              <w:widowControl w:val="0"/>
              <w:jc w:val="center"/>
              <w:rPr>
                <w:rFonts w:hint="eastAsia" w:ascii="仿宋_GB2312" w:hAnsi="仿宋_GB2312" w:eastAsia="仿宋_GB2312" w:cs="仿宋_GB2312"/>
                <w:b/>
                <w:bCs/>
                <w:color w:val="FF0000"/>
                <w:sz w:val="28"/>
                <w:szCs w:val="28"/>
                <w:lang w:val="en-US" w:eastAsia="zh-CN"/>
              </w:rPr>
            </w:pPr>
          </w:p>
        </w:tc>
        <w:tc>
          <w:tcPr>
            <w:tcW w:w="1015" w:type="dxa"/>
            <w:noWrap w:val="0"/>
            <w:vAlign w:val="center"/>
          </w:tcPr>
          <w:p>
            <w:pPr>
              <w:widowControl w:val="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w:t>
            </w:r>
          </w:p>
        </w:tc>
        <w:tc>
          <w:tcPr>
            <w:tcW w:w="950" w:type="dxa"/>
            <w:noWrap w:val="0"/>
            <w:vAlign w:val="center"/>
          </w:tcPr>
          <w:p>
            <w:pPr>
              <w:widowControl w:val="0"/>
              <w:jc w:val="center"/>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1</w:t>
            </w:r>
          </w:p>
        </w:tc>
        <w:tc>
          <w:tcPr>
            <w:tcW w:w="950" w:type="dxa"/>
            <w:vMerge w:val="continue"/>
            <w:noWrap w:val="0"/>
            <w:vAlign w:val="center"/>
          </w:tcPr>
          <w:p>
            <w:pPr>
              <w:widowControl w:val="0"/>
              <w:jc w:val="center"/>
              <w:rPr>
                <w:rFonts w:hint="eastAsia" w:ascii="仿宋_GB2312" w:hAnsi="仿宋_GB2312" w:eastAsia="仿宋_GB2312" w:cs="仿宋_GB2312"/>
                <w:sz w:val="28"/>
                <w:szCs w:val="28"/>
              </w:rPr>
            </w:pPr>
          </w:p>
        </w:tc>
        <w:tc>
          <w:tcPr>
            <w:tcW w:w="960" w:type="dxa"/>
            <w:vMerge w:val="continue"/>
            <w:noWrap w:val="0"/>
            <w:vAlign w:val="center"/>
          </w:tcPr>
          <w:p>
            <w:pPr>
              <w:widowControl w:val="0"/>
              <w:jc w:val="center"/>
              <w:rPr>
                <w:rFonts w:hint="eastAsia" w:ascii="仿宋_GB2312" w:hAnsi="仿宋_GB2312" w:eastAsia="仿宋_GB2312" w:cs="仿宋_GB2312"/>
                <w:sz w:val="28"/>
                <w:szCs w:val="28"/>
              </w:rPr>
            </w:pPr>
          </w:p>
        </w:tc>
        <w:tc>
          <w:tcPr>
            <w:tcW w:w="946" w:type="dxa"/>
            <w:vMerge w:val="continue"/>
            <w:noWrap w:val="0"/>
            <w:vAlign w:val="center"/>
          </w:tcPr>
          <w:p>
            <w:pPr>
              <w:widowControl w:val="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top"/>
          </w:tcPr>
          <w:p>
            <w:pPr>
              <w:widowControl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龙岗院区</w:t>
            </w:r>
          </w:p>
        </w:tc>
        <w:tc>
          <w:tcPr>
            <w:tcW w:w="1016" w:type="dxa"/>
            <w:noWrap w:val="0"/>
            <w:vAlign w:val="center"/>
          </w:tcPr>
          <w:p>
            <w:pPr>
              <w:widowControl w:val="0"/>
              <w:jc w:val="center"/>
              <w:rPr>
                <w:rFonts w:hint="eastAsia" w:ascii="仿宋_GB2312" w:hAnsi="仿宋_GB2312" w:eastAsia="仿宋_GB2312" w:cs="仿宋_GB2312"/>
                <w:sz w:val="28"/>
                <w:szCs w:val="28"/>
              </w:rPr>
            </w:pPr>
          </w:p>
        </w:tc>
        <w:tc>
          <w:tcPr>
            <w:tcW w:w="1015" w:type="dxa"/>
            <w:noWrap w:val="0"/>
            <w:vAlign w:val="center"/>
          </w:tcPr>
          <w:p>
            <w:pPr>
              <w:widowControl w:val="0"/>
              <w:jc w:val="center"/>
              <w:rPr>
                <w:rFonts w:hint="eastAsia" w:ascii="仿宋_GB2312" w:hAnsi="仿宋_GB2312" w:eastAsia="仿宋_GB2312" w:cs="仿宋_GB2312"/>
                <w:b/>
                <w:bCs/>
                <w:color w:val="FF0000"/>
                <w:sz w:val="28"/>
                <w:szCs w:val="28"/>
              </w:rPr>
            </w:pPr>
          </w:p>
        </w:tc>
        <w:tc>
          <w:tcPr>
            <w:tcW w:w="1015" w:type="dxa"/>
            <w:noWrap w:val="0"/>
            <w:vAlign w:val="center"/>
          </w:tcPr>
          <w:p>
            <w:pPr>
              <w:widowControl w:val="0"/>
              <w:jc w:val="center"/>
              <w:rPr>
                <w:rFonts w:hint="eastAsia" w:ascii="仿宋_GB2312" w:hAnsi="仿宋_GB2312" w:eastAsia="仿宋_GB2312" w:cs="仿宋_GB2312"/>
                <w:b/>
                <w:bCs/>
                <w:color w:val="FF0000"/>
                <w:sz w:val="28"/>
                <w:szCs w:val="28"/>
              </w:rPr>
            </w:pPr>
            <w:r>
              <w:rPr>
                <w:rFonts w:hint="eastAsia" w:ascii="仿宋_GB2312" w:hAnsi="仿宋_GB2312" w:eastAsia="仿宋_GB2312" w:cs="仿宋_GB2312"/>
                <w:b/>
                <w:bCs/>
                <w:color w:val="auto"/>
                <w:sz w:val="28"/>
                <w:szCs w:val="28"/>
              </w:rPr>
              <w:t>1</w:t>
            </w:r>
          </w:p>
        </w:tc>
        <w:tc>
          <w:tcPr>
            <w:tcW w:w="950" w:type="dxa"/>
            <w:noWrap w:val="0"/>
            <w:vAlign w:val="center"/>
          </w:tcPr>
          <w:p>
            <w:pPr>
              <w:widowControl w:val="0"/>
              <w:jc w:val="center"/>
              <w:rPr>
                <w:rFonts w:hint="eastAsia" w:ascii="仿宋_GB2312" w:hAnsi="仿宋_GB2312" w:eastAsia="仿宋_GB2312" w:cs="仿宋_GB2312"/>
                <w:b/>
                <w:bCs/>
                <w:color w:val="FF0000"/>
                <w:sz w:val="28"/>
                <w:szCs w:val="28"/>
              </w:rPr>
            </w:pPr>
          </w:p>
        </w:tc>
        <w:tc>
          <w:tcPr>
            <w:tcW w:w="950" w:type="dxa"/>
            <w:noWrap w:val="0"/>
            <w:vAlign w:val="center"/>
          </w:tcPr>
          <w:p>
            <w:pPr>
              <w:widowControl w:val="0"/>
              <w:jc w:val="center"/>
              <w:rPr>
                <w:rFonts w:hint="eastAsia" w:ascii="仿宋_GB2312" w:hAnsi="仿宋_GB2312" w:eastAsia="仿宋_GB2312" w:cs="仿宋_GB2312"/>
                <w:sz w:val="28"/>
                <w:szCs w:val="28"/>
              </w:rPr>
            </w:pPr>
          </w:p>
        </w:tc>
        <w:tc>
          <w:tcPr>
            <w:tcW w:w="960" w:type="dxa"/>
            <w:vMerge w:val="continue"/>
            <w:noWrap w:val="0"/>
            <w:vAlign w:val="center"/>
          </w:tcPr>
          <w:p>
            <w:pPr>
              <w:widowControl w:val="0"/>
              <w:jc w:val="center"/>
              <w:rPr>
                <w:rFonts w:hint="eastAsia" w:ascii="仿宋_GB2312" w:hAnsi="仿宋_GB2312" w:eastAsia="仿宋_GB2312" w:cs="仿宋_GB2312"/>
                <w:sz w:val="28"/>
                <w:szCs w:val="28"/>
              </w:rPr>
            </w:pPr>
          </w:p>
        </w:tc>
        <w:tc>
          <w:tcPr>
            <w:tcW w:w="946" w:type="dxa"/>
            <w:noWrap w:val="0"/>
            <w:vAlign w:val="center"/>
          </w:tcPr>
          <w:p>
            <w:pPr>
              <w:widowControl w:val="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6" w:type="dxa"/>
            <w:noWrap w:val="0"/>
            <w:vAlign w:val="top"/>
          </w:tcPr>
          <w:p>
            <w:pPr>
              <w:widowControl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总计</w:t>
            </w:r>
          </w:p>
        </w:tc>
        <w:tc>
          <w:tcPr>
            <w:tcW w:w="1016" w:type="dxa"/>
            <w:noWrap w:val="0"/>
            <w:vAlign w:val="center"/>
          </w:tcPr>
          <w:p>
            <w:pPr>
              <w:widowControl w:val="0"/>
              <w:jc w:val="center"/>
              <w:rPr>
                <w:rFonts w:hint="eastAsia" w:ascii="仿宋_GB2312" w:hAnsi="仿宋_GB2312" w:eastAsia="仿宋_GB2312" w:cs="仿宋_GB2312"/>
                <w:sz w:val="28"/>
                <w:szCs w:val="28"/>
              </w:rPr>
            </w:pPr>
          </w:p>
        </w:tc>
        <w:tc>
          <w:tcPr>
            <w:tcW w:w="1015" w:type="dxa"/>
            <w:noWrap w:val="0"/>
            <w:vAlign w:val="center"/>
          </w:tcPr>
          <w:p>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1015" w:type="dxa"/>
            <w:noWrap w:val="0"/>
            <w:vAlign w:val="center"/>
          </w:tcPr>
          <w:p>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950" w:type="dxa"/>
            <w:noWrap w:val="0"/>
            <w:vAlign w:val="center"/>
          </w:tcPr>
          <w:p>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950" w:type="dxa"/>
            <w:noWrap w:val="0"/>
            <w:vAlign w:val="center"/>
          </w:tcPr>
          <w:p>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960" w:type="dxa"/>
            <w:noWrap w:val="0"/>
            <w:vAlign w:val="center"/>
          </w:tcPr>
          <w:p>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946" w:type="dxa"/>
            <w:noWrap w:val="0"/>
            <w:vAlign w:val="center"/>
          </w:tcPr>
          <w:p>
            <w:pPr>
              <w:widowControl w:val="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r>
    </w:tbl>
    <w:p>
      <w:pPr>
        <w:jc w:val="center"/>
        <w:rPr>
          <w:rFonts w:hint="eastAsia" w:ascii="仿宋_GB2312" w:hAnsi="仿宋_GB2312" w:eastAsia="仿宋_GB2312" w:cs="仿宋_GB2312"/>
          <w:sz w:val="28"/>
          <w:szCs w:val="28"/>
        </w:rPr>
      </w:pPr>
    </w:p>
    <w:p>
      <w:pPr>
        <w:jc w:val="center"/>
        <w:rPr>
          <w:rFonts w:hint="eastAsia"/>
          <w:sz w:val="36"/>
          <w:szCs w:val="36"/>
        </w:rPr>
      </w:pPr>
    </w:p>
    <w:p>
      <w:pPr>
        <w:jc w:val="center"/>
        <w:rPr>
          <w:rFonts w:hint="eastAsia"/>
          <w:sz w:val="36"/>
          <w:szCs w:val="36"/>
        </w:rPr>
        <w:sectPr>
          <w:pgSz w:w="11906" w:h="16838"/>
          <w:pgMar w:top="1440" w:right="1134" w:bottom="1440" w:left="1134" w:header="851" w:footer="992" w:gutter="0"/>
          <w:cols w:space="720" w:num="1"/>
          <w:docGrid w:type="lines" w:linePitch="312" w:charSpace="0"/>
        </w:sectPr>
      </w:pPr>
    </w:p>
    <w:p>
      <w:pPr>
        <w:rPr>
          <w:rFonts w:hint="eastAsia" w:ascii="仿宋_GB2312" w:hAnsi="仿宋_GB2312" w:eastAsia="仿宋_GB2312" w:cs="仿宋_GB2312"/>
          <w:sz w:val="32"/>
          <w:szCs w:val="32"/>
        </w:rPr>
      </w:pPr>
      <w:r>
        <w:rPr>
          <w:rFonts w:hint="eastAsia"/>
          <w:sz w:val="36"/>
          <w:szCs w:val="36"/>
        </w:rPr>
        <w:t xml:space="preserve">     </w:t>
      </w:r>
      <w:r>
        <w:rPr>
          <w:rFonts w:hint="eastAsia" w:ascii="仿宋_GB2312" w:hAnsi="仿宋_GB2312" w:eastAsia="仿宋_GB2312" w:cs="仿宋_GB2312"/>
          <w:sz w:val="32"/>
          <w:szCs w:val="32"/>
        </w:rPr>
        <w:t>附件3</w:t>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年   月医院电梯运行质量考核表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120"/>
        <w:gridCol w:w="540"/>
        <w:gridCol w:w="4500"/>
        <w:gridCol w:w="5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82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w:t>
            </w:r>
          </w:p>
        </w:tc>
        <w:tc>
          <w:tcPr>
            <w:tcW w:w="612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质量标准</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满分</w:t>
            </w:r>
          </w:p>
        </w:tc>
        <w:tc>
          <w:tcPr>
            <w:tcW w:w="450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考核内容</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扣分</w:t>
            </w:r>
          </w:p>
        </w:tc>
        <w:tc>
          <w:tcPr>
            <w:tcW w:w="198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扣分原因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82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人员</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w:t>
            </w: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配置标准：1、按照医院要求配置</w:t>
            </w:r>
            <w:r>
              <w:rPr>
                <w:rFonts w:hint="eastAsia" w:ascii="仿宋_GB2312" w:hAnsi="仿宋_GB2312" w:eastAsia="仿宋_GB2312" w:cs="仿宋_GB2312"/>
                <w:sz w:val="28"/>
                <w:szCs w:val="28"/>
                <w:lang w:val="en-US" w:eastAsia="zh-CN"/>
              </w:rPr>
              <w:t>22</w:t>
            </w:r>
            <w:r>
              <w:rPr>
                <w:rFonts w:hint="eastAsia" w:ascii="仿宋_GB2312" w:hAnsi="仿宋_GB2312" w:eastAsia="仿宋_GB2312" w:cs="仿宋_GB2312"/>
                <w:sz w:val="28"/>
                <w:szCs w:val="28"/>
              </w:rPr>
              <w:t>名运行管理人员。</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2、所有人员需取得医院上岗合格证后，方可上岗。</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3、具有良好的沟通能力，应对得体。</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4、电梯司机着装统一形象好，训练有素，能充分展示医院的雄厚实力和美好形象。</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1、运行人员</w:t>
            </w:r>
            <w:r>
              <w:rPr>
                <w:rFonts w:hint="eastAsia" w:ascii="仿宋_GB2312" w:hAnsi="仿宋_GB2312" w:eastAsia="仿宋_GB2312" w:cs="仿宋_GB2312"/>
                <w:sz w:val="28"/>
                <w:szCs w:val="28"/>
                <w:lang w:eastAsia="zh-CN"/>
              </w:rPr>
              <w:t>年龄在</w:t>
            </w:r>
            <w:r>
              <w:rPr>
                <w:rFonts w:hint="eastAsia" w:ascii="仿宋_GB2312" w:hAnsi="仿宋_GB2312" w:eastAsia="仿宋_GB2312" w:cs="仿宋_GB2312"/>
                <w:sz w:val="28"/>
                <w:szCs w:val="28"/>
                <w:lang w:val="en-US" w:eastAsia="zh-CN"/>
              </w:rPr>
              <w:t>50岁以下，</w:t>
            </w:r>
            <w:r>
              <w:rPr>
                <w:rFonts w:hint="eastAsia" w:ascii="仿宋_GB2312" w:hAnsi="仿宋_GB2312" w:eastAsia="仿宋_GB2312" w:cs="仿宋_GB2312"/>
                <w:sz w:val="28"/>
                <w:szCs w:val="28"/>
                <w:lang w:eastAsia="zh-CN"/>
              </w:rPr>
              <w:t>其中</w:t>
            </w:r>
            <w:r>
              <w:rPr>
                <w:rFonts w:hint="eastAsia" w:ascii="仿宋_GB2312" w:hAnsi="仿宋_GB2312" w:eastAsia="仿宋_GB2312" w:cs="仿宋_GB2312"/>
                <w:sz w:val="28"/>
                <w:szCs w:val="28"/>
              </w:rPr>
              <w:t>40岁以下不少于</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人，发现一名不达标扣10分；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2、发现一名人员未取得上岗合格证，扣5分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3、无故缺勤或人员不到位发现一次扣2分；</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4、人员形象差，未按规定统一着装，发现一次扣2分</w:t>
            </w:r>
          </w:p>
        </w:tc>
        <w:tc>
          <w:tcPr>
            <w:tcW w:w="54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8" w:type="dxa"/>
            <w:vMerge w:val="restart"/>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梯</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及</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保</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w:t>
            </w:r>
          </w:p>
        </w:tc>
        <w:tc>
          <w:tcPr>
            <w:tcW w:w="6120" w:type="dxa"/>
            <w:noWrap w:val="0"/>
            <w:vAlign w:val="top"/>
          </w:tcPr>
          <w:p>
            <w:pPr>
              <w:spacing w:line="18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1、在电梯正常情况下保证医用电梯和乘客电梯按规定运行，负责垂直电梯轿厢内的设施和警示标志完好无损。</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无故停梯或电梯轿厢内的设施和警示标志损坏，发现一次扣1分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2、按甲方要求时间准时开关电梯。</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未按医院规定开关电梯，发现一次扣1分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3、负责电梯门、轿厢、电梯值班室的卫生，做好相关设施的保护工作，防止丢失或人为损坏电梯设备。</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卫生及设施保护工作不到位，发现一次扣1分</w:t>
            </w:r>
          </w:p>
        </w:tc>
        <w:tc>
          <w:tcPr>
            <w:tcW w:w="540" w:type="dxa"/>
            <w:noWrap w:val="0"/>
            <w:vAlign w:val="center"/>
          </w:tcPr>
          <w:p>
            <w:pPr>
              <w:jc w:val="cente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snapToGrid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4、填写当天电梯运行情况记录</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运行记录不完整、不正确，发现一次扣1分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5、预约电梯公司做好设备日常保养工作，及时反映电梯运行情况，开关机房门窗、照明，检查机房、底坑有无渗水等，重大问题有书面报告</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预约保养及报修不及时，发现一次扣1分，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828" w:type="dxa"/>
            <w:vMerge w:val="continue"/>
            <w:noWrap w:val="0"/>
            <w:vAlign w:val="top"/>
          </w:tcPr>
          <w:p>
            <w:pP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6、负责电梯事故应急处理，如：停电、困人、溢水、火灾、地震等突发事件的应急处理应符合救援预案要求，最大限度减少甲方损失。</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应急处理不及时或未按预案要求处理，发现一次扣5分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828" w:type="dxa"/>
            <w:vMerge w:val="continue"/>
            <w:noWrap w:val="0"/>
            <w:vAlign w:val="center"/>
          </w:tcPr>
          <w:p>
            <w:pPr>
              <w:jc w:val="center"/>
              <w:rPr>
                <w:rFonts w:hint="eastAsia" w:ascii="仿宋_GB2312" w:hAnsi="仿宋_GB2312" w:eastAsia="仿宋_GB2312" w:cs="仿宋_GB2312"/>
                <w:sz w:val="28"/>
                <w:szCs w:val="28"/>
              </w:rPr>
            </w:pPr>
          </w:p>
        </w:tc>
        <w:tc>
          <w:tcPr>
            <w:tcW w:w="612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7、在新、旧门诊楼安排电梯引导员进行疏导，保证危重病人和手术病床优先乘坐电梯，引导五层以下人员乘坐低层电梯或扶梯，确保乘梯有序、通畅。</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引导员不到位及乘梯拥堵、秩序混乱，发现一次扣2分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28" w:type="dxa"/>
            <w:vMerge w:val="continue"/>
            <w:noWrap w:val="0"/>
            <w:vAlign w:val="center"/>
          </w:tcPr>
          <w:p>
            <w:pPr>
              <w:jc w:val="center"/>
              <w:rPr>
                <w:rFonts w:hint="eastAsia" w:ascii="仿宋_GB2312" w:hAnsi="仿宋_GB2312" w:eastAsia="仿宋_GB2312" w:cs="仿宋_GB2312"/>
                <w:sz w:val="28"/>
                <w:szCs w:val="28"/>
              </w:rPr>
            </w:pPr>
          </w:p>
        </w:tc>
        <w:tc>
          <w:tcPr>
            <w:tcW w:w="6120" w:type="dxa"/>
            <w:noWrap w:val="0"/>
            <w:vAlign w:val="top"/>
          </w:tcPr>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8、负责下班时间、节假日时间手术的正常接送和电梯的正常运行</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值班人员不到位及影响手术正常接送，发现一次扣2分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28"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服务满意度</w:t>
            </w:r>
          </w:p>
        </w:tc>
        <w:tc>
          <w:tcPr>
            <w:tcW w:w="6120" w:type="dxa"/>
            <w:noWrap w:val="0"/>
            <w:vAlign w:val="top"/>
          </w:tcPr>
          <w:p>
            <w:pPr>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医院将定期根据服务态度，电梯环境卫生、电梯故障率、投诉等方面情况进行满意度调查</w:t>
            </w:r>
          </w:p>
        </w:tc>
        <w:tc>
          <w:tcPr>
            <w:tcW w:w="540"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4500" w:type="dxa"/>
            <w:noWrap w:val="0"/>
            <w:vAlign w:val="top"/>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如服务态度、电梯环境卫生等发生投诉，一经核实，每一个投诉扣5分</w:t>
            </w:r>
          </w:p>
        </w:tc>
        <w:tc>
          <w:tcPr>
            <w:tcW w:w="540" w:type="dxa"/>
            <w:noWrap w:val="0"/>
            <w:vAlign w:val="center"/>
          </w:tcPr>
          <w:p>
            <w:pPr>
              <w:rPr>
                <w:rFonts w:hint="eastAsia" w:ascii="仿宋_GB2312" w:hAnsi="仿宋_GB2312" w:eastAsia="仿宋_GB2312" w:cs="仿宋_GB2312"/>
                <w:sz w:val="28"/>
                <w:szCs w:val="28"/>
              </w:rPr>
            </w:pPr>
          </w:p>
        </w:tc>
        <w:tc>
          <w:tcPr>
            <w:tcW w:w="1980" w:type="dxa"/>
            <w:noWrap w:val="0"/>
            <w:vAlign w:val="center"/>
          </w:tcPr>
          <w:p>
            <w:pPr>
              <w:rPr>
                <w:rFonts w:hint="eastAsia" w:ascii="仿宋_GB2312" w:hAnsi="仿宋_GB2312" w:eastAsia="仿宋_GB2312" w:cs="仿宋_GB2312"/>
                <w:sz w:val="28"/>
                <w:szCs w:val="28"/>
              </w:rPr>
            </w:pP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备注:月质量考核扣分达到30分，合同自行终止。</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项目考核负责人：          考核时间：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28"/>
          <w:szCs w:val="28"/>
        </w:rPr>
        <w:sectPr>
          <w:headerReference r:id="rId9" w:type="default"/>
          <w:footerReference r:id="rId10" w:type="default"/>
          <w:pgSz w:w="16838" w:h="11906" w:orient="landscape"/>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04"/>
        </w:sect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bCs/>
          <w:color w:val="auto"/>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8"/>
          <w:szCs w:val="28"/>
          <w:lang w:eastAsia="zh-CN"/>
        </w:rPr>
      </w:pPr>
      <w:r>
        <w:rPr>
          <w:rFonts w:hint="eastAsia" w:ascii="仿宋_GB2312" w:hAnsi="仿宋_GB2312" w:eastAsia="仿宋_GB2312" w:cs="仿宋_GB2312"/>
          <w:b/>
          <w:bCs/>
          <w:color w:val="auto"/>
          <w:sz w:val="28"/>
          <w:szCs w:val="28"/>
        </w:rPr>
        <w:t>备注：</w:t>
      </w:r>
      <w:r>
        <w:rPr>
          <w:rFonts w:hint="eastAsia" w:ascii="仿宋_GB2312" w:hAnsi="仿宋_GB2312" w:eastAsia="仿宋_GB2312" w:cs="仿宋_GB2312"/>
          <w:b/>
          <w:bCs/>
          <w:color w:val="auto"/>
          <w:sz w:val="28"/>
          <w:szCs w:val="28"/>
          <w:lang w:val="en-US" w:eastAsia="zh-CN"/>
        </w:rPr>
        <w:t>以上均是</w:t>
      </w: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内容，</w:t>
      </w:r>
      <w:r>
        <w:rPr>
          <w:rFonts w:hint="eastAsia" w:ascii="仿宋_GB2312" w:hAnsi="仿宋_GB2312" w:eastAsia="仿宋_GB2312" w:cs="仿宋_GB2312"/>
          <w:b/>
          <w:bCs/>
          <w:color w:val="auto"/>
          <w:sz w:val="28"/>
          <w:szCs w:val="28"/>
        </w:rPr>
        <w:t>为实质性要求，</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rPr>
        <w:t>人未逐条响应、有缺漏或负偏离将视为无效</w:t>
      </w:r>
      <w:r>
        <w:rPr>
          <w:rFonts w:hint="eastAsia" w:ascii="仿宋_GB2312" w:hAnsi="仿宋_GB2312" w:eastAsia="仿宋_GB2312" w:cs="仿宋_GB2312"/>
          <w:b/>
          <w:bCs/>
          <w:color w:val="auto"/>
          <w:sz w:val="28"/>
          <w:szCs w:val="28"/>
          <w:lang w:val="en-US" w:eastAsia="zh-CN"/>
        </w:rPr>
        <w:t>响应</w:t>
      </w:r>
      <w:r>
        <w:rPr>
          <w:rFonts w:hint="eastAsia" w:ascii="仿宋_GB2312" w:hAnsi="仿宋_GB2312" w:eastAsia="仿宋_GB2312" w:cs="仿宋_GB2312"/>
          <w:b/>
          <w:bCs/>
          <w:color w:val="auto"/>
          <w:sz w:val="28"/>
          <w:szCs w:val="28"/>
          <w:lang w:eastAsia="zh-CN"/>
        </w:rPr>
        <w:t>。</w:t>
      </w:r>
    </w:p>
    <w:p>
      <w:pPr>
        <w:pStyle w:val="2"/>
        <w:jc w:val="center"/>
        <w:rPr>
          <w:rFonts w:hint="eastAsia" w:ascii="华文仿宋" w:hAnsi="华文仿宋" w:cs="华文仿宋"/>
          <w:color w:val="auto"/>
        </w:rPr>
      </w:pPr>
      <w:r>
        <w:rPr>
          <w:rFonts w:ascii="宋体" w:hAnsi="宋体" w:eastAsia="宋体" w:cs="宋体"/>
          <w:color w:val="auto"/>
          <w:sz w:val="28"/>
          <w:szCs w:val="28"/>
        </w:rPr>
        <w:br w:type="page"/>
      </w:r>
      <w:bookmarkStart w:id="192" w:name="_Toc10371"/>
      <w:bookmarkStart w:id="193" w:name="_Toc35871571"/>
      <w:bookmarkStart w:id="194" w:name="_Toc19317"/>
      <w:bookmarkStart w:id="195" w:name="_Toc18466_WPSOffice_Level1"/>
      <w:bookmarkStart w:id="196" w:name="_Toc12628"/>
      <w:bookmarkStart w:id="197" w:name="_Toc14089"/>
      <w:bookmarkStart w:id="198" w:name="_Toc495014922"/>
      <w:bookmarkStart w:id="199" w:name="_Toc18484_WPSOffice_Level1"/>
      <w:bookmarkStart w:id="200" w:name="_Toc784_WPSOffice_Level1"/>
      <w:bookmarkStart w:id="201" w:name="_Toc495012773"/>
      <w:bookmarkStart w:id="202" w:name="_Toc445306495"/>
      <w:bookmarkStart w:id="203" w:name="_Toc495014651"/>
      <w:bookmarkStart w:id="204" w:name="_Toc495014613"/>
      <w:bookmarkStart w:id="205" w:name="_Toc495014587"/>
      <w:bookmarkStart w:id="206" w:name="_Toc495012823"/>
      <w:bookmarkStart w:id="207" w:name="_Toc495014956"/>
      <w:r>
        <w:rPr>
          <w:rFonts w:ascii="黑体" w:hAnsi="黑体" w:eastAsia="黑体"/>
          <w:b w:val="0"/>
          <w:color w:val="auto"/>
          <w:sz w:val="32"/>
          <w:szCs w:val="32"/>
        </w:rPr>
        <w:t>第</w:t>
      </w:r>
      <w:r>
        <w:rPr>
          <w:rFonts w:hint="eastAsia" w:ascii="黑体" w:hAnsi="黑体" w:eastAsia="黑体"/>
          <w:b w:val="0"/>
          <w:color w:val="auto"/>
          <w:sz w:val="32"/>
          <w:szCs w:val="32"/>
        </w:rPr>
        <w:t>四</w:t>
      </w:r>
      <w:r>
        <w:rPr>
          <w:rFonts w:ascii="黑体" w:hAnsi="黑体" w:eastAsia="黑体"/>
          <w:b w:val="0"/>
          <w:color w:val="auto"/>
          <w:sz w:val="32"/>
          <w:szCs w:val="32"/>
        </w:rPr>
        <w:t xml:space="preserve">章 </w:t>
      </w:r>
      <w:r>
        <w:rPr>
          <w:rFonts w:hint="eastAsia" w:ascii="黑体" w:hAnsi="黑体" w:eastAsia="黑体"/>
          <w:b w:val="0"/>
          <w:color w:val="auto"/>
          <w:sz w:val="32"/>
          <w:szCs w:val="32"/>
        </w:rPr>
        <w:t>合同</w:t>
      </w:r>
      <w:r>
        <w:rPr>
          <w:rFonts w:hint="eastAsia" w:ascii="黑体" w:hAnsi="黑体" w:eastAsia="黑体"/>
          <w:b w:val="0"/>
          <w:color w:val="auto"/>
          <w:sz w:val="32"/>
          <w:szCs w:val="32"/>
          <w:lang w:val="en-US" w:eastAsia="zh-CN"/>
        </w:rPr>
        <w:t>草案</w:t>
      </w:r>
      <w:r>
        <w:rPr>
          <w:rFonts w:hint="eastAsia" w:ascii="黑体" w:hAnsi="黑体" w:eastAsia="黑体"/>
          <w:b w:val="0"/>
          <w:color w:val="auto"/>
          <w:sz w:val="32"/>
          <w:szCs w:val="32"/>
        </w:rPr>
        <w:t>条款</w:t>
      </w:r>
      <w:bookmarkEnd w:id="192"/>
      <w:bookmarkEnd w:id="193"/>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一、基本条件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default"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lang w:val="en-US" w:eastAsia="zh-CN" w:bidi="ar"/>
        </w:rPr>
        <w:t>（一）服务</w:t>
      </w:r>
      <w:r>
        <w:rPr>
          <w:rFonts w:hint="eastAsia" w:ascii="仿宋_GB2312" w:hAnsi="仿宋_GB2312" w:eastAsia="仿宋_GB2312" w:cs="仿宋_GB2312"/>
          <w:color w:val="auto"/>
          <w:kern w:val="0"/>
          <w:sz w:val="28"/>
          <w:szCs w:val="28"/>
          <w:highlight w:val="none"/>
          <w:lang w:val="en-US" w:eastAsia="zh-CN" w:bidi="ar"/>
        </w:rPr>
        <w:t>地点：汉中市中心医院</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
        </w:rPr>
        <w:t>（二）服务期：一年</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二、合同价款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合同总价一次性包死，不受市场价格变化因素的影响。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三、款项结算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（一）支付方式：银行转账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（二）货币单位：人民币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（三）</w:t>
      </w:r>
      <w:r>
        <w:rPr>
          <w:rFonts w:hint="eastAsia" w:ascii="仿宋_GB2312" w:hAnsi="仿宋_GB2312" w:eastAsia="仿宋_GB2312" w:cs="仿宋_GB2312"/>
          <w:color w:val="auto"/>
          <w:kern w:val="0"/>
          <w:sz w:val="28"/>
          <w:szCs w:val="28"/>
          <w:highlight w:val="none"/>
          <w:lang w:val="en-US" w:eastAsia="zh-CN" w:bidi="ar"/>
        </w:rPr>
        <w:t xml:space="preserve">结算方式：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 xml:space="preserve">按照双方约定的考核办法对公司每月进行考核，根据考核结果每两月支付一次承包费。 </w:t>
      </w:r>
    </w:p>
    <w:p>
      <w:pPr>
        <w:keepNext/>
        <w:keepLines/>
        <w:pageBreakBefore w:val="0"/>
        <w:widowControl/>
        <w:kinsoku/>
        <w:wordWrap/>
        <w:overflowPunct/>
        <w:topLinePunct w:val="0"/>
        <w:autoSpaceDE/>
        <w:autoSpaceDN/>
        <w:bidi w:val="0"/>
        <w:adjustRightInd/>
        <w:snapToGrid/>
        <w:spacing w:line="500" w:lineRule="exact"/>
        <w:ind w:firstLine="566" w:firstLineChars="200"/>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kern w:val="0"/>
          <w:sz w:val="28"/>
          <w:szCs w:val="28"/>
          <w:lang w:val="en-US" w:eastAsia="zh-CN" w:bidi="ar"/>
        </w:rPr>
        <w:t>四、</w:t>
      </w:r>
      <w:r>
        <w:rPr>
          <w:rFonts w:hint="eastAsia" w:ascii="仿宋_GB2312" w:hAnsi="仿宋_GB2312" w:eastAsia="仿宋_GB2312" w:cs="仿宋_GB2312"/>
          <w:b/>
          <w:bCs/>
          <w:color w:val="auto"/>
          <w:sz w:val="28"/>
          <w:szCs w:val="28"/>
        </w:rPr>
        <w:t>服务保证</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1、成交供应商提供服务时，服务要求应按不低于国家、省、市有关部门规定的质量标准执行。</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2、成交供应商承诺与拟投入人员均有劳动合同或聘用协议。</w:t>
      </w:r>
    </w:p>
    <w:p>
      <w:pPr>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、成交供应商承诺工作人员按磋商文件落实。</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五、服务承诺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kern w:val="0"/>
          <w:sz w:val="28"/>
          <w:szCs w:val="28"/>
          <w:lang w:val="en-US" w:eastAsia="zh-CN" w:bidi="ar"/>
        </w:rPr>
      </w:pPr>
      <w:r>
        <w:rPr>
          <w:rFonts w:hint="eastAsia" w:ascii="仿宋_GB2312" w:hAnsi="仿宋_GB2312" w:eastAsia="仿宋_GB2312" w:cs="仿宋_GB2312"/>
          <w:color w:val="auto"/>
          <w:kern w:val="0"/>
          <w:sz w:val="28"/>
          <w:szCs w:val="28"/>
          <w:lang w:val="en-US" w:eastAsia="zh-CN" w:bidi="ar"/>
        </w:rPr>
        <w:t>以响应文件、澄清表（函）、合同等相关文件为准。</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六、违约责任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成交供应商违约的，采购人有权终止合同；若给采购人造成经济损失的，采购人可依法向成交供应商进行经济索赔，并报请政府采购监管机关依法进行相应的行政处罚。采购人违约的，须依法赔偿给成交供应商造成的经济损失。</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七、争议解决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执行本合同中产生纠纷，由采购人与成交供应商双方协商解决；协商不成，向有管辖权的人民法院提起诉讼。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kern w:val="0"/>
          <w:sz w:val="28"/>
          <w:szCs w:val="28"/>
          <w:lang w:val="en-US" w:eastAsia="zh-CN" w:bidi="ar"/>
        </w:rPr>
        <w:t xml:space="preserve">八、合同生效及其他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1、本合同自签订之日起生效。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 xml:space="preserve">2、合同份数由采购人和成交供应商具体商定。 </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566"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lang w:val="en-US" w:eastAsia="zh-CN" w:bidi="ar"/>
        </w:rPr>
        <w:t>3、未尽事宜由双方在签订合同时具体明确。</w:t>
      </w:r>
    </w:p>
    <w:p>
      <w:pPr>
        <w:pageBreakBefore w:val="0"/>
        <w:widowControl/>
        <w:kinsoku/>
        <w:wordWrap/>
        <w:overflowPunct/>
        <w:topLinePunct w:val="0"/>
        <w:autoSpaceDE/>
        <w:autoSpaceDN/>
        <w:bidi w:val="0"/>
        <w:adjustRightInd/>
        <w:snapToGrid/>
        <w:spacing w:line="500" w:lineRule="exact"/>
        <w:jc w:val="left"/>
        <w:textAlignment w:val="auto"/>
        <w:rPr>
          <w:rFonts w:ascii="黑体" w:hAnsi="黑体" w:eastAsia="黑体"/>
          <w:b/>
          <w:bCs/>
          <w:color w:val="auto"/>
          <w:kern w:val="44"/>
          <w:sz w:val="28"/>
          <w:szCs w:val="28"/>
        </w:rPr>
      </w:pPr>
      <w:r>
        <w:rPr>
          <w:rFonts w:ascii="黑体" w:hAnsi="黑体" w:eastAsia="黑体"/>
          <w:bCs/>
          <w:color w:val="auto"/>
          <w:sz w:val="28"/>
          <w:szCs w:val="28"/>
        </w:rPr>
        <w:br w:type="page"/>
      </w:r>
    </w:p>
    <w:p>
      <w:pPr>
        <w:pStyle w:val="2"/>
        <w:rPr>
          <w:rFonts w:ascii="黑体" w:hAnsi="黑体" w:eastAsia="黑体" w:cs="黑体"/>
          <w:b w:val="0"/>
          <w:bCs/>
          <w:color w:val="auto"/>
          <w:sz w:val="32"/>
          <w:szCs w:val="32"/>
        </w:rPr>
      </w:pPr>
      <w:bookmarkStart w:id="208" w:name="_Toc5571"/>
      <w:r>
        <w:rPr>
          <w:rFonts w:hint="eastAsia" w:ascii="黑体" w:hAnsi="黑体" w:eastAsia="黑体" w:cs="黑体"/>
          <w:b w:val="0"/>
          <w:bCs/>
          <w:color w:val="auto"/>
          <w:sz w:val="32"/>
          <w:szCs w:val="32"/>
        </w:rPr>
        <w:t>第五章  响应文件构成及格式</w:t>
      </w:r>
      <w:bookmarkEnd w:id="194"/>
      <w:bookmarkEnd w:id="195"/>
      <w:bookmarkEnd w:id="196"/>
      <w:bookmarkEnd w:id="197"/>
      <w:bookmarkEnd w:id="208"/>
    </w:p>
    <w:p>
      <w:pPr>
        <w:pStyle w:val="40"/>
        <w:rPr>
          <w:color w:val="auto"/>
        </w:rPr>
      </w:pPr>
    </w:p>
    <w:p>
      <w:pPr>
        <w:pStyle w:val="40"/>
        <w:rPr>
          <w:color w:val="auto"/>
        </w:rPr>
      </w:pPr>
    </w:p>
    <w:p>
      <w:pPr>
        <w:pStyle w:val="40"/>
        <w:rPr>
          <w:color w:val="auto"/>
        </w:rPr>
      </w:pPr>
    </w:p>
    <w:p>
      <w:pPr>
        <w:pStyle w:val="40"/>
        <w:rPr>
          <w:color w:val="auto"/>
        </w:rPr>
      </w:pPr>
      <w:r>
        <w:rPr>
          <w:rFonts w:hint="eastAsia"/>
          <w:color w:val="auto"/>
        </w:rPr>
        <w:t xml:space="preserve">  </w:t>
      </w:r>
    </w:p>
    <w:tbl>
      <w:tblPr>
        <w:tblStyle w:val="20"/>
        <w:tblW w:w="8190" w:type="dxa"/>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190" w:type="dxa"/>
          </w:tcPr>
          <w:p>
            <w:pPr>
              <w:spacing w:before="12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注释： </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1、本章分为三部分，是为方便投标人制作响应文件设计。第一、二部分应按要求或给定格式选择填报。</w:t>
            </w:r>
          </w:p>
          <w:p>
            <w:pPr>
              <w:spacing w:before="120" w:line="420" w:lineRule="exact"/>
              <w:ind w:firstLine="486" w:firstLineChars="20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2、第三部分</w:t>
            </w:r>
            <w:r>
              <w:rPr>
                <w:rFonts w:hint="eastAsia" w:ascii="仿宋_GB2312" w:hAnsi="仿宋_GB2312" w:eastAsia="仿宋_GB2312" w:cs="仿宋_GB2312"/>
                <w:color w:val="auto"/>
                <w:sz w:val="24"/>
                <w:szCs w:val="24"/>
                <w:lang w:val="en-US" w:eastAsia="zh-CN"/>
              </w:rPr>
              <w:t>响应</w:t>
            </w:r>
            <w:r>
              <w:rPr>
                <w:rFonts w:hint="eastAsia" w:ascii="仿宋_GB2312" w:hAnsi="仿宋_GB2312" w:eastAsia="仿宋_GB2312" w:cs="仿宋_GB2312"/>
                <w:color w:val="auto"/>
                <w:sz w:val="24"/>
                <w:szCs w:val="24"/>
              </w:rPr>
              <w:t>方案格式仅供参考，</w:t>
            </w:r>
            <w:r>
              <w:rPr>
                <w:rFonts w:hint="eastAsia" w:ascii="仿宋_GB2312" w:hAnsi="仿宋_GB2312" w:eastAsia="仿宋_GB2312" w:cs="仿宋_GB2312"/>
                <w:color w:val="auto"/>
                <w:sz w:val="24"/>
                <w:szCs w:val="24"/>
                <w:lang w:val="en-US" w:eastAsia="zh-CN"/>
              </w:rPr>
              <w:t>供应商</w:t>
            </w:r>
            <w:r>
              <w:rPr>
                <w:rFonts w:hint="eastAsia" w:ascii="仿宋_GB2312" w:hAnsi="仿宋_GB2312" w:eastAsia="仿宋_GB2312" w:cs="仿宋_GB2312"/>
                <w:color w:val="auto"/>
                <w:sz w:val="24"/>
                <w:szCs w:val="24"/>
              </w:rPr>
              <w:t>应根据项目特点，结合本次</w:t>
            </w:r>
            <w:r>
              <w:rPr>
                <w:rFonts w:hint="eastAsia" w:ascii="仿宋_GB2312" w:hAnsi="仿宋_GB2312" w:eastAsia="仿宋_GB2312" w:cs="仿宋_GB2312"/>
                <w:color w:val="auto"/>
                <w:sz w:val="24"/>
                <w:szCs w:val="24"/>
                <w:lang w:val="en-US" w:eastAsia="zh-CN"/>
              </w:rPr>
              <w:t>磋商</w:t>
            </w:r>
            <w:r>
              <w:rPr>
                <w:rFonts w:hint="eastAsia" w:ascii="仿宋_GB2312" w:hAnsi="仿宋_GB2312" w:eastAsia="仿宋_GB2312" w:cs="仿宋_GB2312"/>
                <w:color w:val="auto"/>
                <w:sz w:val="24"/>
                <w:szCs w:val="24"/>
              </w:rPr>
              <w:t>要求，对有关表格进行补充或修改，但不得对实质性文件的相关条款作出变动。</w:t>
            </w:r>
          </w:p>
        </w:tc>
      </w:tr>
    </w:tbl>
    <w:p>
      <w:pPr>
        <w:pStyle w:val="40"/>
        <w:rPr>
          <w:color w:val="auto"/>
          <w:sz w:val="20"/>
        </w:rPr>
      </w:pPr>
    </w:p>
    <w:p>
      <w:pPr>
        <w:pStyle w:val="37"/>
        <w:spacing w:line="240" w:lineRule="auto"/>
        <w:ind w:firstLine="253" w:firstLineChars="70"/>
        <w:jc w:val="center"/>
        <w:rPr>
          <w:rFonts w:ascii="宋体" w:hAnsi="宋体" w:eastAsia="宋体"/>
          <w:color w:val="auto"/>
          <w:sz w:val="36"/>
          <w:szCs w:val="36"/>
        </w:rPr>
      </w:pPr>
    </w:p>
    <w:p>
      <w:pPr>
        <w:pStyle w:val="37"/>
        <w:spacing w:line="240" w:lineRule="auto"/>
        <w:ind w:firstLine="253" w:firstLineChars="70"/>
        <w:jc w:val="center"/>
        <w:rPr>
          <w:color w:val="auto"/>
          <w:sz w:val="36"/>
          <w:szCs w:val="36"/>
        </w:rPr>
      </w:pPr>
      <w:r>
        <w:rPr>
          <w:rFonts w:ascii="宋体" w:hAnsi="宋体" w:eastAsia="宋体"/>
          <w:color w:val="auto"/>
          <w:sz w:val="36"/>
          <w:szCs w:val="36"/>
        </w:rPr>
        <w:br w:type="page"/>
      </w:r>
    </w:p>
    <w:p>
      <w:pPr>
        <w:spacing w:line="240" w:lineRule="auto"/>
        <w:jc w:val="left"/>
        <w:outlineLvl w:val="0"/>
        <w:rPr>
          <w:rFonts w:hint="eastAsia" w:ascii="华文中宋" w:hAnsi="华文中宋" w:eastAsia="华文中宋" w:cs="华文中宋"/>
          <w:color w:val="auto"/>
          <w:sz w:val="60"/>
          <w:szCs w:val="60"/>
        </w:rPr>
      </w:pPr>
      <w:bookmarkStart w:id="209" w:name="_Toc6132"/>
      <w:bookmarkStart w:id="210" w:name="_Toc26293"/>
      <w:bookmarkStart w:id="211" w:name="_Toc26349"/>
      <w:bookmarkStart w:id="212" w:name="_Toc10248"/>
      <w:bookmarkStart w:id="213" w:name="_Toc24786"/>
      <w:bookmarkStart w:id="214" w:name="_Toc23235"/>
      <w:bookmarkStart w:id="215" w:name="_Toc257"/>
    </w:p>
    <w:p>
      <w:pPr>
        <w:spacing w:line="240" w:lineRule="auto"/>
        <w:jc w:val="center"/>
        <w:outlineLvl w:val="0"/>
        <w:rPr>
          <w:rFonts w:hint="eastAsia" w:ascii="方正小标宋简体" w:hAnsi="方正小标宋简体" w:eastAsia="方正小标宋简体" w:cs="方正小标宋简体"/>
          <w:color w:val="auto"/>
          <w:sz w:val="52"/>
          <w:szCs w:val="52"/>
        </w:rPr>
      </w:pPr>
      <w:bookmarkStart w:id="216" w:name="_Toc14411"/>
      <w:r>
        <w:rPr>
          <w:rFonts w:hint="eastAsia" w:ascii="方正小标宋简体" w:hAnsi="方正小标宋简体" w:eastAsia="方正小标宋简体" w:cs="方正小标宋简体"/>
          <w:color w:val="auto"/>
          <w:sz w:val="52"/>
          <w:szCs w:val="52"/>
          <w:lang w:val="en-US" w:eastAsia="zh-CN"/>
        </w:rPr>
        <w:t>汉中市</w:t>
      </w:r>
      <w:r>
        <w:rPr>
          <w:rFonts w:hint="eastAsia" w:ascii="方正小标宋简体" w:hAnsi="方正小标宋简体" w:eastAsia="方正小标宋简体" w:cs="方正小标宋简体"/>
          <w:color w:val="auto"/>
          <w:sz w:val="52"/>
          <w:szCs w:val="52"/>
        </w:rPr>
        <w:t>政府采购</w:t>
      </w:r>
      <w:r>
        <w:rPr>
          <w:rFonts w:hint="eastAsia" w:ascii="方正小标宋简体" w:hAnsi="方正小标宋简体" w:eastAsia="方正小标宋简体" w:cs="方正小标宋简体"/>
          <w:color w:val="auto"/>
          <w:sz w:val="52"/>
          <w:szCs w:val="52"/>
          <w:lang w:val="en-US" w:eastAsia="zh-CN"/>
        </w:rPr>
        <w:t>竞争性磋商</w:t>
      </w:r>
      <w:r>
        <w:rPr>
          <w:rFonts w:hint="eastAsia" w:ascii="方正小标宋简体" w:hAnsi="方正小标宋简体" w:eastAsia="方正小标宋简体" w:cs="方正小标宋简体"/>
          <w:color w:val="auto"/>
          <w:sz w:val="52"/>
          <w:szCs w:val="52"/>
        </w:rPr>
        <w:t>项目</w:t>
      </w:r>
      <w:bookmarkEnd w:id="209"/>
      <w:bookmarkEnd w:id="210"/>
      <w:bookmarkEnd w:id="211"/>
      <w:bookmarkEnd w:id="212"/>
      <w:bookmarkEnd w:id="213"/>
      <w:bookmarkEnd w:id="214"/>
      <w:bookmarkEnd w:id="215"/>
      <w:bookmarkEnd w:id="216"/>
    </w:p>
    <w:p>
      <w:pPr>
        <w:pStyle w:val="37"/>
        <w:spacing w:line="240" w:lineRule="auto"/>
        <w:ind w:left="0" w:leftChars="0" w:firstLine="0" w:firstLineChars="0"/>
        <w:jc w:val="both"/>
        <w:rPr>
          <w:rFonts w:hint="eastAsia" w:ascii="方正小标宋简体" w:hAnsi="方正小标宋简体" w:eastAsia="方正小标宋简体" w:cs="方正小标宋简体"/>
          <w:color w:val="auto"/>
          <w:sz w:val="36"/>
          <w:szCs w:val="36"/>
        </w:rPr>
      </w:pPr>
    </w:p>
    <w:p>
      <w:pPr>
        <w:spacing w:line="240" w:lineRule="auto"/>
        <w:jc w:val="center"/>
        <w:outlineLvl w:val="0"/>
        <w:rPr>
          <w:rFonts w:hint="eastAsia" w:ascii="方正小标宋简体" w:hAnsi="方正小标宋简体" w:eastAsia="方正小标宋简体" w:cs="方正小标宋简体"/>
          <w:color w:val="auto"/>
          <w:sz w:val="100"/>
          <w:szCs w:val="100"/>
          <w:lang w:val="en-US" w:eastAsia="zh-CN"/>
        </w:rPr>
      </w:pPr>
      <w:bookmarkStart w:id="217" w:name="_Toc17700"/>
      <w:bookmarkStart w:id="218" w:name="_Toc13950"/>
      <w:bookmarkStart w:id="219" w:name="_Toc6733"/>
      <w:bookmarkStart w:id="220" w:name="_Toc8257"/>
      <w:bookmarkStart w:id="221" w:name="_Toc76"/>
      <w:bookmarkStart w:id="222" w:name="_Toc20481"/>
      <w:bookmarkStart w:id="223" w:name="_Toc26378"/>
      <w:bookmarkStart w:id="224" w:name="_Toc19569"/>
      <w:r>
        <w:rPr>
          <w:rFonts w:hint="eastAsia" w:ascii="方正小标宋简体" w:hAnsi="方正小标宋简体" w:eastAsia="方正小标宋简体" w:cs="方正小标宋简体"/>
          <w:color w:val="auto"/>
          <w:sz w:val="100"/>
          <w:szCs w:val="100"/>
          <w:lang w:val="en-US" w:eastAsia="zh-CN"/>
        </w:rPr>
        <w:t>响应文件</w:t>
      </w:r>
      <w:bookmarkEnd w:id="217"/>
      <w:bookmarkEnd w:id="218"/>
      <w:bookmarkEnd w:id="219"/>
      <w:bookmarkEnd w:id="220"/>
      <w:bookmarkEnd w:id="221"/>
      <w:bookmarkEnd w:id="222"/>
      <w:bookmarkEnd w:id="223"/>
      <w:bookmarkEnd w:id="224"/>
    </w:p>
    <w:p>
      <w:pPr>
        <w:pStyle w:val="37"/>
        <w:spacing w:line="240" w:lineRule="auto"/>
        <w:ind w:firstLine="0" w:firstLineChars="0"/>
        <w:jc w:val="center"/>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both"/>
        <w:rPr>
          <w:rFonts w:ascii="华文仿宋" w:hAnsi="华文仿宋" w:cs="华文仿宋"/>
          <w:color w:val="auto"/>
          <w:sz w:val="36"/>
          <w:szCs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ascii="华文仿宋" w:hAnsi="华文仿宋" w:cs="华文仿宋"/>
          <w:color w:val="auto"/>
          <w:sz w:val="36"/>
        </w:rPr>
      </w:pPr>
    </w:p>
    <w:p>
      <w:pPr>
        <w:pStyle w:val="37"/>
        <w:spacing w:line="240" w:lineRule="auto"/>
        <w:ind w:firstLine="0" w:firstLineChars="0"/>
        <w:jc w:val="center"/>
        <w:rPr>
          <w:rFonts w:hint="eastAsia" w:ascii="仿宋_GB2312" w:hAnsi="仿宋_GB2312" w:eastAsia="仿宋_GB2312" w:cs="仿宋_GB2312"/>
          <w:color w:val="auto"/>
          <w:sz w:val="36"/>
        </w:rPr>
      </w:pPr>
    </w:p>
    <w:p>
      <w:pPr>
        <w:pStyle w:val="37"/>
        <w:spacing w:line="240" w:lineRule="auto"/>
        <w:ind w:firstLine="1452" w:firstLineChars="400"/>
        <w:outlineLvl w:val="0"/>
        <w:rPr>
          <w:rFonts w:hint="eastAsia" w:ascii="仿宋_GB2312" w:hAnsi="仿宋_GB2312" w:eastAsia="仿宋_GB2312" w:cs="仿宋_GB2312"/>
          <w:b/>
          <w:color w:val="auto"/>
          <w:sz w:val="36"/>
          <w:szCs w:val="36"/>
          <w:u w:val="single"/>
        </w:rPr>
      </w:pPr>
      <w:bookmarkStart w:id="225" w:name="_Toc15354"/>
      <w:bookmarkStart w:id="226" w:name="_Toc15913"/>
      <w:bookmarkStart w:id="227" w:name="_Toc23171"/>
      <w:bookmarkStart w:id="228" w:name="_Toc24486"/>
      <w:bookmarkStart w:id="229" w:name="_Toc12627"/>
      <w:bookmarkStart w:id="230" w:name="_Toc24457"/>
      <w:bookmarkStart w:id="231" w:name="_Toc2030"/>
      <w:bookmarkStart w:id="232" w:name="_Toc22280"/>
      <w:r>
        <w:rPr>
          <w:rFonts w:hint="eastAsia" w:ascii="仿宋_GB2312" w:hAnsi="仿宋_GB2312" w:eastAsia="仿宋_GB2312" w:cs="仿宋_GB2312"/>
          <w:bCs/>
          <w:color w:val="auto"/>
          <w:sz w:val="36"/>
          <w:szCs w:val="36"/>
        </w:rPr>
        <w:t>项目名称：</w:t>
      </w:r>
      <w:bookmarkEnd w:id="225"/>
      <w:bookmarkEnd w:id="226"/>
      <w:bookmarkEnd w:id="227"/>
      <w:bookmarkEnd w:id="228"/>
      <w:bookmarkEnd w:id="229"/>
      <w:bookmarkEnd w:id="230"/>
      <w:bookmarkEnd w:id="231"/>
      <w:bookmarkEnd w:id="232"/>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szCs w:val="36"/>
          <w:u w:val="single"/>
        </w:rPr>
      </w:pPr>
      <w:bookmarkStart w:id="233" w:name="_Toc16607"/>
      <w:bookmarkStart w:id="234" w:name="_Toc15987"/>
      <w:bookmarkStart w:id="235" w:name="_Toc11267"/>
      <w:bookmarkStart w:id="236" w:name="_Toc21054"/>
      <w:bookmarkStart w:id="237" w:name="_Toc29966"/>
      <w:bookmarkStart w:id="238" w:name="_Toc22519"/>
      <w:bookmarkStart w:id="239" w:name="_Toc1120"/>
      <w:bookmarkStart w:id="240" w:name="_Toc5428"/>
      <w:r>
        <w:rPr>
          <w:rFonts w:hint="eastAsia" w:ascii="仿宋_GB2312" w:hAnsi="仿宋_GB2312" w:eastAsia="仿宋_GB2312" w:cs="仿宋_GB2312"/>
          <w:bCs/>
          <w:color w:val="auto"/>
          <w:sz w:val="36"/>
          <w:szCs w:val="36"/>
        </w:rPr>
        <w:t>项目</w:t>
      </w:r>
      <w:r>
        <w:rPr>
          <w:rFonts w:hint="eastAsia" w:ascii="仿宋_GB2312" w:hAnsi="仿宋_GB2312" w:eastAsia="仿宋_GB2312" w:cs="仿宋_GB2312"/>
          <w:bCs/>
          <w:color w:val="auto"/>
          <w:sz w:val="36"/>
          <w:szCs w:val="36"/>
          <w:lang w:val="en-US" w:eastAsia="zh-CN"/>
        </w:rPr>
        <w:t>编号</w:t>
      </w:r>
      <w:r>
        <w:rPr>
          <w:rFonts w:hint="eastAsia" w:ascii="仿宋_GB2312" w:hAnsi="仿宋_GB2312" w:eastAsia="仿宋_GB2312" w:cs="仿宋_GB2312"/>
          <w:bCs/>
          <w:color w:val="auto"/>
          <w:sz w:val="36"/>
          <w:szCs w:val="36"/>
        </w:rPr>
        <w:t>：</w:t>
      </w:r>
      <w:bookmarkEnd w:id="233"/>
      <w:r>
        <w:rPr>
          <w:rFonts w:hint="eastAsia" w:ascii="仿宋_GB2312" w:hAnsi="仿宋_GB2312" w:eastAsia="仿宋_GB2312" w:cs="仿宋_GB2312"/>
          <w:color w:val="auto"/>
          <w:sz w:val="36"/>
          <w:szCs w:val="36"/>
          <w:u w:val="single"/>
        </w:rPr>
        <w:t xml:space="preserve">             </w:t>
      </w:r>
    </w:p>
    <w:p>
      <w:pPr>
        <w:pStyle w:val="37"/>
        <w:spacing w:line="240" w:lineRule="auto"/>
        <w:ind w:firstLine="1452" w:firstLineChars="400"/>
        <w:outlineLvl w:val="0"/>
        <w:rPr>
          <w:rFonts w:hint="eastAsia" w:ascii="仿宋_GB2312" w:hAnsi="仿宋_GB2312" w:eastAsia="仿宋_GB2312" w:cs="仿宋_GB2312"/>
          <w:color w:val="auto"/>
          <w:sz w:val="36"/>
        </w:rPr>
      </w:pPr>
      <w:bookmarkStart w:id="241" w:name="_Toc18959"/>
      <w:r>
        <w:rPr>
          <w:rFonts w:hint="eastAsia" w:ascii="仿宋_GB2312" w:hAnsi="仿宋_GB2312" w:eastAsia="仿宋_GB2312" w:cs="仿宋_GB2312"/>
          <w:color w:val="auto"/>
          <w:sz w:val="36"/>
        </w:rPr>
        <w:t>供 应 商：</w:t>
      </w:r>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r>
        <w:rPr>
          <w:rFonts w:hint="eastAsia" w:ascii="仿宋_GB2312" w:hAnsi="仿宋_GB2312" w:eastAsia="仿宋_GB2312" w:cs="仿宋_GB2312"/>
          <w:color w:val="auto"/>
          <w:sz w:val="36"/>
        </w:rPr>
        <w:t>（公章）</w:t>
      </w:r>
      <w:bookmarkEnd w:id="234"/>
      <w:bookmarkEnd w:id="235"/>
      <w:bookmarkEnd w:id="236"/>
      <w:bookmarkEnd w:id="237"/>
      <w:bookmarkEnd w:id="238"/>
      <w:bookmarkEnd w:id="239"/>
      <w:bookmarkEnd w:id="240"/>
      <w:bookmarkEnd w:id="241"/>
    </w:p>
    <w:p>
      <w:pPr>
        <w:pStyle w:val="37"/>
        <w:spacing w:line="240" w:lineRule="auto"/>
        <w:ind w:firstLine="1452" w:firstLineChars="400"/>
        <w:jc w:val="left"/>
        <w:outlineLvl w:val="0"/>
        <w:rPr>
          <w:rFonts w:hint="eastAsia" w:ascii="仿宋" w:hAnsi="仿宋" w:eastAsia="仿宋" w:cs="仿宋"/>
          <w:color w:val="auto"/>
          <w:sz w:val="36"/>
          <w:szCs w:val="36"/>
          <w:u w:val="single"/>
        </w:rPr>
      </w:pPr>
      <w:bookmarkStart w:id="242" w:name="_Toc9715"/>
      <w:bookmarkStart w:id="243" w:name="_Toc7734"/>
      <w:bookmarkStart w:id="244" w:name="_Toc21702"/>
      <w:bookmarkStart w:id="245" w:name="_Toc24294"/>
      <w:bookmarkStart w:id="246" w:name="_Toc15429"/>
      <w:bookmarkStart w:id="247" w:name="_Toc880"/>
      <w:bookmarkStart w:id="248" w:name="_Toc5243"/>
      <w:bookmarkStart w:id="249" w:name="_Toc26250"/>
      <w:r>
        <w:rPr>
          <w:rFonts w:hint="eastAsia" w:ascii="仿宋_GB2312" w:hAnsi="仿宋_GB2312" w:eastAsia="仿宋_GB2312" w:cs="仿宋_GB2312"/>
          <w:color w:val="auto"/>
          <w:sz w:val="36"/>
        </w:rPr>
        <w:t>时　  间：</w:t>
      </w:r>
      <w:bookmarkEnd w:id="242"/>
      <w:bookmarkEnd w:id="243"/>
      <w:bookmarkEnd w:id="244"/>
      <w:r>
        <w:rPr>
          <w:rFonts w:hint="eastAsia" w:ascii="仿宋_GB2312" w:hAnsi="仿宋_GB2312" w:eastAsia="仿宋_GB2312" w:cs="仿宋_GB2312"/>
          <w:color w:val="auto"/>
          <w:sz w:val="36"/>
          <w:u w:val="single"/>
        </w:rPr>
        <w:t xml:space="preserve"> </w:t>
      </w:r>
      <w:r>
        <w:rPr>
          <w:rFonts w:hint="eastAsia" w:ascii="仿宋_GB2312" w:hAnsi="仿宋_GB2312" w:eastAsia="仿宋_GB2312" w:cs="仿宋_GB2312"/>
          <w:color w:val="auto"/>
          <w:sz w:val="36"/>
          <w:szCs w:val="36"/>
          <w:u w:val="single"/>
        </w:rPr>
        <w:t xml:space="preserve">            </w:t>
      </w:r>
      <w:bookmarkEnd w:id="245"/>
      <w:bookmarkEnd w:id="246"/>
      <w:bookmarkEnd w:id="247"/>
      <w:bookmarkEnd w:id="248"/>
      <w:bookmarkEnd w:id="249"/>
    </w:p>
    <w:p>
      <w:pPr>
        <w:pStyle w:val="37"/>
        <w:spacing w:line="240" w:lineRule="auto"/>
        <w:ind w:firstLine="1452" w:firstLineChars="400"/>
        <w:jc w:val="left"/>
        <w:outlineLvl w:val="0"/>
        <w:rPr>
          <w:rFonts w:hint="eastAsia" w:ascii="仿宋" w:hAnsi="仿宋" w:eastAsia="仿宋" w:cs="仿宋"/>
          <w:color w:val="auto"/>
          <w:sz w:val="36"/>
          <w:szCs w:val="36"/>
          <w:u w:val="single"/>
        </w:rPr>
      </w:pPr>
    </w:p>
    <w:bookmarkEnd w:id="198"/>
    <w:bookmarkEnd w:id="199"/>
    <w:bookmarkEnd w:id="200"/>
    <w:bookmarkEnd w:id="201"/>
    <w:bookmarkEnd w:id="202"/>
    <w:bookmarkEnd w:id="203"/>
    <w:bookmarkEnd w:id="204"/>
    <w:bookmarkEnd w:id="205"/>
    <w:bookmarkEnd w:id="206"/>
    <w:bookmarkEnd w:id="207"/>
    <w:p>
      <w:pPr>
        <w:rPr>
          <w:rFonts w:ascii="华文仿宋" w:hAnsi="华文仿宋" w:cs="华文仿宋"/>
          <w:color w:val="auto"/>
          <w:sz w:val="36"/>
        </w:rPr>
      </w:pPr>
      <w:bookmarkStart w:id="250" w:name="_Toc22476_WPSOffice_Level1"/>
      <w:bookmarkStart w:id="251" w:name="_Toc2071_WPSOffice_Level1"/>
      <w:bookmarkStart w:id="252" w:name="_Toc21571_WPSOffice_Level1"/>
      <w:bookmarkStart w:id="253" w:name="_Toc31082_WPSOffice_Level1"/>
      <w:r>
        <w:rPr>
          <w:rFonts w:ascii="华文仿宋" w:hAnsi="华文仿宋" w:cs="华文仿宋"/>
          <w:color w:val="auto"/>
          <w:sz w:val="36"/>
        </w:rPr>
        <w:br w:type="page"/>
      </w:r>
    </w:p>
    <w:p>
      <w:pPr>
        <w:pStyle w:val="41"/>
        <w:rPr>
          <w:rFonts w:hint="eastAsia" w:ascii="黑体" w:hAnsi="黑体" w:eastAsia="黑体" w:cs="黑体"/>
          <w:b w:val="0"/>
          <w:bCs w:val="0"/>
          <w:color w:val="auto"/>
          <w:sz w:val="36"/>
          <w:szCs w:val="36"/>
        </w:rPr>
      </w:pPr>
      <w:bookmarkStart w:id="254" w:name="_Toc10193"/>
      <w:bookmarkStart w:id="255" w:name="_Toc27037"/>
      <w:bookmarkStart w:id="256" w:name="_Toc24906"/>
      <w:bookmarkStart w:id="257" w:name="_Toc11156"/>
      <w:bookmarkStart w:id="258" w:name="_Toc23450"/>
      <w:r>
        <w:rPr>
          <w:rFonts w:hint="eastAsia" w:ascii="黑体" w:hAnsi="黑体" w:eastAsia="黑体" w:cs="黑体"/>
          <w:b w:val="0"/>
          <w:bCs w:val="0"/>
          <w:color w:val="auto"/>
          <w:sz w:val="44"/>
          <w:szCs w:val="44"/>
        </w:rPr>
        <w:t>目  录</w:t>
      </w:r>
      <w:bookmarkEnd w:id="250"/>
      <w:bookmarkEnd w:id="251"/>
      <w:bookmarkEnd w:id="252"/>
      <w:bookmarkEnd w:id="253"/>
      <w:bookmarkEnd w:id="254"/>
      <w:bookmarkEnd w:id="255"/>
      <w:bookmarkEnd w:id="256"/>
      <w:bookmarkEnd w:id="257"/>
      <w:bookmarkEnd w:id="25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59" w:name="_Toc19993_WPSOffice_Level1"/>
      <w:bookmarkStart w:id="260" w:name="_Toc26192_WPSOffice_Level1"/>
      <w:bookmarkStart w:id="261" w:name="_Toc8294_WPSOffice_Level1"/>
      <w:bookmarkStart w:id="262" w:name="_Toc25537_WPSOffice_Level1"/>
      <w:r>
        <w:rPr>
          <w:rFonts w:hint="eastAsia" w:ascii="黑体" w:hAnsi="黑体" w:eastAsia="黑体" w:cs="黑体"/>
          <w:color w:val="auto"/>
          <w:sz w:val="32"/>
          <w:szCs w:val="32"/>
        </w:rPr>
        <w:t>第一部分  资格证明文件</w:t>
      </w:r>
      <w:r>
        <w:rPr>
          <w:rFonts w:hint="eastAsia" w:ascii="黑体" w:hAnsi="黑体" w:eastAsia="黑体" w:cs="黑体"/>
          <w:color w:val="auto"/>
          <w:sz w:val="32"/>
          <w:szCs w:val="32"/>
        </w:rPr>
        <w:tab/>
      </w:r>
      <w:r>
        <w:rPr>
          <w:rFonts w:hint="eastAsia" w:ascii="黑体" w:hAnsi="黑体" w:eastAsia="黑体" w:cs="黑体"/>
          <w:color w:val="auto"/>
          <w:sz w:val="32"/>
          <w:szCs w:val="32"/>
        </w:rPr>
        <w:t>X</w:t>
      </w:r>
      <w:bookmarkEnd w:id="259"/>
      <w:bookmarkEnd w:id="260"/>
      <w:bookmarkEnd w:id="261"/>
      <w:bookmarkEnd w:id="26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3" w:name="_Toc25969_WPSOffice_Level2"/>
      <w:bookmarkStart w:id="264" w:name="_Toc19993_WPSOffice_Level2"/>
      <w:bookmarkStart w:id="265" w:name="_Toc31082_WPSOffice_Level2"/>
      <w:bookmarkStart w:id="266" w:name="_Toc14464_WPSOffice_Level2"/>
      <w:r>
        <w:rPr>
          <w:rFonts w:hint="eastAsia" w:ascii="仿宋_GB2312" w:hAnsi="仿宋_GB2312" w:eastAsia="仿宋_GB2312" w:cs="仿宋_GB2312"/>
          <w:color w:val="auto"/>
          <w:sz w:val="32"/>
          <w:szCs w:val="32"/>
        </w:rPr>
        <w:t>一、营业执照等主体资格证明文件</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3"/>
      <w:bookmarkEnd w:id="264"/>
      <w:bookmarkEnd w:id="265"/>
      <w:bookmarkEnd w:id="26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67" w:name="_Toc10078_WPSOffice_Level2"/>
      <w:bookmarkStart w:id="268" w:name="_Toc27026_WPSOffice_Level2"/>
      <w:bookmarkStart w:id="269" w:name="_Toc5830_WPSOffice_Level2"/>
      <w:bookmarkStart w:id="270" w:name="_Toc25537_WPSOffice_Level2"/>
      <w:r>
        <w:rPr>
          <w:rFonts w:hint="eastAsia" w:ascii="仿宋_GB2312" w:hAnsi="仿宋_GB2312" w:eastAsia="仿宋_GB2312" w:cs="仿宋_GB2312"/>
          <w:color w:val="auto"/>
          <w:sz w:val="32"/>
          <w:szCs w:val="32"/>
        </w:rPr>
        <w:t>二、财务状况报告</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67"/>
      <w:bookmarkEnd w:id="268"/>
      <w:bookmarkEnd w:id="269"/>
      <w:bookmarkEnd w:id="27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1" w:name="_Toc22808_WPSOffice_Level2"/>
      <w:bookmarkStart w:id="272" w:name="_Toc30252_WPSOffice_Level2"/>
      <w:bookmarkStart w:id="273" w:name="_Toc6392_WPSOffice_Level2"/>
      <w:bookmarkStart w:id="274" w:name="_Toc17853_WPSOffice_Level2"/>
      <w:r>
        <w:rPr>
          <w:rFonts w:hint="eastAsia" w:ascii="仿宋_GB2312" w:hAnsi="仿宋_GB2312" w:eastAsia="仿宋_GB2312" w:cs="仿宋_GB2312"/>
          <w:color w:val="auto"/>
          <w:sz w:val="32"/>
          <w:szCs w:val="32"/>
        </w:rPr>
        <w:t>三、社保缴纳证明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1"/>
      <w:bookmarkEnd w:id="272"/>
      <w:bookmarkEnd w:id="273"/>
      <w:bookmarkEnd w:id="27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5" w:name="_Toc6376_WPSOffice_Level2"/>
      <w:bookmarkStart w:id="276" w:name="_Toc26939_WPSOffice_Level2"/>
      <w:bookmarkStart w:id="277" w:name="_Toc25958_WPSOffice_Level2"/>
      <w:bookmarkStart w:id="278" w:name="_Toc27464_WPSOffice_Level2"/>
      <w:r>
        <w:rPr>
          <w:rFonts w:hint="eastAsia" w:ascii="仿宋_GB2312" w:hAnsi="仿宋_GB2312" w:eastAsia="仿宋_GB2312" w:cs="仿宋_GB2312"/>
          <w:color w:val="auto"/>
          <w:sz w:val="32"/>
          <w:szCs w:val="32"/>
        </w:rPr>
        <w:t>四、税收缴纳证明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5"/>
      <w:bookmarkEnd w:id="276"/>
      <w:bookmarkEnd w:id="277"/>
      <w:bookmarkEnd w:id="27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79" w:name="_Toc10792_WPSOffice_Level2"/>
      <w:bookmarkStart w:id="280" w:name="_Toc17511_WPSOffice_Level2"/>
      <w:bookmarkStart w:id="281" w:name="_Toc3534_WPSOffice_Level2"/>
      <w:bookmarkStart w:id="282" w:name="_Toc25801_WPSOffice_Level2"/>
      <w:r>
        <w:rPr>
          <w:rFonts w:hint="eastAsia" w:ascii="仿宋_GB2312" w:hAnsi="仿宋_GB2312" w:eastAsia="仿宋_GB2312" w:cs="仿宋_GB2312"/>
          <w:color w:val="auto"/>
          <w:sz w:val="32"/>
          <w:szCs w:val="32"/>
        </w:rPr>
        <w:t>五、书面声明</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79"/>
      <w:bookmarkEnd w:id="280"/>
      <w:bookmarkEnd w:id="281"/>
      <w:bookmarkEnd w:id="28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83" w:name="_Toc12145_WPSOffice_Level2"/>
      <w:bookmarkStart w:id="284" w:name="_Toc5115_WPSOffice_Level2"/>
      <w:bookmarkStart w:id="285" w:name="_Toc21196_WPSOffice_Level2"/>
      <w:bookmarkStart w:id="286" w:name="_Toc17236_WPSOffice_Level2"/>
      <w:r>
        <w:rPr>
          <w:rFonts w:hint="eastAsia" w:ascii="仿宋_GB2312" w:hAnsi="仿宋_GB2312" w:eastAsia="仿宋_GB2312" w:cs="仿宋_GB2312"/>
          <w:color w:val="auto"/>
          <w:sz w:val="32"/>
          <w:szCs w:val="32"/>
        </w:rPr>
        <w:t>六、法定代表人授权委托书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83"/>
      <w:bookmarkEnd w:id="284"/>
      <w:bookmarkEnd w:id="285"/>
      <w:bookmarkEnd w:id="28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w:t>
      </w:r>
      <w:r>
        <w:rPr>
          <w:rFonts w:hint="eastAsia" w:ascii="仿宋_GB2312" w:hAnsi="仿宋_GB2312" w:eastAsia="仿宋_GB2312" w:cs="仿宋_GB2312"/>
          <w:color w:val="auto"/>
          <w:sz w:val="32"/>
          <w:szCs w:val="32"/>
          <w:lang w:val="en-US" w:eastAsia="zh-CN"/>
        </w:rPr>
        <w:t>落实政府采购政策需满足的资格要求</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left="2181" w:leftChars="200" w:right="849" w:rightChars="300" w:hanging="1615" w:hangingChars="500"/>
        <w:textAlignment w:val="auto"/>
        <w:rPr>
          <w:rFonts w:ascii="黑体" w:hAnsi="黑体" w:eastAsia="黑体" w:cs="黑体"/>
          <w:color w:val="auto"/>
          <w:sz w:val="32"/>
          <w:szCs w:val="32"/>
        </w:rPr>
      </w:pPr>
      <w:bookmarkStart w:id="287" w:name="_Toc27026_WPSOffice_Level1"/>
      <w:bookmarkStart w:id="288" w:name="_Toc22849_WPSOffice_Level1"/>
      <w:bookmarkStart w:id="289" w:name="_Toc30252_WPSOffice_Level1"/>
      <w:bookmarkStart w:id="290" w:name="_Toc28184_WPSOffice_Level1"/>
      <w:r>
        <w:rPr>
          <w:rFonts w:hint="eastAsia" w:ascii="黑体" w:hAnsi="黑体" w:eastAsia="黑体" w:cs="黑体"/>
          <w:color w:val="auto"/>
          <w:sz w:val="32"/>
          <w:szCs w:val="32"/>
        </w:rPr>
        <w:t>第二部分  符合性证明文件</w:t>
      </w:r>
      <w:r>
        <w:rPr>
          <w:color w:val="auto"/>
          <w:sz w:val="32"/>
          <w:szCs w:val="32"/>
        </w:rPr>
        <w:tab/>
      </w:r>
      <w:r>
        <w:rPr>
          <w:color w:val="auto"/>
          <w:sz w:val="32"/>
          <w:szCs w:val="32"/>
        </w:rPr>
        <w:t>X</w:t>
      </w:r>
      <w:bookmarkEnd w:id="287"/>
      <w:bookmarkEnd w:id="288"/>
      <w:bookmarkEnd w:id="289"/>
      <w:bookmarkEnd w:id="29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1" w:name="_Toc5795_WPSOffice_Level2"/>
      <w:bookmarkStart w:id="292" w:name="_Toc7348_WPSOffice_Level2"/>
      <w:bookmarkStart w:id="293" w:name="_Toc183_WPSOffice_Level2"/>
      <w:bookmarkStart w:id="294" w:name="_Toc28631_WPSOffice_Level2"/>
      <w:r>
        <w:rPr>
          <w:rFonts w:hint="eastAsia" w:ascii="仿宋_GB2312" w:hAnsi="仿宋_GB2312" w:eastAsia="仿宋_GB2312" w:cs="仿宋_GB2312"/>
          <w:color w:val="auto"/>
          <w:sz w:val="32"/>
          <w:szCs w:val="32"/>
        </w:rPr>
        <w:t>一、响应函格式</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1"/>
      <w:bookmarkEnd w:id="292"/>
      <w:bookmarkEnd w:id="293"/>
      <w:bookmarkEnd w:id="29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5" w:name="_Toc9021_WPSOffice_Level2"/>
      <w:bookmarkStart w:id="296" w:name="_Toc8116_WPSOffice_Level2"/>
      <w:bookmarkStart w:id="297" w:name="_Toc27223_WPSOffice_Level2"/>
      <w:bookmarkStart w:id="298" w:name="_Toc1168_WPSOffice_Level2"/>
      <w:r>
        <w:rPr>
          <w:rFonts w:hint="eastAsia" w:ascii="仿宋_GB2312" w:hAnsi="仿宋_GB2312" w:eastAsia="仿宋_GB2312" w:cs="仿宋_GB2312"/>
          <w:color w:val="auto"/>
          <w:sz w:val="32"/>
          <w:szCs w:val="32"/>
        </w:rPr>
        <w:t>二、第一次磋商报价表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5"/>
      <w:bookmarkEnd w:id="296"/>
      <w:bookmarkEnd w:id="297"/>
      <w:bookmarkEnd w:id="29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分项报价表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299" w:name="_Toc11630_WPSOffice_Level2"/>
      <w:bookmarkStart w:id="300" w:name="_Toc3525_WPSOffice_Level2"/>
      <w:bookmarkStart w:id="301" w:name="_Toc27170_WPSOffice_Level2"/>
      <w:bookmarkStart w:id="302" w:name="_Toc29414_WPSOffice_Level2"/>
      <w:r>
        <w:rPr>
          <w:rFonts w:hint="eastAsia" w:ascii="仿宋_GB2312" w:hAnsi="仿宋_GB2312" w:eastAsia="仿宋_GB2312" w:cs="仿宋_GB2312"/>
          <w:color w:val="auto"/>
          <w:sz w:val="32"/>
          <w:szCs w:val="32"/>
        </w:rPr>
        <w:t>三、供应商参加政府采购活动承诺书</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299"/>
      <w:bookmarkEnd w:id="300"/>
      <w:bookmarkEnd w:id="301"/>
      <w:bookmarkEnd w:id="302"/>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3" w:name="_Toc1782_WPSOffice_Level2"/>
      <w:bookmarkStart w:id="304" w:name="_Toc31457_WPSOffice_Level2"/>
      <w:bookmarkStart w:id="305" w:name="_Toc18811_WPSOffice_Level2"/>
      <w:bookmarkStart w:id="306" w:name="_Toc20504_WPSOffice_Level2"/>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、技术服务偏差表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3"/>
      <w:bookmarkEnd w:id="304"/>
      <w:bookmarkEnd w:id="305"/>
      <w:bookmarkEnd w:id="306"/>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07" w:name="_Toc19486_WPSOffice_Level2"/>
      <w:bookmarkStart w:id="308" w:name="_Toc13258_WPSOffice_Level2"/>
      <w:bookmarkStart w:id="309" w:name="_Toc28279_WPSOffice_Level2"/>
      <w:bookmarkStart w:id="310" w:name="_Toc17428_WPSOffice_Level2"/>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、合同</w:t>
      </w:r>
      <w:r>
        <w:rPr>
          <w:rFonts w:hint="eastAsia" w:ascii="仿宋_GB2312" w:hAnsi="仿宋_GB2312" w:eastAsia="仿宋_GB2312" w:cs="仿宋_GB2312"/>
          <w:color w:val="auto"/>
          <w:sz w:val="32"/>
          <w:szCs w:val="32"/>
          <w:lang w:val="en-US" w:eastAsia="zh-CN"/>
        </w:rPr>
        <w:t>草案</w:t>
      </w:r>
      <w:r>
        <w:rPr>
          <w:rFonts w:hint="eastAsia" w:ascii="仿宋_GB2312" w:hAnsi="仿宋_GB2312" w:eastAsia="仿宋_GB2312" w:cs="仿宋_GB2312"/>
          <w:color w:val="auto"/>
          <w:sz w:val="32"/>
          <w:szCs w:val="32"/>
        </w:rPr>
        <w:t>条款响应</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07"/>
      <w:bookmarkEnd w:id="308"/>
      <w:bookmarkEnd w:id="309"/>
      <w:bookmarkEnd w:id="310"/>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646" w:firstLineChars="200"/>
        <w:textAlignment w:val="auto"/>
        <w:rPr>
          <w:rFonts w:ascii="黑体" w:hAnsi="黑体" w:eastAsia="黑体" w:cs="黑体"/>
          <w:color w:val="auto"/>
          <w:sz w:val="32"/>
          <w:szCs w:val="32"/>
        </w:rPr>
      </w:pPr>
      <w:bookmarkStart w:id="311" w:name="_Toc21905_WPSOffice_Level1"/>
      <w:bookmarkStart w:id="312" w:name="_Toc27464_WPSOffice_Level1"/>
      <w:bookmarkStart w:id="313" w:name="_Toc23092_WPSOffice_Level1"/>
      <w:bookmarkStart w:id="314" w:name="_Toc22808_WPSOffice_Level1"/>
      <w:r>
        <w:rPr>
          <w:rFonts w:hint="eastAsia" w:ascii="黑体" w:hAnsi="黑体" w:eastAsia="黑体" w:cs="黑体"/>
          <w:color w:val="auto"/>
          <w:sz w:val="32"/>
          <w:szCs w:val="32"/>
        </w:rPr>
        <w:t>第三部分  响应方案</w:t>
      </w:r>
      <w:bookmarkEnd w:id="311"/>
      <w:bookmarkEnd w:id="312"/>
      <w:bookmarkEnd w:id="313"/>
      <w:bookmarkEnd w:id="314"/>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5" w:name="_Toc7951_WPSOffice_Level2"/>
      <w:bookmarkStart w:id="316" w:name="_Toc7544_WPSOffice_Level2"/>
      <w:bookmarkStart w:id="317" w:name="_Toc8316_WPSOffice_Level2"/>
      <w:bookmarkStart w:id="318" w:name="_Toc980_WPSOffice_Level2"/>
      <w:r>
        <w:rPr>
          <w:rFonts w:hint="eastAsia" w:ascii="仿宋_GB2312" w:hAnsi="仿宋_GB2312" w:eastAsia="仿宋_GB2312" w:cs="仿宋_GB2312"/>
          <w:color w:val="auto"/>
          <w:sz w:val="32"/>
          <w:szCs w:val="32"/>
        </w:rPr>
        <w:t>一、供应商</w:t>
      </w:r>
      <w:bookmarkEnd w:id="315"/>
      <w:r>
        <w:rPr>
          <w:rFonts w:hint="eastAsia" w:ascii="仿宋_GB2312" w:hAnsi="仿宋_GB2312" w:eastAsia="仿宋_GB2312" w:cs="仿宋_GB2312"/>
          <w:color w:val="auto"/>
          <w:sz w:val="32"/>
          <w:szCs w:val="32"/>
          <w:lang w:val="en-US" w:eastAsia="zh-CN"/>
        </w:rPr>
        <w:t>基本情况及其性质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6"/>
      <w:bookmarkEnd w:id="317"/>
      <w:bookmarkEnd w:id="318"/>
    </w:p>
    <w:p>
      <w:pPr>
        <w:keepNext w:val="0"/>
        <w:keepLines w:val="0"/>
        <w:pageBreakBefore w:val="0"/>
        <w:widowControl/>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19" w:name="_Toc15474_WPSOffice_Level2"/>
      <w:bookmarkStart w:id="320" w:name="_Toc2999_WPSOffice_Level2"/>
      <w:bookmarkStart w:id="321" w:name="_Toc2987_WPSOffice_Level2"/>
      <w:bookmarkStart w:id="322" w:name="_Toc10127_WPSOffice_Level2"/>
      <w:r>
        <w:rPr>
          <w:rFonts w:hint="eastAsia" w:ascii="仿宋_GB2312" w:hAnsi="仿宋_GB2312" w:eastAsia="仿宋_GB2312" w:cs="仿宋_GB2312"/>
          <w:color w:val="auto"/>
          <w:sz w:val="32"/>
          <w:szCs w:val="32"/>
        </w:rPr>
        <w:t>二、技术服务方案</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19"/>
      <w:bookmarkEnd w:id="320"/>
      <w:bookmarkEnd w:id="321"/>
      <w:bookmarkEnd w:id="322"/>
    </w:p>
    <w:p>
      <w:pPr>
        <w:keepNext w:val="0"/>
        <w:keepLines w:val="0"/>
        <w:pageBreakBefore w:val="0"/>
        <w:widowControl/>
        <w:numPr>
          <w:ilvl w:val="0"/>
          <w:numId w:val="0"/>
        </w:numPr>
        <w:tabs>
          <w:tab w:val="right" w:leader="hyphen" w:pos="8504"/>
        </w:tabs>
        <w:kinsoku/>
        <w:wordWrap/>
        <w:overflowPunct/>
        <w:topLinePunct w:val="0"/>
        <w:autoSpaceDE/>
        <w:autoSpaceDN/>
        <w:bidi w:val="0"/>
        <w:adjustRightInd/>
        <w:snapToGrid/>
        <w:spacing w:line="560" w:lineRule="exact"/>
        <w:ind w:right="849" w:rightChars="300" w:firstLine="1292" w:firstLineChars="400"/>
        <w:textAlignment w:val="auto"/>
        <w:rPr>
          <w:rFonts w:hint="eastAsia" w:ascii="仿宋_GB2312" w:hAnsi="仿宋_GB2312" w:eastAsia="仿宋_GB2312" w:cs="仿宋_GB2312"/>
          <w:color w:val="auto"/>
          <w:sz w:val="32"/>
          <w:szCs w:val="32"/>
        </w:rPr>
      </w:pPr>
      <w:bookmarkStart w:id="323" w:name="_Toc28542_WPSOffice_Level2"/>
      <w:bookmarkStart w:id="324" w:name="_Toc13401_WPSOffice_Level2"/>
      <w:bookmarkStart w:id="325" w:name="_Toc22913_WPSOffice_Level2"/>
      <w:bookmarkStart w:id="326" w:name="_Toc15492_WPSOffice_Level2"/>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参考样表</w:t>
      </w:r>
      <w:r>
        <w:rPr>
          <w:rFonts w:hint="eastAsia" w:ascii="仿宋_GB2312" w:hAnsi="仿宋_GB2312" w:eastAsia="仿宋_GB2312" w:cs="仿宋_GB2312"/>
          <w:color w:val="auto"/>
          <w:sz w:val="32"/>
          <w:szCs w:val="32"/>
        </w:rPr>
        <w:tab/>
      </w:r>
      <w:r>
        <w:rPr>
          <w:rFonts w:hint="eastAsia" w:ascii="仿宋_GB2312" w:hAnsi="仿宋_GB2312" w:eastAsia="仿宋_GB2312" w:cs="仿宋_GB2312"/>
          <w:color w:val="auto"/>
          <w:sz w:val="32"/>
          <w:szCs w:val="32"/>
        </w:rPr>
        <w:t>X</w:t>
      </w:r>
      <w:bookmarkEnd w:id="323"/>
      <w:bookmarkEnd w:id="324"/>
      <w:bookmarkEnd w:id="325"/>
      <w:bookmarkEnd w:id="326"/>
    </w:p>
    <w:p>
      <w:pPr>
        <w:spacing w:line="500" w:lineRule="exact"/>
        <w:jc w:val="center"/>
        <w:rPr>
          <w:rFonts w:ascii="黑体" w:hAnsi="黑体" w:eastAsia="黑体"/>
          <w:b/>
          <w:color w:val="auto"/>
        </w:rPr>
      </w:pPr>
    </w:p>
    <w:p>
      <w:pPr>
        <w:spacing w:line="500" w:lineRule="exact"/>
        <w:jc w:val="center"/>
        <w:rPr>
          <w:rFonts w:ascii="黑体" w:hAnsi="黑体" w:eastAsia="黑体"/>
          <w:b/>
          <w:color w:val="auto"/>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黑体" w:hAnsi="黑体" w:eastAsia="黑体"/>
          <w:b/>
          <w:color w:val="auto"/>
        </w:rPr>
      </w:pPr>
      <w:r>
        <w:rPr>
          <w:rFonts w:ascii="黑体" w:hAnsi="黑体" w:eastAsia="黑体"/>
          <w:b/>
          <w:color w:val="auto"/>
        </w:rPr>
        <w:br w:type="page"/>
      </w:r>
      <w:bookmarkStart w:id="327" w:name="_Toc23478"/>
      <w:bookmarkStart w:id="328" w:name="_Toc14670_WPSOffice_Level1"/>
      <w:bookmarkStart w:id="329" w:name="_Toc6199"/>
      <w:bookmarkStart w:id="330" w:name="_Toc16498"/>
      <w:bookmarkStart w:id="331" w:name="_Toc3534_WPSOffice_Level1"/>
      <w:bookmarkStart w:id="332" w:name="_Toc5115_WPSOffice_Level1"/>
      <w:bookmarkStart w:id="333" w:name="_Toc8079"/>
      <w:r>
        <w:rPr>
          <w:rStyle w:val="42"/>
          <w:rFonts w:hint="eastAsia" w:ascii="黑体" w:hAnsi="黑体" w:eastAsia="黑体" w:cs="黑体"/>
          <w:b w:val="0"/>
          <w:bCs/>
          <w:color w:val="auto"/>
          <w:sz w:val="32"/>
          <w:szCs w:val="40"/>
        </w:rPr>
        <w:t>第一部分  资格证明文件</w:t>
      </w:r>
      <w:bookmarkEnd w:id="327"/>
      <w:bookmarkEnd w:id="328"/>
      <w:bookmarkEnd w:id="329"/>
      <w:bookmarkEnd w:id="330"/>
      <w:bookmarkEnd w:id="331"/>
      <w:bookmarkEnd w:id="332"/>
      <w:bookmarkEnd w:id="333"/>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供应商应按照磋商文件第</w:t>
      </w: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rPr>
        <w:t>章</w:t>
      </w:r>
      <w:r>
        <w:rPr>
          <w:rFonts w:hint="eastAsia" w:ascii="仿宋_GB2312" w:hAnsi="仿宋_GB2312" w:eastAsia="仿宋_GB2312" w:cs="仿宋_GB2312"/>
          <w:color w:val="auto"/>
          <w:sz w:val="28"/>
          <w:szCs w:val="28"/>
          <w:lang w:val="en-US" w:eastAsia="zh-CN"/>
        </w:rPr>
        <w:t>《资格审查表》</w:t>
      </w:r>
      <w:r>
        <w:rPr>
          <w:rFonts w:hint="eastAsia" w:ascii="仿宋_GB2312" w:hAnsi="仿宋_GB2312" w:eastAsia="仿宋_GB2312" w:cs="仿宋_GB2312"/>
          <w:color w:val="auto"/>
          <w:sz w:val="28"/>
          <w:szCs w:val="28"/>
        </w:rPr>
        <w:t>所列</w:t>
      </w:r>
      <w:r>
        <w:rPr>
          <w:rFonts w:hint="eastAsia" w:ascii="仿宋_GB2312" w:hAnsi="仿宋_GB2312" w:eastAsia="仿宋_GB2312" w:cs="仿宋_GB2312"/>
          <w:color w:val="auto"/>
          <w:sz w:val="28"/>
          <w:szCs w:val="28"/>
          <w:lang w:val="en-US" w:eastAsia="zh-CN"/>
        </w:rPr>
        <w:t>审查项</w:t>
      </w:r>
      <w:r>
        <w:rPr>
          <w:rFonts w:hint="eastAsia" w:ascii="仿宋_GB2312" w:hAnsi="仿宋_GB2312" w:eastAsia="仿宋_GB2312" w:cs="仿宋_GB2312"/>
          <w:color w:val="auto"/>
          <w:sz w:val="28"/>
          <w:szCs w:val="28"/>
        </w:rPr>
        <w:t>逐一提供全部资格证明文件。缺少其中任何一项，其响应文件将被视为无效文件。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其中，《近三年内在经营活动中无重大违法记录声明》、《法定代表人授权委托书》</w:t>
      </w:r>
      <w:r>
        <w:rPr>
          <w:rFonts w:hint="eastAsia" w:ascii="仿宋_GB2312" w:hAnsi="仿宋_GB2312" w:eastAsia="仿宋_GB2312" w:cs="仿宋_GB2312"/>
          <w:color w:val="auto"/>
          <w:sz w:val="28"/>
          <w:szCs w:val="28"/>
          <w:lang w:eastAsia="zh-CN"/>
        </w:rPr>
        <w:t>《中小企业声明函》</w:t>
      </w:r>
      <w:r>
        <w:rPr>
          <w:rFonts w:hint="eastAsia" w:ascii="仿宋_GB2312" w:hAnsi="仿宋_GB2312" w:eastAsia="仿宋_GB2312" w:cs="仿宋_GB2312"/>
          <w:color w:val="auto"/>
          <w:sz w:val="28"/>
          <w:szCs w:val="28"/>
        </w:rPr>
        <w:t>须按下文给定格式填写，否则按无效处理。特别说明，法定代表人亲自参加</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的，可不提供法定代表人授权委托书，但须提供其本人身份证（正反面）复印件。</w:t>
      </w:r>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34" w:name="_Toc6967_WPSOffice_Level2"/>
      <w:bookmarkStart w:id="335" w:name="_Toc19075_WPSOffice_Level2"/>
      <w:bookmarkStart w:id="336" w:name="_Toc9954_WPSOffice_Level2"/>
      <w:bookmarkStart w:id="337" w:name="_Toc26041_WPSOffice_Level2"/>
      <w:r>
        <w:rPr>
          <w:rFonts w:hint="eastAsia" w:ascii="仿宋_GB2312" w:hAnsi="仿宋_GB2312" w:eastAsia="仿宋_GB2312" w:cs="仿宋_GB2312"/>
          <w:b/>
          <w:color w:val="auto"/>
          <w:sz w:val="28"/>
          <w:szCs w:val="28"/>
        </w:rPr>
        <w:t>一、营业执照等主体资格证明文件</w:t>
      </w:r>
      <w:bookmarkEnd w:id="334"/>
      <w:bookmarkEnd w:id="335"/>
      <w:bookmarkEnd w:id="336"/>
      <w:bookmarkEnd w:id="337"/>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38" w:name="_Toc8228_WPSOffice_Level2"/>
      <w:bookmarkStart w:id="339" w:name="_Toc6228_WPSOffice_Level2"/>
      <w:bookmarkStart w:id="340" w:name="_Toc24324_WPSOffice_Level2"/>
      <w:bookmarkStart w:id="341" w:name="_Toc18116_WPSOffice_Level2"/>
      <w:r>
        <w:rPr>
          <w:rFonts w:hint="eastAsia" w:ascii="仿宋_GB2312" w:hAnsi="仿宋_GB2312" w:eastAsia="仿宋_GB2312" w:cs="仿宋_GB2312"/>
          <w:b/>
          <w:color w:val="auto"/>
          <w:sz w:val="28"/>
          <w:szCs w:val="28"/>
        </w:rPr>
        <w:t>二、财务状况报告</w:t>
      </w:r>
      <w:bookmarkEnd w:id="338"/>
      <w:bookmarkEnd w:id="339"/>
      <w:bookmarkEnd w:id="340"/>
      <w:bookmarkEnd w:id="341"/>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42" w:name="_Toc8724_WPSOffice_Level2"/>
      <w:bookmarkStart w:id="343" w:name="_Toc9514_WPSOffice_Level2"/>
      <w:bookmarkStart w:id="344" w:name="_Toc29597_WPSOffice_Level2"/>
      <w:bookmarkStart w:id="345" w:name="_Toc25438_WPSOffice_Level2"/>
      <w:r>
        <w:rPr>
          <w:rFonts w:hint="eastAsia" w:ascii="仿宋_GB2312" w:hAnsi="仿宋_GB2312" w:eastAsia="仿宋_GB2312" w:cs="仿宋_GB2312"/>
          <w:b/>
          <w:color w:val="auto"/>
          <w:sz w:val="28"/>
          <w:szCs w:val="28"/>
        </w:rPr>
        <w:t>三、社保缴纳证明</w:t>
      </w:r>
      <w:bookmarkEnd w:id="342"/>
      <w:bookmarkEnd w:id="343"/>
      <w:bookmarkEnd w:id="344"/>
      <w:bookmarkEnd w:id="345"/>
    </w:p>
    <w:p>
      <w:pPr>
        <w:keepNext w:val="0"/>
        <w:keepLines w:val="0"/>
        <w:pageBreakBefore w:val="0"/>
        <w:widowControl/>
        <w:kinsoku/>
        <w:wordWrap/>
        <w:overflowPunct/>
        <w:topLinePunct w:val="0"/>
        <w:autoSpaceDE/>
        <w:autoSpaceDN/>
        <w:bidi w:val="0"/>
        <w:adjustRightInd/>
        <w:snapToGrid/>
        <w:spacing w:line="500" w:lineRule="exact"/>
        <w:ind w:firstLine="562"/>
        <w:textAlignment w:val="auto"/>
        <w:rPr>
          <w:rFonts w:hint="eastAsia" w:ascii="仿宋_GB2312" w:hAnsi="仿宋_GB2312" w:eastAsia="仿宋_GB2312" w:cs="仿宋_GB2312"/>
          <w:b/>
          <w:color w:val="auto"/>
          <w:sz w:val="28"/>
          <w:szCs w:val="28"/>
        </w:rPr>
      </w:pPr>
      <w:bookmarkStart w:id="346" w:name="_Toc22563_WPSOffice_Level2"/>
      <w:bookmarkStart w:id="347" w:name="_Toc960_WPSOffice_Level2"/>
      <w:bookmarkStart w:id="348" w:name="_Toc18154_WPSOffice_Level2"/>
      <w:bookmarkStart w:id="349" w:name="_Toc26260_WPSOffice_Level2"/>
      <w:r>
        <w:rPr>
          <w:rFonts w:hint="eastAsia" w:ascii="仿宋_GB2312" w:hAnsi="仿宋_GB2312" w:eastAsia="仿宋_GB2312" w:cs="仿宋_GB2312"/>
          <w:b/>
          <w:color w:val="auto"/>
          <w:sz w:val="28"/>
          <w:szCs w:val="28"/>
        </w:rPr>
        <w:t>四、税收缴纳证明</w:t>
      </w:r>
      <w:bookmarkEnd w:id="346"/>
      <w:bookmarkEnd w:id="347"/>
      <w:bookmarkEnd w:id="348"/>
      <w:bookmarkEnd w:id="349"/>
    </w:p>
    <w:p>
      <w:pPr>
        <w:keepNext w:val="0"/>
        <w:keepLines w:val="0"/>
        <w:pageBreakBefore w:val="0"/>
        <w:widowControl/>
        <w:kinsoku/>
        <w:wordWrap/>
        <w:overflowPunct/>
        <w:topLinePunct w:val="0"/>
        <w:autoSpaceDE/>
        <w:autoSpaceDN/>
        <w:bidi w:val="0"/>
        <w:adjustRightInd/>
        <w:snapToGrid/>
        <w:spacing w:line="500" w:lineRule="exact"/>
        <w:ind w:firstLine="566" w:firstLineChars="200"/>
        <w:textAlignment w:val="auto"/>
        <w:rPr>
          <w:rFonts w:hint="eastAsia" w:ascii="仿宋" w:hAnsi="仿宋" w:eastAsia="仿宋"/>
          <w:b/>
          <w:color w:val="auto"/>
          <w:sz w:val="28"/>
          <w:szCs w:val="28"/>
        </w:rPr>
      </w:pPr>
      <w:bookmarkStart w:id="350" w:name="_Toc10483_WPSOffice_Level2"/>
      <w:bookmarkStart w:id="351" w:name="_Toc30636_WPSOffice_Level2"/>
      <w:bookmarkStart w:id="352" w:name="_Toc1079_WPSOffice_Level2"/>
      <w:bookmarkStart w:id="353" w:name="_Toc32533_WPSOffice_Level2"/>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spacing w:line="500" w:lineRule="exact"/>
        <w:ind w:firstLine="566" w:firstLineChars="200"/>
        <w:rPr>
          <w:rFonts w:hint="eastAsia" w:ascii="仿宋" w:hAnsi="仿宋" w:eastAsia="仿宋"/>
          <w:b/>
          <w:color w:val="auto"/>
        </w:rPr>
      </w:pPr>
    </w:p>
    <w:p>
      <w:pPr>
        <w:rPr>
          <w:rFonts w:hint="eastAsia" w:ascii="仿宋" w:hAnsi="仿宋" w:eastAsia="仿宋"/>
          <w:b/>
          <w:color w:val="auto"/>
        </w:rPr>
      </w:pPr>
      <w:r>
        <w:rPr>
          <w:rFonts w:hint="eastAsia" w:ascii="仿宋" w:hAnsi="仿宋" w:eastAsia="仿宋"/>
          <w:b/>
          <w:color w:val="auto"/>
        </w:rPr>
        <w:br w:type="page"/>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b/>
          <w:color w:val="auto"/>
        </w:rPr>
        <w:t>五、书面声明</w:t>
      </w:r>
      <w:bookmarkEnd w:id="350"/>
      <w:bookmarkEnd w:id="351"/>
      <w:bookmarkEnd w:id="352"/>
      <w:bookmarkEnd w:id="353"/>
    </w:p>
    <w:p>
      <w:pPr>
        <w:pStyle w:val="43"/>
        <w:pageBreakBefore w:val="0"/>
        <w:widowControl/>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color w:val="auto"/>
          <w:sz w:val="30"/>
          <w:szCs w:val="30"/>
        </w:rPr>
      </w:pPr>
    </w:p>
    <w:p>
      <w:pPr>
        <w:pStyle w:val="43"/>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近三年内在经营活动中无重大违法记录声明</w:t>
      </w:r>
    </w:p>
    <w:p>
      <w:pPr>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我方作为</w:t>
      </w:r>
      <w:r>
        <w:rPr>
          <w:rFonts w:hint="eastAsia" w:ascii="仿宋_GB2312" w:hAnsi="仿宋_GB2312" w:eastAsia="仿宋_GB2312" w:cs="仿宋_GB2312"/>
          <w:color w:val="auto"/>
          <w:u w:val="single"/>
        </w:rPr>
        <w:t>项目名称</w:t>
      </w:r>
      <w:r>
        <w:rPr>
          <w:rFonts w:hint="eastAsia" w:ascii="仿宋_GB2312" w:hAnsi="仿宋_GB2312" w:eastAsia="仿宋_GB2312" w:cs="仿宋_GB2312"/>
          <w:color w:val="auto"/>
        </w:rPr>
        <w:t>（项目编号：____）第___标段的供应商，在此郑重声明：</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在参加本次政府采购活动前3年内的经营活动中____（填“没有”或“有”）重大违法记录。</w:t>
      </w:r>
    </w:p>
    <w:p>
      <w:pPr>
        <w:pStyle w:val="19"/>
        <w:pageBreakBefore w:val="0"/>
        <w:widowControl/>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color w:val="auto"/>
        </w:rPr>
      </w:pP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如有不实，我方将无条件地退出本项目的采购活动，并遵照《</w:t>
      </w:r>
      <w:r>
        <w:rPr>
          <w:rFonts w:hint="eastAsia" w:ascii="仿宋_GB2312" w:hAnsi="仿宋_GB2312" w:eastAsia="仿宋_GB2312" w:cs="仿宋_GB2312"/>
          <w:color w:val="auto"/>
          <w:lang w:val="en-US" w:eastAsia="zh-CN"/>
        </w:rPr>
        <w:t>中华人民共和国</w:t>
      </w:r>
      <w:r>
        <w:rPr>
          <w:rFonts w:hint="eastAsia" w:ascii="仿宋_GB2312" w:hAnsi="仿宋_GB2312" w:eastAsia="仿宋_GB2312" w:cs="仿宋_GB2312"/>
          <w:color w:val="auto"/>
        </w:rPr>
        <w:t>政府采购法》有关“提供虚假材料的规定”接受处罚。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特此声明。</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pageBreakBefore w:val="0"/>
        <w:widowControl/>
        <w:kinsoku/>
        <w:wordWrap/>
        <w:overflowPunct/>
        <w:topLinePunct w:val="0"/>
        <w:autoSpaceDE/>
        <w:autoSpaceDN/>
        <w:bidi w:val="0"/>
        <w:adjustRightInd/>
        <w:snapToGrid/>
        <w:spacing w:line="560" w:lineRule="exact"/>
        <w:ind w:firstLine="4245" w:firstLineChars="15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spacing w:line="500" w:lineRule="exact"/>
        <w:ind w:firstLine="566" w:firstLineChars="200"/>
        <w:rPr>
          <w:rFonts w:ascii="仿宋" w:hAnsi="仿宋" w:eastAsia="仿宋" w:cs="仿宋"/>
          <w:color w:val="auto"/>
        </w:rPr>
      </w:pPr>
    </w:p>
    <w:p>
      <w:pPr>
        <w:spacing w:line="500" w:lineRule="exact"/>
        <w:ind w:firstLine="426"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备注：</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重大违法记录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是指供应商因违法经营受到刑事处罚或者责令停产停业、吊销许可证或者执照、较大数额罚款等行政处罚</w:t>
      </w:r>
      <w:r>
        <w:rPr>
          <w:rFonts w:hint="eastAsia" w:ascii="宋体" w:hAnsi="宋体" w:eastAsia="宋体" w:cs="宋体"/>
          <w:color w:val="auto"/>
          <w:sz w:val="21"/>
          <w:szCs w:val="21"/>
          <w:lang w:eastAsia="zh-CN"/>
        </w:rPr>
        <w:t>。</w:t>
      </w:r>
    </w:p>
    <w:p>
      <w:pPr>
        <w:spacing w:line="500" w:lineRule="exact"/>
        <w:ind w:firstLine="426" w:firstLineChars="200"/>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2、供应商在参加政府采购活动前3年内因违法经营被禁止在一定期限内参加政府采购活动，期限届满的，可以参加政府采购活动。</w:t>
      </w:r>
    </w:p>
    <w:p>
      <w:pPr>
        <w:spacing w:line="500" w:lineRule="exact"/>
        <w:ind w:firstLine="426" w:firstLineChars="200"/>
        <w:rPr>
          <w:color w:val="auto"/>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项目不分标段的，第___标段空白处填写“/”。</w:t>
      </w:r>
    </w:p>
    <w:p>
      <w:pPr>
        <w:spacing w:line="240" w:lineRule="auto"/>
        <w:jc w:val="left"/>
        <w:rPr>
          <w:b/>
          <w:bCs/>
          <w:color w:val="auto"/>
          <w:sz w:val="30"/>
          <w:szCs w:val="30"/>
        </w:rPr>
      </w:pPr>
    </w:p>
    <w:p>
      <w:pPr>
        <w:pStyle w:val="19"/>
        <w:ind w:firstLine="304"/>
        <w:rPr>
          <w:b/>
          <w:bCs/>
          <w:color w:val="auto"/>
          <w:sz w:val="30"/>
          <w:szCs w:val="30"/>
        </w:rPr>
      </w:pPr>
    </w:p>
    <w:p>
      <w:pPr>
        <w:pStyle w:val="19"/>
        <w:ind w:firstLine="304"/>
        <w:rPr>
          <w:b/>
          <w:bCs/>
          <w:color w:val="auto"/>
          <w:sz w:val="30"/>
          <w:szCs w:val="30"/>
        </w:rPr>
      </w:pPr>
    </w:p>
    <w:p>
      <w:pPr>
        <w:rPr>
          <w:b/>
          <w:bCs/>
          <w:color w:val="auto"/>
          <w:sz w:val="30"/>
          <w:szCs w:val="30"/>
        </w:rPr>
      </w:pPr>
      <w:r>
        <w:rPr>
          <w:b/>
          <w:bCs/>
          <w:color w:val="auto"/>
          <w:sz w:val="30"/>
          <w:szCs w:val="30"/>
        </w:rPr>
        <w:br w:type="page"/>
      </w:r>
    </w:p>
    <w:p>
      <w:pPr>
        <w:pStyle w:val="43"/>
        <w:keepNext/>
        <w:keepLines/>
        <w:pageBreakBefore w:val="0"/>
        <w:widowControl/>
        <w:kinsoku/>
        <w:wordWrap/>
        <w:overflowPunct/>
        <w:topLinePunct w:val="0"/>
        <w:autoSpaceDE/>
        <w:autoSpaceDN/>
        <w:bidi w:val="0"/>
        <w:adjustRightInd/>
        <w:snapToGrid/>
        <w:spacing w:line="560" w:lineRule="exact"/>
        <w:ind w:firstLine="606" w:firstLineChars="200"/>
        <w:jc w:val="both"/>
        <w:textAlignment w:val="auto"/>
        <w:rPr>
          <w:rFonts w:hint="eastAsia" w:ascii="仿宋_GB2312" w:hAnsi="仿宋_GB2312" w:eastAsia="仿宋_GB2312" w:cs="仿宋_GB2312"/>
          <w:color w:val="auto"/>
          <w:sz w:val="30"/>
          <w:szCs w:val="30"/>
        </w:rPr>
      </w:pPr>
      <w:bookmarkStart w:id="354" w:name="_Toc13298_WPSOffice_Level2"/>
      <w:bookmarkStart w:id="355" w:name="_Toc23486_WPSOffice_Level2"/>
      <w:bookmarkStart w:id="356" w:name="_Toc14516_WPSOffice_Level2"/>
      <w:bookmarkStart w:id="357" w:name="_Toc24625_WPSOffice_Level2"/>
      <w:r>
        <w:rPr>
          <w:rFonts w:hint="eastAsia" w:ascii="仿宋_GB2312" w:hAnsi="仿宋_GB2312" w:eastAsia="仿宋_GB2312" w:cs="仿宋_GB2312"/>
          <w:color w:val="auto"/>
          <w:sz w:val="30"/>
          <w:szCs w:val="30"/>
        </w:rPr>
        <w:t>六、法定代表人授权委托书</w:t>
      </w:r>
      <w:bookmarkEnd w:id="354"/>
      <w:bookmarkEnd w:id="355"/>
      <w:bookmarkEnd w:id="356"/>
      <w:bookmarkEnd w:id="357"/>
      <w:bookmarkStart w:id="358" w:name="_Toc19993_WPSOffice_Level3"/>
    </w:p>
    <w:p>
      <w:pPr>
        <w:pStyle w:val="43"/>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法定代表人授权委托书</w:t>
      </w:r>
      <w:bookmarkEnd w:id="358"/>
    </w:p>
    <w:p>
      <w:pPr>
        <w:pageBreakBefore w:val="0"/>
        <w:widowControl/>
        <w:kinsoku/>
        <w:wordWrap/>
        <w:overflowPunct/>
        <w:topLinePunct w:val="0"/>
        <w:autoSpaceDE/>
        <w:autoSpaceDN/>
        <w:bidi w:val="0"/>
        <w:adjustRightInd/>
        <w:snapToGrid w:val="0"/>
        <w:spacing w:line="560" w:lineRule="exact"/>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汉中市</w:t>
      </w:r>
      <w:r>
        <w:rPr>
          <w:rFonts w:hint="eastAsia" w:ascii="仿宋_GB2312" w:hAnsi="仿宋_GB2312" w:eastAsia="仿宋_GB2312" w:cs="仿宋_GB2312"/>
          <w:color w:val="auto"/>
        </w:rPr>
        <w:t>政府采购中心：</w:t>
      </w:r>
    </w:p>
    <w:p>
      <w:pPr>
        <w:pageBreakBefore w:val="0"/>
        <w:widowControl/>
        <w:kinsoku/>
        <w:wordWrap/>
        <w:overflowPunct/>
        <w:topLinePunct w:val="0"/>
        <w:autoSpaceDE/>
        <w:autoSpaceDN/>
        <w:bidi w:val="0"/>
        <w:adjustRightInd/>
        <w:spacing w:line="560" w:lineRule="exact"/>
        <w:ind w:right="11"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现委派</w:t>
      </w:r>
      <w:r>
        <w:rPr>
          <w:rFonts w:hint="eastAsia" w:ascii="仿宋_GB2312" w:hAnsi="仿宋_GB2312" w:eastAsia="仿宋_GB2312" w:cs="仿宋_GB2312"/>
          <w:color w:val="auto"/>
          <w:u w:val="single"/>
        </w:rPr>
        <w:t>（授权代表姓名）</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u w:val="none"/>
          <w:lang w:val="en-US" w:eastAsia="zh-CN"/>
        </w:rPr>
        <w:t>身份证号：</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none"/>
          <w:lang w:eastAsia="zh-CN"/>
        </w:rPr>
        <w:t>）</w:t>
      </w:r>
      <w:r>
        <w:rPr>
          <w:rFonts w:hint="eastAsia" w:ascii="仿宋_GB2312" w:hAnsi="仿宋_GB2312" w:eastAsia="仿宋_GB2312" w:cs="仿宋_GB2312"/>
          <w:color w:val="auto"/>
        </w:rPr>
        <w:t>为本公司的授权代表，参加贵方组织的</w:t>
      </w:r>
      <w:r>
        <w:rPr>
          <w:rFonts w:hint="eastAsia" w:ascii="仿宋_GB2312" w:hAnsi="仿宋_GB2312" w:eastAsia="仿宋_GB2312" w:cs="仿宋_GB2312"/>
          <w:color w:val="auto"/>
          <w:u w:val="single"/>
          <w:lang w:val="en-US" w:eastAsia="zh-CN"/>
        </w:rPr>
        <w:t xml:space="preserve"> </w:t>
      </w:r>
      <w:r>
        <w:rPr>
          <w:rFonts w:hint="eastAsia" w:ascii="仿宋_GB2312" w:hAnsi="仿宋_GB2312" w:eastAsia="仿宋_GB2312" w:cs="仿宋_GB2312"/>
          <w:color w:val="auto"/>
          <w:u w:val="single"/>
        </w:rPr>
        <w:t xml:space="preserve">项目名称 </w:t>
      </w:r>
      <w:r>
        <w:rPr>
          <w:rFonts w:hint="eastAsia" w:ascii="仿宋_GB2312" w:hAnsi="仿宋_GB2312" w:eastAsia="仿宋_GB2312" w:cs="仿宋_GB2312"/>
          <w:color w:val="auto"/>
        </w:rPr>
        <w:t>（项目编号：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）第___标段政府采购活动，就该项目的</w:t>
      </w:r>
      <w:r>
        <w:rPr>
          <w:rFonts w:hint="eastAsia" w:ascii="仿宋_GB2312" w:hAnsi="仿宋_GB2312" w:eastAsia="仿宋_GB2312" w:cs="仿宋_GB2312"/>
          <w:color w:val="auto"/>
          <w:lang w:val="en-US" w:eastAsia="zh-CN"/>
        </w:rPr>
        <w:t>磋商</w:t>
      </w:r>
      <w:r>
        <w:rPr>
          <w:rFonts w:hint="eastAsia" w:ascii="仿宋_GB2312" w:hAnsi="仿宋_GB2312" w:eastAsia="仿宋_GB2312" w:cs="仿宋_GB2312"/>
          <w:color w:val="auto"/>
        </w:rPr>
        <w:t>及合同的执行和完成，以本公司的名义处理一切与之有关的事宜。本授权自开标之日起生效，有效期与投标文件有效期一致。</w:t>
      </w:r>
    </w:p>
    <w:p>
      <w:pPr>
        <w:pageBreakBefore w:val="0"/>
        <w:widowControl/>
        <w:tabs>
          <w:tab w:val="left" w:pos="5245"/>
          <w:tab w:val="left" w:pos="6946"/>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授权代表姓名：_______________</w:t>
      </w:r>
      <w:r>
        <w:rPr>
          <w:rFonts w:hint="eastAsia" w:ascii="仿宋_GB2312" w:hAnsi="仿宋_GB2312" w:eastAsia="仿宋_GB2312" w:cs="仿宋_GB2312"/>
          <w:color w:val="auto"/>
        </w:rPr>
        <w:tab/>
      </w:r>
      <w:r>
        <w:rPr>
          <w:rFonts w:hint="eastAsia" w:ascii="仿宋_GB2312" w:hAnsi="仿宋_GB2312" w:eastAsia="仿宋_GB2312" w:cs="仿宋_GB2312"/>
          <w:color w:val="auto"/>
        </w:rPr>
        <w:t>性别：_____</w:t>
      </w:r>
      <w:r>
        <w:rPr>
          <w:rFonts w:hint="eastAsia" w:ascii="仿宋_GB2312" w:hAnsi="仿宋_GB2312" w:eastAsia="仿宋_GB2312" w:cs="仿宋_GB2312"/>
          <w:color w:val="auto"/>
        </w:rPr>
        <w:tab/>
      </w:r>
    </w:p>
    <w:p>
      <w:pPr>
        <w:pageBreakBefore w:val="0"/>
        <w:widowControl/>
        <w:tabs>
          <w:tab w:val="left" w:pos="5245"/>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职务：________________           电话：_________</w:t>
      </w:r>
    </w:p>
    <w:p>
      <w:pPr>
        <w:pageBreakBefore w:val="0"/>
        <w:widowControl/>
        <w:tabs>
          <w:tab w:val="left" w:pos="3828"/>
          <w:tab w:val="left" w:pos="6237"/>
        </w:tabs>
        <w:kinsoku/>
        <w:wordWrap/>
        <w:overflowPunct/>
        <w:topLinePunct w:val="0"/>
        <w:autoSpaceDE/>
        <w:autoSpaceDN/>
        <w:bidi w:val="0"/>
        <w:adjustRightInd/>
        <w:snapToGrid w:val="0"/>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通讯地址：__________________     邮政编码：__________</w:t>
      </w:r>
    </w:p>
    <w:tbl>
      <w:tblPr>
        <w:tblStyle w:val="20"/>
        <w:tblW w:w="8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ind w:firstLine="8" w:firstLineChars="3"/>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（有人像面）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4" w:hRule="atLeast"/>
          <w:jc w:val="center"/>
        </w:trPr>
        <w:tc>
          <w:tcPr>
            <w:tcW w:w="4072"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法定代表人身份证复印件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c>
          <w:tcPr>
            <w:tcW w:w="4098" w:type="dxa"/>
            <w:vAlign w:val="center"/>
          </w:tcPr>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授权代表身份证复印件</w:t>
            </w:r>
          </w:p>
          <w:p>
            <w:pPr>
              <w:pageBreakBefore w:val="0"/>
              <w:widowControl/>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（有国徽面）</w:t>
            </w:r>
          </w:p>
        </w:tc>
      </w:tr>
    </w:tbl>
    <w:p>
      <w:pPr>
        <w:pageBreakBefore w:val="0"/>
        <w:widowControl/>
        <w:tabs>
          <w:tab w:val="right" w:pos="8931"/>
        </w:tabs>
        <w:kinsoku/>
        <w:wordWrap/>
        <w:overflowPunct/>
        <w:topLinePunct w:val="0"/>
        <w:autoSpaceDE/>
        <w:autoSpaceDN/>
        <w:bidi w:val="0"/>
        <w:adjustRightInd/>
        <w:spacing w:line="560" w:lineRule="exact"/>
        <w:ind w:firstLine="566"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供应商：名称（加盖公章）        法定代表人：（签字或盖章）</w:t>
      </w:r>
    </w:p>
    <w:p>
      <w:pPr>
        <w:pageBreakBefore w:val="0"/>
        <w:widowControl/>
        <w:kinsoku/>
        <w:wordWrap/>
        <w:overflowPunct/>
        <w:topLinePunct w:val="0"/>
        <w:autoSpaceDE/>
        <w:autoSpaceDN/>
        <w:bidi w:val="0"/>
        <w:adjustRightInd/>
        <w:spacing w:line="560" w:lineRule="exact"/>
        <w:ind w:firstLine="5943" w:firstLineChars="21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日期：　年　月　日</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keepNext w:val="0"/>
        <w:keepLines w:val="0"/>
        <w:pageBreakBefore w:val="0"/>
        <w:widowControl/>
        <w:kinsoku/>
        <w:wordWrap/>
        <w:overflowPunct/>
        <w:topLinePunct w:val="0"/>
        <w:autoSpaceDE/>
        <w:autoSpaceDN/>
        <w:bidi w:val="0"/>
        <w:adjustRightInd/>
        <w:snapToGrid/>
        <w:spacing w:line="360" w:lineRule="exact"/>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2、法定代表人亲自参加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的，无需提供该委托授权书，但须提供法定代表人本人身份证（正反面）复印件。</w:t>
      </w:r>
    </w:p>
    <w:p>
      <w:pPr>
        <w:pStyle w:val="19"/>
        <w:keepNext w:val="0"/>
        <w:keepLines w:val="0"/>
        <w:pageBreakBefore w:val="0"/>
        <w:widowControl/>
        <w:kinsoku/>
        <w:wordWrap/>
        <w:overflowPunct/>
        <w:topLinePunct w:val="0"/>
        <w:autoSpaceDE/>
        <w:autoSpaceDN/>
        <w:bidi w:val="0"/>
        <w:adjustRightInd/>
        <w:snapToGrid/>
        <w:spacing w:after="0" w:line="360" w:lineRule="exact"/>
        <w:ind w:left="0" w:leftChars="0" w:firstLine="426" w:firstLineChars="200"/>
        <w:textAlignment w:val="auto"/>
        <w:rPr>
          <w:rFonts w:hint="eastAsia" w:ascii="宋体" w:hAnsi="宋体" w:eastAsia="宋体"/>
          <w:color w:val="auto"/>
          <w:sz w:val="21"/>
          <w:szCs w:val="21"/>
          <w:lang w:val="en-US" w:eastAsia="zh-CN"/>
        </w:rPr>
      </w:pPr>
      <w:r>
        <w:rPr>
          <w:rFonts w:hint="eastAsia" w:ascii="宋体" w:hAnsi="宋体" w:eastAsia="宋体"/>
          <w:color w:val="auto"/>
          <w:sz w:val="21"/>
          <w:szCs w:val="21"/>
        </w:rPr>
        <w:t>3、法定代表人签字或盖章可采用纸质签字或盖章后，上传至电子响应文件，也可使用法定代表人CA锁在电子响应文件制作软件中签章。</w:t>
      </w:r>
      <w:r>
        <w:rPr>
          <w:rFonts w:hint="eastAsia" w:ascii="宋体" w:hAnsi="宋体" w:eastAsia="宋体"/>
          <w:color w:val="auto"/>
          <w:sz w:val="21"/>
          <w:szCs w:val="21"/>
          <w:lang w:val="en-US" w:eastAsia="zh-CN"/>
        </w:rPr>
        <w:t xml:space="preserve">   </w:t>
      </w:r>
    </w:p>
    <w:p>
      <w:pP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6" w:firstLineChars="200"/>
        <w:jc w:val="both"/>
        <w:textAlignment w:val="auto"/>
        <w:rPr>
          <w:rFonts w:hint="eastAsia" w:ascii="仿宋_GB2312" w:hAnsi="仿宋_GB2312" w:eastAsia="仿宋_GB2312" w:cs="仿宋_GB2312"/>
          <w:b/>
          <w:bCs/>
          <w:color w:val="auto"/>
          <w:sz w:val="32"/>
          <w:szCs w:val="32"/>
          <w:highlight w:val="none"/>
          <w:lang w:val="en-US" w:eastAsia="zh-CN"/>
        </w:rPr>
      </w:pPr>
      <w:bookmarkStart w:id="359" w:name="_Toc29866"/>
      <w:bookmarkStart w:id="360" w:name="_Toc28770"/>
      <w:bookmarkStart w:id="361" w:name="_Toc18829"/>
      <w:bookmarkStart w:id="362" w:name="_Toc1034"/>
      <w:bookmarkStart w:id="363" w:name="_Toc2083"/>
      <w:bookmarkStart w:id="364" w:name="_Toc20137"/>
      <w:bookmarkStart w:id="365" w:name="_Toc17773_WPSOffice_Level2"/>
      <w:bookmarkStart w:id="366" w:name="_Toc29102_WPSOffice_Level2"/>
      <w:bookmarkStart w:id="367" w:name="_Toc9519_WPSOffice_Level2"/>
      <w:bookmarkStart w:id="368" w:name="_Toc29990_WPSOffice_Level2"/>
      <w:r>
        <w:rPr>
          <w:rFonts w:hint="eastAsia" w:ascii="仿宋_GB2312" w:hAnsi="仿宋_GB2312" w:eastAsia="仿宋_GB2312" w:cs="仿宋_GB2312"/>
          <w:b/>
          <w:bCs/>
          <w:color w:val="auto"/>
          <w:kern w:val="2"/>
          <w:sz w:val="32"/>
          <w:szCs w:val="32"/>
          <w:lang w:val="en-US" w:eastAsia="zh-CN" w:bidi="ar-SA"/>
        </w:rPr>
        <w:t>七、</w:t>
      </w:r>
      <w:r>
        <w:rPr>
          <w:rFonts w:hint="eastAsia" w:ascii="仿宋_GB2312" w:hAnsi="仿宋_GB2312" w:eastAsia="仿宋_GB2312" w:cs="仿宋_GB2312"/>
          <w:b/>
          <w:bCs/>
          <w:color w:val="auto"/>
          <w:sz w:val="32"/>
          <w:szCs w:val="32"/>
          <w:highlight w:val="none"/>
          <w:lang w:val="en-US" w:eastAsia="zh-CN"/>
        </w:rPr>
        <w:t>落实政府采购政策需满足的资格要求</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中小企业声明函</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本公司（联合体）郑重声明，根据《政府采购促进中小企业发展管理办法》（财库﹝2020﹞46 号）的规定，本公司（联合体）参加</w:t>
      </w:r>
      <w:r>
        <w:rPr>
          <w:rFonts w:hint="eastAsia" w:ascii="仿宋_GB2312" w:hAnsi="仿宋_GB2312" w:eastAsia="仿宋_GB2312" w:cs="仿宋_GB2312"/>
          <w:i/>
          <w:iCs/>
          <w:color w:val="auto"/>
          <w:sz w:val="28"/>
          <w:szCs w:val="28"/>
          <w:u w:val="single"/>
          <w:lang w:val="en-US" w:eastAsia="zh-CN"/>
        </w:rPr>
        <w:t>（单位名称）</w:t>
      </w:r>
      <w:r>
        <w:rPr>
          <w:rFonts w:hint="eastAsia" w:ascii="仿宋_GB2312" w:hAnsi="仿宋_GB2312" w:eastAsia="仿宋_GB2312" w:cs="仿宋_GB2312"/>
          <w:color w:val="auto"/>
          <w:sz w:val="28"/>
          <w:szCs w:val="28"/>
          <w:lang w:val="en-US" w:eastAsia="zh-CN"/>
        </w:rPr>
        <w:t>的</w:t>
      </w:r>
      <w:r>
        <w:rPr>
          <w:rFonts w:hint="eastAsia" w:ascii="仿宋_GB2312" w:hAnsi="仿宋_GB2312" w:eastAsia="仿宋_GB2312" w:cs="仿宋_GB2312"/>
          <w:i/>
          <w:iCs/>
          <w:color w:val="auto"/>
          <w:sz w:val="28"/>
          <w:szCs w:val="28"/>
          <w:u w:val="single"/>
          <w:lang w:val="en-US" w:eastAsia="zh-CN"/>
        </w:rPr>
        <w:t>（项目名称）</w:t>
      </w:r>
      <w:r>
        <w:rPr>
          <w:rFonts w:hint="eastAsia" w:ascii="仿宋_GB2312" w:hAnsi="仿宋_GB2312" w:eastAsia="仿宋_GB2312" w:cs="仿宋_GB2312"/>
          <w:color w:val="auto"/>
          <w:sz w:val="28"/>
          <w:szCs w:val="28"/>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i/>
          <w:iCs/>
          <w:color w:val="auto"/>
          <w:sz w:val="28"/>
          <w:szCs w:val="28"/>
          <w:u w:val="single"/>
          <w:lang w:val="en-US" w:eastAsia="zh-CN"/>
        </w:rPr>
        <w:t xml:space="preserve"> （标的名称） </w:t>
      </w:r>
      <w:r>
        <w:rPr>
          <w:rFonts w:hint="eastAsia" w:ascii="仿宋_GB2312" w:hAnsi="仿宋_GB2312" w:eastAsia="仿宋_GB2312" w:cs="仿宋_GB2312"/>
          <w:color w:val="auto"/>
          <w:sz w:val="28"/>
          <w:szCs w:val="28"/>
          <w:lang w:val="en-US" w:eastAsia="zh-CN"/>
        </w:rPr>
        <w:t>，属于</w:t>
      </w:r>
      <w:r>
        <w:rPr>
          <w:rFonts w:hint="eastAsia" w:ascii="仿宋_GB2312" w:hAnsi="仿宋_GB2312" w:eastAsia="仿宋_GB2312" w:cs="仿宋_GB2312"/>
          <w:i/>
          <w:iCs/>
          <w:color w:val="auto"/>
          <w:sz w:val="28"/>
          <w:szCs w:val="28"/>
          <w:u w:val="single"/>
          <w:lang w:val="en-US" w:eastAsia="zh-CN"/>
        </w:rPr>
        <w:t>（采购文件中明确的所属行业）</w:t>
      </w:r>
      <w:r>
        <w:rPr>
          <w:rFonts w:hint="eastAsia" w:ascii="仿宋_GB2312" w:hAnsi="仿宋_GB2312" w:eastAsia="仿宋_GB2312" w:cs="仿宋_GB2312"/>
          <w:color w:val="auto"/>
          <w:sz w:val="28"/>
          <w:szCs w:val="28"/>
          <w:lang w:val="en-US" w:eastAsia="zh-CN"/>
        </w:rPr>
        <w:t>；承建（承接）企业为</w:t>
      </w:r>
      <w:r>
        <w:rPr>
          <w:rFonts w:hint="eastAsia" w:ascii="仿宋_GB2312" w:hAnsi="仿宋_GB2312" w:eastAsia="仿宋_GB2312" w:cs="仿宋_GB2312"/>
          <w:i/>
          <w:iCs/>
          <w:color w:val="auto"/>
          <w:sz w:val="28"/>
          <w:szCs w:val="28"/>
          <w:u w:val="single"/>
          <w:lang w:val="en-US" w:eastAsia="zh-CN"/>
        </w:rPr>
        <w:t>（企业名称）</w:t>
      </w:r>
      <w:r>
        <w:rPr>
          <w:rFonts w:hint="eastAsia" w:ascii="仿宋_GB2312" w:hAnsi="仿宋_GB2312" w:eastAsia="仿宋_GB2312" w:cs="仿宋_GB2312"/>
          <w:color w:val="auto"/>
          <w:sz w:val="28"/>
          <w:szCs w:val="28"/>
          <w:lang w:val="en-US" w:eastAsia="zh-CN"/>
        </w:rPr>
        <w:t>，从业人员</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人，营业收入为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万元，资产总额为</w:t>
      </w:r>
      <w:r>
        <w:rPr>
          <w:rFonts w:hint="eastAsia" w:ascii="仿宋_GB2312" w:hAnsi="仿宋_GB2312" w:eastAsia="仿宋_GB2312" w:cs="仿宋_GB2312"/>
          <w:i/>
          <w:iCs/>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万元，属于</w:t>
      </w:r>
      <w:r>
        <w:rPr>
          <w:rFonts w:hint="eastAsia" w:ascii="仿宋_GB2312" w:hAnsi="仿宋_GB2312" w:eastAsia="仿宋_GB2312" w:cs="仿宋_GB2312"/>
          <w:i/>
          <w:iCs/>
          <w:color w:val="auto"/>
          <w:sz w:val="28"/>
          <w:szCs w:val="28"/>
          <w:u w:val="single"/>
          <w:lang w:val="en-US" w:eastAsia="zh-CN"/>
        </w:rPr>
        <w:t>（中型企业、小型企业、微型企业）</w:t>
      </w: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00" w:lineRule="exact"/>
        <w:ind w:firstLine="566" w:firstLineChars="200"/>
        <w:jc w:val="both"/>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本企业对上述声明内容的真实性负责。如有虚假，将依法承担相应责任。</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企业名称（盖章）：</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00" w:lineRule="exact"/>
        <w:jc w:val="righ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日 期：</w:t>
      </w:r>
      <w:r>
        <w:rPr>
          <w:rFonts w:hint="eastAsia" w:ascii="仿宋_GB2312" w:hAnsi="仿宋_GB2312" w:eastAsia="仿宋_GB2312" w:cs="仿宋_GB2312"/>
          <w:color w:val="auto"/>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备注：1、</w:t>
      </w:r>
      <w:r>
        <w:rPr>
          <w:rFonts w:hint="eastAsia" w:ascii="宋体" w:hAnsi="宋体" w:eastAsia="宋体" w:cs="宋体"/>
          <w:color w:val="auto"/>
          <w:sz w:val="21"/>
          <w:szCs w:val="21"/>
        </w:rPr>
        <w:t>本项目采购标的对应的中小企业划分标准所属行业</w:t>
      </w:r>
      <w:r>
        <w:rPr>
          <w:rFonts w:hint="eastAsia" w:ascii="宋体" w:hAnsi="宋体" w:eastAsia="宋体" w:cs="宋体"/>
          <w:color w:val="auto"/>
          <w:sz w:val="21"/>
          <w:szCs w:val="21"/>
          <w:highlight w:val="none"/>
        </w:rPr>
        <w:t>为：</w:t>
      </w:r>
      <w:r>
        <w:rPr>
          <w:rFonts w:hint="eastAsia" w:ascii="宋体" w:hAnsi="宋体" w:eastAsia="宋体" w:cs="宋体"/>
          <w:b/>
          <w:bCs/>
          <w:color w:val="auto"/>
          <w:sz w:val="21"/>
          <w:szCs w:val="21"/>
          <w:highlight w:val="none"/>
          <w:lang w:val="en-US" w:eastAsia="zh-CN"/>
        </w:rPr>
        <w:t>物业管理</w:t>
      </w:r>
      <w:r>
        <w:rPr>
          <w:rFonts w:hint="eastAsia" w:ascii="宋体" w:hAnsi="宋体" w:eastAsia="宋体" w:cs="宋体"/>
          <w:color w:val="auto"/>
          <w:sz w:val="21"/>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2、成交供应商的《中小企业声明函》将随成交结果公告一同公布。 </w:t>
      </w:r>
    </w:p>
    <w:p>
      <w:pPr>
        <w:keepNext w:val="0"/>
        <w:keepLines w:val="0"/>
        <w:pageBreakBefore w:val="0"/>
        <w:widowControl/>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3、各供应商可根据企业从业人员、营业收入、资产总额等指标，按照磋商文件约定的采购标的对应的中小企业划分标准所属行业和《中小企业划型标准规定》（工信部联企业〔2011〕300号）进行自测。可登录工业和信息化部的中小企业规模类型自测小程序（https://baosong.miit.gov.cn/ScaleTest）进行测算。  </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br w:type="page"/>
      </w:r>
    </w:p>
    <w:p>
      <w:pPr>
        <w:pStyle w:val="41"/>
        <w:pageBreakBefore w:val="0"/>
        <w:widowControl/>
        <w:kinsoku/>
        <w:wordWrap/>
        <w:overflowPunct/>
        <w:topLinePunct w:val="0"/>
        <w:autoSpaceDE/>
        <w:autoSpaceDN/>
        <w:bidi w:val="0"/>
        <w:adjustRightInd/>
        <w:snapToGrid/>
        <w:spacing w:line="560" w:lineRule="exact"/>
        <w:textAlignment w:val="auto"/>
        <w:rPr>
          <w:rFonts w:ascii="黑体" w:hAnsi="黑体" w:eastAsia="黑体"/>
          <w:b w:val="0"/>
          <w:color w:val="auto"/>
          <w:sz w:val="32"/>
          <w:szCs w:val="32"/>
        </w:rPr>
      </w:pPr>
      <w:bookmarkStart w:id="369" w:name="_Toc9751"/>
      <w:r>
        <w:rPr>
          <w:rFonts w:hint="eastAsia" w:ascii="黑体" w:hAnsi="黑体" w:eastAsia="黑体"/>
          <w:b w:val="0"/>
          <w:color w:val="auto"/>
          <w:sz w:val="32"/>
          <w:szCs w:val="32"/>
        </w:rPr>
        <w:t>第二部分  符合性证明文件</w:t>
      </w:r>
      <w:bookmarkEnd w:id="359"/>
      <w:bookmarkEnd w:id="360"/>
      <w:bookmarkEnd w:id="361"/>
      <w:bookmarkEnd w:id="362"/>
      <w:bookmarkEnd w:id="363"/>
      <w:bookmarkEnd w:id="369"/>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370" w:name="_Toc2230"/>
      <w:bookmarkStart w:id="371" w:name="_Toc3857"/>
      <w:bookmarkStart w:id="372" w:name="_Toc26585"/>
      <w:bookmarkStart w:id="373" w:name="_Toc14262"/>
      <w:bookmarkStart w:id="374" w:name="_Toc19788"/>
      <w:bookmarkStart w:id="375" w:name="_Toc26623"/>
      <w:bookmarkStart w:id="376" w:name="_Toc22486"/>
      <w:bookmarkStart w:id="377" w:name="_Toc28961"/>
      <w:bookmarkStart w:id="378" w:name="_Toc7047"/>
      <w:r>
        <w:rPr>
          <w:rFonts w:hint="eastAsia" w:ascii="仿宋_GB2312" w:hAnsi="仿宋_GB2312" w:eastAsia="仿宋_GB2312" w:cs="仿宋_GB2312"/>
          <w:bCs w:val="0"/>
          <w:color w:val="auto"/>
          <w:sz w:val="32"/>
          <w:szCs w:val="32"/>
        </w:rPr>
        <w:t>一、响应函格式</w:t>
      </w:r>
      <w:bookmarkEnd w:id="370"/>
      <w:bookmarkEnd w:id="371"/>
      <w:bookmarkEnd w:id="372"/>
      <w:bookmarkEnd w:id="373"/>
      <w:bookmarkEnd w:id="374"/>
      <w:bookmarkEnd w:id="375"/>
      <w:bookmarkEnd w:id="376"/>
      <w:bookmarkEnd w:id="377"/>
      <w:bookmarkEnd w:id="378"/>
    </w:p>
    <w:p>
      <w:pPr>
        <w:pStyle w:val="37"/>
        <w:pageBreakBefore w:val="0"/>
        <w:widowControl/>
        <w:kinsoku/>
        <w:wordWrap/>
        <w:overflowPunct/>
        <w:topLinePunct w:val="0"/>
        <w:autoSpaceDE/>
        <w:autoSpaceDN/>
        <w:bidi w:val="0"/>
        <w:adjustRightInd/>
        <w:snapToGrid/>
        <w:spacing w:line="560" w:lineRule="exact"/>
        <w:ind w:firstLine="647"/>
        <w:jc w:val="center"/>
        <w:textAlignment w:val="auto"/>
        <w:rPr>
          <w:rFonts w:hint="eastAsia" w:ascii="仿宋_GB2312" w:hAnsi="仿宋_GB2312" w:eastAsia="仿宋_GB2312" w:cs="仿宋_GB2312"/>
          <w:b/>
          <w:bCs/>
          <w:color w:val="auto"/>
          <w:sz w:val="32"/>
          <w:szCs w:val="32"/>
        </w:rPr>
      </w:pPr>
      <w:bookmarkStart w:id="379" w:name="_Toc23334"/>
      <w:bookmarkStart w:id="380" w:name="_Toc22777"/>
      <w:bookmarkStart w:id="381" w:name="_Toc10617"/>
      <w:r>
        <w:rPr>
          <w:rFonts w:hint="eastAsia" w:ascii="仿宋_GB2312" w:hAnsi="仿宋_GB2312" w:eastAsia="仿宋_GB2312" w:cs="仿宋_GB2312"/>
          <w:b/>
          <w:bCs/>
          <w:color w:val="auto"/>
          <w:sz w:val="32"/>
          <w:szCs w:val="32"/>
        </w:rPr>
        <w:t>响应函</w:t>
      </w:r>
      <w:bookmarkEnd w:id="379"/>
      <w:bookmarkEnd w:id="380"/>
      <w:bookmarkEnd w:id="381"/>
    </w:p>
    <w:p>
      <w:pPr>
        <w:pStyle w:val="37"/>
        <w:keepNext w:val="0"/>
        <w:keepLines w:val="0"/>
        <w:pageBreakBefore w:val="0"/>
        <w:widowControl/>
        <w:kinsoku/>
        <w:wordWrap/>
        <w:overflowPunct/>
        <w:topLinePunct w:val="0"/>
        <w:autoSpaceDE/>
        <w:autoSpaceDN/>
        <w:bidi w:val="0"/>
        <w:adjustRightInd/>
        <w:snapToGrid/>
        <w:spacing w:line="500" w:lineRule="exact"/>
        <w:ind w:firstLine="0" w:firstLineChars="0"/>
        <w:textAlignment w:val="auto"/>
        <w:rPr>
          <w:rFonts w:hint="eastAsia" w:ascii="仿宋_GB2312" w:hAnsi="仿宋_GB2312" w:eastAsia="仿宋_GB2312" w:cs="仿宋_GB2312"/>
          <w:color w:val="auto"/>
          <w:sz w:val="28"/>
          <w:szCs w:val="28"/>
          <w:lang w:val="zh-CN"/>
        </w:rPr>
      </w:pPr>
      <w:r>
        <w:rPr>
          <w:rFonts w:hint="eastAsia" w:ascii="仿宋_GB2312" w:hAnsi="仿宋_GB2312" w:eastAsia="仿宋_GB2312" w:cs="仿宋_GB2312"/>
          <w:color w:val="auto"/>
          <w:sz w:val="28"/>
          <w:szCs w:val="28"/>
          <w:lang w:val="en-US" w:eastAsia="zh-CN"/>
        </w:rPr>
        <w:t>汉中市</w:t>
      </w:r>
      <w:r>
        <w:rPr>
          <w:rFonts w:hint="eastAsia" w:ascii="仿宋_GB2312" w:hAnsi="仿宋_GB2312" w:eastAsia="仿宋_GB2312" w:cs="仿宋_GB2312"/>
          <w:color w:val="auto"/>
          <w:sz w:val="28"/>
          <w:szCs w:val="28"/>
        </w:rPr>
        <w:t>政府采购中心</w:t>
      </w:r>
      <w:r>
        <w:rPr>
          <w:rFonts w:hint="eastAsia" w:ascii="仿宋_GB2312" w:hAnsi="仿宋_GB2312" w:eastAsia="仿宋_GB2312" w:cs="仿宋_GB2312"/>
          <w:color w:val="auto"/>
          <w:sz w:val="28"/>
          <w:szCs w:val="28"/>
          <w:lang w:val="zh-CN"/>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我方收到贵中心发布的</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项目名称</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rPr>
        <w:t>（项目编号：</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）第</w:t>
      </w:r>
      <w:r>
        <w:rPr>
          <w:rFonts w:hint="eastAsia" w:ascii="仿宋_GB2312" w:hAnsi="仿宋_GB2312" w:eastAsia="仿宋_GB2312" w:cs="仿宋_GB2312"/>
          <w:color w:val="auto"/>
          <w:sz w:val="28"/>
          <w:szCs w:val="28"/>
          <w:u w:val="single"/>
        </w:rPr>
        <w:t>___</w:t>
      </w:r>
      <w:r>
        <w:rPr>
          <w:rFonts w:hint="eastAsia" w:ascii="仿宋_GB2312" w:hAnsi="仿宋_GB2312" w:eastAsia="仿宋_GB2312" w:cs="仿宋_GB2312"/>
          <w:color w:val="auto"/>
          <w:sz w:val="28"/>
          <w:szCs w:val="28"/>
        </w:rPr>
        <w:t>标段磋商文件，经详细研究，我方决定参加该项目第</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标段</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活动。为此，我方郑重声明以下诸点，并负法律责任。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一、我方已详细阅读了磋商文件，完全理解并同意磋商文件的所有事项及内容。</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我方已悉知并关注了贵方在政府采购信息发布媒体（详见磋商文件第二章第三条中的“磋商文件的修改、澄清”）上发布的关于本项目的有关变更公告（包括但不限于对磋商文件做出的修改或澄清、答疑纪要，以及项目暂停、重启、延期、终止等）。</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三、我方同意向贵方提供与本</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有关的任何证明材料，保证所提交的证明材料真实、合法、有效。</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四、我方</w:t>
      </w:r>
      <w:r>
        <w:rPr>
          <w:rFonts w:hint="eastAsia" w:ascii="仿宋_GB2312" w:hAnsi="仿宋_GB2312" w:eastAsia="仿宋_GB2312" w:cs="仿宋_GB2312"/>
          <w:color w:val="auto"/>
          <w:sz w:val="28"/>
          <w:szCs w:val="28"/>
        </w:rPr>
        <w:t>尊重磋商小组的评审结果。</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五</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val="en-US" w:eastAsia="zh-CN"/>
        </w:rPr>
        <w:t>如若成交，</w:t>
      </w:r>
      <w:r>
        <w:rPr>
          <w:rFonts w:hint="eastAsia" w:ascii="仿宋_GB2312" w:hAnsi="仿宋_GB2312" w:eastAsia="仿宋_GB2312" w:cs="仿宋_GB2312"/>
          <w:color w:val="auto"/>
          <w:sz w:val="28"/>
          <w:szCs w:val="28"/>
        </w:rPr>
        <w:t>我方愿意按照磋商文件中的一切要求，完成本项目合同责任和义务。</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六</w:t>
      </w:r>
      <w:r>
        <w:rPr>
          <w:rFonts w:hint="eastAsia" w:ascii="仿宋_GB2312" w:hAnsi="仿宋_GB2312" w:eastAsia="仿宋_GB2312" w:cs="仿宋_GB2312"/>
          <w:color w:val="auto"/>
          <w:sz w:val="28"/>
          <w:szCs w:val="28"/>
        </w:rPr>
        <w:t>、我方提交</w:t>
      </w:r>
      <w:r>
        <w:rPr>
          <w:rFonts w:hint="eastAsia" w:ascii="仿宋_GB2312" w:hAnsi="仿宋_GB2312" w:eastAsia="仿宋_GB2312" w:cs="仿宋_GB2312"/>
          <w:b/>
          <w:color w:val="auto"/>
          <w:sz w:val="28"/>
          <w:szCs w:val="28"/>
        </w:rPr>
        <w:t>电子响应文件一份</w:t>
      </w:r>
      <w:r>
        <w:rPr>
          <w:rFonts w:hint="eastAsia" w:ascii="仿宋_GB2312" w:hAnsi="仿宋_GB2312" w:eastAsia="仿宋_GB2312" w:cs="仿宋_GB2312"/>
          <w:b/>
          <w:bCs/>
          <w:color w:val="auto"/>
          <w:sz w:val="28"/>
          <w:szCs w:val="28"/>
        </w:rPr>
        <w:t>。</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七</w:t>
      </w:r>
      <w:r>
        <w:rPr>
          <w:rFonts w:hint="eastAsia" w:ascii="仿宋_GB2312" w:hAnsi="仿宋_GB2312" w:eastAsia="仿宋_GB2312" w:cs="仿宋_GB2312"/>
          <w:color w:val="auto"/>
          <w:sz w:val="28"/>
          <w:szCs w:val="28"/>
        </w:rPr>
        <w:t>、供应商在提交响应文件截止时间后撤回响应文件的，我们愿接受政府采购的有关处罚决定。</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八</w:t>
      </w:r>
      <w:r>
        <w:rPr>
          <w:rFonts w:hint="eastAsia" w:ascii="仿宋_GB2312" w:hAnsi="仿宋_GB2312" w:eastAsia="仿宋_GB2312" w:cs="仿宋_GB2312"/>
          <w:color w:val="auto"/>
          <w:sz w:val="28"/>
          <w:szCs w:val="28"/>
        </w:rPr>
        <w:t>、我方的响应文件在开标之日起</w:t>
      </w:r>
      <w:r>
        <w:rPr>
          <w:rFonts w:hint="eastAsia" w:ascii="仿宋_GB2312" w:hAnsi="仿宋_GB2312" w:eastAsia="仿宋_GB2312" w:cs="仿宋_GB2312"/>
          <w:b/>
          <w:bCs/>
          <w:color w:val="auto"/>
          <w:sz w:val="28"/>
          <w:szCs w:val="28"/>
          <w:u w:val="single"/>
        </w:rPr>
        <w:t xml:space="preserve"> 90 </w:t>
      </w:r>
      <w:r>
        <w:rPr>
          <w:rFonts w:hint="eastAsia" w:ascii="仿宋_GB2312" w:hAnsi="仿宋_GB2312" w:eastAsia="仿宋_GB2312" w:cs="仿宋_GB2312"/>
          <w:color w:val="auto"/>
          <w:sz w:val="28"/>
          <w:szCs w:val="28"/>
        </w:rPr>
        <w:t>个日历日内有效，如成交，延长至合同执行完毕时止。</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九</w:t>
      </w:r>
      <w:r>
        <w:rPr>
          <w:rFonts w:hint="eastAsia" w:ascii="仿宋_GB2312" w:hAnsi="仿宋_GB2312" w:eastAsia="仿宋_GB2312" w:cs="仿宋_GB2312"/>
          <w:color w:val="auto"/>
          <w:sz w:val="28"/>
          <w:szCs w:val="28"/>
        </w:rPr>
        <w:t>、所有关于此次</w:t>
      </w:r>
      <w:r>
        <w:rPr>
          <w:rFonts w:hint="eastAsia" w:ascii="仿宋_GB2312" w:hAnsi="仿宋_GB2312" w:eastAsia="仿宋_GB2312" w:cs="仿宋_GB2312"/>
          <w:color w:val="auto"/>
          <w:sz w:val="28"/>
          <w:szCs w:val="28"/>
          <w:lang w:val="en-US" w:eastAsia="zh-CN"/>
        </w:rPr>
        <w:t>磋商</w:t>
      </w:r>
      <w:r>
        <w:rPr>
          <w:rFonts w:hint="eastAsia" w:ascii="仿宋_GB2312" w:hAnsi="仿宋_GB2312" w:eastAsia="仿宋_GB2312" w:cs="仿宋_GB2312"/>
          <w:color w:val="auto"/>
          <w:sz w:val="28"/>
          <w:szCs w:val="28"/>
        </w:rPr>
        <w:t>活动的函电，请按下列地址联系：</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供应商：名称（加盖公章）</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地址：</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电话：</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传真：</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邮编：</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color w:val="auto"/>
          <w:sz w:val="28"/>
          <w:szCs w:val="28"/>
        </w:rPr>
        <w:t xml:space="preserve">电子邮箱：         </w:t>
      </w:r>
    </w:p>
    <w:p>
      <w:pPr>
        <w:pStyle w:val="37"/>
        <w:keepNext w:val="0"/>
        <w:keepLines w:val="0"/>
        <w:pageBreakBefore w:val="0"/>
        <w:widowControl/>
        <w:kinsoku/>
        <w:wordWrap/>
        <w:overflowPunct/>
        <w:topLinePunct w:val="0"/>
        <w:autoSpaceDE/>
        <w:autoSpaceDN/>
        <w:bidi w:val="0"/>
        <w:adjustRightInd/>
        <w:snapToGrid/>
        <w:spacing w:line="500" w:lineRule="exact"/>
        <w:ind w:firstLine="567"/>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日期：　　年　月　日</w:t>
      </w: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pageBreakBefore w:val="0"/>
        <w:widowControl/>
        <w:kinsoku/>
        <w:wordWrap/>
        <w:overflowPunct/>
        <w:topLinePunct w:val="0"/>
        <w:autoSpaceDE/>
        <w:autoSpaceDN/>
        <w:bidi w:val="0"/>
        <w:adjustRightInd/>
        <w:snapToGrid/>
        <w:spacing w:line="560" w:lineRule="exact"/>
        <w:ind w:firstLine="0" w:firstLineChars="0"/>
        <w:textAlignment w:val="auto"/>
        <w:rPr>
          <w:color w:val="auto"/>
          <w:sz w:val="32"/>
          <w:szCs w:val="32"/>
        </w:rPr>
      </w:pP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备注：1、项目不分标段的，第___标段空白处填写“/”。</w:t>
      </w:r>
    </w:p>
    <w:p>
      <w:pPr>
        <w:pStyle w:val="37"/>
        <w:keepNext w:val="0"/>
        <w:keepLines w:val="0"/>
        <w:pageBreakBefore w:val="0"/>
        <w:widowControl/>
        <w:kinsoku/>
        <w:wordWrap/>
        <w:overflowPunct/>
        <w:topLinePunct w:val="0"/>
        <w:autoSpaceDE/>
        <w:autoSpaceDN/>
        <w:bidi w:val="0"/>
        <w:adjustRightInd/>
        <w:snapToGrid/>
        <w:ind w:firstLine="426" w:firstLineChars="200"/>
        <w:textAlignment w:val="auto"/>
        <w:rPr>
          <w:rFonts w:ascii="宋体" w:hAnsi="宋体" w:eastAsia="宋体" w:cs="宋体"/>
          <w:color w:val="auto"/>
          <w:sz w:val="21"/>
          <w:szCs w:val="21"/>
        </w:rPr>
      </w:pPr>
      <w:r>
        <w:rPr>
          <w:rFonts w:hint="eastAsia" w:ascii="宋体" w:hAnsi="宋体" w:eastAsia="宋体" w:cs="宋体"/>
          <w:color w:val="auto"/>
          <w:sz w:val="21"/>
          <w:szCs w:val="21"/>
        </w:rPr>
        <w:t>2、除可填报项目外，对本响应函的任何实质性内容修改将被视为非实质性响应，在评审时将其视为无效响应。</w:t>
      </w: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pStyle w:val="37"/>
        <w:ind w:firstLine="639" w:firstLineChars="300"/>
        <w:rPr>
          <w:rFonts w:hint="eastAsia" w:ascii="宋体" w:hAnsi="宋体" w:eastAsia="宋体" w:cs="宋体"/>
          <w:b/>
          <w:bCs/>
          <w:color w:val="auto"/>
          <w:sz w:val="21"/>
          <w:szCs w:val="21"/>
        </w:rPr>
      </w:pPr>
    </w:p>
    <w:p>
      <w:pPr>
        <w:rPr>
          <w:rFonts w:hint="eastAsia" w:ascii="宋体" w:hAnsi="宋体" w:eastAsia="宋体" w:cs="宋体"/>
          <w:b/>
          <w:bCs/>
          <w:color w:val="auto"/>
          <w:sz w:val="21"/>
          <w:szCs w:val="21"/>
        </w:rPr>
      </w:pPr>
      <w:r>
        <w:rPr>
          <w:rFonts w:hint="eastAsia" w:ascii="宋体" w:hAnsi="宋体" w:eastAsia="宋体" w:cs="宋体"/>
          <w:b/>
          <w:bCs/>
          <w:color w:val="auto"/>
          <w:sz w:val="21"/>
          <w:szCs w:val="21"/>
        </w:rPr>
        <w:br w:type="page"/>
      </w:r>
    </w:p>
    <w:bookmarkEnd w:id="364"/>
    <w:bookmarkEnd w:id="365"/>
    <w:bookmarkEnd w:id="366"/>
    <w:bookmarkEnd w:id="367"/>
    <w:bookmarkEnd w:id="368"/>
    <w:p>
      <w:pPr>
        <w:pStyle w:val="41"/>
        <w:jc w:val="both"/>
        <w:rPr>
          <w:rFonts w:ascii="仿宋" w:hAnsi="仿宋" w:eastAsia="仿宋"/>
          <w:color w:val="auto"/>
          <w:sz w:val="24"/>
          <w:szCs w:val="24"/>
        </w:rPr>
      </w:pPr>
      <w:bookmarkStart w:id="382" w:name="_Toc6154"/>
      <w:bookmarkStart w:id="383" w:name="_Toc13216"/>
      <w:bookmarkStart w:id="384" w:name="_Toc23955"/>
      <w:bookmarkStart w:id="385" w:name="_Toc23660"/>
      <w:bookmarkStart w:id="386" w:name="_Toc24876"/>
      <w:bookmarkStart w:id="387" w:name="_Toc6921"/>
      <w:bookmarkStart w:id="388" w:name="_Toc15883"/>
      <w:bookmarkStart w:id="389" w:name="_Toc8175"/>
      <w:bookmarkStart w:id="390" w:name="_Toc30525"/>
      <w:bookmarkStart w:id="391" w:name="_Toc17656_WPSOffice_Level2"/>
      <w:r>
        <w:rPr>
          <w:rFonts w:hint="eastAsia" w:ascii="仿宋" w:hAnsi="仿宋" w:eastAsia="仿宋" w:cs="仿宋"/>
          <w:bCs w:val="0"/>
          <w:color w:val="auto"/>
        </w:rPr>
        <w:t>二、第一次磋商报价表</w:t>
      </w:r>
      <w:bookmarkEnd w:id="382"/>
      <w:bookmarkEnd w:id="383"/>
      <w:bookmarkEnd w:id="384"/>
      <w:bookmarkEnd w:id="385"/>
      <w:bookmarkEnd w:id="386"/>
      <w:bookmarkEnd w:id="387"/>
      <w:bookmarkEnd w:id="388"/>
      <w:bookmarkEnd w:id="389"/>
      <w:bookmarkEnd w:id="390"/>
    </w:p>
    <w:p>
      <w:pPr>
        <w:spacing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项目名称：</w:t>
      </w:r>
    </w:p>
    <w:p>
      <w:pPr>
        <w:pStyle w:val="17"/>
        <w:wordWrap w:val="0"/>
        <w:spacing w:beforeAutospacing="0" w:afterAutospacing="0" w:line="500" w:lineRule="exact"/>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项目编号：</w:t>
      </w:r>
    </w:p>
    <w:p>
      <w:pPr>
        <w:pStyle w:val="13"/>
        <w:rPr>
          <w:rFonts w:hint="eastAsia" w:ascii="仿宋_GB2312" w:hAnsi="仿宋_GB2312" w:eastAsia="仿宋_GB2312" w:cs="仿宋_GB2312"/>
          <w:color w:val="auto"/>
          <w:sz w:val="32"/>
          <w:szCs w:val="32"/>
          <w:shd w:val="clear" w:color="auto" w:fill="FFFFFF"/>
        </w:rPr>
      </w:pPr>
    </w:p>
    <w:tbl>
      <w:tblPr>
        <w:tblStyle w:val="20"/>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3059"/>
        <w:gridCol w:w="5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p>
        </w:tc>
        <w:tc>
          <w:tcPr>
            <w:tcW w:w="5752" w:type="dxa"/>
            <w:vAlign w:val="center"/>
          </w:tcPr>
          <w:p>
            <w:pPr>
              <w:spacing w:line="440" w:lineRule="exact"/>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3059" w:type="dxa"/>
            <w:vAlign w:val="center"/>
          </w:tcPr>
          <w:p>
            <w:pPr>
              <w:pStyle w:val="6"/>
              <w:spacing w:line="360" w:lineRule="auto"/>
              <w:ind w:firstLine="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磋商报价</w:t>
            </w:r>
          </w:p>
        </w:tc>
        <w:tc>
          <w:tcPr>
            <w:tcW w:w="5752" w:type="dxa"/>
            <w:vAlign w:val="center"/>
          </w:tcPr>
          <w:p>
            <w:pPr>
              <w:autoSpaceDE w:val="0"/>
              <w:autoSpaceDN w:val="0"/>
              <w:spacing w:line="360" w:lineRule="auto"/>
              <w:rPr>
                <w:rFonts w:hint="eastAsia" w:ascii="仿宋_GB2312" w:hAnsi="仿宋_GB2312" w:eastAsia="仿宋_GB2312" w:cs="仿宋_GB2312"/>
                <w:color w:val="auto"/>
                <w:kern w:val="0"/>
                <w:sz w:val="28"/>
                <w:szCs w:val="28"/>
                <w:lang w:val="zh-CN"/>
              </w:rPr>
            </w:pPr>
            <w:r>
              <w:rPr>
                <w:rFonts w:hint="eastAsia" w:ascii="仿宋_GB2312" w:hAnsi="仿宋_GB2312" w:eastAsia="仿宋_GB2312" w:cs="仿宋_GB2312"/>
                <w:color w:val="auto"/>
                <w:kern w:val="0"/>
                <w:sz w:val="28"/>
                <w:szCs w:val="28"/>
                <w:lang w:val="zh-CN"/>
              </w:rPr>
              <w:t>小写：</w:t>
            </w:r>
          </w:p>
          <w:p>
            <w:pPr>
              <w:pStyle w:val="13"/>
              <w:rPr>
                <w:rFonts w:hint="eastAsia" w:ascii="仿宋_GB2312" w:hAnsi="仿宋_GB2312" w:eastAsia="仿宋_GB2312" w:cs="仿宋_GB2312"/>
                <w:color w:val="auto"/>
                <w:sz w:val="28"/>
                <w:szCs w:val="28"/>
                <w:lang w:val="zh-CN"/>
              </w:rPr>
            </w:pP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大写</w:t>
            </w:r>
            <w:r>
              <w:rPr>
                <w:rFonts w:hint="eastAsia" w:ascii="仿宋_GB2312" w:hAnsi="仿宋_GB2312" w:eastAsia="仿宋_GB2312" w:cs="仿宋_GB2312"/>
                <w:color w:val="auto"/>
                <w:sz w:val="28"/>
                <w:szCs w:val="28"/>
              </w:rPr>
              <w:t>：</w:t>
            </w:r>
          </w:p>
          <w:p>
            <w:pPr>
              <w:autoSpaceDE w:val="0"/>
              <w:autoSpaceDN w:val="0"/>
              <w:spacing w:line="36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单位：元（保留到元）</w:t>
            </w:r>
          </w:p>
        </w:tc>
      </w:tr>
    </w:tbl>
    <w:p>
      <w:pPr>
        <w:autoSpaceDE w:val="0"/>
        <w:autoSpaceDN w:val="0"/>
        <w:spacing w:line="240" w:lineRule="auto"/>
        <w:ind w:firstLine="480"/>
        <w:rPr>
          <w:rFonts w:hint="eastAsia" w:ascii="宋体" w:hAnsi="宋体" w:eastAsia="宋体" w:cs="宋体"/>
          <w:b/>
          <w:bCs/>
          <w:color w:val="auto"/>
          <w:kern w:val="0"/>
          <w:sz w:val="21"/>
          <w:szCs w:val="21"/>
        </w:rPr>
      </w:pPr>
    </w:p>
    <w:p>
      <w:pPr>
        <w:autoSpaceDE w:val="0"/>
        <w:autoSpaceDN w:val="0"/>
        <w:spacing w:line="240" w:lineRule="auto"/>
        <w:ind w:firstLine="480"/>
        <w:rPr>
          <w:rFonts w:hint="eastAsia" w:ascii="宋体" w:hAnsi="宋体" w:eastAsia="宋体" w:cs="宋体"/>
          <w:color w:val="auto"/>
          <w:kern w:val="0"/>
          <w:sz w:val="21"/>
          <w:szCs w:val="21"/>
          <w:lang w:val="zh-CN"/>
        </w:rPr>
      </w:pPr>
      <w:r>
        <w:rPr>
          <w:rFonts w:hint="eastAsia" w:ascii="宋体" w:hAnsi="宋体" w:eastAsia="宋体" w:cs="宋体"/>
          <w:b/>
          <w:bCs/>
          <w:color w:val="auto"/>
          <w:kern w:val="0"/>
          <w:sz w:val="21"/>
          <w:szCs w:val="21"/>
        </w:rPr>
        <w:t>备注</w:t>
      </w:r>
      <w:r>
        <w:rPr>
          <w:rFonts w:hint="eastAsia" w:ascii="宋体" w:hAnsi="宋体" w:eastAsia="宋体" w:cs="宋体"/>
          <w:b/>
          <w:bCs/>
          <w:color w:val="auto"/>
          <w:kern w:val="0"/>
          <w:sz w:val="21"/>
          <w:szCs w:val="21"/>
          <w:lang w:val="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val="zh-CN"/>
        </w:rPr>
        <w:t>“磋商报价”为磋商总价。磋商</w:t>
      </w:r>
      <w:r>
        <w:rPr>
          <w:rFonts w:ascii="宋体" w:hAnsi="宋体" w:eastAsia="宋体" w:cs="宋体"/>
          <w:color w:val="auto"/>
          <w:kern w:val="0"/>
          <w:sz w:val="21"/>
          <w:szCs w:val="21"/>
          <w:lang w:val="zh-CN"/>
        </w:rPr>
        <w:t>报价必须包括</w:t>
      </w:r>
      <w:r>
        <w:rPr>
          <w:rFonts w:hint="eastAsia" w:ascii="宋体" w:hAnsi="宋体" w:eastAsia="宋体" w:cs="宋体"/>
          <w:color w:val="auto"/>
          <w:kern w:val="0"/>
          <w:sz w:val="21"/>
          <w:szCs w:val="21"/>
          <w:lang w:val="zh-CN"/>
        </w:rPr>
        <w:t>本项目所需</w:t>
      </w:r>
      <w:r>
        <w:rPr>
          <w:rFonts w:ascii="宋体" w:hAnsi="宋体" w:eastAsia="宋体" w:cs="宋体"/>
          <w:color w:val="auto"/>
          <w:kern w:val="0"/>
          <w:sz w:val="21"/>
          <w:szCs w:val="21"/>
          <w:lang w:val="zh-CN"/>
        </w:rPr>
        <w:t>全部费用</w:t>
      </w:r>
      <w:r>
        <w:rPr>
          <w:rFonts w:hint="eastAsia" w:ascii="宋体" w:hAnsi="宋体" w:eastAsia="宋体" w:cs="宋体"/>
          <w:color w:val="auto"/>
          <w:kern w:val="0"/>
          <w:sz w:val="21"/>
          <w:szCs w:val="21"/>
          <w:lang w:val="zh-CN"/>
        </w:rPr>
        <w:t>。</w:t>
      </w:r>
    </w:p>
    <w:p>
      <w:pPr>
        <w:autoSpaceDE w:val="0"/>
        <w:autoSpaceDN w:val="0"/>
        <w:spacing w:line="240" w:lineRule="auto"/>
        <w:ind w:firstLine="480"/>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2、该报价须与标书信息确认中的报价一致，如不一致，以标书信息确认中的报价为准，请各供应商仔细填写。</w:t>
      </w:r>
    </w:p>
    <w:p>
      <w:pPr>
        <w:autoSpaceDE w:val="0"/>
        <w:autoSpaceDN w:val="0"/>
        <w:spacing w:line="240" w:lineRule="auto"/>
        <w:ind w:firstLine="1065" w:firstLineChars="500"/>
        <w:rPr>
          <w:rFonts w:ascii="宋体" w:hAnsi="宋体" w:eastAsia="宋体" w:cs="宋体"/>
          <w:color w:val="auto"/>
          <w:sz w:val="21"/>
          <w:szCs w:val="21"/>
        </w:rPr>
      </w:pPr>
    </w:p>
    <w:p>
      <w:pPr>
        <w:spacing w:line="440" w:lineRule="exact"/>
        <w:ind w:right="560"/>
        <w:jc w:val="right"/>
        <w:rPr>
          <w:rFonts w:ascii="仿宋" w:hAnsi="仿宋" w:eastAsia="仿宋"/>
          <w:color w:val="auto"/>
          <w:sz w:val="24"/>
          <w:szCs w:val="24"/>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color w:val="auto"/>
          <w:sz w:val="32"/>
          <w:szCs w:val="32"/>
          <w:lang w:val="en-US" w:eastAsia="zh-CN"/>
        </w:rPr>
        <w:t xml:space="preserve">  </w:t>
      </w:r>
    </w:p>
    <w:p>
      <w:pPr>
        <w:spacing w:line="500" w:lineRule="exact"/>
        <w:ind w:firstLine="566" w:firstLineChars="200"/>
        <w:rPr>
          <w:rFonts w:ascii="华文仿宋" w:hAnsi="华文仿宋" w:cs="华文仿宋"/>
          <w:b/>
          <w:color w:val="auto"/>
        </w:rPr>
      </w:pPr>
    </w:p>
    <w:bookmarkEnd w:id="391"/>
    <w:p>
      <w:pPr>
        <w:rPr>
          <w:rFonts w:ascii="宋体" w:hAnsi="宋体"/>
          <w:b/>
          <w:bCs/>
          <w:color w:val="auto"/>
          <w:sz w:val="32"/>
          <w:szCs w:val="32"/>
        </w:rPr>
      </w:pPr>
      <w:r>
        <w:rPr>
          <w:rFonts w:ascii="华文仿宋" w:hAnsi="华文仿宋" w:cs="华文仿宋"/>
          <w:b w:val="0"/>
          <w:color w:val="auto"/>
          <w:sz w:val="28"/>
          <w:szCs w:val="28"/>
        </w:rPr>
        <w:br w:type="page"/>
      </w:r>
    </w:p>
    <w:p>
      <w:pPr>
        <w:spacing w:line="240" w:lineRule="auto"/>
        <w:jc w:val="center"/>
        <w:rPr>
          <w:rFonts w:hint="eastAsia" w:ascii="仿宋_GB2312" w:hAnsi="仿宋_GB2312" w:eastAsia="仿宋_GB2312" w:cs="仿宋_GB2312"/>
          <w:b/>
          <w:color w:val="auto"/>
        </w:rPr>
      </w:pPr>
      <w:r>
        <w:rPr>
          <w:rFonts w:hint="eastAsia" w:ascii="仿宋_GB2312" w:hAnsi="仿宋_GB2312" w:eastAsia="仿宋_GB2312" w:cs="仿宋_GB2312"/>
          <w:b/>
          <w:bCs/>
          <w:color w:val="auto"/>
          <w:sz w:val="32"/>
          <w:szCs w:val="32"/>
        </w:rPr>
        <w:t>分项报价表（样表）</w:t>
      </w:r>
      <w:r>
        <w:rPr>
          <w:rFonts w:hint="eastAsia" w:ascii="仿宋_GB2312" w:hAnsi="仿宋_GB2312" w:eastAsia="仿宋_GB2312" w:cs="仿宋_GB2312"/>
          <w:b/>
          <w:color w:val="auto"/>
        </w:rPr>
        <w:tab/>
      </w:r>
    </w:p>
    <w:tbl>
      <w:tblPr>
        <w:tblStyle w:val="21"/>
        <w:tblW w:w="9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1855"/>
        <w:gridCol w:w="1625"/>
        <w:gridCol w:w="1342"/>
        <w:gridCol w:w="1833"/>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392" w:name="_Toc32361"/>
            <w:bookmarkStart w:id="393" w:name="_Toc11855"/>
            <w:bookmarkStart w:id="394" w:name="_Toc1934"/>
            <w:bookmarkStart w:id="395" w:name="_Toc16723"/>
            <w:bookmarkStart w:id="396" w:name="_Toc22090"/>
            <w:bookmarkStart w:id="397" w:name="_Toc26257"/>
            <w:bookmarkStart w:id="398" w:name="_Toc28408"/>
            <w:bookmarkStart w:id="399" w:name="_Toc18433"/>
            <w:bookmarkStart w:id="400" w:name="_Toc11534"/>
            <w:r>
              <w:rPr>
                <w:rFonts w:hint="eastAsia" w:ascii="仿宋_GB2312" w:hAnsi="仿宋_GB2312" w:eastAsia="仿宋_GB2312" w:cs="仿宋_GB2312"/>
                <w:bCs w:val="0"/>
                <w:color w:val="auto"/>
                <w:sz w:val="24"/>
                <w:szCs w:val="24"/>
              </w:rPr>
              <w:t>序号</w:t>
            </w:r>
            <w:bookmarkEnd w:id="392"/>
            <w:bookmarkEnd w:id="393"/>
            <w:bookmarkEnd w:id="394"/>
            <w:bookmarkEnd w:id="395"/>
            <w:bookmarkEnd w:id="396"/>
            <w:bookmarkEnd w:id="397"/>
            <w:bookmarkEnd w:id="398"/>
            <w:bookmarkEnd w:id="399"/>
            <w:bookmarkEnd w:id="400"/>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服务项目</w:t>
            </w: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单价</w:t>
            </w: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数量</w:t>
            </w: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小计</w:t>
            </w: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r>
              <w:rPr>
                <w:rFonts w:hint="eastAsia" w:ascii="仿宋_GB2312" w:hAnsi="仿宋_GB2312" w:eastAsia="仿宋_GB2312" w:cs="仿宋_GB2312"/>
                <w:bCs w:val="0"/>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bookmarkStart w:id="401" w:name="_Toc31519"/>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2" w:type="dxa"/>
            <w:vAlign w:val="center"/>
          </w:tcPr>
          <w:p>
            <w:pPr>
              <w:pStyle w:val="41"/>
              <w:widowControl w:val="0"/>
              <w:rPr>
                <w:rFonts w:hint="eastAsia" w:ascii="仿宋_GB2312" w:hAnsi="仿宋_GB2312" w:eastAsia="仿宋_GB2312" w:cs="仿宋_GB2312"/>
                <w:bCs w:val="0"/>
                <w:color w:val="auto"/>
                <w:sz w:val="24"/>
                <w:szCs w:val="24"/>
              </w:rPr>
            </w:pPr>
          </w:p>
        </w:tc>
        <w:tc>
          <w:tcPr>
            <w:tcW w:w="185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625"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42" w:type="dxa"/>
            <w:vAlign w:val="center"/>
          </w:tcPr>
          <w:p>
            <w:pPr>
              <w:pStyle w:val="41"/>
              <w:widowControl w:val="0"/>
              <w:spacing w:line="300" w:lineRule="exact"/>
              <w:rPr>
                <w:rFonts w:hint="eastAsia" w:ascii="仿宋_GB2312" w:hAnsi="仿宋_GB2312" w:eastAsia="仿宋_GB2312" w:cs="仿宋_GB2312"/>
                <w:bCs w:val="0"/>
                <w:color w:val="auto"/>
                <w:sz w:val="24"/>
                <w:szCs w:val="24"/>
                <w:lang w:val="en-US" w:eastAsia="zh-CN"/>
              </w:rPr>
            </w:pPr>
          </w:p>
        </w:tc>
        <w:tc>
          <w:tcPr>
            <w:tcW w:w="1833"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c>
          <w:tcPr>
            <w:tcW w:w="1352" w:type="dxa"/>
            <w:vAlign w:val="center"/>
          </w:tcPr>
          <w:p>
            <w:pPr>
              <w:pStyle w:val="41"/>
              <w:widowControl w:val="0"/>
              <w:rPr>
                <w:rFonts w:hint="eastAsia" w:ascii="仿宋_GB2312" w:hAnsi="仿宋_GB2312" w:eastAsia="仿宋_GB2312" w:cs="仿宋_GB2312"/>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vAlign w:val="center"/>
          </w:tcPr>
          <w:p>
            <w:pPr>
              <w:pStyle w:val="41"/>
              <w:widowControl w:val="0"/>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color w:val="auto"/>
                <w:sz w:val="24"/>
                <w:szCs w:val="24"/>
                <w:lang w:val="en-US" w:eastAsia="zh-CN"/>
              </w:rPr>
              <w:t>合计</w:t>
            </w:r>
            <w:bookmarkEnd w:id="401"/>
          </w:p>
        </w:tc>
        <w:tc>
          <w:tcPr>
            <w:tcW w:w="8007" w:type="dxa"/>
            <w:gridSpan w:val="5"/>
            <w:vAlign w:val="center"/>
          </w:tcPr>
          <w:p>
            <w:pPr>
              <w:widowControl w:val="0"/>
              <w:autoSpaceDE w:val="0"/>
              <w:autoSpaceDN w:val="0"/>
              <w:spacing w:line="240" w:lineRule="auto"/>
              <w:rPr>
                <w:rFonts w:hint="eastAsia" w:ascii="仿宋_GB2312" w:hAnsi="仿宋_GB2312" w:eastAsia="仿宋_GB2312" w:cs="仿宋_GB2312"/>
                <w:color w:val="auto"/>
                <w:sz w:val="24"/>
                <w:szCs w:val="24"/>
                <w:lang w:val="zh-CN"/>
              </w:rPr>
            </w:pPr>
            <w:r>
              <w:rPr>
                <w:rFonts w:hint="eastAsia" w:ascii="仿宋_GB2312" w:hAnsi="仿宋_GB2312" w:eastAsia="仿宋_GB2312" w:cs="仿宋_GB2312"/>
                <w:color w:val="auto"/>
                <w:sz w:val="24"/>
                <w:szCs w:val="24"/>
                <w:lang w:val="zh-CN"/>
              </w:rPr>
              <w:t>小写：</w:t>
            </w:r>
          </w:p>
          <w:p>
            <w:pPr>
              <w:pStyle w:val="41"/>
              <w:widowControl w:val="0"/>
              <w:jc w:val="left"/>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sz w:val="24"/>
                <w:szCs w:val="24"/>
              </w:rPr>
              <w:t xml:space="preserve">                                 </w:t>
            </w:r>
            <w:bookmarkStart w:id="402" w:name="_Toc17991"/>
            <w:bookmarkStart w:id="403" w:name="_Toc7253"/>
            <w:bookmarkStart w:id="404" w:name="_Toc22162"/>
            <w:bookmarkStart w:id="405" w:name="_Toc28010"/>
            <w:bookmarkStart w:id="406" w:name="_Toc10552"/>
            <w:bookmarkStart w:id="407" w:name="_Toc8004"/>
            <w:bookmarkStart w:id="408" w:name="_Toc31429"/>
            <w:r>
              <w:rPr>
                <w:rFonts w:hint="eastAsia" w:ascii="仿宋_GB2312" w:hAnsi="仿宋_GB2312" w:eastAsia="仿宋_GB2312" w:cs="仿宋_GB2312"/>
                <w:b w:val="0"/>
                <w:bCs w:val="0"/>
                <w:color w:val="auto"/>
                <w:sz w:val="24"/>
                <w:szCs w:val="24"/>
              </w:rPr>
              <w:t>单位：元（保留到元）</w:t>
            </w:r>
            <w:bookmarkEnd w:id="402"/>
            <w:bookmarkEnd w:id="403"/>
            <w:bookmarkEnd w:id="404"/>
            <w:bookmarkEnd w:id="405"/>
            <w:bookmarkEnd w:id="406"/>
            <w:bookmarkEnd w:id="407"/>
            <w:bookmarkEnd w:id="408"/>
          </w:p>
        </w:tc>
      </w:tr>
    </w:tbl>
    <w:p>
      <w:pPr>
        <w:tabs>
          <w:tab w:val="right" w:pos="9072"/>
        </w:tabs>
        <w:spacing w:line="500" w:lineRule="exact"/>
        <w:ind w:firstLine="566" w:firstLineChars="200"/>
        <w:jc w:val="right"/>
        <w:rPr>
          <w:rFonts w:ascii="仿宋" w:hAnsi="仿宋" w:eastAsia="仿宋"/>
          <w:b/>
          <w:color w:val="auto"/>
        </w:rPr>
      </w:pPr>
    </w:p>
    <w:p>
      <w:pPr>
        <w:tabs>
          <w:tab w:val="right" w:pos="9072"/>
        </w:tabs>
        <w:spacing w:line="240" w:lineRule="auto"/>
        <w:ind w:firstLine="243" w:firstLineChars="1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备注：1、本表“</w:t>
      </w:r>
      <w:r>
        <w:rPr>
          <w:rFonts w:hint="eastAsia" w:ascii="仿宋_GB2312" w:hAnsi="仿宋_GB2312" w:eastAsia="仿宋_GB2312" w:cs="仿宋_GB2312"/>
          <w:color w:val="auto"/>
          <w:sz w:val="24"/>
          <w:szCs w:val="24"/>
          <w:lang w:val="en-US" w:eastAsia="zh-CN"/>
        </w:rPr>
        <w:t>合计</w:t>
      </w:r>
      <w:r>
        <w:rPr>
          <w:rFonts w:hint="eastAsia" w:ascii="仿宋_GB2312" w:hAnsi="仿宋_GB2312" w:eastAsia="仿宋_GB2312" w:cs="仿宋_GB2312"/>
          <w:color w:val="auto"/>
          <w:sz w:val="24"/>
          <w:szCs w:val="24"/>
        </w:rPr>
        <w:t>”金额应与“第一次磋商报价表”中的“磋商报价”一致；</w:t>
      </w:r>
    </w:p>
    <w:p>
      <w:pPr>
        <w:tabs>
          <w:tab w:val="right" w:pos="9072"/>
        </w:tabs>
        <w:spacing w:line="240" w:lineRule="auto"/>
        <w:ind w:firstLine="972" w:firstLineChars="4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2、本表为样表，仅供参考，供应商根据项目实际需求进行填写</w:t>
      </w:r>
      <w:r>
        <w:rPr>
          <w:rFonts w:hint="eastAsia" w:ascii="仿宋_GB2312" w:hAnsi="仿宋_GB2312" w:eastAsia="仿宋_GB2312" w:cs="仿宋_GB2312"/>
          <w:color w:val="auto"/>
          <w:sz w:val="24"/>
          <w:szCs w:val="24"/>
          <w:lang w:eastAsia="zh-CN"/>
        </w:rPr>
        <w:t>；</w:t>
      </w:r>
    </w:p>
    <w:p>
      <w:pPr>
        <w:tabs>
          <w:tab w:val="right" w:pos="9072"/>
        </w:tabs>
        <w:spacing w:line="240" w:lineRule="auto"/>
        <w:ind w:firstLine="972" w:firstLineChars="400"/>
        <w:rPr>
          <w:rFonts w:hint="eastAsia" w:ascii="仿宋_GB2312" w:hAnsi="仿宋_GB2312" w:eastAsia="仿宋_GB2312" w:cs="仿宋_GB2312"/>
          <w:b/>
          <w:bCs/>
          <w:color w:val="auto"/>
          <w:sz w:val="24"/>
          <w:szCs w:val="24"/>
          <w:lang w:val="en-US" w:eastAsia="zh-CN"/>
        </w:rPr>
      </w:pPr>
      <w:r>
        <w:rPr>
          <w:rFonts w:hint="eastAsia" w:ascii="仿宋_GB2312" w:hAnsi="仿宋_GB2312" w:eastAsia="仿宋_GB2312" w:cs="仿宋_GB2312"/>
          <w:b/>
          <w:bCs/>
          <w:color w:val="auto"/>
          <w:sz w:val="24"/>
          <w:szCs w:val="24"/>
          <w:lang w:val="en-US" w:eastAsia="zh-CN"/>
        </w:rPr>
        <w:t>3、人员工资不得低于2023年度汉中市汉台区最低工资标准。</w:t>
      </w: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486" w:firstLineChars="200"/>
        <w:rPr>
          <w:rFonts w:ascii="华文仿宋" w:hAnsi="华文仿宋" w:cs="华文仿宋"/>
          <w:color w:val="auto"/>
          <w:sz w:val="24"/>
          <w:szCs w:val="24"/>
        </w:rPr>
      </w:pPr>
    </w:p>
    <w:p>
      <w:pPr>
        <w:tabs>
          <w:tab w:val="right" w:pos="9072"/>
        </w:tabs>
        <w:spacing w:line="500" w:lineRule="exact"/>
        <w:ind w:firstLine="646" w:firstLineChars="200"/>
        <w:rPr>
          <w:rFonts w:ascii="华文仿宋" w:hAnsi="华文仿宋" w:cs="华文仿宋"/>
          <w:b/>
          <w:color w:val="auto"/>
          <w:sz w:val="32"/>
          <w:szCs w:val="32"/>
        </w:rPr>
      </w:pPr>
    </w:p>
    <w:p>
      <w:pPr>
        <w:spacing w:line="500" w:lineRule="exact"/>
        <w:ind w:firstLine="5491" w:firstLineChars="17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供应商：</w:t>
      </w:r>
      <w:r>
        <w:rPr>
          <w:rFonts w:hint="eastAsia" w:ascii="仿宋_GB2312" w:hAnsi="仿宋_GB2312" w:eastAsia="仿宋_GB2312" w:cs="仿宋_GB2312"/>
          <w:color w:val="auto"/>
          <w:sz w:val="32"/>
          <w:szCs w:val="32"/>
          <w:u w:val="single"/>
        </w:rPr>
        <w:t>名称</w:t>
      </w:r>
      <w:r>
        <w:rPr>
          <w:rFonts w:hint="eastAsia" w:ascii="仿宋_GB2312" w:hAnsi="仿宋_GB2312" w:eastAsia="仿宋_GB2312" w:cs="仿宋_GB2312"/>
          <w:color w:val="auto"/>
          <w:sz w:val="32"/>
          <w:szCs w:val="32"/>
        </w:rPr>
        <w:t>（加盖公章）</w:t>
      </w:r>
    </w:p>
    <w:p>
      <w:pPr>
        <w:tabs>
          <w:tab w:val="right" w:pos="9070"/>
        </w:tabs>
        <w:spacing w:line="500" w:lineRule="exact"/>
        <w:ind w:firstLine="5491" w:firstLineChars="170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日期：　　年　月　日</w:t>
      </w:r>
      <w:r>
        <w:rPr>
          <w:rFonts w:hint="eastAsia" w:ascii="仿宋_GB2312" w:hAnsi="仿宋_GB2312" w:eastAsia="仿宋_GB2312" w:cs="仿宋_GB2312"/>
          <w:bCs/>
          <w:color w:val="auto"/>
          <w:sz w:val="32"/>
          <w:szCs w:val="32"/>
        </w:rPr>
        <w:tab/>
      </w:r>
      <w:r>
        <w:rPr>
          <w:rFonts w:hint="eastAsia" w:ascii="仿宋_GB2312" w:hAnsi="仿宋_GB2312" w:eastAsia="仿宋_GB2312" w:cs="仿宋_GB2312"/>
          <w:bCs/>
          <w:color w:val="auto"/>
          <w:sz w:val="32"/>
          <w:szCs w:val="32"/>
        </w:rPr>
        <w:t xml:space="preserve">  </w:t>
      </w:r>
    </w:p>
    <w:p>
      <w:pPr>
        <w:tabs>
          <w:tab w:val="right" w:pos="9070"/>
        </w:tabs>
        <w:spacing w:line="500" w:lineRule="exact"/>
        <w:rPr>
          <w:rFonts w:ascii="华文仿宋" w:hAnsi="华文仿宋" w:cs="华文仿宋"/>
          <w:bCs/>
          <w:color w:val="auto"/>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p>
    <w:p>
      <w:pPr>
        <w:rPr>
          <w:rFonts w:ascii="仿宋" w:hAnsi="仿宋" w:eastAsia="仿宋" w:cs="仿宋"/>
          <w:color w:val="auto"/>
          <w:sz w:val="32"/>
          <w:szCs w:val="32"/>
        </w:rPr>
      </w:pPr>
      <w:r>
        <w:rPr>
          <w:rFonts w:ascii="仿宋" w:hAnsi="仿宋" w:eastAsia="仿宋" w:cs="仿宋"/>
          <w:color w:val="auto"/>
          <w:sz w:val="32"/>
          <w:szCs w:val="32"/>
        </w:rPr>
        <w:br w:type="page"/>
      </w:r>
    </w:p>
    <w:p>
      <w:pPr>
        <w:pStyle w:val="41"/>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Cs w:val="0"/>
          <w:color w:val="auto"/>
          <w:sz w:val="32"/>
          <w:szCs w:val="32"/>
        </w:rPr>
      </w:pPr>
      <w:bookmarkStart w:id="409" w:name="_Toc2393"/>
      <w:bookmarkStart w:id="410" w:name="_Toc13309_WPSOffice_Level2"/>
      <w:bookmarkStart w:id="411" w:name="_Toc20416"/>
      <w:bookmarkStart w:id="412" w:name="_Toc26536_WPSOffice_Level2"/>
      <w:bookmarkStart w:id="413" w:name="_Toc13794"/>
      <w:bookmarkStart w:id="414" w:name="_Toc26668"/>
      <w:bookmarkStart w:id="415" w:name="_Toc1823_WPSOffice_Level2"/>
      <w:bookmarkStart w:id="416" w:name="_Toc9727_WPSOffice_Level2"/>
      <w:bookmarkStart w:id="417" w:name="_Toc18036_WPSOffice_Level2"/>
      <w:r>
        <w:rPr>
          <w:rFonts w:hint="eastAsia" w:ascii="仿宋_GB2312" w:hAnsi="仿宋_GB2312" w:eastAsia="仿宋_GB2312" w:cs="仿宋_GB2312"/>
          <w:bCs w:val="0"/>
          <w:color w:val="auto"/>
          <w:sz w:val="32"/>
          <w:szCs w:val="32"/>
        </w:rPr>
        <w:t>三、</w:t>
      </w:r>
      <w:bookmarkEnd w:id="409"/>
      <w:bookmarkEnd w:id="410"/>
      <w:bookmarkStart w:id="418" w:name="_Toc31081"/>
      <w:bookmarkStart w:id="419" w:name="_Toc4322"/>
      <w:r>
        <w:rPr>
          <w:rFonts w:hint="eastAsia" w:ascii="仿宋_GB2312" w:hAnsi="仿宋_GB2312" w:eastAsia="仿宋_GB2312" w:cs="仿宋_GB2312"/>
          <w:bCs w:val="0"/>
          <w:color w:val="auto"/>
          <w:sz w:val="32"/>
          <w:szCs w:val="32"/>
        </w:rPr>
        <w:t>供应商参加政府采购活动承诺书</w:t>
      </w:r>
      <w:bookmarkEnd w:id="411"/>
      <w:bookmarkEnd w:id="418"/>
      <w:bookmarkEnd w:id="419"/>
    </w:p>
    <w:bookmarkEnd w:id="412"/>
    <w:bookmarkEnd w:id="413"/>
    <w:bookmarkEnd w:id="414"/>
    <w:bookmarkEnd w:id="415"/>
    <w:bookmarkEnd w:id="416"/>
    <w:bookmarkEnd w:id="417"/>
    <w:p>
      <w:pPr>
        <w:pageBreakBefore w:val="0"/>
        <w:widowControl/>
        <w:kinsoku/>
        <w:wordWrap/>
        <w:overflowPunct/>
        <w:topLinePunct w:val="0"/>
        <w:autoSpaceDE/>
        <w:autoSpaceDN/>
        <w:bidi w:val="0"/>
        <w:adjustRightInd/>
        <w:snapToGrid/>
        <w:spacing w:before="190" w:beforeLines="50" w:line="560" w:lineRule="exact"/>
        <w:ind w:firstLine="566" w:firstLineChars="200"/>
        <w:jc w:val="center"/>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
          <w:bCs/>
          <w:color w:val="auto"/>
          <w:sz w:val="28"/>
          <w:szCs w:val="28"/>
        </w:rPr>
        <w:t>拒绝政府采购领域商业贿赂承诺书</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为响应党中央、国务院关于治理政府采购领域商业贿赂行为的号召，我公司在此庄严承诺：</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1、在参与政府采购活动中遵纪守法、诚信经营、公平竞标。</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2、不向政府采购人、采购代理机构和政府采购评审专家进行任何形式的商业贿赂以谋取交易机会。</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3、不向政府采购代理机构和采购人提供虚假资质文件或采用虚假应标方式参与政府采购市场竞争并谋取中标、成交。</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4、不采取“围标、陪标”等商业欺诈手段获得政府采购定单。</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5、不采取不正当手段诋毁、排挤其他供应商。</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6、不在提供商品和服务时“偷梁换柱、以次充好”损害采购人的合法权益。</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7、不与采购人、采购代理机构政府采购评审专家或其它供应商恶意串通，进行质疑和投诉，维护政府采购市场秩序。</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8、尊重和接受政府采购监督管理部门的监督和政府采购代理机构招标采购要求，承担因违约行为给采购人造成的损失。</w:t>
      </w:r>
    </w:p>
    <w:p>
      <w:pPr>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9、不发生其他有悖于政府采购公开、公平、公正和诚信原则的行为。</w:t>
      </w:r>
    </w:p>
    <w:p>
      <w:pPr>
        <w:pStyle w:val="19"/>
        <w:pageBreakBefore w:val="0"/>
        <w:widowControl/>
        <w:kinsoku/>
        <w:wordWrap/>
        <w:overflowPunct/>
        <w:topLinePunct w:val="0"/>
        <w:autoSpaceDE/>
        <w:autoSpaceDN/>
        <w:bidi w:val="0"/>
        <w:adjustRightInd/>
        <w:snapToGrid/>
        <w:spacing w:line="560" w:lineRule="exact"/>
        <w:ind w:firstLine="183"/>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ind w:firstLine="5377" w:firstLineChars="1900"/>
        <w:textAlignment w:val="auto"/>
        <w:rPr>
          <w:rFonts w:hint="eastAsia" w:ascii="仿宋_GB2312" w:hAnsi="仿宋_GB2312" w:eastAsia="仿宋_GB2312" w:cs="仿宋_GB2312"/>
          <w:color w:val="auto"/>
          <w:sz w:val="28"/>
          <w:szCs w:val="28"/>
        </w:rPr>
      </w:pPr>
    </w:p>
    <w:p>
      <w:pPr>
        <w:pageBreakBefore w:val="0"/>
        <w:widowControl/>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pageBreakBefore w:val="0"/>
        <w:widowControl/>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spacing w:line="500" w:lineRule="exact"/>
        <w:rPr>
          <w:rFonts w:ascii="仿宋" w:hAnsi="仿宋" w:eastAsia="仿宋"/>
          <w:b/>
          <w:color w:val="auto"/>
          <w:sz w:val="32"/>
          <w:szCs w:val="32"/>
        </w:rPr>
      </w:pPr>
      <w:r>
        <w:rPr>
          <w:rFonts w:hint="eastAsia"/>
          <w:color w:val="auto"/>
        </w:rPr>
        <w:br w:type="page"/>
      </w:r>
      <w:bookmarkStart w:id="420" w:name="_Toc16564_WPSOffice_Level2"/>
      <w:bookmarkStart w:id="421" w:name="_Toc27976_WPSOffice_Level2"/>
      <w:bookmarkStart w:id="422" w:name="_Toc10928_WPSOffice_Level2"/>
      <w:bookmarkStart w:id="423" w:name="_Toc16442_WPSOffice_Level2"/>
      <w:r>
        <w:rPr>
          <w:rFonts w:hint="eastAsia" w:ascii="仿宋" w:hAnsi="仿宋" w:eastAsia="仿宋" w:cs="仿宋"/>
          <w:b/>
          <w:color w:val="auto"/>
          <w:sz w:val="32"/>
          <w:szCs w:val="32"/>
          <w:lang w:val="en-US" w:eastAsia="zh-CN"/>
        </w:rPr>
        <w:t>四</w:t>
      </w:r>
      <w:r>
        <w:rPr>
          <w:rFonts w:hint="eastAsia" w:ascii="仿宋" w:hAnsi="仿宋" w:eastAsia="仿宋" w:cs="仿宋"/>
          <w:b/>
          <w:color w:val="auto"/>
          <w:sz w:val="32"/>
          <w:szCs w:val="32"/>
        </w:rPr>
        <w:t>、</w:t>
      </w:r>
      <w:r>
        <w:rPr>
          <w:rFonts w:ascii="仿宋" w:hAnsi="仿宋" w:eastAsia="仿宋"/>
          <w:b/>
          <w:color w:val="auto"/>
          <w:sz w:val="32"/>
          <w:szCs w:val="32"/>
        </w:rPr>
        <w:t>技术</w:t>
      </w:r>
      <w:r>
        <w:rPr>
          <w:rFonts w:hint="eastAsia" w:ascii="仿宋" w:hAnsi="仿宋" w:eastAsia="仿宋"/>
          <w:b/>
          <w:color w:val="auto"/>
          <w:sz w:val="32"/>
          <w:szCs w:val="32"/>
        </w:rPr>
        <w:t>服务偏差表</w:t>
      </w:r>
      <w:bookmarkEnd w:id="420"/>
      <w:bookmarkEnd w:id="421"/>
      <w:bookmarkEnd w:id="422"/>
      <w:bookmarkEnd w:id="423"/>
    </w:p>
    <w:tbl>
      <w:tblPr>
        <w:tblStyle w:val="20"/>
        <w:tblW w:w="86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423"/>
        <w:gridCol w:w="2599"/>
        <w:gridCol w:w="1375"/>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9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1423"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磋商文件要求</w:t>
            </w:r>
          </w:p>
        </w:tc>
        <w:tc>
          <w:tcPr>
            <w:tcW w:w="2599"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响应文件响应条款</w:t>
            </w:r>
          </w:p>
        </w:tc>
        <w:tc>
          <w:tcPr>
            <w:tcW w:w="1375"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bCs/>
                <w:color w:val="auto"/>
                <w:sz w:val="28"/>
                <w:szCs w:val="28"/>
              </w:rPr>
              <w:t>偏离程度</w:t>
            </w:r>
          </w:p>
        </w:tc>
        <w:tc>
          <w:tcPr>
            <w:tcW w:w="2350" w:type="dxa"/>
            <w:shd w:val="clear" w:color="auto" w:fill="D8D8D8"/>
            <w:vAlign w:val="center"/>
          </w:tcPr>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偏离简述</w:t>
            </w:r>
          </w:p>
          <w:p>
            <w:pPr>
              <w:spacing w:line="320" w:lineRule="exact"/>
              <w:jc w:val="center"/>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或相关证明材料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90" w:type="dxa"/>
            <w:vAlign w:val="center"/>
          </w:tcPr>
          <w:p>
            <w:pPr>
              <w:spacing w:line="44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1423" w:type="dxa"/>
            <w:vAlign w:val="center"/>
          </w:tcPr>
          <w:p>
            <w:pPr>
              <w:spacing w:line="440" w:lineRule="exact"/>
              <w:rPr>
                <w:rFonts w:hint="eastAsia" w:ascii="仿宋_GB2312" w:hAnsi="仿宋_GB2312" w:eastAsia="仿宋_GB2312" w:cs="仿宋_GB2312"/>
                <w:color w:val="auto"/>
                <w:sz w:val="28"/>
                <w:szCs w:val="28"/>
              </w:rPr>
            </w:pPr>
          </w:p>
        </w:tc>
        <w:tc>
          <w:tcPr>
            <w:tcW w:w="2599" w:type="dxa"/>
            <w:vAlign w:val="center"/>
          </w:tcPr>
          <w:p>
            <w:pPr>
              <w:spacing w:line="440" w:lineRule="exact"/>
              <w:rPr>
                <w:rFonts w:hint="eastAsia" w:ascii="仿宋_GB2312" w:hAnsi="仿宋_GB2312" w:eastAsia="仿宋_GB2312" w:cs="仿宋_GB2312"/>
                <w:color w:val="auto"/>
                <w:sz w:val="28"/>
                <w:szCs w:val="28"/>
              </w:rPr>
            </w:pPr>
          </w:p>
        </w:tc>
        <w:tc>
          <w:tcPr>
            <w:tcW w:w="1375" w:type="dxa"/>
            <w:vAlign w:val="center"/>
          </w:tcPr>
          <w:p>
            <w:pPr>
              <w:spacing w:line="440" w:lineRule="exact"/>
              <w:rPr>
                <w:rFonts w:hint="eastAsia" w:ascii="仿宋_GB2312" w:hAnsi="仿宋_GB2312" w:eastAsia="仿宋_GB2312" w:cs="仿宋_GB2312"/>
                <w:color w:val="auto"/>
                <w:sz w:val="28"/>
                <w:szCs w:val="28"/>
              </w:rPr>
            </w:pPr>
          </w:p>
        </w:tc>
        <w:tc>
          <w:tcPr>
            <w:tcW w:w="2350" w:type="dxa"/>
            <w:vAlign w:val="center"/>
          </w:tcPr>
          <w:p>
            <w:pPr>
              <w:spacing w:line="440" w:lineRule="exact"/>
              <w:rPr>
                <w:rFonts w:hint="eastAsia" w:ascii="仿宋_GB2312" w:hAnsi="仿宋_GB2312" w:eastAsia="仿宋_GB2312" w:cs="仿宋_GB2312"/>
                <w:color w:val="auto"/>
                <w:sz w:val="28"/>
                <w:szCs w:val="28"/>
              </w:rPr>
            </w:pPr>
          </w:p>
        </w:tc>
      </w:tr>
    </w:tbl>
    <w:p>
      <w:pPr>
        <w:keepNext w:val="0"/>
        <w:keepLines w:val="0"/>
        <w:pageBreakBefore w:val="0"/>
        <w:widowControl/>
        <w:tabs>
          <w:tab w:val="right" w:pos="9070"/>
        </w:tabs>
        <w:kinsoku/>
        <w:wordWrap/>
        <w:overflowPunct/>
        <w:topLinePunct w:val="0"/>
        <w:autoSpaceDE/>
        <w:autoSpaceDN/>
        <w:bidi w:val="0"/>
        <w:adjustRightInd/>
        <w:snapToGrid/>
        <w:spacing w:line="240" w:lineRule="auto"/>
        <w:ind w:firstLine="486" w:firstLineChars="200"/>
        <w:textAlignment w:val="auto"/>
        <w:rPr>
          <w:rFonts w:hint="eastAsia" w:ascii="仿宋_GB2312" w:hAnsi="仿宋_GB2312" w:eastAsia="仿宋_GB2312" w:cs="仿宋_GB2312"/>
          <w:color w:val="auto"/>
          <w:sz w:val="24"/>
          <w:szCs w:val="24"/>
          <w:lang w:eastAsia="zh-CN"/>
        </w:rPr>
      </w:pPr>
      <w:bookmarkStart w:id="424" w:name="_Toc31624_WPSOffice_Level1"/>
      <w:bookmarkStart w:id="425" w:name="_Toc9021_WPSOffice_Level1"/>
      <w:bookmarkStart w:id="426" w:name="_Toc5795_WPSOffice_Level1"/>
      <w:r>
        <w:rPr>
          <w:rFonts w:hint="eastAsia" w:ascii="仿宋_GB2312" w:hAnsi="仿宋_GB2312" w:eastAsia="仿宋_GB2312" w:cs="仿宋_GB2312"/>
          <w:color w:val="auto"/>
          <w:sz w:val="24"/>
          <w:szCs w:val="24"/>
        </w:rPr>
        <w:t>备注：填写此表时以第三章“磋商内容及采购要求”各条款为基本响应要求，满足磋商文件要求的，“偏离程度”注明“0”，无需填写“偏离简述”项。超出、不满足磋商文件要求的，列出“</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lang w:val="en-US" w:eastAsia="zh-CN"/>
        </w:rPr>
        <w:t>－</w:t>
      </w:r>
      <w:r>
        <w:rPr>
          <w:rFonts w:hint="eastAsia" w:ascii="仿宋_GB2312" w:hAnsi="仿宋_GB2312" w:eastAsia="仿宋_GB2312" w:cs="仿宋_GB2312"/>
          <w:color w:val="auto"/>
          <w:sz w:val="24"/>
          <w:szCs w:val="24"/>
        </w:rPr>
        <w:t>”偏差，并在“偏离简述”项做出详细说明；如果加“★”内容的“响应条款”</w:t>
      </w:r>
      <w:r>
        <w:rPr>
          <w:rFonts w:hint="eastAsia" w:ascii="仿宋_GB2312" w:hAnsi="仿宋_GB2312" w:eastAsia="仿宋_GB2312" w:cs="仿宋_GB2312"/>
          <w:color w:val="auto"/>
          <w:sz w:val="24"/>
          <w:szCs w:val="24"/>
          <w:lang w:val="en-US" w:eastAsia="zh-CN"/>
        </w:rPr>
        <w:t>或</w:t>
      </w:r>
      <w:r>
        <w:rPr>
          <w:rFonts w:hint="eastAsia" w:ascii="仿宋_GB2312" w:hAnsi="仿宋_GB2312" w:eastAsia="仿宋_GB2312" w:cs="仿宋_GB2312"/>
          <w:color w:val="auto"/>
          <w:sz w:val="24"/>
          <w:szCs w:val="24"/>
        </w:rPr>
        <w:t>“偏离程度”项未填写，将视为该项指标未响应，投标无效</w:t>
      </w:r>
      <w:r>
        <w:rPr>
          <w:rFonts w:hint="eastAsia" w:ascii="仿宋_GB2312" w:hAnsi="仿宋_GB2312" w:eastAsia="仿宋_GB2312" w:cs="仿宋_GB2312"/>
          <w:color w:val="auto"/>
          <w:sz w:val="24"/>
          <w:szCs w:val="24"/>
          <w:lang w:eastAsia="zh-CN"/>
        </w:rPr>
        <w:t>。</w:t>
      </w:r>
    </w:p>
    <w:p>
      <w:pPr>
        <w:spacing w:line="240" w:lineRule="auto"/>
        <w:ind w:firstLine="426" w:firstLineChars="200"/>
        <w:rPr>
          <w:rFonts w:ascii="宋体" w:hAnsi="宋体" w:eastAsia="宋体" w:cs="宋体"/>
          <w:color w:val="auto"/>
          <w:sz w:val="21"/>
          <w:szCs w:val="21"/>
        </w:rPr>
      </w:pPr>
    </w:p>
    <w:p>
      <w:pPr>
        <w:spacing w:line="500" w:lineRule="exact"/>
        <w:ind w:firstLine="566" w:firstLineChars="200"/>
        <w:rPr>
          <w:color w:val="auto"/>
        </w:rPr>
      </w:pPr>
    </w:p>
    <w:p>
      <w:pPr>
        <w:spacing w:line="500" w:lineRule="exact"/>
        <w:ind w:firstLine="5094" w:firstLineChars="1800"/>
        <w:rPr>
          <w:rFonts w:hint="eastAsia" w:ascii="仿宋_GB2312" w:hAnsi="仿宋_GB2312" w:eastAsia="仿宋_GB2312" w:cs="仿宋_GB2312"/>
          <w:color w:val="auto"/>
        </w:rPr>
      </w:pPr>
      <w:r>
        <w:rPr>
          <w:rFonts w:hint="eastAsia" w:ascii="仿宋_GB2312" w:hAnsi="仿宋_GB2312" w:eastAsia="仿宋_GB2312" w:cs="仿宋_GB2312"/>
          <w:color w:val="auto"/>
        </w:rPr>
        <w:t>供应商：</w:t>
      </w:r>
      <w:r>
        <w:rPr>
          <w:rFonts w:hint="eastAsia" w:ascii="仿宋_GB2312" w:hAnsi="仿宋_GB2312" w:eastAsia="仿宋_GB2312" w:cs="仿宋_GB2312"/>
          <w:color w:val="auto"/>
          <w:u w:val="single"/>
        </w:rPr>
        <w:t>名称</w:t>
      </w:r>
      <w:r>
        <w:rPr>
          <w:rFonts w:hint="eastAsia" w:ascii="仿宋_GB2312" w:hAnsi="仿宋_GB2312" w:eastAsia="仿宋_GB2312" w:cs="仿宋_GB2312"/>
          <w:color w:val="auto"/>
        </w:rPr>
        <w:t>（加盖公章）</w:t>
      </w:r>
    </w:p>
    <w:p>
      <w:pPr>
        <w:tabs>
          <w:tab w:val="right" w:pos="9070"/>
        </w:tabs>
        <w:spacing w:line="500" w:lineRule="exact"/>
        <w:ind w:firstLine="5094" w:firstLineChars="1800"/>
        <w:rPr>
          <w:rFonts w:hint="eastAsia" w:ascii="仿宋_GB2312" w:hAnsi="仿宋_GB2312" w:eastAsia="仿宋_GB2312" w:cs="仿宋_GB2312"/>
          <w:bCs/>
          <w:color w:val="auto"/>
        </w:rPr>
      </w:pPr>
      <w:r>
        <w:rPr>
          <w:rFonts w:hint="eastAsia" w:ascii="仿宋_GB2312" w:hAnsi="仿宋_GB2312" w:eastAsia="仿宋_GB2312" w:cs="仿宋_GB2312"/>
          <w:color w:val="auto"/>
        </w:rPr>
        <w:t>日期：　　年　月　日</w:t>
      </w:r>
      <w:r>
        <w:rPr>
          <w:rFonts w:hint="eastAsia" w:ascii="仿宋_GB2312" w:hAnsi="仿宋_GB2312" w:eastAsia="仿宋_GB2312" w:cs="仿宋_GB2312"/>
          <w:bCs/>
          <w:color w:val="auto"/>
        </w:rPr>
        <w:tab/>
      </w:r>
    </w:p>
    <w:p>
      <w:pPr>
        <w:tabs>
          <w:tab w:val="right" w:pos="9070"/>
        </w:tabs>
        <w:spacing w:line="500" w:lineRule="exact"/>
        <w:ind w:firstLine="566" w:firstLineChars="200"/>
        <w:rPr>
          <w:rFonts w:ascii="仿宋" w:hAnsi="仿宋" w:eastAsia="仿宋"/>
          <w:bCs/>
          <w:color w:val="auto"/>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spacing w:line="240" w:lineRule="auto"/>
        <w:jc w:val="left"/>
        <w:rPr>
          <w:rFonts w:ascii="仿宋" w:hAnsi="仿宋" w:eastAsia="仿宋" w:cs="仿宋"/>
          <w:b/>
          <w:color w:val="auto"/>
          <w:sz w:val="32"/>
          <w:szCs w:val="32"/>
        </w:rPr>
      </w:pPr>
    </w:p>
    <w:p>
      <w:pPr>
        <w:rPr>
          <w:color w:val="auto"/>
        </w:rPr>
      </w:pPr>
      <w:r>
        <w:rPr>
          <w:rFonts w:ascii="仿宋" w:hAnsi="仿宋" w:eastAsia="仿宋" w:cs="仿宋"/>
          <w:b/>
          <w:color w:val="auto"/>
          <w:sz w:val="32"/>
          <w:szCs w:val="32"/>
        </w:rPr>
        <w:br w:type="page"/>
      </w:r>
    </w:p>
    <w:p>
      <w:pPr>
        <w:spacing w:line="240" w:lineRule="auto"/>
        <w:jc w:val="left"/>
        <w:rPr>
          <w:rFonts w:hint="eastAsia" w:ascii="仿宋_GB2312" w:hAnsi="仿宋_GB2312" w:eastAsia="仿宋_GB2312" w:cs="仿宋_GB2312"/>
          <w:bCs/>
          <w:color w:val="auto"/>
          <w:sz w:val="32"/>
          <w:szCs w:val="32"/>
        </w:rPr>
      </w:pPr>
      <w:r>
        <w:rPr>
          <w:rFonts w:hint="eastAsia" w:ascii="仿宋_GB2312" w:hAnsi="仿宋_GB2312" w:eastAsia="仿宋_GB2312" w:cs="仿宋_GB2312"/>
          <w:b/>
          <w:color w:val="auto"/>
          <w:sz w:val="32"/>
          <w:szCs w:val="32"/>
          <w:lang w:val="en-US" w:eastAsia="zh-CN"/>
        </w:rPr>
        <w:t>五</w:t>
      </w:r>
      <w:r>
        <w:rPr>
          <w:rFonts w:hint="eastAsia" w:ascii="仿宋_GB2312" w:hAnsi="仿宋_GB2312" w:eastAsia="仿宋_GB2312" w:cs="仿宋_GB2312"/>
          <w:b/>
          <w:color w:val="auto"/>
          <w:sz w:val="32"/>
          <w:szCs w:val="32"/>
        </w:rPr>
        <w:t>、合同</w:t>
      </w:r>
      <w:r>
        <w:rPr>
          <w:rFonts w:hint="eastAsia" w:ascii="仿宋_GB2312" w:hAnsi="仿宋_GB2312" w:eastAsia="仿宋_GB2312" w:cs="仿宋_GB2312"/>
          <w:b/>
          <w:color w:val="auto"/>
          <w:sz w:val="32"/>
          <w:szCs w:val="32"/>
          <w:lang w:val="en-US" w:eastAsia="zh-CN"/>
        </w:rPr>
        <w:t>草案</w:t>
      </w:r>
      <w:r>
        <w:rPr>
          <w:rFonts w:hint="eastAsia" w:ascii="仿宋_GB2312" w:hAnsi="仿宋_GB2312" w:eastAsia="仿宋_GB2312" w:cs="仿宋_GB2312"/>
          <w:b/>
          <w:color w:val="auto"/>
          <w:sz w:val="32"/>
          <w:szCs w:val="32"/>
        </w:rPr>
        <w:t>条款响应</w:t>
      </w:r>
    </w:p>
    <w:p>
      <w:pPr>
        <w:spacing w:line="500" w:lineRule="exact"/>
        <w:ind w:firstLine="566" w:firstLineChars="200"/>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完全理解并接受磋商文件中“合同</w:t>
      </w:r>
      <w:r>
        <w:rPr>
          <w:rFonts w:hint="eastAsia" w:ascii="仿宋_GB2312" w:hAnsi="仿宋_GB2312" w:eastAsia="仿宋_GB2312" w:cs="仿宋_GB2312"/>
          <w:bCs/>
          <w:color w:val="auto"/>
          <w:sz w:val="28"/>
          <w:szCs w:val="28"/>
          <w:lang w:val="en-US" w:eastAsia="zh-CN"/>
        </w:rPr>
        <w:t>草案</w:t>
      </w:r>
      <w:r>
        <w:rPr>
          <w:rFonts w:hint="eastAsia" w:ascii="仿宋_GB2312" w:hAnsi="仿宋_GB2312" w:eastAsia="仿宋_GB2312" w:cs="仿宋_GB2312"/>
          <w:bCs/>
          <w:color w:val="auto"/>
          <w:sz w:val="28"/>
          <w:szCs w:val="28"/>
        </w:rPr>
        <w:t>条款”要求。</w:t>
      </w:r>
    </w:p>
    <w:p>
      <w:pPr>
        <w:pStyle w:val="19"/>
        <w:ind w:firstLine="183"/>
        <w:rPr>
          <w:rFonts w:hint="eastAsia" w:ascii="仿宋_GB2312" w:hAnsi="仿宋_GB2312" w:eastAsia="仿宋_GB2312" w:cs="仿宋_GB2312"/>
          <w:color w:val="auto"/>
          <w:sz w:val="28"/>
          <w:szCs w:val="28"/>
        </w:rPr>
      </w:pPr>
    </w:p>
    <w:p>
      <w:pPr>
        <w:pStyle w:val="19"/>
        <w:ind w:firstLine="183"/>
        <w:rPr>
          <w:rFonts w:hint="eastAsia" w:ascii="仿宋_GB2312" w:hAnsi="仿宋_GB2312" w:eastAsia="仿宋_GB2312" w:cs="仿宋_GB2312"/>
          <w:color w:val="auto"/>
          <w:sz w:val="28"/>
          <w:szCs w:val="28"/>
        </w:rPr>
      </w:pPr>
    </w:p>
    <w:p>
      <w:pPr>
        <w:pStyle w:val="19"/>
        <w:ind w:firstLine="183"/>
        <w:jc w:val="right"/>
        <w:rPr>
          <w:rFonts w:hint="eastAsia" w:ascii="仿宋_GB2312" w:hAnsi="仿宋_GB2312" w:eastAsia="仿宋_GB2312" w:cs="仿宋_GB2312"/>
          <w:color w:val="auto"/>
          <w:sz w:val="28"/>
          <w:szCs w:val="28"/>
        </w:rPr>
      </w:pPr>
    </w:p>
    <w:p>
      <w:pPr>
        <w:spacing w:line="500" w:lineRule="exact"/>
        <w:jc w:val="righ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w:t>
      </w:r>
      <w:r>
        <w:rPr>
          <w:rFonts w:hint="eastAsia" w:ascii="仿宋_GB2312" w:hAnsi="仿宋_GB2312" w:eastAsia="仿宋_GB2312" w:cs="仿宋_GB2312"/>
          <w:color w:val="auto"/>
          <w:sz w:val="28"/>
          <w:szCs w:val="28"/>
          <w:u w:val="single"/>
        </w:rPr>
        <w:t>名称</w:t>
      </w:r>
      <w:r>
        <w:rPr>
          <w:rFonts w:hint="eastAsia" w:ascii="仿宋_GB2312" w:hAnsi="仿宋_GB2312" w:eastAsia="仿宋_GB2312" w:cs="仿宋_GB2312"/>
          <w:color w:val="auto"/>
          <w:sz w:val="28"/>
          <w:szCs w:val="28"/>
        </w:rPr>
        <w:t>（加盖公章）</w:t>
      </w:r>
    </w:p>
    <w:p>
      <w:pPr>
        <w:tabs>
          <w:tab w:val="right" w:pos="9070"/>
        </w:tabs>
        <w:wordWrap w:val="0"/>
        <w:spacing w:line="500" w:lineRule="exact"/>
        <w:jc w:val="right"/>
        <w:rPr>
          <w:rFonts w:hint="default" w:ascii="仿宋_GB2312" w:hAnsi="仿宋_GB2312" w:eastAsia="仿宋_GB2312" w:cs="仿宋_GB2312"/>
          <w:bCs/>
          <w:color w:val="auto"/>
          <w:sz w:val="28"/>
          <w:szCs w:val="28"/>
          <w:lang w:val="en-US" w:eastAsia="zh-CN"/>
        </w:rPr>
      </w:pPr>
      <w:r>
        <w:rPr>
          <w:rFonts w:hint="eastAsia" w:ascii="仿宋_GB2312" w:hAnsi="仿宋_GB2312" w:eastAsia="仿宋_GB2312" w:cs="仿宋_GB2312"/>
          <w:color w:val="auto"/>
          <w:sz w:val="28"/>
          <w:szCs w:val="28"/>
        </w:rPr>
        <w:t>日期：　　年　月　日</w:t>
      </w:r>
      <w:r>
        <w:rPr>
          <w:rFonts w:hint="eastAsia" w:ascii="仿宋_GB2312" w:hAnsi="仿宋_GB2312" w:eastAsia="仿宋_GB2312" w:cs="仿宋_GB2312"/>
          <w:color w:val="auto"/>
          <w:sz w:val="28"/>
          <w:szCs w:val="28"/>
          <w:lang w:val="en-US" w:eastAsia="zh-CN"/>
        </w:rPr>
        <w:t xml:space="preserve">  </w:t>
      </w: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pStyle w:val="19"/>
        <w:ind w:firstLine="183"/>
        <w:rPr>
          <w:color w:val="auto"/>
        </w:rPr>
      </w:pPr>
    </w:p>
    <w:p>
      <w:pPr>
        <w:rPr>
          <w:color w:val="auto"/>
        </w:rPr>
      </w:pPr>
      <w:r>
        <w:rPr>
          <w:color w:val="auto"/>
        </w:rPr>
        <w:br w:type="page"/>
      </w:r>
    </w:p>
    <w:p>
      <w:pPr>
        <w:pStyle w:val="41"/>
        <w:spacing w:line="500" w:lineRule="exact"/>
        <w:rPr>
          <w:rFonts w:ascii="黑体" w:hAnsi="黑体" w:eastAsia="黑体"/>
          <w:b w:val="0"/>
          <w:color w:val="auto"/>
        </w:rPr>
      </w:pPr>
      <w:bookmarkStart w:id="427" w:name="_Toc30940"/>
      <w:bookmarkStart w:id="428" w:name="_Toc28832"/>
      <w:bookmarkStart w:id="429" w:name="_Toc19912"/>
      <w:bookmarkStart w:id="430" w:name="_Toc17248"/>
      <w:r>
        <w:rPr>
          <w:rStyle w:val="42"/>
          <w:rFonts w:hint="eastAsia" w:ascii="黑体" w:hAnsi="黑体" w:eastAsia="黑体"/>
          <w:b w:val="0"/>
          <w:bCs w:val="0"/>
          <w:color w:val="auto"/>
          <w:sz w:val="32"/>
          <w:szCs w:val="40"/>
        </w:rPr>
        <w:t>第三部分  响应方案</w:t>
      </w:r>
      <w:bookmarkEnd w:id="424"/>
      <w:bookmarkEnd w:id="425"/>
      <w:bookmarkEnd w:id="426"/>
      <w:bookmarkEnd w:id="427"/>
      <w:bookmarkEnd w:id="428"/>
      <w:bookmarkEnd w:id="429"/>
      <w:bookmarkEnd w:id="430"/>
    </w:p>
    <w:p>
      <w:pPr>
        <w:pStyle w:val="41"/>
        <w:spacing w:before="190" w:beforeLines="50" w:after="190" w:afterLines="50" w:line="500" w:lineRule="exact"/>
        <w:jc w:val="both"/>
        <w:rPr>
          <w:rFonts w:hint="eastAsia" w:ascii="仿宋_GB2312" w:hAnsi="仿宋_GB2312" w:eastAsia="仿宋_GB2312" w:cs="仿宋_GB2312"/>
          <w:bCs w:val="0"/>
          <w:color w:val="auto"/>
          <w:lang w:val="en-US" w:eastAsia="zh-CN"/>
        </w:rPr>
      </w:pPr>
      <w:bookmarkStart w:id="431" w:name="_Toc27817"/>
      <w:bookmarkStart w:id="432" w:name="_Toc1481"/>
      <w:bookmarkStart w:id="433" w:name="_Toc9337_WPSOffice_Level2"/>
      <w:bookmarkStart w:id="434" w:name="_Toc11401"/>
      <w:bookmarkStart w:id="435" w:name="_Toc17062_WPSOffice_Level2"/>
      <w:bookmarkStart w:id="436" w:name="_Toc15660_WPSOffice_Level2"/>
      <w:bookmarkStart w:id="437" w:name="_Toc29975_WPSOffice_Level2"/>
      <w:bookmarkStart w:id="438" w:name="_Toc11555"/>
      <w:bookmarkStart w:id="439" w:name="_Toc9079"/>
      <w:r>
        <w:rPr>
          <w:rFonts w:hint="eastAsia" w:ascii="仿宋_GB2312" w:hAnsi="仿宋_GB2312" w:eastAsia="仿宋_GB2312" w:cs="仿宋_GB2312"/>
          <w:bCs w:val="0"/>
          <w:color w:val="auto"/>
        </w:rPr>
        <w:t>一、供应商</w:t>
      </w:r>
      <w:bookmarkEnd w:id="431"/>
      <w:bookmarkEnd w:id="432"/>
      <w:bookmarkEnd w:id="433"/>
      <w:bookmarkEnd w:id="434"/>
      <w:bookmarkEnd w:id="435"/>
      <w:bookmarkEnd w:id="436"/>
      <w:bookmarkEnd w:id="437"/>
      <w:bookmarkEnd w:id="438"/>
      <w:bookmarkEnd w:id="439"/>
      <w:r>
        <w:rPr>
          <w:rFonts w:hint="eastAsia" w:ascii="仿宋_GB2312" w:hAnsi="仿宋_GB2312" w:eastAsia="仿宋_GB2312" w:cs="仿宋_GB2312"/>
          <w:bCs w:val="0"/>
          <w:color w:val="auto"/>
          <w:lang w:val="en-US" w:eastAsia="zh-CN"/>
        </w:rPr>
        <w:t>基本情况及其性质</w:t>
      </w:r>
    </w:p>
    <w:p>
      <w:pPr>
        <w:spacing w:line="500" w:lineRule="exact"/>
        <w:ind w:firstLine="566" w:firstLineChars="200"/>
        <w:rPr>
          <w:rFonts w:ascii="仿宋" w:hAnsi="仿宋" w:eastAsia="仿宋" w:cs="仿宋"/>
          <w:b/>
          <w:color w:val="auto"/>
        </w:rPr>
      </w:pPr>
      <w:bookmarkStart w:id="440" w:name="_Toc27223_WPSOffice_Level3"/>
      <w:r>
        <w:rPr>
          <w:rFonts w:hint="eastAsia"/>
          <w:b/>
          <w:color w:val="auto"/>
        </w:rPr>
        <w:t>（</w:t>
      </w:r>
      <w:r>
        <w:rPr>
          <w:b/>
          <w:color w:val="auto"/>
        </w:rPr>
        <w:t>一</w:t>
      </w:r>
      <w:r>
        <w:rPr>
          <w:rFonts w:hint="eastAsia"/>
          <w:b/>
          <w:color w:val="auto"/>
        </w:rPr>
        <w:t>）供应</w:t>
      </w:r>
      <w:r>
        <w:rPr>
          <w:b/>
          <w:color w:val="auto"/>
        </w:rPr>
        <w:t>商基本信息</w:t>
      </w:r>
      <w:bookmarkEnd w:id="440"/>
    </w:p>
    <w:tbl>
      <w:tblPr>
        <w:tblStyle w:val="20"/>
        <w:tblW w:w="91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86"/>
        <w:gridCol w:w="1239"/>
        <w:gridCol w:w="1770"/>
        <w:gridCol w:w="1395"/>
        <w:gridCol w:w="1692"/>
        <w:gridCol w:w="139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单位基本情况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bottom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供应商全称</w:t>
            </w:r>
          </w:p>
        </w:tc>
        <w:tc>
          <w:tcPr>
            <w:tcW w:w="7494" w:type="dxa"/>
            <w:gridSpan w:val="5"/>
            <w:tcBorders>
              <w:top w:val="single" w:color="auto" w:sz="6" w:space="0"/>
              <w:bottom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top w:val="single" w:color="auto" w:sz="6" w:space="0"/>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注册地址</w:t>
            </w:r>
          </w:p>
        </w:tc>
        <w:tc>
          <w:tcPr>
            <w:tcW w:w="3009" w:type="dxa"/>
            <w:gridSpan w:val="2"/>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tcBorders>
              <w:top w:val="single" w:color="auto" w:sz="6"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成立时间</w:t>
            </w:r>
          </w:p>
        </w:tc>
        <w:tc>
          <w:tcPr>
            <w:tcW w:w="3090" w:type="dxa"/>
            <w:gridSpan w:val="2"/>
            <w:tcBorders>
              <w:top w:val="single" w:color="auto" w:sz="6"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登记证号</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单位性质</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法定代表人</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(主要负责人)</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所属行业</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上年度</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营业收入</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资产总额</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基本存款账户</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开户银行</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基本存款</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账户账号</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联系电话</w:t>
            </w:r>
          </w:p>
        </w:tc>
        <w:tc>
          <w:tcPr>
            <w:tcW w:w="3009" w:type="dxa"/>
            <w:gridSpan w:val="2"/>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邮箱</w:t>
            </w:r>
          </w:p>
        </w:tc>
        <w:tc>
          <w:tcPr>
            <w:tcW w:w="3090" w:type="dxa"/>
            <w:gridSpan w:val="2"/>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所获得资质及等级(国家行政部门颁发)</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1686" w:type="dxa"/>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经营范围</w:t>
            </w:r>
          </w:p>
        </w:tc>
        <w:tc>
          <w:tcPr>
            <w:tcW w:w="7494" w:type="dxa"/>
            <w:gridSpan w:val="5"/>
            <w:tcBorders>
              <w:right w:val="single" w:color="auto" w:sz="12" w:space="0"/>
            </w:tcBorders>
            <w:vAlign w:val="center"/>
          </w:tcPr>
          <w:p>
            <w:pPr>
              <w:autoSpaceDE w:val="0"/>
              <w:autoSpaceDN w:val="0"/>
              <w:adjustRightInd w:val="0"/>
              <w:spacing w:line="320" w:lineRule="exact"/>
              <w:rPr>
                <w:rFonts w:hint="eastAsia" w:ascii="仿宋_GB2312" w:hAnsi="仿宋_GB2312" w:eastAsia="仿宋_GB2312" w:cs="仿宋_GB2312"/>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9180" w:type="dxa"/>
            <w:gridSpan w:val="6"/>
            <w:tcBorders>
              <w:left w:val="single" w:color="auto" w:sz="12" w:space="0"/>
              <w:right w:val="single" w:color="auto" w:sz="12" w:space="0"/>
            </w:tcBorders>
            <w:shd w:val="clear" w:color="auto" w:fill="E5B8B7"/>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人员情况</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restart"/>
            <w:tcBorders>
              <w:lef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从业人员总数</w:t>
            </w:r>
          </w:p>
        </w:tc>
        <w:tc>
          <w:tcPr>
            <w:tcW w:w="1239" w:type="dxa"/>
            <w:vMerge w:val="restart"/>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管理人员数量</w:t>
            </w:r>
          </w:p>
        </w:tc>
        <w:tc>
          <w:tcPr>
            <w:tcW w:w="1395"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lang w:eastAsia="zh-CN"/>
              </w:rPr>
            </w:pPr>
            <w:r>
              <w:rPr>
                <w:rFonts w:hint="eastAsia" w:ascii="仿宋_GB2312" w:hAnsi="仿宋_GB2312" w:eastAsia="仿宋_GB2312" w:cs="仿宋_GB2312"/>
                <w:color w:val="auto"/>
                <w:kern w:val="0"/>
                <w:sz w:val="24"/>
                <w:szCs w:val="24"/>
              </w:rPr>
              <w:t>专业技术</w:t>
            </w:r>
          </w:p>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人员数量</w:t>
            </w:r>
          </w:p>
        </w:tc>
        <w:tc>
          <w:tcPr>
            <w:tcW w:w="1398" w:type="dxa"/>
            <w:tcBorders>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86" w:type="dxa"/>
            <w:vMerge w:val="continue"/>
            <w:tcBorders>
              <w:left w:val="single" w:color="auto" w:sz="12" w:space="0"/>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239" w:type="dxa"/>
            <w:vMerge w:val="continue"/>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770"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残疾人人数</w:t>
            </w:r>
          </w:p>
        </w:tc>
        <w:tc>
          <w:tcPr>
            <w:tcW w:w="1395"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p>
        </w:tc>
        <w:tc>
          <w:tcPr>
            <w:tcW w:w="1692" w:type="dxa"/>
            <w:tcBorders>
              <w:bottom w:val="single" w:color="auto" w:sz="4"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少数民族人数</w:t>
            </w:r>
          </w:p>
        </w:tc>
        <w:tc>
          <w:tcPr>
            <w:tcW w:w="1398" w:type="dxa"/>
            <w:tcBorders>
              <w:bottom w:val="single" w:color="auto" w:sz="4" w:space="0"/>
              <w:right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bCs/>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096" w:hRule="atLeast"/>
          <w:jc w:val="center"/>
        </w:trPr>
        <w:tc>
          <w:tcPr>
            <w:tcW w:w="1686" w:type="dxa"/>
            <w:tcBorders>
              <w:left w:val="single" w:color="auto" w:sz="12" w:space="0"/>
              <w:bottom w:val="single" w:color="auto" w:sz="12" w:space="0"/>
            </w:tcBorders>
            <w:vAlign w:val="center"/>
          </w:tcPr>
          <w:p>
            <w:pPr>
              <w:autoSpaceDE w:val="0"/>
              <w:autoSpaceDN w:val="0"/>
              <w:adjustRightInd w:val="0"/>
              <w:spacing w:line="320" w:lineRule="exact"/>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说明</w:t>
            </w:r>
          </w:p>
        </w:tc>
        <w:tc>
          <w:tcPr>
            <w:tcW w:w="7494" w:type="dxa"/>
            <w:gridSpan w:val="5"/>
            <w:tcBorders>
              <w:bottom w:val="single" w:color="auto" w:sz="12" w:space="0"/>
              <w:right w:val="single" w:color="auto" w:sz="12" w:space="0"/>
            </w:tcBorders>
            <w:vAlign w:val="center"/>
          </w:tcPr>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1、登记证号指营业执照/事业单位法人证书/专业服务机构执业许可证/民办非企业单位登记证书中的登记号。</w:t>
            </w:r>
          </w:p>
          <w:p>
            <w:pPr>
              <w:spacing w:line="320" w:lineRule="exact"/>
              <w:ind w:left="360" w:hanging="36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2、成立时间至提交响应文件截止时间不足一年的可不提供“上年度营业收入”。</w:t>
            </w:r>
          </w:p>
          <w:p>
            <w:pPr>
              <w:spacing w:line="320" w:lineRule="exact"/>
              <w:ind w:left="360" w:hanging="360"/>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3、供应商应如实填写上述信息。</w:t>
            </w:r>
            <w:bookmarkStart w:id="441" w:name="■AcceptUnion_CH5_A■"/>
            <w:r>
              <w:rPr>
                <w:rFonts w:hint="eastAsia" w:ascii="仿宋_GB2312" w:hAnsi="仿宋_GB2312" w:eastAsia="仿宋_GB2312" w:cs="仿宋_GB2312"/>
                <w:color w:val="auto"/>
                <w:sz w:val="24"/>
                <w:szCs w:val="24"/>
              </w:rPr>
              <w:t>磋商文件允许联合体投标的，联合体各方均应提供。</w:t>
            </w:r>
            <w:bookmarkEnd w:id="441"/>
          </w:p>
        </w:tc>
      </w:tr>
    </w:tbl>
    <w:p>
      <w:pPr>
        <w:spacing w:line="500" w:lineRule="exact"/>
        <w:ind w:firstLine="566" w:firstLineChars="200"/>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供应商其他情况</w:t>
      </w:r>
    </w:p>
    <w:p>
      <w:pPr>
        <w:tabs>
          <w:tab w:val="right" w:pos="8364"/>
        </w:tabs>
        <w:spacing w:line="500" w:lineRule="exact"/>
        <w:ind w:firstLine="566"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包括但不限于总公司分公司分布及经营状况、股权变更、管理制度、人员配备、用户评价、正在实施的项目，评优获奖等情况，以及供应商认为有利于成交的其他情况说明。</w:t>
      </w:r>
    </w:p>
    <w:p>
      <w:pPr>
        <w:spacing w:line="500" w:lineRule="exact"/>
        <w:ind w:firstLine="4811" w:firstLineChars="1700"/>
        <w:rPr>
          <w:rFonts w:hint="eastAsia"/>
          <w:b/>
          <w:color w:val="auto"/>
          <w:sz w:val="28"/>
          <w:szCs w:val="28"/>
        </w:rPr>
      </w:pPr>
      <w:r>
        <w:rPr>
          <w:rFonts w:hint="eastAsia"/>
          <w:b/>
          <w:color w:val="auto"/>
          <w:sz w:val="28"/>
          <w:szCs w:val="28"/>
        </w:rPr>
        <w:br w:type="page"/>
      </w:r>
    </w:p>
    <w:p>
      <w:pPr>
        <w:keepNext w:val="0"/>
        <w:keepLines w:val="0"/>
        <w:pageBreakBefore w:val="0"/>
        <w:widowControl/>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二、技术服务方案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参照磋商文件第二章《组织评审》各条款的要求，结合第三章《磋商内容及采购要求》编制技术服务方案。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一</w:t>
      </w:r>
      <w:r>
        <w:rPr>
          <w:rFonts w:hint="eastAsia" w:ascii="仿宋_GB2312" w:hAnsi="仿宋_GB2312" w:eastAsia="仿宋_GB2312" w:cs="仿宋_GB2312"/>
          <w:bCs/>
          <w:color w:val="auto"/>
          <w:sz w:val="28"/>
          <w:szCs w:val="28"/>
          <w:highlight w:val="none"/>
          <w:lang w:eastAsia="zh-CN"/>
        </w:rPr>
        <w:t>）总体服务方案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组织机构设置</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日常运行服务方案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四</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特殊情况服务方案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五</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应急预案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六</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安全保障方案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七</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管理制度</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八</w:t>
      </w:r>
      <w:r>
        <w:rPr>
          <w:rFonts w:hint="eastAsia" w:ascii="仿宋_GB2312" w:hAnsi="仿宋_GB2312" w:eastAsia="仿宋_GB2312" w:cs="仿宋_GB2312"/>
          <w:bCs/>
          <w:color w:val="auto"/>
          <w:sz w:val="28"/>
          <w:szCs w:val="28"/>
          <w:highlight w:val="none"/>
          <w:lang w:eastAsia="zh-CN"/>
        </w:rPr>
        <w:t>）培训实施方案</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九</w:t>
      </w:r>
      <w:r>
        <w:rPr>
          <w:rFonts w:hint="eastAsia" w:ascii="仿宋_GB2312" w:hAnsi="仿宋_GB2312" w:eastAsia="仿宋_GB2312" w:cs="仿宋_GB2312"/>
          <w:bCs/>
          <w:color w:val="auto"/>
          <w:sz w:val="28"/>
          <w:szCs w:val="28"/>
          <w:highlight w:val="none"/>
          <w:lang w:eastAsia="zh-CN"/>
        </w:rPr>
        <w:t>）服务优化</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w:t>
      </w:r>
      <w:r>
        <w:rPr>
          <w:rFonts w:hint="eastAsia" w:ascii="仿宋_GB2312" w:hAnsi="仿宋_GB2312" w:eastAsia="仿宋_GB2312" w:cs="仿宋_GB2312"/>
          <w:bCs/>
          <w:color w:val="auto"/>
          <w:sz w:val="28"/>
          <w:szCs w:val="28"/>
          <w:highlight w:val="none"/>
          <w:lang w:eastAsia="zh-CN"/>
        </w:rPr>
        <w:t>）人员配备</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十一</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业绩</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十二</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服务承诺</w:t>
      </w:r>
    </w:p>
    <w:p>
      <w:pPr>
        <w:keepNext w:val="0"/>
        <w:keepLines w:val="0"/>
        <w:pageBreakBefore w:val="0"/>
        <w:widowControl/>
        <w:kinsoku/>
        <w:wordWrap/>
        <w:overflowPunct/>
        <w:topLinePunct w:val="0"/>
        <w:autoSpaceDE/>
        <w:autoSpaceDN/>
        <w:bidi w:val="0"/>
        <w:adjustRightInd/>
        <w:snapToGrid/>
        <w:spacing w:line="560" w:lineRule="exact"/>
        <w:ind w:firstLine="566" w:firstLineChars="200"/>
        <w:textAlignment w:val="auto"/>
        <w:rPr>
          <w:rFonts w:hint="eastAsia" w:ascii="仿宋_GB2312" w:hAnsi="仿宋_GB2312" w:eastAsia="仿宋_GB2312" w:cs="仿宋_GB2312"/>
          <w:bCs/>
          <w:color w:val="auto"/>
          <w:sz w:val="28"/>
          <w:szCs w:val="28"/>
          <w:highlight w:val="none"/>
          <w:lang w:val="en-US" w:eastAsia="zh-CN"/>
        </w:rPr>
      </w:pP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十三</w:t>
      </w:r>
      <w:r>
        <w:rPr>
          <w:rFonts w:hint="eastAsia" w:ascii="仿宋_GB2312" w:hAnsi="仿宋_GB2312" w:eastAsia="仿宋_GB2312" w:cs="仿宋_GB2312"/>
          <w:bCs/>
          <w:color w:val="auto"/>
          <w:sz w:val="28"/>
          <w:szCs w:val="28"/>
          <w:highlight w:val="none"/>
          <w:lang w:eastAsia="zh-CN"/>
        </w:rPr>
        <w:t>）</w:t>
      </w:r>
      <w:r>
        <w:rPr>
          <w:rFonts w:hint="eastAsia" w:ascii="仿宋_GB2312" w:hAnsi="仿宋_GB2312" w:eastAsia="仿宋_GB2312" w:cs="仿宋_GB2312"/>
          <w:bCs/>
          <w:color w:val="auto"/>
          <w:sz w:val="28"/>
          <w:szCs w:val="28"/>
          <w:highlight w:val="none"/>
          <w:lang w:val="en-US" w:eastAsia="zh-CN"/>
        </w:rPr>
        <w:t>其他有必要说明的内容</w:t>
      </w:r>
    </w:p>
    <w:p>
      <w:pPr>
        <w:rPr>
          <w:color w:val="auto"/>
        </w:rPr>
      </w:pPr>
      <w:r>
        <w:rPr>
          <w:color w:val="auto"/>
        </w:rPr>
        <w:br w:type="page"/>
      </w:r>
    </w:p>
    <w:p>
      <w:pPr>
        <w:tabs>
          <w:tab w:val="right" w:pos="9070"/>
        </w:tabs>
        <w:spacing w:line="500" w:lineRule="exact"/>
        <w:rPr>
          <w:rFonts w:ascii="仿宋" w:hAnsi="仿宋" w:eastAsia="仿宋"/>
          <w:bCs/>
          <w:color w:val="auto"/>
          <w:sz w:val="32"/>
          <w:szCs w:val="32"/>
        </w:rPr>
      </w:pPr>
      <w:r>
        <w:rPr>
          <w:rFonts w:hint="eastAsia" w:ascii="仿宋" w:hAnsi="仿宋" w:eastAsia="仿宋"/>
          <w:b/>
          <w:color w:val="auto"/>
          <w:sz w:val="32"/>
          <w:szCs w:val="32"/>
        </w:rPr>
        <w:t>三、参考样表</w:t>
      </w:r>
    </w:p>
    <w:p>
      <w:pPr>
        <w:spacing w:line="500" w:lineRule="exact"/>
        <w:ind w:firstLine="566" w:firstLineChars="200"/>
        <w:rPr>
          <w:rFonts w:hint="eastAsia" w:ascii="仿宋_GB2312" w:hAnsi="仿宋_GB2312" w:eastAsia="仿宋_GB2312" w:cs="仿宋_GB2312"/>
          <w:b/>
          <w:bCs/>
          <w:color w:val="auto"/>
          <w:sz w:val="28"/>
          <w:szCs w:val="28"/>
          <w:lang w:eastAsia="zh-CN"/>
        </w:rPr>
      </w:pPr>
      <w:r>
        <w:rPr>
          <w:rFonts w:hint="eastAsia" w:ascii="仿宋_GB2312" w:hAnsi="仿宋_GB2312" w:eastAsia="仿宋_GB2312" w:cs="仿宋_GB2312"/>
          <w:b/>
          <w:bCs/>
          <w:color w:val="auto"/>
          <w:sz w:val="28"/>
          <w:szCs w:val="28"/>
          <w:lang w:eastAsia="zh-CN"/>
        </w:rPr>
        <w:t>（一）履约进度计划表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498"/>
        <w:gridCol w:w="3095"/>
        <w:gridCol w:w="2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序号</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拟定时间安排</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计划完成的工作内容</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kern w:val="2"/>
                <w:sz w:val="28"/>
                <w:szCs w:val="28"/>
                <w:shd w:val="clear" w:color="auto" w:fill="auto"/>
                <w:lang w:val="en-US" w:eastAsia="zh-CN" w:bidi="ar-SA"/>
              </w:rPr>
            </w:pPr>
            <w:r>
              <w:rPr>
                <w:rFonts w:hint="eastAsia" w:ascii="仿宋_GB2312" w:hAnsi="仿宋_GB2312" w:eastAsia="仿宋_GB2312" w:cs="仿宋_GB2312"/>
                <w:b/>
                <w:color w:val="auto"/>
                <w:sz w:val="28"/>
                <w:szCs w:val="28"/>
                <w:shd w:val="clear" w:color="auto" w:fill="auto"/>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拟定  年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签订</w:t>
            </w:r>
            <w:r>
              <w:rPr>
                <w:rFonts w:hint="eastAsia" w:ascii="仿宋_GB2312" w:hAnsi="仿宋_GB2312" w:eastAsia="仿宋_GB2312" w:cs="仿宋_GB2312"/>
                <w:color w:val="auto"/>
                <w:sz w:val="28"/>
                <w:szCs w:val="28"/>
              </w:rPr>
              <w:t>合同并生效</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p>
        </w:tc>
        <w:tc>
          <w:tcPr>
            <w:tcW w:w="2498"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月  日—  月  日</w:t>
            </w:r>
          </w:p>
        </w:tc>
        <w:tc>
          <w:tcPr>
            <w:tcW w:w="3095"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质保期</w:t>
            </w:r>
          </w:p>
        </w:tc>
        <w:tc>
          <w:tcPr>
            <w:tcW w:w="2589" w:type="dxa"/>
            <w:noWrap w:val="0"/>
            <w:vAlign w:val="center"/>
          </w:tcPr>
          <w:p>
            <w:pPr>
              <w:keepNext w:val="0"/>
              <w:keepLines w:val="0"/>
              <w:pageBreakBefore w:val="0"/>
              <w:widowControl w:val="0"/>
              <w:tabs>
                <w:tab w:val="left" w:pos="540"/>
              </w:tabs>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bl>
    <w:p>
      <w:pPr>
        <w:spacing w:line="500" w:lineRule="exact"/>
        <w:ind w:firstLine="566" w:firstLineChars="200"/>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b/>
          <w:bCs/>
          <w:color w:val="auto"/>
          <w:sz w:val="28"/>
          <w:szCs w:val="28"/>
        </w:rPr>
        <w:t>业绩合同样表</w:t>
      </w:r>
    </w:p>
    <w:tbl>
      <w:tblPr>
        <w:tblStyle w:val="20"/>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6"/>
        <w:gridCol w:w="2027"/>
        <w:gridCol w:w="1592"/>
        <w:gridCol w:w="237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序号</w:t>
            </w:r>
          </w:p>
        </w:tc>
        <w:tc>
          <w:tcPr>
            <w:tcW w:w="2027"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采购单位名称</w:t>
            </w:r>
          </w:p>
        </w:tc>
        <w:tc>
          <w:tcPr>
            <w:tcW w:w="1592"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合同名称</w:t>
            </w:r>
          </w:p>
        </w:tc>
        <w:tc>
          <w:tcPr>
            <w:tcW w:w="2375"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合同起止时间</w:t>
            </w:r>
          </w:p>
        </w:tc>
        <w:tc>
          <w:tcPr>
            <w:tcW w:w="1984" w:type="dxa"/>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rPr>
              <w:t>合同金额（万元）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1</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2</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3</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05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tc>
        <w:tc>
          <w:tcPr>
            <w:tcW w:w="2027"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592"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237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c>
          <w:tcPr>
            <w:tcW w:w="1984"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034"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color w:val="auto"/>
                <w:sz w:val="28"/>
                <w:szCs w:val="28"/>
              </w:rPr>
              <w:t>数量合计（个）</w:t>
            </w:r>
            <w:r>
              <w:rPr>
                <w:rFonts w:hint="eastAsia" w:ascii="仿宋_GB2312" w:hAnsi="仿宋_GB2312" w:eastAsia="仿宋_GB2312" w:cs="仿宋_GB2312"/>
                <w:color w:val="auto"/>
                <w:sz w:val="28"/>
                <w:szCs w:val="28"/>
              </w:rPr>
              <w:t>：</w:t>
            </w:r>
          </w:p>
        </w:tc>
      </w:tr>
    </w:tbl>
    <w:p>
      <w:pPr>
        <w:tabs>
          <w:tab w:val="right" w:pos="9070"/>
        </w:tabs>
        <w:snapToGrid w:val="0"/>
        <w:spacing w:line="240" w:lineRule="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color w:val="auto"/>
          <w:sz w:val="28"/>
          <w:szCs w:val="28"/>
        </w:rPr>
        <w:t xml:space="preserve">    注：</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后附20</w:t>
      </w:r>
      <w:r>
        <w:rPr>
          <w:rFonts w:hint="eastAsia" w:ascii="仿宋_GB2312" w:hAnsi="仿宋_GB2312" w:eastAsia="仿宋_GB2312" w:cs="仿宋_GB2312"/>
          <w:color w:val="auto"/>
          <w:sz w:val="28"/>
          <w:szCs w:val="28"/>
          <w:lang w:val="en-US" w:eastAsia="zh-CN"/>
        </w:rPr>
        <w:t>21</w:t>
      </w:r>
      <w:r>
        <w:rPr>
          <w:rFonts w:hint="eastAsia" w:ascii="仿宋_GB2312" w:hAnsi="仿宋_GB2312" w:eastAsia="仿宋_GB2312" w:cs="仿宋_GB2312"/>
          <w:color w:val="auto"/>
          <w:sz w:val="28"/>
          <w:szCs w:val="28"/>
        </w:rPr>
        <w:t>年1月1日以来同类项目合同复印件加盖响应人公章（以合同签订日期为准）</w:t>
      </w:r>
      <w:r>
        <w:rPr>
          <w:rFonts w:hint="eastAsia" w:ascii="仿宋_GB2312" w:hAnsi="仿宋_GB2312" w:eastAsia="仿宋_GB2312" w:cs="仿宋_GB2312"/>
          <w:bCs/>
          <w:color w:val="auto"/>
          <w:sz w:val="28"/>
          <w:szCs w:val="28"/>
          <w:lang w:val="en-US" w:eastAsia="zh-CN"/>
        </w:rPr>
        <w:t>2、视情况，此表一并随《成交结果》公示。</w:t>
      </w:r>
    </w:p>
    <w:p>
      <w:pPr>
        <w:tabs>
          <w:tab w:val="right" w:pos="9070"/>
        </w:tabs>
        <w:snapToGrid w:val="0"/>
        <w:spacing w:line="500" w:lineRule="exact"/>
        <w:ind w:left="566" w:leftChars="200"/>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w:t>
      </w: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）项目团队样表</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1、项目团队情况概述</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概述内容包括但不限于为本项目提供服务的团队整体情况、团队负责人、联系人基本情况、背景、能力介绍等，具体内容自行编制。</w:t>
      </w:r>
    </w:p>
    <w:p>
      <w:pPr>
        <w:tabs>
          <w:tab w:val="right" w:pos="9070"/>
        </w:tabs>
        <w:spacing w:line="500" w:lineRule="exact"/>
        <w:ind w:firstLine="566"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2、项目团队人员清单</w:t>
      </w:r>
    </w:p>
    <w:tbl>
      <w:tblPr>
        <w:tblStyle w:val="20"/>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69"/>
        <w:gridCol w:w="1260"/>
        <w:gridCol w:w="1023"/>
        <w:gridCol w:w="1968"/>
        <w:gridCol w:w="1672"/>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85" w:type="dxa"/>
            <w:gridSpan w:val="7"/>
            <w:tcBorders>
              <w:tl2br w:val="nil"/>
              <w:tr2bl w:val="nil"/>
            </w:tcBorders>
            <w:vAlign w:val="center"/>
          </w:tcPr>
          <w:p>
            <w:pPr>
              <w:keepNext w:val="0"/>
              <w:keepLines w:val="0"/>
              <w:pageBreakBefore w:val="0"/>
              <w:tabs>
                <w:tab w:val="right" w:pos="9070"/>
              </w:tabs>
              <w:kinsoku/>
              <w:wordWrap/>
              <w:overflowPunct/>
              <w:topLinePunct w:val="0"/>
              <w:autoSpaceDE/>
              <w:autoSpaceDN/>
              <w:bidi w:val="0"/>
              <w:adjustRightInd/>
              <w:snapToGrid/>
              <w:spacing w:line="400" w:lineRule="exact"/>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lang w:val="en-US" w:eastAsia="zh-CN"/>
              </w:rPr>
              <w:t>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85" w:type="dxa"/>
            <w:gridSpan w:val="7"/>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w:t>
            </w:r>
            <w:r>
              <w:rPr>
                <w:rFonts w:hint="eastAsia" w:ascii="仿宋_GB2312" w:hAnsi="仿宋_GB2312" w:eastAsia="仿宋_GB2312" w:cs="仿宋_GB2312"/>
                <w:color w:val="auto"/>
                <w:sz w:val="28"/>
                <w:szCs w:val="28"/>
                <w:highlight w:val="none"/>
                <w:lang w:val="en-US" w:eastAsia="zh-CN"/>
              </w:rPr>
              <w:t>实施人员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姓名</w:t>
            </w: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年龄</w:t>
            </w: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资格</w:t>
            </w: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职称</w:t>
            </w: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在本行业从业工作年限</w:t>
            </w: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主要工作</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业绩和经历</w:t>
            </w: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本项目</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96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26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023"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968"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672"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c>
          <w:tcPr>
            <w:tcW w:w="115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备注</w:t>
            </w:r>
          </w:p>
        </w:tc>
        <w:tc>
          <w:tcPr>
            <w:tcW w:w="8051"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表格空间不足时请自行扩展。</w:t>
            </w:r>
          </w:p>
        </w:tc>
      </w:tr>
    </w:tbl>
    <w:p>
      <w:pPr>
        <w:pStyle w:val="8"/>
        <w:rPr>
          <w:color w:val="auto"/>
          <w:sz w:val="28"/>
          <w:szCs w:val="28"/>
        </w:rPr>
      </w:pPr>
    </w:p>
    <w:sectPr>
      <w:pgSz w:w="11906" w:h="16838"/>
      <w:pgMar w:top="1417" w:right="1417" w:bottom="1417" w:left="1417" w:header="850" w:footer="992" w:gutter="0"/>
      <w:pgBorders>
        <w:top w:val="none" w:sz="0" w:space="0"/>
        <w:left w:val="none" w:sz="0" w:space="0"/>
        <w:bottom w:val="none" w:sz="0" w:space="0"/>
        <w:right w:val="none" w:sz="0" w:space="0"/>
      </w:pgBorders>
      <w:cols w:space="0" w:num="1"/>
      <w:rtlGutter w:val="0"/>
      <w:docGrid w:type="linesAndChars" w:linePitch="394" w:charSpace="7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jc w:val="center"/>
      <w:rPr>
        <w:rFonts w:ascii="宋体" w:hAnsi="宋体" w:eastAsia="宋体"/>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536"/>
        <w:tab w:val="right" w:pos="10489"/>
        <w:tab w:val="clear" w:pos="4153"/>
        <w:tab w:val="clear" w:pos="8306"/>
      </w:tabs>
      <w:jc w:val="center"/>
      <w:rPr>
        <w:rFonts w:ascii="宋体" w:hAnsi="宋体" w:eastAsia="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55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r>
                      <w:rPr>
                        <w:rFonts w:hint="eastAsia"/>
                      </w:rPr>
                      <w:t xml:space="preserve"> 页 共 </w:t>
                    </w:r>
                    <w:r>
                      <w:rPr>
                        <w:rFonts w:hint="eastAsia"/>
                        <w:lang w:val="en-US" w:eastAsia="zh-CN"/>
                      </w:rPr>
                      <w:t xml:space="preserve">55 </w:t>
                    </w:r>
                    <w:r>
                      <w:rPr>
                        <w:rFonts w:hint="eastAsia"/>
                      </w:rP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 w:val="clear" w:pos="8306"/>
      </w:tabs>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55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13"/>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r>
                      <w:rPr>
                        <w:rFonts w:hint="eastAsia"/>
                      </w:rPr>
                      <w:t xml:space="preserve"> 页 共 </w:t>
                    </w:r>
                    <w:r>
                      <w:rPr>
                        <w:rFonts w:hint="eastAsia"/>
                        <w:lang w:val="en-US" w:eastAsia="zh-CN"/>
                      </w:rPr>
                      <w:t xml:space="preserve">55 </w:t>
                    </w:r>
                    <w:r>
                      <w:rPr>
                        <w:rFonts w:hint="eastAsia"/>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hint="eastAsia" w:ascii="宋体" w:hAnsi="宋体" w:eastAsia="宋体" w:cs="华文仿宋"/>
        <w:lang w:val="en-US" w:eastAsia="zh-CN"/>
      </w:rPr>
      <w:t>汉中市政府采购中心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eastAsia="宋体"/>
        <w:sz w:val="21"/>
        <w:szCs w:val="21"/>
        <w:lang w:val="en-US" w:eastAsia="zh-CN"/>
      </w:rPr>
    </w:pPr>
    <w:r>
      <w:rPr>
        <w:rFonts w:hint="eastAsia" w:ascii="宋体" w:hAnsi="宋体" w:eastAsia="宋体" w:cs="华文仿宋"/>
        <w:lang w:val="en-US" w:eastAsia="zh-CN"/>
      </w:rPr>
      <w:t>汉中市政府采购中心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BA63B9"/>
    <w:multiLevelType w:val="singleLevel"/>
    <w:tmpl w:val="D7BA63B9"/>
    <w:lvl w:ilvl="0" w:tentative="0">
      <w:start w:val="1"/>
      <w:numFmt w:val="chineseCounting"/>
      <w:suff w:val="space"/>
      <w:lvlText w:val="第%1章"/>
      <w:lvlJc w:val="left"/>
      <w:rPr>
        <w:rFonts w:hint="eastAsia"/>
      </w:rPr>
    </w:lvl>
  </w:abstractNum>
  <w:abstractNum w:abstractNumId="1">
    <w:nsid w:val="0053208E"/>
    <w:multiLevelType w:val="singleLevel"/>
    <w:tmpl w:val="0053208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HorizontalSpacing w:val="142"/>
  <w:drawingGridVerticalSpacing w:val="197"/>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iY2EwYTliYzRhYmI5YjgwYWI5N2JkYzNiMjBlOTkifQ=="/>
  </w:docVars>
  <w:rsids>
    <w:rsidRoot w:val="15DB7622"/>
    <w:rsid w:val="0007204D"/>
    <w:rsid w:val="00294CF0"/>
    <w:rsid w:val="002B30BD"/>
    <w:rsid w:val="002D269B"/>
    <w:rsid w:val="00331341"/>
    <w:rsid w:val="00340C6A"/>
    <w:rsid w:val="0038572B"/>
    <w:rsid w:val="003917EE"/>
    <w:rsid w:val="003E41D4"/>
    <w:rsid w:val="004F3FD4"/>
    <w:rsid w:val="007378C6"/>
    <w:rsid w:val="007A39DA"/>
    <w:rsid w:val="00934F0E"/>
    <w:rsid w:val="009716B8"/>
    <w:rsid w:val="00975546"/>
    <w:rsid w:val="00BA4780"/>
    <w:rsid w:val="00D54DC4"/>
    <w:rsid w:val="00DA0F8E"/>
    <w:rsid w:val="00EF498E"/>
    <w:rsid w:val="00F058FE"/>
    <w:rsid w:val="010518F0"/>
    <w:rsid w:val="0138166C"/>
    <w:rsid w:val="015A5870"/>
    <w:rsid w:val="015C7263"/>
    <w:rsid w:val="015D1C6F"/>
    <w:rsid w:val="016439CE"/>
    <w:rsid w:val="01684E01"/>
    <w:rsid w:val="01903397"/>
    <w:rsid w:val="0192363A"/>
    <w:rsid w:val="019422A6"/>
    <w:rsid w:val="01A050EF"/>
    <w:rsid w:val="01BD7E6C"/>
    <w:rsid w:val="01C82D28"/>
    <w:rsid w:val="01CD6A8A"/>
    <w:rsid w:val="01CE3474"/>
    <w:rsid w:val="01D515BB"/>
    <w:rsid w:val="01F159D6"/>
    <w:rsid w:val="01FA3AC8"/>
    <w:rsid w:val="0204742C"/>
    <w:rsid w:val="02343D5B"/>
    <w:rsid w:val="023E3EED"/>
    <w:rsid w:val="02557B87"/>
    <w:rsid w:val="025A0286"/>
    <w:rsid w:val="02891DCB"/>
    <w:rsid w:val="02BD0EE2"/>
    <w:rsid w:val="02C11391"/>
    <w:rsid w:val="02C4205E"/>
    <w:rsid w:val="02D15085"/>
    <w:rsid w:val="02E307E4"/>
    <w:rsid w:val="02FC284D"/>
    <w:rsid w:val="03427B4F"/>
    <w:rsid w:val="03460878"/>
    <w:rsid w:val="034B3DA3"/>
    <w:rsid w:val="03526AB2"/>
    <w:rsid w:val="03531D00"/>
    <w:rsid w:val="036C3D74"/>
    <w:rsid w:val="037E48A2"/>
    <w:rsid w:val="0387207F"/>
    <w:rsid w:val="039F5F7A"/>
    <w:rsid w:val="03A7685B"/>
    <w:rsid w:val="03B2157C"/>
    <w:rsid w:val="03BD2FA8"/>
    <w:rsid w:val="03D43FC2"/>
    <w:rsid w:val="03E823D6"/>
    <w:rsid w:val="03EC3438"/>
    <w:rsid w:val="03EF1CB8"/>
    <w:rsid w:val="03F22485"/>
    <w:rsid w:val="0426080F"/>
    <w:rsid w:val="044762AA"/>
    <w:rsid w:val="045F127B"/>
    <w:rsid w:val="0467205E"/>
    <w:rsid w:val="046E5030"/>
    <w:rsid w:val="047F7D42"/>
    <w:rsid w:val="0489653F"/>
    <w:rsid w:val="048A6B28"/>
    <w:rsid w:val="04981D44"/>
    <w:rsid w:val="049F3DB3"/>
    <w:rsid w:val="04A04E7B"/>
    <w:rsid w:val="04A56CCB"/>
    <w:rsid w:val="04B01582"/>
    <w:rsid w:val="04C17D44"/>
    <w:rsid w:val="04C57B89"/>
    <w:rsid w:val="05016CE4"/>
    <w:rsid w:val="050E718A"/>
    <w:rsid w:val="05210E5D"/>
    <w:rsid w:val="05214B13"/>
    <w:rsid w:val="055F2FF6"/>
    <w:rsid w:val="05634469"/>
    <w:rsid w:val="05686454"/>
    <w:rsid w:val="057139B6"/>
    <w:rsid w:val="057754F2"/>
    <w:rsid w:val="05A35D71"/>
    <w:rsid w:val="05B065AB"/>
    <w:rsid w:val="05D17456"/>
    <w:rsid w:val="05FB57F0"/>
    <w:rsid w:val="062335AF"/>
    <w:rsid w:val="06243474"/>
    <w:rsid w:val="062B0BE3"/>
    <w:rsid w:val="06410743"/>
    <w:rsid w:val="064B18B7"/>
    <w:rsid w:val="064E03A2"/>
    <w:rsid w:val="068157BD"/>
    <w:rsid w:val="06843B5A"/>
    <w:rsid w:val="06B51EAB"/>
    <w:rsid w:val="06B869C0"/>
    <w:rsid w:val="06C17517"/>
    <w:rsid w:val="07195343"/>
    <w:rsid w:val="07250E2E"/>
    <w:rsid w:val="07254389"/>
    <w:rsid w:val="07280963"/>
    <w:rsid w:val="073843F7"/>
    <w:rsid w:val="074E0A56"/>
    <w:rsid w:val="076C6CA2"/>
    <w:rsid w:val="076D5CE6"/>
    <w:rsid w:val="078508C6"/>
    <w:rsid w:val="07C92D47"/>
    <w:rsid w:val="07CA4DE5"/>
    <w:rsid w:val="07DB28A2"/>
    <w:rsid w:val="07E020CE"/>
    <w:rsid w:val="07EA4D10"/>
    <w:rsid w:val="08097B10"/>
    <w:rsid w:val="080F1B46"/>
    <w:rsid w:val="0813234A"/>
    <w:rsid w:val="08211FD1"/>
    <w:rsid w:val="08243795"/>
    <w:rsid w:val="083537ED"/>
    <w:rsid w:val="083C734E"/>
    <w:rsid w:val="083F4CD5"/>
    <w:rsid w:val="08417A7B"/>
    <w:rsid w:val="085F77E6"/>
    <w:rsid w:val="086E5C87"/>
    <w:rsid w:val="08707E21"/>
    <w:rsid w:val="08712B08"/>
    <w:rsid w:val="08763D9D"/>
    <w:rsid w:val="088F579F"/>
    <w:rsid w:val="089366B6"/>
    <w:rsid w:val="08955C70"/>
    <w:rsid w:val="08970F3A"/>
    <w:rsid w:val="08976949"/>
    <w:rsid w:val="08A10645"/>
    <w:rsid w:val="08AC12A9"/>
    <w:rsid w:val="08BA2649"/>
    <w:rsid w:val="08C85A1D"/>
    <w:rsid w:val="08D06A36"/>
    <w:rsid w:val="08D8683B"/>
    <w:rsid w:val="08DC0FE3"/>
    <w:rsid w:val="08E24872"/>
    <w:rsid w:val="08EF588E"/>
    <w:rsid w:val="08F6330D"/>
    <w:rsid w:val="090C54BA"/>
    <w:rsid w:val="092F16EE"/>
    <w:rsid w:val="09555E20"/>
    <w:rsid w:val="096F7367"/>
    <w:rsid w:val="097F6C5F"/>
    <w:rsid w:val="098900BC"/>
    <w:rsid w:val="09921B5C"/>
    <w:rsid w:val="09A44801"/>
    <w:rsid w:val="09E319B7"/>
    <w:rsid w:val="09ED721B"/>
    <w:rsid w:val="0A16231D"/>
    <w:rsid w:val="0A394E5E"/>
    <w:rsid w:val="0A4214E6"/>
    <w:rsid w:val="0A622F41"/>
    <w:rsid w:val="0A7A446C"/>
    <w:rsid w:val="0A7D5CED"/>
    <w:rsid w:val="0A7F7130"/>
    <w:rsid w:val="0A870BFA"/>
    <w:rsid w:val="0A9B2547"/>
    <w:rsid w:val="0ACA0AE6"/>
    <w:rsid w:val="0AF11BC9"/>
    <w:rsid w:val="0AFB176D"/>
    <w:rsid w:val="0B0B31B3"/>
    <w:rsid w:val="0B144A64"/>
    <w:rsid w:val="0B1C7012"/>
    <w:rsid w:val="0B240833"/>
    <w:rsid w:val="0B3031ED"/>
    <w:rsid w:val="0B354EB2"/>
    <w:rsid w:val="0B373F04"/>
    <w:rsid w:val="0B3F0F07"/>
    <w:rsid w:val="0B4C17B5"/>
    <w:rsid w:val="0B5155F7"/>
    <w:rsid w:val="0B6901C4"/>
    <w:rsid w:val="0B692F04"/>
    <w:rsid w:val="0B6A096C"/>
    <w:rsid w:val="0B721EFB"/>
    <w:rsid w:val="0B7E024F"/>
    <w:rsid w:val="0B8556F0"/>
    <w:rsid w:val="0B894B9F"/>
    <w:rsid w:val="0B8E23DB"/>
    <w:rsid w:val="0B9C58ED"/>
    <w:rsid w:val="0BC4039D"/>
    <w:rsid w:val="0BD14F4E"/>
    <w:rsid w:val="0BDF2684"/>
    <w:rsid w:val="0BDF30E8"/>
    <w:rsid w:val="0BDF5D7D"/>
    <w:rsid w:val="0BE60A01"/>
    <w:rsid w:val="0BEC43AB"/>
    <w:rsid w:val="0C182E69"/>
    <w:rsid w:val="0C1D529F"/>
    <w:rsid w:val="0C1E1870"/>
    <w:rsid w:val="0C325E86"/>
    <w:rsid w:val="0C424E69"/>
    <w:rsid w:val="0C5D7BD6"/>
    <w:rsid w:val="0C620A1C"/>
    <w:rsid w:val="0C7C7D5B"/>
    <w:rsid w:val="0C8E6CD7"/>
    <w:rsid w:val="0CB11F5E"/>
    <w:rsid w:val="0CC20327"/>
    <w:rsid w:val="0CC24884"/>
    <w:rsid w:val="0CE86762"/>
    <w:rsid w:val="0CEC4544"/>
    <w:rsid w:val="0CEE7177"/>
    <w:rsid w:val="0D085996"/>
    <w:rsid w:val="0D256266"/>
    <w:rsid w:val="0D6E60A1"/>
    <w:rsid w:val="0D9171AE"/>
    <w:rsid w:val="0DA9338A"/>
    <w:rsid w:val="0DE037BA"/>
    <w:rsid w:val="0DE85E53"/>
    <w:rsid w:val="0E0E1F7D"/>
    <w:rsid w:val="0E0E4861"/>
    <w:rsid w:val="0E132C75"/>
    <w:rsid w:val="0E2E2A82"/>
    <w:rsid w:val="0E407A3D"/>
    <w:rsid w:val="0E550C71"/>
    <w:rsid w:val="0E5F01E5"/>
    <w:rsid w:val="0E8363B6"/>
    <w:rsid w:val="0EB253C1"/>
    <w:rsid w:val="0EB957D3"/>
    <w:rsid w:val="0ECE1CDE"/>
    <w:rsid w:val="0ECF35E0"/>
    <w:rsid w:val="0EDB7766"/>
    <w:rsid w:val="0EED3D24"/>
    <w:rsid w:val="0F1B578D"/>
    <w:rsid w:val="0F1D03EF"/>
    <w:rsid w:val="0F3533CF"/>
    <w:rsid w:val="0F461A45"/>
    <w:rsid w:val="0F684453"/>
    <w:rsid w:val="0F7165DD"/>
    <w:rsid w:val="0F8B2DA9"/>
    <w:rsid w:val="0FB15E33"/>
    <w:rsid w:val="0FDA797C"/>
    <w:rsid w:val="0FE75496"/>
    <w:rsid w:val="0FF86D48"/>
    <w:rsid w:val="100C563E"/>
    <w:rsid w:val="10292C44"/>
    <w:rsid w:val="10841837"/>
    <w:rsid w:val="10883FD1"/>
    <w:rsid w:val="109F5877"/>
    <w:rsid w:val="10BB57F6"/>
    <w:rsid w:val="10BC00C6"/>
    <w:rsid w:val="10E13394"/>
    <w:rsid w:val="10FD2B76"/>
    <w:rsid w:val="110C102F"/>
    <w:rsid w:val="11181B40"/>
    <w:rsid w:val="114333A1"/>
    <w:rsid w:val="114A462A"/>
    <w:rsid w:val="1169081A"/>
    <w:rsid w:val="118249C0"/>
    <w:rsid w:val="11AB1672"/>
    <w:rsid w:val="11B03DAF"/>
    <w:rsid w:val="11BE795D"/>
    <w:rsid w:val="11DE655A"/>
    <w:rsid w:val="12303C06"/>
    <w:rsid w:val="123E6579"/>
    <w:rsid w:val="12421048"/>
    <w:rsid w:val="124E27C4"/>
    <w:rsid w:val="125C0391"/>
    <w:rsid w:val="126F2075"/>
    <w:rsid w:val="128D6FC9"/>
    <w:rsid w:val="12950F85"/>
    <w:rsid w:val="12960862"/>
    <w:rsid w:val="12A04BDA"/>
    <w:rsid w:val="12A86650"/>
    <w:rsid w:val="12E51257"/>
    <w:rsid w:val="12F57C06"/>
    <w:rsid w:val="12FD6D66"/>
    <w:rsid w:val="12FF18AF"/>
    <w:rsid w:val="131953F9"/>
    <w:rsid w:val="134C233A"/>
    <w:rsid w:val="136C6BDF"/>
    <w:rsid w:val="136F7A26"/>
    <w:rsid w:val="137B051A"/>
    <w:rsid w:val="138222F2"/>
    <w:rsid w:val="13837718"/>
    <w:rsid w:val="138C0895"/>
    <w:rsid w:val="138D048A"/>
    <w:rsid w:val="13900013"/>
    <w:rsid w:val="13931510"/>
    <w:rsid w:val="13A11597"/>
    <w:rsid w:val="13AE09B3"/>
    <w:rsid w:val="13C04FD2"/>
    <w:rsid w:val="13C31130"/>
    <w:rsid w:val="13C85D12"/>
    <w:rsid w:val="13C937D6"/>
    <w:rsid w:val="13E737B7"/>
    <w:rsid w:val="13EE393F"/>
    <w:rsid w:val="1402440B"/>
    <w:rsid w:val="1408673E"/>
    <w:rsid w:val="140E39DD"/>
    <w:rsid w:val="141C207A"/>
    <w:rsid w:val="142D54E1"/>
    <w:rsid w:val="14336CEA"/>
    <w:rsid w:val="14341855"/>
    <w:rsid w:val="14477D16"/>
    <w:rsid w:val="144B4426"/>
    <w:rsid w:val="14633F0B"/>
    <w:rsid w:val="14743D20"/>
    <w:rsid w:val="14774D9D"/>
    <w:rsid w:val="14817EA1"/>
    <w:rsid w:val="148D32B1"/>
    <w:rsid w:val="1493627B"/>
    <w:rsid w:val="14A539EC"/>
    <w:rsid w:val="14DA45EC"/>
    <w:rsid w:val="14E56F92"/>
    <w:rsid w:val="14ED3D4F"/>
    <w:rsid w:val="14F33389"/>
    <w:rsid w:val="14FB602E"/>
    <w:rsid w:val="150E3E9E"/>
    <w:rsid w:val="151F1ED6"/>
    <w:rsid w:val="1564126D"/>
    <w:rsid w:val="15645D6E"/>
    <w:rsid w:val="157F0489"/>
    <w:rsid w:val="15A614D9"/>
    <w:rsid w:val="15CA6D94"/>
    <w:rsid w:val="15D226A2"/>
    <w:rsid w:val="15DB7622"/>
    <w:rsid w:val="162271CE"/>
    <w:rsid w:val="163D2276"/>
    <w:rsid w:val="1646616E"/>
    <w:rsid w:val="164B7078"/>
    <w:rsid w:val="16545E33"/>
    <w:rsid w:val="16961986"/>
    <w:rsid w:val="16984A31"/>
    <w:rsid w:val="16A724A2"/>
    <w:rsid w:val="16DF64BF"/>
    <w:rsid w:val="16E25B8A"/>
    <w:rsid w:val="16FF6F24"/>
    <w:rsid w:val="170555E3"/>
    <w:rsid w:val="172547B0"/>
    <w:rsid w:val="17562AFA"/>
    <w:rsid w:val="178701A0"/>
    <w:rsid w:val="178D3B42"/>
    <w:rsid w:val="17CD1BB2"/>
    <w:rsid w:val="17EB105E"/>
    <w:rsid w:val="17F54509"/>
    <w:rsid w:val="180D61E0"/>
    <w:rsid w:val="181417AB"/>
    <w:rsid w:val="18460FF6"/>
    <w:rsid w:val="184B4224"/>
    <w:rsid w:val="184F21B3"/>
    <w:rsid w:val="186802BC"/>
    <w:rsid w:val="18864D3A"/>
    <w:rsid w:val="189A4C02"/>
    <w:rsid w:val="18A626E9"/>
    <w:rsid w:val="18A74FE1"/>
    <w:rsid w:val="18A90755"/>
    <w:rsid w:val="18B77BA2"/>
    <w:rsid w:val="18BA17D8"/>
    <w:rsid w:val="18C835DC"/>
    <w:rsid w:val="18CB4DD4"/>
    <w:rsid w:val="18D41CCF"/>
    <w:rsid w:val="18E1122A"/>
    <w:rsid w:val="190A1374"/>
    <w:rsid w:val="19192C89"/>
    <w:rsid w:val="193006AE"/>
    <w:rsid w:val="19364865"/>
    <w:rsid w:val="19392B48"/>
    <w:rsid w:val="195E4D01"/>
    <w:rsid w:val="19961403"/>
    <w:rsid w:val="19A07745"/>
    <w:rsid w:val="19B25FC3"/>
    <w:rsid w:val="19BF282D"/>
    <w:rsid w:val="19C0263E"/>
    <w:rsid w:val="19CA0B03"/>
    <w:rsid w:val="19CD08FA"/>
    <w:rsid w:val="19D22C3D"/>
    <w:rsid w:val="1A0D68EB"/>
    <w:rsid w:val="1A116732"/>
    <w:rsid w:val="1A2B68D6"/>
    <w:rsid w:val="1A50307B"/>
    <w:rsid w:val="1A810701"/>
    <w:rsid w:val="1A9D590B"/>
    <w:rsid w:val="1AA441E5"/>
    <w:rsid w:val="1AC85D1B"/>
    <w:rsid w:val="1ACC5E1B"/>
    <w:rsid w:val="1AD304B8"/>
    <w:rsid w:val="1AE006FC"/>
    <w:rsid w:val="1AFF05E0"/>
    <w:rsid w:val="1B0374CB"/>
    <w:rsid w:val="1B1021D6"/>
    <w:rsid w:val="1B2E0D2F"/>
    <w:rsid w:val="1B34316D"/>
    <w:rsid w:val="1B3C49CA"/>
    <w:rsid w:val="1B4771C2"/>
    <w:rsid w:val="1B7D49F7"/>
    <w:rsid w:val="1B8E56AB"/>
    <w:rsid w:val="1BA80A6F"/>
    <w:rsid w:val="1BB14E66"/>
    <w:rsid w:val="1BE04391"/>
    <w:rsid w:val="1BE31C2B"/>
    <w:rsid w:val="1BF8652E"/>
    <w:rsid w:val="1C2E65C9"/>
    <w:rsid w:val="1C2F716F"/>
    <w:rsid w:val="1C3E54EB"/>
    <w:rsid w:val="1C3F3D72"/>
    <w:rsid w:val="1C552039"/>
    <w:rsid w:val="1C796C6B"/>
    <w:rsid w:val="1C8A3C5A"/>
    <w:rsid w:val="1C8F7303"/>
    <w:rsid w:val="1C901B90"/>
    <w:rsid w:val="1C967A89"/>
    <w:rsid w:val="1CAE291B"/>
    <w:rsid w:val="1CC21924"/>
    <w:rsid w:val="1CD15C79"/>
    <w:rsid w:val="1CF511D4"/>
    <w:rsid w:val="1D1B4F27"/>
    <w:rsid w:val="1D20081E"/>
    <w:rsid w:val="1D335514"/>
    <w:rsid w:val="1D356CC0"/>
    <w:rsid w:val="1D501181"/>
    <w:rsid w:val="1D8343E7"/>
    <w:rsid w:val="1D992236"/>
    <w:rsid w:val="1DA51267"/>
    <w:rsid w:val="1DC27599"/>
    <w:rsid w:val="1DE42258"/>
    <w:rsid w:val="1DE71C83"/>
    <w:rsid w:val="1DF82208"/>
    <w:rsid w:val="1DFB27F1"/>
    <w:rsid w:val="1E150EE3"/>
    <w:rsid w:val="1E3C4FCE"/>
    <w:rsid w:val="1E5A2132"/>
    <w:rsid w:val="1E776749"/>
    <w:rsid w:val="1E820D2A"/>
    <w:rsid w:val="1E8F1ECA"/>
    <w:rsid w:val="1E9546A5"/>
    <w:rsid w:val="1E9B1F5F"/>
    <w:rsid w:val="1EA37146"/>
    <w:rsid w:val="1EA96F39"/>
    <w:rsid w:val="1EAB1ADB"/>
    <w:rsid w:val="1EAC4085"/>
    <w:rsid w:val="1EBF5830"/>
    <w:rsid w:val="1EC645BF"/>
    <w:rsid w:val="1EC67C8F"/>
    <w:rsid w:val="1ED8574D"/>
    <w:rsid w:val="1EDC1A7B"/>
    <w:rsid w:val="1EDD7FA9"/>
    <w:rsid w:val="1F0268BD"/>
    <w:rsid w:val="1F0F280A"/>
    <w:rsid w:val="1F1260D8"/>
    <w:rsid w:val="1F2422DF"/>
    <w:rsid w:val="1F2B2168"/>
    <w:rsid w:val="1F306773"/>
    <w:rsid w:val="1F346CA0"/>
    <w:rsid w:val="1F417171"/>
    <w:rsid w:val="1F4C66FE"/>
    <w:rsid w:val="1F5844BB"/>
    <w:rsid w:val="1F5A6485"/>
    <w:rsid w:val="1F77014D"/>
    <w:rsid w:val="1F827198"/>
    <w:rsid w:val="1F876088"/>
    <w:rsid w:val="1F925678"/>
    <w:rsid w:val="1F9F20EA"/>
    <w:rsid w:val="1FB47EFC"/>
    <w:rsid w:val="1FBE4E55"/>
    <w:rsid w:val="1FD35342"/>
    <w:rsid w:val="1FDB5C4A"/>
    <w:rsid w:val="200705EA"/>
    <w:rsid w:val="203945B9"/>
    <w:rsid w:val="2042167B"/>
    <w:rsid w:val="204D2CD4"/>
    <w:rsid w:val="20500A32"/>
    <w:rsid w:val="205D4EF1"/>
    <w:rsid w:val="20677454"/>
    <w:rsid w:val="20787973"/>
    <w:rsid w:val="207F496E"/>
    <w:rsid w:val="20885D40"/>
    <w:rsid w:val="20A21E92"/>
    <w:rsid w:val="20A37050"/>
    <w:rsid w:val="20A91698"/>
    <w:rsid w:val="20B53E4A"/>
    <w:rsid w:val="20BA6848"/>
    <w:rsid w:val="20C430EF"/>
    <w:rsid w:val="20E07AF1"/>
    <w:rsid w:val="20E223FB"/>
    <w:rsid w:val="20F37841"/>
    <w:rsid w:val="210F4172"/>
    <w:rsid w:val="215E7F7D"/>
    <w:rsid w:val="216A5B17"/>
    <w:rsid w:val="21881D08"/>
    <w:rsid w:val="218C5F60"/>
    <w:rsid w:val="218D3E5D"/>
    <w:rsid w:val="21910AEA"/>
    <w:rsid w:val="21AA2BB6"/>
    <w:rsid w:val="21CE6EEF"/>
    <w:rsid w:val="21D073B0"/>
    <w:rsid w:val="21D72497"/>
    <w:rsid w:val="21DE4542"/>
    <w:rsid w:val="21EB6A1B"/>
    <w:rsid w:val="21ED538F"/>
    <w:rsid w:val="21F0447F"/>
    <w:rsid w:val="21F77868"/>
    <w:rsid w:val="21FB63BA"/>
    <w:rsid w:val="220F17A9"/>
    <w:rsid w:val="2217504C"/>
    <w:rsid w:val="223E2DC4"/>
    <w:rsid w:val="22491C26"/>
    <w:rsid w:val="22497597"/>
    <w:rsid w:val="224E07D8"/>
    <w:rsid w:val="22554647"/>
    <w:rsid w:val="22575CE6"/>
    <w:rsid w:val="2264646B"/>
    <w:rsid w:val="226C52A0"/>
    <w:rsid w:val="226E2973"/>
    <w:rsid w:val="226F59C8"/>
    <w:rsid w:val="22887BC3"/>
    <w:rsid w:val="22FA3D86"/>
    <w:rsid w:val="231A1B0E"/>
    <w:rsid w:val="231B09DE"/>
    <w:rsid w:val="23222DE2"/>
    <w:rsid w:val="23244A98"/>
    <w:rsid w:val="23373684"/>
    <w:rsid w:val="23567880"/>
    <w:rsid w:val="237D15F6"/>
    <w:rsid w:val="23876DB6"/>
    <w:rsid w:val="238C2D74"/>
    <w:rsid w:val="239048BE"/>
    <w:rsid w:val="23A93BDB"/>
    <w:rsid w:val="23A96390"/>
    <w:rsid w:val="23B35841"/>
    <w:rsid w:val="23C41338"/>
    <w:rsid w:val="23EF46D5"/>
    <w:rsid w:val="23F724F4"/>
    <w:rsid w:val="23FB1FD3"/>
    <w:rsid w:val="24042BDB"/>
    <w:rsid w:val="24234AF6"/>
    <w:rsid w:val="24404FB3"/>
    <w:rsid w:val="244C739C"/>
    <w:rsid w:val="245B144E"/>
    <w:rsid w:val="245D3144"/>
    <w:rsid w:val="246B7E66"/>
    <w:rsid w:val="246F4AAC"/>
    <w:rsid w:val="247E599E"/>
    <w:rsid w:val="248E26A9"/>
    <w:rsid w:val="249155FE"/>
    <w:rsid w:val="24C22B02"/>
    <w:rsid w:val="24E16FE1"/>
    <w:rsid w:val="24EB6423"/>
    <w:rsid w:val="250A773C"/>
    <w:rsid w:val="25136D8E"/>
    <w:rsid w:val="25384B48"/>
    <w:rsid w:val="25471D43"/>
    <w:rsid w:val="254D418D"/>
    <w:rsid w:val="255179ED"/>
    <w:rsid w:val="256B6EB4"/>
    <w:rsid w:val="2571095A"/>
    <w:rsid w:val="258549DE"/>
    <w:rsid w:val="259326F1"/>
    <w:rsid w:val="26016813"/>
    <w:rsid w:val="2606196B"/>
    <w:rsid w:val="26072636"/>
    <w:rsid w:val="26143C85"/>
    <w:rsid w:val="26156A2E"/>
    <w:rsid w:val="261750D0"/>
    <w:rsid w:val="261D1E42"/>
    <w:rsid w:val="262364AE"/>
    <w:rsid w:val="26414B12"/>
    <w:rsid w:val="2664395E"/>
    <w:rsid w:val="26712A32"/>
    <w:rsid w:val="26755ECA"/>
    <w:rsid w:val="2685584E"/>
    <w:rsid w:val="26906045"/>
    <w:rsid w:val="269E5D92"/>
    <w:rsid w:val="26A37629"/>
    <w:rsid w:val="26C02358"/>
    <w:rsid w:val="26C77C48"/>
    <w:rsid w:val="26D272A7"/>
    <w:rsid w:val="26D93911"/>
    <w:rsid w:val="26E63298"/>
    <w:rsid w:val="271543D2"/>
    <w:rsid w:val="27475541"/>
    <w:rsid w:val="275E46A6"/>
    <w:rsid w:val="27723BE0"/>
    <w:rsid w:val="27835FC2"/>
    <w:rsid w:val="27886618"/>
    <w:rsid w:val="278A15B2"/>
    <w:rsid w:val="278C71E1"/>
    <w:rsid w:val="279845D2"/>
    <w:rsid w:val="27B256E3"/>
    <w:rsid w:val="27D305C7"/>
    <w:rsid w:val="27D91A5B"/>
    <w:rsid w:val="27DB1F8C"/>
    <w:rsid w:val="27E31A18"/>
    <w:rsid w:val="27E964AC"/>
    <w:rsid w:val="27EE6269"/>
    <w:rsid w:val="27F947FC"/>
    <w:rsid w:val="280B2A12"/>
    <w:rsid w:val="282C4737"/>
    <w:rsid w:val="283F53A6"/>
    <w:rsid w:val="28424EE2"/>
    <w:rsid w:val="28453086"/>
    <w:rsid w:val="285E08D0"/>
    <w:rsid w:val="28637E3D"/>
    <w:rsid w:val="28651224"/>
    <w:rsid w:val="287B7B56"/>
    <w:rsid w:val="288D49B8"/>
    <w:rsid w:val="288D78CB"/>
    <w:rsid w:val="28A15125"/>
    <w:rsid w:val="28CB1F56"/>
    <w:rsid w:val="28D30D37"/>
    <w:rsid w:val="28DF504B"/>
    <w:rsid w:val="28E76FDC"/>
    <w:rsid w:val="28F224E1"/>
    <w:rsid w:val="28FC7ED2"/>
    <w:rsid w:val="290410FD"/>
    <w:rsid w:val="291A586C"/>
    <w:rsid w:val="292045F7"/>
    <w:rsid w:val="292B0B20"/>
    <w:rsid w:val="29514F8D"/>
    <w:rsid w:val="29613908"/>
    <w:rsid w:val="2967676A"/>
    <w:rsid w:val="298C582A"/>
    <w:rsid w:val="299568ED"/>
    <w:rsid w:val="299E4141"/>
    <w:rsid w:val="29CD2E3F"/>
    <w:rsid w:val="29D02637"/>
    <w:rsid w:val="29D432EC"/>
    <w:rsid w:val="29D67228"/>
    <w:rsid w:val="2A144AFA"/>
    <w:rsid w:val="2A212221"/>
    <w:rsid w:val="2A230158"/>
    <w:rsid w:val="2A3B2025"/>
    <w:rsid w:val="2A3D706A"/>
    <w:rsid w:val="2A5F55C3"/>
    <w:rsid w:val="2A6F48BA"/>
    <w:rsid w:val="2A8339A2"/>
    <w:rsid w:val="2ACE1EC8"/>
    <w:rsid w:val="2ADD059B"/>
    <w:rsid w:val="2ADE61BC"/>
    <w:rsid w:val="2AE632C3"/>
    <w:rsid w:val="2B007F78"/>
    <w:rsid w:val="2B290297"/>
    <w:rsid w:val="2B4A4876"/>
    <w:rsid w:val="2B6F55CF"/>
    <w:rsid w:val="2B9A382D"/>
    <w:rsid w:val="2BA0394B"/>
    <w:rsid w:val="2BA35BA3"/>
    <w:rsid w:val="2BB2311B"/>
    <w:rsid w:val="2BBD4C5A"/>
    <w:rsid w:val="2BCD150F"/>
    <w:rsid w:val="2BD93648"/>
    <w:rsid w:val="2BEC377F"/>
    <w:rsid w:val="2BFC2CAF"/>
    <w:rsid w:val="2C26758B"/>
    <w:rsid w:val="2C286B86"/>
    <w:rsid w:val="2C292C06"/>
    <w:rsid w:val="2C357305"/>
    <w:rsid w:val="2C383938"/>
    <w:rsid w:val="2C473F94"/>
    <w:rsid w:val="2C475FE3"/>
    <w:rsid w:val="2C4958B7"/>
    <w:rsid w:val="2C5E4EB5"/>
    <w:rsid w:val="2C89125C"/>
    <w:rsid w:val="2C916EC8"/>
    <w:rsid w:val="2CA65861"/>
    <w:rsid w:val="2CC828D8"/>
    <w:rsid w:val="2D0E75A7"/>
    <w:rsid w:val="2D197F39"/>
    <w:rsid w:val="2D272F05"/>
    <w:rsid w:val="2D3145A1"/>
    <w:rsid w:val="2D472455"/>
    <w:rsid w:val="2D477E26"/>
    <w:rsid w:val="2D4E0FF6"/>
    <w:rsid w:val="2D551367"/>
    <w:rsid w:val="2D8F19F0"/>
    <w:rsid w:val="2D9939FD"/>
    <w:rsid w:val="2DA06D16"/>
    <w:rsid w:val="2DB53831"/>
    <w:rsid w:val="2DCE3C7D"/>
    <w:rsid w:val="2DCF0D38"/>
    <w:rsid w:val="2DDB0505"/>
    <w:rsid w:val="2DDB7535"/>
    <w:rsid w:val="2DF77CC5"/>
    <w:rsid w:val="2DFF70AD"/>
    <w:rsid w:val="2E197228"/>
    <w:rsid w:val="2E490CF6"/>
    <w:rsid w:val="2E494294"/>
    <w:rsid w:val="2E616693"/>
    <w:rsid w:val="2E640E80"/>
    <w:rsid w:val="2E685A4D"/>
    <w:rsid w:val="2E786928"/>
    <w:rsid w:val="2E85670C"/>
    <w:rsid w:val="2E93683E"/>
    <w:rsid w:val="2EAE51C5"/>
    <w:rsid w:val="2ECE0FF5"/>
    <w:rsid w:val="2EDB35F4"/>
    <w:rsid w:val="2EE80E9D"/>
    <w:rsid w:val="2F305550"/>
    <w:rsid w:val="2F340AB1"/>
    <w:rsid w:val="2F3E05FD"/>
    <w:rsid w:val="2F5A04F1"/>
    <w:rsid w:val="2F702A20"/>
    <w:rsid w:val="2F7601D5"/>
    <w:rsid w:val="2F7B4429"/>
    <w:rsid w:val="2F9C3813"/>
    <w:rsid w:val="2FB13E9F"/>
    <w:rsid w:val="2FB214E2"/>
    <w:rsid w:val="2FC13835"/>
    <w:rsid w:val="2FC17679"/>
    <w:rsid w:val="2FCB33B7"/>
    <w:rsid w:val="2FE82DA7"/>
    <w:rsid w:val="2FE8558C"/>
    <w:rsid w:val="2FED6249"/>
    <w:rsid w:val="2FF724D0"/>
    <w:rsid w:val="3012072F"/>
    <w:rsid w:val="301A150C"/>
    <w:rsid w:val="302D1BB3"/>
    <w:rsid w:val="30342F1D"/>
    <w:rsid w:val="30395C43"/>
    <w:rsid w:val="303F40CB"/>
    <w:rsid w:val="305344F9"/>
    <w:rsid w:val="305658CA"/>
    <w:rsid w:val="306C1DBC"/>
    <w:rsid w:val="307A4AC9"/>
    <w:rsid w:val="308929C6"/>
    <w:rsid w:val="30893359"/>
    <w:rsid w:val="308E0291"/>
    <w:rsid w:val="30942A46"/>
    <w:rsid w:val="309E477A"/>
    <w:rsid w:val="30A42698"/>
    <w:rsid w:val="30DB652B"/>
    <w:rsid w:val="30E639BE"/>
    <w:rsid w:val="30E74C0B"/>
    <w:rsid w:val="30F02844"/>
    <w:rsid w:val="30F30335"/>
    <w:rsid w:val="31051699"/>
    <w:rsid w:val="310D5CA5"/>
    <w:rsid w:val="311321B5"/>
    <w:rsid w:val="311A5A74"/>
    <w:rsid w:val="311F02AF"/>
    <w:rsid w:val="313A7E15"/>
    <w:rsid w:val="3145771C"/>
    <w:rsid w:val="3151177C"/>
    <w:rsid w:val="317A3376"/>
    <w:rsid w:val="318031CF"/>
    <w:rsid w:val="31890866"/>
    <w:rsid w:val="318A77C5"/>
    <w:rsid w:val="31905D36"/>
    <w:rsid w:val="31A063FD"/>
    <w:rsid w:val="31B4416D"/>
    <w:rsid w:val="31E150A9"/>
    <w:rsid w:val="31F5271A"/>
    <w:rsid w:val="320061DC"/>
    <w:rsid w:val="32327209"/>
    <w:rsid w:val="32352A7B"/>
    <w:rsid w:val="323671A4"/>
    <w:rsid w:val="3237369F"/>
    <w:rsid w:val="32406CCF"/>
    <w:rsid w:val="32463A26"/>
    <w:rsid w:val="32552500"/>
    <w:rsid w:val="326E6E6C"/>
    <w:rsid w:val="32700042"/>
    <w:rsid w:val="327166EE"/>
    <w:rsid w:val="327C087E"/>
    <w:rsid w:val="328141BD"/>
    <w:rsid w:val="328F5EAD"/>
    <w:rsid w:val="32933F60"/>
    <w:rsid w:val="329A2FAD"/>
    <w:rsid w:val="329B4993"/>
    <w:rsid w:val="32CA3359"/>
    <w:rsid w:val="32E02AEF"/>
    <w:rsid w:val="32E5571A"/>
    <w:rsid w:val="32EB65E8"/>
    <w:rsid w:val="32EC120E"/>
    <w:rsid w:val="32EE756C"/>
    <w:rsid w:val="331623EA"/>
    <w:rsid w:val="33165D81"/>
    <w:rsid w:val="331F562A"/>
    <w:rsid w:val="331F7CDC"/>
    <w:rsid w:val="33201918"/>
    <w:rsid w:val="33275293"/>
    <w:rsid w:val="333B2E78"/>
    <w:rsid w:val="33441CFD"/>
    <w:rsid w:val="33634E42"/>
    <w:rsid w:val="3386499B"/>
    <w:rsid w:val="33B12A74"/>
    <w:rsid w:val="33B755E0"/>
    <w:rsid w:val="33EA22B9"/>
    <w:rsid w:val="33EE561B"/>
    <w:rsid w:val="33F2005B"/>
    <w:rsid w:val="340915D9"/>
    <w:rsid w:val="341660D6"/>
    <w:rsid w:val="343321E4"/>
    <w:rsid w:val="3449718C"/>
    <w:rsid w:val="345A7CDA"/>
    <w:rsid w:val="346B239F"/>
    <w:rsid w:val="3477169F"/>
    <w:rsid w:val="347845C3"/>
    <w:rsid w:val="347A4A94"/>
    <w:rsid w:val="348061C8"/>
    <w:rsid w:val="348E726D"/>
    <w:rsid w:val="34A72740"/>
    <w:rsid w:val="34A83CBD"/>
    <w:rsid w:val="34C90259"/>
    <w:rsid w:val="34EC01CD"/>
    <w:rsid w:val="34F23FA0"/>
    <w:rsid w:val="34F5398E"/>
    <w:rsid w:val="35232779"/>
    <w:rsid w:val="354E7917"/>
    <w:rsid w:val="35533564"/>
    <w:rsid w:val="357F3C0D"/>
    <w:rsid w:val="359C482A"/>
    <w:rsid w:val="35A2648D"/>
    <w:rsid w:val="35B244CD"/>
    <w:rsid w:val="35EE3F20"/>
    <w:rsid w:val="363A1A40"/>
    <w:rsid w:val="365057CB"/>
    <w:rsid w:val="366F05D1"/>
    <w:rsid w:val="36707E4B"/>
    <w:rsid w:val="369E2CA4"/>
    <w:rsid w:val="36C06D6C"/>
    <w:rsid w:val="36C0742F"/>
    <w:rsid w:val="36C848DD"/>
    <w:rsid w:val="36CB72FE"/>
    <w:rsid w:val="370B22B6"/>
    <w:rsid w:val="3720617D"/>
    <w:rsid w:val="375335A8"/>
    <w:rsid w:val="375A115E"/>
    <w:rsid w:val="376F7161"/>
    <w:rsid w:val="37757EA8"/>
    <w:rsid w:val="37786996"/>
    <w:rsid w:val="37AB7604"/>
    <w:rsid w:val="38152477"/>
    <w:rsid w:val="381A3FBC"/>
    <w:rsid w:val="383115F5"/>
    <w:rsid w:val="386A4D8B"/>
    <w:rsid w:val="387060FE"/>
    <w:rsid w:val="38780152"/>
    <w:rsid w:val="387D2978"/>
    <w:rsid w:val="388242C0"/>
    <w:rsid w:val="388D490B"/>
    <w:rsid w:val="38A35CBB"/>
    <w:rsid w:val="38AA19BF"/>
    <w:rsid w:val="38C53CA2"/>
    <w:rsid w:val="38CA274D"/>
    <w:rsid w:val="38DB3D3B"/>
    <w:rsid w:val="38EC7CF6"/>
    <w:rsid w:val="391A3434"/>
    <w:rsid w:val="3950579F"/>
    <w:rsid w:val="39511C84"/>
    <w:rsid w:val="396759FD"/>
    <w:rsid w:val="397958BD"/>
    <w:rsid w:val="397D3884"/>
    <w:rsid w:val="39801E55"/>
    <w:rsid w:val="398048E2"/>
    <w:rsid w:val="398F55AF"/>
    <w:rsid w:val="39916AF0"/>
    <w:rsid w:val="399B079A"/>
    <w:rsid w:val="39AF7201"/>
    <w:rsid w:val="39BB72A2"/>
    <w:rsid w:val="39C61315"/>
    <w:rsid w:val="39DA200A"/>
    <w:rsid w:val="39DB1464"/>
    <w:rsid w:val="39EC4848"/>
    <w:rsid w:val="39FB1FB5"/>
    <w:rsid w:val="3A1D23B3"/>
    <w:rsid w:val="3A3620BE"/>
    <w:rsid w:val="3A3932E5"/>
    <w:rsid w:val="3A3F327A"/>
    <w:rsid w:val="3A402C8E"/>
    <w:rsid w:val="3A461688"/>
    <w:rsid w:val="3A502A4B"/>
    <w:rsid w:val="3A57294E"/>
    <w:rsid w:val="3A725720"/>
    <w:rsid w:val="3A88285F"/>
    <w:rsid w:val="3A8A623C"/>
    <w:rsid w:val="3A8D36C6"/>
    <w:rsid w:val="3A9E50EE"/>
    <w:rsid w:val="3ABC50BD"/>
    <w:rsid w:val="3AC416E1"/>
    <w:rsid w:val="3AE47E5B"/>
    <w:rsid w:val="3AFB0727"/>
    <w:rsid w:val="3B0E7AE4"/>
    <w:rsid w:val="3B34709E"/>
    <w:rsid w:val="3B374E54"/>
    <w:rsid w:val="3B662A70"/>
    <w:rsid w:val="3B7216AD"/>
    <w:rsid w:val="3B7A2E9E"/>
    <w:rsid w:val="3B815EBA"/>
    <w:rsid w:val="3B8B5E54"/>
    <w:rsid w:val="3B924D83"/>
    <w:rsid w:val="3B9C0F7B"/>
    <w:rsid w:val="3BA044D9"/>
    <w:rsid w:val="3BE54BE6"/>
    <w:rsid w:val="3C043541"/>
    <w:rsid w:val="3C1D0ABD"/>
    <w:rsid w:val="3C456A27"/>
    <w:rsid w:val="3C7B42E0"/>
    <w:rsid w:val="3C894E88"/>
    <w:rsid w:val="3CA37266"/>
    <w:rsid w:val="3CEF7ADE"/>
    <w:rsid w:val="3CF010B9"/>
    <w:rsid w:val="3CF61A27"/>
    <w:rsid w:val="3D1B7EA2"/>
    <w:rsid w:val="3D2116F3"/>
    <w:rsid w:val="3D2E7CCB"/>
    <w:rsid w:val="3D4B512D"/>
    <w:rsid w:val="3D612479"/>
    <w:rsid w:val="3D741EAE"/>
    <w:rsid w:val="3D7E2A2B"/>
    <w:rsid w:val="3D7E6297"/>
    <w:rsid w:val="3D834075"/>
    <w:rsid w:val="3D8D740C"/>
    <w:rsid w:val="3DBA72BA"/>
    <w:rsid w:val="3DC92869"/>
    <w:rsid w:val="3DD3562E"/>
    <w:rsid w:val="3DDE52D5"/>
    <w:rsid w:val="3DEE0AC0"/>
    <w:rsid w:val="3E077CBE"/>
    <w:rsid w:val="3E0F16C4"/>
    <w:rsid w:val="3E102F58"/>
    <w:rsid w:val="3E1B01C4"/>
    <w:rsid w:val="3E1C24A8"/>
    <w:rsid w:val="3E29618D"/>
    <w:rsid w:val="3E3C7AEA"/>
    <w:rsid w:val="3E3D4BD0"/>
    <w:rsid w:val="3E683EEA"/>
    <w:rsid w:val="3E824C64"/>
    <w:rsid w:val="3E8A0F75"/>
    <w:rsid w:val="3E987AEE"/>
    <w:rsid w:val="3E9A2284"/>
    <w:rsid w:val="3EAC34A7"/>
    <w:rsid w:val="3EB472BD"/>
    <w:rsid w:val="3F15252A"/>
    <w:rsid w:val="3F1B5750"/>
    <w:rsid w:val="3F3177A8"/>
    <w:rsid w:val="3F496CBE"/>
    <w:rsid w:val="3F587306"/>
    <w:rsid w:val="3F95733A"/>
    <w:rsid w:val="3FAE024D"/>
    <w:rsid w:val="3FF033EE"/>
    <w:rsid w:val="3FF67573"/>
    <w:rsid w:val="40213BB3"/>
    <w:rsid w:val="40250F00"/>
    <w:rsid w:val="40275EA5"/>
    <w:rsid w:val="40546C48"/>
    <w:rsid w:val="406B6B72"/>
    <w:rsid w:val="40701A4C"/>
    <w:rsid w:val="40741F5B"/>
    <w:rsid w:val="40774232"/>
    <w:rsid w:val="40860801"/>
    <w:rsid w:val="40865A6A"/>
    <w:rsid w:val="408E7435"/>
    <w:rsid w:val="40924816"/>
    <w:rsid w:val="40A427E0"/>
    <w:rsid w:val="40AE3E97"/>
    <w:rsid w:val="40FA1B12"/>
    <w:rsid w:val="4122513C"/>
    <w:rsid w:val="41355EF0"/>
    <w:rsid w:val="41392674"/>
    <w:rsid w:val="414763FC"/>
    <w:rsid w:val="415D1E0C"/>
    <w:rsid w:val="41794F45"/>
    <w:rsid w:val="41AA074E"/>
    <w:rsid w:val="41C51A2C"/>
    <w:rsid w:val="41E24A0A"/>
    <w:rsid w:val="41E54201"/>
    <w:rsid w:val="41EA0EFE"/>
    <w:rsid w:val="42517364"/>
    <w:rsid w:val="4262363F"/>
    <w:rsid w:val="42866E0B"/>
    <w:rsid w:val="42887741"/>
    <w:rsid w:val="429F792A"/>
    <w:rsid w:val="42A10A0B"/>
    <w:rsid w:val="42A82704"/>
    <w:rsid w:val="42AF630A"/>
    <w:rsid w:val="42CE76C5"/>
    <w:rsid w:val="4305085A"/>
    <w:rsid w:val="431742E7"/>
    <w:rsid w:val="43312BDE"/>
    <w:rsid w:val="433862B6"/>
    <w:rsid w:val="43457D5C"/>
    <w:rsid w:val="43743B53"/>
    <w:rsid w:val="43763D41"/>
    <w:rsid w:val="43843137"/>
    <w:rsid w:val="4391176E"/>
    <w:rsid w:val="43B545F0"/>
    <w:rsid w:val="43CF397F"/>
    <w:rsid w:val="43EC3C39"/>
    <w:rsid w:val="43F539A2"/>
    <w:rsid w:val="442447FA"/>
    <w:rsid w:val="442A447D"/>
    <w:rsid w:val="44391ED2"/>
    <w:rsid w:val="444903F3"/>
    <w:rsid w:val="444F12A9"/>
    <w:rsid w:val="449A28A3"/>
    <w:rsid w:val="449A4C45"/>
    <w:rsid w:val="44A85A06"/>
    <w:rsid w:val="44C252E7"/>
    <w:rsid w:val="44E43D61"/>
    <w:rsid w:val="44E72DD0"/>
    <w:rsid w:val="44EE10CA"/>
    <w:rsid w:val="452250F1"/>
    <w:rsid w:val="4525639F"/>
    <w:rsid w:val="452623E2"/>
    <w:rsid w:val="45284541"/>
    <w:rsid w:val="45316B5D"/>
    <w:rsid w:val="45593BE6"/>
    <w:rsid w:val="456875F0"/>
    <w:rsid w:val="456F5A54"/>
    <w:rsid w:val="45A96C77"/>
    <w:rsid w:val="45AC7614"/>
    <w:rsid w:val="45B33761"/>
    <w:rsid w:val="45C53DA9"/>
    <w:rsid w:val="45CC6425"/>
    <w:rsid w:val="45D3296A"/>
    <w:rsid w:val="45FE550D"/>
    <w:rsid w:val="463F07A1"/>
    <w:rsid w:val="46B67097"/>
    <w:rsid w:val="46BA5F18"/>
    <w:rsid w:val="46BC3AE3"/>
    <w:rsid w:val="46BF57EA"/>
    <w:rsid w:val="46E22B80"/>
    <w:rsid w:val="47073A3C"/>
    <w:rsid w:val="471C6162"/>
    <w:rsid w:val="471D1AE4"/>
    <w:rsid w:val="471E63A8"/>
    <w:rsid w:val="474B7E8D"/>
    <w:rsid w:val="474F4C0B"/>
    <w:rsid w:val="475F38B6"/>
    <w:rsid w:val="47685614"/>
    <w:rsid w:val="476D294A"/>
    <w:rsid w:val="47A428C2"/>
    <w:rsid w:val="47B75973"/>
    <w:rsid w:val="47C00874"/>
    <w:rsid w:val="47D236CB"/>
    <w:rsid w:val="47E41648"/>
    <w:rsid w:val="47E71D6B"/>
    <w:rsid w:val="47E801AB"/>
    <w:rsid w:val="47EC4B78"/>
    <w:rsid w:val="47F02948"/>
    <w:rsid w:val="480D47B9"/>
    <w:rsid w:val="48233849"/>
    <w:rsid w:val="48277842"/>
    <w:rsid w:val="482A083B"/>
    <w:rsid w:val="483D20C4"/>
    <w:rsid w:val="48776E5E"/>
    <w:rsid w:val="48795C23"/>
    <w:rsid w:val="48881D4F"/>
    <w:rsid w:val="488C2FD7"/>
    <w:rsid w:val="48974A79"/>
    <w:rsid w:val="489F5422"/>
    <w:rsid w:val="48D14BB0"/>
    <w:rsid w:val="48D70F6B"/>
    <w:rsid w:val="48E50E7E"/>
    <w:rsid w:val="490E63AC"/>
    <w:rsid w:val="490F1DBB"/>
    <w:rsid w:val="49260A0E"/>
    <w:rsid w:val="492A7C7B"/>
    <w:rsid w:val="493556E9"/>
    <w:rsid w:val="49750ACF"/>
    <w:rsid w:val="498768B0"/>
    <w:rsid w:val="498F1EC9"/>
    <w:rsid w:val="498F281F"/>
    <w:rsid w:val="49E1306F"/>
    <w:rsid w:val="4A0A6A2A"/>
    <w:rsid w:val="4A104F60"/>
    <w:rsid w:val="4A1277D9"/>
    <w:rsid w:val="4A204EC8"/>
    <w:rsid w:val="4A236AB7"/>
    <w:rsid w:val="4A4C7A60"/>
    <w:rsid w:val="4A5730A3"/>
    <w:rsid w:val="4A7D1B58"/>
    <w:rsid w:val="4A7D6FF8"/>
    <w:rsid w:val="4AD34EFA"/>
    <w:rsid w:val="4ADD1B95"/>
    <w:rsid w:val="4AE04400"/>
    <w:rsid w:val="4AE93111"/>
    <w:rsid w:val="4B30754A"/>
    <w:rsid w:val="4B37594E"/>
    <w:rsid w:val="4B3C44DC"/>
    <w:rsid w:val="4B4546E2"/>
    <w:rsid w:val="4B5F5FC3"/>
    <w:rsid w:val="4B6549DC"/>
    <w:rsid w:val="4B6E06DF"/>
    <w:rsid w:val="4B937C35"/>
    <w:rsid w:val="4B9F2EFD"/>
    <w:rsid w:val="4BAC3285"/>
    <w:rsid w:val="4BAF63DD"/>
    <w:rsid w:val="4BB57285"/>
    <w:rsid w:val="4BBD1489"/>
    <w:rsid w:val="4BDB0C2D"/>
    <w:rsid w:val="4C0478A6"/>
    <w:rsid w:val="4C3A380D"/>
    <w:rsid w:val="4C513FD9"/>
    <w:rsid w:val="4C6A0DCA"/>
    <w:rsid w:val="4C6B04B5"/>
    <w:rsid w:val="4C7F272A"/>
    <w:rsid w:val="4CB01933"/>
    <w:rsid w:val="4CB45732"/>
    <w:rsid w:val="4CBD3D2C"/>
    <w:rsid w:val="4CC24367"/>
    <w:rsid w:val="4CD160C0"/>
    <w:rsid w:val="4D022C05"/>
    <w:rsid w:val="4D1F5342"/>
    <w:rsid w:val="4D2C7AF3"/>
    <w:rsid w:val="4D343260"/>
    <w:rsid w:val="4D452701"/>
    <w:rsid w:val="4D484218"/>
    <w:rsid w:val="4D5D0D6B"/>
    <w:rsid w:val="4D5F4C58"/>
    <w:rsid w:val="4D677E3B"/>
    <w:rsid w:val="4D7267BE"/>
    <w:rsid w:val="4D9B3762"/>
    <w:rsid w:val="4DAA2AAB"/>
    <w:rsid w:val="4DD067B1"/>
    <w:rsid w:val="4DDC7FA5"/>
    <w:rsid w:val="4DF441B9"/>
    <w:rsid w:val="4E143766"/>
    <w:rsid w:val="4E4906EE"/>
    <w:rsid w:val="4E5C0BF1"/>
    <w:rsid w:val="4E692982"/>
    <w:rsid w:val="4E81128D"/>
    <w:rsid w:val="4EAA2B9B"/>
    <w:rsid w:val="4EAC63A7"/>
    <w:rsid w:val="4EB44450"/>
    <w:rsid w:val="4EBE06E2"/>
    <w:rsid w:val="4EF018DD"/>
    <w:rsid w:val="4F04640B"/>
    <w:rsid w:val="4F0E3BBD"/>
    <w:rsid w:val="4F144EEE"/>
    <w:rsid w:val="4F1F277C"/>
    <w:rsid w:val="4F4C2A01"/>
    <w:rsid w:val="4F697E9B"/>
    <w:rsid w:val="4F6B7BB9"/>
    <w:rsid w:val="4F981B6D"/>
    <w:rsid w:val="4FA6654E"/>
    <w:rsid w:val="4FCC7BD9"/>
    <w:rsid w:val="4FD51E77"/>
    <w:rsid w:val="4FEF0962"/>
    <w:rsid w:val="4FF51ACA"/>
    <w:rsid w:val="4FF659D3"/>
    <w:rsid w:val="4FFB6AF8"/>
    <w:rsid w:val="502D6990"/>
    <w:rsid w:val="503A7C33"/>
    <w:rsid w:val="503B7503"/>
    <w:rsid w:val="505408EF"/>
    <w:rsid w:val="50626FEC"/>
    <w:rsid w:val="50802698"/>
    <w:rsid w:val="50B36090"/>
    <w:rsid w:val="50B62460"/>
    <w:rsid w:val="50DF4E67"/>
    <w:rsid w:val="50E15827"/>
    <w:rsid w:val="51002F0E"/>
    <w:rsid w:val="51071B0C"/>
    <w:rsid w:val="51753008"/>
    <w:rsid w:val="517D7903"/>
    <w:rsid w:val="51E809A2"/>
    <w:rsid w:val="51EF6CDE"/>
    <w:rsid w:val="51F219E4"/>
    <w:rsid w:val="52151A1A"/>
    <w:rsid w:val="521A27C6"/>
    <w:rsid w:val="52214FE4"/>
    <w:rsid w:val="522C13B9"/>
    <w:rsid w:val="5234116C"/>
    <w:rsid w:val="52391B1D"/>
    <w:rsid w:val="5254213E"/>
    <w:rsid w:val="526650E8"/>
    <w:rsid w:val="5274323B"/>
    <w:rsid w:val="527812C6"/>
    <w:rsid w:val="52804735"/>
    <w:rsid w:val="52AE3750"/>
    <w:rsid w:val="52B5436D"/>
    <w:rsid w:val="52BE1CC3"/>
    <w:rsid w:val="52DB195C"/>
    <w:rsid w:val="52E25026"/>
    <w:rsid w:val="52F03D33"/>
    <w:rsid w:val="53053AB0"/>
    <w:rsid w:val="531655AF"/>
    <w:rsid w:val="531E0F9C"/>
    <w:rsid w:val="5367764E"/>
    <w:rsid w:val="536E66F9"/>
    <w:rsid w:val="53733BF6"/>
    <w:rsid w:val="53764934"/>
    <w:rsid w:val="53873D44"/>
    <w:rsid w:val="53962B3E"/>
    <w:rsid w:val="539F4BC3"/>
    <w:rsid w:val="53C7637D"/>
    <w:rsid w:val="53C9708E"/>
    <w:rsid w:val="53CD6E9C"/>
    <w:rsid w:val="53E3217E"/>
    <w:rsid w:val="53E51640"/>
    <w:rsid w:val="5410069F"/>
    <w:rsid w:val="541F502B"/>
    <w:rsid w:val="5428422D"/>
    <w:rsid w:val="542850CE"/>
    <w:rsid w:val="54405195"/>
    <w:rsid w:val="54412AB9"/>
    <w:rsid w:val="54484B90"/>
    <w:rsid w:val="545430A1"/>
    <w:rsid w:val="5459131B"/>
    <w:rsid w:val="5471114B"/>
    <w:rsid w:val="54B14A15"/>
    <w:rsid w:val="54B14ED7"/>
    <w:rsid w:val="54BE73BB"/>
    <w:rsid w:val="54C0392D"/>
    <w:rsid w:val="54EC1A3E"/>
    <w:rsid w:val="550876C8"/>
    <w:rsid w:val="552473CE"/>
    <w:rsid w:val="55273084"/>
    <w:rsid w:val="553918DB"/>
    <w:rsid w:val="554F3566"/>
    <w:rsid w:val="55694C7A"/>
    <w:rsid w:val="557A1F24"/>
    <w:rsid w:val="557B277B"/>
    <w:rsid w:val="55974A50"/>
    <w:rsid w:val="55A939CC"/>
    <w:rsid w:val="55AA7895"/>
    <w:rsid w:val="55DF443D"/>
    <w:rsid w:val="55E62380"/>
    <w:rsid w:val="55FB34EE"/>
    <w:rsid w:val="5628417F"/>
    <w:rsid w:val="562B489D"/>
    <w:rsid w:val="56310FE7"/>
    <w:rsid w:val="564357FC"/>
    <w:rsid w:val="5650554F"/>
    <w:rsid w:val="565C7725"/>
    <w:rsid w:val="56721800"/>
    <w:rsid w:val="568820D4"/>
    <w:rsid w:val="568D45BE"/>
    <w:rsid w:val="56936B3D"/>
    <w:rsid w:val="569D5052"/>
    <w:rsid w:val="56D33E1D"/>
    <w:rsid w:val="56EB5C17"/>
    <w:rsid w:val="56F67432"/>
    <w:rsid w:val="56FC10C4"/>
    <w:rsid w:val="570C2AAA"/>
    <w:rsid w:val="57196811"/>
    <w:rsid w:val="57230876"/>
    <w:rsid w:val="5725461D"/>
    <w:rsid w:val="57440F69"/>
    <w:rsid w:val="5754503F"/>
    <w:rsid w:val="576378C6"/>
    <w:rsid w:val="57645644"/>
    <w:rsid w:val="57664CC0"/>
    <w:rsid w:val="577D0987"/>
    <w:rsid w:val="578C51EE"/>
    <w:rsid w:val="57AC7CFA"/>
    <w:rsid w:val="57C2639A"/>
    <w:rsid w:val="57C43D39"/>
    <w:rsid w:val="57E27D6D"/>
    <w:rsid w:val="58135902"/>
    <w:rsid w:val="581D05D2"/>
    <w:rsid w:val="581E7B89"/>
    <w:rsid w:val="58203E2B"/>
    <w:rsid w:val="58363A1E"/>
    <w:rsid w:val="583B5B55"/>
    <w:rsid w:val="583E7652"/>
    <w:rsid w:val="586C0F12"/>
    <w:rsid w:val="586E0CF8"/>
    <w:rsid w:val="587F7675"/>
    <w:rsid w:val="58A957AC"/>
    <w:rsid w:val="58AA2D4B"/>
    <w:rsid w:val="58B0376F"/>
    <w:rsid w:val="58D24194"/>
    <w:rsid w:val="590251D7"/>
    <w:rsid w:val="59075246"/>
    <w:rsid w:val="590810D4"/>
    <w:rsid w:val="592B1BE2"/>
    <w:rsid w:val="592D2065"/>
    <w:rsid w:val="593E07E2"/>
    <w:rsid w:val="59517920"/>
    <w:rsid w:val="59617A34"/>
    <w:rsid w:val="59657C29"/>
    <w:rsid w:val="596C32A7"/>
    <w:rsid w:val="59721B65"/>
    <w:rsid w:val="599574FB"/>
    <w:rsid w:val="59A25F54"/>
    <w:rsid w:val="59A87F44"/>
    <w:rsid w:val="59C451A3"/>
    <w:rsid w:val="59C46400"/>
    <w:rsid w:val="59CE01AC"/>
    <w:rsid w:val="59FD3B38"/>
    <w:rsid w:val="5A2B7D90"/>
    <w:rsid w:val="5A3E0765"/>
    <w:rsid w:val="5A406DEB"/>
    <w:rsid w:val="5A4640AD"/>
    <w:rsid w:val="5A493D64"/>
    <w:rsid w:val="5A583C89"/>
    <w:rsid w:val="5A5E3DF2"/>
    <w:rsid w:val="5A6E567A"/>
    <w:rsid w:val="5A8238C1"/>
    <w:rsid w:val="5A824E8E"/>
    <w:rsid w:val="5AAF6D4A"/>
    <w:rsid w:val="5AB74837"/>
    <w:rsid w:val="5ABB6038"/>
    <w:rsid w:val="5AC530DC"/>
    <w:rsid w:val="5AC54D73"/>
    <w:rsid w:val="5ADB7D78"/>
    <w:rsid w:val="5ADF16B5"/>
    <w:rsid w:val="5B034F7D"/>
    <w:rsid w:val="5B077572"/>
    <w:rsid w:val="5B1C48F7"/>
    <w:rsid w:val="5B3D2335"/>
    <w:rsid w:val="5B596518"/>
    <w:rsid w:val="5B825172"/>
    <w:rsid w:val="5B95101E"/>
    <w:rsid w:val="5BA43574"/>
    <w:rsid w:val="5BAA3237"/>
    <w:rsid w:val="5BBA2229"/>
    <w:rsid w:val="5BC46FC8"/>
    <w:rsid w:val="5BC91312"/>
    <w:rsid w:val="5BDD6EA5"/>
    <w:rsid w:val="5BDE1220"/>
    <w:rsid w:val="5BDE3B67"/>
    <w:rsid w:val="5C1F62D6"/>
    <w:rsid w:val="5C4471CE"/>
    <w:rsid w:val="5C470EA6"/>
    <w:rsid w:val="5C510CA7"/>
    <w:rsid w:val="5C6C4B26"/>
    <w:rsid w:val="5C70627F"/>
    <w:rsid w:val="5C78121F"/>
    <w:rsid w:val="5C7E3B46"/>
    <w:rsid w:val="5C8E6AD3"/>
    <w:rsid w:val="5C962A0F"/>
    <w:rsid w:val="5C9C63C8"/>
    <w:rsid w:val="5CA04BF9"/>
    <w:rsid w:val="5CBA15A3"/>
    <w:rsid w:val="5CD82D18"/>
    <w:rsid w:val="5CDC0BDD"/>
    <w:rsid w:val="5CE96DCA"/>
    <w:rsid w:val="5CFB0D0E"/>
    <w:rsid w:val="5D077EF5"/>
    <w:rsid w:val="5D0D570F"/>
    <w:rsid w:val="5D4708ED"/>
    <w:rsid w:val="5D5061F6"/>
    <w:rsid w:val="5D590772"/>
    <w:rsid w:val="5D670BC7"/>
    <w:rsid w:val="5D6F385A"/>
    <w:rsid w:val="5D8E4CA8"/>
    <w:rsid w:val="5DB86D54"/>
    <w:rsid w:val="5DBE6255"/>
    <w:rsid w:val="5DCA043A"/>
    <w:rsid w:val="5DDC5EE5"/>
    <w:rsid w:val="5DE06080"/>
    <w:rsid w:val="5E026B09"/>
    <w:rsid w:val="5E103836"/>
    <w:rsid w:val="5E1C1E8A"/>
    <w:rsid w:val="5E1C4572"/>
    <w:rsid w:val="5E246A8B"/>
    <w:rsid w:val="5E303CE5"/>
    <w:rsid w:val="5E4B5198"/>
    <w:rsid w:val="5E642265"/>
    <w:rsid w:val="5EA70CDE"/>
    <w:rsid w:val="5EBE0A06"/>
    <w:rsid w:val="5ECB1CD4"/>
    <w:rsid w:val="5ED50ED8"/>
    <w:rsid w:val="5EF779D7"/>
    <w:rsid w:val="5EFA1803"/>
    <w:rsid w:val="5EFC2014"/>
    <w:rsid w:val="5F0465E4"/>
    <w:rsid w:val="5F0E78E8"/>
    <w:rsid w:val="5F1B0A3E"/>
    <w:rsid w:val="5F3B2D6C"/>
    <w:rsid w:val="5F4D0535"/>
    <w:rsid w:val="5F57453E"/>
    <w:rsid w:val="5F5B53F6"/>
    <w:rsid w:val="5F60685A"/>
    <w:rsid w:val="5FA570E4"/>
    <w:rsid w:val="5FAC744F"/>
    <w:rsid w:val="5FC353A5"/>
    <w:rsid w:val="5FDC62ED"/>
    <w:rsid w:val="5FE819D3"/>
    <w:rsid w:val="5FED7100"/>
    <w:rsid w:val="5FF44887"/>
    <w:rsid w:val="602472A5"/>
    <w:rsid w:val="604550F9"/>
    <w:rsid w:val="6049085F"/>
    <w:rsid w:val="6051231A"/>
    <w:rsid w:val="60554CDC"/>
    <w:rsid w:val="60580311"/>
    <w:rsid w:val="60751E3A"/>
    <w:rsid w:val="60963944"/>
    <w:rsid w:val="60994E7B"/>
    <w:rsid w:val="60DC5B8D"/>
    <w:rsid w:val="60E77EFC"/>
    <w:rsid w:val="60ED27E4"/>
    <w:rsid w:val="611C61A9"/>
    <w:rsid w:val="6143479C"/>
    <w:rsid w:val="619A1950"/>
    <w:rsid w:val="619D4186"/>
    <w:rsid w:val="61AE7D97"/>
    <w:rsid w:val="61F80AC1"/>
    <w:rsid w:val="62031A89"/>
    <w:rsid w:val="621F43E9"/>
    <w:rsid w:val="622163B3"/>
    <w:rsid w:val="62316AA4"/>
    <w:rsid w:val="623E241B"/>
    <w:rsid w:val="624A237C"/>
    <w:rsid w:val="62685D90"/>
    <w:rsid w:val="62686EAA"/>
    <w:rsid w:val="62722A66"/>
    <w:rsid w:val="627D508D"/>
    <w:rsid w:val="62A226C2"/>
    <w:rsid w:val="62C8546B"/>
    <w:rsid w:val="62D813F4"/>
    <w:rsid w:val="62DC4BD7"/>
    <w:rsid w:val="630615B2"/>
    <w:rsid w:val="632073D1"/>
    <w:rsid w:val="6329520B"/>
    <w:rsid w:val="63362285"/>
    <w:rsid w:val="635C5213"/>
    <w:rsid w:val="636D7EBA"/>
    <w:rsid w:val="639064E8"/>
    <w:rsid w:val="63CE15FA"/>
    <w:rsid w:val="63D83474"/>
    <w:rsid w:val="63DB6EED"/>
    <w:rsid w:val="63EF2296"/>
    <w:rsid w:val="64044E99"/>
    <w:rsid w:val="643F15A9"/>
    <w:rsid w:val="644D1BED"/>
    <w:rsid w:val="64743A57"/>
    <w:rsid w:val="64962060"/>
    <w:rsid w:val="64A81117"/>
    <w:rsid w:val="64B27796"/>
    <w:rsid w:val="64B308E0"/>
    <w:rsid w:val="64C32CDA"/>
    <w:rsid w:val="64E85323"/>
    <w:rsid w:val="64E86B5E"/>
    <w:rsid w:val="64EC5266"/>
    <w:rsid w:val="653320C8"/>
    <w:rsid w:val="65336F33"/>
    <w:rsid w:val="655834E5"/>
    <w:rsid w:val="65774DE2"/>
    <w:rsid w:val="658F6A2D"/>
    <w:rsid w:val="65A9123D"/>
    <w:rsid w:val="65AF7C90"/>
    <w:rsid w:val="65B124D6"/>
    <w:rsid w:val="65BD2414"/>
    <w:rsid w:val="65FB194F"/>
    <w:rsid w:val="661208FC"/>
    <w:rsid w:val="661C3008"/>
    <w:rsid w:val="6626043C"/>
    <w:rsid w:val="662D301C"/>
    <w:rsid w:val="664A36D1"/>
    <w:rsid w:val="665A7A13"/>
    <w:rsid w:val="6664740F"/>
    <w:rsid w:val="6665384F"/>
    <w:rsid w:val="66807B4C"/>
    <w:rsid w:val="66843DD5"/>
    <w:rsid w:val="66943F9D"/>
    <w:rsid w:val="6695367E"/>
    <w:rsid w:val="66986EFA"/>
    <w:rsid w:val="66B91561"/>
    <w:rsid w:val="66B91976"/>
    <w:rsid w:val="66B97C81"/>
    <w:rsid w:val="66F43DD4"/>
    <w:rsid w:val="66FC4493"/>
    <w:rsid w:val="670C7116"/>
    <w:rsid w:val="673452B8"/>
    <w:rsid w:val="674B7A80"/>
    <w:rsid w:val="675C0C10"/>
    <w:rsid w:val="67B75509"/>
    <w:rsid w:val="67C004EE"/>
    <w:rsid w:val="67CB3049"/>
    <w:rsid w:val="67DF5789"/>
    <w:rsid w:val="67E5058E"/>
    <w:rsid w:val="67E553B0"/>
    <w:rsid w:val="67EF2889"/>
    <w:rsid w:val="67FA4E8C"/>
    <w:rsid w:val="67FB568E"/>
    <w:rsid w:val="680B2738"/>
    <w:rsid w:val="681E1C8A"/>
    <w:rsid w:val="681E74FC"/>
    <w:rsid w:val="68246020"/>
    <w:rsid w:val="6846531F"/>
    <w:rsid w:val="685A18FB"/>
    <w:rsid w:val="687C28DB"/>
    <w:rsid w:val="68907DEF"/>
    <w:rsid w:val="68976136"/>
    <w:rsid w:val="68A0278A"/>
    <w:rsid w:val="68C812E7"/>
    <w:rsid w:val="68CE0B86"/>
    <w:rsid w:val="68F540D3"/>
    <w:rsid w:val="69082643"/>
    <w:rsid w:val="69256E15"/>
    <w:rsid w:val="692764EA"/>
    <w:rsid w:val="695976F5"/>
    <w:rsid w:val="699219DD"/>
    <w:rsid w:val="69A654F2"/>
    <w:rsid w:val="69B00A10"/>
    <w:rsid w:val="69B42EE2"/>
    <w:rsid w:val="69D92366"/>
    <w:rsid w:val="69DE72A2"/>
    <w:rsid w:val="69E40BF9"/>
    <w:rsid w:val="69FA5E67"/>
    <w:rsid w:val="69FE2EB5"/>
    <w:rsid w:val="6A206100"/>
    <w:rsid w:val="6A263131"/>
    <w:rsid w:val="6A263720"/>
    <w:rsid w:val="6A330B04"/>
    <w:rsid w:val="6A426472"/>
    <w:rsid w:val="6A436AEC"/>
    <w:rsid w:val="6A717CE3"/>
    <w:rsid w:val="6A730EA4"/>
    <w:rsid w:val="6A9260A0"/>
    <w:rsid w:val="6AAB68AC"/>
    <w:rsid w:val="6AB574DF"/>
    <w:rsid w:val="6ACC62E0"/>
    <w:rsid w:val="6ACE4105"/>
    <w:rsid w:val="6AD03793"/>
    <w:rsid w:val="6AE608D0"/>
    <w:rsid w:val="6AFC29BB"/>
    <w:rsid w:val="6B1B6AC3"/>
    <w:rsid w:val="6B327AFB"/>
    <w:rsid w:val="6B336006"/>
    <w:rsid w:val="6B3C7DBA"/>
    <w:rsid w:val="6B467F07"/>
    <w:rsid w:val="6B4904A7"/>
    <w:rsid w:val="6B5E78FE"/>
    <w:rsid w:val="6B622E3D"/>
    <w:rsid w:val="6B94255A"/>
    <w:rsid w:val="6B966DF8"/>
    <w:rsid w:val="6BA554C4"/>
    <w:rsid w:val="6BB06E24"/>
    <w:rsid w:val="6BB211A1"/>
    <w:rsid w:val="6BF71AE5"/>
    <w:rsid w:val="6BFA67A6"/>
    <w:rsid w:val="6C0C2360"/>
    <w:rsid w:val="6C1D733F"/>
    <w:rsid w:val="6C296A44"/>
    <w:rsid w:val="6C2C23C0"/>
    <w:rsid w:val="6C395525"/>
    <w:rsid w:val="6C3D028D"/>
    <w:rsid w:val="6C54338D"/>
    <w:rsid w:val="6C5F747B"/>
    <w:rsid w:val="6C6643BF"/>
    <w:rsid w:val="6C667726"/>
    <w:rsid w:val="6C6B1CC8"/>
    <w:rsid w:val="6C813704"/>
    <w:rsid w:val="6CA65E33"/>
    <w:rsid w:val="6CCD618B"/>
    <w:rsid w:val="6CD41A5B"/>
    <w:rsid w:val="6CD45481"/>
    <w:rsid w:val="6CD57FE1"/>
    <w:rsid w:val="6D0059E8"/>
    <w:rsid w:val="6D0D058A"/>
    <w:rsid w:val="6D155705"/>
    <w:rsid w:val="6D2102DD"/>
    <w:rsid w:val="6D4F5F3E"/>
    <w:rsid w:val="6D654AF0"/>
    <w:rsid w:val="6D672DF1"/>
    <w:rsid w:val="6D6973ED"/>
    <w:rsid w:val="6D702BDA"/>
    <w:rsid w:val="6D7607C6"/>
    <w:rsid w:val="6D7C6B93"/>
    <w:rsid w:val="6D91680B"/>
    <w:rsid w:val="6DBE61E8"/>
    <w:rsid w:val="6DF45B50"/>
    <w:rsid w:val="6E0237C7"/>
    <w:rsid w:val="6E0F5CB7"/>
    <w:rsid w:val="6E3C46FC"/>
    <w:rsid w:val="6E487B8A"/>
    <w:rsid w:val="6E547FBE"/>
    <w:rsid w:val="6E62419F"/>
    <w:rsid w:val="6E9D322D"/>
    <w:rsid w:val="6EBB757B"/>
    <w:rsid w:val="6EC519AE"/>
    <w:rsid w:val="6ECA1928"/>
    <w:rsid w:val="6ED17380"/>
    <w:rsid w:val="6EE726EF"/>
    <w:rsid w:val="6EEE6897"/>
    <w:rsid w:val="6F080E6D"/>
    <w:rsid w:val="6F086931"/>
    <w:rsid w:val="6F175ED7"/>
    <w:rsid w:val="6F1A63C1"/>
    <w:rsid w:val="6F222ACE"/>
    <w:rsid w:val="6F231DA4"/>
    <w:rsid w:val="6F4106F3"/>
    <w:rsid w:val="6F724588"/>
    <w:rsid w:val="6F734606"/>
    <w:rsid w:val="6F812514"/>
    <w:rsid w:val="6F8C7562"/>
    <w:rsid w:val="6F8D5CB6"/>
    <w:rsid w:val="6FA9005F"/>
    <w:rsid w:val="6FC71C5E"/>
    <w:rsid w:val="6FCC43BD"/>
    <w:rsid w:val="6FD26F3F"/>
    <w:rsid w:val="6FD91702"/>
    <w:rsid w:val="6FE657EB"/>
    <w:rsid w:val="6FED00FF"/>
    <w:rsid w:val="6FF84890"/>
    <w:rsid w:val="70383246"/>
    <w:rsid w:val="704E6956"/>
    <w:rsid w:val="70A54970"/>
    <w:rsid w:val="70AB4394"/>
    <w:rsid w:val="70D3169F"/>
    <w:rsid w:val="70DC4E9C"/>
    <w:rsid w:val="711F45B9"/>
    <w:rsid w:val="712802B3"/>
    <w:rsid w:val="713B1222"/>
    <w:rsid w:val="714E63D6"/>
    <w:rsid w:val="71756349"/>
    <w:rsid w:val="71905F74"/>
    <w:rsid w:val="71AC3EEB"/>
    <w:rsid w:val="71C11019"/>
    <w:rsid w:val="71E33AEE"/>
    <w:rsid w:val="71F71DF5"/>
    <w:rsid w:val="71FC66A6"/>
    <w:rsid w:val="71FD217F"/>
    <w:rsid w:val="720601C5"/>
    <w:rsid w:val="72206BCE"/>
    <w:rsid w:val="72210924"/>
    <w:rsid w:val="722B123D"/>
    <w:rsid w:val="724541FF"/>
    <w:rsid w:val="72842B7E"/>
    <w:rsid w:val="72982C3D"/>
    <w:rsid w:val="729C6937"/>
    <w:rsid w:val="72AC0994"/>
    <w:rsid w:val="72C20476"/>
    <w:rsid w:val="72D32E9D"/>
    <w:rsid w:val="72D95E85"/>
    <w:rsid w:val="72E47E1D"/>
    <w:rsid w:val="72E66B78"/>
    <w:rsid w:val="72E7502A"/>
    <w:rsid w:val="73044502"/>
    <w:rsid w:val="7306762B"/>
    <w:rsid w:val="730832B1"/>
    <w:rsid w:val="7345735F"/>
    <w:rsid w:val="734E1B56"/>
    <w:rsid w:val="73577E87"/>
    <w:rsid w:val="736528CC"/>
    <w:rsid w:val="736D4CD8"/>
    <w:rsid w:val="73A019BD"/>
    <w:rsid w:val="73A9592E"/>
    <w:rsid w:val="73A960E7"/>
    <w:rsid w:val="73BC23E0"/>
    <w:rsid w:val="73DB7AF6"/>
    <w:rsid w:val="73DE0A03"/>
    <w:rsid w:val="73E96B3C"/>
    <w:rsid w:val="740A43A4"/>
    <w:rsid w:val="74314148"/>
    <w:rsid w:val="744C7E0E"/>
    <w:rsid w:val="745775DE"/>
    <w:rsid w:val="745D758A"/>
    <w:rsid w:val="745F712C"/>
    <w:rsid w:val="74695686"/>
    <w:rsid w:val="746C3BCF"/>
    <w:rsid w:val="74726218"/>
    <w:rsid w:val="74813987"/>
    <w:rsid w:val="74AF7B7D"/>
    <w:rsid w:val="74B15097"/>
    <w:rsid w:val="74B174B7"/>
    <w:rsid w:val="74B662A6"/>
    <w:rsid w:val="74C14C55"/>
    <w:rsid w:val="74C730E6"/>
    <w:rsid w:val="74D40C14"/>
    <w:rsid w:val="74DD408E"/>
    <w:rsid w:val="74EF0204"/>
    <w:rsid w:val="74F4000B"/>
    <w:rsid w:val="74F53565"/>
    <w:rsid w:val="750C0702"/>
    <w:rsid w:val="75290C8A"/>
    <w:rsid w:val="75354D85"/>
    <w:rsid w:val="753A05F3"/>
    <w:rsid w:val="75490817"/>
    <w:rsid w:val="755E271D"/>
    <w:rsid w:val="75611E78"/>
    <w:rsid w:val="756646E4"/>
    <w:rsid w:val="75674CA9"/>
    <w:rsid w:val="756C26AF"/>
    <w:rsid w:val="758B541D"/>
    <w:rsid w:val="75A152BF"/>
    <w:rsid w:val="75B5699E"/>
    <w:rsid w:val="75EF0431"/>
    <w:rsid w:val="761D6F02"/>
    <w:rsid w:val="7628317F"/>
    <w:rsid w:val="763846D6"/>
    <w:rsid w:val="765C2A9A"/>
    <w:rsid w:val="76616E2A"/>
    <w:rsid w:val="76647254"/>
    <w:rsid w:val="769470CC"/>
    <w:rsid w:val="76B4739E"/>
    <w:rsid w:val="76B90DB8"/>
    <w:rsid w:val="76CC293A"/>
    <w:rsid w:val="76CE0460"/>
    <w:rsid w:val="76E1191A"/>
    <w:rsid w:val="76EE01F5"/>
    <w:rsid w:val="7709593C"/>
    <w:rsid w:val="770F4A0E"/>
    <w:rsid w:val="771B662C"/>
    <w:rsid w:val="771C23B1"/>
    <w:rsid w:val="772E2BF6"/>
    <w:rsid w:val="774804CC"/>
    <w:rsid w:val="77547927"/>
    <w:rsid w:val="77722EAD"/>
    <w:rsid w:val="777234E1"/>
    <w:rsid w:val="777C270F"/>
    <w:rsid w:val="777C39DF"/>
    <w:rsid w:val="77CF75E3"/>
    <w:rsid w:val="77DD3B92"/>
    <w:rsid w:val="77F12A59"/>
    <w:rsid w:val="78063C29"/>
    <w:rsid w:val="780B46B4"/>
    <w:rsid w:val="782021D6"/>
    <w:rsid w:val="782C17E6"/>
    <w:rsid w:val="7831720A"/>
    <w:rsid w:val="784A371B"/>
    <w:rsid w:val="784D0268"/>
    <w:rsid w:val="78511BFB"/>
    <w:rsid w:val="78570929"/>
    <w:rsid w:val="78720F0B"/>
    <w:rsid w:val="787B6CEB"/>
    <w:rsid w:val="7889250C"/>
    <w:rsid w:val="7895540D"/>
    <w:rsid w:val="789629A1"/>
    <w:rsid w:val="78972AD3"/>
    <w:rsid w:val="78AA212A"/>
    <w:rsid w:val="78B47E62"/>
    <w:rsid w:val="78BD3A19"/>
    <w:rsid w:val="78CA743F"/>
    <w:rsid w:val="78FC723E"/>
    <w:rsid w:val="7903576C"/>
    <w:rsid w:val="791059C4"/>
    <w:rsid w:val="794013BD"/>
    <w:rsid w:val="79471A66"/>
    <w:rsid w:val="794B4FBB"/>
    <w:rsid w:val="79715F03"/>
    <w:rsid w:val="79832C90"/>
    <w:rsid w:val="79B34D12"/>
    <w:rsid w:val="79BA09EE"/>
    <w:rsid w:val="79CD40FA"/>
    <w:rsid w:val="79EA60FA"/>
    <w:rsid w:val="7A1376CB"/>
    <w:rsid w:val="7A28257D"/>
    <w:rsid w:val="7A2D1941"/>
    <w:rsid w:val="7A3F563E"/>
    <w:rsid w:val="7A47368D"/>
    <w:rsid w:val="7A477AC9"/>
    <w:rsid w:val="7A487312"/>
    <w:rsid w:val="7A4A7E2B"/>
    <w:rsid w:val="7A4B0FE0"/>
    <w:rsid w:val="7A4C2BA3"/>
    <w:rsid w:val="7A662F0C"/>
    <w:rsid w:val="7A922A62"/>
    <w:rsid w:val="7A9B7021"/>
    <w:rsid w:val="7AAB161A"/>
    <w:rsid w:val="7AB744CE"/>
    <w:rsid w:val="7AD622E1"/>
    <w:rsid w:val="7AE019BD"/>
    <w:rsid w:val="7AE31DB8"/>
    <w:rsid w:val="7AF2300E"/>
    <w:rsid w:val="7B0C07ED"/>
    <w:rsid w:val="7B192506"/>
    <w:rsid w:val="7B2B7492"/>
    <w:rsid w:val="7B3B29FD"/>
    <w:rsid w:val="7B440233"/>
    <w:rsid w:val="7B505C2F"/>
    <w:rsid w:val="7B590514"/>
    <w:rsid w:val="7B631BC2"/>
    <w:rsid w:val="7B66424C"/>
    <w:rsid w:val="7BAC3148"/>
    <w:rsid w:val="7BBC0F77"/>
    <w:rsid w:val="7BBF003E"/>
    <w:rsid w:val="7BC86099"/>
    <w:rsid w:val="7BCF61EF"/>
    <w:rsid w:val="7BDE4FC2"/>
    <w:rsid w:val="7C251BB9"/>
    <w:rsid w:val="7C270A47"/>
    <w:rsid w:val="7C526BA2"/>
    <w:rsid w:val="7C66738C"/>
    <w:rsid w:val="7C7A2444"/>
    <w:rsid w:val="7C887303"/>
    <w:rsid w:val="7C9E49BB"/>
    <w:rsid w:val="7CBE33F7"/>
    <w:rsid w:val="7CDE5CED"/>
    <w:rsid w:val="7CE20075"/>
    <w:rsid w:val="7CE77E19"/>
    <w:rsid w:val="7CF873D9"/>
    <w:rsid w:val="7CFC31CC"/>
    <w:rsid w:val="7D023B87"/>
    <w:rsid w:val="7D094AC2"/>
    <w:rsid w:val="7D277784"/>
    <w:rsid w:val="7D281411"/>
    <w:rsid w:val="7D2D0E92"/>
    <w:rsid w:val="7D2F1335"/>
    <w:rsid w:val="7D5E7AAB"/>
    <w:rsid w:val="7D613541"/>
    <w:rsid w:val="7D623196"/>
    <w:rsid w:val="7D6A383D"/>
    <w:rsid w:val="7D787EF8"/>
    <w:rsid w:val="7D853F17"/>
    <w:rsid w:val="7DB3008D"/>
    <w:rsid w:val="7DB32A7F"/>
    <w:rsid w:val="7DC3439E"/>
    <w:rsid w:val="7DE435B1"/>
    <w:rsid w:val="7DF123E8"/>
    <w:rsid w:val="7E0064D6"/>
    <w:rsid w:val="7E032F24"/>
    <w:rsid w:val="7E09202D"/>
    <w:rsid w:val="7E113552"/>
    <w:rsid w:val="7E34384C"/>
    <w:rsid w:val="7E3D470A"/>
    <w:rsid w:val="7E3E2ED1"/>
    <w:rsid w:val="7E481050"/>
    <w:rsid w:val="7E4F112B"/>
    <w:rsid w:val="7E5132C5"/>
    <w:rsid w:val="7E725143"/>
    <w:rsid w:val="7E7722A2"/>
    <w:rsid w:val="7E8D040A"/>
    <w:rsid w:val="7EB75211"/>
    <w:rsid w:val="7ED17784"/>
    <w:rsid w:val="7EDA761A"/>
    <w:rsid w:val="7EFC4E2F"/>
    <w:rsid w:val="7F0B6042"/>
    <w:rsid w:val="7F0E3744"/>
    <w:rsid w:val="7F20708C"/>
    <w:rsid w:val="7F413AA5"/>
    <w:rsid w:val="7F4E67C5"/>
    <w:rsid w:val="7F5E3540"/>
    <w:rsid w:val="7F6C5324"/>
    <w:rsid w:val="7F8A2AB7"/>
    <w:rsid w:val="7F8C2BED"/>
    <w:rsid w:val="7F8F0454"/>
    <w:rsid w:val="7FA75CF2"/>
    <w:rsid w:val="7FAE3829"/>
    <w:rsid w:val="7FC62FFE"/>
    <w:rsid w:val="7FCA3FDF"/>
    <w:rsid w:val="7FE34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paragraph" w:styleId="2">
    <w:name w:val="heading 1"/>
    <w:basedOn w:val="1"/>
    <w:next w:val="1"/>
    <w:link w:val="42"/>
    <w:qFormat/>
    <w:uiPriority w:val="9"/>
    <w:pPr>
      <w:keepNext/>
      <w:keepLines/>
      <w:spacing w:line="240" w:lineRule="auto"/>
      <w:jc w:val="center"/>
      <w:outlineLvl w:val="0"/>
    </w:pPr>
    <w:rPr>
      <w:rFonts w:eastAsia="仿宋"/>
      <w:b/>
      <w:color w:val="000000"/>
      <w:kern w:val="44"/>
      <w:sz w:val="36"/>
      <w:szCs w:val="44"/>
    </w:rPr>
  </w:style>
  <w:style w:type="paragraph" w:styleId="3">
    <w:name w:val="heading 2"/>
    <w:basedOn w:val="1"/>
    <w:next w:val="1"/>
    <w:qFormat/>
    <w:uiPriority w:val="9"/>
    <w:pPr>
      <w:keepNext/>
      <w:keepLines/>
      <w:spacing w:line="240" w:lineRule="auto"/>
      <w:outlineLvl w:val="1"/>
    </w:pPr>
    <w:rPr>
      <w:rFonts w:ascii="Calibri" w:hAnsi="Calibri" w:cs="黑体"/>
      <w:b/>
      <w:bCs/>
      <w:sz w:val="32"/>
      <w:szCs w:val="32"/>
    </w:rPr>
  </w:style>
  <w:style w:type="paragraph" w:styleId="4">
    <w:name w:val="heading 3"/>
    <w:basedOn w:val="1"/>
    <w:next w:val="1"/>
    <w:qFormat/>
    <w:uiPriority w:val="9"/>
    <w:pPr>
      <w:keepNext/>
      <w:keepLines/>
      <w:spacing w:line="400" w:lineRule="atLeast"/>
      <w:jc w:val="center"/>
      <w:outlineLvl w:val="2"/>
    </w:pPr>
    <w:rPr>
      <w:b/>
      <w:bCs/>
      <w:sz w:val="32"/>
      <w:szCs w:val="32"/>
      <w:u w:val="double"/>
    </w:rPr>
  </w:style>
  <w:style w:type="paragraph" w:styleId="5">
    <w:name w:val="heading 4"/>
    <w:basedOn w:val="1"/>
    <w:next w:val="1"/>
    <w:unhideWhenUsed/>
    <w:qFormat/>
    <w:uiPriority w:val="0"/>
    <w:pPr>
      <w:keepNext/>
      <w:keepLines/>
      <w:jc w:val="left"/>
      <w:outlineLvl w:val="3"/>
    </w:pPr>
    <w:rPr>
      <w:rFonts w:ascii="Arial" w:hAnsi="Arial" w:cs="Times New Roman"/>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style>
  <w:style w:type="paragraph" w:styleId="7">
    <w:name w:val="annotation text"/>
    <w:basedOn w:val="1"/>
    <w:link w:val="46"/>
    <w:qFormat/>
    <w:uiPriority w:val="0"/>
    <w:pPr>
      <w:jc w:val="left"/>
    </w:pPr>
  </w:style>
  <w:style w:type="paragraph" w:styleId="8">
    <w:name w:val="Body Text"/>
    <w:basedOn w:val="1"/>
    <w:next w:val="1"/>
    <w:qFormat/>
    <w:uiPriority w:val="99"/>
    <w:pPr>
      <w:spacing w:after="120"/>
    </w:pPr>
  </w:style>
  <w:style w:type="paragraph" w:styleId="9">
    <w:name w:val="Body Text Indent"/>
    <w:basedOn w:val="1"/>
    <w:autoRedefine/>
    <w:qFormat/>
    <w:uiPriority w:val="0"/>
    <w:pPr>
      <w:spacing w:after="120"/>
      <w:ind w:left="420" w:leftChars="200"/>
    </w:pPr>
  </w:style>
  <w:style w:type="paragraph" w:styleId="10">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11">
    <w:name w:val="Date"/>
    <w:next w:val="1"/>
    <w:autoRedefine/>
    <w:qFormat/>
    <w:uiPriority w:val="0"/>
    <w:pPr>
      <w:widowControl w:val="0"/>
      <w:ind w:leftChars="2500"/>
      <w:jc w:val="both"/>
    </w:pPr>
    <w:rPr>
      <w:rFonts w:hint="eastAsia" w:ascii="仿宋_GB2312" w:hAnsi="Calibri" w:eastAsia="仿宋_GB2312" w:cs="Times New Roman"/>
      <w:color w:val="000000"/>
      <w:kern w:val="0"/>
      <w:sz w:val="32"/>
      <w:szCs w:val="20"/>
      <w:lang w:val="en-US" w:eastAsia="zh-CN" w:bidi="ar-SA"/>
    </w:rPr>
  </w:style>
  <w:style w:type="paragraph" w:styleId="12">
    <w:name w:val="Balloon Text"/>
    <w:basedOn w:val="1"/>
    <w:link w:val="48"/>
    <w:qFormat/>
    <w:uiPriority w:val="0"/>
    <w:pPr>
      <w:spacing w:line="240" w:lineRule="auto"/>
    </w:pPr>
    <w:rPr>
      <w:sz w:val="18"/>
      <w:szCs w:val="18"/>
    </w:rPr>
  </w:style>
  <w:style w:type="paragraph" w:styleId="13">
    <w:name w:val="footer"/>
    <w:basedOn w:val="1"/>
    <w:qFormat/>
    <w:uiPriority w:val="99"/>
    <w:pPr>
      <w:widowControl w:val="0"/>
      <w:tabs>
        <w:tab w:val="center" w:pos="4153"/>
        <w:tab w:val="right" w:pos="8306"/>
      </w:tabs>
      <w:snapToGrid w:val="0"/>
      <w:spacing w:line="240" w:lineRule="auto"/>
      <w:jc w:val="left"/>
    </w:pPr>
    <w:rPr>
      <w:sz w:val="18"/>
    </w:rPr>
  </w:style>
  <w:style w:type="paragraph" w:styleId="14">
    <w:name w:val="header"/>
    <w:basedOn w:val="1"/>
    <w:autoRedefine/>
    <w:qFormat/>
    <w:uiPriority w:val="0"/>
    <w:pPr>
      <w:widowControl w:val="0"/>
      <w:pBdr>
        <w:bottom w:val="single" w:color="auto" w:sz="6" w:space="1"/>
      </w:pBdr>
      <w:tabs>
        <w:tab w:val="center" w:pos="4153"/>
        <w:tab w:val="right" w:pos="8306"/>
      </w:tabs>
      <w:snapToGrid w:val="0"/>
      <w:spacing w:line="240" w:lineRule="auto"/>
      <w:jc w:val="center"/>
    </w:pPr>
    <w:rPr>
      <w:sz w:val="18"/>
    </w:rPr>
  </w:style>
  <w:style w:type="paragraph" w:styleId="15">
    <w:name w:val="toc 1"/>
    <w:basedOn w:val="1"/>
    <w:next w:val="1"/>
    <w:qFormat/>
    <w:uiPriority w:val="39"/>
  </w:style>
  <w:style w:type="paragraph" w:styleId="16">
    <w:name w:val="toc 2"/>
    <w:basedOn w:val="1"/>
    <w:next w:val="1"/>
    <w:autoRedefine/>
    <w:unhideWhenUsed/>
    <w:qFormat/>
    <w:uiPriority w:val="39"/>
    <w:pPr>
      <w:ind w:left="420" w:leftChars="200"/>
    </w:pPr>
  </w:style>
  <w:style w:type="paragraph" w:styleId="17">
    <w:name w:val="Normal (Web)"/>
    <w:basedOn w:val="1"/>
    <w:qFormat/>
    <w:uiPriority w:val="99"/>
    <w:pPr>
      <w:spacing w:beforeAutospacing="1" w:afterAutospacing="1"/>
      <w:jc w:val="left"/>
    </w:pPr>
    <w:rPr>
      <w:rFonts w:cs="Times New Roman"/>
      <w:kern w:val="0"/>
      <w:sz w:val="24"/>
    </w:rPr>
  </w:style>
  <w:style w:type="paragraph" w:styleId="18">
    <w:name w:val="annotation subject"/>
    <w:basedOn w:val="7"/>
    <w:next w:val="7"/>
    <w:link w:val="47"/>
    <w:qFormat/>
    <w:uiPriority w:val="0"/>
    <w:rPr>
      <w:b/>
      <w:bCs/>
    </w:rPr>
  </w:style>
  <w:style w:type="paragraph" w:styleId="19">
    <w:name w:val="Body Text First Indent"/>
    <w:basedOn w:val="8"/>
    <w:unhideWhenUsed/>
    <w:qFormat/>
    <w:uiPriority w:val="0"/>
    <w:pPr>
      <w:spacing w:line="240" w:lineRule="auto"/>
      <w:ind w:firstLine="420" w:firstLineChars="100"/>
    </w:pPr>
    <w:rPr>
      <w:rFonts w:ascii="Times New Roman" w:hAnsi="Times New Roman"/>
      <w:sz w:val="18"/>
      <w:szCs w:val="18"/>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FollowedHyperlink"/>
    <w:basedOn w:val="22"/>
    <w:semiHidden/>
    <w:unhideWhenUsed/>
    <w:qFormat/>
    <w:uiPriority w:val="0"/>
    <w:rPr>
      <w:color w:val="800080"/>
      <w:u w:val="none"/>
    </w:rPr>
  </w:style>
  <w:style w:type="character" w:styleId="25">
    <w:name w:val="Emphasis"/>
    <w:basedOn w:val="22"/>
    <w:qFormat/>
    <w:uiPriority w:val="0"/>
    <w:rPr>
      <w:b/>
    </w:rPr>
  </w:style>
  <w:style w:type="character" w:styleId="26">
    <w:name w:val="HTML Definition"/>
    <w:basedOn w:val="22"/>
    <w:semiHidden/>
    <w:unhideWhenUsed/>
    <w:qFormat/>
    <w:uiPriority w:val="0"/>
  </w:style>
  <w:style w:type="character" w:styleId="27">
    <w:name w:val="HTML Typewriter"/>
    <w:basedOn w:val="22"/>
    <w:semiHidden/>
    <w:unhideWhenUsed/>
    <w:qFormat/>
    <w:uiPriority w:val="0"/>
    <w:rPr>
      <w:rFonts w:ascii="monospace" w:hAnsi="monospace" w:eastAsia="monospace" w:cs="monospace"/>
      <w:sz w:val="20"/>
    </w:rPr>
  </w:style>
  <w:style w:type="character" w:styleId="28">
    <w:name w:val="HTML Acronym"/>
    <w:basedOn w:val="22"/>
    <w:semiHidden/>
    <w:unhideWhenUsed/>
    <w:qFormat/>
    <w:uiPriority w:val="0"/>
  </w:style>
  <w:style w:type="character" w:styleId="29">
    <w:name w:val="HTML Variable"/>
    <w:basedOn w:val="22"/>
    <w:autoRedefine/>
    <w:semiHidden/>
    <w:unhideWhenUsed/>
    <w:qFormat/>
    <w:uiPriority w:val="0"/>
  </w:style>
  <w:style w:type="character" w:styleId="30">
    <w:name w:val="Hyperlink"/>
    <w:autoRedefine/>
    <w:qFormat/>
    <w:uiPriority w:val="99"/>
    <w:rPr>
      <w:color w:val="000000"/>
      <w:sz w:val="18"/>
      <w:szCs w:val="18"/>
      <w:u w:val="none"/>
    </w:rPr>
  </w:style>
  <w:style w:type="character" w:styleId="31">
    <w:name w:val="HTML Code"/>
    <w:basedOn w:val="22"/>
    <w:semiHidden/>
    <w:unhideWhenUsed/>
    <w:qFormat/>
    <w:uiPriority w:val="0"/>
    <w:rPr>
      <w:rFonts w:hint="default" w:ascii="monospace" w:hAnsi="monospace" w:eastAsia="monospace" w:cs="monospace"/>
      <w:sz w:val="20"/>
    </w:rPr>
  </w:style>
  <w:style w:type="character" w:styleId="32">
    <w:name w:val="annotation reference"/>
    <w:basedOn w:val="22"/>
    <w:qFormat/>
    <w:uiPriority w:val="0"/>
    <w:rPr>
      <w:sz w:val="21"/>
      <w:szCs w:val="21"/>
    </w:rPr>
  </w:style>
  <w:style w:type="character" w:styleId="33">
    <w:name w:val="HTML Cite"/>
    <w:basedOn w:val="22"/>
    <w:semiHidden/>
    <w:unhideWhenUsed/>
    <w:qFormat/>
    <w:uiPriority w:val="0"/>
  </w:style>
  <w:style w:type="character" w:styleId="34">
    <w:name w:val="HTML Keyboard"/>
    <w:basedOn w:val="22"/>
    <w:semiHidden/>
    <w:unhideWhenUsed/>
    <w:qFormat/>
    <w:uiPriority w:val="0"/>
    <w:rPr>
      <w:rFonts w:hint="default" w:ascii="monospace" w:hAnsi="monospace" w:eastAsia="monospace" w:cs="monospace"/>
      <w:sz w:val="18"/>
      <w:szCs w:val="18"/>
      <w:bdr w:val="single" w:color="D2D2D2" w:sz="2" w:space="0"/>
    </w:rPr>
  </w:style>
  <w:style w:type="character" w:styleId="35">
    <w:name w:val="HTML Sample"/>
    <w:basedOn w:val="22"/>
    <w:semiHidden/>
    <w:unhideWhenUsed/>
    <w:qFormat/>
    <w:uiPriority w:val="0"/>
    <w:rPr>
      <w:rFonts w:hint="default" w:ascii="monospace" w:hAnsi="monospace" w:eastAsia="monospace" w:cs="monospace"/>
    </w:rPr>
  </w:style>
  <w:style w:type="paragraph" w:customStyle="1" w:styleId="36">
    <w:name w:val="正文缩进1"/>
    <w:basedOn w:val="1"/>
    <w:autoRedefine/>
    <w:qFormat/>
    <w:uiPriority w:val="0"/>
    <w:pPr>
      <w:ind w:firstLine="420" w:firstLineChars="200"/>
    </w:pPr>
  </w:style>
  <w:style w:type="paragraph" w:customStyle="1" w:styleId="37">
    <w:name w:val="正文（缩进 2 字符）"/>
    <w:basedOn w:val="1"/>
    <w:autoRedefine/>
    <w:qFormat/>
    <w:uiPriority w:val="0"/>
    <w:pPr>
      <w:ind w:firstLine="200" w:firstLineChars="200"/>
    </w:pPr>
  </w:style>
  <w:style w:type="paragraph" w:customStyle="1" w:styleId="38">
    <w:name w:val="正文（缩进 4 字符）"/>
    <w:basedOn w:val="1"/>
    <w:autoRedefine/>
    <w:qFormat/>
    <w:uiPriority w:val="0"/>
    <w:pPr>
      <w:ind w:firstLine="1134" w:firstLineChars="400"/>
    </w:pPr>
  </w:style>
  <w:style w:type="paragraph" w:customStyle="1" w:styleId="39">
    <w:name w:val="列出段落1"/>
    <w:basedOn w:val="1"/>
    <w:autoRedefine/>
    <w:qFormat/>
    <w:uiPriority w:val="99"/>
    <w:pPr>
      <w:ind w:firstLine="420" w:firstLineChars="200"/>
    </w:pPr>
  </w:style>
  <w:style w:type="paragraph" w:customStyle="1" w:styleId="40">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1">
    <w:name w:val="标题 2（投标文件）"/>
    <w:basedOn w:val="3"/>
    <w:autoRedefine/>
    <w:qFormat/>
    <w:uiPriority w:val="0"/>
    <w:pPr>
      <w:jc w:val="center"/>
    </w:pPr>
  </w:style>
  <w:style w:type="character" w:customStyle="1" w:styleId="42">
    <w:name w:val="标题 1 字符"/>
    <w:link w:val="2"/>
    <w:autoRedefine/>
    <w:qFormat/>
    <w:uiPriority w:val="9"/>
    <w:rPr>
      <w:rFonts w:eastAsia="仿宋"/>
      <w:b/>
      <w:color w:val="000000"/>
      <w:kern w:val="44"/>
      <w:sz w:val="36"/>
      <w:szCs w:val="44"/>
    </w:rPr>
  </w:style>
  <w:style w:type="paragraph" w:customStyle="1" w:styleId="43">
    <w:name w:val="标题 3（投标文件）"/>
    <w:basedOn w:val="4"/>
    <w:autoRedefine/>
    <w:qFormat/>
    <w:uiPriority w:val="0"/>
    <w:pPr>
      <w:jc w:val="left"/>
    </w:pPr>
    <w:rPr>
      <w:u w:val="none"/>
    </w:rPr>
  </w:style>
  <w:style w:type="character" w:customStyle="1" w:styleId="44">
    <w:name w:val="font21"/>
    <w:basedOn w:val="22"/>
    <w:autoRedefine/>
    <w:qFormat/>
    <w:uiPriority w:val="0"/>
    <w:rPr>
      <w:rFonts w:hint="default" w:ascii="Tahoma" w:hAnsi="Tahoma" w:eastAsia="Tahoma" w:cs="Tahoma"/>
      <w:color w:val="000000"/>
      <w:sz w:val="22"/>
      <w:szCs w:val="22"/>
      <w:u w:val="none"/>
    </w:rPr>
  </w:style>
  <w:style w:type="character" w:customStyle="1" w:styleId="45">
    <w:name w:val="font01"/>
    <w:basedOn w:val="22"/>
    <w:autoRedefine/>
    <w:qFormat/>
    <w:uiPriority w:val="0"/>
    <w:rPr>
      <w:rFonts w:hint="eastAsia" w:ascii="宋体" w:hAnsi="宋体" w:eastAsia="宋体" w:cs="宋体"/>
      <w:color w:val="000000"/>
      <w:sz w:val="22"/>
      <w:szCs w:val="22"/>
      <w:u w:val="none"/>
    </w:rPr>
  </w:style>
  <w:style w:type="character" w:customStyle="1" w:styleId="46">
    <w:name w:val="批注文字 字符"/>
    <w:basedOn w:val="22"/>
    <w:link w:val="7"/>
    <w:autoRedefine/>
    <w:qFormat/>
    <w:uiPriority w:val="0"/>
    <w:rPr>
      <w:rFonts w:ascii="Calibri Light" w:hAnsi="Calibri Light" w:eastAsia="华文仿宋" w:cs="Calibri Light"/>
      <w:kern w:val="2"/>
      <w:sz w:val="28"/>
      <w:szCs w:val="28"/>
    </w:rPr>
  </w:style>
  <w:style w:type="character" w:customStyle="1" w:styleId="47">
    <w:name w:val="批注主题 字符"/>
    <w:basedOn w:val="46"/>
    <w:link w:val="18"/>
    <w:autoRedefine/>
    <w:qFormat/>
    <w:uiPriority w:val="0"/>
    <w:rPr>
      <w:rFonts w:ascii="Calibri Light" w:hAnsi="Calibri Light" w:eastAsia="华文仿宋" w:cs="Calibri Light"/>
      <w:b/>
      <w:bCs/>
      <w:kern w:val="2"/>
      <w:sz w:val="28"/>
      <w:szCs w:val="28"/>
    </w:rPr>
  </w:style>
  <w:style w:type="character" w:customStyle="1" w:styleId="48">
    <w:name w:val="批注框文本 字符"/>
    <w:basedOn w:val="22"/>
    <w:link w:val="12"/>
    <w:autoRedefine/>
    <w:qFormat/>
    <w:uiPriority w:val="0"/>
    <w:rPr>
      <w:rFonts w:ascii="Calibri Light" w:hAnsi="Calibri Light" w:eastAsia="华文仿宋" w:cs="Calibri Light"/>
      <w:kern w:val="2"/>
      <w:sz w:val="18"/>
      <w:szCs w:val="18"/>
    </w:rPr>
  </w:style>
  <w:style w:type="paragraph" w:styleId="49">
    <w:name w:val="List Paragraph"/>
    <w:basedOn w:val="1"/>
    <w:autoRedefine/>
    <w:qFormat/>
    <w:uiPriority w:val="34"/>
    <w:pPr>
      <w:ind w:firstLine="420" w:firstLineChars="200"/>
    </w:pPr>
  </w:style>
  <w:style w:type="paragraph" w:customStyle="1" w:styleId="50">
    <w:name w:val="段"/>
    <w:next w:val="1"/>
    <w:autoRedefine/>
    <w:qFormat/>
    <w:uiPriority w:val="0"/>
    <w:pPr>
      <w:tabs>
        <w:tab w:val="center" w:pos="4201"/>
        <w:tab w:val="right" w:leader="dot" w:pos="9298"/>
      </w:tabs>
      <w:autoSpaceDE w:val="0"/>
      <w:autoSpaceDN w:val="0"/>
      <w:ind w:firstLine="420" w:firstLineChars="200"/>
      <w:jc w:val="both"/>
    </w:pPr>
    <w:rPr>
      <w:rFonts w:ascii="宋体" w:hAnsi="宋体"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23360</Words>
  <Characters>24369</Characters>
  <Lines>245</Lines>
  <Paragraphs>68</Paragraphs>
  <TotalTime>40</TotalTime>
  <ScaleCrop>false</ScaleCrop>
  <LinksUpToDate>false</LinksUpToDate>
  <CharactersWithSpaces>24952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2020-07-14T04:13:00Z</dcterms:created>
  <dc:creator>x</dc:creator>
  <cp:lastModifiedBy>王月</cp:lastModifiedBy>
  <cp:lastPrinted>2024-01-08T07:09:00Z</cp:lastPrinted>
  <dcterms:modified xsi:type="dcterms:W3CDTF">2024-01-12T01:38:10Z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C1863EAD3B154342B8010F7CF7AB9BA7</vt:lpwstr>
  </property>
</Properties>
</file>