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000000" w:themeColor="text1"/>
          <w:sz w:val="52"/>
          <w:szCs w:val="52"/>
          <w14:textFill>
            <w14:solidFill>
              <w14:schemeClr w14:val="tx1"/>
            </w14:solidFill>
          </w14:textFill>
        </w:rPr>
      </w:pPr>
    </w:p>
    <w:p>
      <w:pPr>
        <w:spacing w:line="240" w:lineRule="auto"/>
        <w:jc w:val="both"/>
        <w:rPr>
          <w:color w:val="000000" w:themeColor="text1"/>
          <w:sz w:val="52"/>
          <w:szCs w:val="52"/>
          <w14:textFill>
            <w14:solidFill>
              <w14:schemeClr w14:val="tx1"/>
            </w14:solidFill>
          </w14:textFill>
        </w:rPr>
      </w:pPr>
    </w:p>
    <w:p>
      <w:pPr>
        <w:spacing w:line="240" w:lineRule="auto"/>
        <w:jc w:val="center"/>
        <w:rPr>
          <w:rFonts w:hint="eastAsia" w:ascii="方正小标宋简体" w:hAnsi="方正小标宋简体" w:eastAsia="方正小标宋简体" w:cs="方正小标宋简体"/>
          <w:b w:val="0"/>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96"/>
          <w:szCs w:val="96"/>
          <w:lang w:val="en-US" w:eastAsia="zh-CN"/>
          <w14:textFill>
            <w14:solidFill>
              <w14:schemeClr w14:val="tx1"/>
            </w14:solidFill>
          </w14:textFill>
        </w:rPr>
        <w:t>汉中市</w:t>
      </w:r>
      <w:r>
        <w:rPr>
          <w:rFonts w:hint="eastAsia" w:ascii="方正小标宋简体" w:hAnsi="方正小标宋简体" w:eastAsia="方正小标宋简体" w:cs="方正小标宋简体"/>
          <w:b w:val="0"/>
          <w:bCs/>
          <w:color w:val="000000" w:themeColor="text1"/>
          <w:kern w:val="0"/>
          <w:sz w:val="96"/>
          <w:szCs w:val="96"/>
          <w14:textFill>
            <w14:solidFill>
              <w14:schemeClr w14:val="tx1"/>
            </w14:solidFill>
          </w14:textFill>
        </w:rPr>
        <w:t>政府采购中心</w:t>
      </w:r>
    </w:p>
    <w:p>
      <w:pPr>
        <w:spacing w:line="240" w:lineRule="auto"/>
        <w:jc w:val="center"/>
        <w:rPr>
          <w:rFonts w:ascii="黑体" w:hAnsi="黑体" w:eastAsia="黑体" w:cs="黑体"/>
          <w:b w:val="0"/>
          <w:bCs/>
          <w:color w:val="000000" w:themeColor="text1"/>
          <w:sz w:val="96"/>
          <w:szCs w:val="96"/>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96"/>
          <w:szCs w:val="96"/>
          <w14:textFill>
            <w14:solidFill>
              <w14:schemeClr w14:val="tx1"/>
            </w14:solidFill>
          </w14:textFill>
        </w:rPr>
        <w:t>竞争性</w:t>
      </w:r>
      <w:r>
        <w:rPr>
          <w:rFonts w:hint="eastAsia" w:ascii="方正小标宋简体" w:hAnsi="方正小标宋简体" w:eastAsia="方正小标宋简体" w:cs="方正小标宋简体"/>
          <w:b w:val="0"/>
          <w:bCs/>
          <w:color w:val="000000" w:themeColor="text1"/>
          <w:kern w:val="0"/>
          <w:sz w:val="96"/>
          <w:szCs w:val="96"/>
          <w:lang w:eastAsia="zh-CN"/>
          <w14:textFill>
            <w14:solidFill>
              <w14:schemeClr w14:val="tx1"/>
            </w14:solidFill>
          </w14:textFill>
        </w:rPr>
        <w:t>谈判</w:t>
      </w:r>
      <w:r>
        <w:rPr>
          <w:rFonts w:hint="eastAsia" w:ascii="方正小标宋简体" w:hAnsi="方正小标宋简体" w:eastAsia="方正小标宋简体" w:cs="方正小标宋简体"/>
          <w:b w:val="0"/>
          <w:bCs/>
          <w:color w:val="000000" w:themeColor="text1"/>
          <w:kern w:val="0"/>
          <w:sz w:val="96"/>
          <w:szCs w:val="96"/>
          <w14:textFill>
            <w14:solidFill>
              <w14:schemeClr w14:val="tx1"/>
            </w14:solidFill>
          </w14:textFill>
        </w:rPr>
        <w:t>文件</w:t>
      </w:r>
    </w:p>
    <w:p>
      <w:pPr>
        <w:pStyle w:val="38"/>
        <w:spacing w:line="240" w:lineRule="auto"/>
        <w:ind w:left="0" w:leftChars="0" w:right="424" w:rightChars="150" w:firstLine="0" w:firstLineChars="0"/>
        <w:jc w:val="center"/>
        <w:rPr>
          <w:rFonts w:hint="eastAsia" w:ascii="仿宋_GB2312" w:hAnsi="仿宋_GB2312" w:eastAsia="仿宋_GB2312" w:cs="仿宋_GB2312"/>
          <w:color w:val="000000" w:themeColor="text1"/>
          <w:sz w:val="36"/>
          <w:szCs w:val="36"/>
          <w:lang w:eastAsia="zh-CN"/>
          <w14:textFill>
            <w14:solidFill>
              <w14:schemeClr w14:val="tx1"/>
            </w14:solidFill>
          </w14:textFill>
        </w:rPr>
      </w:pPr>
      <w:r>
        <w:rPr>
          <w:rFonts w:hint="eastAsia" w:ascii="仿宋_GB2312" w:hAnsi="仿宋_GB2312" w:eastAsia="仿宋_GB2312" w:cs="仿宋_GB2312"/>
          <w:color w:val="000000" w:themeColor="text1"/>
          <w:sz w:val="44"/>
          <w:szCs w:val="44"/>
          <w:lang w:eastAsia="zh-CN"/>
          <w14:textFill>
            <w14:solidFill>
              <w14:schemeClr w14:val="tx1"/>
            </w14:solidFill>
          </w14:textFill>
        </w:rPr>
        <w:t>（</w:t>
      </w:r>
      <w:r>
        <w:rPr>
          <w:rFonts w:hint="eastAsia" w:ascii="仿宋_GB2312" w:hAnsi="仿宋_GB2312" w:eastAsia="仿宋_GB2312" w:cs="仿宋_GB2312"/>
          <w:color w:val="000000" w:themeColor="text1"/>
          <w:sz w:val="44"/>
          <w:szCs w:val="44"/>
          <w:lang w:val="en-US" w:eastAsia="zh-CN"/>
          <w14:textFill>
            <w14:solidFill>
              <w14:schemeClr w14:val="tx1"/>
            </w14:solidFill>
          </w14:textFill>
        </w:rPr>
        <w:t>专门面向中小企业采购</w:t>
      </w:r>
      <w:r>
        <w:rPr>
          <w:rFonts w:hint="eastAsia" w:ascii="仿宋_GB2312" w:hAnsi="仿宋_GB2312" w:eastAsia="仿宋_GB2312" w:cs="仿宋_GB2312"/>
          <w:color w:val="000000" w:themeColor="text1"/>
          <w:sz w:val="44"/>
          <w:szCs w:val="44"/>
          <w:lang w:eastAsia="zh-CN"/>
          <w14:textFill>
            <w14:solidFill>
              <w14:schemeClr w14:val="tx1"/>
            </w14:solidFill>
          </w14:textFill>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000000" w:themeColor="text1"/>
          <w:w w:val="100"/>
          <w:sz w:val="36"/>
          <w:szCs w:val="36"/>
          <w14:textFill>
            <w14:solidFill>
              <w14:schemeClr w14:val="tx1"/>
            </w14:solidFill>
          </w14:textFill>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000000" w:themeColor="text1"/>
          <w:w w:val="95"/>
          <w:sz w:val="36"/>
          <w:szCs w:val="36"/>
          <w:highlight w:val="yellow"/>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6"/>
          <w:szCs w:val="36"/>
          <w14:textFill>
            <w14:solidFill>
              <w14:schemeClr w14:val="tx1"/>
            </w14:solidFill>
          </w14:textFill>
        </w:rPr>
        <w:t>项目名称：</w:t>
      </w:r>
      <w:r>
        <w:rPr>
          <w:rFonts w:hint="eastAsia" w:ascii="仿宋_GB2312" w:hAnsi="仿宋_GB2312" w:eastAsia="仿宋_GB2312" w:cs="仿宋_GB2312"/>
          <w:b w:val="0"/>
          <w:bCs w:val="0"/>
          <w:color w:val="000000" w:themeColor="text1"/>
          <w:w w:val="100"/>
          <w:sz w:val="36"/>
          <w:szCs w:val="36"/>
          <w:lang w:val="en-US" w:eastAsia="zh-CN"/>
          <w14:textFill>
            <w14:solidFill>
              <w14:schemeClr w14:val="tx1"/>
            </w14:solidFill>
          </w14:textFill>
        </w:rPr>
        <w:t>汉中市福利彩票发行中心2024年公益驿站建设采购项目</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000000" w:themeColor="text1"/>
          <w:sz w:val="36"/>
          <w:szCs w:val="36"/>
          <w14:textFill>
            <w14:solidFill>
              <w14:schemeClr w14:val="tx1"/>
            </w14:solidFill>
          </w14:textFill>
        </w:rPr>
      </w:pPr>
      <w:r>
        <w:rPr>
          <w:rFonts w:hint="eastAsia" w:ascii="仿宋_GB2312" w:hAnsi="仿宋_GB2312" w:eastAsia="仿宋_GB2312" w:cs="仿宋_GB2312"/>
          <w:b w:val="0"/>
          <w:bCs w:val="0"/>
          <w:color w:val="000000" w:themeColor="text1"/>
          <w:sz w:val="36"/>
          <w:szCs w:val="36"/>
          <w14:textFill>
            <w14:solidFill>
              <w14:schemeClr w14:val="tx1"/>
            </w14:solidFill>
          </w14:textFill>
        </w:rPr>
        <w:t>项目编号：</w:t>
      </w:r>
      <w:r>
        <w:rPr>
          <w:rFonts w:hint="eastAsia" w:ascii="仿宋_GB2312" w:hAnsi="仿宋_GB2312" w:eastAsia="仿宋_GB2312" w:cs="仿宋_GB2312"/>
          <w:b w:val="0"/>
          <w:bCs w:val="0"/>
          <w:color w:val="000000" w:themeColor="text1"/>
          <w:sz w:val="36"/>
          <w:szCs w:val="36"/>
          <w:lang w:val="en-US" w:eastAsia="zh-CN"/>
          <w14:textFill>
            <w14:solidFill>
              <w14:schemeClr w14:val="tx1"/>
            </w14:solidFill>
          </w14:textFill>
        </w:rPr>
        <w:t>汉采HW【2024】27号</w:t>
      </w:r>
    </w:p>
    <w:p>
      <w:pPr>
        <w:spacing w:line="240" w:lineRule="auto"/>
        <w:ind w:right="424" w:rightChars="150" w:firstLine="726" w:firstLineChars="200"/>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spacing w:line="240" w:lineRule="auto"/>
        <w:jc w:val="center"/>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pStyle w:val="2"/>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rPr>
          <w:rFonts w:hint="eastAsia"/>
        </w:rPr>
      </w:pPr>
    </w:p>
    <w:p>
      <w:pPr>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rPr>
          <w:rFonts w:hint="eastAsia" w:ascii="仿宋_GB2312" w:hAnsi="仿宋_GB2312" w:eastAsia="仿宋_GB2312" w:cs="仿宋_GB2312"/>
          <w:b w:val="0"/>
          <w:bCs w:val="0"/>
          <w:color w:val="000000" w:themeColor="text1"/>
          <w14:textFill>
            <w14:solidFill>
              <w14:schemeClr w14:val="tx1"/>
            </w14:solidFill>
          </w14:textFill>
        </w:rPr>
      </w:pPr>
    </w:p>
    <w:p>
      <w:pPr>
        <w:spacing w:line="240" w:lineRule="auto"/>
        <w:jc w:val="center"/>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spacing w:line="240" w:lineRule="auto"/>
        <w:jc w:val="center"/>
        <w:rPr>
          <w:rFonts w:hint="eastAsia" w:ascii="仿宋_GB2312" w:hAnsi="仿宋_GB2312" w:eastAsia="仿宋_GB2312" w:cs="仿宋_GB2312"/>
          <w:b w:val="0"/>
          <w:bCs w:val="0"/>
          <w:color w:val="000000" w:themeColor="text1"/>
          <w:sz w:val="44"/>
          <w:szCs w:val="44"/>
          <w14:textFill>
            <w14:solidFill>
              <w14:schemeClr w14:val="tx1"/>
            </w14:solidFill>
          </w14:textFill>
        </w:rPr>
      </w:pPr>
      <w:r>
        <w:rPr>
          <w:rFonts w:hint="eastAsia" w:ascii="仿宋_GB2312" w:hAnsi="仿宋_GB2312" w:eastAsia="仿宋_GB2312" w:cs="仿宋_GB2312"/>
          <w:b w:val="0"/>
          <w:bCs w:val="0"/>
          <w:color w:val="000000" w:themeColor="text1"/>
          <w:sz w:val="44"/>
          <w:szCs w:val="44"/>
          <w14:textFill>
            <w14:solidFill>
              <w14:schemeClr w14:val="tx1"/>
            </w14:solidFill>
          </w14:textFill>
        </w:rPr>
        <w:t>202</w:t>
      </w:r>
      <w:r>
        <w:rPr>
          <w:rFonts w:hint="eastAsia" w:ascii="仿宋_GB2312" w:hAnsi="仿宋_GB2312" w:eastAsia="仿宋_GB2312" w:cs="仿宋_GB2312"/>
          <w:b w:val="0"/>
          <w:bCs w:val="0"/>
          <w:color w:val="000000" w:themeColor="text1"/>
          <w:sz w:val="44"/>
          <w:szCs w:val="44"/>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44"/>
          <w:szCs w:val="44"/>
          <w14:textFill>
            <w14:solidFill>
              <w14:schemeClr w14:val="tx1"/>
            </w14:solidFill>
          </w14:textFill>
        </w:rPr>
        <w:t>年</w:t>
      </w:r>
      <w:r>
        <w:rPr>
          <w:rFonts w:hint="eastAsia" w:ascii="仿宋_GB2312" w:hAnsi="仿宋_GB2312" w:eastAsia="仿宋_GB2312" w:cs="仿宋_GB2312"/>
          <w:b w:val="0"/>
          <w:bCs w:val="0"/>
          <w:color w:val="000000" w:themeColor="text1"/>
          <w:sz w:val="44"/>
          <w:szCs w:val="44"/>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44"/>
          <w:szCs w:val="44"/>
          <w:highlight w:val="none"/>
          <w14:textFill>
            <w14:solidFill>
              <w14:schemeClr w14:val="tx1"/>
            </w14:solidFill>
          </w14:textFill>
        </w:rPr>
        <w:t>月</w:t>
      </w:r>
      <w:r>
        <w:rPr>
          <w:rFonts w:hint="eastAsia" w:ascii="仿宋_GB2312" w:hAnsi="仿宋_GB2312" w:eastAsia="仿宋_GB2312" w:cs="仿宋_GB2312"/>
          <w:b w:val="0"/>
          <w:bCs w:val="0"/>
          <w:color w:val="000000" w:themeColor="text1"/>
          <w:sz w:val="44"/>
          <w:szCs w:val="44"/>
          <w:highlight w:val="none"/>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sz w:val="44"/>
          <w:szCs w:val="44"/>
          <w14:textFill>
            <w14:solidFill>
              <w14:schemeClr w14:val="tx1"/>
            </w14:solidFill>
          </w14:textFill>
        </w:rPr>
        <w:t>日</w:t>
      </w:r>
      <w:bookmarkStart w:id="0" w:name="_Toc30102_WPSOffice_Level1"/>
      <w:bookmarkStart w:id="1" w:name="_Toc10222_WPSOffice_Level1"/>
      <w:bookmarkStart w:id="2" w:name="_Toc30340_WPSOffice_Level1"/>
    </w:p>
    <w:p>
      <w:pPr>
        <w:pStyle w:val="2"/>
        <w:rPr>
          <w:rFonts w:hint="eastAsia"/>
          <w:color w:val="000000" w:themeColor="text1"/>
          <w14:textFill>
            <w14:solidFill>
              <w14:schemeClr w14:val="tx1"/>
            </w14:solidFill>
          </w14:textFill>
        </w:rPr>
      </w:pPr>
    </w:p>
    <w:p>
      <w:pPr>
        <w:pStyle w:val="16"/>
        <w:tabs>
          <w:tab w:val="right" w:leader="dot" w:pos="9072"/>
        </w:tabs>
        <w:spacing w:before="190" w:beforeLines="50" w:after="190" w:afterLines="50" w:line="500" w:lineRule="exact"/>
        <w:jc w:val="center"/>
        <w:rPr>
          <w:rFonts w:hint="eastAsia" w:ascii="仿宋" w:hAnsi="仿宋" w:eastAsia="仿宋" w:cs="仿宋"/>
          <w:color w:val="000000" w:themeColor="text1"/>
          <w:sz w:val="44"/>
          <w:szCs w:val="44"/>
          <w14:textFill>
            <w14:solidFill>
              <w14:schemeClr w14:val="tx1"/>
            </w14:solidFill>
          </w14:textFill>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000000" w:themeColor="text1"/>
          <w:sz w:val="44"/>
          <w14:textFill>
            <w14:solidFill>
              <w14:schemeClr w14:val="tx1"/>
            </w14:solidFill>
          </w14:textFill>
        </w:rPr>
      </w:pPr>
      <w:r>
        <w:rPr>
          <w:rFonts w:hint="eastAsia" w:ascii="黑体" w:hAnsi="黑体" w:eastAsia="黑体" w:cs="黑体"/>
          <w:b w:val="0"/>
          <w:bCs/>
          <w:color w:val="000000" w:themeColor="text1"/>
          <w:sz w:val="44"/>
          <w14:textFill>
            <w14:solidFill>
              <w14:schemeClr w14:val="tx1"/>
            </w14:solidFill>
          </w14:textFill>
        </w:rPr>
        <w:t>目  录</w:t>
      </w:r>
    </w:p>
    <w:p>
      <w:pPr>
        <w:pStyle w:val="14"/>
        <w:rPr>
          <w:color w:val="000000" w:themeColor="text1"/>
          <w:highlight w:val="yellow"/>
          <w14:textFill>
            <w14:solidFill>
              <w14:schemeClr w14:val="tx1"/>
            </w14:solidFill>
          </w14:textFill>
        </w:rPr>
      </w:pPr>
    </w:p>
    <w:p>
      <w:pPr>
        <w:pStyle w:val="16"/>
        <w:tabs>
          <w:tab w:val="right" w:leader="dot" w:pos="9072"/>
        </w:tabs>
        <w:rPr>
          <w:rFonts w:hint="default" w:ascii="Calibri Light" w:hAnsi="Calibri Light" w:cs="Calibri Ligh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TOC \o "1-2" \u </w:instrText>
      </w:r>
      <w:r>
        <w:rPr>
          <w:rFonts w:hint="default"/>
          <w:color w:val="000000" w:themeColor="text1"/>
          <w:lang w:val="en-US" w:eastAsia="zh-CN"/>
          <w14:textFill>
            <w14:solidFill>
              <w14:schemeClr w14:val="tx1"/>
            </w14:solidFill>
          </w14:textFill>
        </w:rPr>
        <w:fldChar w:fldCharType="separate"/>
      </w:r>
      <w:r>
        <w:rPr>
          <w:rFonts w:hint="eastAsia" w:ascii="黑体" w:hAnsi="黑体" w:eastAsia="黑体"/>
          <w:color w:val="000000" w:themeColor="text1"/>
          <w:szCs w:val="32"/>
          <w14:textFill>
            <w14:solidFill>
              <w14:schemeClr w14:val="tx1"/>
            </w14:solidFill>
          </w14:textFill>
        </w:rPr>
        <w:t xml:space="preserve">第一章 </w:t>
      </w:r>
      <w:r>
        <w:rPr>
          <w:rFonts w:hint="eastAsia" w:ascii="黑体" w:hAnsi="黑体" w:eastAsia="黑体"/>
          <w:color w:val="000000" w:themeColor="text1"/>
          <w:szCs w:val="32"/>
          <w:lang w:eastAsia="zh-CN"/>
          <w14:textFill>
            <w14:solidFill>
              <w14:schemeClr w14:val="tx1"/>
            </w14:solidFill>
          </w14:textFill>
        </w:rPr>
        <w:t>谈判</w:t>
      </w:r>
      <w:r>
        <w:rPr>
          <w:rFonts w:ascii="黑体" w:hAnsi="黑体" w:eastAsia="黑体"/>
          <w:color w:val="000000" w:themeColor="text1"/>
          <w:szCs w:val="32"/>
          <w14:textFill>
            <w14:solidFill>
              <w14:schemeClr w14:val="tx1"/>
            </w14:solidFill>
          </w14:textFill>
        </w:rPr>
        <w:t>邀请函</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_Toc8073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6"/>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ascii="黑体" w:hAnsi="黑体" w:eastAsia="黑体"/>
          <w:bCs/>
          <w:color w:val="000000" w:themeColor="text1"/>
          <w:szCs w:val="32"/>
          <w14:textFill>
            <w14:solidFill>
              <w14:schemeClr w14:val="tx1"/>
            </w14:solidFill>
          </w14:textFill>
        </w:rPr>
        <w:t xml:space="preserve">第二章  </w:t>
      </w:r>
      <w:r>
        <w:rPr>
          <w:rFonts w:hint="eastAsia" w:ascii="黑体" w:hAnsi="黑体" w:eastAsia="黑体"/>
          <w:bCs/>
          <w:color w:val="000000" w:themeColor="text1"/>
          <w:szCs w:val="32"/>
          <w14:textFill>
            <w14:solidFill>
              <w14:schemeClr w14:val="tx1"/>
            </w14:solidFill>
          </w14:textFill>
        </w:rPr>
        <w:t>供应商</w:t>
      </w:r>
      <w:r>
        <w:rPr>
          <w:rFonts w:ascii="黑体" w:hAnsi="黑体" w:eastAsia="黑体"/>
          <w:bCs/>
          <w:color w:val="000000" w:themeColor="text1"/>
          <w:szCs w:val="32"/>
          <w14:textFill>
            <w14:solidFill>
              <w14:schemeClr w14:val="tx1"/>
            </w14:solidFill>
          </w14:textFill>
        </w:rPr>
        <w:t>须知</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_Toc9601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6</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一、定义</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_Toc3062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6</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二、供应商注意事项</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_Toc24646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6</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三、</w:t>
      </w:r>
      <w:r>
        <w:rPr>
          <w:rFonts w:hint="eastAsia" w:ascii="仿宋_GB2312" w:hAnsi="仿宋_GB2312" w:eastAsia="仿宋_GB2312" w:cs="仿宋_GB2312"/>
          <w:color w:val="000000" w:themeColor="text1"/>
          <w:szCs w:val="28"/>
          <w:lang w:eastAsia="zh-CN"/>
          <w14:textFill>
            <w14:solidFill>
              <w14:schemeClr w14:val="tx1"/>
            </w14:solidFill>
          </w14:textFill>
        </w:rPr>
        <w:t>谈判</w:t>
      </w:r>
      <w:r>
        <w:rPr>
          <w:rFonts w:hint="eastAsia" w:ascii="仿宋_GB2312" w:hAnsi="仿宋_GB2312" w:eastAsia="仿宋_GB2312" w:cs="仿宋_GB2312"/>
          <w:color w:val="000000" w:themeColor="text1"/>
          <w:szCs w:val="28"/>
          <w14:textFill>
            <w14:solidFill>
              <w14:schemeClr w14:val="tx1"/>
            </w14:solidFill>
          </w14:textFill>
        </w:rPr>
        <w:t>文件</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_Toc3130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10</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Cs w:val="28"/>
          <w14:textFill>
            <w14:solidFill>
              <w14:schemeClr w14:val="tx1"/>
            </w14:solidFill>
          </w14:textFill>
        </w:rPr>
        <w:t>、</w:t>
      </w:r>
      <w:r>
        <w:rPr>
          <w:rFonts w:hint="eastAsia" w:ascii="仿宋_GB2312" w:hAnsi="仿宋_GB2312" w:eastAsia="仿宋_GB2312" w:cs="仿宋_GB2312"/>
          <w:color w:val="000000" w:themeColor="text1"/>
          <w:szCs w:val="28"/>
          <w:lang w:eastAsia="zh-CN"/>
          <w14:textFill>
            <w14:solidFill>
              <w14:schemeClr w14:val="tx1"/>
            </w14:solidFill>
          </w14:textFill>
        </w:rPr>
        <w:t>谈判</w:t>
      </w:r>
      <w:r>
        <w:rPr>
          <w:rFonts w:hint="eastAsia" w:ascii="仿宋_GB2312" w:hAnsi="仿宋_GB2312" w:eastAsia="仿宋_GB2312" w:cs="仿宋_GB2312"/>
          <w:color w:val="000000" w:themeColor="text1"/>
          <w:szCs w:val="28"/>
          <w14:textFill>
            <w14:solidFill>
              <w14:schemeClr w14:val="tx1"/>
            </w14:solidFill>
          </w14:textFill>
        </w:rPr>
        <w:t>报价</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_Toc3559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11</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Cs w:val="28"/>
          <w14:textFill>
            <w14:solidFill>
              <w14:schemeClr w14:val="tx1"/>
            </w14:solidFill>
          </w14:textFill>
        </w:rPr>
        <w:t>、响应文件</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_Toc12154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11</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六</w:t>
      </w:r>
      <w:r>
        <w:rPr>
          <w:rFonts w:hint="eastAsia" w:ascii="仿宋_GB2312" w:hAnsi="仿宋_GB2312" w:eastAsia="仿宋_GB2312" w:cs="仿宋_GB2312"/>
          <w:color w:val="000000" w:themeColor="text1"/>
          <w:szCs w:val="28"/>
          <w14:textFill>
            <w14:solidFill>
              <w14:schemeClr w14:val="tx1"/>
            </w14:solidFill>
          </w14:textFill>
        </w:rPr>
        <w:t>、</w:t>
      </w:r>
      <w:r>
        <w:rPr>
          <w:rFonts w:hint="eastAsia" w:ascii="仿宋_GB2312" w:hAnsi="仿宋_GB2312" w:eastAsia="仿宋_GB2312" w:cs="仿宋_GB2312"/>
          <w:color w:val="000000" w:themeColor="text1"/>
          <w:szCs w:val="28"/>
          <w:lang w:val="en-US" w:eastAsia="zh-CN"/>
          <w14:textFill>
            <w14:solidFill>
              <w14:schemeClr w14:val="tx1"/>
            </w14:solidFill>
          </w14:textFill>
        </w:rPr>
        <w:t>响应文件开启</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_Toc17536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13</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七</w:t>
      </w:r>
      <w:r>
        <w:rPr>
          <w:rFonts w:hint="eastAsia" w:ascii="仿宋_GB2312" w:hAnsi="仿宋_GB2312" w:eastAsia="仿宋_GB2312" w:cs="仿宋_GB2312"/>
          <w:color w:val="000000" w:themeColor="text1"/>
          <w:szCs w:val="28"/>
          <w14:textFill>
            <w14:solidFill>
              <w14:schemeClr w14:val="tx1"/>
            </w14:solidFill>
          </w14:textFill>
        </w:rPr>
        <w:t>、组织评审</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_Toc31905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15</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八</w:t>
      </w:r>
      <w:r>
        <w:rPr>
          <w:rFonts w:hint="eastAsia" w:ascii="仿宋_GB2312" w:hAnsi="仿宋_GB2312" w:eastAsia="仿宋_GB2312" w:cs="仿宋_GB2312"/>
          <w:color w:val="000000" w:themeColor="text1"/>
          <w:szCs w:val="28"/>
          <w14:textFill>
            <w14:solidFill>
              <w14:schemeClr w14:val="tx1"/>
            </w14:solidFill>
          </w14:textFill>
        </w:rPr>
        <w:t>、成交</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_Toc3023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24</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九</w:t>
      </w:r>
      <w:r>
        <w:rPr>
          <w:rFonts w:hint="eastAsia" w:ascii="仿宋_GB2312" w:hAnsi="仿宋_GB2312" w:eastAsia="仿宋_GB2312" w:cs="仿宋_GB2312"/>
          <w:color w:val="000000" w:themeColor="text1"/>
          <w:szCs w:val="28"/>
          <w14:textFill>
            <w14:solidFill>
              <w14:schemeClr w14:val="tx1"/>
            </w14:solidFill>
          </w14:textFill>
        </w:rPr>
        <w:t>、签订</w:t>
      </w:r>
      <w:r>
        <w:rPr>
          <w:rFonts w:hint="eastAsia" w:ascii="仿宋_GB2312" w:hAnsi="仿宋_GB2312" w:eastAsia="仿宋_GB2312" w:cs="仿宋_GB2312"/>
          <w:color w:val="000000" w:themeColor="text1"/>
          <w:kern w:val="0"/>
          <w:szCs w:val="28"/>
          <w14:textFill>
            <w14:solidFill>
              <w14:schemeClr w14:val="tx1"/>
            </w14:solidFill>
          </w14:textFill>
        </w:rPr>
        <w:t>政府采购合同</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_Toc23938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24</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十</w:t>
      </w:r>
      <w:r>
        <w:rPr>
          <w:rFonts w:hint="eastAsia" w:ascii="仿宋_GB2312" w:hAnsi="仿宋_GB2312" w:eastAsia="仿宋_GB2312" w:cs="仿宋_GB2312"/>
          <w:color w:val="000000" w:themeColor="text1"/>
          <w:szCs w:val="28"/>
          <w:lang w:eastAsia="zh-CN"/>
          <w14:textFill>
            <w14:solidFill>
              <w14:schemeClr w14:val="tx1"/>
            </w14:solidFill>
          </w14:textFill>
        </w:rPr>
        <w:t>、</w:t>
      </w:r>
      <w:r>
        <w:rPr>
          <w:rFonts w:hint="eastAsia" w:ascii="仿宋_GB2312" w:hAnsi="仿宋_GB2312" w:eastAsia="仿宋_GB2312" w:cs="仿宋_GB2312"/>
          <w:color w:val="000000" w:themeColor="text1"/>
          <w:szCs w:val="28"/>
          <w14:textFill>
            <w14:solidFill>
              <w14:schemeClr w14:val="tx1"/>
            </w14:solidFill>
          </w14:textFill>
        </w:rPr>
        <w:t>采购代理服务费</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_Toc14560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24</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6"/>
        <w:tabs>
          <w:tab w:val="right" w:leader="dot" w:pos="9072"/>
        </w:tabs>
        <w:rPr>
          <w:color w:val="000000" w:themeColor="text1"/>
          <w14:textFill>
            <w14:solidFill>
              <w14:schemeClr w14:val="tx1"/>
            </w14:solidFill>
          </w14:textFill>
        </w:rPr>
      </w:pPr>
      <w:r>
        <w:rPr>
          <w:rFonts w:hint="eastAsia" w:ascii="黑体" w:hAnsi="黑体" w:eastAsia="黑体" w:cs="黑体"/>
          <w:bCs/>
          <w:color w:val="000000" w:themeColor="text1"/>
          <w:szCs w:val="40"/>
          <w14:textFill>
            <w14:solidFill>
              <w14:schemeClr w14:val="tx1"/>
            </w14:solidFill>
          </w14:textFill>
        </w:rPr>
        <w:t xml:space="preserve">第三章  </w:t>
      </w:r>
      <w:r>
        <w:rPr>
          <w:rFonts w:hint="eastAsia" w:ascii="黑体" w:hAnsi="黑体" w:eastAsia="黑体" w:cs="黑体"/>
          <w:bCs/>
          <w:color w:val="000000" w:themeColor="text1"/>
          <w:szCs w:val="40"/>
          <w:lang w:eastAsia="zh-CN"/>
          <w14:textFill>
            <w14:solidFill>
              <w14:schemeClr w14:val="tx1"/>
            </w14:solidFill>
          </w14:textFill>
        </w:rPr>
        <w:t>谈判</w:t>
      </w:r>
      <w:r>
        <w:rPr>
          <w:rFonts w:hint="eastAsia" w:ascii="黑体" w:hAnsi="黑体" w:eastAsia="黑体" w:cs="黑体"/>
          <w:bCs/>
          <w:color w:val="000000" w:themeColor="text1"/>
          <w:szCs w:val="40"/>
          <w14:textFill>
            <w14:solidFill>
              <w14:schemeClr w14:val="tx1"/>
            </w14:solidFill>
          </w14:textFill>
        </w:rPr>
        <w:t>内容及采购要求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p>
    <w:p>
      <w:pPr>
        <w:pStyle w:val="16"/>
        <w:tabs>
          <w:tab w:val="right" w:leader="dot" w:pos="9072"/>
        </w:tabs>
        <w:rPr>
          <w:color w:val="000000" w:themeColor="text1"/>
          <w14:textFill>
            <w14:solidFill>
              <w14:schemeClr w14:val="tx1"/>
            </w14:solidFill>
          </w14:textFill>
        </w:rPr>
      </w:pPr>
      <w:r>
        <w:rPr>
          <w:rFonts w:ascii="黑体" w:hAnsi="黑体" w:eastAsia="黑体"/>
          <w:color w:val="000000" w:themeColor="text1"/>
          <w:szCs w:val="32"/>
          <w14:textFill>
            <w14:solidFill>
              <w14:schemeClr w14:val="tx1"/>
            </w14:solidFill>
          </w14:textFill>
        </w:rPr>
        <w:t>第</w:t>
      </w:r>
      <w:r>
        <w:rPr>
          <w:rFonts w:hint="eastAsia" w:ascii="黑体" w:hAnsi="黑体" w:eastAsia="黑体"/>
          <w:color w:val="000000" w:themeColor="text1"/>
          <w:szCs w:val="32"/>
          <w14:textFill>
            <w14:solidFill>
              <w14:schemeClr w14:val="tx1"/>
            </w14:solidFill>
          </w14:textFill>
        </w:rPr>
        <w:t>四</w:t>
      </w:r>
      <w:r>
        <w:rPr>
          <w:rFonts w:ascii="黑体" w:hAnsi="黑体" w:eastAsia="黑体"/>
          <w:color w:val="000000" w:themeColor="text1"/>
          <w:szCs w:val="32"/>
          <w14:textFill>
            <w14:solidFill>
              <w14:schemeClr w14:val="tx1"/>
            </w14:solidFill>
          </w14:textFill>
        </w:rPr>
        <w:t xml:space="preserve">章 </w:t>
      </w:r>
      <w:r>
        <w:rPr>
          <w:rFonts w:hint="eastAsia" w:ascii="黑体" w:hAnsi="黑体" w:eastAsia="黑体"/>
          <w:color w:val="000000" w:themeColor="text1"/>
          <w:szCs w:val="32"/>
          <w:lang w:val="en-US" w:eastAsia="zh-CN"/>
          <w14:textFill>
            <w14:solidFill>
              <w14:schemeClr w14:val="tx1"/>
            </w14:solidFill>
          </w14:textFill>
        </w:rPr>
        <w:t xml:space="preserve"> </w:t>
      </w:r>
      <w:r>
        <w:rPr>
          <w:rFonts w:hint="eastAsia" w:ascii="黑体" w:hAnsi="黑体" w:eastAsia="黑体"/>
          <w:color w:val="000000" w:themeColor="text1"/>
          <w:szCs w:val="32"/>
          <w14:textFill>
            <w14:solidFill>
              <w14:schemeClr w14:val="tx1"/>
            </w14:solidFill>
          </w14:textFill>
        </w:rPr>
        <w:t>合同</w:t>
      </w:r>
      <w:r>
        <w:rPr>
          <w:rFonts w:hint="eastAsia" w:ascii="黑体" w:hAnsi="黑体" w:eastAsia="黑体"/>
          <w:color w:val="000000" w:themeColor="text1"/>
          <w:szCs w:val="32"/>
          <w:lang w:val="en-US" w:eastAsia="zh-CN"/>
          <w14:textFill>
            <w14:solidFill>
              <w14:schemeClr w14:val="tx1"/>
            </w14:solidFill>
          </w14:textFill>
        </w:rPr>
        <w:t>草案</w:t>
      </w:r>
      <w:r>
        <w:rPr>
          <w:rFonts w:hint="eastAsia" w:ascii="黑体" w:hAnsi="黑体" w:eastAsia="黑体"/>
          <w:color w:val="000000" w:themeColor="text1"/>
          <w:szCs w:val="32"/>
          <w14:textFill>
            <w14:solidFill>
              <w14:schemeClr w14:val="tx1"/>
            </w14:solidFill>
          </w14:textFill>
        </w:rPr>
        <w:t>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p>
    <w:p>
      <w:pPr>
        <w:pStyle w:val="16"/>
        <w:tabs>
          <w:tab w:val="right" w:leader="dot" w:pos="9072"/>
        </w:tabs>
        <w:rPr>
          <w:color w:val="000000" w:themeColor="text1"/>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第五章  响应文件构成及格式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p>
    <w:p>
      <w:pPr>
        <w:pStyle w:val="16"/>
        <w:tabs>
          <w:tab w:val="right" w:leader="dot" w:pos="9072"/>
        </w:tabs>
        <w:ind w:firstLine="566" w:firstLineChars="200"/>
        <w:rPr>
          <w:color w:val="000000" w:themeColor="text1"/>
          <w14:textFill>
            <w14:solidFill>
              <w14:schemeClr w14:val="tx1"/>
            </w14:solidFill>
          </w14:textFill>
        </w:rPr>
      </w:pPr>
      <w:r>
        <w:rPr>
          <w:rFonts w:hint="eastAsia" w:ascii="黑体" w:hAnsi="黑体" w:eastAsia="黑体" w:cs="黑体"/>
          <w:bCs/>
          <w:color w:val="000000" w:themeColor="text1"/>
          <w:szCs w:val="40"/>
          <w14:textFill>
            <w14:solidFill>
              <w14:schemeClr w14:val="tx1"/>
            </w14:solidFill>
          </w14:textFill>
        </w:rPr>
        <w:t>第一部分  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p>
    <w:p>
      <w:pPr>
        <w:pStyle w:val="17"/>
        <w:tabs>
          <w:tab w:val="right" w:leader="dot" w:pos="9072"/>
        </w:tabs>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第二部分  符合性证明文件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p>
    <w:p>
      <w:pPr>
        <w:pStyle w:val="17"/>
        <w:tabs>
          <w:tab w:val="right" w:leader="dot" w:pos="9072"/>
        </w:tabs>
        <w:rPr>
          <w:color w:val="000000" w:themeColor="text1"/>
          <w14:textFill>
            <w14:solidFill>
              <w14:schemeClr w14:val="tx1"/>
            </w14:solidFill>
          </w14:textFill>
        </w:rPr>
      </w:pPr>
      <w:r>
        <w:rPr>
          <w:rFonts w:hint="eastAsia" w:ascii="黑体" w:hAnsi="黑体" w:eastAsia="黑体"/>
          <w:bCs w:val="0"/>
          <w:color w:val="000000" w:themeColor="text1"/>
          <w:szCs w:val="40"/>
          <w14:textFill>
            <w14:solidFill>
              <w14:schemeClr w14:val="tx1"/>
            </w14:solidFill>
          </w14:textFill>
        </w:rPr>
        <w:t>第三部分  响应方案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_Toc17248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fldChar w:fldCharType="end"/>
      </w:r>
    </w:p>
    <w:p>
      <w:pPr>
        <w:rPr>
          <w:color w:val="000000" w:themeColor="text1"/>
          <w14:textFill>
            <w14:solidFill>
              <w14:schemeClr w14:val="tx1"/>
            </w14:solidFill>
          </w14:textFill>
        </w:rPr>
      </w:pPr>
    </w:p>
    <w:p>
      <w:pPr>
        <w:pStyle w:val="3"/>
        <w:spacing w:line="500" w:lineRule="exact"/>
        <w:rPr>
          <w:rFonts w:ascii="黑体" w:hAnsi="黑体" w:eastAsia="黑体"/>
          <w:b w:val="0"/>
          <w:color w:val="000000" w:themeColor="text1"/>
          <w:sz w:val="32"/>
          <w:szCs w:val="32"/>
          <w14:textFill>
            <w14:solidFill>
              <w14:schemeClr w14:val="tx1"/>
            </w14:solidFill>
          </w14:textFill>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3"/>
        <w:numPr>
          <w:ilvl w:val="0"/>
          <w:numId w:val="1"/>
        </w:numPr>
        <w:spacing w:line="500" w:lineRule="exact"/>
        <w:rPr>
          <w:rFonts w:ascii="黑体" w:hAnsi="黑体" w:eastAsia="黑体"/>
          <w:b w:val="0"/>
          <w:color w:val="000000" w:themeColor="text1"/>
          <w:sz w:val="32"/>
          <w:szCs w:val="32"/>
          <w14:textFill>
            <w14:solidFill>
              <w14:schemeClr w14:val="tx1"/>
            </w14:solidFill>
          </w14:textFill>
        </w:rPr>
      </w:pPr>
      <w:bookmarkStart w:id="3" w:name="_Toc26235"/>
      <w:bookmarkStart w:id="4" w:name="_Toc21489"/>
      <w:bookmarkStart w:id="5" w:name="_Toc5655"/>
      <w:r>
        <w:rPr>
          <w:rFonts w:ascii="黑体" w:hAnsi="黑体" w:eastAsia="黑体"/>
          <w:b w:val="0"/>
          <w:color w:val="000000" w:themeColor="text1"/>
          <w:sz w:val="32"/>
          <w:szCs w:val="32"/>
          <w14:textFill>
            <w14:solidFill>
              <w14:schemeClr w14:val="tx1"/>
            </w14:solidFill>
          </w14:textFill>
        </w:rPr>
        <w:t xml:space="preserve"> </w:t>
      </w:r>
      <w:bookmarkStart w:id="6" w:name="_Toc8073"/>
      <w:r>
        <w:rPr>
          <w:rFonts w:hint="eastAsia" w:ascii="黑体" w:hAnsi="黑体" w:eastAsia="黑体"/>
          <w:b w:val="0"/>
          <w:color w:val="000000" w:themeColor="text1"/>
          <w:sz w:val="32"/>
          <w:szCs w:val="32"/>
          <w:lang w:val="en-US" w:eastAsia="zh-CN"/>
          <w14:textFill>
            <w14:solidFill>
              <w14:schemeClr w14:val="tx1"/>
            </w14:solidFill>
          </w14:textFill>
        </w:rPr>
        <w:t>谈判</w:t>
      </w:r>
      <w:r>
        <w:rPr>
          <w:rFonts w:ascii="黑体" w:hAnsi="黑体" w:eastAsia="黑体"/>
          <w:b w:val="0"/>
          <w:color w:val="000000" w:themeColor="text1"/>
          <w:sz w:val="32"/>
          <w:szCs w:val="32"/>
          <w14:textFill>
            <w14:solidFill>
              <w14:schemeClr w14:val="tx1"/>
            </w14:solidFill>
          </w14:textFill>
        </w:rPr>
        <w:t>邀请函</w:t>
      </w:r>
      <w:bookmarkEnd w:id="0"/>
      <w:bookmarkEnd w:id="1"/>
      <w:bookmarkEnd w:id="2"/>
      <w:bookmarkEnd w:id="3"/>
      <w:bookmarkEnd w:id="4"/>
      <w:bookmarkEnd w:id="5"/>
      <w:bookmarkEnd w:id="6"/>
    </w:p>
    <w:p>
      <w:pPr>
        <w:keepLines w:val="0"/>
        <w:pageBreakBefore w:val="0"/>
        <w:widowControl w:val="0"/>
        <w:wordWrap/>
        <w:overflowPunct/>
        <w:topLinePunct w:val="0"/>
        <w:bidi w:val="0"/>
        <w:snapToGrid/>
        <w:spacing w:line="5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Lines w:val="0"/>
        <w:pageBreakBefore w:val="0"/>
        <w:widowControl w:val="0"/>
        <w:pBdr>
          <w:top w:val="single" w:color="auto" w:sz="4" w:space="1"/>
          <w:left w:val="single" w:color="auto" w:sz="4" w:space="4"/>
          <w:bottom w:val="single" w:color="auto" w:sz="4" w:space="1"/>
          <w:right w:val="single" w:color="auto" w:sz="4" w:space="4"/>
        </w:pBdr>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项目概况</w:t>
      </w:r>
    </w:p>
    <w:p>
      <w:pPr>
        <w:keepLines w:val="0"/>
        <w:pageBreakBefore w:val="0"/>
        <w:widowControl w:val="0"/>
        <w:pBdr>
          <w:top w:val="single" w:color="auto" w:sz="4" w:space="1"/>
          <w:left w:val="single" w:color="auto" w:sz="4" w:space="4"/>
          <w:bottom w:val="single" w:color="auto" w:sz="4" w:space="1"/>
          <w:right w:val="single" w:color="auto" w:sz="4" w:space="4"/>
        </w:pBdr>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汉中市福利彩票发行中心2024年公益驿站建设</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采购项目的潜在供应商应在</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全国公共资源交易平台（汉中市）（sxggzyjy.hanzhong.gov.cn）交易大厅该项目公告下方 </w:t>
      </w:r>
      <w:r>
        <w:rPr>
          <w:rFonts w:hint="eastAsia" w:ascii="仿宋_GB2312" w:hAnsi="仿宋_GB2312" w:eastAsia="仿宋_GB2312" w:cs="仿宋_GB2312"/>
          <w:color w:val="000000" w:themeColor="text1"/>
          <w:sz w:val="28"/>
          <w:szCs w:val="28"/>
          <w14:textFill>
            <w14:solidFill>
              <w14:schemeClr w14:val="tx1"/>
            </w14:solidFill>
          </w14:textFill>
        </w:rPr>
        <w:t>获取采购文件，并于</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年 </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12 </w:t>
      </w:r>
      <w:r>
        <w:rPr>
          <w:rFonts w:hint="eastAsia" w:ascii="仿宋_GB2312" w:hAnsi="仿宋_GB2312" w:eastAsia="仿宋_GB2312" w:cs="仿宋_GB2312"/>
          <w:bCs/>
          <w:color w:val="000000" w:themeColor="text1"/>
          <w:sz w:val="28"/>
          <w:szCs w:val="28"/>
          <w:u w:val="single"/>
          <w14:textFill>
            <w14:solidFill>
              <w14:schemeClr w14:val="tx1"/>
            </w14:solidFill>
          </w14:textFill>
        </w:rPr>
        <w:t>月</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4</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 日</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9 </w:t>
      </w:r>
      <w:r>
        <w:rPr>
          <w:rFonts w:hint="eastAsia" w:ascii="仿宋_GB2312" w:hAnsi="仿宋_GB2312" w:eastAsia="仿宋_GB2312" w:cs="仿宋_GB2312"/>
          <w:bCs/>
          <w:color w:val="000000" w:themeColor="text1"/>
          <w:sz w:val="28"/>
          <w:szCs w:val="28"/>
          <w:u w:val="single"/>
          <w14:textFill>
            <w14:solidFill>
              <w14:schemeClr w14:val="tx1"/>
            </w14:solidFill>
          </w14:textFill>
        </w:rPr>
        <w:t>点</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30</w:t>
      </w:r>
      <w:r>
        <w:rPr>
          <w:rFonts w:hint="eastAsia" w:ascii="仿宋_GB2312" w:hAnsi="仿宋_GB2312" w:eastAsia="仿宋_GB2312" w:cs="仿宋_GB2312"/>
          <w:bCs/>
          <w:color w:val="000000" w:themeColor="text1"/>
          <w:sz w:val="28"/>
          <w:szCs w:val="28"/>
          <w:u w:val="single"/>
          <w14:textFill>
            <w14:solidFill>
              <w14:schemeClr w14:val="tx1"/>
            </w14:solidFill>
          </w14:textFill>
        </w:rPr>
        <w:t>分</w:t>
      </w:r>
      <w:r>
        <w:rPr>
          <w:rFonts w:hint="eastAsia" w:ascii="仿宋_GB2312" w:hAnsi="仿宋_GB2312" w:eastAsia="仿宋_GB2312" w:cs="仿宋_GB2312"/>
          <w:bCs/>
          <w:color w:val="000000" w:themeColor="text1"/>
          <w:sz w:val="28"/>
          <w:szCs w:val="28"/>
          <w14:textFill>
            <w14:solidFill>
              <w14:schemeClr w14:val="tx1"/>
            </w14:solidFill>
          </w14:textFill>
        </w:rPr>
        <w:t>（北京时间）前提交响应文件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keepLines w:val="0"/>
        <w:pageBreakBefore w:val="0"/>
        <w:widowControl w:val="0"/>
        <w:wordWrap/>
        <w:overflowPunct/>
        <w:topLinePunct w:val="0"/>
        <w:bidi w:val="0"/>
        <w:snapToGrid/>
        <w:spacing w:line="5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7" w:name="_Toc35393629"/>
      <w:bookmarkStart w:id="8" w:name="_Toc35393798"/>
      <w:bookmarkStart w:id="9" w:name="_Toc28840"/>
      <w:bookmarkStart w:id="10" w:name="_Toc28359012"/>
      <w:bookmarkStart w:id="11" w:name="_Toc28359089"/>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一、项目基本情况</w:t>
      </w:r>
      <w:bookmarkEnd w:id="7"/>
      <w:bookmarkEnd w:id="8"/>
      <w:bookmarkEnd w:id="9"/>
      <w:bookmarkEnd w:id="10"/>
      <w:bookmarkEnd w:id="11"/>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项目编号：汉采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HW</w:t>
      </w: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27</w:t>
      </w:r>
      <w:r>
        <w:rPr>
          <w:rFonts w:hint="eastAsia" w:ascii="仿宋_GB2312" w:hAnsi="仿宋_GB2312" w:eastAsia="仿宋_GB2312" w:cs="仿宋_GB2312"/>
          <w:color w:val="000000" w:themeColor="text1"/>
          <w:sz w:val="28"/>
          <w:szCs w:val="28"/>
          <w14:textFill>
            <w14:solidFill>
              <w14:schemeClr w14:val="tx1"/>
            </w14:solidFill>
          </w14:textFill>
        </w:rPr>
        <w:t>号</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highlight w:val="yellow"/>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项目名称：</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汉中市福利彩票发行中心2024年公益驿站建设采购项目</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采购方式：竞争性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预算金额：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345000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元</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最高限价：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无</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u w:val="single"/>
          <w:lang w:val="en-US"/>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采购需求：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智能积分礼品兑换柜23台等（详见谈判文件第三章）</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合同履行</w:t>
      </w:r>
      <w:r>
        <w:rPr>
          <w:rFonts w:hint="eastAsia" w:ascii="仿宋_GB2312" w:hAnsi="仿宋_GB2312" w:eastAsia="仿宋_GB2312" w:cs="仿宋_GB2312"/>
          <w:color w:val="000000" w:themeColor="text1"/>
          <w:sz w:val="28"/>
          <w:szCs w:val="28"/>
          <w:highlight w:val="none"/>
          <w14:textFill>
            <w14:solidFill>
              <w14:schemeClr w14:val="tx1"/>
            </w14:solidFill>
          </w14:textFill>
        </w:rPr>
        <w:t>期限：</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签订合同后30天内。</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w:t>
      </w:r>
      <w:r>
        <w:rPr>
          <w:rFonts w:hint="eastAsia" w:ascii="仿宋_GB2312" w:hAnsi="仿宋_GB2312" w:eastAsia="仿宋_GB2312" w:cs="仿宋_GB2312"/>
          <w:color w:val="000000" w:themeColor="text1"/>
          <w:sz w:val="28"/>
          <w:szCs w:val="28"/>
          <w14:textFill>
            <w14:solidFill>
              <w14:schemeClr w14:val="tx1"/>
            </w14:solidFill>
          </w14:textFill>
        </w:rPr>
        <w:t>接受联合体。</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12" w:name="_Toc35393630"/>
      <w:bookmarkStart w:id="13" w:name="_Toc35393799"/>
      <w:bookmarkStart w:id="14" w:name="_Toc28359013"/>
      <w:bookmarkStart w:id="15" w:name="_Toc3608"/>
      <w:bookmarkStart w:id="16" w:name="_Toc28359090"/>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二、申请人的资格要求：</w:t>
      </w:r>
      <w:bookmarkEnd w:id="12"/>
      <w:bookmarkEnd w:id="13"/>
      <w:bookmarkEnd w:id="14"/>
      <w:bookmarkEnd w:id="15"/>
      <w:bookmarkEnd w:id="16"/>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1.满足《中华人民共和国政府采购法》第二十二条规定；</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17" w:name="_Toc28359091"/>
      <w:bookmarkStart w:id="18" w:name="_Toc28359014"/>
      <w:r>
        <w:rPr>
          <w:rFonts w:hint="eastAsia" w:ascii="仿宋_GB2312" w:hAnsi="仿宋_GB2312" w:eastAsia="仿宋_GB2312" w:cs="仿宋_GB2312"/>
          <w:color w:val="000000" w:themeColor="text1"/>
          <w:sz w:val="28"/>
          <w:szCs w:val="28"/>
          <w14:textFill>
            <w14:solidFill>
              <w14:schemeClr w14:val="tx1"/>
            </w14:solidFill>
          </w14:textFill>
        </w:rPr>
        <w:t>2.落实政府采购政策需满足的资格要求：</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本项目专门面向中小企业采购，供应商应为中小微企业，谈判时须提供《中小企业声明函》（按第五章格式填写）。本项目采购标的对应的中小企业划分标准所属行业为：工业；</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3.本项目的特定资格要求：</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（1）营业执照等主体资格证明文件：提供有效存续的企业营业执照（副本）/事业单位法人证书/专业服务机构执业许可证/民办非企业单位登记证书。</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（2）财务状况报告：提供202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年度或202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附基本存款账户信息），或信用担保机构出具的投标担保函。（以上三种形式的资料提供任何一种即可）。</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（3）社保缴纳证明：提供递交响应文件截止之日前一年内任意一个月的社会保障资金缴存单据或社保机构开具的社会保险参保缴费情况证明。依法不需要缴纳社会保障资金的供应商应提供相关证明文件。</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（4）税收缴纳证明：提供递交响应文件截止之日前一年内任意一个月的依法缴纳税收的相关凭据（时间以税款所属日期为准、</w:t>
      </w:r>
      <w:r>
        <w:rPr>
          <w:rFonts w:hint="eastAsia" w:ascii="仿宋_GB2312" w:hAnsi="仿宋_GB2312" w:eastAsia="仿宋_GB2312" w:cs="仿宋_GB2312"/>
          <w:b/>
          <w:bCs/>
          <w:color w:val="000000" w:themeColor="text1"/>
          <w:sz w:val="28"/>
          <w:szCs w:val="28"/>
          <w14:textFill>
            <w14:solidFill>
              <w14:schemeClr w14:val="tx1"/>
            </w14:solidFill>
          </w14:textFill>
        </w:rPr>
        <w:t>税种须同时包含增值税和企业所得税</w:t>
      </w:r>
      <w:r>
        <w:rPr>
          <w:rFonts w:hint="eastAsia" w:ascii="仿宋_GB2312" w:hAnsi="仿宋_GB2312" w:eastAsia="仿宋_GB2312" w:cs="仿宋_GB2312"/>
          <w:color w:val="000000" w:themeColor="text1"/>
          <w:sz w:val="28"/>
          <w:szCs w:val="28"/>
          <w14:textFill>
            <w14:solidFill>
              <w14:schemeClr w14:val="tx1"/>
            </w14:solidFill>
          </w14:textFill>
        </w:rPr>
        <w:t>），凭据应有税务机关或代收机关的公章或业务专用章。依法免税或无须缴纳税收的供应商，应提供相应证明文件。</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书面声明：</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提供《近三年内在经营活动中无重大违法记录声明》。（按第五章格式填写）</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法定代表人授权委托书：法定代表人参加谈判的，须提供本人身份证复印件（附在资格证明文件中）；法定代表人授权他人参加谈判的，须提供法定代表人授权委托书。谈判文件中凡是需要法定代表人盖章之处，非法人单位的负责人均参照执行。</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（按第五章格式填写）</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备注：1、以上资格要求均为必备资格，须提供相关证明文件并加盖响应人公章（如相关证明材料由第三方出具，应有第三方公章），缺少其中任何一项，其响应文件视为无效文件。</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2、分支机构参与谈判时，响应文件中应附法人出具的授权书。法人只能授权一家分支机构参与谈判，且不能与分支机构同时参与谈判。 </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3、事业单位法人参与谈判可不提供财务状况报告、社会保障资金缴纳证明及税收缴纳证明。</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19" w:name="_Toc29259"/>
      <w:bookmarkStart w:id="20" w:name="_Toc35393631"/>
      <w:bookmarkStart w:id="21" w:name="_Toc35393800"/>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三、获取采购文件</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时间：</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11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20 </w:t>
      </w:r>
      <w:r>
        <w:rPr>
          <w:rFonts w:hint="eastAsia" w:ascii="仿宋_GB2312" w:hAnsi="仿宋_GB2312" w:eastAsia="仿宋_GB2312" w:cs="仿宋_GB2312"/>
          <w:color w:val="000000" w:themeColor="text1"/>
          <w:sz w:val="28"/>
          <w:szCs w:val="28"/>
          <w:u w:val="single"/>
          <w14:textFill>
            <w14:solidFill>
              <w14:schemeClr w14:val="tx1"/>
            </w14:solidFill>
          </w14:textFill>
        </w:rPr>
        <w:t>日</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0 点 00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分</w:t>
      </w:r>
      <w:r>
        <w:rPr>
          <w:rFonts w:hint="eastAsia" w:ascii="仿宋_GB2312" w:hAnsi="仿宋_GB2312" w:eastAsia="仿宋_GB2312" w:cs="仿宋_GB2312"/>
          <w:color w:val="000000" w:themeColor="text1"/>
          <w:sz w:val="28"/>
          <w:szCs w:val="28"/>
          <w:highlight w:val="none"/>
          <w14:textFill>
            <w14:solidFill>
              <w14:schemeClr w14:val="tx1"/>
            </w14:solidFill>
          </w14:textFill>
        </w:rPr>
        <w:t>至</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年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11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22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24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点00 分（北京时间）</w:t>
      </w:r>
    </w:p>
    <w:p>
      <w:pPr>
        <w:keepLines w:val="0"/>
        <w:pageBreakBefore w:val="0"/>
        <w:widowControl w:val="0"/>
        <w:wordWrap/>
        <w:overflowPunct/>
        <w:topLinePunct w:val="0"/>
        <w:bidi w:val="0"/>
        <w:snapToGrid/>
        <w:spacing w:line="500" w:lineRule="exact"/>
        <w:ind w:firstLine="540"/>
        <w:textAlignment w:val="auto"/>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响应人登录全国公共资源交易平台（汉中市）（sxggzyjy.hanzhong.gov.cn）〖首页·〉电子交易平台·〉企业端〗后，在〖招标公告/出让公告·〉政府采购〗模块中选择项目点击“我要投标”，参与采购活动，然后即可在〖我的项目〗中点击“项目流程&gt;交易文件下载”下载电子招标文件（*.SXSZF）。操作流程详见全国公共资源交易平台（汉中市）网站〖首页·〉服务指南·〉下载专区〗中的《政府采购供应商操作手册》。</w:t>
      </w:r>
    </w:p>
    <w:p>
      <w:pPr>
        <w:keepLines w:val="0"/>
        <w:pageBreakBefore w:val="0"/>
        <w:widowControl w:val="0"/>
        <w:wordWrap/>
        <w:overflowPunct/>
        <w:topLinePunct w:val="0"/>
        <w:bidi w:val="0"/>
        <w:snapToGrid/>
        <w:spacing w:line="500" w:lineRule="exact"/>
        <w:ind w:firstLine="540"/>
        <w:textAlignment w:val="auto"/>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方式：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在线获取</w:t>
      </w:r>
    </w:p>
    <w:p>
      <w:pPr>
        <w:keepLines w:val="0"/>
        <w:pageBreakBefore w:val="0"/>
        <w:widowControl w:val="0"/>
        <w:wordWrap/>
        <w:overflowPunct/>
        <w:topLinePunct w:val="0"/>
        <w:bidi w:val="0"/>
        <w:snapToGrid/>
        <w:spacing w:line="500" w:lineRule="exact"/>
        <w:ind w:firstLine="54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售价：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0.00元</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22" w:name="_Toc28359092"/>
      <w:bookmarkStart w:id="23" w:name="_Toc35393632"/>
      <w:bookmarkStart w:id="24" w:name="_Toc35393801"/>
      <w:bookmarkStart w:id="25" w:name="_Toc859"/>
      <w:bookmarkStart w:id="26" w:name="_Toc28359015"/>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四、响应文件提交</w:t>
      </w:r>
      <w:bookmarkEnd w:id="22"/>
      <w:bookmarkEnd w:id="23"/>
      <w:bookmarkEnd w:id="24"/>
      <w:bookmarkEnd w:id="25"/>
      <w:bookmarkEnd w:id="26"/>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截止时间：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u w:val="single"/>
          <w14:textFill>
            <w14:solidFill>
              <w14:schemeClr w14:val="tx1"/>
            </w14:solidFill>
          </w14:textFill>
        </w:rPr>
        <w:t>年</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12</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月</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4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9 </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点 </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30</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 分</w:t>
      </w:r>
      <w:r>
        <w:rPr>
          <w:rFonts w:hint="eastAsia" w:ascii="仿宋_GB2312" w:hAnsi="仿宋_GB2312" w:eastAsia="仿宋_GB2312" w:cs="仿宋_GB2312"/>
          <w:bCs/>
          <w:color w:val="000000" w:themeColor="text1"/>
          <w:sz w:val="28"/>
          <w:szCs w:val="28"/>
          <w14:textFill>
            <w14:solidFill>
              <w14:schemeClr w14:val="tx1"/>
            </w14:solidFill>
          </w14:textFill>
        </w:rPr>
        <w:t>（北京时间）</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地点：电子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文件（*.SXSTF）可于提交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文件截止时间前任意时段登录全国公共资源交易平台（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）网站进行提交</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逾期系统将拒绝接收。</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27" w:name="_Toc32165"/>
      <w:bookmarkStart w:id="28" w:name="_Toc35393633"/>
      <w:bookmarkStart w:id="29" w:name="_Toc35393802"/>
      <w:bookmarkStart w:id="30" w:name="_Toc28359016"/>
      <w:bookmarkStart w:id="31" w:name="_Toc28359093"/>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五、开启</w:t>
      </w:r>
      <w:bookmarkEnd w:id="27"/>
      <w:bookmarkEnd w:id="28"/>
      <w:bookmarkEnd w:id="29"/>
      <w:bookmarkEnd w:id="30"/>
      <w:bookmarkEnd w:id="31"/>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时间：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年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12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月</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4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日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9</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点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0</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 分</w:t>
      </w:r>
      <w:r>
        <w:rPr>
          <w:rFonts w:hint="eastAsia" w:ascii="仿宋_GB2312" w:hAnsi="仿宋_GB2312" w:eastAsia="仿宋_GB2312" w:cs="仿宋_GB2312"/>
          <w:bCs/>
          <w:color w:val="000000" w:themeColor="text1"/>
          <w:sz w:val="28"/>
          <w:szCs w:val="28"/>
          <w14:textFill>
            <w14:solidFill>
              <w14:schemeClr w14:val="tx1"/>
            </w14:solidFill>
          </w14:textFill>
        </w:rPr>
        <w:t>（北京时间）</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采用</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不见面开标方式</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人登录全国公共资源交易平台（陕西省·汉中市）网站〖首页〉不见面开标〗系统，在线参加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过程。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时，按照工作人员要求进行远程解密，如因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人自身原因造成无法解密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文件，按无效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对待。</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32" w:name="_Toc28359094"/>
      <w:bookmarkStart w:id="33" w:name="_Toc28359017"/>
      <w:bookmarkStart w:id="34" w:name="_Toc4869"/>
      <w:bookmarkStart w:id="35" w:name="_Toc35393634"/>
      <w:bookmarkStart w:id="36" w:name="_Toc35393803"/>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六、公告期限</w:t>
      </w:r>
      <w:bookmarkEnd w:id="32"/>
      <w:bookmarkEnd w:id="33"/>
      <w:bookmarkEnd w:id="34"/>
      <w:bookmarkEnd w:id="35"/>
      <w:bookmarkEnd w:id="36"/>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自本公告发布之日起3个工作日。</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37" w:name="_Toc35393635"/>
      <w:bookmarkStart w:id="38" w:name="_Toc35393804"/>
      <w:bookmarkStart w:id="39" w:name="_Toc24605"/>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七、其他补充事宜</w:t>
      </w:r>
      <w:bookmarkEnd w:id="37"/>
      <w:bookmarkEnd w:id="38"/>
      <w:bookmarkEnd w:id="39"/>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本项目采用“电子化采购”及“不见面开标”方式，</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3、请响应人务必及时下载采购文件并做好备份，否则会影响响应文件编制及后续采购活动。 </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40" w:name="_Toc28359018"/>
      <w:bookmarkStart w:id="41" w:name="_Toc35393805"/>
      <w:bookmarkStart w:id="42" w:name="_Toc17247"/>
      <w:bookmarkStart w:id="43" w:name="_Toc28359095"/>
      <w:bookmarkStart w:id="44" w:name="_Toc35393636"/>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八、凡对本次采购提出询问，请按以下方式联系。</w:t>
      </w:r>
      <w:bookmarkEnd w:id="40"/>
      <w:bookmarkEnd w:id="41"/>
      <w:bookmarkEnd w:id="42"/>
      <w:bookmarkEnd w:id="43"/>
      <w:bookmarkEnd w:id="44"/>
    </w:p>
    <w:p>
      <w:pPr>
        <w:keepNext/>
        <w:keepLines w:val="0"/>
        <w:pageBreakBefore w:val="0"/>
        <w:widowControl w:val="0"/>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pPr>
      <w:bookmarkStart w:id="45" w:name="_Toc28359096"/>
      <w:bookmarkStart w:id="46" w:name="_Toc9063"/>
      <w:bookmarkStart w:id="47" w:name="_Toc35393637"/>
      <w:bookmarkStart w:id="48" w:name="_Toc35393806"/>
      <w:bookmarkStart w:id="49" w:name="_Toc28359019"/>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bookmarkStart w:id="50" w:name="_Toc35393638"/>
      <w:bookmarkStart w:id="51" w:name="_Toc35393807"/>
      <w:bookmarkStart w:id="52" w:name="_Toc28359020"/>
      <w:bookmarkStart w:id="53" w:name="_Toc28359097"/>
      <w:r>
        <w:rPr>
          <w:rFonts w:hint="eastAsia" w:ascii="仿宋_GB2312" w:hAnsi="仿宋_GB2312" w:eastAsia="仿宋_GB2312" w:cs="仿宋_GB2312"/>
          <w:color w:val="000000" w:themeColor="text1"/>
          <w:sz w:val="28"/>
          <w:szCs w:val="28"/>
          <w14:textFill>
            <w14:solidFill>
              <w14:schemeClr w14:val="tx1"/>
            </w14:solidFill>
          </w14:textFill>
        </w:rPr>
        <w:t>名    称：</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汉中市福利彩票发行中心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    址：</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汉中市汉台区汉宁路</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联系方式：</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18109166059</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keepNext/>
        <w:keepLines w:val="0"/>
        <w:pageBreakBefore w:val="0"/>
        <w:widowControl w:val="0"/>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pPr>
      <w:bookmarkStart w:id="54" w:name="_Toc27032"/>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2.采购代理机构信息</w:t>
      </w:r>
      <w:bookmarkEnd w:id="50"/>
      <w:bookmarkEnd w:id="51"/>
      <w:bookmarkEnd w:id="52"/>
      <w:bookmarkEnd w:id="53"/>
      <w:bookmarkEnd w:id="54"/>
    </w:p>
    <w:p>
      <w:pPr>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名    称：</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汉中市政府采购中心</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　　址：</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汉中市汉台区南团结街与汉宁路十字金格大厦四楼　</w:t>
      </w:r>
    </w:p>
    <w:p>
      <w:pPr>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联系方式：</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0916-2109082</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keepNext/>
        <w:keepLines w:val="0"/>
        <w:pageBreakBefore w:val="0"/>
        <w:widowControl w:val="0"/>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pPr>
      <w:bookmarkStart w:id="55" w:name="_Toc28359098"/>
      <w:bookmarkStart w:id="56" w:name="_Toc28359021"/>
      <w:bookmarkStart w:id="57" w:name="_Toc35393639"/>
      <w:bookmarkStart w:id="58" w:name="_Toc35393808"/>
      <w:bookmarkStart w:id="59" w:name="_Toc6426"/>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3.项目联系方式</w:t>
      </w:r>
      <w:bookmarkEnd w:id="55"/>
      <w:bookmarkEnd w:id="56"/>
      <w:bookmarkEnd w:id="57"/>
      <w:bookmarkEnd w:id="58"/>
      <w:bookmarkEnd w:id="59"/>
    </w:p>
    <w:p>
      <w:pPr>
        <w:pStyle w:val="11"/>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项目联系人：</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王月</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话：</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0916-2109082</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rPr>
          <w:rFonts w:ascii="黑体" w:hAnsi="黑体" w:eastAsia="黑体"/>
          <w:b w:val="0"/>
          <w:bCs/>
          <w:color w:val="000000" w:themeColor="text1"/>
          <w:sz w:val="32"/>
          <w:szCs w:val="32"/>
          <w14:textFill>
            <w14:solidFill>
              <w14:schemeClr w14:val="tx1"/>
            </w14:solidFill>
          </w14:textFill>
        </w:rPr>
      </w:pPr>
      <w:bookmarkStart w:id="60" w:name="_Toc9601"/>
      <w:bookmarkStart w:id="61" w:name="_Toc495014648"/>
      <w:bookmarkStart w:id="62" w:name="_Toc15046_WPSOffice_Level1"/>
      <w:bookmarkStart w:id="63" w:name="_Toc495014584"/>
      <w:bookmarkStart w:id="64" w:name="_Toc7814"/>
      <w:bookmarkStart w:id="65" w:name="_Toc495014610"/>
      <w:bookmarkStart w:id="66" w:name="_Toc4326"/>
      <w:bookmarkStart w:id="67" w:name="_Toc445306492"/>
      <w:bookmarkStart w:id="68" w:name="_Toc495014953"/>
      <w:bookmarkStart w:id="69" w:name="_Toc495012820"/>
      <w:bookmarkStart w:id="70" w:name="_Toc495014919"/>
      <w:bookmarkStart w:id="71" w:name="_Toc495012770"/>
      <w:bookmarkStart w:id="72" w:name="_Toc10140"/>
      <w:bookmarkStart w:id="73" w:name="_Toc22804_WPSOffice_Level1"/>
      <w:bookmarkStart w:id="74" w:name="_Toc19337_WPSOffice_Level1"/>
      <w:r>
        <w:rPr>
          <w:rFonts w:ascii="黑体" w:hAnsi="黑体" w:eastAsia="黑体"/>
          <w:b w:val="0"/>
          <w:bCs/>
          <w:color w:val="000000" w:themeColor="text1"/>
          <w:sz w:val="32"/>
          <w:szCs w:val="32"/>
          <w14:textFill>
            <w14:solidFill>
              <w14:schemeClr w14:val="tx1"/>
            </w14:solidFill>
          </w14:textFill>
        </w:rPr>
        <w:br w:type="page"/>
      </w:r>
    </w:p>
    <w:p>
      <w:pPr>
        <w:pStyle w:val="3"/>
        <w:rPr>
          <w:rFonts w:ascii="黑体" w:hAnsi="黑体" w:eastAsia="黑体"/>
          <w:color w:val="000000" w:themeColor="text1"/>
          <w:sz w:val="32"/>
          <w:szCs w:val="32"/>
          <w14:textFill>
            <w14:solidFill>
              <w14:schemeClr w14:val="tx1"/>
            </w14:solidFill>
          </w14:textFill>
        </w:rPr>
      </w:pPr>
      <w:r>
        <w:rPr>
          <w:rFonts w:ascii="黑体" w:hAnsi="黑体" w:eastAsia="黑体"/>
          <w:b w:val="0"/>
          <w:bCs/>
          <w:color w:val="000000" w:themeColor="text1"/>
          <w:sz w:val="32"/>
          <w:szCs w:val="32"/>
          <w14:textFill>
            <w14:solidFill>
              <w14:schemeClr w14:val="tx1"/>
            </w14:solidFill>
          </w14:textFill>
        </w:rPr>
        <w:t xml:space="preserve">第二章  </w:t>
      </w:r>
      <w:r>
        <w:rPr>
          <w:rFonts w:hint="eastAsia" w:ascii="黑体" w:hAnsi="黑体" w:eastAsia="黑体"/>
          <w:b w:val="0"/>
          <w:bCs/>
          <w:color w:val="000000" w:themeColor="text1"/>
          <w:sz w:val="32"/>
          <w:szCs w:val="32"/>
          <w14:textFill>
            <w14:solidFill>
              <w14:schemeClr w14:val="tx1"/>
            </w14:solidFill>
          </w14:textFill>
        </w:rPr>
        <w:t>供应商</w:t>
      </w:r>
      <w:r>
        <w:rPr>
          <w:rFonts w:ascii="黑体" w:hAnsi="黑体" w:eastAsia="黑体"/>
          <w:b w:val="0"/>
          <w:bCs/>
          <w:color w:val="000000" w:themeColor="text1"/>
          <w:sz w:val="32"/>
          <w:szCs w:val="32"/>
          <w14:textFill>
            <w14:solidFill>
              <w14:schemeClr w14:val="tx1"/>
            </w14:solidFill>
          </w14:textFill>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75" w:name="_Toc16238"/>
      <w:bookmarkStart w:id="76" w:name="_Toc3062"/>
      <w:bookmarkStart w:id="77" w:name="_Toc12337"/>
      <w:bookmarkStart w:id="78" w:name="_Toc24451_WPSOffice_Level2"/>
      <w:bookmarkStart w:id="79" w:name="_Toc23184"/>
      <w:bookmarkStart w:id="80" w:name="_Toc18466_WPSOffice_Level2"/>
      <w:bookmarkStart w:id="81" w:name="_Toc3858_WPSOffice_Level2"/>
      <w:r>
        <w:rPr>
          <w:rFonts w:hint="eastAsia" w:ascii="仿宋_GB2312" w:hAnsi="仿宋_GB2312" w:eastAsia="仿宋_GB2312" w:cs="仿宋_GB2312"/>
          <w:color w:val="000000" w:themeColor="text1"/>
          <w:sz w:val="28"/>
          <w:szCs w:val="28"/>
          <w14:textFill>
            <w14:solidFill>
              <w14:schemeClr w14:val="tx1"/>
            </w14:solidFill>
          </w14:textFill>
        </w:rPr>
        <w:t>一、定义</w:t>
      </w:r>
      <w:bookmarkEnd w:id="75"/>
      <w:bookmarkEnd w:id="76"/>
      <w:bookmarkEnd w:id="77"/>
      <w:bookmarkEnd w:id="78"/>
      <w:bookmarkEnd w:id="79"/>
      <w:bookmarkEnd w:id="80"/>
      <w:bookmarkEnd w:id="81"/>
    </w:p>
    <w:p>
      <w:pPr>
        <w:spacing w:line="500" w:lineRule="exact"/>
        <w:ind w:firstLine="566" w:firstLineChars="20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bookmarkStart w:id="82" w:name="_Toc11840_WPSOffice_Level3"/>
      <w:r>
        <w:rPr>
          <w:rFonts w:hint="eastAsia" w:ascii="仿宋_GB2312" w:hAnsi="仿宋_GB2312" w:eastAsia="仿宋_GB2312" w:cs="仿宋_GB2312"/>
          <w:color w:val="000000" w:themeColor="text1"/>
          <w:sz w:val="28"/>
          <w:szCs w:val="28"/>
          <w14:textFill>
            <w14:solidFill>
              <w14:schemeClr w14:val="tx1"/>
            </w14:solidFill>
          </w14:textFill>
        </w:rPr>
        <w:t>（一）采 购 人：</w:t>
      </w:r>
      <w:bookmarkEnd w:id="82"/>
      <w:bookmarkStart w:id="83" w:name="_Toc9917_WPSOffice_Level3"/>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汉中市福利彩票发行中心</w:t>
      </w:r>
    </w:p>
    <w:p>
      <w:pPr>
        <w:spacing w:line="500" w:lineRule="exact"/>
        <w:ind w:firstLine="566"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（二）监督机构：</w:t>
      </w:r>
      <w:bookmarkEnd w:id="83"/>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汉中市财政局</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84" w:name="_Toc8219_WPSOffice_Level3"/>
      <w:r>
        <w:rPr>
          <w:rFonts w:hint="eastAsia" w:ascii="仿宋_GB2312" w:hAnsi="仿宋_GB2312" w:eastAsia="仿宋_GB2312" w:cs="仿宋_GB2312"/>
          <w:color w:val="000000" w:themeColor="text1"/>
          <w:sz w:val="28"/>
          <w:szCs w:val="28"/>
          <w14:textFill>
            <w14:solidFill>
              <w14:schemeClr w14:val="tx1"/>
            </w14:solidFill>
          </w14:textFill>
        </w:rPr>
        <w:t>（三）集中采购机构（采购代理机构）：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政府采购中心</w:t>
      </w:r>
      <w:bookmarkEnd w:id="84"/>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85" w:name="_Toc20141_WPSOffice_Level3"/>
      <w:r>
        <w:rPr>
          <w:rFonts w:hint="eastAsia" w:ascii="仿宋_GB2312" w:hAnsi="仿宋_GB2312" w:eastAsia="仿宋_GB2312" w:cs="仿宋_GB2312"/>
          <w:color w:val="000000" w:themeColor="text1"/>
          <w:sz w:val="28"/>
          <w:szCs w:val="28"/>
          <w14:textFill>
            <w14:solidFill>
              <w14:schemeClr w14:val="tx1"/>
            </w14:solidFill>
          </w14:textFill>
        </w:rPr>
        <w:t>（四）供应商：拟向采购人提供货物、工程或者服务的法人、其他组织或者自然人</w:t>
      </w:r>
      <w:bookmarkEnd w:id="85"/>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86" w:name="_Toc11745_WPSOffice_Level2"/>
      <w:bookmarkStart w:id="87" w:name="_Toc27278_WPSOffice_Level2"/>
      <w:bookmarkStart w:id="88" w:name="_Toc24646"/>
      <w:bookmarkStart w:id="89" w:name="_Toc20906_WPSOffice_Level2"/>
      <w:bookmarkStart w:id="90" w:name="_Toc4606"/>
      <w:bookmarkStart w:id="91" w:name="_Toc13654"/>
      <w:bookmarkStart w:id="92" w:name="_Toc9291"/>
      <w:r>
        <w:rPr>
          <w:rFonts w:hint="eastAsia" w:ascii="仿宋_GB2312" w:hAnsi="仿宋_GB2312" w:eastAsia="仿宋_GB2312" w:cs="仿宋_GB2312"/>
          <w:color w:val="000000" w:themeColor="text1"/>
          <w:sz w:val="28"/>
          <w:szCs w:val="28"/>
          <w14:textFill>
            <w14:solidFill>
              <w14:schemeClr w14:val="tx1"/>
            </w14:solidFill>
          </w14:textFill>
        </w:rPr>
        <w:t>二、供应商注意事项</w:t>
      </w:r>
      <w:bookmarkEnd w:id="86"/>
      <w:bookmarkEnd w:id="87"/>
      <w:bookmarkEnd w:id="88"/>
      <w:bookmarkEnd w:id="89"/>
      <w:bookmarkEnd w:id="90"/>
      <w:bookmarkEnd w:id="91"/>
      <w:bookmarkEnd w:id="92"/>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93" w:name="_Toc21291"/>
      <w:bookmarkStart w:id="94" w:name="_Toc26982_WPSOffice_Level3"/>
      <w:r>
        <w:rPr>
          <w:rFonts w:hint="eastAsia" w:ascii="仿宋_GB2312" w:hAnsi="仿宋_GB2312" w:eastAsia="仿宋_GB2312" w:cs="仿宋_GB2312"/>
          <w:b/>
          <w:bCs/>
          <w:color w:val="000000" w:themeColor="text1"/>
          <w:sz w:val="28"/>
          <w:szCs w:val="28"/>
          <w14:textFill>
            <w14:solidFill>
              <w14:schemeClr w14:val="tx1"/>
            </w14:solidFill>
          </w14:textFill>
        </w:rPr>
        <w:t>（一）</w:t>
      </w:r>
      <w:r>
        <w:rPr>
          <w:rFonts w:hint="eastAsia" w:ascii="仿宋_GB2312" w:hAnsi="仿宋_GB2312" w:eastAsia="仿宋_GB2312" w:cs="仿宋_GB2312"/>
          <w:b/>
          <w:color w:val="000000" w:themeColor="text1"/>
          <w:sz w:val="28"/>
          <w:szCs w:val="28"/>
          <w14:textFill>
            <w14:solidFill>
              <w14:schemeClr w14:val="tx1"/>
            </w14:solidFill>
          </w14:textFill>
        </w:rPr>
        <w:t>现场</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考察</w:t>
      </w:r>
      <w:r>
        <w:rPr>
          <w:rFonts w:hint="eastAsia" w:ascii="仿宋_GB2312" w:hAnsi="仿宋_GB2312" w:eastAsia="仿宋_GB2312" w:cs="仿宋_GB2312"/>
          <w:b/>
          <w:color w:val="000000" w:themeColor="text1"/>
          <w:sz w:val="28"/>
          <w:szCs w:val="28"/>
          <w14:textFill>
            <w14:solidFill>
              <w14:schemeClr w14:val="tx1"/>
            </w14:solidFill>
          </w14:textFill>
        </w:rPr>
        <w:t>及</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前答疑会</w:t>
      </w:r>
    </w:p>
    <w:p>
      <w:pPr>
        <w:spacing w:line="500" w:lineRule="exact"/>
        <w:ind w:firstLine="566"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采购项目安排现场考察和</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bCs/>
          <w:color w:val="000000" w:themeColor="text1"/>
          <w:sz w:val="28"/>
          <w:szCs w:val="28"/>
          <w14:textFill>
            <w14:solidFill>
              <w14:schemeClr w14:val="tx1"/>
            </w14:solidFill>
          </w14:textFill>
        </w:rPr>
        <w:t>在财政部门指定的媒体上发布。 答复内容可能影响响应文件编制的，应当顺延</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时间。凡未参加现场考察及</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 xml:space="preserve">前答疑会的供应商，由此造成的偏差由各供应商自行负责。 </w:t>
      </w:r>
    </w:p>
    <w:p>
      <w:pPr>
        <w:spacing w:line="500" w:lineRule="exact"/>
        <w:ind w:firstLine="566"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本项目</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不</w:t>
      </w:r>
      <w:r>
        <w:rPr>
          <w:rFonts w:hint="eastAsia" w:ascii="仿宋_GB2312" w:hAnsi="仿宋_GB2312" w:eastAsia="仿宋_GB2312" w:cs="仿宋_GB2312"/>
          <w:b/>
          <w:color w:val="000000" w:themeColor="text1"/>
          <w:sz w:val="28"/>
          <w:szCs w:val="28"/>
          <w14:textFill>
            <w14:solidFill>
              <w14:schemeClr w14:val="tx1"/>
            </w14:solidFill>
          </w14:textFill>
        </w:rPr>
        <w:t>组织集中踏勘</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和谈判前答疑会</w:t>
      </w:r>
      <w:r>
        <w:rPr>
          <w:rFonts w:hint="eastAsia" w:ascii="仿宋_GB2312" w:hAnsi="仿宋_GB2312" w:eastAsia="仿宋_GB2312" w:cs="仿宋_GB2312"/>
          <w:b/>
          <w:color w:val="000000" w:themeColor="text1"/>
          <w:sz w:val="28"/>
          <w:szCs w:val="28"/>
          <w14:textFill>
            <w14:solidFill>
              <w14:schemeClr w14:val="tx1"/>
            </w14:solidFill>
          </w14:textFill>
        </w:rPr>
        <w:t>。</w:t>
      </w:r>
      <w:bookmarkEnd w:id="93"/>
      <w:bookmarkEnd w:id="94"/>
      <w:bookmarkStart w:id="95" w:name="_Toc669_WPSOffice_Level3"/>
      <w:bookmarkStart w:id="365" w:name="_GoBack"/>
      <w:bookmarkEnd w:id="365"/>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（二）</w:t>
      </w:r>
      <w:bookmarkEnd w:id="95"/>
      <w:bookmarkStart w:id="96" w:name="_Toc9412_WPSOffice_Level3"/>
      <w:r>
        <w:rPr>
          <w:rFonts w:hint="eastAsia" w:ascii="仿宋_GB2312" w:hAnsi="仿宋_GB2312" w:eastAsia="仿宋_GB2312" w:cs="仿宋_GB2312"/>
          <w:b/>
          <w:bCs/>
          <w:color w:val="000000" w:themeColor="text1"/>
          <w:sz w:val="28"/>
          <w:szCs w:val="28"/>
          <w14:textFill>
            <w14:solidFill>
              <w14:schemeClr w14:val="tx1"/>
            </w14:solidFill>
          </w14:textFill>
        </w:rPr>
        <w:t>询问</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供应商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针对采购文件，向采购人</w:t>
      </w:r>
      <w:r>
        <w:rPr>
          <w:rFonts w:hint="eastAsia" w:ascii="仿宋_GB2312" w:hAnsi="仿宋_GB2312" w:eastAsia="仿宋_GB2312" w:cs="仿宋_GB2312"/>
          <w:color w:val="000000" w:themeColor="text1"/>
          <w:sz w:val="28"/>
          <w:szCs w:val="28"/>
          <w14:textFill>
            <w14:solidFill>
              <w14:schemeClr w14:val="tx1"/>
            </w14:solidFill>
          </w14:textFill>
        </w:rPr>
        <w:t>提出书面询问的，采购人应在三个工作日内书面答复；供应商向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提出书面询问的，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集中采购机构在委托授权范围内作出答复，超出范围</w:t>
      </w:r>
      <w:r>
        <w:rPr>
          <w:rFonts w:hint="eastAsia" w:ascii="仿宋_GB2312" w:hAnsi="仿宋_GB2312" w:eastAsia="仿宋_GB2312" w:cs="仿宋_GB2312"/>
          <w:color w:val="000000" w:themeColor="text1"/>
          <w:sz w:val="28"/>
          <w:szCs w:val="28"/>
          <w14:textFill>
            <w14:solidFill>
              <w14:schemeClr w14:val="tx1"/>
            </w14:solidFill>
          </w14:textFill>
        </w:rPr>
        <w:t>应告知采购人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作</w:t>
      </w:r>
      <w:r>
        <w:rPr>
          <w:rFonts w:hint="eastAsia" w:ascii="仿宋_GB2312" w:hAnsi="仿宋_GB2312" w:eastAsia="仿宋_GB2312" w:cs="仿宋_GB2312"/>
          <w:color w:val="000000" w:themeColor="text1"/>
          <w:sz w:val="28"/>
          <w:szCs w:val="28"/>
          <w14:textFill>
            <w14:solidFill>
              <w14:schemeClr w14:val="tx1"/>
            </w14:solidFill>
          </w14:textFill>
        </w:rPr>
        <w:t xml:space="preserve">出答复。 </w:t>
      </w:r>
    </w:p>
    <w:p>
      <w:pPr>
        <w:spacing w:line="500" w:lineRule="exact"/>
        <w:ind w:firstLine="566" w:firstLineChars="200"/>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供应商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针</w:t>
      </w:r>
      <w:r>
        <w:rPr>
          <w:rFonts w:hint="eastAsia" w:ascii="仿宋_GB2312" w:hAnsi="仿宋_GB2312" w:eastAsia="仿宋_GB2312" w:cs="仿宋_GB2312"/>
          <w:color w:val="000000" w:themeColor="text1"/>
          <w:sz w:val="28"/>
          <w:szCs w:val="28"/>
          <w14:textFill>
            <w14:solidFill>
              <w14:schemeClr w14:val="tx1"/>
            </w14:solidFill>
          </w14:textFill>
        </w:rPr>
        <w:t>对采购过程、中标（成交）结果，向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提出书面询问的，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应在三个工作日内书面答复</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（三）质疑和投诉</w:t>
      </w:r>
      <w:bookmarkEnd w:id="96"/>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供应商如果认为采购过程</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或者成交</w:t>
      </w:r>
      <w:r>
        <w:rPr>
          <w:rFonts w:hint="eastAsia" w:ascii="仿宋_GB2312" w:hAnsi="仿宋_GB2312" w:eastAsia="仿宋_GB2312" w:cs="仿宋_GB2312"/>
          <w:color w:val="000000" w:themeColor="text1"/>
          <w:sz w:val="28"/>
          <w:szCs w:val="28"/>
          <w14:textFill>
            <w14:solidFill>
              <w14:schemeClr w14:val="tx1"/>
            </w14:solidFill>
          </w14:textFill>
        </w:rPr>
        <w:t>结果使自身的合法权益受到损害，可以在知道或者应知其权益受到损害之日起7个工作日内，以书面形式向采购人、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提出质疑。</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供应商在法定质疑期内针对同一采购程序环节的质疑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应</w:t>
      </w:r>
      <w:r>
        <w:rPr>
          <w:rFonts w:hint="eastAsia" w:ascii="仿宋_GB2312" w:hAnsi="仿宋_GB2312" w:eastAsia="仿宋_GB2312" w:cs="仿宋_GB2312"/>
          <w:color w:val="000000" w:themeColor="text1"/>
          <w:sz w:val="28"/>
          <w:szCs w:val="28"/>
          <w14:textFill>
            <w14:solidFill>
              <w14:schemeClr w14:val="tx1"/>
            </w14:solidFill>
          </w14:textFill>
        </w:rPr>
        <w:t>一次性提出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《政府采购供应商质疑函范本》链接地址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http://gks.mof.gov.cn/ztztz/zhengfucaigouguanli/201802/t20180201_2804589.htm</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接收质疑函方式：现场递交或邮件（快递）寄送；</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联系部门：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交易监督科</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联系电话：0916-210908</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通讯地址：汉中市汉台区南团结街与汉宁路十字金格大厦四楼4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室。</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、采购代理机构或采购人将在收到书面质疑后7个工作日内做出答复，并以书面形式通知质疑人和其他有关供应商。</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、质疑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14:textFill>
            <w14:solidFill>
              <w14:schemeClr w14:val="tx1"/>
            </w14:solidFill>
          </w14:textFill>
        </w:rPr>
        <w:t>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或采购人的答复不满意，以及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或采购人未在规定时间内</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作出</w:t>
      </w:r>
      <w:r>
        <w:rPr>
          <w:rFonts w:hint="eastAsia" w:ascii="仿宋_GB2312" w:hAnsi="仿宋_GB2312" w:eastAsia="仿宋_GB2312" w:cs="仿宋_GB2312"/>
          <w:color w:val="000000" w:themeColor="text1"/>
          <w:sz w:val="28"/>
          <w:szCs w:val="28"/>
          <w14:textFill>
            <w14:solidFill>
              <w14:schemeClr w14:val="tx1"/>
            </w14:solidFill>
          </w14:textFill>
        </w:rPr>
        <w:t>答复的，可以在答复期满后15个工作日内向政府采购监管机构提出投诉。</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97" w:name="_Toc14110_WPSOffice_Level3"/>
      <w:r>
        <w:rPr>
          <w:rFonts w:hint="eastAsia" w:ascii="仿宋_GB2312" w:hAnsi="仿宋_GB2312" w:eastAsia="仿宋_GB2312" w:cs="仿宋_GB2312"/>
          <w:b/>
          <w:color w:val="000000" w:themeColor="text1"/>
          <w:sz w:val="28"/>
          <w:szCs w:val="28"/>
          <w14:textFill>
            <w14:solidFill>
              <w14:schemeClr w14:val="tx1"/>
            </w14:solidFill>
          </w14:textFill>
        </w:rPr>
        <w:t>（四）对参加政府采购活动的中小企业的扶持政策[依据《政府采购促进中小企业发展管理办法》（财库〔2020〕46号）相关规定]</w:t>
      </w:r>
    </w:p>
    <w:bookmarkEnd w:id="97"/>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本项目专门面向中小企业采购，不再执行价格评审优惠扶持政策；本项目采购标的对应的中小企业划分标准所属行业为：</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工</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业。</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供应商提供的货物、工程或者服务符合下列情形的，享受相关中小企业扶持政策：</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（1）在货物采购项目中，货物由中小企业制造，即货物由中小企业生产且使用该中小企业商号或者注册商标；</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（2）在工程采购项目中，工程由中小企业承建，即工程施工单位为中小企业；</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（3）在服务采购项目中，服务由中小企业承接，即提供服务的人员为中小企业依照《中华人民共和国劳动合同法》订立劳动合同的从业人员。</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在货物采购项目中，供应商提供的货物既有中小企业制造货物，也有大型企业制造货物的，不享受相关中小企业扶持政策。</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 xml:space="preserve">对符合上述情形的小微企业报价给予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价格扣除比例或者价格分加分比例对小型企业和微型企业同等对待，不作区分。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中小企业参加政府采购活动，应当出具《中小企业声明函》（见附件），否则不得享受相关中小企业扶持政策。</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授予</w:t>
      </w:r>
      <w:r>
        <w:rPr>
          <w:rFonts w:hint="eastAsia" w:ascii="仿宋_GB2312" w:hAnsi="仿宋_GB2312" w:eastAsia="仿宋_GB2312" w:cs="仿宋_GB2312"/>
          <w:color w:val="000000" w:themeColor="text1"/>
          <w:sz w:val="28"/>
          <w:szCs w:val="28"/>
          <w14:textFill>
            <w14:solidFill>
              <w14:schemeClr w14:val="tx1"/>
            </w14:solidFill>
          </w14:textFill>
        </w:rPr>
        <w:t>中小企业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政府采购合同预付</w:t>
      </w:r>
      <w:r>
        <w:rPr>
          <w:rFonts w:hint="eastAsia" w:ascii="仿宋_GB2312" w:hAnsi="仿宋_GB2312" w:eastAsia="仿宋_GB2312" w:cs="仿宋_GB2312"/>
          <w:color w:val="000000" w:themeColor="text1"/>
          <w:sz w:val="28"/>
          <w:szCs w:val="28"/>
          <w14:textFill>
            <w14:solidFill>
              <w14:schemeClr w14:val="tx1"/>
            </w14:solidFill>
          </w14:textFill>
        </w:rPr>
        <w:t>款比例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不得</w:t>
      </w:r>
      <w:r>
        <w:rPr>
          <w:rFonts w:hint="eastAsia" w:ascii="仿宋_GB2312" w:hAnsi="仿宋_GB2312" w:eastAsia="仿宋_GB2312" w:cs="仿宋_GB2312"/>
          <w:color w:val="000000" w:themeColor="text1"/>
          <w:sz w:val="28"/>
          <w:szCs w:val="28"/>
          <w14:textFill>
            <w14:solidFill>
              <w14:schemeClr w14:val="tx1"/>
            </w14:solidFill>
          </w14:textFill>
        </w:rPr>
        <w:t>低于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合同价款的4</w:t>
      </w:r>
      <w:r>
        <w:rPr>
          <w:rFonts w:hint="eastAsia" w:ascii="仿宋_GB2312" w:hAnsi="仿宋_GB2312" w:eastAsia="仿宋_GB2312" w:cs="仿宋_GB2312"/>
          <w:color w:val="000000" w:themeColor="text1"/>
          <w:sz w:val="28"/>
          <w:szCs w:val="28"/>
          <w14:textFill>
            <w14:solidFill>
              <w14:schemeClr w14:val="tx1"/>
            </w14:solidFill>
          </w14:textFill>
        </w:rPr>
        <w:t>0%。</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中小企业投标（包括</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、谈判、询价）保证金（需要交纳保证金时）减半，履约保证金全免。</w:t>
      </w:r>
    </w:p>
    <w:p>
      <w:pPr>
        <w:spacing w:line="500" w:lineRule="exact"/>
        <w:ind w:firstLine="566"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bookmarkStart w:id="98" w:name="_Toc11745_WPSOffice_Level3"/>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eastAsia="zh-CN"/>
          <w14:textFill>
            <w14:solidFill>
              <w14:schemeClr w14:val="tx1"/>
            </w14:solidFill>
          </w14:textFill>
        </w:rPr>
        <w:t>、监狱企业、残疾人福利性单位等视同小型、微型企业情况按照《财政部司法部关于政府采购支持监狱企业发展有关问题的通知》（财库〔2014〕68 号）及《关于促进残疾人就业政府采购政策的通知》（财库〔2017〕141 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等</w:t>
      </w:r>
      <w:r>
        <w:rPr>
          <w:rFonts w:hint="eastAsia" w:ascii="仿宋_GB2312" w:hAnsi="仿宋_GB2312" w:eastAsia="仿宋_GB2312" w:cs="仿宋_GB2312"/>
          <w:color w:val="000000" w:themeColor="text1"/>
          <w:sz w:val="28"/>
          <w:szCs w:val="28"/>
          <w:lang w:eastAsia="zh-CN"/>
          <w14:textFill>
            <w14:solidFill>
              <w14:schemeClr w14:val="tx1"/>
            </w14:solidFill>
          </w14:textFill>
        </w:rPr>
        <w:t>相关内容执行。</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未尽事宜以《政府采购促进中小企业发展管理办法》（财库〔2020〕46号）为准。</w:t>
      </w:r>
    </w:p>
    <w:p>
      <w:pPr>
        <w:spacing w:line="500" w:lineRule="exact"/>
        <w:ind w:firstLine="566" w:firstLineChars="200"/>
        <w:contextualSpacing/>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（五）关于同一品牌产品的处理 </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1、单一产品采购项目中，提供相同品牌的产品的不同供应商参加同一合同项下谈判的，以其中通过资格审查、符合性审查且最后谈判报价最低的参加排序；报价相同的，由谈判小组按照技术方案、售后服务等内容确定一个参加评标的供应商，其他响应无效。 </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2、非单一产品采购项目，采购人将根据采购项目技术构成、产品价格比重等因素确定核心产品（可能不止一种），并在谈判文件中载明。提供相同品牌的核心产品的不同供应商参加同一合同项下谈判的，以其中通过资格审查、符合性审查且最后谈判报价最低的参加排序；报价相同的，由谈判小组按照技术方案、售后服务等内容确定一个参加评标的供应商，其他响应无效。 </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3、核心产品为两个及以上时，多家供应商提供的核心产品有部分采用或全部采用相同品牌的，按一家供应商计算。</w:t>
      </w:r>
    </w:p>
    <w:bookmarkEnd w:id="98"/>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99" w:name="_Toc17868_WPSOffice_Level2"/>
      <w:bookmarkStart w:id="100" w:name="_Toc3130"/>
      <w:bookmarkStart w:id="101" w:name="_Toc30436"/>
      <w:bookmarkStart w:id="102" w:name="_Toc2960"/>
      <w:bookmarkStart w:id="103" w:name="_Toc8798_WPSOffice_Level2"/>
      <w:bookmarkStart w:id="104" w:name="_Toc9976"/>
      <w:bookmarkStart w:id="105" w:name="_Toc10768_WPSOffice_Level2"/>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w:t>
      </w:r>
      <w:bookmarkEnd w:id="99"/>
      <w:bookmarkEnd w:id="100"/>
      <w:bookmarkEnd w:id="101"/>
      <w:bookmarkEnd w:id="102"/>
      <w:bookmarkEnd w:id="103"/>
      <w:bookmarkEnd w:id="104"/>
      <w:bookmarkEnd w:id="105"/>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106" w:name="_Toc20873_WPSOffice_Level3"/>
      <w:r>
        <w:rPr>
          <w:rFonts w:hint="eastAsia" w:ascii="仿宋_GB2312" w:hAnsi="仿宋_GB2312" w:eastAsia="仿宋_GB2312" w:cs="仿宋_GB2312"/>
          <w:b/>
          <w:color w:val="000000" w:themeColor="text1"/>
          <w:sz w:val="28"/>
          <w:szCs w:val="28"/>
          <w14:textFill>
            <w14:solidFill>
              <w14:schemeClr w14:val="tx1"/>
            </w14:solidFill>
          </w14:textFill>
        </w:rPr>
        <w:t>（一）</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文件包括下列内容</w:t>
      </w:r>
      <w:bookmarkEnd w:id="106"/>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第一章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邀请函</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第二章　供应商须知</w:t>
      </w:r>
    </w:p>
    <w:p>
      <w:pPr>
        <w:spacing w:line="500" w:lineRule="exact"/>
        <w:ind w:firstLine="566" w:firstLineChars="200"/>
        <w:rPr>
          <w:rFonts w:hint="eastAsia" w:ascii="仿宋_GB2312" w:hAnsi="仿宋_GB2312" w:eastAsia="仿宋_GB2312" w:cs="仿宋_GB2312"/>
          <w:bCs/>
          <w:color w:val="000000" w:themeColor="text1"/>
          <w:sz w:val="28"/>
          <w:szCs w:val="28"/>
          <w14:textFill>
            <w14:solidFill>
              <w14:schemeClr w14:val="tx1"/>
            </w14:solidFill>
          </w14:textFill>
        </w:rPr>
      </w:pPr>
      <w:bookmarkStart w:id="107" w:name="_Toc20041_WPSOffice_Level3"/>
      <w:r>
        <w:rPr>
          <w:rFonts w:hint="eastAsia" w:ascii="仿宋_GB2312" w:hAnsi="仿宋_GB2312" w:eastAsia="仿宋_GB2312" w:cs="仿宋_GB2312"/>
          <w:bCs/>
          <w:color w:val="000000" w:themeColor="text1"/>
          <w:sz w:val="28"/>
          <w:szCs w:val="28"/>
          <w14:textFill>
            <w14:solidFill>
              <w14:schemeClr w14:val="tx1"/>
            </w14:solidFill>
          </w14:textFill>
        </w:rPr>
        <w:t>第三章　</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内容及采购要求</w:t>
      </w:r>
    </w:p>
    <w:p>
      <w:pPr>
        <w:spacing w:line="500" w:lineRule="exact"/>
        <w:ind w:firstLine="566"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第四章　合同</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草案</w:t>
      </w:r>
      <w:r>
        <w:rPr>
          <w:rFonts w:hint="eastAsia" w:ascii="仿宋_GB2312" w:hAnsi="仿宋_GB2312" w:eastAsia="仿宋_GB2312" w:cs="仿宋_GB2312"/>
          <w:bCs/>
          <w:color w:val="000000" w:themeColor="text1"/>
          <w:sz w:val="28"/>
          <w:szCs w:val="28"/>
          <w14:textFill>
            <w14:solidFill>
              <w14:schemeClr w14:val="tx1"/>
            </w14:solidFill>
          </w14:textFill>
        </w:rPr>
        <w:t>条款</w:t>
      </w:r>
    </w:p>
    <w:p>
      <w:pPr>
        <w:spacing w:line="500" w:lineRule="exact"/>
        <w:ind w:firstLine="566"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第五章　响应文件构成及格式</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（二）</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文件的检查及阅读</w:t>
      </w:r>
      <w:bookmarkEnd w:id="107"/>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供应商下载</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文件后应仔细阅读检查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文件中的所有内容，按照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文件中所列事项、条款、规范要求及格式，在响应文件中对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文件做出全面的响</w:t>
      </w:r>
      <w:r>
        <w:rPr>
          <w:rFonts w:hint="eastAsia" w:ascii="仿宋_GB2312" w:hAnsi="仿宋_GB2312" w:eastAsia="仿宋_GB2312" w:cs="仿宋_GB2312"/>
          <w:color w:val="000000" w:themeColor="text1"/>
          <w:w w:val="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应，并按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文件的要求提交全部资料。</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108" w:name="_Toc12798_WPSOffice_Level3"/>
      <w:r>
        <w:rPr>
          <w:rFonts w:hint="eastAsia" w:ascii="仿宋_GB2312" w:hAnsi="仿宋_GB2312" w:eastAsia="仿宋_GB2312" w:cs="仿宋_GB2312"/>
          <w:b/>
          <w:color w:val="000000" w:themeColor="text1"/>
          <w:sz w:val="28"/>
          <w:szCs w:val="28"/>
          <w14:textFill>
            <w14:solidFill>
              <w14:schemeClr w14:val="tx1"/>
            </w14:solidFill>
          </w14:textFill>
        </w:rPr>
        <w:t>（三）</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文件的修改、澄清</w:t>
      </w:r>
      <w:bookmarkEnd w:id="108"/>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1、在提交响应文件截止之日前，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可对已发出的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文件进行必要的澄清或者修改，澄清或者修改的内容作为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文件的组成部分。澄清或者修改的内容可能影响响应文件编制的，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将在提交响应文件截止之日至少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3个工作</w:t>
      </w:r>
      <w:r>
        <w:rPr>
          <w:rFonts w:hint="eastAsia" w:ascii="仿宋_GB2312" w:hAnsi="仿宋_GB2312" w:eastAsia="仿宋_GB2312" w:cs="仿宋_GB2312"/>
          <w:color w:val="000000" w:themeColor="text1"/>
          <w:sz w:val="28"/>
          <w:szCs w:val="28"/>
          <w14:textFill>
            <w14:solidFill>
              <w14:schemeClr w14:val="tx1"/>
            </w14:solidFill>
          </w14:textFill>
        </w:rPr>
        <w:t>日前，在财政部门指定的政府采购信息发布媒体上</w:t>
      </w:r>
      <w:r>
        <w:rPr>
          <w:rFonts w:hint="eastAsia" w:ascii="仿宋_GB2312" w:hAnsi="仿宋_GB2312" w:eastAsia="仿宋_GB2312" w:cs="仿宋_GB2312"/>
          <w:b/>
          <w:bCs/>
          <w:color w:val="000000" w:themeColor="text1"/>
          <w:sz w:val="28"/>
          <w:szCs w:val="28"/>
          <w14:textFill>
            <w14:solidFill>
              <w14:schemeClr w14:val="tx1"/>
            </w14:solidFill>
          </w14:textFill>
        </w:rPr>
        <w:t>发布更正公告</w:t>
      </w:r>
      <w:r>
        <w:rPr>
          <w:rFonts w:hint="eastAsia" w:ascii="仿宋_GB2312" w:hAnsi="仿宋_GB2312" w:eastAsia="仿宋_GB2312" w:cs="仿宋_GB2312"/>
          <w:color w:val="000000" w:themeColor="text1"/>
          <w:sz w:val="28"/>
          <w:szCs w:val="28"/>
          <w14:textFill>
            <w14:solidFill>
              <w14:schemeClr w14:val="tx1"/>
            </w14:solidFill>
          </w14:textFill>
        </w:rPr>
        <w:t>；不足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3个工作</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将顺延提交响应文件的截止时间。</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2、各供应商在提交响应文件截止时间之前，应随时关注下列地址发布的变更公告，也可登录全国公共资源交易平台（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）政府采购交易系统查看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右</w:t>
      </w:r>
      <w:r>
        <w:rPr>
          <w:rFonts w:hint="eastAsia" w:ascii="仿宋_GB2312" w:hAnsi="仿宋_GB2312" w:eastAsia="仿宋_GB2312" w:cs="仿宋_GB2312"/>
          <w:color w:val="000000" w:themeColor="text1"/>
          <w:sz w:val="28"/>
          <w:szCs w:val="28"/>
          <w14:textFill>
            <w14:solidFill>
              <w14:schemeClr w14:val="tx1"/>
            </w14:solidFill>
          </w14:textFill>
        </w:rPr>
        <w:t>上角的信息提醒，</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b/>
          <w:bCs/>
          <w:color w:val="000000" w:themeColor="text1"/>
          <w:sz w:val="28"/>
          <w:szCs w:val="28"/>
          <w14:textFill>
            <w14:solidFill>
              <w14:schemeClr w14:val="tx1"/>
            </w14:solidFill>
          </w14:textFill>
        </w:rPr>
        <w:t>不再单独通知，因供应商未及时关注所造成的一切后果由供应商自行承担：</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"http://www.ccgp-shaanxi.gov.cn/"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32"/>
          <w:rFonts w:hint="eastAsia" w:ascii="仿宋_GB2312" w:hAnsi="仿宋_GB2312" w:eastAsia="仿宋_GB2312" w:cs="仿宋_GB2312"/>
          <w:color w:val="000000" w:themeColor="text1"/>
          <w:sz w:val="28"/>
          <w:szCs w:val="28"/>
          <w14:textFill>
            <w14:solidFill>
              <w14:schemeClr w14:val="tx1"/>
            </w14:solidFill>
          </w14:textFill>
        </w:rPr>
        <w:t>陕西省政府采购网</w:t>
      </w:r>
      <w:r>
        <w:rPr>
          <w:rStyle w:val="32"/>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（www.ccgp-shaanxi.gov.cn/）】中的〖首页·〉</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市级</w:t>
      </w:r>
      <w:r>
        <w:rPr>
          <w:rFonts w:hint="eastAsia" w:ascii="仿宋_GB2312" w:hAnsi="仿宋_GB2312" w:eastAsia="仿宋_GB2312" w:cs="仿宋_GB2312"/>
          <w:color w:val="000000" w:themeColor="text1"/>
          <w:sz w:val="28"/>
          <w:szCs w:val="28"/>
          <w14:textFill>
            <w14:solidFill>
              <w14:schemeClr w14:val="tx1"/>
            </w14:solidFill>
          </w14:textFill>
        </w:rPr>
        <w:t>公告·〉更正公告〗；</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（sxggzyjy.hanzhong.gov.cn）</w:t>
      </w:r>
      <w:r>
        <w:rPr>
          <w:rFonts w:hint="eastAsia" w:ascii="仿宋_GB2312" w:hAnsi="仿宋_GB2312" w:eastAsia="仿宋_GB2312" w:cs="仿宋_GB2312"/>
          <w:color w:val="000000" w:themeColor="text1"/>
          <w:sz w:val="28"/>
          <w:szCs w:val="28"/>
          <w14:textFill>
            <w14:solidFill>
              <w14:schemeClr w14:val="tx1"/>
            </w14:solidFill>
          </w14:textFill>
        </w:rPr>
        <w:t>】中的〖首页·〉交易大厅·〉政府采购·〉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更正公告</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09" w:name="_Toc18733_WPSOffice_Level3"/>
      <w:r>
        <w:rPr>
          <w:rFonts w:hint="eastAsia" w:ascii="仿宋_GB2312" w:hAnsi="仿宋_GB2312" w:eastAsia="仿宋_GB2312" w:cs="仿宋_GB2312"/>
          <w:b/>
          <w:color w:val="000000" w:themeColor="text1"/>
          <w:sz w:val="28"/>
          <w:szCs w:val="28"/>
          <w14:textFill>
            <w14:solidFill>
              <w14:schemeClr w14:val="tx1"/>
            </w14:solidFill>
          </w14:textFill>
        </w:rPr>
        <w:t>（四）</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文件的解释权归</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b/>
          <w:color w:val="000000" w:themeColor="text1"/>
          <w:sz w:val="28"/>
          <w:szCs w:val="28"/>
          <w14:textFill>
            <w14:solidFill>
              <w14:schemeClr w14:val="tx1"/>
            </w14:solidFill>
          </w14:textFill>
        </w:rPr>
        <w:t>。</w:t>
      </w:r>
      <w:bookmarkEnd w:id="109"/>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10" w:name="_Toc13064"/>
      <w:bookmarkStart w:id="111" w:name="_Toc19768_WPSOffice_Level2"/>
      <w:bookmarkStart w:id="112" w:name="_Toc20873_WPSOffice_Level2"/>
      <w:bookmarkStart w:id="113" w:name="_Toc22501_WPSOffice_Level2"/>
      <w:bookmarkStart w:id="114" w:name="_Toc30095"/>
      <w:bookmarkStart w:id="115" w:name="_Toc30415"/>
      <w:bookmarkStart w:id="116" w:name="_Toc3559"/>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w:t>
      </w:r>
      <w:bookmarkEnd w:id="110"/>
      <w:bookmarkEnd w:id="111"/>
      <w:bookmarkEnd w:id="112"/>
      <w:bookmarkEnd w:id="113"/>
      <w:bookmarkEnd w:id="114"/>
      <w:bookmarkEnd w:id="115"/>
      <w:bookmarkEnd w:id="116"/>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报价是供应商响应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采购</w:t>
      </w:r>
      <w:r>
        <w:rPr>
          <w:rFonts w:hint="eastAsia" w:ascii="仿宋_GB2312" w:hAnsi="仿宋_GB2312" w:eastAsia="仿宋_GB2312" w:cs="仿宋_GB2312"/>
          <w:color w:val="000000" w:themeColor="text1"/>
          <w:sz w:val="28"/>
          <w:szCs w:val="28"/>
          <w14:textFill>
            <w14:solidFill>
              <w14:schemeClr w14:val="tx1"/>
            </w14:solidFill>
          </w14:textFill>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文件未列明，而供应商认为应当计取的费用均应列入报价中。报价时不论是否计取，采购人均按已计取对待。</w:t>
      </w:r>
    </w:p>
    <w:p>
      <w:pPr>
        <w:numPr>
          <w:ilvl w:val="0"/>
          <w:numId w:val="2"/>
        </w:num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供应商应按照《响应文件构成及格式》中《第一次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报价表》中的相关要求填写需要响应的内容。</w:t>
      </w:r>
    </w:p>
    <w:p>
      <w:pPr>
        <w:numPr>
          <w:ilvl w:val="0"/>
          <w:numId w:val="2"/>
        </w:num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报价采取多轮报价的办法，最后报价作为计算价格分值的依据。供应商应在</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当天，</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小组规定的报价时间内，使用制作标书的数字认证证书（CA锁）登录全国公共资源交易平台（</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b/>
          <w:bCs/>
          <w:color w:val="000000" w:themeColor="text1"/>
          <w:sz w:val="28"/>
          <w:szCs w:val="28"/>
          <w14:textFill>
            <w14:solidFill>
              <w14:schemeClr w14:val="tx1"/>
            </w14:solidFill>
          </w14:textFill>
        </w:rPr>
        <w:t>）网站〖首页·〉电子交易平台·〉企业端〗后，在〖我的项目〗下找到本次</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的项目，填写最后报价表，签章并提交。</w:t>
      </w:r>
    </w:p>
    <w:p>
      <w:pPr>
        <w:numPr>
          <w:ilvl w:val="0"/>
          <w:numId w:val="2"/>
        </w:numPr>
        <w:spacing w:line="500" w:lineRule="exact"/>
        <w:ind w:firstLine="566"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如采购内容无实质性变更，各供应商的报价应逐次降低。本次报价超过采购预算或</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文件规定的最高限价的，按无效投标处理；本次报价超过上次报价但未超过采购预算或</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文件规定的最高限价的，或在规定时间内最后报价提交不成功的均为无效报价，</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按无效响应处理</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报价货币：</w:t>
      </w:r>
      <w:r>
        <w:rPr>
          <w:rFonts w:hint="eastAsia" w:ascii="仿宋_GB2312" w:hAnsi="仿宋_GB2312" w:eastAsia="仿宋_GB2312" w:cs="仿宋_GB2312"/>
          <w:b/>
          <w:color w:val="000000" w:themeColor="text1"/>
          <w:sz w:val="28"/>
          <w:szCs w:val="28"/>
          <w14:textFill>
            <w14:solidFill>
              <w14:schemeClr w14:val="tx1"/>
            </w14:solidFill>
          </w14:textFill>
        </w:rPr>
        <w:t>人民币</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单位：元</w:t>
      </w:r>
      <w:r>
        <w:rPr>
          <w:rFonts w:hint="eastAsia" w:ascii="仿宋_GB2312" w:hAnsi="仿宋_GB2312" w:eastAsia="仿宋_GB2312" w:cs="仿宋_GB2312"/>
          <w:bCs/>
          <w:color w:val="000000" w:themeColor="text1"/>
          <w:sz w:val="28"/>
          <w:szCs w:val="28"/>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保留到元</w:t>
      </w:r>
      <w:r>
        <w:rPr>
          <w:rFonts w:hint="eastAsia" w:ascii="仿宋_GB2312" w:hAnsi="仿宋_GB2312" w:eastAsia="仿宋_GB2312" w:cs="仿宋_GB2312"/>
          <w:bCs/>
          <w:color w:val="000000" w:themeColor="text1"/>
          <w:sz w:val="28"/>
          <w:szCs w:val="28"/>
          <w14:textFill>
            <w14:solidFill>
              <w14:schemeClr w14:val="tx1"/>
            </w14:solidFill>
          </w14:textFill>
        </w:rPr>
        <w:t>。</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报价大小写不一致的以大写为准。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（六）因供应商对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文件理解不透、误解、疏漏或对市场行情了解不清造成的后果和风险，均由供应商自己负责。</w:t>
      </w:r>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17" w:name="_Toc20041_WPSOffice_Level2"/>
      <w:bookmarkStart w:id="118" w:name="_Toc14959_WPSOffice_Level2"/>
      <w:bookmarkStart w:id="119" w:name="_Toc666"/>
      <w:bookmarkStart w:id="120" w:name="_Toc11009"/>
      <w:bookmarkStart w:id="121" w:name="_Toc14979"/>
      <w:bookmarkStart w:id="122" w:name="_Toc29669_WPSOffice_Level2"/>
      <w:bookmarkStart w:id="123" w:name="_Toc12154"/>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、响应文件</w:t>
      </w:r>
      <w:bookmarkEnd w:id="117"/>
      <w:bookmarkEnd w:id="118"/>
      <w:bookmarkEnd w:id="119"/>
      <w:bookmarkEnd w:id="120"/>
      <w:bookmarkEnd w:id="121"/>
      <w:bookmarkEnd w:id="122"/>
      <w:bookmarkEnd w:id="123"/>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（一）响应文件形式</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本项目采用电子响应文件，供应商在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时须提供电子响应文件。</w:t>
      </w:r>
      <w:bookmarkStart w:id="124" w:name="_Toc18733_WPSOffice_Level2"/>
      <w:bookmarkStart w:id="125" w:name="_Toc30535_WPSOffice_Level2"/>
      <w:bookmarkStart w:id="126" w:name="_Toc7898_WPSOffice_Level2"/>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编制电子响应文件时，应使用最新发布的电子谈判文件及专用制作工具进行编制。并使用数字认证证书（CA锁）对电子响应文件进行签署、加密、递交及谈判时解密等相关操作。</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1、电子谈判文件下载。供应商登录全国公共资源交易平台（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）网站〖首页·〉电子交易平台·〉企业端〗后，在〖招标公告/出让公告·〉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政府采购</w:t>
      </w:r>
      <w:r>
        <w:rPr>
          <w:rFonts w:hint="eastAsia" w:ascii="仿宋_GB2312" w:hAnsi="仿宋_GB2312" w:eastAsia="仿宋_GB2312" w:cs="仿宋_GB2312"/>
          <w:color w:val="000000" w:themeColor="text1"/>
          <w:sz w:val="28"/>
          <w:szCs w:val="28"/>
          <w14:textFill>
            <w14:solidFill>
              <w14:schemeClr w14:val="tx1"/>
            </w14:solidFill>
          </w14:textFill>
        </w:rPr>
        <w:t>〗模块中选择项目</w:t>
      </w:r>
      <w:r>
        <w:rPr>
          <w:rFonts w:hint="eastAsia" w:ascii="仿宋_GB2312" w:hAnsi="仿宋_GB2312" w:eastAsia="仿宋_GB2312" w:cs="仿宋_GB2312"/>
          <w:bCs/>
          <w:color w:val="000000" w:themeColor="text1"/>
          <w:sz w:val="28"/>
          <w:szCs w:val="28"/>
          <w14:textFill>
            <w14:solidFill>
              <w14:schemeClr w14:val="tx1"/>
            </w14:solidFill>
          </w14:textFill>
        </w:rPr>
        <w:t>点击“我要投标”，参与投标活动。然后即可</w:t>
      </w:r>
      <w:r>
        <w:rPr>
          <w:rFonts w:hint="eastAsia" w:ascii="仿宋_GB2312" w:hAnsi="仿宋_GB2312" w:eastAsia="仿宋_GB2312" w:cs="仿宋_GB2312"/>
          <w:color w:val="000000" w:themeColor="text1"/>
          <w:sz w:val="28"/>
          <w:szCs w:val="28"/>
          <w14:textFill>
            <w14:solidFill>
              <w14:schemeClr w14:val="tx1"/>
            </w14:solidFill>
          </w14:textFill>
        </w:rPr>
        <w:t>在〖我的项目〗中点击“项目流程&gt;交易文件下载”下载电子谈判文件（*.SXSZF）。</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注意：该项目如有变更文件，则应点击“项目流程&gt;答疑文件下载”下载更新后的电子谈判文件（*.SXSCF），使用旧版电子谈判文件制作的电子响应文件，系统将拒绝接收。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电子谈判文件需要使用专用软件打开、浏览。供应商可在全国公共资源交易平台（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首页·〉服务指南·〉下载专区〗免费下载“陕西省公共资源交易平台政府采购电子标书制作工具”，并升级至最新版本，使用该客户端可以打开电子谈判文件。软件操作手册详见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）网站〖首页·〉服务指南·〉下载专区〗中的《政府采购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14:textFill>
            <w14:solidFill>
              <w14:schemeClr w14:val="tx1"/>
            </w14:solidFill>
          </w14:textFill>
        </w:rPr>
        <w:t>操作手册》。</w:t>
      </w:r>
    </w:p>
    <w:p>
      <w:pPr>
        <w:pStyle w:val="4"/>
        <w:spacing w:line="500" w:lineRule="exact"/>
        <w:ind w:firstLine="566" w:firstLineChars="200"/>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bookmarkStart w:id="127" w:name="_Toc9096"/>
      <w:r>
        <w:rPr>
          <w:rFonts w:hint="eastAsia" w:ascii="仿宋_GB2312" w:hAnsi="仿宋_GB2312" w:eastAsia="仿宋_GB2312" w:cs="仿宋_GB2312"/>
          <w:b w:val="0"/>
          <w:bCs w:val="0"/>
          <w:color w:val="000000" w:themeColor="text1"/>
          <w:sz w:val="28"/>
          <w:szCs w:val="28"/>
          <w14:textFill>
            <w14:solidFill>
              <w14:schemeClr w14:val="tx1"/>
            </w14:solidFill>
          </w14:textFill>
        </w:rPr>
        <w:t>3、制作电子响应文件。电子响应文件同样需要使用上述软件进行编制。在编制过程中，如有技术性问题，请先翻阅操作手册，或致电软件开发商。技术支持热线：4009980000</w:t>
      </w:r>
      <w:bookmarkStart w:id="128" w:name="_Toc18427_WPSOffice_Level3"/>
      <w:bookmarkStart w:id="129" w:name="_Toc11164"/>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bookmarkEnd w:id="127"/>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（二）</w:t>
      </w:r>
      <w:r>
        <w:rPr>
          <w:rFonts w:hint="eastAsia" w:ascii="仿宋_GB2312" w:hAnsi="仿宋_GB2312" w:eastAsia="仿宋_GB2312" w:cs="仿宋_GB2312"/>
          <w:b/>
          <w:bCs/>
          <w:color w:val="000000" w:themeColor="text1"/>
          <w:sz w:val="28"/>
          <w:szCs w:val="28"/>
          <w14:textFill>
            <w14:solidFill>
              <w14:schemeClr w14:val="tx1"/>
            </w14:solidFill>
          </w14:textFill>
        </w:rPr>
        <w:t>响应文件有效期</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2、响应文件有效期为自响应文件开启之日起 90 个日历日。如成交， 延长至合同执行完毕时止。</w:t>
      </w:r>
    </w:p>
    <w:p>
      <w:pPr>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（三）响应文件的提交</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电子响应文件可于提交响应文件截止时间前任意时段登录全国公共资源交易平台（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）网站“电子交易平台&gt;企业端”进行提交，逾期系统将拒绝接收。提交时，供应商应登录全国公共资源交易中心平台（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选择“首页&gt;电子交易平台&gt;企业端&gt;我的项目”，点击“项目流程”，在打开的“项目管理”对话框中选择“上传响应文件”，上传加密的电子响应文件（*.SXSTF）。上传成功后，电子化平台将予以记录。</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130" w:name="_Toc6095"/>
      <w:bookmarkStart w:id="131" w:name="_Toc24468"/>
      <w:bookmarkStart w:id="132" w:name="_Toc15608"/>
      <w:r>
        <w:rPr>
          <w:rFonts w:hint="eastAsia" w:ascii="仿宋_GB2312" w:hAnsi="仿宋_GB2312" w:eastAsia="仿宋_GB2312" w:cs="仿宋_GB2312"/>
          <w:b/>
          <w:color w:val="000000" w:themeColor="text1"/>
          <w:sz w:val="28"/>
          <w:szCs w:val="28"/>
          <w14:textFill>
            <w14:solidFill>
              <w14:schemeClr w14:val="tx1"/>
            </w14:solidFill>
          </w14:textFill>
        </w:rPr>
        <w:t>（四）响应文件的补充、修改和撤回</w:t>
      </w:r>
      <w:bookmarkEnd w:id="130"/>
      <w:bookmarkEnd w:id="131"/>
      <w:bookmarkEnd w:id="132"/>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1、供应商在递交电子响应文件后，且在提交电子响应文件截止时间前，可以对所提交的电子响应文件进行补充、修改或撤回。</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2、对电子响应文件进行补充、修改的，应先从电子交易平台上撤回旧版，再重新提交新版。</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3、电子响应文件提交截止时间后，供应商不得对其电子响应文件做任何修改。</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（五）供应商提交响应文件时，出现下列情况之一的，其响应文件将被拒绝接收：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33" w:name="_Toc28054"/>
      <w:bookmarkStart w:id="134" w:name="_Toc595"/>
      <w:bookmarkStart w:id="135" w:name="_Toc8003"/>
      <w:bookmarkStart w:id="136" w:name="_Toc10744"/>
      <w:bookmarkStart w:id="137" w:name="_Toc7022"/>
      <w:bookmarkStart w:id="138" w:name="_Toc6837"/>
      <w:r>
        <w:rPr>
          <w:rFonts w:hint="eastAsia" w:ascii="仿宋_GB2312" w:hAnsi="仿宋_GB2312" w:eastAsia="仿宋_GB2312" w:cs="仿宋_GB2312"/>
          <w:color w:val="000000" w:themeColor="text1"/>
          <w:sz w:val="28"/>
          <w:szCs w:val="28"/>
          <w14:textFill>
            <w14:solidFill>
              <w14:schemeClr w14:val="tx1"/>
            </w14:solidFill>
          </w14:textFill>
        </w:rPr>
        <w:t>1、逾期提交电子响应文件的；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2、提交的电子响应文件与本项目不相符的。</w:t>
      </w:r>
    </w:p>
    <w:p>
      <w:pPr>
        <w:pStyle w:val="4"/>
        <w:spacing w:line="500" w:lineRule="exact"/>
        <w:ind w:firstLine="566"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139" w:name="_Toc17536"/>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六</w:t>
      </w:r>
      <w:r>
        <w:rPr>
          <w:rFonts w:hint="eastAsia" w:ascii="仿宋_GB2312" w:hAnsi="仿宋_GB2312" w:eastAsia="仿宋_GB2312" w:cs="仿宋_GB2312"/>
          <w:color w:val="000000" w:themeColor="text1"/>
          <w:sz w:val="28"/>
          <w:szCs w:val="28"/>
          <w14:textFill>
            <w14:solidFill>
              <w14:schemeClr w14:val="tx1"/>
            </w14:solidFill>
          </w14:textFill>
        </w:rPr>
        <w:t>、</w:t>
      </w:r>
      <w:bookmarkEnd w:id="133"/>
      <w:bookmarkEnd w:id="134"/>
      <w:bookmarkEnd w:id="135"/>
      <w:bookmarkEnd w:id="136"/>
      <w:bookmarkEnd w:id="137"/>
      <w:bookmarkEnd w:id="138"/>
      <w:bookmarkEnd w:id="139"/>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响应文件开启</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组织响应文件开启、评审工作，整个过程受政府采购监管机构的监督、管理。</w:t>
      </w: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b/>
          <w:bCs/>
          <w:color w:val="000000" w:themeColor="text1"/>
          <w:sz w:val="28"/>
          <w:szCs w:val="28"/>
          <w14:textFill>
            <w14:solidFill>
              <w14:schemeClr w14:val="tx1"/>
            </w14:solidFill>
          </w14:textFill>
        </w:rPr>
        <w:t>人需安装新点播放器，以便观看远程不见面开标直播画面（播放器下载链接为：http://sxggzyjy.hanzhong.gov.cn/fwzn/004003/20230223/17ebe025-dd9a-4eba-b702-8f1696646f01.html）。</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供应商不足3家的，不得开启响应文件。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（三）响应文件开启时，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现场工作人员将根据项目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响应家</w:t>
      </w:r>
      <w:r>
        <w:rPr>
          <w:rFonts w:hint="eastAsia" w:ascii="仿宋_GB2312" w:hAnsi="仿宋_GB2312" w:eastAsia="仿宋_GB2312" w:cs="仿宋_GB2312"/>
          <w:color w:val="000000" w:themeColor="text1"/>
          <w:sz w:val="28"/>
          <w:szCs w:val="28"/>
          <w14:textFill>
            <w14:solidFill>
              <w14:schemeClr w14:val="tx1"/>
            </w14:solidFill>
          </w14:textFill>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响应人</w:t>
      </w:r>
      <w:r>
        <w:rPr>
          <w:rFonts w:hint="eastAsia" w:ascii="仿宋_GB2312" w:hAnsi="仿宋_GB2312" w:eastAsia="仿宋_GB2312" w:cs="仿宋_GB2312"/>
          <w:color w:val="000000" w:themeColor="text1"/>
          <w:sz w:val="28"/>
          <w:szCs w:val="28"/>
          <w14:textFill>
            <w14:solidFill>
              <w14:schemeClr w14:val="tx1"/>
            </w14:solidFill>
          </w14:textFill>
        </w:rPr>
        <w:t>对响应文件开启过程和记录有疑义，以及认为采购人、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相关工作人员有需要回避情形的，应在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不见面开标大厅</w:t>
      </w:r>
      <w:r>
        <w:rPr>
          <w:rFonts w:hint="eastAsia" w:ascii="仿宋_GB2312" w:hAnsi="仿宋_GB2312" w:eastAsia="仿宋_GB2312" w:cs="仿宋_GB2312"/>
          <w:color w:val="000000" w:themeColor="text1"/>
          <w:sz w:val="28"/>
          <w:szCs w:val="28"/>
          <w14:textFill>
            <w14:solidFill>
              <w14:schemeClr w14:val="tx1"/>
            </w14:solidFill>
          </w14:textFill>
        </w:rPr>
        <w:t>提出询问或回避申请，采购人、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应当及时处理。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（五）响应供应商未参加响应文件开启的，视同认可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结果。</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2、因供应商自身原因（如迟到、未带CA锁、或所带CA锁与制作电子响应文件使用的CA锁不一致、或沿用旧版谈判文件编制响应文件等情形），导致在规定时间内无法解密响应文件的；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3、上传的电子响应文件无法打开的；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4、政府采购法律法规规定的其他无效情形。</w:t>
      </w: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（八）特殊情形下的应急处置</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在响应文件开启、评审过程中，如因停电、断网、电子化系统故障等特殊原因导致电子化开、评审工作无法正常进行时，将视文件解密情况特殊处理。</w:t>
      </w:r>
    </w:p>
    <w:p>
      <w:pPr>
        <w:pStyle w:val="2"/>
        <w:spacing w:after="0" w:line="500" w:lineRule="exact"/>
        <w:ind w:firstLine="567"/>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1、响应文件开启时文件未解密的，将另行确定时间继续完成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程序；</w:t>
      </w:r>
    </w:p>
    <w:p>
      <w:pPr>
        <w:spacing w:line="500" w:lineRule="exact"/>
        <w:ind w:firstLine="566"/>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2、文件已解密但评审结论未形成的，将发布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终止</w:t>
      </w:r>
      <w:r>
        <w:rPr>
          <w:rFonts w:hint="eastAsia" w:ascii="仿宋_GB2312" w:hAnsi="仿宋_GB2312" w:eastAsia="仿宋_GB2312" w:cs="仿宋_GB2312"/>
          <w:color w:val="000000" w:themeColor="text1"/>
          <w:sz w:val="28"/>
          <w:szCs w:val="28"/>
          <w14:textFill>
            <w14:solidFill>
              <w14:schemeClr w14:val="tx1"/>
            </w14:solidFill>
          </w14:textFill>
        </w:rPr>
        <w:t>公告，重新组织采购活动；</w:t>
      </w:r>
    </w:p>
    <w:p>
      <w:pPr>
        <w:pStyle w:val="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3、文件已解密且评审结论已形成的，待特殊情况排除后，继续完成评审活动。</w:t>
      </w:r>
      <w:bookmarkStart w:id="140" w:name="_Toc31720"/>
      <w:bookmarkStart w:id="141" w:name="_Toc8349"/>
      <w:bookmarkStart w:id="142" w:name="_Toc8460"/>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43" w:name="_Toc31905"/>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七</w:t>
      </w:r>
      <w:r>
        <w:rPr>
          <w:rFonts w:hint="eastAsia" w:ascii="仿宋_GB2312" w:hAnsi="仿宋_GB2312" w:eastAsia="仿宋_GB2312" w:cs="仿宋_GB2312"/>
          <w:color w:val="000000" w:themeColor="text1"/>
          <w:sz w:val="28"/>
          <w:szCs w:val="28"/>
          <w14:textFill>
            <w14:solidFill>
              <w14:schemeClr w14:val="tx1"/>
            </w14:solidFill>
          </w14:textFill>
        </w:rPr>
        <w:t>、组织评审</w:t>
      </w:r>
      <w:bookmarkEnd w:id="124"/>
      <w:bookmarkEnd w:id="125"/>
      <w:bookmarkEnd w:id="126"/>
      <w:bookmarkEnd w:id="140"/>
      <w:bookmarkEnd w:id="141"/>
      <w:bookmarkEnd w:id="142"/>
      <w:bookmarkEnd w:id="143"/>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bookmarkStart w:id="144" w:name="_Toc3816_WPSOffice_Level3"/>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（一）</w:t>
      </w:r>
      <w:bookmarkEnd w:id="144"/>
      <w:r>
        <w:rPr>
          <w:rFonts w:hint="eastAsia" w:ascii="仿宋_GB2312" w:hAnsi="仿宋_GB2312" w:eastAsia="仿宋_GB2312" w:cs="仿宋_GB2312"/>
          <w:b/>
          <w:bCs/>
          <w:color w:val="000000" w:themeColor="text1"/>
          <w:sz w:val="28"/>
          <w:szCs w:val="28"/>
          <w14:textFill>
            <w14:solidFill>
              <w14:schemeClr w14:val="tx1"/>
            </w14:solidFill>
          </w14:textFill>
        </w:rPr>
        <w:t>成立谈判小组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1、为了确保谈判工作的公平、公正，依据政府采购法和政府采购相关法规、规章，成立谈判小组，谈判小组由采购人代表和评审专家共3人以上单数组成</w:t>
      </w:r>
      <w:r>
        <w:rPr>
          <w:rFonts w:hint="eastAsia" w:ascii="仿宋_GB2312" w:hAnsi="仿宋_GB2312" w:eastAsia="仿宋_GB2312" w:cs="仿宋_GB2312"/>
          <w:color w:val="000000" w:themeColor="text1"/>
          <w:sz w:val="28"/>
          <w:szCs w:val="28"/>
          <w:lang w:eastAsia="zh-CN"/>
          <w14:textFill>
            <w14:solidFill>
              <w14:schemeClr w14:val="tx1"/>
            </w14:solidFill>
          </w14:textFill>
        </w:rPr>
        <w:t>。达到公开招标数额标准的货物或者服务采购项目，或者达到招标规模标准的政府采购工程，谈判小组应当由5人以上单数组成。</w:t>
      </w:r>
      <w:r>
        <w:rPr>
          <w:rFonts w:hint="eastAsia" w:ascii="仿宋_GB2312" w:hAnsi="仿宋_GB2312" w:eastAsia="仿宋_GB2312" w:cs="仿宋_GB2312"/>
          <w:color w:val="000000" w:themeColor="text1"/>
          <w:sz w:val="28"/>
          <w:szCs w:val="28"/>
          <w14:textFill>
            <w14:solidFill>
              <w14:schemeClr w14:val="tx1"/>
            </w14:solidFill>
          </w14:textFill>
        </w:rPr>
        <w:t>其中评审专家人数不少于谈判小组成员总数的三分之二。</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采购人不得以评审专家身份参加本部门或本单位采购项目的评审。采购代理机构人员不得参加本机构代理的采购项目的评审。</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谈判小组成员名单在评审结果公告前应当保密。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评审专家将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3、评审中因谈判小组成员缺席、回避或者健康等特殊原因导致谈判小组组成不符合规定的，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应当依法补足后继续评审。被更换的谈判小组成员所做出的评审意见无效。无法及时补足谈判小组成员的，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应当停止评审活动，封存所有响应文件和开标、评审资料，依法重新组建谈判小组进行评审。原谈判小组所做出的评审意见无效。</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应当将变更、重新组建谈判小组的情况予以记录，并随采购文件一并存档。</w:t>
      </w:r>
    </w:p>
    <w:p>
      <w:pPr>
        <w:pStyle w:val="18"/>
        <w:spacing w:beforeAutospacing="0" w:afterAutospacing="0" w:line="500" w:lineRule="exact"/>
        <w:ind w:firstLine="420"/>
        <w:rPr>
          <w:rFonts w:hint="eastAsia" w:ascii="仿宋_GB2312" w:hAnsi="仿宋_GB2312" w:eastAsia="仿宋_GB2312" w:cs="仿宋_GB2312"/>
          <w:b/>
          <w:bCs/>
          <w:color w:val="000000" w:themeColor="text1"/>
          <w:sz w:val="28"/>
          <w:szCs w:val="28"/>
          <w14:textFill>
            <w14:solidFill>
              <w14:schemeClr w14:val="tx1"/>
            </w14:solidFill>
          </w14:textFill>
        </w:rPr>
      </w:pPr>
      <w:bookmarkStart w:id="145" w:name="_Toc3147_WPSOffice_Level3"/>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（二）谈判小组负责具体评审事务，并独立履行下列职责：</w:t>
      </w:r>
      <w:bookmarkEnd w:id="145"/>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 xml:space="preserve">1、严格遵守评审工作纪律，按照客观、公正、审慎的原则，根据谈判 文件规定的评审程序、评审方法和评审标准进行独立评审； </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2、确认谈判文件；</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3、从符合相应资格条件的供应商名单中确定不少于3家的供应商参加谈判；</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4、审查供应商的响应文件并作出评价；</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5、要求供应商解释或者澄清其响应文件；</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6、与供应商分别进行谈判；</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7、编写评审报告；</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 xml:space="preserve">8、确定成交候选人名单，以及根据采购人委托直接确定成交供应商； </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9、告知采购人、采购代理机构在评审过程中发现的供应商的违法违规 行为。</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10、配合答复供应商的询问、质疑和投诉等事项，不得泄露评审文件、 评审情况和在评审过程中获悉的商业秘密；</w:t>
      </w:r>
    </w:p>
    <w:p>
      <w:pPr>
        <w:pStyle w:val="18"/>
        <w:spacing w:beforeAutospacing="0" w:afterAutospacing="0" w:line="500" w:lineRule="exact"/>
        <w:ind w:firstLine="420"/>
        <w:rPr>
          <w:rFonts w:hint="eastAsia" w:ascii="仿宋_GB2312" w:hAnsi="仿宋_GB2312" w:eastAsia="仿宋_GB2312" w:cs="仿宋_GB2312"/>
          <w:b/>
          <w:bCs/>
          <w:color w:val="000000" w:themeColor="text1"/>
          <w:sz w:val="28"/>
          <w:szCs w:val="28"/>
          <w14:textFill>
            <w14:solidFill>
              <w14:schemeClr w14:val="tx1"/>
            </w14:solidFill>
          </w14:textFill>
        </w:rPr>
      </w:pPr>
      <w:bookmarkStart w:id="146" w:name="_Toc8872_WPSOffice_Level3"/>
      <w:r>
        <w:rPr>
          <w:rFonts w:hint="eastAsia" w:ascii="仿宋_GB2312" w:hAnsi="仿宋_GB2312" w:eastAsia="仿宋_GB2312" w:cs="仿宋_GB2312"/>
          <w:b/>
          <w:bCs/>
          <w:color w:val="000000" w:themeColor="text1"/>
          <w:sz w:val="28"/>
          <w:szCs w:val="28"/>
          <w14:textFill>
            <w14:solidFill>
              <w14:schemeClr w14:val="tx1"/>
            </w14:solidFill>
          </w14:textFill>
        </w:rPr>
        <w:t>（三）</w:t>
      </w: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采购代理机构负责组织评审工作，并履行下列职责：</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1、核对评审专家身份和采购人代表授权函，对评审专家在政府采购活动中的职责履行情况予以记录，并及时将有关违法违规行为向财政部门报告;</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2、宣布评审纪律;</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3、公布</w:t>
      </w: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名单，告知评审专家应当回避的情形;</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4、组织谈判小组推选评审组长，采购人代表不得担任组长;</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5、在评审期间采取必要的通讯管理措施，保证评审活动不受外界干扰;</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6、根据谈判小组的要求介绍政府采购相关政策法规、谈判文件;</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7、维护评审秩序，监督谈判小组依照谈判文件规定的评审程序、方法和标准进行独立评审，及时制止和纠正采购人代表、评审专家的倾向性言论或者违法违规行为;</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8、核对评审结果;</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9、评审工作完成后，按照规定向评审专家支付劳务报酬和异地评审差旅费，不得向评审专家以外的其他人员支付评审劳务报酬;</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10、处理与评审有关的其他事项。</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采购人可以在评审前说明项目背景和采购需求，说明内容不得含有歧视性、倾向性意见，不得超出谈判文件所述范围。说明应当提交书面材料，并随采购文件一并存档。</w:t>
      </w:r>
      <w:bookmarkEnd w:id="146"/>
    </w:p>
    <w:p>
      <w:pPr>
        <w:spacing w:line="500" w:lineRule="exact"/>
        <w:ind w:firstLine="566" w:firstLineChars="200"/>
        <w:rPr>
          <w:rFonts w:hint="eastAsia" w:ascii="仿宋_GB2312" w:hAnsi="仿宋_GB2312" w:eastAsia="仿宋_GB2312" w:cs="仿宋_GB2312"/>
          <w:b/>
          <w:color w:val="000000" w:themeColor="text1"/>
          <w:sz w:val="28"/>
          <w:szCs w:val="28"/>
          <w:highlight w:val="none"/>
          <w14:textFill>
            <w14:solidFill>
              <w14:schemeClr w14:val="tx1"/>
            </w14:solidFill>
          </w14:textFill>
        </w:rPr>
      </w:pPr>
      <w:bookmarkStart w:id="147" w:name="_Toc4079_WPSOffice_Level3"/>
      <w:r>
        <w:rPr>
          <w:rFonts w:hint="eastAsia" w:ascii="仿宋_GB2312" w:hAnsi="仿宋_GB2312" w:eastAsia="仿宋_GB2312" w:cs="仿宋_GB2312"/>
          <w:b/>
          <w:color w:val="000000" w:themeColor="text1"/>
          <w:sz w:val="28"/>
          <w:szCs w:val="28"/>
          <w:highlight w:val="none"/>
          <w14:textFill>
            <w14:solidFill>
              <w14:schemeClr w14:val="tx1"/>
            </w14:solidFill>
          </w14:textFill>
        </w:rPr>
        <w:t>（四）评审方法：</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最低评标价</w:t>
      </w:r>
      <w:r>
        <w:rPr>
          <w:rFonts w:hint="eastAsia" w:ascii="仿宋_GB2312" w:hAnsi="仿宋_GB2312" w:eastAsia="仿宋_GB2312" w:cs="仿宋_GB2312"/>
          <w:b/>
          <w:color w:val="000000" w:themeColor="text1"/>
          <w:sz w:val="28"/>
          <w:szCs w:val="28"/>
          <w:highlight w:val="none"/>
          <w14:textFill>
            <w14:solidFill>
              <w14:schemeClr w14:val="tx1"/>
            </w14:solidFill>
          </w14:textFill>
        </w:rPr>
        <w:t>法</w:t>
      </w:r>
      <w:bookmarkEnd w:id="147"/>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根据</w:t>
      </w:r>
      <w:r>
        <w:rPr>
          <w:rFonts w:hint="eastAsia" w:ascii="仿宋_GB2312" w:hAnsi="仿宋_GB2312" w:eastAsia="仿宋_GB2312" w:cs="仿宋_GB2312"/>
          <w:color w:val="000000" w:themeColor="text1"/>
          <w:sz w:val="28"/>
          <w:szCs w:val="28"/>
          <w:highlight w:val="none"/>
          <w14:textFill>
            <w14:solidFill>
              <w14:schemeClr w14:val="tx1"/>
            </w14:solidFill>
          </w14:textFill>
        </w:rPr>
        <w:t>质量和服务均能满足采购文件实质性响应要求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且评审报价最低</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原则确定成交供应商</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left="567"/>
        <w:rPr>
          <w:rFonts w:hint="eastAsia" w:ascii="仿宋_GB2312" w:hAnsi="仿宋_GB2312" w:eastAsia="仿宋_GB2312" w:cs="仿宋_GB2312"/>
          <w:color w:val="000000" w:themeColor="text1"/>
          <w:sz w:val="28"/>
          <w:szCs w:val="28"/>
          <w14:textFill>
            <w14:solidFill>
              <w14:schemeClr w14:val="tx1"/>
            </w14:solidFill>
          </w14:textFill>
        </w:rPr>
      </w:pPr>
      <w:bookmarkStart w:id="148" w:name="_Toc25396_WPSOffice_Level3"/>
      <w:r>
        <w:rPr>
          <w:rFonts w:hint="eastAsia" w:ascii="仿宋_GB2312" w:hAnsi="仿宋_GB2312" w:eastAsia="仿宋_GB2312" w:cs="仿宋_GB2312"/>
          <w:b/>
          <w:color w:val="000000" w:themeColor="text1"/>
          <w:sz w:val="28"/>
          <w:szCs w:val="28"/>
          <w14:textFill>
            <w14:solidFill>
              <w14:schemeClr w14:val="tx1"/>
            </w14:solidFill>
          </w14:textFill>
        </w:rPr>
        <w:t>（五）评审程序</w:t>
      </w:r>
      <w:bookmarkEnd w:id="148"/>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分步评审，每一步评审不符合谈判文件要求者，不得进入下一步评审。</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1、资格性审查</w:t>
      </w:r>
    </w:p>
    <w:p>
      <w:pPr>
        <w:spacing w:after="190" w:afterLines="50" w:line="500" w:lineRule="exact"/>
        <w:ind w:firstLine="566"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响应文件开启</w:t>
      </w:r>
      <w:r>
        <w:rPr>
          <w:rFonts w:hint="eastAsia" w:ascii="仿宋_GB2312" w:hAnsi="仿宋_GB2312" w:eastAsia="仿宋_GB2312" w:cs="仿宋_GB2312"/>
          <w:color w:val="000000" w:themeColor="text1"/>
          <w:sz w:val="28"/>
          <w:szCs w:val="28"/>
          <w14:textFill>
            <w14:solidFill>
              <w14:schemeClr w14:val="tx1"/>
            </w14:solidFill>
          </w14:textFill>
        </w:rPr>
        <w:t>结束后，谈判小组依据法律法规和</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文件的规定，对响应文件中的供应商资格证明文件进行审查，以确定供应商是否具备</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资格。</w:t>
      </w:r>
    </w:p>
    <w:p>
      <w:pPr>
        <w:spacing w:line="360" w:lineRule="auto"/>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资格审查表</w:t>
      </w:r>
    </w:p>
    <w:tbl>
      <w:tblPr>
        <w:tblStyle w:val="22"/>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863"/>
        <w:gridCol w:w="4565"/>
        <w:gridCol w:w="80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序号</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themeColor="text1"/>
                <w:kern w:val="28"/>
                <w:sz w:val="28"/>
                <w:szCs w:val="28"/>
                <w14:textFill>
                  <w14:solidFill>
                    <w14:schemeClr w14:val="tx1"/>
                  </w14:solidFill>
                </w14:textFill>
              </w:rPr>
            </w:pPr>
            <w:r>
              <w:rPr>
                <w:rFonts w:hint="eastAsia" w:ascii="仿宋_GB2312" w:hAnsi="仿宋_GB2312" w:eastAsia="仿宋_GB2312" w:cs="仿宋_GB2312"/>
                <w:b/>
                <w:color w:val="000000" w:themeColor="text1"/>
                <w:kern w:val="28"/>
                <w:sz w:val="28"/>
                <w:szCs w:val="28"/>
                <w14:textFill>
                  <w14:solidFill>
                    <w14:schemeClr w14:val="tx1"/>
                  </w14:solidFill>
                </w14:textFill>
              </w:rPr>
              <w:t>资格审查项</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themeColor="text1"/>
                <w:kern w:val="28"/>
                <w:sz w:val="28"/>
                <w:szCs w:val="28"/>
                <w14:textFill>
                  <w14:solidFill>
                    <w14:schemeClr w14:val="tx1"/>
                  </w14:solidFill>
                </w14:textFill>
              </w:rPr>
            </w:pPr>
            <w:r>
              <w:rPr>
                <w:rFonts w:hint="eastAsia" w:ascii="仿宋_GB2312" w:hAnsi="仿宋_GB2312" w:eastAsia="仿宋_GB2312" w:cs="仿宋_GB2312"/>
                <w:b/>
                <w:color w:val="000000" w:themeColor="text1"/>
                <w:kern w:val="28"/>
                <w:sz w:val="28"/>
                <w:szCs w:val="28"/>
                <w14:textFill>
                  <w14:solidFill>
                    <w14:schemeClr w14:val="tx1"/>
                  </w14:solidFill>
                </w14:textFill>
              </w:rPr>
              <w:t>通过条件</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结论</w:t>
            </w: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营业执照等主体资格证明文件</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提供有效存续的企业营业执照（副本）/事业单位法人证书/专业服务机构执业许可证/民办非企业单位登记证书。</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财务状况报告</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提供202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年度或202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附基本存款账户信息），或信用担保机构出具的投标担保函。（以上三种形式的资料提供任何一种即可）。</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社保缴纳证明</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提供递交响应文件截止之日前一年内任意一个月的社会保障资金缴存单据或社保机构开具的社会保险参保缴费情况证明。依法不需要缴纳社会保障资金的供应商应提供相关证明文件。</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税收缴纳证明</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提供递交响应文件截止之日前一年内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8"/>
                <w:sz w:val="28"/>
                <w:szCs w:val="28"/>
                <w:lang w:val="en-US" w:eastAsia="zh-CN"/>
                <w14:textFill>
                  <w14:solidFill>
                    <w14:schemeClr w14:val="tx1"/>
                  </w14:solidFill>
                </w14:textFill>
              </w:rPr>
              <w:t>书面声明</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提供《近三年内在经营活动中无重大违法记录声明》。（按第五章格式填写）</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法定代表人授权委托书</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法定代表人参加</w:t>
            </w:r>
            <w:r>
              <w:rPr>
                <w:rFonts w:hint="eastAsia" w:ascii="仿宋_GB2312" w:hAnsi="仿宋_GB2312" w:eastAsia="仿宋_GB2312" w:cs="仿宋_GB2312"/>
                <w:color w:val="000000" w:themeColor="text1"/>
                <w:kern w:val="28"/>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kern w:val="28"/>
                <w:sz w:val="28"/>
                <w:szCs w:val="28"/>
                <w14:textFill>
                  <w14:solidFill>
                    <w14:schemeClr w14:val="tx1"/>
                  </w14:solidFill>
                </w14:textFill>
              </w:rPr>
              <w:t>的，须提供本人身份证复印件（附在资格证明文件中）；法定代表人授权他人参加</w:t>
            </w:r>
            <w:r>
              <w:rPr>
                <w:rFonts w:hint="eastAsia" w:ascii="仿宋_GB2312" w:hAnsi="仿宋_GB2312" w:eastAsia="仿宋_GB2312" w:cs="仿宋_GB2312"/>
                <w:color w:val="000000" w:themeColor="text1"/>
                <w:kern w:val="28"/>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kern w:val="28"/>
                <w:sz w:val="28"/>
                <w:szCs w:val="28"/>
                <w14:textFill>
                  <w14:solidFill>
                    <w14:schemeClr w14:val="tx1"/>
                  </w14:solidFill>
                </w14:textFill>
              </w:rPr>
              <w:t>的，须提供法定代表人授权委托书。</w:t>
            </w:r>
            <w:r>
              <w:rPr>
                <w:rFonts w:hint="eastAsia" w:ascii="仿宋_GB2312" w:hAnsi="仿宋_GB2312" w:eastAsia="仿宋_GB2312" w:cs="仿宋_GB2312"/>
                <w:color w:val="000000" w:themeColor="text1"/>
                <w:kern w:val="28"/>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kern w:val="28"/>
                <w:sz w:val="28"/>
                <w:szCs w:val="28"/>
                <w14:textFill>
                  <w14:solidFill>
                    <w14:schemeClr w14:val="tx1"/>
                  </w14:solidFill>
                </w14:textFill>
              </w:rPr>
              <w:t>文件中凡是需要法定代表人盖章之处，非法人单位的负责人均参照执行。（按第五章格式填写）</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7</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highlight w:val="none"/>
                <w14:textFill>
                  <w14:solidFill>
                    <w14:schemeClr w14:val="tx1"/>
                  </w14:solidFill>
                </w14:textFill>
              </w:rPr>
            </w:pPr>
            <w:r>
              <w:rPr>
                <w:rFonts w:hint="default" w:ascii="仿宋_GB2312" w:hAnsi="仿宋_GB2312" w:eastAsia="仿宋_GB2312" w:cs="仿宋_GB2312"/>
                <w:color w:val="000000" w:themeColor="text1"/>
                <w:kern w:val="28"/>
                <w:sz w:val="28"/>
                <w:szCs w:val="28"/>
                <w:highlight w:val="none"/>
                <w:lang w:val="en-US" w:eastAsia="zh-CN"/>
                <w14:textFill>
                  <w14:solidFill>
                    <w14:schemeClr w14:val="tx1"/>
                  </w14:solidFill>
                </w14:textFill>
              </w:rPr>
              <w:t>落实政府采购政策需满足的资格要求</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000000" w:themeColor="text1"/>
                <w:kern w:val="28"/>
                <w:sz w:val="28"/>
                <w:szCs w:val="28"/>
                <w:highlight w:val="none"/>
                <w:lang w:val="en-US" w:eastAsia="zh-CN"/>
                <w14:textFill>
                  <w14:solidFill>
                    <w14:schemeClr w14:val="tx1"/>
                  </w14:solidFill>
                </w14:textFill>
              </w:rPr>
            </w:pPr>
            <w:r>
              <w:rPr>
                <w:rFonts w:hint="default" w:ascii="仿宋_GB2312" w:hAnsi="仿宋_GB2312" w:eastAsia="仿宋_GB2312" w:cs="仿宋_GB2312"/>
                <w:color w:val="000000" w:themeColor="text1"/>
                <w:kern w:val="28"/>
                <w:sz w:val="28"/>
                <w:szCs w:val="28"/>
                <w:highlight w:val="none"/>
                <w:lang w:val="en-US" w:eastAsia="zh-CN"/>
                <w14:textFill>
                  <w14:solidFill>
                    <w14:schemeClr w14:val="tx1"/>
                  </w14:solidFill>
                </w14:textFill>
              </w:rPr>
              <w:t>本项目专门面向中小企业采购，供应商应为中小微企业，谈判时须提供《中小企业声明函》（按第五章格式填写）。本项目采购标的对应的中小企业划分标准所属行业为：工业</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highlight w:val="yellow"/>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eastAsia="zh-CN"/>
                <w14:textFill>
                  <w14:solidFill>
                    <w14:schemeClr w14:val="tx1"/>
                  </w14:solidFill>
                </w14:textFill>
              </w:rPr>
              <w:t>谈判</w:t>
            </w:r>
            <w:r>
              <w:rPr>
                <w:rFonts w:hint="eastAsia" w:ascii="仿宋_GB2312" w:hAnsi="仿宋_GB2312" w:eastAsia="仿宋_GB2312" w:cs="仿宋_GB2312"/>
                <w:b/>
                <w:bCs/>
                <w:color w:val="000000" w:themeColor="text1"/>
                <w:kern w:val="0"/>
                <w:sz w:val="28"/>
                <w:szCs w:val="28"/>
                <w14:textFill>
                  <w14:solidFill>
                    <w14:schemeClr w14:val="tx1"/>
                  </w14:solidFill>
                </w14:textFill>
              </w:rPr>
              <w:t>小组成员：（签字或盖章）</w:t>
            </w:r>
          </w:p>
        </w:tc>
      </w:tr>
    </w:tbl>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出现下列情形的，响应文件将被视为无效：</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（1）不具备</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文件中规定的资格要求的；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（2）未按</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文件要求提供资格证明文件原件，或未按</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文件要求加盖公章的；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小组认为供应商的资格证明文件存在疑点，要求供应商现场提供原件，供应商不能在规定时限内提供原件或其所提供的原件无法证实响应文件所附证明文件有效性的。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资格审查结束后，</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小组成员应当对审查结果进行签字确认，并告知无效投标供应商资格审查未通过的原因。</w:t>
      </w:r>
    </w:p>
    <w:p>
      <w:pPr>
        <w:pStyle w:val="2"/>
        <w:spacing w:after="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通过资格审查的供应商不足3家的，不得进行符合性审查。</w:t>
      </w:r>
    </w:p>
    <w:p>
      <w:pPr>
        <w:pStyle w:val="14"/>
        <w:rPr>
          <w:rFonts w:hint="eastAsia" w:ascii="仿宋_GB2312" w:hAnsi="仿宋_GB2312" w:eastAsia="仿宋_GB2312" w:cs="仿宋_GB2312"/>
          <w:color w:val="000000" w:themeColor="text1"/>
          <w:sz w:val="28"/>
          <w:szCs w:val="28"/>
          <w14:textFill>
            <w14:solidFill>
              <w14:schemeClr w14:val="tx1"/>
            </w14:solidFill>
          </w14:textFill>
        </w:rPr>
      </w:pP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2、响应文件的符合性审查</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小组依据</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文件的规定，对响应文件的有效性、完整性和对</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文件的响应程度进行审查，以确定是否对</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文件的全部实质性要求做出响应。</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小组要审查每份响应文件是否实质上响应了</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文件的要求。实质上没有响应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文件要求的响应文件作无效响应处理，</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小组要告知有关供应商未通过审查的原因。供应商不得通过修正或撤销不符之处而使其成为实质上响应。</w:t>
      </w:r>
    </w:p>
    <w:p>
      <w:pPr>
        <w:spacing w:line="50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响应文件的符合性审查</w:t>
      </w:r>
    </w:p>
    <w:tbl>
      <w:tblPr>
        <w:tblStyle w:val="22"/>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31"/>
        <w:gridCol w:w="4172"/>
        <w:gridCol w:w="9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序号</w:t>
            </w:r>
          </w:p>
        </w:tc>
        <w:tc>
          <w:tcPr>
            <w:tcW w:w="2431"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符合性审查项</w:t>
            </w:r>
          </w:p>
        </w:tc>
        <w:tc>
          <w:tcPr>
            <w:tcW w:w="4172"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通过条件</w:t>
            </w:r>
          </w:p>
        </w:tc>
        <w:tc>
          <w:tcPr>
            <w:tcW w:w="91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1</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响应文件语言及有效期</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响应文件语言</w:t>
            </w:r>
            <w:r>
              <w:rPr>
                <w:rFonts w:hint="eastAsia" w:ascii="仿宋_GB2312" w:hAnsi="仿宋_GB2312" w:eastAsia="仿宋_GB2312" w:cs="仿宋_GB2312"/>
                <w:bCs/>
                <w:color w:val="000000" w:themeColor="text1"/>
                <w:kern w:val="0"/>
                <w:sz w:val="28"/>
                <w:szCs w:val="28"/>
                <w14:textFill>
                  <w14:solidFill>
                    <w14:schemeClr w14:val="tx1"/>
                  </w14:solidFill>
                </w14:textFill>
              </w:rPr>
              <w:t>及有效期</w:t>
            </w:r>
            <w:r>
              <w:rPr>
                <w:rFonts w:hint="eastAsia" w:ascii="仿宋_GB2312" w:hAnsi="仿宋_GB2312" w:eastAsia="仿宋_GB2312" w:cs="仿宋_GB2312"/>
                <w:color w:val="000000" w:themeColor="text1"/>
                <w:sz w:val="28"/>
                <w:szCs w:val="28"/>
                <w14:textFill>
                  <w14:solidFill>
                    <w14:schemeClr w14:val="tx1"/>
                  </w14:solidFill>
                </w14:textFill>
              </w:rPr>
              <w:t>符合</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2</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响应文件封面、响应 函、法定代表人授权 委托书三处的项目名 称、项目编号、标段 （如有）</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三处均无遗漏，且与所投项目名称、 项目编号、标段（如有）一致。</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3</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响应文件签署、盖章</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均按</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文件要求签字、盖章（评分标准中要求提供的证明材料除外）。</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4</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第一次</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kern w:val="0"/>
                <w:sz w:val="28"/>
                <w:szCs w:val="28"/>
                <w14:textFill>
                  <w14:solidFill>
                    <w14:schemeClr w14:val="tx1"/>
                  </w14:solidFill>
                </w14:textFill>
              </w:rPr>
              <w:t>报价表</w:t>
            </w:r>
          </w:p>
        </w:tc>
        <w:tc>
          <w:tcPr>
            <w:tcW w:w="4172"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（1）第一次</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（2）计量单位、报价货币均符合</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（3）第一次</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报价未超出采购预算或</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文件规定的最高限价。</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5</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响应文件完整性</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响应文件按照谈判文件要求编制，三部分内容齐全，无重大缺漏项。</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6</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技术服务要求</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完全理解并接受对合格供应商、合格的货物、工程或服务要求，根据响应文件中《技术服务偏差表》第三章“★”标识的实质性要求没有负偏离。</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7</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合同草案响应</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有完全理解并接受</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文件合同草案 条款要求的描述。</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8</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供应商承诺书</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完全理解并填写《拒绝政府采购领域商业贿赂承诺书》。</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9</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无其他</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文件或法规明确规定响应无效的事项</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没有不符合</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文件规定的被视为无效响应的其他条款。</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eastAsia="zh-CN"/>
                <w14:textFill>
                  <w14:solidFill>
                    <w14:schemeClr w14:val="tx1"/>
                  </w14:solidFill>
                </w14:textFill>
              </w:rPr>
              <w:t>谈判</w:t>
            </w:r>
            <w:r>
              <w:rPr>
                <w:rFonts w:hint="eastAsia" w:ascii="仿宋_GB2312" w:hAnsi="仿宋_GB2312" w:eastAsia="仿宋_GB2312" w:cs="仿宋_GB2312"/>
                <w:b/>
                <w:bCs/>
                <w:color w:val="000000" w:themeColor="text1"/>
                <w:kern w:val="0"/>
                <w:sz w:val="28"/>
                <w:szCs w:val="28"/>
                <w14:textFill>
                  <w14:solidFill>
                    <w14:schemeClr w14:val="tx1"/>
                  </w14:solidFill>
                </w14:textFill>
              </w:rPr>
              <w:t>小组成员：（签字或盖章）</w:t>
            </w:r>
          </w:p>
        </w:tc>
      </w:tr>
    </w:tbl>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3、响应文件的澄清</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小组在对响应文件的有效性、完整性和响应程度进行审查时，可以要求供应商对响应文件中含义不明确、同类问题表述不一致或者有明显文字和计算错误的内容等做出必要的澄清、说明或者更正。</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（2）依照《中华人民共和国民法典》中的过失责任原则，澄清、说明 或更正前</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小组将按最不利于参与本次</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供应商的原则对响应文件做 出评判。</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通过电子邮件提交的</w:t>
      </w:r>
      <w:r>
        <w:rPr>
          <w:rFonts w:hint="eastAsia" w:ascii="仿宋_GB2312" w:hAnsi="仿宋_GB2312" w:eastAsia="仿宋_GB2312" w:cs="仿宋_GB2312"/>
          <w:color w:val="000000" w:themeColor="text1"/>
          <w:sz w:val="28"/>
          <w:szCs w:val="28"/>
          <w14:textFill>
            <w14:solidFill>
              <w14:schemeClr w14:val="tx1"/>
            </w14:solidFill>
          </w14:textFill>
        </w:rPr>
        <w:t>澄清、说明或者更正应当由法定代表人或其授权代表签字或者加盖公章。</w:t>
      </w: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000000" w:themeColor="text1"/>
          <w:kern w:val="0"/>
          <w:sz w:val="28"/>
          <w:szCs w:val="28"/>
          <w14:textFill>
            <w14:solidFill>
              <w14:schemeClr w14:val="tx1"/>
            </w14:solidFill>
          </w14:textFill>
        </w:rPr>
        <w:t>合同</w:t>
      </w:r>
      <w:r>
        <w:rPr>
          <w:rFonts w:hint="eastAsia" w:ascii="仿宋_GB2312" w:hAnsi="仿宋_GB2312" w:eastAsia="仿宋_GB2312" w:cs="仿宋_GB2312"/>
          <w:color w:val="000000" w:themeColor="text1"/>
          <w:sz w:val="28"/>
          <w:szCs w:val="28"/>
          <w14:textFill>
            <w14:solidFill>
              <w14:schemeClr w14:val="tx1"/>
            </w14:solidFill>
          </w14:textFill>
        </w:rPr>
        <w:t>履行的重要依据。</w:t>
      </w:r>
    </w:p>
    <w:p>
      <w:pPr>
        <w:spacing w:line="500" w:lineRule="exact"/>
        <w:ind w:firstLine="566" w:firstLineChars="200"/>
        <w:contextualSpacing/>
        <w:rPr>
          <w:rFonts w:hint="eastAsia"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4、进行</w:t>
      </w:r>
      <w:r>
        <w:rPr>
          <w:rFonts w:hint="eastAsia" w:ascii="仿宋_GB2312" w:hAnsi="仿宋_GB2312" w:eastAsia="仿宋_GB2312" w:cs="仿宋_GB2312"/>
          <w:b/>
          <w:color w:val="000000" w:themeColor="text1"/>
          <w:sz w:val="28"/>
          <w:szCs w:val="28"/>
          <w:lang w:eastAsia="zh-CN"/>
          <w14:textFill>
            <w14:solidFill>
              <w14:schemeClr w14:val="tx1"/>
            </w14:solidFill>
          </w14:textFill>
        </w:rPr>
        <w:t>谈判</w:t>
      </w:r>
    </w:p>
    <w:p>
      <w:pPr>
        <w:spacing w:line="500" w:lineRule="exact"/>
        <w:ind w:firstLine="566" w:firstLineChars="200"/>
        <w:contextualSpacing/>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小组所有成员应当集中与单一供应商分别进行</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，并给予所有参加</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的供应商平等的</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机会</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14:textFill>
            <w14:solidFill>
              <w14:schemeClr w14:val="tx1"/>
            </w14:solidFill>
          </w14:textFill>
        </w:rPr>
        <w:t>需要供应商书面答复</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内容的，供应商应当按照</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小组的要求，在谈判小组规定的时限内通过全国公共资源交易平台（汉中市）（sxggzyjy.hanzhong.gov.cn）（以下简称“平台”）〖首页·〉电子交易平台·〉企业端·〉我的项目·〉项目流程·〉澄清答复〗或电子邮件（在平台无法支持的情况下）等书面形式答复谈判的内容，</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通过电子邮件答复的内容应当</w:t>
      </w:r>
      <w:r>
        <w:rPr>
          <w:rFonts w:hint="eastAsia" w:ascii="仿宋_GB2312" w:hAnsi="仿宋_GB2312" w:eastAsia="仿宋_GB2312" w:cs="仿宋_GB2312"/>
          <w:bCs/>
          <w:color w:val="000000" w:themeColor="text1"/>
          <w:sz w:val="28"/>
          <w:szCs w:val="28"/>
          <w14:textFill>
            <w14:solidFill>
              <w14:schemeClr w14:val="tx1"/>
            </w14:solidFill>
          </w14:textFill>
        </w:rPr>
        <w:t>由法定代表人或其授权代表签字或者加盖公章。</w:t>
      </w:r>
    </w:p>
    <w:p>
      <w:pPr>
        <w:spacing w:line="500" w:lineRule="exact"/>
        <w:ind w:firstLine="566" w:firstLineChars="200"/>
        <w:contextualSpacing/>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5、</w:t>
      </w:r>
      <w:r>
        <w:rPr>
          <w:rFonts w:hint="eastAsia" w:ascii="仿宋_GB2312" w:hAnsi="仿宋_GB2312" w:eastAsia="仿宋_GB2312" w:cs="仿宋_GB2312"/>
          <w:b/>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文件的实质性变更</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（1）在</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过程中，</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小组可以根据</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文件和</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情况实质性变动采购需求中的技术、服务要求以及合同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草案</w:t>
      </w:r>
      <w:r>
        <w:rPr>
          <w:rFonts w:hint="eastAsia" w:ascii="仿宋_GB2312" w:hAnsi="仿宋_GB2312" w:eastAsia="仿宋_GB2312" w:cs="仿宋_GB2312"/>
          <w:color w:val="000000" w:themeColor="text1"/>
          <w:sz w:val="28"/>
          <w:szCs w:val="28"/>
          <w14:textFill>
            <w14:solidFill>
              <w14:schemeClr w14:val="tx1"/>
            </w14:solidFill>
          </w14:textFill>
        </w:rPr>
        <w:t>条款，但不得变动</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文件中的其他内容。实质性变动的内容，须经采购人代表确认。</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实质性变动不得改变原标的物，且应遵循有利于采购活动顺利实施的原则，当出现下列情形时，可实质性变动：</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①</w:t>
      </w:r>
      <w:r>
        <w:rPr>
          <w:rFonts w:hint="eastAsia" w:ascii="仿宋_GB2312" w:hAnsi="仿宋_GB2312" w:eastAsia="仿宋_GB2312" w:cs="仿宋_GB2312"/>
          <w:color w:val="000000" w:themeColor="text1"/>
          <w:sz w:val="28"/>
          <w:szCs w:val="28"/>
          <w14:textFill>
            <w14:solidFill>
              <w14:schemeClr w14:val="tx1"/>
            </w14:solidFill>
          </w14:textFill>
        </w:rPr>
        <w:t>当</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小组发现</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文件有明显错误、自相矛盾时，可通过实质性变动纠正错误，且应尽可能保证该变动不会排除各参与供应商；</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②</w:t>
      </w:r>
      <w:r>
        <w:rPr>
          <w:rFonts w:hint="eastAsia" w:ascii="仿宋_GB2312" w:hAnsi="仿宋_GB2312" w:eastAsia="仿宋_GB2312" w:cs="仿宋_GB2312"/>
          <w:color w:val="000000" w:themeColor="text1"/>
          <w:sz w:val="28"/>
          <w:szCs w:val="28"/>
          <w14:textFill>
            <w14:solidFill>
              <w14:schemeClr w14:val="tx1"/>
            </w14:solidFill>
          </w14:textFill>
        </w:rPr>
        <w:t>当进入最后报价环节的供应商不足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家时，可通过实质性变动实现不少于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家供应商提交最后报价，但不得通过实质性变动将原本进入最后报价环节的供应商排除在外。</w:t>
      </w:r>
    </w:p>
    <w:p>
      <w:pPr>
        <w:spacing w:line="500" w:lineRule="exact"/>
        <w:ind w:firstLine="566" w:firstLineChars="200"/>
        <w:contextualSpacing/>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）对</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文件作出的实质性变动是</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文件的有效组成部分，</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p>
    <w:p>
      <w:pPr>
        <w:spacing w:line="500" w:lineRule="exact"/>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小组将通过公共资源交易平台（以下简称“平台”）或电子邮件（在平台无法支持的情况下）等书面形式通知所有参加</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的供应商。</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）供应商应当按照</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文件的变动情况和</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小组的要求，在</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 xml:space="preserve"> 小组规定的时限内重新提交响应文件，并用数字认证证书（CA 锁）签章或 由法定代表人或其授权代表签字或者加盖公章。</w:t>
      </w:r>
    </w:p>
    <w:p>
      <w:pPr>
        <w:pStyle w:val="2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）供应商未能在规定的时间内按照</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小组的要求通过公共资源交易平台（以下简称“平台”）或电子邮件（在平台无法支持的情况下）等书面形式提交实质性变更响应文件的，视作未实质性响应。</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6、最后报价</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文件能够详细列明采购标的的技术、服务要求的，</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结束 后，</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小组应当要求所有实质性响应的供应商在规定时间内提交最后报 价，提交最后报价的供应商不得少于3家。</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文件不能详细列明采购标的的技术、服务要求，需经</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由 供应商提供最终设计方案或解决方案的，</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结束后，</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小组应当按照 少数服从多数的原则投票推荐3家以上供应商的设计方案或者解决方案， 并要求其在规定时间内提交最后报价。</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（3）最后报价是供应商响应文件的有效组成部分。</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供应商要在全国公共资源交易平台（汉中市）（sxggzyjy.hanzhong.gov.cn）（以下简称“平台”）〖首页·〉电子交易平台·〉企业端·〉我的项目·〉项目流程·〉网上报价〗中提交最后报价，并用数字认证证书（CA锁）签章。平台系统无法使用时，供应商要以书面形式提交最后报价。最后报价表应由其法定代表人或被授权代表签字或者加盖公章。最后报价将作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评审</w:t>
      </w:r>
      <w:r>
        <w:rPr>
          <w:rFonts w:hint="eastAsia" w:ascii="仿宋_GB2312" w:hAnsi="仿宋_GB2312" w:eastAsia="仿宋_GB2312" w:cs="仿宋_GB2312"/>
          <w:color w:val="000000" w:themeColor="text1"/>
          <w:sz w:val="28"/>
          <w:szCs w:val="28"/>
          <w14:textFill>
            <w14:solidFill>
              <w14:schemeClr w14:val="tx1"/>
            </w14:solidFill>
          </w14:textFill>
        </w:rPr>
        <w:t>的依据。</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（5）已提交响应文件的供应商，在提交最后报价之前，可以根据</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 xml:space="preserve"> 情况书面申请退出</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，书面申请应由其法定代表人或被授权代表签字或 者加盖公章。</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小组认为供应商的报价明显低于其他通过符合性和响应性审查供应商的报价，有可能影响工程、货物、服务质量或者不能诚信履约的， 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处理</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b/>
          <w:color w:val="000000" w:themeColor="text1"/>
          <w:sz w:val="28"/>
          <w:szCs w:val="28"/>
          <w14:textFill>
            <w14:solidFill>
              <w14:schemeClr w14:val="tx1"/>
            </w14:solidFill>
          </w14:textFill>
        </w:rPr>
        <w:t>、推荐成交候选供应商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最后报价后，如有本章前款规定的小微企业价格扣除情况，用扣除后的价格参与评审，形成评审报价，按照评审报价由低到高的排序，推荐3名成交候选供应商。最终评审报价相同的，谈判小组优先推荐节能清单(非强制类)、环保清单内的产品，再按照综合技术指标优劣顺序推荐</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b/>
          <w:color w:val="000000" w:themeColor="text1"/>
          <w:sz w:val="28"/>
          <w:szCs w:val="28"/>
          <w14:textFill>
            <w14:solidFill>
              <w14:schemeClr w14:val="tx1"/>
            </w14:solidFill>
          </w14:textFill>
        </w:rPr>
        <w:t>、编写评审报告</w:t>
      </w:r>
    </w:p>
    <w:p>
      <w:pPr>
        <w:spacing w:line="500" w:lineRule="exact"/>
        <w:ind w:firstLine="566"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谈判小组应当根据评审记录和评审结果编写评审报告，其主要内容包 括：</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）邀请供应商参加采购活动的具体方式和相关情况，以及参加采购 活动的供应商名单；</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（2）评审日期和地点，谈判小组成员名单；</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（3）评审情况记录和说明，包括对供应商的资格审查情况、供应商响 应文件评审情况、谈判情况、报价情况等；</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（4）提出的成交候选人的名单及理由。</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评审报告应当由谈判小组全体人员签字认可。谈判小组成员对评审报 告有异议的，谈判小组按照少数服从多数的原则推荐成交候选人，采购程 序继续进行。对评审报告有异议的谈判小组成员，应当在报告上签署不同 意见并说明理由，由谈判小组书面记录相关情况。谈判小组成员拒绝在报告上签字又不书面说明其不同意见和理由的，视为同意评审报告。</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（六）有下列情况之一的，视为供应商串通投标，其投标无效：</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1、不同供应商的响应文件由同一单位或者个人编制；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2、不同供应商的响应文件由同一台电脑编制；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3、不同供应商委托同一单位或者个人办理投标事宜；</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4、不同供应商的响应文件载明的项目管理成员或者联系人员为同一人；</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5、不同供应商的响应文件异常一致或者</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报价呈规律性差异；</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6、政府采购法律法规及</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文件规定的其他情形。</w:t>
      </w:r>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49" w:name="_Toc25855"/>
      <w:bookmarkStart w:id="150" w:name="_Toc28384"/>
      <w:bookmarkStart w:id="151" w:name="_Toc3023"/>
      <w:bookmarkStart w:id="152" w:name="_Toc4670"/>
      <w:bookmarkStart w:id="153" w:name="_Toc17612"/>
      <w:bookmarkStart w:id="154" w:name="_Toc22712"/>
      <w:bookmarkStart w:id="155" w:name="_Toc28287"/>
      <w:bookmarkStart w:id="156" w:name="_Toc424636365"/>
      <w:bookmarkStart w:id="157" w:name="_Toc495014585"/>
      <w:bookmarkStart w:id="158" w:name="_Toc495012771"/>
      <w:bookmarkStart w:id="159" w:name="_Toc495014920"/>
      <w:bookmarkStart w:id="160" w:name="_Toc495014611"/>
      <w:bookmarkStart w:id="161" w:name="_Toc445306493"/>
      <w:bookmarkStart w:id="162" w:name="_Toc495014954"/>
      <w:bookmarkStart w:id="163" w:name="_Toc619_WPSOffice_Level1"/>
      <w:bookmarkStart w:id="164" w:name="_Toc495014649"/>
      <w:bookmarkStart w:id="165" w:name="_Toc495012821"/>
      <w:bookmarkStart w:id="166" w:name="_Toc28286_WPSOffice_Level1"/>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八</w:t>
      </w:r>
      <w:r>
        <w:rPr>
          <w:rFonts w:hint="eastAsia" w:ascii="仿宋_GB2312" w:hAnsi="仿宋_GB2312" w:eastAsia="仿宋_GB2312" w:cs="仿宋_GB2312"/>
          <w:color w:val="000000" w:themeColor="text1"/>
          <w:sz w:val="28"/>
          <w:szCs w:val="28"/>
          <w14:textFill>
            <w14:solidFill>
              <w14:schemeClr w14:val="tx1"/>
            </w14:solidFill>
          </w14:textFill>
        </w:rPr>
        <w:t>、成交</w:t>
      </w:r>
      <w:bookmarkEnd w:id="149"/>
      <w:bookmarkEnd w:id="150"/>
      <w:bookmarkEnd w:id="151"/>
      <w:bookmarkEnd w:id="152"/>
      <w:bookmarkEnd w:id="153"/>
      <w:bookmarkEnd w:id="154"/>
      <w:bookmarkEnd w:id="155"/>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在评审结束后2个工作日内将评审报告送采购人确认。</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在评审报告确定的成交候选人名单中按顺序确定成交供应商。采购人在收到评审报告5个工作日内未按评审报告推荐的成交候选人顺序确定成交供应商，又不能说明合法理由的，视同按评审报告推荐的顺序确定排名第一的成交候选人为成交供应商。</w:t>
      </w:r>
    </w:p>
    <w:p>
      <w:pPr>
        <w:wordWrap w:val="0"/>
        <w:spacing w:line="500" w:lineRule="exact"/>
        <w:ind w:firstLine="566"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将在成交供应商确定之日起2个工作日内，在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以下网址发布结果公告：</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【陕西省政府采购网（www.ccgp-shaanxi.gov.cn/）】中的〖首页·〉市级公告·〉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结果</w:t>
      </w:r>
      <w:r>
        <w:rPr>
          <w:rFonts w:hint="eastAsia" w:ascii="仿宋_GB2312" w:hAnsi="仿宋_GB2312" w:eastAsia="仿宋_GB2312" w:cs="仿宋_GB2312"/>
          <w:color w:val="000000" w:themeColor="text1"/>
          <w:sz w:val="28"/>
          <w:szCs w:val="28"/>
          <w14:textFill>
            <w14:solidFill>
              <w14:schemeClr w14:val="tx1"/>
            </w14:solidFill>
          </w14:textFill>
        </w:rPr>
        <w:t>公告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/终止公告</w:t>
      </w:r>
      <w:r>
        <w:rPr>
          <w:rFonts w:hint="eastAsia" w:ascii="仿宋_GB2312" w:hAnsi="仿宋_GB2312" w:eastAsia="仿宋_GB2312" w:cs="仿宋_GB2312"/>
          <w:color w:val="000000" w:themeColor="text1"/>
          <w:sz w:val="28"/>
          <w:szCs w:val="28"/>
          <w14:textFill>
            <w14:solidFill>
              <w14:schemeClr w14:val="tx1"/>
            </w14:solidFill>
          </w14:textFill>
        </w:rPr>
        <w:t>〗；</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【全国公共资源交易平台（汉中市）（sxggzyjy.hanzhong.gov.cn）】中的〖首页·〉交易大厅·〉政府采购·〉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中标（成交）结果/终止公告</w:t>
      </w:r>
      <w:r>
        <w:rPr>
          <w:rFonts w:hint="eastAsia" w:ascii="仿宋_GB2312" w:hAnsi="仿宋_GB2312" w:eastAsia="仿宋_GB2312" w:cs="仿宋_GB2312"/>
          <w:color w:val="000000" w:themeColor="text1"/>
          <w:sz w:val="28"/>
          <w:szCs w:val="28"/>
          <w14:textFill>
            <w14:solidFill>
              <w14:schemeClr w14:val="tx1"/>
            </w14:solidFill>
          </w14:textFill>
        </w:rPr>
        <w:t>〗。</w:t>
      </w:r>
    </w:p>
    <w:p>
      <w:pPr>
        <w:wordWrap w:val="0"/>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采购人</w:t>
      </w:r>
      <w:r>
        <w:rPr>
          <w:rFonts w:hint="eastAsia" w:ascii="仿宋_GB2312" w:hAnsi="仿宋_GB2312" w:eastAsia="仿宋_GB2312" w:cs="仿宋_GB2312"/>
          <w:color w:val="000000" w:themeColor="text1"/>
          <w:sz w:val="28"/>
          <w:szCs w:val="28"/>
          <w14:textFill>
            <w14:solidFill>
              <w14:schemeClr w14:val="tx1"/>
            </w14:solidFill>
          </w14:textFill>
        </w:rPr>
        <w:t>向成交供应商发出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成交通知书</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67" w:name="_Toc14009"/>
      <w:bookmarkStart w:id="168" w:name="_Toc18233"/>
      <w:bookmarkStart w:id="169" w:name="_Toc28870"/>
      <w:bookmarkStart w:id="170" w:name="_Toc23938"/>
      <w:bookmarkStart w:id="171" w:name="_Toc20049"/>
      <w:bookmarkStart w:id="172" w:name="_Toc3100"/>
      <w:bookmarkStart w:id="173" w:name="_Toc10386"/>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九</w:t>
      </w:r>
      <w:r>
        <w:rPr>
          <w:rFonts w:hint="eastAsia" w:ascii="仿宋_GB2312" w:hAnsi="仿宋_GB2312" w:eastAsia="仿宋_GB2312" w:cs="仿宋_GB2312"/>
          <w:color w:val="000000" w:themeColor="text1"/>
          <w:sz w:val="28"/>
          <w:szCs w:val="28"/>
          <w14:textFill>
            <w14:solidFill>
              <w14:schemeClr w14:val="tx1"/>
            </w14:solidFill>
          </w14:textFill>
        </w:rPr>
        <w:t>、签订</w:t>
      </w:r>
      <w:r>
        <w:rPr>
          <w:rFonts w:hint="eastAsia" w:ascii="仿宋_GB2312" w:hAnsi="仿宋_GB2312" w:eastAsia="仿宋_GB2312" w:cs="仿宋_GB2312"/>
          <w:color w:val="000000" w:themeColor="text1"/>
          <w:kern w:val="0"/>
          <w:sz w:val="28"/>
          <w:szCs w:val="28"/>
          <w14:textFill>
            <w14:solidFill>
              <w14:schemeClr w14:val="tx1"/>
            </w14:solidFill>
          </w14:textFill>
        </w:rPr>
        <w:t>政府采购合同</w:t>
      </w:r>
      <w:bookmarkEnd w:id="167"/>
      <w:bookmarkEnd w:id="168"/>
      <w:bookmarkEnd w:id="169"/>
      <w:bookmarkEnd w:id="170"/>
      <w:bookmarkEnd w:id="171"/>
      <w:bookmarkEnd w:id="172"/>
      <w:bookmarkEnd w:id="173"/>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（一）采购人与成交供应商应当在《成交通知书》发出之后，洽谈合同条款内容，拟定合同文本草案。并在《成交通知书》发出之日起30日内签订书面合同。</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（二）合同在执行过程中，确需修改、变更时，应当按照相应的审核批准程序办理。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文件、补充通知、</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响应文件、补充协议等为合同的组成部分，具有同等法律效力。成交供应商不得将合同分包、转让他人。</w:t>
      </w:r>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4" w:name="_Toc8426"/>
      <w:bookmarkStart w:id="175" w:name="_Toc17324"/>
      <w:bookmarkStart w:id="176" w:name="_Toc5278"/>
      <w:bookmarkStart w:id="177" w:name="_Toc11780"/>
      <w:bookmarkStart w:id="178" w:name="_Toc10336"/>
      <w:bookmarkStart w:id="179" w:name="_Toc4764"/>
      <w:bookmarkStart w:id="180" w:name="_Toc11584"/>
      <w:bookmarkStart w:id="181" w:name="_Toc14560"/>
      <w:bookmarkStart w:id="182" w:name="_Toc23303"/>
      <w:r>
        <w:rPr>
          <w:rFonts w:hint="eastAsia" w:ascii="仿宋_GB2312" w:hAnsi="仿宋_GB2312" w:eastAsia="仿宋_GB2312" w:cs="仿宋_GB2312"/>
          <w:color w:val="000000" w:themeColor="text1"/>
          <w:sz w:val="28"/>
          <w:szCs w:val="28"/>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采购代理服务费：免费</w:t>
      </w:r>
      <w:bookmarkEnd w:id="174"/>
      <w:bookmarkEnd w:id="175"/>
      <w:bookmarkEnd w:id="176"/>
      <w:bookmarkEnd w:id="177"/>
      <w:bookmarkEnd w:id="178"/>
      <w:bookmarkEnd w:id="179"/>
      <w:bookmarkEnd w:id="180"/>
      <w:bookmarkEnd w:id="181"/>
      <w:bookmarkEnd w:id="182"/>
    </w:p>
    <w:p>
      <w:pPr>
        <w:pStyle w:val="3"/>
        <w:rPr>
          <w:rFonts w:hint="eastAsia" w:ascii="黑体" w:hAnsi="黑体" w:eastAsia="黑体" w:cs="黑体"/>
          <w:b w:val="0"/>
          <w:bCs/>
          <w:color w:val="000000" w:themeColor="text1"/>
          <w:sz w:val="32"/>
          <w:szCs w:val="40"/>
          <w14:textFill>
            <w14:solidFill>
              <w14:schemeClr w14:val="tx1"/>
            </w14:solidFill>
          </w14:textFill>
        </w:rPr>
      </w:pPr>
      <w:bookmarkStart w:id="183" w:name="_Toc10476_WPSOffice_Level1"/>
      <w:bookmarkStart w:id="184" w:name="_Toc31517"/>
      <w:bookmarkStart w:id="185" w:name="_Toc22915"/>
      <w:bookmarkStart w:id="186" w:name="_Toc6345"/>
      <w:bookmarkStart w:id="187" w:name="_Toc2772"/>
      <w:r>
        <w:rPr>
          <w:rFonts w:hint="eastAsia" w:ascii="黑体" w:hAnsi="黑体" w:eastAsia="黑体" w:cs="黑体"/>
          <w:b w:val="0"/>
          <w:bCs/>
          <w:color w:val="000000" w:themeColor="text1"/>
          <w:sz w:val="32"/>
          <w:szCs w:val="40"/>
          <w14:textFill>
            <w14:solidFill>
              <w14:schemeClr w14:val="tx1"/>
            </w14:solidFill>
          </w14:textFill>
        </w:rPr>
        <w:t xml:space="preserve">第三章  </w:t>
      </w:r>
      <w:r>
        <w:rPr>
          <w:rFonts w:hint="eastAsia" w:ascii="黑体" w:hAnsi="黑体" w:eastAsia="黑体" w:cs="黑体"/>
          <w:b w:val="0"/>
          <w:bCs/>
          <w:color w:val="000000" w:themeColor="text1"/>
          <w:sz w:val="32"/>
          <w:szCs w:val="40"/>
          <w:lang w:eastAsia="zh-CN"/>
          <w14:textFill>
            <w14:solidFill>
              <w14:schemeClr w14:val="tx1"/>
            </w14:solidFill>
          </w14:textFill>
        </w:rPr>
        <w:t>谈判</w:t>
      </w:r>
      <w:r>
        <w:rPr>
          <w:rFonts w:hint="eastAsia" w:ascii="黑体" w:hAnsi="黑体" w:eastAsia="黑体" w:cs="黑体"/>
          <w:b w:val="0"/>
          <w:bCs/>
          <w:color w:val="000000" w:themeColor="text1"/>
          <w:sz w:val="32"/>
          <w:szCs w:val="40"/>
          <w14:textFill>
            <w14:solidFill>
              <w14:schemeClr w14:val="tx1"/>
            </w14:solidFill>
          </w14:textFill>
        </w:rPr>
        <w:t>内容及采</w:t>
      </w:r>
      <w:bookmarkEnd w:id="183"/>
      <w:r>
        <w:rPr>
          <w:rFonts w:hint="eastAsia" w:ascii="黑体" w:hAnsi="黑体" w:eastAsia="黑体" w:cs="黑体"/>
          <w:b w:val="0"/>
          <w:bCs/>
          <w:color w:val="000000" w:themeColor="text1"/>
          <w:sz w:val="32"/>
          <w:szCs w:val="40"/>
          <w14:textFill>
            <w14:solidFill>
              <w14:schemeClr w14:val="tx1"/>
            </w14:solidFill>
          </w14:textFill>
        </w:rPr>
        <w:t>购要求</w:t>
      </w:r>
      <w:bookmarkEnd w:id="156"/>
      <w:bookmarkEnd w:id="157"/>
      <w:bookmarkEnd w:id="158"/>
      <w:bookmarkEnd w:id="159"/>
      <w:bookmarkEnd w:id="160"/>
      <w:bookmarkEnd w:id="161"/>
      <w:bookmarkEnd w:id="162"/>
      <w:bookmarkEnd w:id="163"/>
      <w:bookmarkEnd w:id="164"/>
      <w:bookmarkEnd w:id="165"/>
      <w:bookmarkEnd w:id="166"/>
      <w:bookmarkEnd w:id="184"/>
      <w:bookmarkEnd w:id="185"/>
      <w:bookmarkEnd w:id="186"/>
      <w:bookmarkEnd w:id="187"/>
    </w:p>
    <w:tbl>
      <w:tblPr>
        <w:tblStyle w:val="22"/>
        <w:tblpPr w:leftFromText="180" w:rightFromText="180" w:vertAnchor="text" w:horzAnchor="page" w:tblpXSpec="center" w:tblpY="590"/>
        <w:tblOverlap w:val="never"/>
        <w:tblW w:w="9060" w:type="dxa"/>
        <w:jc w:val="center"/>
        <w:tblLayout w:type="fixed"/>
        <w:tblCellMar>
          <w:top w:w="0" w:type="dxa"/>
          <w:left w:w="108" w:type="dxa"/>
          <w:bottom w:w="0" w:type="dxa"/>
          <w:right w:w="108" w:type="dxa"/>
        </w:tblCellMar>
      </w:tblPr>
      <w:tblGrid>
        <w:gridCol w:w="924"/>
        <w:gridCol w:w="1236"/>
        <w:gridCol w:w="5888"/>
        <w:gridCol w:w="1012"/>
      </w:tblGrid>
      <w:tr>
        <w:tblPrEx>
          <w:tblCellMar>
            <w:top w:w="0" w:type="dxa"/>
            <w:left w:w="108" w:type="dxa"/>
            <w:bottom w:w="0" w:type="dxa"/>
            <w:right w:w="108" w:type="dxa"/>
          </w:tblCellMar>
        </w:tblPrEx>
        <w:trPr>
          <w:trHeight w:val="783"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sz w:val="28"/>
                <w:szCs w:val="28"/>
              </w:rPr>
            </w:pPr>
            <w:r>
              <w:rPr>
                <w:rStyle w:val="52"/>
                <w:rFonts w:hint="eastAsia" w:ascii="仿宋_GB2312" w:hAnsi="仿宋_GB2312" w:eastAsia="仿宋_GB2312" w:cs="仿宋_GB2312"/>
                <w:b/>
                <w:bCs/>
                <w:sz w:val="28"/>
                <w:szCs w:val="28"/>
                <w:lang w:bidi="ar"/>
              </w:rPr>
              <w:t>序</w:t>
            </w:r>
            <w:r>
              <w:rPr>
                <w:rStyle w:val="53"/>
                <w:rFonts w:hint="eastAsia" w:ascii="仿宋_GB2312" w:hAnsi="仿宋_GB2312" w:eastAsia="仿宋_GB2312" w:cs="仿宋_GB2312"/>
                <w:b/>
                <w:bCs/>
                <w:sz w:val="28"/>
                <w:szCs w:val="28"/>
                <w:lang w:bidi="ar"/>
              </w:rPr>
              <w:t>号</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sz w:val="28"/>
                <w:szCs w:val="28"/>
              </w:rPr>
            </w:pPr>
            <w:r>
              <w:rPr>
                <w:rStyle w:val="54"/>
                <w:rFonts w:hint="eastAsia" w:ascii="仿宋_GB2312" w:hAnsi="仿宋_GB2312" w:eastAsia="仿宋_GB2312" w:cs="仿宋_GB2312"/>
                <w:b/>
                <w:bCs/>
                <w:sz w:val="28"/>
                <w:szCs w:val="28"/>
                <w:lang w:bidi="ar"/>
              </w:rPr>
              <w:t>名称</w:t>
            </w:r>
          </w:p>
        </w:tc>
        <w:tc>
          <w:tcPr>
            <w:tcW w:w="5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货物具体参数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数量</w:t>
            </w:r>
          </w:p>
        </w:tc>
      </w:tr>
      <w:tr>
        <w:tblPrEx>
          <w:tblCellMar>
            <w:top w:w="0" w:type="dxa"/>
            <w:left w:w="108" w:type="dxa"/>
            <w:bottom w:w="0" w:type="dxa"/>
            <w:right w:w="108" w:type="dxa"/>
          </w:tblCellMar>
        </w:tblPrEx>
        <w:trPr>
          <w:trHeight w:val="8766"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55"/>
                <w:rFonts w:hint="eastAsia" w:ascii="仿宋_GB2312" w:hAnsi="仿宋_GB2312" w:eastAsia="仿宋_GB2312" w:cs="仿宋_GB2312"/>
                <w:sz w:val="28"/>
                <w:szCs w:val="28"/>
                <w:lang w:bidi="ar"/>
              </w:rPr>
              <w:t>智能积分礼品兑换柜</w:t>
            </w:r>
          </w:p>
        </w:tc>
        <w:tc>
          <w:tcPr>
            <w:tcW w:w="58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要求积分兑换柜外观尺寸不得大于 宽</w:t>
            </w:r>
            <w:r>
              <w:rPr>
                <w:rStyle w:val="47"/>
                <w:rFonts w:hint="eastAsia" w:ascii="仿宋_GB2312" w:hAnsi="仿宋_GB2312" w:eastAsia="仿宋_GB2312" w:cs="仿宋_GB2312"/>
                <w:sz w:val="28"/>
                <w:szCs w:val="28"/>
                <w:lang w:bidi="ar"/>
              </w:rPr>
              <w:t>500*</w:t>
            </w:r>
            <w:r>
              <w:rPr>
                <w:rStyle w:val="56"/>
                <w:rFonts w:hint="eastAsia" w:ascii="仿宋_GB2312" w:hAnsi="仿宋_GB2312" w:eastAsia="仿宋_GB2312" w:cs="仿宋_GB2312"/>
                <w:sz w:val="28"/>
                <w:szCs w:val="28"/>
                <w:lang w:bidi="ar"/>
              </w:rPr>
              <w:t>厚</w:t>
            </w:r>
            <w:r>
              <w:rPr>
                <w:rStyle w:val="47"/>
                <w:rFonts w:hint="eastAsia" w:ascii="仿宋_GB2312" w:hAnsi="仿宋_GB2312" w:eastAsia="仿宋_GB2312" w:cs="仿宋_GB2312"/>
                <w:sz w:val="28"/>
                <w:szCs w:val="28"/>
                <w:lang w:bidi="ar"/>
              </w:rPr>
              <w:t>460*</w:t>
            </w:r>
            <w:r>
              <w:rPr>
                <w:rStyle w:val="56"/>
                <w:rFonts w:hint="eastAsia" w:ascii="仿宋_GB2312" w:hAnsi="仿宋_GB2312" w:eastAsia="仿宋_GB2312" w:cs="仿宋_GB2312"/>
                <w:sz w:val="28"/>
                <w:szCs w:val="28"/>
                <w:lang w:bidi="ar"/>
              </w:rPr>
              <w:t>高</w:t>
            </w:r>
            <w:r>
              <w:rPr>
                <w:rStyle w:val="47"/>
                <w:rFonts w:hint="eastAsia" w:ascii="仿宋_GB2312" w:hAnsi="仿宋_GB2312" w:eastAsia="仿宋_GB2312" w:cs="仿宋_GB2312"/>
                <w:sz w:val="28"/>
                <w:szCs w:val="28"/>
                <w:lang w:bidi="ar"/>
              </w:rPr>
              <w:t>520尺寸以内(mm)，不得小于宽400*厚360*高450（mm）</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颜色种类：根据甲方要求定制</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材质：钣金外壳，厚度约：</w:t>
            </w:r>
            <w:r>
              <w:rPr>
                <w:rStyle w:val="47"/>
                <w:rFonts w:hint="eastAsia" w:ascii="仿宋_GB2312" w:hAnsi="仿宋_GB2312" w:eastAsia="仿宋_GB2312" w:cs="仿宋_GB2312"/>
                <w:sz w:val="28"/>
                <w:szCs w:val="28"/>
                <w:lang w:bidi="ar"/>
              </w:rPr>
              <w:t xml:space="preserve">1.0mm </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对换方式：现场扫码</w:t>
            </w:r>
            <w:r>
              <w:rPr>
                <w:rStyle w:val="47"/>
                <w:rFonts w:hint="eastAsia" w:ascii="仿宋_GB2312" w:hAnsi="仿宋_GB2312" w:eastAsia="仿宋_GB2312" w:cs="仿宋_GB2312"/>
                <w:sz w:val="28"/>
                <w:szCs w:val="28"/>
                <w:lang w:bidi="ar"/>
              </w:rPr>
              <w:t>/</w:t>
            </w:r>
            <w:r>
              <w:rPr>
                <w:rStyle w:val="56"/>
                <w:rFonts w:hint="eastAsia" w:ascii="仿宋_GB2312" w:hAnsi="仿宋_GB2312" w:eastAsia="仿宋_GB2312" w:cs="仿宋_GB2312"/>
                <w:sz w:val="28"/>
                <w:szCs w:val="28"/>
                <w:lang w:bidi="ar"/>
              </w:rPr>
              <w:t>线上下单</w:t>
            </w:r>
            <w:r>
              <w:rPr>
                <w:rStyle w:val="47"/>
                <w:rFonts w:hint="eastAsia" w:ascii="仿宋_GB2312" w:hAnsi="仿宋_GB2312" w:eastAsia="仿宋_GB2312" w:cs="仿宋_GB2312"/>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显示屏尺寸：≥</w:t>
            </w:r>
            <w:r>
              <w:rPr>
                <w:rStyle w:val="47"/>
                <w:rFonts w:hint="eastAsia" w:ascii="仿宋_GB2312" w:hAnsi="仿宋_GB2312" w:eastAsia="仿宋_GB2312" w:cs="仿宋_GB2312"/>
                <w:sz w:val="28"/>
                <w:szCs w:val="28"/>
                <w:lang w:bidi="ar"/>
              </w:rPr>
              <w:t xml:space="preserve">16 </w:t>
            </w:r>
            <w:r>
              <w:rPr>
                <w:rStyle w:val="56"/>
                <w:rFonts w:hint="eastAsia" w:ascii="仿宋_GB2312" w:hAnsi="仿宋_GB2312" w:eastAsia="仿宋_GB2312" w:cs="仿宋_GB2312"/>
                <w:sz w:val="28"/>
                <w:szCs w:val="28"/>
                <w:lang w:bidi="ar"/>
              </w:rPr>
              <w:t>吋电容触摸</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屏幕占比：≥</w:t>
            </w:r>
            <w:r>
              <w:rPr>
                <w:rStyle w:val="47"/>
                <w:rFonts w:hint="eastAsia" w:ascii="仿宋_GB2312" w:hAnsi="仿宋_GB2312" w:eastAsia="仿宋_GB2312" w:cs="仿宋_GB2312"/>
                <w:sz w:val="28"/>
                <w:szCs w:val="28"/>
                <w:lang w:bidi="ar"/>
              </w:rPr>
              <w:t>36.8%</w:t>
            </w:r>
            <w:r>
              <w:rPr>
                <w:rStyle w:val="56"/>
                <w:rFonts w:hint="eastAsia" w:ascii="仿宋_GB2312" w:hAnsi="仿宋_GB2312" w:eastAsia="仿宋_GB2312" w:cs="仿宋_GB2312"/>
                <w:sz w:val="28"/>
                <w:szCs w:val="28"/>
                <w:lang w:bidi="ar"/>
              </w:rPr>
              <w:t>，正面整体为钢化玻璃；钣金镶边</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分屏显示：支持</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通讯方式：</w:t>
            </w:r>
            <w:r>
              <w:rPr>
                <w:rStyle w:val="47"/>
                <w:rFonts w:hint="eastAsia" w:ascii="仿宋_GB2312" w:hAnsi="仿宋_GB2312" w:eastAsia="仿宋_GB2312" w:cs="仿宋_GB2312"/>
                <w:sz w:val="28"/>
                <w:szCs w:val="28"/>
                <w:lang w:bidi="ar"/>
              </w:rPr>
              <w:t>4G/</w:t>
            </w:r>
            <w:r>
              <w:rPr>
                <w:rStyle w:val="56"/>
                <w:rFonts w:hint="eastAsia" w:ascii="仿宋_GB2312" w:hAnsi="仿宋_GB2312" w:eastAsia="仿宋_GB2312" w:cs="仿宋_GB2312"/>
                <w:sz w:val="28"/>
                <w:szCs w:val="28"/>
                <w:lang w:bidi="ar"/>
              </w:rPr>
              <w:t>可扩展</w:t>
            </w:r>
            <w:r>
              <w:rPr>
                <w:rStyle w:val="47"/>
                <w:rFonts w:hint="eastAsia" w:ascii="仿宋_GB2312" w:hAnsi="仿宋_GB2312" w:eastAsia="仿宋_GB2312" w:cs="仿宋_GB2312"/>
                <w:sz w:val="28"/>
                <w:szCs w:val="28"/>
                <w:lang w:bidi="ar"/>
              </w:rPr>
              <w:t xml:space="preserve"> 5G/</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整机功率：≤</w:t>
            </w:r>
            <w:r>
              <w:rPr>
                <w:rStyle w:val="47"/>
                <w:rFonts w:hint="eastAsia" w:ascii="仿宋_GB2312" w:hAnsi="仿宋_GB2312" w:eastAsia="仿宋_GB2312" w:cs="仿宋_GB2312"/>
                <w:sz w:val="28"/>
                <w:szCs w:val="28"/>
                <w:lang w:bidi="ar"/>
              </w:rPr>
              <w:t>60W</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电压：</w:t>
            </w:r>
            <w:r>
              <w:rPr>
                <w:rStyle w:val="47"/>
                <w:rFonts w:hint="eastAsia" w:ascii="仿宋_GB2312" w:hAnsi="仿宋_GB2312" w:eastAsia="仿宋_GB2312" w:cs="仿宋_GB2312"/>
                <w:sz w:val="28"/>
                <w:szCs w:val="28"/>
                <w:lang w:bidi="ar"/>
              </w:rPr>
              <w:t xml:space="preserve">220V/50HZ </w:t>
            </w:r>
            <w:r>
              <w:rPr>
                <w:rStyle w:val="56"/>
                <w:rFonts w:hint="eastAsia" w:ascii="仿宋_GB2312" w:hAnsi="仿宋_GB2312" w:eastAsia="仿宋_GB2312" w:cs="仿宋_GB2312"/>
                <w:sz w:val="28"/>
                <w:szCs w:val="28"/>
                <w:lang w:bidi="ar"/>
              </w:rPr>
              <w:t>漏电保护：有</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软件操作系统参数</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操作系统：</w:t>
            </w:r>
            <w:r>
              <w:rPr>
                <w:rStyle w:val="47"/>
                <w:rFonts w:hint="eastAsia" w:ascii="仿宋_GB2312" w:hAnsi="仿宋_GB2312" w:eastAsia="仿宋_GB2312" w:cs="仿宋_GB2312"/>
                <w:sz w:val="28"/>
                <w:szCs w:val="28"/>
                <w:lang w:bidi="ar"/>
              </w:rPr>
              <w:t xml:space="preserve">Google Android 5.1 </w:t>
            </w:r>
            <w:r>
              <w:rPr>
                <w:rStyle w:val="56"/>
                <w:rFonts w:hint="eastAsia" w:ascii="仿宋_GB2312" w:hAnsi="仿宋_GB2312" w:eastAsia="仿宋_GB2312" w:cs="仿宋_GB2312"/>
                <w:sz w:val="28"/>
                <w:szCs w:val="28"/>
                <w:lang w:bidi="ar"/>
              </w:rPr>
              <w:t>版本及以上</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工具：系统自带时钟同步软件</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系统要求：</w:t>
            </w:r>
            <w:r>
              <w:rPr>
                <w:rStyle w:val="47"/>
                <w:rFonts w:hint="eastAsia" w:ascii="仿宋_GB2312" w:hAnsi="仿宋_GB2312" w:eastAsia="仿宋_GB2312" w:cs="仿宋_GB2312"/>
                <w:sz w:val="28"/>
                <w:szCs w:val="28"/>
                <w:lang w:bidi="ar"/>
              </w:rPr>
              <w:t xml:space="preserve">APK </w:t>
            </w:r>
            <w:r>
              <w:rPr>
                <w:rStyle w:val="56"/>
                <w:rFonts w:hint="eastAsia" w:ascii="仿宋_GB2312" w:hAnsi="仿宋_GB2312" w:eastAsia="仿宋_GB2312" w:cs="仿宋_GB2312"/>
                <w:sz w:val="28"/>
                <w:szCs w:val="28"/>
                <w:lang w:bidi="ar"/>
              </w:rPr>
              <w:t>安装器可进行产品定制开发，支持系统界面</w:t>
            </w:r>
            <w:r>
              <w:rPr>
                <w:rStyle w:val="47"/>
                <w:rFonts w:hint="eastAsia" w:ascii="仿宋_GB2312" w:hAnsi="仿宋_GB2312" w:eastAsia="仿宋_GB2312" w:cs="仿宋_GB2312"/>
                <w:sz w:val="28"/>
                <w:szCs w:val="28"/>
                <w:lang w:bidi="ar"/>
              </w:rPr>
              <w:t xml:space="preserve"> UI </w:t>
            </w:r>
            <w:r>
              <w:rPr>
                <w:rStyle w:val="56"/>
                <w:rFonts w:hint="eastAsia" w:ascii="仿宋_GB2312" w:hAnsi="仿宋_GB2312" w:eastAsia="仿宋_GB2312" w:cs="仿宋_GB2312"/>
                <w:sz w:val="28"/>
                <w:szCs w:val="28"/>
                <w:lang w:bidi="ar"/>
              </w:rPr>
              <w:t>定制，开机动画，开机</w:t>
            </w:r>
            <w:r>
              <w:rPr>
                <w:rStyle w:val="47"/>
                <w:rFonts w:hint="eastAsia" w:ascii="仿宋_GB2312" w:hAnsi="仿宋_GB2312" w:eastAsia="仿宋_GB2312" w:cs="仿宋_GB2312"/>
                <w:sz w:val="28"/>
                <w:szCs w:val="28"/>
                <w:lang w:bidi="ar"/>
              </w:rPr>
              <w:t xml:space="preserve"> LOGO</w:t>
            </w:r>
            <w:r>
              <w:rPr>
                <w:rStyle w:val="56"/>
                <w:rFonts w:hint="eastAsia" w:ascii="仿宋_GB2312" w:hAnsi="仿宋_GB2312" w:eastAsia="仿宋_GB2312" w:cs="仿宋_GB2312"/>
                <w:sz w:val="28"/>
                <w:szCs w:val="28"/>
                <w:lang w:bidi="ar"/>
              </w:rPr>
              <w:t>，功能裁剪，启动项管理，接口可开关。</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安卓版本程序升级在电脑升级或者插上</w:t>
            </w:r>
            <w:r>
              <w:rPr>
                <w:rStyle w:val="47"/>
                <w:rFonts w:hint="eastAsia" w:ascii="仿宋_GB2312" w:hAnsi="仿宋_GB2312" w:eastAsia="仿宋_GB2312" w:cs="仿宋_GB2312"/>
                <w:sz w:val="28"/>
                <w:szCs w:val="28"/>
                <w:lang w:bidi="ar"/>
              </w:rPr>
              <w:t xml:space="preserve"> U </w:t>
            </w:r>
            <w:r>
              <w:rPr>
                <w:rStyle w:val="56"/>
                <w:rFonts w:hint="eastAsia" w:ascii="仿宋_GB2312" w:hAnsi="仿宋_GB2312" w:eastAsia="仿宋_GB2312" w:cs="仿宋_GB2312"/>
                <w:sz w:val="28"/>
                <w:szCs w:val="28"/>
                <w:lang w:bidi="ar"/>
              </w:rPr>
              <w:t>盘</w:t>
            </w:r>
            <w:r>
              <w:rPr>
                <w:rStyle w:val="47"/>
                <w:rFonts w:hint="eastAsia" w:ascii="仿宋_GB2312" w:hAnsi="仿宋_GB2312" w:eastAsia="仿宋_GB2312" w:cs="仿宋_GB2312"/>
                <w:sz w:val="28"/>
                <w:szCs w:val="28"/>
                <w:lang w:bidi="ar"/>
              </w:rPr>
              <w:t xml:space="preserve"> </w:t>
            </w:r>
            <w:r>
              <w:rPr>
                <w:rStyle w:val="56"/>
                <w:rFonts w:hint="eastAsia" w:ascii="仿宋_GB2312" w:hAnsi="仿宋_GB2312" w:eastAsia="仿宋_GB2312" w:cs="仿宋_GB2312"/>
                <w:sz w:val="28"/>
                <w:szCs w:val="28"/>
                <w:lang w:bidi="ar"/>
              </w:rPr>
              <w:t>升级；系统崩溃重启机器可恢复。</w:t>
            </w:r>
          </w:p>
          <w:p>
            <w:pPr>
              <w:pStyle w:val="2"/>
              <w:keepNext w:val="0"/>
              <w:keepLines w:val="0"/>
              <w:pageBreakBefore w:val="0"/>
              <w:widowControl/>
              <w:kinsoku/>
              <w:wordWrap/>
              <w:overflowPunct/>
              <w:topLinePunct w:val="0"/>
              <w:autoSpaceDE/>
              <w:autoSpaceDN/>
              <w:bidi w:val="0"/>
              <w:adjustRightInd/>
              <w:snapToGrid/>
              <w:spacing w:after="0" w:line="400" w:lineRule="exact"/>
              <w:rPr>
                <w:rFonts w:hint="eastAsia" w:ascii="仿宋_GB2312" w:hAnsi="仿宋_GB2312" w:eastAsia="仿宋_GB2312" w:cs="仿宋_GB2312"/>
                <w:sz w:val="28"/>
                <w:szCs w:val="28"/>
              </w:rPr>
            </w:pPr>
            <w:r>
              <w:rPr>
                <w:rStyle w:val="56"/>
                <w:rFonts w:hint="eastAsia" w:ascii="仿宋_GB2312" w:hAnsi="仿宋_GB2312" w:eastAsia="仿宋_GB2312" w:cs="仿宋_GB2312"/>
                <w:sz w:val="28"/>
                <w:szCs w:val="28"/>
                <w:lang w:bidi="ar"/>
              </w:rPr>
              <w:t>智能积分礼品柜需对接中心APP软件系统提供远程后台礼品管理服务。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7"/>
                <w:rFonts w:hint="eastAsia" w:ascii="仿宋_GB2312" w:hAnsi="仿宋_GB2312" w:eastAsia="仿宋_GB2312" w:cs="仿宋_GB2312"/>
                <w:sz w:val="28"/>
                <w:szCs w:val="28"/>
                <w:lang w:bidi="ar"/>
              </w:rPr>
              <w:t>23</w:t>
            </w:r>
            <w:r>
              <w:rPr>
                <w:rStyle w:val="56"/>
                <w:rFonts w:hint="eastAsia" w:ascii="仿宋_GB2312" w:hAnsi="仿宋_GB2312" w:eastAsia="仿宋_GB2312" w:cs="仿宋_GB2312"/>
                <w:sz w:val="28"/>
                <w:szCs w:val="28"/>
                <w:lang w:bidi="ar"/>
              </w:rPr>
              <w:t>台</w:t>
            </w:r>
          </w:p>
        </w:tc>
      </w:tr>
      <w:tr>
        <w:tblPrEx>
          <w:tblCellMar>
            <w:top w:w="0" w:type="dxa"/>
            <w:left w:w="108" w:type="dxa"/>
            <w:bottom w:w="0" w:type="dxa"/>
            <w:right w:w="108" w:type="dxa"/>
          </w:tblCellMar>
        </w:tblPrEx>
        <w:trPr>
          <w:trHeight w:val="129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56"/>
                <w:rFonts w:hint="eastAsia" w:ascii="仿宋_GB2312" w:hAnsi="仿宋_GB2312" w:eastAsia="仿宋_GB2312" w:cs="仿宋_GB2312"/>
                <w:sz w:val="28"/>
                <w:szCs w:val="28"/>
                <w:lang w:bidi="ar"/>
              </w:rPr>
              <w:t>电子血压仪</w:t>
            </w:r>
          </w:p>
        </w:tc>
        <w:tc>
          <w:tcPr>
            <w:tcW w:w="5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显示方式：数字式显示方式</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适用范围：适用于人体上臂部位的血压测量</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压力检测：智能自动检验</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测量范围：压力：0-299mmHg</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压力测量精度：≤±3mmhg (±0.4kpa)</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脉搏测量精度：≤±5% 专用适配器（AC 220V）</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56"/>
                <w:rFonts w:hint="eastAsia" w:ascii="仿宋_GB2312" w:hAnsi="仿宋_GB2312" w:eastAsia="仿宋_GB2312" w:cs="仿宋_GB2312"/>
                <w:sz w:val="28"/>
                <w:szCs w:val="28"/>
                <w:lang w:bidi="ar"/>
              </w:rPr>
              <w:t>23台</w:t>
            </w:r>
          </w:p>
        </w:tc>
      </w:tr>
      <w:tr>
        <w:tblPrEx>
          <w:tblCellMar>
            <w:top w:w="0" w:type="dxa"/>
            <w:left w:w="108" w:type="dxa"/>
            <w:bottom w:w="0" w:type="dxa"/>
            <w:right w:w="108" w:type="dxa"/>
          </w:tblCellMar>
        </w:tblPrEx>
        <w:trPr>
          <w:trHeight w:val="90"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设备服务桌</w:t>
            </w:r>
          </w:p>
        </w:tc>
        <w:tc>
          <w:tcPr>
            <w:tcW w:w="58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材质：实木板材</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外观尺寸：长</w:t>
            </w:r>
            <w:r>
              <w:rPr>
                <w:rStyle w:val="47"/>
                <w:rFonts w:hint="eastAsia" w:ascii="仿宋_GB2312" w:hAnsi="仿宋_GB2312" w:eastAsia="仿宋_GB2312" w:cs="仿宋_GB2312"/>
                <w:sz w:val="28"/>
                <w:szCs w:val="28"/>
                <w:lang w:bidi="ar"/>
              </w:rPr>
              <w:t xml:space="preserve"> 1200*</w:t>
            </w:r>
            <w:r>
              <w:rPr>
                <w:rStyle w:val="56"/>
                <w:rFonts w:hint="eastAsia" w:ascii="仿宋_GB2312" w:hAnsi="仿宋_GB2312" w:eastAsia="仿宋_GB2312" w:cs="仿宋_GB2312"/>
                <w:sz w:val="28"/>
                <w:szCs w:val="28"/>
                <w:lang w:bidi="ar"/>
              </w:rPr>
              <w:t>宽</w:t>
            </w:r>
            <w:r>
              <w:rPr>
                <w:rStyle w:val="47"/>
                <w:rFonts w:hint="eastAsia" w:ascii="仿宋_GB2312" w:hAnsi="仿宋_GB2312" w:eastAsia="仿宋_GB2312" w:cs="仿宋_GB2312"/>
                <w:sz w:val="28"/>
                <w:szCs w:val="28"/>
                <w:lang w:bidi="ar"/>
              </w:rPr>
              <w:t xml:space="preserve"> 500*</w:t>
            </w:r>
            <w:r>
              <w:rPr>
                <w:rStyle w:val="56"/>
                <w:rFonts w:hint="eastAsia" w:ascii="仿宋_GB2312" w:hAnsi="仿宋_GB2312" w:eastAsia="仿宋_GB2312" w:cs="仿宋_GB2312"/>
                <w:sz w:val="28"/>
                <w:szCs w:val="28"/>
                <w:lang w:bidi="ar"/>
              </w:rPr>
              <w:t>高</w:t>
            </w:r>
            <w:r>
              <w:rPr>
                <w:rStyle w:val="47"/>
                <w:rFonts w:hint="eastAsia" w:ascii="仿宋_GB2312" w:hAnsi="仿宋_GB2312" w:eastAsia="仿宋_GB2312" w:cs="仿宋_GB2312"/>
                <w:sz w:val="28"/>
                <w:szCs w:val="28"/>
                <w:lang w:bidi="ar"/>
              </w:rPr>
              <w:t xml:space="preserve"> 1050(mm)</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颜色：象牙白</w:t>
            </w:r>
            <w:r>
              <w:rPr>
                <w:rStyle w:val="47"/>
                <w:rFonts w:hint="eastAsia" w:ascii="仿宋_GB2312" w:hAnsi="仿宋_GB2312" w:eastAsia="仿宋_GB2312" w:cs="仿宋_GB2312"/>
                <w:sz w:val="28"/>
                <w:szCs w:val="28"/>
                <w:lang w:bidi="ar"/>
              </w:rPr>
              <w:t xml:space="preserve"> </w:t>
            </w:r>
            <w:r>
              <w:rPr>
                <w:rStyle w:val="56"/>
                <w:rFonts w:hint="eastAsia" w:ascii="仿宋_GB2312" w:hAnsi="仿宋_GB2312" w:eastAsia="仿宋_GB2312" w:cs="仿宋_GB2312"/>
                <w:sz w:val="28"/>
                <w:szCs w:val="28"/>
                <w:lang w:bidi="ar"/>
              </w:rPr>
              <w:t>格子：</w:t>
            </w:r>
            <w:r>
              <w:rPr>
                <w:rStyle w:val="47"/>
                <w:rFonts w:hint="eastAsia" w:ascii="仿宋_GB2312" w:hAnsi="仿宋_GB2312" w:eastAsia="仿宋_GB2312" w:cs="仿宋_GB2312"/>
                <w:sz w:val="28"/>
                <w:szCs w:val="28"/>
                <w:lang w:bidi="ar"/>
              </w:rPr>
              <w:t>4</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组装：分体式可拆装</w:t>
            </w:r>
            <w:r>
              <w:rPr>
                <w:rStyle w:val="47"/>
                <w:rFonts w:hint="eastAsia" w:ascii="仿宋_GB2312" w:hAnsi="仿宋_GB2312" w:eastAsia="仿宋_GB2312" w:cs="仿宋_GB2312"/>
                <w:sz w:val="28"/>
                <w:szCs w:val="28"/>
                <w:lang w:bidi="ar"/>
              </w:rPr>
              <w:t xml:space="preserve"> </w:t>
            </w:r>
            <w:r>
              <w:rPr>
                <w:rStyle w:val="56"/>
                <w:rFonts w:hint="eastAsia" w:ascii="仿宋_GB2312" w:hAnsi="仿宋_GB2312" w:eastAsia="仿宋_GB2312" w:cs="仿宋_GB2312"/>
                <w:sz w:val="28"/>
                <w:szCs w:val="28"/>
                <w:lang w:bidi="ar"/>
              </w:rPr>
              <w:t>结构：支架</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适用环境：室内</w:t>
            </w:r>
            <w:r>
              <w:rPr>
                <w:rStyle w:val="47"/>
                <w:rFonts w:hint="eastAsia" w:ascii="仿宋_GB2312" w:hAnsi="仿宋_GB2312" w:eastAsia="仿宋_GB2312" w:cs="仿宋_GB2312"/>
                <w:sz w:val="28"/>
                <w:szCs w:val="28"/>
                <w:lang w:bidi="ar"/>
              </w:rPr>
              <w:t xml:space="preserve"> </w:t>
            </w:r>
            <w:r>
              <w:rPr>
                <w:rStyle w:val="56"/>
                <w:rFonts w:hint="eastAsia" w:ascii="仿宋_GB2312" w:hAnsi="仿宋_GB2312" w:eastAsia="仿宋_GB2312" w:cs="仿宋_GB2312"/>
                <w:sz w:val="28"/>
                <w:szCs w:val="28"/>
                <w:lang w:bidi="ar"/>
              </w:rPr>
              <w:t>桌架：二层</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上层格子：长</w:t>
            </w:r>
            <w:r>
              <w:rPr>
                <w:rStyle w:val="47"/>
                <w:rFonts w:hint="eastAsia" w:ascii="仿宋_GB2312" w:hAnsi="仿宋_GB2312" w:eastAsia="仿宋_GB2312" w:cs="仿宋_GB2312"/>
                <w:sz w:val="28"/>
                <w:szCs w:val="28"/>
                <w:lang w:bidi="ar"/>
              </w:rPr>
              <w:t xml:space="preserve"> 27cm*</w:t>
            </w:r>
            <w:r>
              <w:rPr>
                <w:rStyle w:val="56"/>
                <w:rFonts w:hint="eastAsia" w:ascii="仿宋_GB2312" w:hAnsi="仿宋_GB2312" w:eastAsia="仿宋_GB2312" w:cs="仿宋_GB2312"/>
                <w:sz w:val="28"/>
                <w:szCs w:val="28"/>
                <w:lang w:bidi="ar"/>
              </w:rPr>
              <w:t>宽</w:t>
            </w:r>
            <w:r>
              <w:rPr>
                <w:rStyle w:val="47"/>
                <w:rFonts w:hint="eastAsia" w:ascii="仿宋_GB2312" w:hAnsi="仿宋_GB2312" w:eastAsia="仿宋_GB2312" w:cs="仿宋_GB2312"/>
                <w:sz w:val="28"/>
                <w:szCs w:val="28"/>
                <w:lang w:bidi="ar"/>
              </w:rPr>
              <w:t xml:space="preserve"> 20cm*</w:t>
            </w:r>
            <w:r>
              <w:rPr>
                <w:rStyle w:val="56"/>
                <w:rFonts w:hint="eastAsia" w:ascii="仿宋_GB2312" w:hAnsi="仿宋_GB2312" w:eastAsia="仿宋_GB2312" w:cs="仿宋_GB2312"/>
                <w:sz w:val="28"/>
                <w:szCs w:val="28"/>
                <w:lang w:bidi="ar"/>
              </w:rPr>
              <w:t>高</w:t>
            </w:r>
            <w:r>
              <w:rPr>
                <w:rStyle w:val="47"/>
                <w:rFonts w:hint="eastAsia" w:ascii="仿宋_GB2312" w:hAnsi="仿宋_GB2312" w:eastAsia="仿宋_GB2312" w:cs="仿宋_GB2312"/>
                <w:sz w:val="28"/>
                <w:szCs w:val="28"/>
                <w:lang w:bidi="ar"/>
              </w:rPr>
              <w:t xml:space="preserve"> 15cm </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下层格子：长</w:t>
            </w:r>
            <w:r>
              <w:rPr>
                <w:rStyle w:val="47"/>
                <w:rFonts w:hint="eastAsia" w:ascii="仿宋_GB2312" w:hAnsi="仿宋_GB2312" w:eastAsia="仿宋_GB2312" w:cs="仿宋_GB2312"/>
                <w:sz w:val="28"/>
                <w:szCs w:val="28"/>
                <w:lang w:bidi="ar"/>
              </w:rPr>
              <w:t xml:space="preserve"> 27cm*</w:t>
            </w:r>
            <w:r>
              <w:rPr>
                <w:rStyle w:val="56"/>
                <w:rFonts w:hint="eastAsia" w:ascii="仿宋_GB2312" w:hAnsi="仿宋_GB2312" w:eastAsia="仿宋_GB2312" w:cs="仿宋_GB2312"/>
                <w:sz w:val="28"/>
                <w:szCs w:val="28"/>
                <w:lang w:bidi="ar"/>
              </w:rPr>
              <w:t>宽</w:t>
            </w:r>
            <w:r>
              <w:rPr>
                <w:rStyle w:val="47"/>
                <w:rFonts w:hint="eastAsia" w:ascii="仿宋_GB2312" w:hAnsi="仿宋_GB2312" w:eastAsia="仿宋_GB2312" w:cs="仿宋_GB2312"/>
                <w:sz w:val="28"/>
                <w:szCs w:val="28"/>
                <w:lang w:bidi="ar"/>
              </w:rPr>
              <w:t xml:space="preserve"> 50cm*</w:t>
            </w:r>
            <w:r>
              <w:rPr>
                <w:rStyle w:val="56"/>
                <w:rFonts w:hint="eastAsia" w:ascii="仿宋_GB2312" w:hAnsi="仿宋_GB2312" w:eastAsia="仿宋_GB2312" w:cs="仿宋_GB2312"/>
                <w:sz w:val="28"/>
                <w:szCs w:val="28"/>
                <w:lang w:bidi="ar"/>
              </w:rPr>
              <w:t>高</w:t>
            </w:r>
            <w:r>
              <w:rPr>
                <w:rStyle w:val="47"/>
                <w:rFonts w:hint="eastAsia" w:ascii="仿宋_GB2312" w:hAnsi="仿宋_GB2312" w:eastAsia="仿宋_GB2312" w:cs="仿宋_GB2312"/>
                <w:sz w:val="28"/>
                <w:szCs w:val="28"/>
                <w:lang w:bidi="ar"/>
              </w:rPr>
              <w:t xml:space="preserve"> 15cm </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材质：</w:t>
            </w:r>
            <w:r>
              <w:rPr>
                <w:rStyle w:val="47"/>
                <w:rFonts w:hint="eastAsia" w:ascii="仿宋_GB2312" w:hAnsi="仿宋_GB2312" w:eastAsia="仿宋_GB2312" w:cs="仿宋_GB2312"/>
                <w:sz w:val="28"/>
                <w:szCs w:val="28"/>
                <w:lang w:bidi="ar"/>
              </w:rPr>
              <w:t>1.</w:t>
            </w:r>
            <w:r>
              <w:rPr>
                <w:rStyle w:val="56"/>
                <w:rFonts w:hint="eastAsia" w:ascii="仿宋_GB2312" w:hAnsi="仿宋_GB2312" w:eastAsia="仿宋_GB2312" w:cs="仿宋_GB2312"/>
                <w:sz w:val="28"/>
                <w:szCs w:val="28"/>
                <w:lang w:bidi="ar"/>
              </w:rPr>
              <w:t>整个产品为实木板。</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47"/>
                <w:rFonts w:hint="eastAsia" w:ascii="仿宋_GB2312" w:hAnsi="仿宋_GB2312" w:eastAsia="仿宋_GB2312" w:cs="仿宋_GB2312"/>
                <w:sz w:val="28"/>
                <w:szCs w:val="28"/>
                <w:lang w:bidi="ar"/>
              </w:rPr>
              <w:t>2.</w:t>
            </w:r>
            <w:r>
              <w:rPr>
                <w:rStyle w:val="56"/>
                <w:rFonts w:hint="eastAsia" w:ascii="仿宋_GB2312" w:hAnsi="仿宋_GB2312" w:eastAsia="仿宋_GB2312" w:cs="仿宋_GB2312"/>
                <w:sz w:val="28"/>
                <w:szCs w:val="28"/>
                <w:lang w:bidi="ar"/>
              </w:rPr>
              <w:t>木质坚韧，质地光洁。</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47"/>
                <w:rFonts w:hint="eastAsia" w:ascii="仿宋_GB2312" w:hAnsi="仿宋_GB2312" w:eastAsia="仿宋_GB2312" w:cs="仿宋_GB2312"/>
                <w:sz w:val="28"/>
                <w:szCs w:val="28"/>
                <w:lang w:val="en-US" w:eastAsia="zh-CN" w:bidi="ar"/>
              </w:rPr>
              <w:t>3</w:t>
            </w:r>
            <w:r>
              <w:rPr>
                <w:rStyle w:val="47"/>
                <w:rFonts w:hint="eastAsia" w:ascii="仿宋_GB2312" w:hAnsi="仿宋_GB2312" w:eastAsia="仿宋_GB2312" w:cs="仿宋_GB2312"/>
                <w:sz w:val="28"/>
                <w:szCs w:val="28"/>
                <w:lang w:bidi="ar"/>
              </w:rPr>
              <w:t>.</w:t>
            </w:r>
            <w:r>
              <w:rPr>
                <w:rStyle w:val="56"/>
                <w:rFonts w:hint="eastAsia" w:ascii="仿宋_GB2312" w:hAnsi="仿宋_GB2312" w:eastAsia="仿宋_GB2312" w:cs="仿宋_GB2312"/>
                <w:sz w:val="28"/>
                <w:szCs w:val="28"/>
                <w:lang w:bidi="ar"/>
              </w:rPr>
              <w:t>辅材耐腐蚀、耐磨、耐高温，不变形，不易发霉。</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val="en-US" w:eastAsia="zh-CN" w:bidi="ar"/>
              </w:rPr>
              <w:t>4.</w:t>
            </w:r>
            <w:r>
              <w:rPr>
                <w:rStyle w:val="56"/>
                <w:rFonts w:hint="eastAsia" w:ascii="仿宋_GB2312" w:hAnsi="仿宋_GB2312" w:eastAsia="仿宋_GB2312" w:cs="仿宋_GB2312"/>
                <w:sz w:val="28"/>
                <w:szCs w:val="28"/>
                <w:lang w:bidi="ar"/>
              </w:rPr>
              <w:t>油漆：采用净味油漆，开放式喷涂，天然环保。</w:t>
            </w:r>
            <w:r>
              <w:rPr>
                <w:rStyle w:val="47"/>
                <w:rFonts w:hint="eastAsia" w:ascii="仿宋_GB2312" w:hAnsi="仿宋_GB2312" w:eastAsia="仿宋_GB2312" w:cs="仿宋_GB2312"/>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充电系统</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五孔插座：</w:t>
            </w:r>
            <w:r>
              <w:rPr>
                <w:rStyle w:val="47"/>
                <w:rFonts w:hint="eastAsia" w:ascii="仿宋_GB2312" w:hAnsi="仿宋_GB2312" w:eastAsia="仿宋_GB2312" w:cs="仿宋_GB2312"/>
                <w:sz w:val="28"/>
                <w:szCs w:val="28"/>
                <w:lang w:bidi="ar"/>
              </w:rPr>
              <w:t xml:space="preserve">1 </w:t>
            </w:r>
            <w:r>
              <w:rPr>
                <w:rStyle w:val="56"/>
                <w:rFonts w:hint="eastAsia" w:ascii="仿宋_GB2312" w:hAnsi="仿宋_GB2312" w:eastAsia="仿宋_GB2312" w:cs="仿宋_GB2312"/>
                <w:sz w:val="28"/>
                <w:szCs w:val="28"/>
                <w:lang w:bidi="ar"/>
              </w:rPr>
              <w:t>组</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数据线数量：</w:t>
            </w:r>
            <w:r>
              <w:rPr>
                <w:rStyle w:val="47"/>
                <w:rFonts w:hint="eastAsia" w:ascii="仿宋_GB2312" w:hAnsi="仿宋_GB2312" w:eastAsia="仿宋_GB2312" w:cs="仿宋_GB2312"/>
                <w:sz w:val="28"/>
                <w:szCs w:val="28"/>
                <w:lang w:bidi="ar"/>
              </w:rPr>
              <w:t xml:space="preserve">2 </w:t>
            </w:r>
            <w:r>
              <w:rPr>
                <w:rStyle w:val="56"/>
                <w:rFonts w:hint="eastAsia" w:ascii="仿宋_GB2312" w:hAnsi="仿宋_GB2312" w:eastAsia="仿宋_GB2312" w:cs="仿宋_GB2312"/>
                <w:sz w:val="28"/>
                <w:szCs w:val="28"/>
                <w:lang w:bidi="ar"/>
              </w:rPr>
              <w:t>条</w:t>
            </w:r>
            <w:r>
              <w:rPr>
                <w:rStyle w:val="47"/>
                <w:rFonts w:hint="eastAsia" w:ascii="仿宋_GB2312" w:hAnsi="仿宋_GB2312" w:eastAsia="仿宋_GB2312" w:cs="仿宋_GB2312"/>
                <w:sz w:val="28"/>
                <w:szCs w:val="28"/>
                <w:lang w:bidi="ar"/>
              </w:rPr>
              <w:t xml:space="preserve"> 3 </w:t>
            </w:r>
            <w:r>
              <w:rPr>
                <w:rStyle w:val="56"/>
                <w:rFonts w:hint="eastAsia" w:ascii="仿宋_GB2312" w:hAnsi="仿宋_GB2312" w:eastAsia="仿宋_GB2312" w:cs="仿宋_GB2312"/>
                <w:sz w:val="28"/>
                <w:szCs w:val="28"/>
                <w:lang w:bidi="ar"/>
              </w:rPr>
              <w:t>口充电线</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sz w:val="28"/>
                <w:szCs w:val="28"/>
              </w:rPr>
            </w:pPr>
            <w:r>
              <w:rPr>
                <w:rStyle w:val="56"/>
                <w:rFonts w:hint="eastAsia" w:ascii="仿宋_GB2312" w:hAnsi="仿宋_GB2312" w:eastAsia="仿宋_GB2312" w:cs="仿宋_GB2312"/>
                <w:sz w:val="28"/>
                <w:szCs w:val="28"/>
                <w:lang w:bidi="ar"/>
              </w:rPr>
              <w:t>数据线类型：苹果</w:t>
            </w:r>
            <w:r>
              <w:rPr>
                <w:rStyle w:val="47"/>
                <w:rFonts w:hint="eastAsia" w:ascii="仿宋_GB2312" w:hAnsi="仿宋_GB2312" w:eastAsia="仿宋_GB2312" w:cs="仿宋_GB2312"/>
                <w:sz w:val="28"/>
                <w:szCs w:val="28"/>
                <w:lang w:bidi="ar"/>
              </w:rPr>
              <w:t>/</w:t>
            </w:r>
            <w:r>
              <w:rPr>
                <w:rStyle w:val="56"/>
                <w:rFonts w:hint="eastAsia" w:ascii="仿宋_GB2312" w:hAnsi="仿宋_GB2312" w:eastAsia="仿宋_GB2312" w:cs="仿宋_GB2312"/>
                <w:sz w:val="28"/>
                <w:szCs w:val="28"/>
                <w:lang w:bidi="ar"/>
              </w:rPr>
              <w:t>安卓</w:t>
            </w:r>
            <w:r>
              <w:rPr>
                <w:rStyle w:val="47"/>
                <w:rFonts w:hint="eastAsia" w:ascii="仿宋_GB2312" w:hAnsi="仿宋_GB2312" w:eastAsia="仿宋_GB2312" w:cs="仿宋_GB2312"/>
                <w:sz w:val="28"/>
                <w:szCs w:val="28"/>
                <w:lang w:bidi="ar"/>
              </w:rPr>
              <w:t>/type-c</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57"/>
                <w:rFonts w:hint="eastAsia" w:ascii="仿宋_GB2312" w:hAnsi="仿宋_GB2312" w:eastAsia="仿宋_GB2312" w:cs="仿宋_GB2312"/>
                <w:sz w:val="28"/>
                <w:szCs w:val="28"/>
                <w:lang w:bidi="ar"/>
              </w:rPr>
              <w:t xml:space="preserve"> 张</w:t>
            </w:r>
          </w:p>
        </w:tc>
      </w:tr>
      <w:tr>
        <w:tblPrEx>
          <w:tblCellMar>
            <w:top w:w="0" w:type="dxa"/>
            <w:left w:w="108" w:type="dxa"/>
            <w:bottom w:w="0" w:type="dxa"/>
            <w:right w:w="108" w:type="dxa"/>
          </w:tblCellMar>
        </w:tblPrEx>
        <w:trPr>
          <w:trHeight w:val="183"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身高</w:t>
            </w:r>
            <w:r>
              <w:rPr>
                <w:rStyle w:val="57"/>
                <w:rFonts w:hint="eastAsia" w:ascii="仿宋_GB2312" w:hAnsi="仿宋_GB2312" w:eastAsia="仿宋_GB2312" w:cs="仿宋_GB2312"/>
                <w:sz w:val="28"/>
                <w:szCs w:val="28"/>
                <w:lang w:bidi="ar"/>
              </w:rPr>
              <w:t>体脂秤</w:t>
            </w:r>
          </w:p>
        </w:tc>
        <w:tc>
          <w:tcPr>
            <w:tcW w:w="58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身高测量方式：超声波自助感应测量</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体重</w:t>
            </w:r>
            <w:r>
              <w:rPr>
                <w:rStyle w:val="47"/>
                <w:rFonts w:hint="eastAsia" w:ascii="仿宋_GB2312" w:hAnsi="仿宋_GB2312" w:eastAsia="仿宋_GB2312" w:cs="仿宋_GB2312"/>
                <w:sz w:val="28"/>
                <w:szCs w:val="28"/>
                <w:lang w:bidi="ar"/>
              </w:rPr>
              <w:t>/</w:t>
            </w:r>
            <w:r>
              <w:rPr>
                <w:rStyle w:val="56"/>
                <w:rFonts w:hint="eastAsia" w:ascii="仿宋_GB2312" w:hAnsi="仿宋_GB2312" w:eastAsia="仿宋_GB2312" w:cs="仿宋_GB2312"/>
                <w:sz w:val="28"/>
                <w:szCs w:val="28"/>
                <w:lang w:bidi="ar"/>
              </w:rPr>
              <w:t>脂肪测量方式：自助上秤</w:t>
            </w:r>
            <w:r>
              <w:rPr>
                <w:rStyle w:val="47"/>
                <w:rFonts w:hint="eastAsia" w:ascii="仿宋_GB2312" w:hAnsi="仿宋_GB2312" w:eastAsia="仿宋_GB2312" w:cs="仿宋_GB2312"/>
                <w:sz w:val="28"/>
                <w:szCs w:val="28"/>
                <w:lang w:bidi="ar"/>
              </w:rPr>
              <w:t>/</w:t>
            </w:r>
            <w:r>
              <w:rPr>
                <w:rStyle w:val="56"/>
                <w:rFonts w:hint="eastAsia" w:ascii="仿宋_GB2312" w:hAnsi="仿宋_GB2312" w:eastAsia="仿宋_GB2312" w:cs="仿宋_GB2312"/>
                <w:sz w:val="28"/>
                <w:szCs w:val="28"/>
                <w:lang w:bidi="ar"/>
              </w:rPr>
              <w:t>数据设定测量</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测量范围：体重：≥</w:t>
            </w:r>
            <w:r>
              <w:rPr>
                <w:rStyle w:val="47"/>
                <w:rFonts w:hint="eastAsia" w:ascii="仿宋_GB2312" w:hAnsi="仿宋_GB2312" w:eastAsia="仿宋_GB2312" w:cs="仿宋_GB2312"/>
                <w:sz w:val="28"/>
                <w:szCs w:val="28"/>
                <w:lang w:bidi="ar"/>
              </w:rPr>
              <w:t xml:space="preserve">3-200kg </w:t>
            </w:r>
            <w:r>
              <w:rPr>
                <w:rStyle w:val="56"/>
                <w:rFonts w:hint="eastAsia" w:ascii="仿宋_GB2312" w:hAnsi="仿宋_GB2312" w:eastAsia="仿宋_GB2312" w:cs="仿宋_GB2312"/>
                <w:sz w:val="28"/>
                <w:szCs w:val="28"/>
                <w:lang w:bidi="ar"/>
              </w:rPr>
              <w:t>身高：≥</w:t>
            </w:r>
            <w:r>
              <w:rPr>
                <w:rStyle w:val="47"/>
                <w:rFonts w:hint="eastAsia" w:ascii="仿宋_GB2312" w:hAnsi="仿宋_GB2312" w:eastAsia="仿宋_GB2312" w:cs="仿宋_GB2312"/>
                <w:sz w:val="28"/>
                <w:szCs w:val="28"/>
                <w:lang w:bidi="ar"/>
              </w:rPr>
              <w:t>80-195cm</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精度：体重分度值≤</w:t>
            </w:r>
            <w:r>
              <w:rPr>
                <w:rStyle w:val="47"/>
                <w:rFonts w:hint="eastAsia" w:ascii="仿宋_GB2312" w:hAnsi="仿宋_GB2312" w:eastAsia="仿宋_GB2312" w:cs="仿宋_GB2312"/>
                <w:sz w:val="28"/>
                <w:szCs w:val="28"/>
                <w:lang w:bidi="ar"/>
              </w:rPr>
              <w:t>50g</w:t>
            </w:r>
            <w:r>
              <w:rPr>
                <w:rStyle w:val="56"/>
                <w:rFonts w:hint="eastAsia" w:ascii="仿宋_GB2312" w:hAnsi="仿宋_GB2312" w:eastAsia="仿宋_GB2312" w:cs="仿宋_GB2312"/>
                <w:sz w:val="28"/>
                <w:szCs w:val="28"/>
                <w:lang w:bidi="ar"/>
              </w:rPr>
              <w:t>、误差≤±</w:t>
            </w:r>
            <w:r>
              <w:rPr>
                <w:rStyle w:val="47"/>
                <w:rFonts w:hint="eastAsia" w:ascii="仿宋_GB2312" w:hAnsi="仿宋_GB2312" w:eastAsia="仿宋_GB2312" w:cs="仿宋_GB2312"/>
                <w:sz w:val="28"/>
                <w:szCs w:val="28"/>
                <w:lang w:bidi="ar"/>
              </w:rPr>
              <w:t xml:space="preserve">300g </w:t>
            </w:r>
            <w:r>
              <w:rPr>
                <w:rStyle w:val="56"/>
                <w:rFonts w:hint="eastAsia" w:ascii="仿宋_GB2312" w:hAnsi="仿宋_GB2312" w:eastAsia="仿宋_GB2312" w:cs="仿宋_GB2312"/>
                <w:sz w:val="28"/>
                <w:szCs w:val="28"/>
                <w:lang w:bidi="ar"/>
              </w:rPr>
              <w:t>身高分度值≤</w:t>
            </w:r>
            <w:r>
              <w:rPr>
                <w:rStyle w:val="47"/>
                <w:rFonts w:hint="eastAsia" w:ascii="仿宋_GB2312" w:hAnsi="仿宋_GB2312" w:eastAsia="仿宋_GB2312" w:cs="仿宋_GB2312"/>
                <w:sz w:val="28"/>
                <w:szCs w:val="28"/>
                <w:lang w:bidi="ar"/>
              </w:rPr>
              <w:t>0.5cm</w:t>
            </w:r>
            <w:r>
              <w:rPr>
                <w:rStyle w:val="56"/>
                <w:rFonts w:hint="eastAsia" w:ascii="仿宋_GB2312" w:hAnsi="仿宋_GB2312" w:eastAsia="仿宋_GB2312" w:cs="仿宋_GB2312"/>
                <w:sz w:val="28"/>
                <w:szCs w:val="28"/>
                <w:lang w:bidi="ar"/>
              </w:rPr>
              <w:t>、误差≤±</w:t>
            </w:r>
            <w:r>
              <w:rPr>
                <w:rStyle w:val="47"/>
                <w:rFonts w:hint="eastAsia" w:ascii="仿宋_GB2312" w:hAnsi="仿宋_GB2312" w:eastAsia="仿宋_GB2312" w:cs="仿宋_GB2312"/>
                <w:sz w:val="28"/>
                <w:szCs w:val="28"/>
                <w:lang w:bidi="ar"/>
              </w:rPr>
              <w:t>0.5cm</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显示屏：≥</w:t>
            </w:r>
            <w:r>
              <w:rPr>
                <w:rStyle w:val="47"/>
                <w:rFonts w:hint="eastAsia" w:ascii="仿宋_GB2312" w:hAnsi="仿宋_GB2312" w:eastAsia="仿宋_GB2312" w:cs="仿宋_GB2312"/>
                <w:sz w:val="28"/>
                <w:szCs w:val="28"/>
                <w:lang w:bidi="ar"/>
              </w:rPr>
              <w:t xml:space="preserve"> 105</w:t>
            </w:r>
            <w:r>
              <w:rPr>
                <w:rStyle w:val="56"/>
                <w:rFonts w:hint="eastAsia" w:ascii="仿宋_GB2312" w:hAnsi="仿宋_GB2312" w:eastAsia="仿宋_GB2312" w:cs="仿宋_GB2312"/>
                <w:sz w:val="28"/>
                <w:szCs w:val="28"/>
                <w:lang w:bidi="ar"/>
              </w:rPr>
              <w:t>×</w:t>
            </w:r>
            <w:r>
              <w:rPr>
                <w:rStyle w:val="47"/>
                <w:rFonts w:hint="eastAsia" w:ascii="仿宋_GB2312" w:hAnsi="仿宋_GB2312" w:eastAsia="仿宋_GB2312" w:cs="仿宋_GB2312"/>
                <w:sz w:val="28"/>
                <w:szCs w:val="28"/>
                <w:lang w:bidi="ar"/>
              </w:rPr>
              <w:t xml:space="preserve">69.5mm </w:t>
            </w:r>
            <w:r>
              <w:rPr>
                <w:rStyle w:val="56"/>
                <w:rFonts w:hint="eastAsia" w:ascii="仿宋_GB2312" w:hAnsi="仿宋_GB2312" w:eastAsia="仿宋_GB2312" w:cs="仿宋_GB2312"/>
                <w:sz w:val="28"/>
                <w:szCs w:val="28"/>
                <w:lang w:bidi="ar"/>
              </w:rPr>
              <w:t>超大背光显示语</w:t>
            </w:r>
            <w:r>
              <w:rPr>
                <w:rStyle w:val="47"/>
                <w:rFonts w:hint="eastAsia" w:ascii="仿宋_GB2312" w:hAnsi="仿宋_GB2312" w:eastAsia="仿宋_GB2312" w:cs="仿宋_GB2312"/>
                <w:sz w:val="28"/>
                <w:szCs w:val="28"/>
                <w:lang w:bidi="ar"/>
              </w:rPr>
              <w:t xml:space="preserve"> </w:t>
            </w:r>
            <w:r>
              <w:rPr>
                <w:rStyle w:val="56"/>
                <w:rFonts w:hint="eastAsia" w:ascii="仿宋_GB2312" w:hAnsi="仿宋_GB2312" w:eastAsia="仿宋_GB2312" w:cs="仿宋_GB2312"/>
                <w:sz w:val="28"/>
                <w:szCs w:val="28"/>
                <w:lang w:bidi="ar"/>
              </w:rPr>
              <w:t>音播读显示、体重值、身高值</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sz w:val="28"/>
                <w:szCs w:val="28"/>
              </w:rPr>
            </w:pPr>
            <w:r>
              <w:rPr>
                <w:rStyle w:val="56"/>
                <w:rFonts w:hint="eastAsia" w:ascii="仿宋_GB2312" w:hAnsi="仿宋_GB2312" w:eastAsia="仿宋_GB2312" w:cs="仿宋_GB2312"/>
                <w:sz w:val="28"/>
                <w:szCs w:val="28"/>
                <w:lang w:bidi="ar"/>
              </w:rPr>
              <w:t>肥胖度数值：身体质量指数（</w:t>
            </w:r>
            <w:r>
              <w:rPr>
                <w:rStyle w:val="47"/>
                <w:rFonts w:hint="eastAsia" w:ascii="仿宋_GB2312" w:hAnsi="仿宋_GB2312" w:eastAsia="仿宋_GB2312" w:cs="仿宋_GB2312"/>
                <w:sz w:val="28"/>
                <w:szCs w:val="28"/>
                <w:lang w:bidi="ar"/>
              </w:rPr>
              <w:t>BMI</w:t>
            </w:r>
            <w:r>
              <w:rPr>
                <w:rStyle w:val="56"/>
                <w:rFonts w:hint="eastAsia" w:ascii="仿宋_GB2312" w:hAnsi="仿宋_GB2312" w:eastAsia="仿宋_GB2312" w:cs="仿宋_GB2312"/>
                <w:sz w:val="28"/>
                <w:szCs w:val="28"/>
                <w:lang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57"/>
                <w:rFonts w:hint="eastAsia" w:ascii="仿宋_GB2312" w:hAnsi="仿宋_GB2312" w:eastAsia="仿宋_GB2312" w:cs="仿宋_GB2312"/>
                <w:sz w:val="28"/>
                <w:szCs w:val="28"/>
                <w:lang w:bidi="ar"/>
              </w:rPr>
              <w:t xml:space="preserve"> 个</w:t>
            </w:r>
          </w:p>
        </w:tc>
      </w:tr>
      <w:tr>
        <w:tblPrEx>
          <w:tblCellMar>
            <w:top w:w="0" w:type="dxa"/>
            <w:left w:w="108" w:type="dxa"/>
            <w:bottom w:w="0" w:type="dxa"/>
            <w:right w:w="108" w:type="dxa"/>
          </w:tblCellMar>
        </w:tblPrEx>
        <w:trPr>
          <w:trHeight w:val="439"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红外体温计</w:t>
            </w:r>
          </w:p>
        </w:tc>
        <w:tc>
          <w:tcPr>
            <w:tcW w:w="58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测量距离：≤</w:t>
            </w:r>
            <w:r>
              <w:rPr>
                <w:rStyle w:val="47"/>
                <w:rFonts w:hint="eastAsia" w:ascii="仿宋_GB2312" w:hAnsi="仿宋_GB2312" w:eastAsia="仿宋_GB2312" w:cs="仿宋_GB2312"/>
                <w:sz w:val="28"/>
                <w:szCs w:val="28"/>
                <w:lang w:bidi="ar"/>
              </w:rPr>
              <w:t>5-15cm</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精度：≤</w:t>
            </w:r>
            <w:r>
              <w:rPr>
                <w:rStyle w:val="47"/>
                <w:rFonts w:hint="eastAsia" w:ascii="仿宋_GB2312" w:hAnsi="仿宋_GB2312" w:eastAsia="仿宋_GB2312" w:cs="仿宋_GB2312"/>
                <w:sz w:val="28"/>
                <w:szCs w:val="28"/>
                <w:lang w:bidi="ar"/>
              </w:rPr>
              <w:t>±0.2</w:t>
            </w:r>
            <w:r>
              <w:rPr>
                <w:rStyle w:val="56"/>
                <w:rFonts w:hint="eastAsia" w:ascii="仿宋_GB2312" w:hAnsi="仿宋_GB2312" w:eastAsia="仿宋_GB2312" w:cs="仿宋_GB2312"/>
                <w:sz w:val="28"/>
                <w:szCs w:val="28"/>
                <w:lang w:bidi="ar"/>
              </w:rPr>
              <w:t>（国标）</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人体温度测量范围：</w:t>
            </w:r>
            <w:r>
              <w:rPr>
                <w:rStyle w:val="47"/>
                <w:rFonts w:hint="eastAsia" w:ascii="仿宋_GB2312" w:hAnsi="仿宋_GB2312" w:eastAsia="仿宋_GB2312" w:cs="仿宋_GB2312"/>
                <w:sz w:val="28"/>
                <w:szCs w:val="28"/>
                <w:lang w:bidi="ar"/>
              </w:rPr>
              <w:t>32-42</w:t>
            </w:r>
            <w:r>
              <w:rPr>
                <w:rStyle w:val="56"/>
                <w:rFonts w:hint="eastAsia" w:ascii="仿宋_GB2312" w:hAnsi="仿宋_GB2312" w:eastAsia="仿宋_GB2312" w:cs="仿宋_GB2312"/>
                <w:sz w:val="28"/>
                <w:szCs w:val="28"/>
                <w:lang w:bidi="ar"/>
              </w:rPr>
              <w:t>℃</w:t>
            </w:r>
            <w:r>
              <w:rPr>
                <w:rStyle w:val="47"/>
                <w:rFonts w:hint="eastAsia" w:ascii="仿宋_GB2312" w:hAnsi="仿宋_GB2312" w:eastAsia="仿宋_GB2312" w:cs="仿宋_GB2312"/>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工作温度范围：</w:t>
            </w:r>
            <w:r>
              <w:rPr>
                <w:rStyle w:val="47"/>
                <w:rFonts w:hint="eastAsia" w:ascii="仿宋_GB2312" w:hAnsi="仿宋_GB2312" w:eastAsia="仿宋_GB2312" w:cs="仿宋_GB2312"/>
                <w:sz w:val="28"/>
                <w:szCs w:val="28"/>
                <w:lang w:bidi="ar"/>
              </w:rPr>
              <w:t>-20~50</w:t>
            </w:r>
            <w:r>
              <w:rPr>
                <w:rStyle w:val="56"/>
                <w:rFonts w:hint="eastAsia" w:ascii="仿宋_GB2312" w:hAnsi="仿宋_GB2312" w:eastAsia="仿宋_GB2312" w:cs="仿宋_GB2312"/>
                <w:sz w:val="28"/>
                <w:szCs w:val="28"/>
                <w:lang w:bidi="ar"/>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显示屏：数码显示</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支持室外环境测温；支持</w:t>
            </w:r>
            <w:r>
              <w:rPr>
                <w:rStyle w:val="47"/>
                <w:rFonts w:hint="eastAsia" w:ascii="仿宋_GB2312" w:hAnsi="仿宋_GB2312" w:eastAsia="仿宋_GB2312" w:cs="仿宋_GB2312"/>
                <w:sz w:val="28"/>
                <w:szCs w:val="28"/>
                <w:lang w:bidi="ar"/>
              </w:rPr>
              <w:t xml:space="preserve"> 12 </w:t>
            </w:r>
            <w:r>
              <w:rPr>
                <w:rStyle w:val="56"/>
                <w:rFonts w:hint="eastAsia" w:ascii="仿宋_GB2312" w:hAnsi="仿宋_GB2312" w:eastAsia="仿宋_GB2312" w:cs="仿宋_GB2312"/>
                <w:sz w:val="28"/>
                <w:szCs w:val="28"/>
                <w:lang w:bidi="ar"/>
              </w:rPr>
              <w:t>小时自动关机；</w:t>
            </w:r>
            <w:r>
              <w:rPr>
                <w:rStyle w:val="47"/>
                <w:rFonts w:hint="eastAsia" w:ascii="仿宋_GB2312" w:hAnsi="仿宋_GB2312" w:eastAsia="仿宋_GB2312" w:cs="仿宋_GB2312"/>
                <w:sz w:val="28"/>
                <w:szCs w:val="28"/>
                <w:lang w:bidi="ar"/>
              </w:rPr>
              <w:t xml:space="preserve"> </w:t>
            </w:r>
            <w:r>
              <w:rPr>
                <w:rStyle w:val="56"/>
                <w:rFonts w:hint="eastAsia" w:ascii="仿宋_GB2312" w:hAnsi="仿宋_GB2312" w:eastAsia="仿宋_GB2312" w:cs="仿宋_GB2312"/>
                <w:sz w:val="28"/>
                <w:szCs w:val="28"/>
                <w:lang w:bidi="ar"/>
              </w:rPr>
              <w:t>支持摄氏、华氏两种显示；支持人体、物体、</w:t>
            </w:r>
            <w:r>
              <w:rPr>
                <w:rStyle w:val="47"/>
                <w:rFonts w:hint="eastAsia" w:ascii="仿宋_GB2312" w:hAnsi="仿宋_GB2312" w:eastAsia="仿宋_GB2312" w:cs="仿宋_GB2312"/>
                <w:sz w:val="28"/>
                <w:szCs w:val="28"/>
                <w:lang w:bidi="ar"/>
              </w:rPr>
              <w:t xml:space="preserve"> </w:t>
            </w:r>
            <w:r>
              <w:rPr>
                <w:rStyle w:val="56"/>
                <w:rFonts w:hint="eastAsia" w:ascii="仿宋_GB2312" w:hAnsi="仿宋_GB2312" w:eastAsia="仿宋_GB2312" w:cs="仿宋_GB2312"/>
                <w:sz w:val="28"/>
                <w:szCs w:val="28"/>
                <w:lang w:bidi="ar"/>
              </w:rPr>
              <w:t>计数功能；支持语音播报；支持充电（需内置</w:t>
            </w:r>
            <w:r>
              <w:rPr>
                <w:rStyle w:val="47"/>
                <w:rFonts w:hint="eastAsia" w:ascii="仿宋_GB2312" w:hAnsi="仿宋_GB2312" w:eastAsia="仿宋_GB2312" w:cs="仿宋_GB2312"/>
                <w:sz w:val="28"/>
                <w:szCs w:val="28"/>
                <w:lang w:bidi="ar"/>
              </w:rPr>
              <w:t xml:space="preserve"> 18650 </w:t>
            </w:r>
            <w:r>
              <w:rPr>
                <w:rStyle w:val="56"/>
                <w:rFonts w:hint="eastAsia" w:ascii="仿宋_GB2312" w:hAnsi="仿宋_GB2312" w:eastAsia="仿宋_GB2312" w:cs="仿宋_GB2312"/>
                <w:sz w:val="28"/>
                <w:szCs w:val="28"/>
                <w:lang w:bidi="ar"/>
              </w:rPr>
              <w:t>电池）</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供电方式：一节</w:t>
            </w:r>
            <w:r>
              <w:rPr>
                <w:rStyle w:val="47"/>
                <w:rFonts w:hint="eastAsia" w:ascii="仿宋_GB2312" w:hAnsi="仿宋_GB2312" w:eastAsia="仿宋_GB2312" w:cs="仿宋_GB2312"/>
                <w:sz w:val="28"/>
                <w:szCs w:val="28"/>
                <w:lang w:bidi="ar"/>
              </w:rPr>
              <w:t xml:space="preserve"> 18650 </w:t>
            </w:r>
            <w:r>
              <w:rPr>
                <w:rStyle w:val="56"/>
                <w:rFonts w:hint="eastAsia" w:ascii="仿宋_GB2312" w:hAnsi="仿宋_GB2312" w:eastAsia="仿宋_GB2312" w:cs="仿宋_GB2312"/>
                <w:sz w:val="28"/>
                <w:szCs w:val="28"/>
                <w:lang w:bidi="ar"/>
              </w:rPr>
              <w:t>电池、电源适配器</w:t>
            </w:r>
            <w:r>
              <w:rPr>
                <w:rStyle w:val="47"/>
                <w:rFonts w:hint="eastAsia" w:ascii="仿宋_GB2312" w:hAnsi="仿宋_GB2312" w:eastAsia="仿宋_GB2312" w:cs="仿宋_GB2312"/>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sz w:val="28"/>
                <w:szCs w:val="28"/>
              </w:rPr>
            </w:pPr>
            <w:r>
              <w:rPr>
                <w:rStyle w:val="56"/>
                <w:rFonts w:hint="eastAsia" w:ascii="仿宋_GB2312" w:hAnsi="仿宋_GB2312" w:eastAsia="仿宋_GB2312" w:cs="仿宋_GB2312"/>
                <w:sz w:val="28"/>
                <w:szCs w:val="28"/>
                <w:lang w:bidi="ar"/>
              </w:rPr>
              <w:t>待机时长：</w:t>
            </w:r>
            <w:r>
              <w:rPr>
                <w:rStyle w:val="47"/>
                <w:rFonts w:hint="eastAsia" w:ascii="仿宋_GB2312" w:hAnsi="仿宋_GB2312" w:eastAsia="仿宋_GB2312" w:cs="仿宋_GB2312"/>
                <w:sz w:val="28"/>
                <w:szCs w:val="28"/>
                <w:lang w:bidi="ar"/>
              </w:rPr>
              <w:t xml:space="preserve"> </w:t>
            </w:r>
            <w:r>
              <w:rPr>
                <w:rStyle w:val="56"/>
                <w:rFonts w:hint="eastAsia" w:ascii="仿宋_GB2312" w:hAnsi="仿宋_GB2312" w:eastAsia="仿宋_GB2312" w:cs="仿宋_GB2312"/>
                <w:sz w:val="28"/>
                <w:szCs w:val="28"/>
                <w:lang w:bidi="ar"/>
              </w:rPr>
              <w:t>≥</w:t>
            </w:r>
            <w:r>
              <w:rPr>
                <w:rStyle w:val="47"/>
                <w:rFonts w:hint="eastAsia" w:ascii="仿宋_GB2312" w:hAnsi="仿宋_GB2312" w:eastAsia="仿宋_GB2312" w:cs="仿宋_GB2312"/>
                <w:sz w:val="28"/>
                <w:szCs w:val="28"/>
                <w:lang w:bidi="ar"/>
              </w:rPr>
              <w:t>10</w:t>
            </w:r>
            <w:r>
              <w:rPr>
                <w:rStyle w:val="56"/>
                <w:rFonts w:hint="eastAsia" w:ascii="仿宋_GB2312" w:hAnsi="仿宋_GB2312" w:eastAsia="仿宋_GB2312" w:cs="仿宋_GB2312"/>
                <w:sz w:val="28"/>
                <w:szCs w:val="28"/>
                <w:lang w:bidi="ar"/>
              </w:rPr>
              <w:t>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57"/>
                <w:rFonts w:hint="eastAsia" w:ascii="仿宋_GB2312" w:hAnsi="仿宋_GB2312" w:eastAsia="仿宋_GB2312" w:cs="仿宋_GB2312"/>
                <w:sz w:val="28"/>
                <w:szCs w:val="28"/>
                <w:lang w:bidi="ar"/>
              </w:rPr>
              <w:t xml:space="preserve"> 个</w:t>
            </w:r>
          </w:p>
        </w:tc>
      </w:tr>
      <w:tr>
        <w:tblPrEx>
          <w:tblCellMar>
            <w:top w:w="0" w:type="dxa"/>
            <w:left w:w="108" w:type="dxa"/>
            <w:bottom w:w="0" w:type="dxa"/>
            <w:right w:w="108" w:type="dxa"/>
          </w:tblCellMar>
        </w:tblPrEx>
        <w:trPr>
          <w:trHeight w:val="1773"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老花</w:t>
            </w:r>
            <w:r>
              <w:rPr>
                <w:rStyle w:val="57"/>
                <w:rFonts w:hint="eastAsia" w:ascii="仿宋_GB2312" w:hAnsi="仿宋_GB2312" w:eastAsia="仿宋_GB2312" w:cs="仿宋_GB2312"/>
                <w:sz w:val="28"/>
                <w:szCs w:val="28"/>
                <w:lang w:bidi="ar"/>
              </w:rPr>
              <w:t>镜（6 幅）</w:t>
            </w:r>
          </w:p>
        </w:tc>
        <w:tc>
          <w:tcPr>
            <w:tcW w:w="58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产品类型：老花镜</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镜架材质：合金材质</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镜片材质：树脂</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适用人群：男女通用</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是否支持近视镜：支持</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眼镜度数：100 度（两幅）、200 度（两幅）、 300 度（两幅）</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57"/>
                <w:rFonts w:hint="eastAsia" w:ascii="仿宋_GB2312" w:hAnsi="仿宋_GB2312" w:eastAsia="仿宋_GB2312" w:cs="仿宋_GB2312"/>
                <w:sz w:val="28"/>
                <w:szCs w:val="28"/>
                <w:lang w:bidi="ar"/>
              </w:rPr>
              <w:t xml:space="preserve"> 套（含6副）</w:t>
            </w:r>
          </w:p>
        </w:tc>
      </w:tr>
      <w:tr>
        <w:tblPrEx>
          <w:tblCellMar>
            <w:top w:w="0" w:type="dxa"/>
            <w:left w:w="108" w:type="dxa"/>
            <w:bottom w:w="0" w:type="dxa"/>
            <w:right w:w="108" w:type="dxa"/>
          </w:tblCellMar>
        </w:tblPrEx>
        <w:trPr>
          <w:trHeight w:val="1185"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针线盒套装</w:t>
            </w:r>
          </w:p>
        </w:tc>
        <w:tc>
          <w:tcPr>
            <w:tcW w:w="58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材质：</w:t>
            </w:r>
            <w:r>
              <w:rPr>
                <w:rStyle w:val="47"/>
                <w:rFonts w:hint="eastAsia" w:ascii="仿宋_GB2312" w:hAnsi="仿宋_GB2312" w:eastAsia="仿宋_GB2312" w:cs="仿宋_GB2312"/>
                <w:sz w:val="28"/>
                <w:szCs w:val="28"/>
                <w:lang w:bidi="ar"/>
              </w:rPr>
              <w:t xml:space="preserve">PP </w:t>
            </w:r>
            <w:r>
              <w:rPr>
                <w:rStyle w:val="56"/>
                <w:rFonts w:hint="eastAsia" w:ascii="仿宋_GB2312" w:hAnsi="仿宋_GB2312" w:eastAsia="仿宋_GB2312" w:cs="仿宋_GB2312"/>
                <w:sz w:val="28"/>
                <w:szCs w:val="28"/>
                <w:lang w:bidi="ar"/>
              </w:rPr>
              <w:t>外壳</w:t>
            </w:r>
            <w:r>
              <w:rPr>
                <w:rStyle w:val="47"/>
                <w:rFonts w:hint="eastAsia" w:ascii="仿宋_GB2312" w:hAnsi="仿宋_GB2312" w:eastAsia="仿宋_GB2312" w:cs="仿宋_GB2312"/>
                <w:sz w:val="28"/>
                <w:szCs w:val="28"/>
                <w:lang w:bidi="ar"/>
              </w:rPr>
              <w:t xml:space="preserve">+30 </w:t>
            </w:r>
            <w:r>
              <w:rPr>
                <w:rStyle w:val="56"/>
                <w:rFonts w:hint="eastAsia" w:ascii="仿宋_GB2312" w:hAnsi="仿宋_GB2312" w:eastAsia="仿宋_GB2312" w:cs="仿宋_GB2312"/>
                <w:sz w:val="28"/>
                <w:szCs w:val="28"/>
                <w:lang w:bidi="ar"/>
              </w:rPr>
              <w:t>缝纫工具</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用途：手工制作、居家缝补</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sz w:val="28"/>
                <w:szCs w:val="28"/>
              </w:rPr>
            </w:pPr>
            <w:r>
              <w:rPr>
                <w:rStyle w:val="56"/>
                <w:rFonts w:hint="eastAsia" w:ascii="仿宋_GB2312" w:hAnsi="仿宋_GB2312" w:eastAsia="仿宋_GB2312" w:cs="仿宋_GB2312"/>
                <w:sz w:val="28"/>
                <w:szCs w:val="28"/>
                <w:lang w:bidi="ar"/>
              </w:rPr>
              <w:t>颜色：粉色、白色</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57"/>
                <w:rFonts w:hint="eastAsia" w:ascii="仿宋_GB2312" w:hAnsi="仿宋_GB2312" w:eastAsia="仿宋_GB2312" w:cs="仿宋_GB2312"/>
                <w:sz w:val="28"/>
                <w:szCs w:val="28"/>
                <w:lang w:bidi="ar"/>
              </w:rPr>
              <w:t>个</w:t>
            </w:r>
          </w:p>
        </w:tc>
      </w:tr>
      <w:tr>
        <w:tblPrEx>
          <w:tblCellMar>
            <w:top w:w="0" w:type="dxa"/>
            <w:left w:w="108" w:type="dxa"/>
            <w:bottom w:w="0" w:type="dxa"/>
            <w:right w:w="108" w:type="dxa"/>
          </w:tblCellMar>
        </w:tblPrEx>
        <w:trPr>
          <w:trHeight w:val="891"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56"/>
                <w:rFonts w:hint="eastAsia" w:ascii="仿宋_GB2312" w:hAnsi="仿宋_GB2312" w:eastAsia="仿宋_GB2312" w:cs="仿宋_GB2312"/>
                <w:sz w:val="28"/>
                <w:szCs w:val="28"/>
                <w:lang w:bidi="ar"/>
              </w:rPr>
              <w:t>图解展板</w:t>
            </w:r>
          </w:p>
        </w:tc>
        <w:tc>
          <w:tcPr>
            <w:tcW w:w="5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8"/>
                <w:szCs w:val="28"/>
              </w:rPr>
            </w:pPr>
            <w:r>
              <w:rPr>
                <w:rStyle w:val="56"/>
                <w:rFonts w:hint="eastAsia" w:ascii="仿宋_GB2312" w:hAnsi="仿宋_GB2312" w:eastAsia="仿宋_GB2312" w:cs="仿宋_GB2312"/>
                <w:sz w:val="28"/>
                <w:szCs w:val="28"/>
                <w:lang w:bidi="ar"/>
              </w:rPr>
              <w:t>底板厚度≥</w:t>
            </w:r>
            <w:r>
              <w:rPr>
                <w:rStyle w:val="47"/>
                <w:rFonts w:hint="eastAsia" w:ascii="仿宋_GB2312" w:hAnsi="仿宋_GB2312" w:eastAsia="仿宋_GB2312" w:cs="仿宋_GB2312"/>
                <w:sz w:val="28"/>
                <w:szCs w:val="28"/>
                <w:lang w:bidi="ar"/>
              </w:rPr>
              <w:t xml:space="preserve"> 10mm</w:t>
            </w:r>
            <w:r>
              <w:rPr>
                <w:rStyle w:val="56"/>
                <w:rFonts w:hint="eastAsia" w:ascii="仿宋_GB2312" w:hAnsi="仿宋_GB2312" w:eastAsia="仿宋_GB2312" w:cs="仿宋_GB2312"/>
                <w:sz w:val="28"/>
                <w:szCs w:val="28"/>
                <w:lang w:bidi="ar"/>
              </w:rPr>
              <w:t>，高光结皮</w:t>
            </w:r>
            <w:r>
              <w:rPr>
                <w:rStyle w:val="47"/>
                <w:rFonts w:hint="eastAsia" w:ascii="仿宋_GB2312" w:hAnsi="仿宋_GB2312" w:eastAsia="仿宋_GB2312" w:cs="仿宋_GB2312"/>
                <w:sz w:val="28"/>
                <w:szCs w:val="28"/>
                <w:lang w:bidi="ar"/>
              </w:rPr>
              <w:t xml:space="preserve">PVC </w:t>
            </w:r>
            <w:r>
              <w:rPr>
                <w:rStyle w:val="56"/>
                <w:rFonts w:hint="eastAsia" w:ascii="仿宋_GB2312" w:hAnsi="仿宋_GB2312" w:eastAsia="仿宋_GB2312" w:cs="仿宋_GB2312"/>
                <w:sz w:val="28"/>
                <w:szCs w:val="28"/>
                <w:lang w:bidi="ar"/>
              </w:rPr>
              <w:t>六色高精</w:t>
            </w:r>
            <w:r>
              <w:rPr>
                <w:rStyle w:val="47"/>
                <w:rFonts w:hint="eastAsia" w:ascii="仿宋_GB2312" w:hAnsi="仿宋_GB2312" w:eastAsia="仿宋_GB2312" w:cs="仿宋_GB2312"/>
                <w:sz w:val="28"/>
                <w:szCs w:val="28"/>
                <w:lang w:bidi="ar"/>
              </w:rPr>
              <w:t>UV</w:t>
            </w:r>
            <w:r>
              <w:rPr>
                <w:rStyle w:val="56"/>
                <w:rFonts w:hint="eastAsia" w:ascii="仿宋_GB2312" w:hAnsi="仿宋_GB2312" w:eastAsia="仿宋_GB2312" w:cs="仿宋_GB2312"/>
                <w:sz w:val="28"/>
                <w:szCs w:val="28"/>
                <w:lang w:bidi="ar"/>
              </w:rPr>
              <w:t>打印，≥</w:t>
            </w:r>
            <w:r>
              <w:rPr>
                <w:rStyle w:val="47"/>
                <w:rFonts w:hint="eastAsia" w:ascii="仿宋_GB2312" w:hAnsi="仿宋_GB2312" w:eastAsia="仿宋_GB2312" w:cs="仿宋_GB2312"/>
                <w:sz w:val="28"/>
                <w:szCs w:val="28"/>
                <w:lang w:bidi="ar"/>
              </w:rPr>
              <w:t xml:space="preserve">4mm </w:t>
            </w:r>
            <w:r>
              <w:rPr>
                <w:rStyle w:val="56"/>
                <w:rFonts w:hint="eastAsia" w:ascii="仿宋_GB2312" w:hAnsi="仿宋_GB2312" w:eastAsia="仿宋_GB2312" w:cs="仿宋_GB2312"/>
                <w:sz w:val="28"/>
                <w:szCs w:val="28"/>
                <w:lang w:bidi="ar"/>
              </w:rPr>
              <w:t>亚克力高精度图文背印，四角安装打定位孔。尺寸根据公益驿站实际情况做相应调整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57"/>
                <w:rFonts w:hint="eastAsia" w:ascii="仿宋_GB2312" w:hAnsi="仿宋_GB2312" w:eastAsia="仿宋_GB2312" w:cs="仿宋_GB2312"/>
                <w:sz w:val="28"/>
                <w:szCs w:val="28"/>
                <w:lang w:bidi="ar"/>
              </w:rPr>
              <w:t>个</w:t>
            </w:r>
          </w:p>
        </w:tc>
      </w:tr>
      <w:tr>
        <w:tblPrEx>
          <w:tblCellMar>
            <w:top w:w="0" w:type="dxa"/>
            <w:left w:w="108" w:type="dxa"/>
            <w:bottom w:w="0" w:type="dxa"/>
            <w:right w:w="108" w:type="dxa"/>
          </w:tblCellMar>
        </w:tblPrEx>
        <w:trPr>
          <w:trHeight w:val="1366"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门外吸塑侧灯箱</w:t>
            </w:r>
          </w:p>
        </w:tc>
        <w:tc>
          <w:tcPr>
            <w:tcW w:w="5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尺寸：长</w:t>
            </w:r>
            <w:r>
              <w:rPr>
                <w:rStyle w:val="47"/>
                <w:rFonts w:hint="eastAsia" w:ascii="仿宋_GB2312" w:hAnsi="仿宋_GB2312" w:eastAsia="仿宋_GB2312" w:cs="仿宋_GB2312"/>
                <w:sz w:val="28"/>
                <w:szCs w:val="28"/>
                <w:lang w:bidi="ar"/>
              </w:rPr>
              <w:t xml:space="preserve"> 500mm*</w:t>
            </w:r>
            <w:r>
              <w:rPr>
                <w:rStyle w:val="56"/>
                <w:rFonts w:hint="eastAsia" w:ascii="仿宋_GB2312" w:hAnsi="仿宋_GB2312" w:eastAsia="仿宋_GB2312" w:cs="仿宋_GB2312"/>
                <w:sz w:val="28"/>
                <w:szCs w:val="28"/>
                <w:lang w:bidi="ar"/>
              </w:rPr>
              <w:t>宽</w:t>
            </w:r>
            <w:r>
              <w:rPr>
                <w:rStyle w:val="47"/>
                <w:rFonts w:hint="eastAsia" w:ascii="仿宋_GB2312" w:hAnsi="仿宋_GB2312" w:eastAsia="仿宋_GB2312" w:cs="仿宋_GB2312"/>
                <w:sz w:val="28"/>
                <w:szCs w:val="28"/>
                <w:lang w:bidi="ar"/>
              </w:rPr>
              <w:t xml:space="preserve"> 700mm*</w:t>
            </w:r>
            <w:r>
              <w:rPr>
                <w:rStyle w:val="56"/>
                <w:rFonts w:hint="eastAsia" w:ascii="仿宋_GB2312" w:hAnsi="仿宋_GB2312" w:eastAsia="仿宋_GB2312" w:cs="仿宋_GB2312"/>
                <w:sz w:val="28"/>
                <w:szCs w:val="28"/>
                <w:lang w:bidi="ar"/>
              </w:rPr>
              <w:t>厚</w:t>
            </w:r>
            <w:r>
              <w:rPr>
                <w:rStyle w:val="47"/>
                <w:rFonts w:hint="eastAsia" w:ascii="仿宋_GB2312" w:hAnsi="仿宋_GB2312" w:eastAsia="仿宋_GB2312" w:cs="仿宋_GB2312"/>
                <w:sz w:val="28"/>
                <w:szCs w:val="28"/>
                <w:lang w:bidi="ar"/>
              </w:rPr>
              <w:t xml:space="preserve"> 80mm</w:t>
            </w:r>
            <w:r>
              <w:rPr>
                <w:rStyle w:val="56"/>
                <w:rFonts w:hint="eastAsia" w:ascii="仿宋_GB2312" w:hAnsi="仿宋_GB2312" w:eastAsia="仿宋_GB2312" w:cs="仿宋_GB2312"/>
                <w:sz w:val="28"/>
                <w:szCs w:val="28"/>
                <w:lang w:bidi="ar"/>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材质:≥</w:t>
            </w:r>
            <w:r>
              <w:rPr>
                <w:rStyle w:val="47"/>
                <w:rFonts w:hint="eastAsia" w:ascii="仿宋_GB2312" w:hAnsi="仿宋_GB2312" w:eastAsia="仿宋_GB2312" w:cs="仿宋_GB2312"/>
                <w:sz w:val="28"/>
                <w:szCs w:val="28"/>
                <w:lang w:bidi="ar"/>
              </w:rPr>
              <w:t xml:space="preserve">3mm </w:t>
            </w:r>
            <w:r>
              <w:rPr>
                <w:rStyle w:val="56"/>
                <w:rFonts w:hint="eastAsia" w:ascii="仿宋_GB2312" w:hAnsi="仿宋_GB2312" w:eastAsia="仿宋_GB2312" w:cs="仿宋_GB2312"/>
                <w:sz w:val="28"/>
                <w:szCs w:val="28"/>
                <w:lang w:bidi="ar"/>
              </w:rPr>
              <w:t>亚克力吸塑灯箱板，</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8"/>
                <w:szCs w:val="28"/>
              </w:rPr>
            </w:pPr>
            <w:r>
              <w:rPr>
                <w:rStyle w:val="56"/>
                <w:rFonts w:hint="eastAsia" w:ascii="仿宋_GB2312" w:hAnsi="仿宋_GB2312" w:eastAsia="仿宋_GB2312" w:cs="仿宋_GB2312"/>
                <w:sz w:val="28"/>
                <w:szCs w:val="28"/>
                <w:lang w:bidi="ar"/>
              </w:rPr>
              <w:t>航空铝型材福彩专用红色烤漆包边，折弯工艺，</w:t>
            </w:r>
            <w:r>
              <w:rPr>
                <w:rStyle w:val="58"/>
                <w:rFonts w:hint="eastAsia" w:ascii="仿宋_GB2312" w:hAnsi="仿宋_GB2312" w:eastAsia="仿宋_GB2312" w:cs="仿宋_GB2312"/>
                <w:sz w:val="28"/>
                <w:szCs w:val="28"/>
                <w:lang w:bidi="ar"/>
              </w:rPr>
              <w:t>LED</w:t>
            </w:r>
            <w:r>
              <w:rPr>
                <w:rStyle w:val="47"/>
                <w:rFonts w:hint="eastAsia" w:ascii="仿宋_GB2312" w:hAnsi="仿宋_GB2312" w:eastAsia="仿宋_GB2312" w:cs="仿宋_GB2312"/>
                <w:sz w:val="28"/>
                <w:szCs w:val="28"/>
                <w:lang w:bidi="ar"/>
              </w:rPr>
              <w:t xml:space="preserve"> </w:t>
            </w:r>
            <w:r>
              <w:rPr>
                <w:rStyle w:val="56"/>
                <w:rFonts w:hint="eastAsia" w:ascii="仿宋_GB2312" w:hAnsi="仿宋_GB2312" w:eastAsia="仿宋_GB2312" w:cs="仿宋_GB2312"/>
                <w:sz w:val="28"/>
                <w:szCs w:val="28"/>
                <w:lang w:bidi="ar"/>
              </w:rPr>
              <w:t>防水灯条、防水电源。防紫外线贴膜，高色彩呈现度，保证十年不褪色</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57"/>
                <w:rFonts w:hint="eastAsia" w:ascii="仿宋_GB2312" w:hAnsi="仿宋_GB2312" w:eastAsia="仿宋_GB2312" w:cs="仿宋_GB2312"/>
                <w:sz w:val="28"/>
                <w:szCs w:val="28"/>
                <w:lang w:bidi="ar"/>
              </w:rPr>
              <w:t>个</w:t>
            </w:r>
          </w:p>
        </w:tc>
      </w:tr>
      <w:tr>
        <w:tblPrEx>
          <w:tblCellMar>
            <w:top w:w="0" w:type="dxa"/>
            <w:left w:w="108" w:type="dxa"/>
            <w:bottom w:w="0" w:type="dxa"/>
            <w:right w:w="108" w:type="dxa"/>
          </w:tblCellMar>
        </w:tblPrEx>
        <w:trPr>
          <w:trHeight w:val="891"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56"/>
                <w:rFonts w:hint="eastAsia" w:ascii="仿宋_GB2312" w:hAnsi="仿宋_GB2312" w:eastAsia="仿宋_GB2312" w:cs="仿宋_GB2312"/>
                <w:sz w:val="28"/>
                <w:szCs w:val="28"/>
                <w:lang w:bidi="ar"/>
              </w:rPr>
              <w:t>门头标识</w:t>
            </w:r>
            <w:r>
              <w:rPr>
                <w:rStyle w:val="47"/>
                <w:rFonts w:hint="eastAsia" w:ascii="仿宋_GB2312" w:hAnsi="仿宋_GB2312" w:eastAsia="仿宋_GB2312" w:cs="仿宋_GB2312"/>
                <w:sz w:val="28"/>
                <w:szCs w:val="28"/>
                <w:lang w:bidi="ar"/>
              </w:rPr>
              <w:t xml:space="preserve"> </w:t>
            </w:r>
            <w:r>
              <w:rPr>
                <w:rStyle w:val="56"/>
                <w:rFonts w:hint="eastAsia" w:ascii="仿宋_GB2312" w:hAnsi="仿宋_GB2312" w:eastAsia="仿宋_GB2312" w:cs="仿宋_GB2312"/>
                <w:sz w:val="28"/>
                <w:szCs w:val="28"/>
                <w:lang w:bidi="ar"/>
              </w:rPr>
              <w:t>灯箱</w:t>
            </w:r>
          </w:p>
        </w:tc>
        <w:tc>
          <w:tcPr>
            <w:tcW w:w="58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7"/>
                <w:rFonts w:hint="eastAsia" w:ascii="仿宋_GB2312" w:hAnsi="仿宋_GB2312" w:eastAsia="仿宋_GB2312" w:cs="仿宋_GB2312"/>
                <w:sz w:val="28"/>
                <w:szCs w:val="28"/>
                <w:lang w:bidi="ar"/>
              </w:rPr>
            </w:pPr>
            <w:r>
              <w:rPr>
                <w:rStyle w:val="46"/>
                <w:rFonts w:hint="eastAsia" w:ascii="仿宋_GB2312" w:hAnsi="仿宋_GB2312" w:eastAsia="仿宋_GB2312" w:cs="仿宋_GB2312"/>
                <w:sz w:val="28"/>
                <w:szCs w:val="28"/>
                <w:lang w:bidi="ar"/>
              </w:rPr>
              <w:t>尺寸：长</w:t>
            </w:r>
            <w:r>
              <w:rPr>
                <w:rStyle w:val="57"/>
                <w:rFonts w:hint="eastAsia" w:ascii="仿宋_GB2312" w:hAnsi="仿宋_GB2312" w:eastAsia="仿宋_GB2312" w:cs="仿宋_GB2312"/>
                <w:sz w:val="28"/>
                <w:szCs w:val="28"/>
                <w:lang w:bidi="ar"/>
              </w:rPr>
              <w:t xml:space="preserve"> 200mm*宽 900mm*厚 80mm；</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7"/>
                <w:rFonts w:hint="eastAsia" w:ascii="仿宋_GB2312" w:hAnsi="仿宋_GB2312" w:eastAsia="仿宋_GB2312" w:cs="仿宋_GB2312"/>
                <w:sz w:val="28"/>
                <w:szCs w:val="28"/>
                <w:lang w:bidi="ar"/>
              </w:rPr>
            </w:pPr>
            <w:r>
              <w:rPr>
                <w:rStyle w:val="57"/>
                <w:rFonts w:hint="eastAsia" w:ascii="仿宋_GB2312" w:hAnsi="仿宋_GB2312" w:eastAsia="仿宋_GB2312" w:cs="仿宋_GB2312"/>
                <w:sz w:val="28"/>
                <w:szCs w:val="28"/>
                <w:lang w:bidi="ar"/>
              </w:rPr>
              <w:t>面板：</w:t>
            </w:r>
            <w:r>
              <w:rPr>
                <w:rStyle w:val="56"/>
                <w:rFonts w:hint="eastAsia" w:ascii="仿宋_GB2312" w:hAnsi="仿宋_GB2312" w:eastAsia="仿宋_GB2312" w:cs="仿宋_GB2312"/>
                <w:sz w:val="28"/>
                <w:szCs w:val="28"/>
                <w:lang w:bidi="ar"/>
              </w:rPr>
              <w:t>≥</w:t>
            </w:r>
            <w:r>
              <w:rPr>
                <w:rStyle w:val="57"/>
                <w:rFonts w:hint="eastAsia" w:ascii="仿宋_GB2312" w:hAnsi="仿宋_GB2312" w:eastAsia="仿宋_GB2312" w:cs="仿宋_GB2312"/>
                <w:sz w:val="28"/>
                <w:szCs w:val="28"/>
                <w:lang w:bidi="ar"/>
              </w:rPr>
              <w:t>5mm 亚克力；</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Style w:val="57"/>
                <w:rFonts w:hint="eastAsia" w:ascii="仿宋_GB2312" w:hAnsi="仿宋_GB2312" w:eastAsia="仿宋_GB2312" w:cs="仿宋_GB2312"/>
                <w:sz w:val="28"/>
                <w:szCs w:val="28"/>
                <w:lang w:bidi="ar"/>
              </w:rPr>
            </w:pPr>
            <w:r>
              <w:rPr>
                <w:rStyle w:val="57"/>
                <w:rFonts w:hint="eastAsia" w:ascii="仿宋_GB2312" w:hAnsi="仿宋_GB2312" w:eastAsia="仿宋_GB2312" w:cs="仿宋_GB2312"/>
                <w:sz w:val="28"/>
                <w:szCs w:val="28"/>
                <w:lang w:bidi="ar"/>
              </w:rPr>
              <w:t>航空铝型材福彩专用红色烤漆包边；</w:t>
            </w:r>
          </w:p>
          <w:p>
            <w:pPr>
              <w:keepNext w:val="0"/>
              <w:keepLines w:val="0"/>
              <w:pageBreakBefore w:val="0"/>
              <w:widowControl/>
              <w:kinsoku/>
              <w:wordWrap/>
              <w:overflowPunct/>
              <w:topLinePunct w:val="0"/>
              <w:autoSpaceDE/>
              <w:autoSpaceDN/>
              <w:bidi w:val="0"/>
              <w:adjustRightInd/>
              <w:snapToGrid/>
              <w:spacing w:line="400" w:lineRule="exact"/>
              <w:jc w:val="left"/>
              <w:textAlignment w:val="bottom"/>
              <w:rPr>
                <w:rFonts w:hint="eastAsia" w:ascii="仿宋_GB2312" w:hAnsi="仿宋_GB2312" w:eastAsia="仿宋_GB2312" w:cs="仿宋_GB2312"/>
                <w:color w:val="000000"/>
                <w:sz w:val="28"/>
                <w:szCs w:val="28"/>
              </w:rPr>
            </w:pPr>
            <w:r>
              <w:rPr>
                <w:rStyle w:val="57"/>
                <w:rFonts w:hint="eastAsia" w:ascii="仿宋_GB2312" w:hAnsi="仿宋_GB2312" w:eastAsia="仿宋_GB2312" w:cs="仿宋_GB2312"/>
                <w:sz w:val="28"/>
                <w:szCs w:val="28"/>
                <w:lang w:bidi="ar"/>
              </w:rPr>
              <w:t>LED 防水灯条；防水光源。图文防紫外线贴膜，色彩呈现度高，十年保证不褪色。</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57"/>
                <w:rFonts w:hint="eastAsia" w:ascii="仿宋_GB2312" w:hAnsi="仿宋_GB2312" w:eastAsia="仿宋_GB2312" w:cs="仿宋_GB2312"/>
                <w:sz w:val="28"/>
                <w:szCs w:val="28"/>
                <w:lang w:bidi="ar"/>
              </w:rPr>
              <w:t>个</w:t>
            </w:r>
          </w:p>
        </w:tc>
      </w:tr>
      <w:tr>
        <w:tblPrEx>
          <w:tblCellMar>
            <w:top w:w="0" w:type="dxa"/>
            <w:left w:w="108" w:type="dxa"/>
            <w:bottom w:w="0" w:type="dxa"/>
            <w:right w:w="108" w:type="dxa"/>
          </w:tblCellMar>
        </w:tblPrEx>
        <w:trPr>
          <w:trHeight w:val="2076" w:hRule="atLeast"/>
          <w:jc w:val="center"/>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8"/>
                <w:szCs w:val="28"/>
              </w:rPr>
            </w:pPr>
            <w:r>
              <w:rPr>
                <w:rStyle w:val="56"/>
                <w:rFonts w:hint="eastAsia" w:ascii="仿宋_GB2312" w:hAnsi="仿宋_GB2312" w:eastAsia="仿宋_GB2312" w:cs="仿宋_GB2312"/>
                <w:sz w:val="28"/>
                <w:szCs w:val="28"/>
                <w:lang w:bidi="ar"/>
              </w:rPr>
              <w:t>公益驿站户外服务说明提示牌</w:t>
            </w:r>
          </w:p>
        </w:tc>
        <w:tc>
          <w:tcPr>
            <w:tcW w:w="5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Style w:val="47"/>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尺寸：长</w:t>
            </w:r>
            <w:r>
              <w:rPr>
                <w:rStyle w:val="47"/>
                <w:rFonts w:hint="eastAsia" w:ascii="仿宋_GB2312" w:hAnsi="仿宋_GB2312" w:eastAsia="仿宋_GB2312" w:cs="仿宋_GB2312"/>
                <w:sz w:val="28"/>
                <w:szCs w:val="28"/>
                <w:lang w:bidi="ar"/>
              </w:rPr>
              <w:t xml:space="preserve"> 500mm </w:t>
            </w:r>
            <w:r>
              <w:rPr>
                <w:rStyle w:val="56"/>
                <w:rFonts w:hint="eastAsia" w:ascii="仿宋_GB2312" w:hAnsi="仿宋_GB2312" w:eastAsia="仿宋_GB2312" w:cs="仿宋_GB2312"/>
                <w:sz w:val="28"/>
                <w:szCs w:val="28"/>
                <w:lang w:bidi="ar"/>
              </w:rPr>
              <w:t>宽</w:t>
            </w:r>
            <w:r>
              <w:rPr>
                <w:rStyle w:val="47"/>
                <w:rFonts w:hint="eastAsia" w:ascii="仿宋_GB2312" w:hAnsi="仿宋_GB2312" w:eastAsia="仿宋_GB2312" w:cs="仿宋_GB2312"/>
                <w:sz w:val="28"/>
                <w:szCs w:val="28"/>
                <w:lang w:bidi="ar"/>
              </w:rPr>
              <w:t xml:space="preserve"> 580mm </w:t>
            </w:r>
            <w:r>
              <w:rPr>
                <w:rStyle w:val="56"/>
                <w:rFonts w:hint="eastAsia" w:ascii="仿宋_GB2312" w:hAnsi="仿宋_GB2312" w:eastAsia="仿宋_GB2312" w:cs="仿宋_GB2312"/>
                <w:sz w:val="28"/>
                <w:szCs w:val="28"/>
                <w:lang w:bidi="ar"/>
              </w:rPr>
              <w:t>厚</w:t>
            </w:r>
            <w:r>
              <w:rPr>
                <w:rStyle w:val="47"/>
                <w:rFonts w:hint="eastAsia" w:ascii="仿宋_GB2312" w:hAnsi="仿宋_GB2312" w:eastAsia="仿宋_GB2312" w:cs="仿宋_GB2312"/>
                <w:sz w:val="28"/>
                <w:szCs w:val="28"/>
                <w:lang w:bidi="ar"/>
              </w:rPr>
              <w:t xml:space="preserve"> 1.0mm, </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bidi="ar"/>
              </w:rPr>
              <w:t>≥</w:t>
            </w:r>
            <w:r>
              <w:rPr>
                <w:rStyle w:val="47"/>
                <w:rFonts w:hint="eastAsia" w:ascii="仿宋_GB2312" w:hAnsi="仿宋_GB2312" w:eastAsia="仿宋_GB2312" w:cs="仿宋_GB2312"/>
                <w:sz w:val="28"/>
                <w:szCs w:val="28"/>
                <w:lang w:bidi="ar"/>
              </w:rPr>
              <w:t xml:space="preserve">1.0mm </w:t>
            </w:r>
            <w:r>
              <w:rPr>
                <w:rStyle w:val="56"/>
                <w:rFonts w:hint="eastAsia" w:ascii="仿宋_GB2312" w:hAnsi="仿宋_GB2312" w:eastAsia="仿宋_GB2312" w:cs="仿宋_GB2312"/>
                <w:sz w:val="28"/>
                <w:szCs w:val="28"/>
                <w:lang w:bidi="ar"/>
              </w:rPr>
              <w:t>透明亚克力，</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sz w:val="28"/>
                <w:szCs w:val="28"/>
              </w:rPr>
            </w:pPr>
            <w:r>
              <w:rPr>
                <w:rStyle w:val="56"/>
                <w:rFonts w:hint="eastAsia" w:ascii="仿宋_GB2312" w:hAnsi="仿宋_GB2312" w:eastAsia="仿宋_GB2312" w:cs="仿宋_GB2312"/>
                <w:sz w:val="28"/>
                <w:szCs w:val="28"/>
                <w:lang w:bidi="ar"/>
              </w:rPr>
              <w:t>≥</w:t>
            </w:r>
            <w:r>
              <w:rPr>
                <w:rStyle w:val="47"/>
                <w:rFonts w:hint="eastAsia" w:ascii="仿宋_GB2312" w:hAnsi="仿宋_GB2312" w:eastAsia="仿宋_GB2312" w:cs="仿宋_GB2312"/>
                <w:sz w:val="28"/>
                <w:szCs w:val="28"/>
                <w:lang w:bidi="ar"/>
              </w:rPr>
              <w:t>6</w:t>
            </w:r>
            <w:r>
              <w:rPr>
                <w:rStyle w:val="56"/>
                <w:rFonts w:hint="eastAsia" w:ascii="仿宋_GB2312" w:hAnsi="仿宋_GB2312" w:eastAsia="仿宋_GB2312" w:cs="仿宋_GB2312"/>
                <w:sz w:val="28"/>
                <w:szCs w:val="28"/>
                <w:lang w:bidi="ar"/>
              </w:rPr>
              <w:t>色高精</w:t>
            </w:r>
            <w:r>
              <w:rPr>
                <w:rStyle w:val="47"/>
                <w:rFonts w:hint="eastAsia" w:ascii="仿宋_GB2312" w:hAnsi="仿宋_GB2312" w:eastAsia="仿宋_GB2312" w:cs="仿宋_GB2312"/>
                <w:sz w:val="28"/>
                <w:szCs w:val="28"/>
                <w:lang w:bidi="ar"/>
              </w:rPr>
              <w:t>UV打印</w:t>
            </w:r>
            <w:r>
              <w:rPr>
                <w:rStyle w:val="56"/>
                <w:rFonts w:hint="eastAsia" w:ascii="仿宋_GB2312" w:hAnsi="仿宋_GB2312" w:eastAsia="仿宋_GB2312" w:cs="仿宋_GB2312"/>
                <w:sz w:val="28"/>
                <w:szCs w:val="28"/>
                <w:lang w:bidi="ar"/>
              </w:rPr>
              <w:t>图文内容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8"/>
              </w:rPr>
            </w:pPr>
            <w:r>
              <w:rPr>
                <w:rStyle w:val="46"/>
                <w:rFonts w:hint="eastAsia" w:ascii="仿宋_GB2312" w:hAnsi="仿宋_GB2312" w:eastAsia="仿宋_GB2312" w:cs="仿宋_GB2312"/>
                <w:sz w:val="28"/>
                <w:szCs w:val="28"/>
                <w:lang w:bidi="ar"/>
              </w:rPr>
              <w:t>23</w:t>
            </w:r>
            <w:r>
              <w:rPr>
                <w:rStyle w:val="57"/>
                <w:rFonts w:hint="eastAsia" w:ascii="仿宋_GB2312" w:hAnsi="仿宋_GB2312" w:eastAsia="仿宋_GB2312" w:cs="仿宋_GB2312"/>
                <w:sz w:val="28"/>
                <w:szCs w:val="28"/>
                <w:lang w:bidi="ar"/>
              </w:rPr>
              <w:t>个</w:t>
            </w:r>
          </w:p>
        </w:tc>
      </w:tr>
    </w:tbl>
    <w:p>
      <w:pPr>
        <w:keepNext w:val="0"/>
        <w:keepLines w:val="0"/>
        <w:pageBreakBefore w:val="0"/>
        <w:widowControl/>
        <w:kinsoku/>
        <w:wordWrap/>
        <w:overflowPunct/>
        <w:topLinePunct w:val="0"/>
        <w:autoSpaceDE/>
        <w:autoSpaceDN/>
        <w:bidi w:val="0"/>
        <w:adjustRightInd/>
        <w:snapToGrid/>
        <w:spacing w:line="400" w:lineRule="exact"/>
        <w:ind w:firstLine="566" w:firstLineChars="200"/>
        <w:jc w:val="left"/>
        <w:textAlignment w:val="center"/>
        <w:rPr>
          <w:rStyle w:val="56"/>
          <w:rFonts w:hint="eastAsia" w:ascii="仿宋_GB2312" w:hAnsi="仿宋_GB2312" w:eastAsia="仿宋_GB2312" w:cs="仿宋_GB2312"/>
          <w:sz w:val="28"/>
          <w:szCs w:val="28"/>
          <w:lang w:val="en-US" w:eastAsia="zh-CN" w:bidi="ar"/>
        </w:rPr>
      </w:pPr>
    </w:p>
    <w:p>
      <w:pPr>
        <w:keepNext w:val="0"/>
        <w:keepLines w:val="0"/>
        <w:pageBreakBefore w:val="0"/>
        <w:widowControl/>
        <w:kinsoku/>
        <w:wordWrap/>
        <w:overflowPunct/>
        <w:topLinePunct w:val="0"/>
        <w:autoSpaceDE/>
        <w:autoSpaceDN/>
        <w:bidi w:val="0"/>
        <w:adjustRightInd/>
        <w:snapToGrid/>
        <w:spacing w:line="400" w:lineRule="exact"/>
        <w:ind w:firstLine="566" w:firstLineChars="200"/>
        <w:jc w:val="left"/>
        <w:textAlignment w:val="center"/>
        <w:rPr>
          <w:rStyle w:val="56"/>
          <w:rFonts w:hint="eastAsia" w:ascii="仿宋_GB2312" w:hAnsi="仿宋_GB2312" w:eastAsia="仿宋_GB2312" w:cs="仿宋_GB2312"/>
          <w:sz w:val="28"/>
          <w:szCs w:val="28"/>
          <w:lang w:bidi="ar"/>
        </w:rPr>
      </w:pPr>
      <w:r>
        <w:rPr>
          <w:rStyle w:val="56"/>
          <w:rFonts w:hint="eastAsia" w:ascii="仿宋_GB2312" w:hAnsi="仿宋_GB2312" w:eastAsia="仿宋_GB2312" w:cs="仿宋_GB2312"/>
          <w:sz w:val="28"/>
          <w:szCs w:val="28"/>
          <w:lang w:val="en-US" w:eastAsia="zh-CN" w:bidi="ar"/>
        </w:rPr>
        <w:t>本项目送货安装</w:t>
      </w:r>
      <w:r>
        <w:rPr>
          <w:rStyle w:val="56"/>
          <w:rFonts w:hint="eastAsia" w:ascii="仿宋_GB2312" w:hAnsi="仿宋_GB2312" w:eastAsia="仿宋_GB2312" w:cs="仿宋_GB2312"/>
          <w:sz w:val="28"/>
          <w:szCs w:val="28"/>
          <w:lang w:bidi="ar"/>
        </w:rPr>
        <w:t>站点分布</w:t>
      </w:r>
      <w:r>
        <w:rPr>
          <w:rStyle w:val="56"/>
          <w:rFonts w:hint="eastAsia" w:ascii="仿宋_GB2312" w:hAnsi="仿宋_GB2312" w:eastAsia="仿宋_GB2312" w:cs="仿宋_GB2312"/>
          <w:sz w:val="28"/>
          <w:szCs w:val="28"/>
          <w:lang w:eastAsia="zh-CN" w:bidi="ar"/>
        </w:rPr>
        <w:t>：</w:t>
      </w:r>
      <w:r>
        <w:rPr>
          <w:rStyle w:val="56"/>
          <w:rFonts w:hint="eastAsia" w:ascii="仿宋_GB2312" w:hAnsi="仿宋_GB2312" w:eastAsia="仿宋_GB2312" w:cs="仿宋_GB2312"/>
          <w:sz w:val="28"/>
          <w:szCs w:val="28"/>
          <w:lang w:bidi="ar"/>
        </w:rPr>
        <w:t>汉台区10个、南郑区4个、城固县3个、勉县2个、洋县1个、略阳县1个、镇巴县1个、佛坪县1个。</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备注：</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1、以上均为</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“★”内容项</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为实质性要求，</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响应</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人未逐条响应、有缺漏或负偏离将视为无效</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响应。</w:t>
      </w:r>
      <w:r>
        <w:rPr>
          <w:rFonts w:hint="eastAsia" w:ascii="仿宋_GB2312" w:hAnsi="仿宋_GB2312" w:eastAsia="仿宋_GB2312" w:cs="仿宋_GB2312"/>
          <w:b/>
          <w:bCs/>
          <w:color w:val="auto"/>
          <w:sz w:val="28"/>
          <w:szCs w:val="28"/>
          <w:highlight w:val="none"/>
          <w:lang w:val="en-US" w:eastAsia="zh-CN"/>
        </w:rPr>
        <w:t>2、核心产品为智能积分礼品兑换柜。3、本项目不接受进口产品参与。</w:t>
      </w:r>
    </w:p>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宋体"/>
          <w:b/>
          <w:bCs/>
          <w:color w:val="000000" w:themeColor="text1"/>
          <w:sz w:val="32"/>
          <w:szCs w:val="32"/>
          <w14:textFill>
            <w14:solidFill>
              <w14:schemeClr w14:val="tx1"/>
            </w14:solidFill>
          </w14:textFill>
        </w:rPr>
      </w:pPr>
    </w:p>
    <w:p>
      <w:pPr>
        <w:pStyle w:val="3"/>
        <w:jc w:val="center"/>
        <w:rPr>
          <w:rFonts w:ascii="宋体" w:hAnsi="宋体" w:eastAsia="宋体" w:cs="宋体"/>
          <w:color w:val="000000" w:themeColor="text1"/>
          <w:sz w:val="21"/>
          <w:szCs w:val="21"/>
          <w14:textFill>
            <w14:solidFill>
              <w14:schemeClr w14:val="tx1"/>
            </w14:solidFill>
          </w14:textFill>
        </w:rPr>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704"/>
        </w:sectPr>
      </w:pPr>
      <w:r>
        <w:rPr>
          <w:rFonts w:ascii="宋体" w:hAnsi="宋体" w:eastAsia="宋体" w:cs="宋体"/>
          <w:color w:val="000000" w:themeColor="text1"/>
          <w:sz w:val="21"/>
          <w:szCs w:val="21"/>
          <w14:textFill>
            <w14:solidFill>
              <w14:schemeClr w14:val="tx1"/>
            </w14:solidFill>
          </w14:textFill>
        </w:rPr>
        <w:br w:type="page"/>
      </w:r>
      <w:bookmarkStart w:id="188" w:name="_Toc10371"/>
      <w:bookmarkStart w:id="189" w:name="_Toc35871571"/>
      <w:bookmarkStart w:id="190" w:name="_Toc18466_WPSOffice_Level1"/>
      <w:bookmarkStart w:id="191" w:name="_Toc19317"/>
      <w:bookmarkStart w:id="192" w:name="_Toc14089"/>
      <w:bookmarkStart w:id="193" w:name="_Toc12628"/>
      <w:bookmarkStart w:id="194" w:name="_Toc495012773"/>
      <w:bookmarkStart w:id="195" w:name="_Toc445306495"/>
      <w:bookmarkStart w:id="196" w:name="_Toc495014956"/>
      <w:bookmarkStart w:id="197" w:name="_Toc784_WPSOffice_Level1"/>
      <w:bookmarkStart w:id="198" w:name="_Toc495014587"/>
      <w:bookmarkStart w:id="199" w:name="_Toc495014613"/>
      <w:bookmarkStart w:id="200" w:name="_Toc18484_WPSOffice_Level1"/>
      <w:bookmarkStart w:id="201" w:name="_Toc495014651"/>
      <w:bookmarkStart w:id="202" w:name="_Toc495014922"/>
      <w:bookmarkStart w:id="203" w:name="_Toc495012823"/>
    </w:p>
    <w:p>
      <w:pPr>
        <w:pStyle w:val="3"/>
        <w:jc w:val="center"/>
        <w:rPr>
          <w:rFonts w:hint="eastAsia" w:ascii="华文仿宋" w:hAnsi="华文仿宋" w:cs="华文仿宋"/>
          <w:color w:val="000000" w:themeColor="text1"/>
          <w14:textFill>
            <w14:solidFill>
              <w14:schemeClr w14:val="tx1"/>
            </w14:solidFill>
          </w14:textFill>
        </w:rPr>
      </w:pPr>
      <w:r>
        <w:rPr>
          <w:rFonts w:ascii="黑体" w:hAnsi="黑体" w:eastAsia="黑体"/>
          <w:b w:val="0"/>
          <w:color w:val="000000" w:themeColor="text1"/>
          <w:sz w:val="32"/>
          <w:szCs w:val="32"/>
          <w14:textFill>
            <w14:solidFill>
              <w14:schemeClr w14:val="tx1"/>
            </w14:solidFill>
          </w14:textFill>
        </w:rPr>
        <w:t>第</w:t>
      </w:r>
      <w:r>
        <w:rPr>
          <w:rFonts w:hint="eastAsia" w:ascii="黑体" w:hAnsi="黑体" w:eastAsia="黑体"/>
          <w:b w:val="0"/>
          <w:color w:val="000000" w:themeColor="text1"/>
          <w:sz w:val="32"/>
          <w:szCs w:val="32"/>
          <w14:textFill>
            <w14:solidFill>
              <w14:schemeClr w14:val="tx1"/>
            </w14:solidFill>
          </w14:textFill>
        </w:rPr>
        <w:t>四</w:t>
      </w:r>
      <w:r>
        <w:rPr>
          <w:rFonts w:ascii="黑体" w:hAnsi="黑体" w:eastAsia="黑体"/>
          <w:b w:val="0"/>
          <w:color w:val="000000" w:themeColor="text1"/>
          <w:sz w:val="32"/>
          <w:szCs w:val="32"/>
          <w14:textFill>
            <w14:solidFill>
              <w14:schemeClr w14:val="tx1"/>
            </w14:solidFill>
          </w14:textFill>
        </w:rPr>
        <w:t xml:space="preserve">章 </w:t>
      </w:r>
      <w:r>
        <w:rPr>
          <w:rFonts w:hint="eastAsia" w:ascii="黑体" w:hAnsi="黑体" w:eastAsia="黑体"/>
          <w:b w:val="0"/>
          <w:color w:val="000000" w:themeColor="text1"/>
          <w:sz w:val="32"/>
          <w:szCs w:val="32"/>
          <w14:textFill>
            <w14:solidFill>
              <w14:schemeClr w14:val="tx1"/>
            </w14:solidFill>
          </w14:textFill>
        </w:rPr>
        <w:t>合同</w:t>
      </w:r>
      <w:r>
        <w:rPr>
          <w:rFonts w:hint="eastAsia" w:ascii="黑体" w:hAnsi="黑体" w:eastAsia="黑体"/>
          <w:b w:val="0"/>
          <w:color w:val="000000" w:themeColor="text1"/>
          <w:sz w:val="32"/>
          <w:szCs w:val="32"/>
          <w:lang w:val="en-US" w:eastAsia="zh-CN"/>
          <w14:textFill>
            <w14:solidFill>
              <w14:schemeClr w14:val="tx1"/>
            </w14:solidFill>
          </w14:textFill>
        </w:rPr>
        <w:t>草案</w:t>
      </w:r>
      <w:r>
        <w:rPr>
          <w:rFonts w:hint="eastAsia" w:ascii="黑体" w:hAnsi="黑体" w:eastAsia="黑体"/>
          <w:b w:val="0"/>
          <w:color w:val="000000" w:themeColor="text1"/>
          <w:sz w:val="32"/>
          <w:szCs w:val="32"/>
          <w14:textFill>
            <w14:solidFill>
              <w14:schemeClr w14:val="tx1"/>
            </w14:solidFill>
          </w14:textFill>
        </w:rPr>
        <w:t>条款</w:t>
      </w:r>
      <w:bookmarkEnd w:id="188"/>
      <w:bookmarkEnd w:id="189"/>
    </w:p>
    <w:p>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合同将使用财政部制定的《政府采购货物买卖合同（试行）》（下载地址：http://gks.mof.gov.cn/guizhangzhidu/202404/t20240426_3933545.htm），其中部分条款如下：</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一、交付地址：汉台区、南郑区、城固县等县区站点</w:t>
      </w:r>
      <w:r>
        <w:rPr>
          <w:rFonts w:hint="eastAsia" w:ascii="仿宋_GB2312" w:hAnsi="仿宋_GB2312" w:eastAsia="仿宋_GB2312" w:cs="仿宋_GB2312"/>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二、合同履行期限：签订合同后30天内。</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三、质量保证期：1年。</w:t>
      </w:r>
    </w:p>
    <w:p>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四、合同价款支付时间：合同签订后支付合同金额的50%，项目验收完成后支付剩余款项。</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p>
    <w:p>
      <w:pPr>
        <w:spacing w:line="240" w:lineRule="auto"/>
        <w:jc w:val="left"/>
        <w:rPr>
          <w:rFonts w:ascii="黑体" w:hAnsi="黑体" w:eastAsia="黑体"/>
          <w:b/>
          <w:bCs/>
          <w:color w:val="000000" w:themeColor="text1"/>
          <w:kern w:val="44"/>
          <w:sz w:val="32"/>
          <w:szCs w:val="32"/>
          <w14:textFill>
            <w14:solidFill>
              <w14:schemeClr w14:val="tx1"/>
            </w14:solidFill>
          </w14:textFill>
        </w:rPr>
      </w:pPr>
      <w:r>
        <w:rPr>
          <w:rFonts w:ascii="黑体" w:hAnsi="黑体" w:eastAsia="黑体"/>
          <w:bCs/>
          <w:color w:val="000000" w:themeColor="text1"/>
          <w:sz w:val="32"/>
          <w:szCs w:val="32"/>
          <w14:textFill>
            <w14:solidFill>
              <w14:schemeClr w14:val="tx1"/>
            </w14:solidFill>
          </w14:textFill>
        </w:rPr>
        <w:br w:type="page"/>
      </w:r>
    </w:p>
    <w:p>
      <w:pPr>
        <w:pStyle w:val="3"/>
        <w:rPr>
          <w:rFonts w:ascii="黑体" w:hAnsi="黑体" w:eastAsia="黑体" w:cs="黑体"/>
          <w:b w:val="0"/>
          <w:bCs/>
          <w:color w:val="000000" w:themeColor="text1"/>
          <w:sz w:val="32"/>
          <w:szCs w:val="32"/>
          <w14:textFill>
            <w14:solidFill>
              <w14:schemeClr w14:val="tx1"/>
            </w14:solidFill>
          </w14:textFill>
        </w:rPr>
      </w:pPr>
      <w:bookmarkStart w:id="204" w:name="_Toc5571"/>
      <w:r>
        <w:rPr>
          <w:rFonts w:hint="eastAsia" w:ascii="黑体" w:hAnsi="黑体" w:eastAsia="黑体" w:cs="黑体"/>
          <w:b w:val="0"/>
          <w:bCs/>
          <w:color w:val="000000" w:themeColor="text1"/>
          <w:sz w:val="32"/>
          <w:szCs w:val="32"/>
          <w14:textFill>
            <w14:solidFill>
              <w14:schemeClr w14:val="tx1"/>
            </w14:solidFill>
          </w14:textFill>
        </w:rPr>
        <w:t>第五章  响应文件构成及格式</w:t>
      </w:r>
      <w:bookmarkEnd w:id="190"/>
      <w:bookmarkEnd w:id="191"/>
      <w:bookmarkEnd w:id="192"/>
      <w:bookmarkEnd w:id="193"/>
      <w:bookmarkEnd w:id="204"/>
    </w:p>
    <w:p>
      <w:pPr>
        <w:pStyle w:val="42"/>
        <w:rPr>
          <w:color w:val="000000" w:themeColor="text1"/>
          <w14:textFill>
            <w14:solidFill>
              <w14:schemeClr w14:val="tx1"/>
            </w14:solidFill>
          </w14:textFill>
        </w:rPr>
      </w:pPr>
    </w:p>
    <w:p>
      <w:pPr>
        <w:pStyle w:val="42"/>
        <w:rPr>
          <w:color w:val="000000" w:themeColor="text1"/>
          <w14:textFill>
            <w14:solidFill>
              <w14:schemeClr w14:val="tx1"/>
            </w14:solidFill>
          </w14:textFill>
        </w:rPr>
      </w:pPr>
    </w:p>
    <w:p>
      <w:pPr>
        <w:pStyle w:val="42"/>
        <w:rPr>
          <w:color w:val="000000" w:themeColor="text1"/>
          <w14:textFill>
            <w14:solidFill>
              <w14:schemeClr w14:val="tx1"/>
            </w14:solidFill>
          </w14:textFill>
        </w:rPr>
      </w:pPr>
    </w:p>
    <w:p>
      <w:pPr>
        <w:pStyle w:val="4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tbl>
      <w:tblPr>
        <w:tblStyle w:val="22"/>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注释： </w:t>
            </w:r>
          </w:p>
          <w:p>
            <w:pPr>
              <w:spacing w:before="120" w:line="420" w:lineRule="exact"/>
              <w:ind w:firstLine="486"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1、本章分为三部分，是为方便投标人制作响应文件设计。第一、二部分应按要求或给定格式选择填报。</w:t>
            </w:r>
          </w:p>
          <w:p>
            <w:pPr>
              <w:spacing w:before="120" w:line="420" w:lineRule="exact"/>
              <w:ind w:firstLine="486"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2、第三部分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响应</w:t>
            </w:r>
            <w:r>
              <w:rPr>
                <w:rFonts w:hint="eastAsia" w:ascii="仿宋_GB2312" w:hAnsi="仿宋_GB2312" w:eastAsia="仿宋_GB2312" w:cs="仿宋_GB2312"/>
                <w:color w:val="000000" w:themeColor="text1"/>
                <w:sz w:val="24"/>
                <w:szCs w:val="24"/>
                <w14:textFill>
                  <w14:solidFill>
                    <w14:schemeClr w14:val="tx1"/>
                  </w14:solidFill>
                </w14:textFill>
              </w:rPr>
              <w:t>方案格式仅供参考，</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14:textFill>
                  <w14:solidFill>
                    <w14:schemeClr w14:val="tx1"/>
                  </w14:solidFill>
                </w14:textFill>
              </w:rPr>
              <w:t>应根据项目特点，结合本次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要求，对有关表格进行补充或修改，但不得对实质性文件的相关条款作出变动。</w:t>
            </w:r>
          </w:p>
        </w:tc>
      </w:tr>
    </w:tbl>
    <w:p>
      <w:pPr>
        <w:pStyle w:val="42"/>
        <w:rPr>
          <w:color w:val="000000" w:themeColor="text1"/>
          <w:sz w:val="20"/>
          <w14:textFill>
            <w14:solidFill>
              <w14:schemeClr w14:val="tx1"/>
            </w14:solidFill>
          </w14:textFill>
        </w:rPr>
      </w:pPr>
    </w:p>
    <w:p>
      <w:pPr>
        <w:pStyle w:val="39"/>
        <w:spacing w:line="240" w:lineRule="auto"/>
        <w:ind w:firstLine="253" w:firstLineChars="70"/>
        <w:jc w:val="center"/>
        <w:rPr>
          <w:rFonts w:ascii="宋体" w:hAnsi="宋体" w:eastAsia="宋体"/>
          <w:color w:val="000000" w:themeColor="text1"/>
          <w:sz w:val="36"/>
          <w:szCs w:val="36"/>
          <w14:textFill>
            <w14:solidFill>
              <w14:schemeClr w14:val="tx1"/>
            </w14:solidFill>
          </w14:textFill>
        </w:rPr>
      </w:pPr>
    </w:p>
    <w:p>
      <w:pPr>
        <w:pStyle w:val="39"/>
        <w:spacing w:line="240" w:lineRule="auto"/>
        <w:ind w:firstLine="253" w:firstLineChars="70"/>
        <w:jc w:val="center"/>
        <w:rPr>
          <w:color w:val="000000" w:themeColor="text1"/>
          <w:sz w:val="36"/>
          <w:szCs w:val="36"/>
          <w14:textFill>
            <w14:solidFill>
              <w14:schemeClr w14:val="tx1"/>
            </w14:solidFill>
          </w14:textFill>
        </w:rPr>
      </w:pPr>
      <w:r>
        <w:rPr>
          <w:rFonts w:ascii="宋体" w:hAnsi="宋体" w:eastAsia="宋体"/>
          <w:color w:val="000000" w:themeColor="text1"/>
          <w:sz w:val="36"/>
          <w:szCs w:val="36"/>
          <w14:textFill>
            <w14:solidFill>
              <w14:schemeClr w14:val="tx1"/>
            </w14:solidFill>
          </w14:textFill>
        </w:rPr>
        <w:br w:type="page"/>
      </w:r>
    </w:p>
    <w:p>
      <w:pPr>
        <w:spacing w:line="240" w:lineRule="auto"/>
        <w:jc w:val="left"/>
        <w:outlineLvl w:val="0"/>
        <w:rPr>
          <w:rFonts w:hint="eastAsia" w:ascii="华文中宋" w:hAnsi="华文中宋" w:eastAsia="华文中宋" w:cs="华文中宋"/>
          <w:color w:val="000000" w:themeColor="text1"/>
          <w:sz w:val="60"/>
          <w:szCs w:val="60"/>
          <w14:textFill>
            <w14:solidFill>
              <w14:schemeClr w14:val="tx1"/>
            </w14:solidFill>
          </w14:textFill>
        </w:rPr>
      </w:pPr>
      <w:bookmarkStart w:id="205" w:name="_Toc26293"/>
      <w:bookmarkStart w:id="206" w:name="_Toc257"/>
      <w:bookmarkStart w:id="207" w:name="_Toc10248"/>
      <w:bookmarkStart w:id="208" w:name="_Toc6132"/>
      <w:bookmarkStart w:id="209" w:name="_Toc26349"/>
      <w:bookmarkStart w:id="210" w:name="_Toc23235"/>
      <w:bookmarkStart w:id="211" w:name="_Toc24786"/>
    </w:p>
    <w:p>
      <w:pPr>
        <w:spacing w:line="240" w:lineRule="auto"/>
        <w:jc w:val="center"/>
        <w:outlineLvl w:val="0"/>
        <w:rPr>
          <w:color w:val="000000" w:themeColor="text1"/>
          <w:sz w:val="52"/>
          <w:szCs w:val="52"/>
          <w14:textFill>
            <w14:solidFill>
              <w14:schemeClr w14:val="tx1"/>
            </w14:solidFill>
          </w14:textFill>
        </w:rPr>
      </w:pPr>
      <w:bookmarkStart w:id="212" w:name="_Toc14411"/>
      <w:r>
        <w:rPr>
          <w:rFonts w:hint="eastAsia" w:ascii="华文中宋" w:hAnsi="华文中宋" w:eastAsia="华文中宋" w:cs="华文中宋"/>
          <w:color w:val="000000" w:themeColor="text1"/>
          <w:sz w:val="52"/>
          <w:szCs w:val="52"/>
          <w:lang w:val="en-US" w:eastAsia="zh-CN"/>
          <w14:textFill>
            <w14:solidFill>
              <w14:schemeClr w14:val="tx1"/>
            </w14:solidFill>
          </w14:textFill>
        </w:rPr>
        <w:t>汉中市</w:t>
      </w:r>
      <w:r>
        <w:rPr>
          <w:rFonts w:hint="eastAsia" w:ascii="华文中宋" w:hAnsi="华文中宋" w:eastAsia="华文中宋" w:cs="华文中宋"/>
          <w:color w:val="000000" w:themeColor="text1"/>
          <w:sz w:val="52"/>
          <w:szCs w:val="52"/>
          <w14:textFill>
            <w14:solidFill>
              <w14:schemeClr w14:val="tx1"/>
            </w14:solidFill>
          </w14:textFill>
        </w:rPr>
        <w:t>政府采购</w:t>
      </w:r>
      <w:r>
        <w:rPr>
          <w:rFonts w:hint="eastAsia" w:ascii="华文中宋" w:hAnsi="华文中宋" w:eastAsia="华文中宋" w:cs="华文中宋"/>
          <w:color w:val="000000" w:themeColor="text1"/>
          <w:sz w:val="52"/>
          <w:szCs w:val="52"/>
          <w:lang w:val="en-US" w:eastAsia="zh-CN"/>
          <w14:textFill>
            <w14:solidFill>
              <w14:schemeClr w14:val="tx1"/>
            </w14:solidFill>
          </w14:textFill>
        </w:rPr>
        <w:t>竞争性谈判</w:t>
      </w:r>
      <w:r>
        <w:rPr>
          <w:rFonts w:hint="eastAsia" w:ascii="华文中宋" w:hAnsi="华文中宋" w:eastAsia="华文中宋" w:cs="华文中宋"/>
          <w:color w:val="000000" w:themeColor="text1"/>
          <w:sz w:val="52"/>
          <w:szCs w:val="52"/>
          <w14:textFill>
            <w14:solidFill>
              <w14:schemeClr w14:val="tx1"/>
            </w14:solidFill>
          </w14:textFill>
        </w:rPr>
        <w:t>项目</w:t>
      </w:r>
      <w:bookmarkEnd w:id="205"/>
      <w:bookmarkEnd w:id="206"/>
      <w:bookmarkEnd w:id="207"/>
      <w:bookmarkEnd w:id="208"/>
      <w:bookmarkEnd w:id="209"/>
      <w:bookmarkEnd w:id="210"/>
      <w:bookmarkEnd w:id="211"/>
      <w:bookmarkEnd w:id="212"/>
    </w:p>
    <w:p>
      <w:pPr>
        <w:pStyle w:val="39"/>
        <w:spacing w:line="240" w:lineRule="auto"/>
        <w:ind w:left="0" w:leftChars="0" w:firstLine="0" w:firstLineChars="0"/>
        <w:jc w:val="both"/>
        <w:rPr>
          <w:rFonts w:ascii="华文仿宋" w:hAnsi="华文仿宋" w:cs="华文仿宋"/>
          <w:color w:val="000000" w:themeColor="text1"/>
          <w:sz w:val="36"/>
          <w:szCs w:val="36"/>
          <w14:textFill>
            <w14:solidFill>
              <w14:schemeClr w14:val="tx1"/>
            </w14:solidFill>
          </w14:textFill>
        </w:rPr>
      </w:pPr>
    </w:p>
    <w:p>
      <w:pPr>
        <w:spacing w:line="240" w:lineRule="auto"/>
        <w:jc w:val="center"/>
        <w:outlineLvl w:val="0"/>
        <w:rPr>
          <w:rFonts w:hint="eastAsia" w:ascii="华文中宋" w:hAnsi="华文中宋" w:eastAsia="华文中宋" w:cs="华文中宋"/>
          <w:color w:val="000000" w:themeColor="text1"/>
          <w:sz w:val="100"/>
          <w:szCs w:val="100"/>
          <w:lang w:val="en-US" w:eastAsia="zh-CN"/>
          <w14:textFill>
            <w14:solidFill>
              <w14:schemeClr w14:val="tx1"/>
            </w14:solidFill>
          </w14:textFill>
        </w:rPr>
      </w:pPr>
      <w:bookmarkStart w:id="213" w:name="_Toc19569"/>
      <w:bookmarkStart w:id="214" w:name="_Toc20481"/>
      <w:bookmarkStart w:id="215" w:name="_Toc6733"/>
      <w:bookmarkStart w:id="216" w:name="_Toc76"/>
      <w:bookmarkStart w:id="217" w:name="_Toc13950"/>
      <w:bookmarkStart w:id="218" w:name="_Toc17700"/>
      <w:bookmarkStart w:id="219" w:name="_Toc8257"/>
      <w:bookmarkStart w:id="220" w:name="_Toc26378"/>
      <w:r>
        <w:rPr>
          <w:rFonts w:hint="eastAsia" w:ascii="华文中宋" w:hAnsi="华文中宋" w:eastAsia="华文中宋" w:cs="华文中宋"/>
          <w:color w:val="000000" w:themeColor="text1"/>
          <w:sz w:val="100"/>
          <w:szCs w:val="100"/>
          <w:lang w:val="en-US" w:eastAsia="zh-CN"/>
          <w14:textFill>
            <w14:solidFill>
              <w14:schemeClr w14:val="tx1"/>
            </w14:solidFill>
          </w14:textFill>
        </w:rPr>
        <w:t>响应文件</w:t>
      </w:r>
      <w:bookmarkEnd w:id="213"/>
      <w:bookmarkEnd w:id="214"/>
      <w:bookmarkEnd w:id="215"/>
      <w:bookmarkEnd w:id="216"/>
      <w:bookmarkEnd w:id="217"/>
      <w:bookmarkEnd w:id="218"/>
      <w:bookmarkEnd w:id="219"/>
      <w:bookmarkEnd w:id="220"/>
    </w:p>
    <w:p>
      <w:pPr>
        <w:pStyle w:val="39"/>
        <w:spacing w:line="240" w:lineRule="auto"/>
        <w:ind w:firstLine="0" w:firstLineChars="0"/>
        <w:jc w:val="center"/>
        <w:rPr>
          <w:rFonts w:ascii="华文仿宋" w:hAnsi="华文仿宋" w:cs="华文仿宋"/>
          <w:color w:val="000000" w:themeColor="text1"/>
          <w:sz w:val="36"/>
          <w:szCs w:val="36"/>
          <w14:textFill>
            <w14:solidFill>
              <w14:schemeClr w14:val="tx1"/>
            </w14:solidFill>
          </w14:textFill>
        </w:rPr>
      </w:pPr>
    </w:p>
    <w:p>
      <w:pPr>
        <w:pStyle w:val="39"/>
        <w:spacing w:line="240" w:lineRule="auto"/>
        <w:ind w:firstLine="0" w:firstLineChars="0"/>
        <w:jc w:val="both"/>
        <w:rPr>
          <w:rFonts w:ascii="华文仿宋" w:hAnsi="华文仿宋" w:cs="华文仿宋"/>
          <w:color w:val="000000" w:themeColor="text1"/>
          <w:sz w:val="36"/>
          <w:szCs w:val="36"/>
          <w14:textFill>
            <w14:solidFill>
              <w14:schemeClr w14:val="tx1"/>
            </w14:solidFill>
          </w14:textFill>
        </w:rPr>
      </w:pPr>
    </w:p>
    <w:p>
      <w:pPr>
        <w:pStyle w:val="39"/>
        <w:spacing w:line="240" w:lineRule="auto"/>
        <w:ind w:firstLine="0" w:firstLineChars="0"/>
        <w:jc w:val="both"/>
        <w:rPr>
          <w:rFonts w:ascii="华文仿宋" w:hAnsi="华文仿宋" w:cs="华文仿宋"/>
          <w:color w:val="000000" w:themeColor="text1"/>
          <w:sz w:val="36"/>
          <w:szCs w:val="36"/>
          <w14:textFill>
            <w14:solidFill>
              <w14:schemeClr w14:val="tx1"/>
            </w14:solidFill>
          </w14:textFill>
        </w:rPr>
      </w:pPr>
    </w:p>
    <w:p>
      <w:pPr>
        <w:pStyle w:val="39"/>
        <w:spacing w:line="240" w:lineRule="auto"/>
        <w:ind w:firstLine="0" w:firstLineChars="0"/>
        <w:jc w:val="center"/>
        <w:rPr>
          <w:rFonts w:ascii="华文仿宋" w:hAnsi="华文仿宋" w:cs="华文仿宋"/>
          <w:color w:val="000000" w:themeColor="text1"/>
          <w:sz w:val="36"/>
          <w14:textFill>
            <w14:solidFill>
              <w14:schemeClr w14:val="tx1"/>
            </w14:solidFill>
          </w14:textFill>
        </w:rPr>
      </w:pPr>
    </w:p>
    <w:p>
      <w:pPr>
        <w:pStyle w:val="39"/>
        <w:spacing w:line="240" w:lineRule="auto"/>
        <w:ind w:firstLine="0" w:firstLineChars="0"/>
        <w:jc w:val="center"/>
        <w:rPr>
          <w:rFonts w:ascii="华文仿宋" w:hAnsi="华文仿宋" w:cs="华文仿宋"/>
          <w:color w:val="000000" w:themeColor="text1"/>
          <w:sz w:val="36"/>
          <w14:textFill>
            <w14:solidFill>
              <w14:schemeClr w14:val="tx1"/>
            </w14:solidFill>
          </w14:textFill>
        </w:rPr>
      </w:pPr>
    </w:p>
    <w:p>
      <w:pPr>
        <w:pStyle w:val="39"/>
        <w:spacing w:line="240" w:lineRule="auto"/>
        <w:ind w:firstLine="0" w:firstLineChars="0"/>
        <w:jc w:val="center"/>
        <w:rPr>
          <w:rFonts w:ascii="华文仿宋" w:hAnsi="华文仿宋" w:cs="华文仿宋"/>
          <w:color w:val="000000" w:themeColor="text1"/>
          <w:sz w:val="36"/>
          <w14:textFill>
            <w14:solidFill>
              <w14:schemeClr w14:val="tx1"/>
            </w14:solidFill>
          </w14:textFill>
        </w:rPr>
      </w:pPr>
    </w:p>
    <w:p>
      <w:pPr>
        <w:pStyle w:val="39"/>
        <w:spacing w:line="240" w:lineRule="auto"/>
        <w:ind w:firstLine="1452" w:firstLineChars="400"/>
        <w:outlineLvl w:val="0"/>
        <w:rPr>
          <w:rFonts w:hint="eastAsia" w:ascii="仿宋_GB2312" w:hAnsi="仿宋_GB2312" w:eastAsia="仿宋_GB2312" w:cs="仿宋_GB2312"/>
          <w:b/>
          <w:color w:val="000000" w:themeColor="text1"/>
          <w:sz w:val="36"/>
          <w:szCs w:val="36"/>
          <w:u w:val="single"/>
          <w14:textFill>
            <w14:solidFill>
              <w14:schemeClr w14:val="tx1"/>
            </w14:solidFill>
          </w14:textFill>
        </w:rPr>
      </w:pPr>
      <w:bookmarkStart w:id="221" w:name="_Toc23171"/>
      <w:bookmarkStart w:id="222" w:name="_Toc2030"/>
      <w:bookmarkStart w:id="223" w:name="_Toc24457"/>
      <w:bookmarkStart w:id="224" w:name="_Toc15354"/>
      <w:bookmarkStart w:id="225" w:name="_Toc12627"/>
      <w:bookmarkStart w:id="226" w:name="_Toc22280"/>
      <w:bookmarkStart w:id="227" w:name="_Toc15913"/>
      <w:bookmarkStart w:id="228" w:name="_Toc24486"/>
      <w:r>
        <w:rPr>
          <w:rFonts w:hint="eastAsia" w:ascii="仿宋_GB2312" w:hAnsi="仿宋_GB2312" w:eastAsia="仿宋_GB2312" w:cs="仿宋_GB2312"/>
          <w:bCs/>
          <w:color w:val="000000" w:themeColor="text1"/>
          <w:sz w:val="36"/>
          <w:szCs w:val="36"/>
          <w14:textFill>
            <w14:solidFill>
              <w14:schemeClr w14:val="tx1"/>
            </w14:solidFill>
          </w14:textFill>
        </w:rPr>
        <w:t>项目名称：</w:t>
      </w:r>
      <w:bookmarkEnd w:id="221"/>
      <w:bookmarkEnd w:id="222"/>
      <w:bookmarkEnd w:id="223"/>
      <w:bookmarkEnd w:id="224"/>
      <w:bookmarkEnd w:id="225"/>
      <w:bookmarkEnd w:id="226"/>
      <w:bookmarkEnd w:id="227"/>
      <w:bookmarkEnd w:id="228"/>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             </w:t>
      </w:r>
    </w:p>
    <w:p>
      <w:pPr>
        <w:pStyle w:val="39"/>
        <w:spacing w:line="240" w:lineRule="auto"/>
        <w:ind w:firstLine="1452" w:firstLineChars="400"/>
        <w:outlineLvl w:val="0"/>
        <w:rPr>
          <w:rFonts w:hint="eastAsia" w:ascii="仿宋_GB2312" w:hAnsi="仿宋_GB2312" w:eastAsia="仿宋_GB2312" w:cs="仿宋_GB2312"/>
          <w:color w:val="000000" w:themeColor="text1"/>
          <w:sz w:val="36"/>
          <w:szCs w:val="36"/>
          <w:u w:val="single"/>
          <w14:textFill>
            <w14:solidFill>
              <w14:schemeClr w14:val="tx1"/>
            </w14:solidFill>
          </w14:textFill>
        </w:rPr>
      </w:pPr>
      <w:bookmarkStart w:id="229" w:name="_Toc16607"/>
      <w:bookmarkStart w:id="230" w:name="_Toc29966"/>
      <w:bookmarkStart w:id="231" w:name="_Toc22519"/>
      <w:bookmarkStart w:id="232" w:name="_Toc21054"/>
      <w:bookmarkStart w:id="233" w:name="_Toc11267"/>
      <w:bookmarkStart w:id="234" w:name="_Toc15987"/>
      <w:bookmarkStart w:id="235" w:name="_Toc5428"/>
      <w:bookmarkStart w:id="236" w:name="_Toc1120"/>
      <w:r>
        <w:rPr>
          <w:rFonts w:hint="eastAsia" w:ascii="仿宋_GB2312" w:hAnsi="仿宋_GB2312" w:eastAsia="仿宋_GB2312" w:cs="仿宋_GB2312"/>
          <w:bCs/>
          <w:color w:val="000000" w:themeColor="text1"/>
          <w:sz w:val="36"/>
          <w:szCs w:val="36"/>
          <w14:textFill>
            <w14:solidFill>
              <w14:schemeClr w14:val="tx1"/>
            </w14:solidFill>
          </w14:textFill>
        </w:rPr>
        <w:t>项目</w:t>
      </w:r>
      <w:r>
        <w:rPr>
          <w:rFonts w:hint="eastAsia" w:ascii="仿宋_GB2312" w:hAnsi="仿宋_GB2312" w:eastAsia="仿宋_GB2312" w:cs="仿宋_GB2312"/>
          <w:bCs/>
          <w:color w:val="000000" w:themeColor="text1"/>
          <w:sz w:val="36"/>
          <w:szCs w:val="36"/>
          <w:lang w:val="en-US" w:eastAsia="zh-CN"/>
          <w14:textFill>
            <w14:solidFill>
              <w14:schemeClr w14:val="tx1"/>
            </w14:solidFill>
          </w14:textFill>
        </w:rPr>
        <w:t>编号</w:t>
      </w:r>
      <w:r>
        <w:rPr>
          <w:rFonts w:hint="eastAsia" w:ascii="仿宋_GB2312" w:hAnsi="仿宋_GB2312" w:eastAsia="仿宋_GB2312" w:cs="仿宋_GB2312"/>
          <w:bCs/>
          <w:color w:val="000000" w:themeColor="text1"/>
          <w:sz w:val="36"/>
          <w:szCs w:val="36"/>
          <w14:textFill>
            <w14:solidFill>
              <w14:schemeClr w14:val="tx1"/>
            </w14:solidFill>
          </w14:textFill>
        </w:rPr>
        <w:t>：</w:t>
      </w:r>
      <w:bookmarkEnd w:id="229"/>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             </w:t>
      </w:r>
    </w:p>
    <w:p>
      <w:pPr>
        <w:pStyle w:val="39"/>
        <w:spacing w:line="240" w:lineRule="auto"/>
        <w:ind w:firstLine="1452" w:firstLineChars="400"/>
        <w:outlineLvl w:val="0"/>
        <w:rPr>
          <w:rFonts w:hint="eastAsia" w:ascii="仿宋_GB2312" w:hAnsi="仿宋_GB2312" w:eastAsia="仿宋_GB2312" w:cs="仿宋_GB2312"/>
          <w:color w:val="000000" w:themeColor="text1"/>
          <w:sz w:val="36"/>
          <w14:textFill>
            <w14:solidFill>
              <w14:schemeClr w14:val="tx1"/>
            </w14:solidFill>
          </w14:textFill>
        </w:rPr>
      </w:pPr>
      <w:bookmarkStart w:id="237" w:name="_Toc18959"/>
      <w:r>
        <w:rPr>
          <w:rFonts w:hint="eastAsia" w:ascii="仿宋_GB2312" w:hAnsi="仿宋_GB2312" w:eastAsia="仿宋_GB2312" w:cs="仿宋_GB2312"/>
          <w:color w:val="000000" w:themeColor="text1"/>
          <w:sz w:val="36"/>
          <w14:textFill>
            <w14:solidFill>
              <w14:schemeClr w14:val="tx1"/>
            </w14:solidFill>
          </w14:textFill>
        </w:rPr>
        <w:t>供 应 商：</w:t>
      </w:r>
      <w:r>
        <w:rPr>
          <w:rFonts w:hint="eastAsia" w:ascii="仿宋_GB2312" w:hAnsi="仿宋_GB2312" w:eastAsia="仿宋_GB2312" w:cs="仿宋_GB2312"/>
          <w:color w:val="000000" w:themeColor="text1"/>
          <w:sz w:val="36"/>
          <w:u w:val="single"/>
          <w14:textFill>
            <w14:solidFill>
              <w14:schemeClr w14:val="tx1"/>
            </w14:solidFill>
          </w14:textFill>
        </w:rPr>
        <w:t xml:space="preserve"> </w:t>
      </w:r>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            </w:t>
      </w:r>
      <w:r>
        <w:rPr>
          <w:rFonts w:hint="eastAsia" w:ascii="仿宋_GB2312" w:hAnsi="仿宋_GB2312" w:eastAsia="仿宋_GB2312" w:cs="仿宋_GB2312"/>
          <w:color w:val="000000" w:themeColor="text1"/>
          <w:sz w:val="36"/>
          <w14:textFill>
            <w14:solidFill>
              <w14:schemeClr w14:val="tx1"/>
            </w14:solidFill>
          </w14:textFill>
        </w:rPr>
        <w:t>（公章）</w:t>
      </w:r>
      <w:bookmarkEnd w:id="230"/>
      <w:bookmarkEnd w:id="231"/>
      <w:bookmarkEnd w:id="232"/>
      <w:bookmarkEnd w:id="233"/>
      <w:bookmarkEnd w:id="234"/>
      <w:bookmarkEnd w:id="235"/>
      <w:bookmarkEnd w:id="236"/>
      <w:bookmarkEnd w:id="237"/>
    </w:p>
    <w:p>
      <w:pPr>
        <w:pStyle w:val="39"/>
        <w:spacing w:line="240" w:lineRule="auto"/>
        <w:ind w:firstLine="1452" w:firstLineChars="400"/>
        <w:jc w:val="left"/>
        <w:outlineLvl w:val="0"/>
        <w:rPr>
          <w:rFonts w:hint="eastAsia" w:ascii="仿宋_GB2312" w:hAnsi="仿宋_GB2312" w:eastAsia="仿宋_GB2312" w:cs="仿宋_GB2312"/>
          <w:color w:val="000000" w:themeColor="text1"/>
          <w:sz w:val="36"/>
          <w:szCs w:val="36"/>
          <w:u w:val="single"/>
          <w14:textFill>
            <w14:solidFill>
              <w14:schemeClr w14:val="tx1"/>
            </w14:solidFill>
          </w14:textFill>
        </w:rPr>
      </w:pPr>
      <w:bookmarkStart w:id="238" w:name="_Toc7734"/>
      <w:bookmarkStart w:id="239" w:name="_Toc21702"/>
      <w:bookmarkStart w:id="240" w:name="_Toc9715"/>
      <w:bookmarkStart w:id="241" w:name="_Toc5243"/>
      <w:bookmarkStart w:id="242" w:name="_Toc880"/>
      <w:bookmarkStart w:id="243" w:name="_Toc26250"/>
      <w:bookmarkStart w:id="244" w:name="_Toc15429"/>
      <w:bookmarkStart w:id="245" w:name="_Toc24294"/>
      <w:r>
        <w:rPr>
          <w:rFonts w:hint="eastAsia" w:ascii="仿宋_GB2312" w:hAnsi="仿宋_GB2312" w:eastAsia="仿宋_GB2312" w:cs="仿宋_GB2312"/>
          <w:color w:val="000000" w:themeColor="text1"/>
          <w:sz w:val="36"/>
          <w14:textFill>
            <w14:solidFill>
              <w14:schemeClr w14:val="tx1"/>
            </w14:solidFill>
          </w14:textFill>
        </w:rPr>
        <w:t>时　  间：</w:t>
      </w:r>
      <w:bookmarkEnd w:id="238"/>
      <w:bookmarkEnd w:id="239"/>
      <w:bookmarkEnd w:id="240"/>
      <w:r>
        <w:rPr>
          <w:rFonts w:hint="eastAsia" w:ascii="仿宋_GB2312" w:hAnsi="仿宋_GB2312" w:eastAsia="仿宋_GB2312" w:cs="仿宋_GB2312"/>
          <w:color w:val="000000" w:themeColor="text1"/>
          <w:sz w:val="36"/>
          <w:u w:val="single"/>
          <w14:textFill>
            <w14:solidFill>
              <w14:schemeClr w14:val="tx1"/>
            </w14:solidFill>
          </w14:textFill>
        </w:rPr>
        <w:t xml:space="preserve"> </w:t>
      </w:r>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            </w:t>
      </w:r>
      <w:bookmarkEnd w:id="241"/>
      <w:bookmarkEnd w:id="242"/>
      <w:bookmarkEnd w:id="243"/>
      <w:bookmarkEnd w:id="244"/>
      <w:bookmarkEnd w:id="245"/>
    </w:p>
    <w:p>
      <w:pPr>
        <w:pStyle w:val="39"/>
        <w:spacing w:line="240" w:lineRule="auto"/>
        <w:ind w:firstLine="1452" w:firstLineChars="400"/>
        <w:jc w:val="left"/>
        <w:outlineLvl w:val="0"/>
        <w:rPr>
          <w:rFonts w:hint="eastAsia" w:ascii="仿宋_GB2312" w:hAnsi="仿宋_GB2312" w:eastAsia="仿宋_GB2312" w:cs="仿宋_GB2312"/>
          <w:color w:val="000000" w:themeColor="text1"/>
          <w:sz w:val="36"/>
          <w:szCs w:val="36"/>
          <w:u w:val="single"/>
          <w14:textFill>
            <w14:solidFill>
              <w14:schemeClr w14:val="tx1"/>
            </w14:solidFill>
          </w14:textFill>
        </w:rPr>
      </w:pPr>
    </w:p>
    <w:p>
      <w:pPr>
        <w:pStyle w:val="39"/>
        <w:spacing w:line="240" w:lineRule="auto"/>
        <w:ind w:firstLine="1452" w:firstLineChars="400"/>
        <w:jc w:val="left"/>
        <w:outlineLvl w:val="0"/>
        <w:rPr>
          <w:rFonts w:hint="eastAsia" w:ascii="仿宋" w:hAnsi="仿宋" w:eastAsia="仿宋" w:cs="仿宋"/>
          <w:color w:val="000000" w:themeColor="text1"/>
          <w:sz w:val="36"/>
          <w:szCs w:val="36"/>
          <w:u w:val="single"/>
          <w14:textFill>
            <w14:solidFill>
              <w14:schemeClr w14:val="tx1"/>
            </w14:solidFill>
          </w14:textFill>
        </w:rPr>
      </w:pPr>
    </w:p>
    <w:bookmarkEnd w:id="194"/>
    <w:bookmarkEnd w:id="195"/>
    <w:bookmarkEnd w:id="196"/>
    <w:bookmarkEnd w:id="197"/>
    <w:bookmarkEnd w:id="198"/>
    <w:bookmarkEnd w:id="199"/>
    <w:bookmarkEnd w:id="200"/>
    <w:bookmarkEnd w:id="201"/>
    <w:bookmarkEnd w:id="202"/>
    <w:bookmarkEnd w:id="203"/>
    <w:p>
      <w:pPr>
        <w:rPr>
          <w:rFonts w:ascii="华文仿宋" w:hAnsi="华文仿宋" w:cs="华文仿宋"/>
          <w:color w:val="000000" w:themeColor="text1"/>
          <w:sz w:val="36"/>
          <w14:textFill>
            <w14:solidFill>
              <w14:schemeClr w14:val="tx1"/>
            </w14:solidFill>
          </w14:textFill>
        </w:rPr>
      </w:pPr>
      <w:bookmarkStart w:id="246" w:name="_Toc21571_WPSOffice_Level1"/>
      <w:bookmarkStart w:id="247" w:name="_Toc22476_WPSOffice_Level1"/>
      <w:bookmarkStart w:id="248" w:name="_Toc2071_WPSOffice_Level1"/>
      <w:bookmarkStart w:id="249" w:name="_Toc31082_WPSOffice_Level1"/>
      <w:r>
        <w:rPr>
          <w:rFonts w:ascii="华文仿宋" w:hAnsi="华文仿宋" w:cs="华文仿宋"/>
          <w:color w:val="000000" w:themeColor="text1"/>
          <w:sz w:val="36"/>
          <w14:textFill>
            <w14:solidFill>
              <w14:schemeClr w14:val="tx1"/>
            </w14:solidFill>
          </w14:textFill>
        </w:rPr>
        <w:br w:type="page"/>
      </w:r>
    </w:p>
    <w:bookmarkEnd w:id="246"/>
    <w:bookmarkEnd w:id="247"/>
    <w:bookmarkEnd w:id="248"/>
    <w:bookmarkEnd w:id="249"/>
    <w:p>
      <w:pPr>
        <w:pStyle w:val="43"/>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44"/>
          <w:szCs w:val="44"/>
          <w14:textFill>
            <w14:solidFill>
              <w14:schemeClr w14:val="tx1"/>
            </w14:solidFill>
          </w14:textFill>
        </w:rPr>
        <w:t>目  录</w:t>
      </w:r>
    </w:p>
    <w:p>
      <w:pPr>
        <w:tabs>
          <w:tab w:val="right" w:leader="hyphen" w:pos="8504"/>
        </w:tabs>
        <w:spacing w:line="500" w:lineRule="exact"/>
        <w:ind w:left="1981" w:leftChars="200" w:right="849" w:rightChars="300" w:hanging="1415" w:hangingChars="50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第一部分  资格证明文件</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t>X</w:t>
      </w:r>
    </w:p>
    <w:p>
      <w:pPr>
        <w:tabs>
          <w:tab w:val="right" w:leader="hyphen" w:pos="8504"/>
        </w:tabs>
        <w:spacing w:line="500" w:lineRule="exact"/>
        <w:ind w:left="1981" w:leftChars="200" w:right="849" w:rightChars="300" w:hanging="1415" w:hangingChars="500"/>
        <w:rPr>
          <w:rFonts w:hint="eastAsia" w:ascii="仿宋_GB2312" w:hAnsi="仿宋_GB2312" w:eastAsia="仿宋_GB2312" w:cs="仿宋_GB2312"/>
          <w:color w:val="000000" w:themeColor="text1"/>
          <w14:textFill>
            <w14:solidFill>
              <w14:schemeClr w14:val="tx1"/>
            </w14:solidFill>
          </w14:textFill>
        </w:rPr>
      </w:pPr>
      <w:r>
        <w:rPr>
          <w:color w:val="000000" w:themeColor="text1"/>
          <w14:textFill>
            <w14:solidFill>
              <w14:schemeClr w14:val="tx1"/>
            </w14:solidFill>
          </w14:textFill>
        </w:rPr>
        <w:t>　　　</w:t>
      </w:r>
      <w:r>
        <w:rPr>
          <w:rFonts w:hint="eastAsia" w:ascii="仿宋_GB2312" w:hAnsi="仿宋_GB2312" w:eastAsia="仿宋_GB2312" w:cs="仿宋_GB2312"/>
          <w:color w:val="000000" w:themeColor="text1"/>
          <w14:textFill>
            <w14:solidFill>
              <w14:schemeClr w14:val="tx1"/>
            </w14:solidFill>
          </w14:textFill>
        </w:rPr>
        <w:t>一、营业执照等主体资格证明文件</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二、财务状况报告</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三、社保缴纳证明</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四、税收缴纳证明</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五、书面声明</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六、法定代表人授权委托书</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right="849" w:rightChars="300" w:firstLine="1415" w:firstLineChars="500"/>
        <w:rPr>
          <w:rFonts w:hint="eastAsia" w:ascii="黑体" w:hAnsi="黑体" w:eastAsia="黑体" w:cs="黑体"/>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七、</w:t>
      </w:r>
      <w:r>
        <w:rPr>
          <w:rFonts w:hint="eastAsia" w:ascii="仿宋_GB2312" w:hAnsi="仿宋_GB2312" w:eastAsia="仿宋_GB2312" w:cs="仿宋_GB2312"/>
          <w:color w:val="000000" w:themeColor="text1"/>
          <w14:textFill>
            <w14:solidFill>
              <w14:schemeClr w14:val="tx1"/>
            </w14:solidFill>
          </w14:textFill>
        </w:rPr>
        <w:t>落实政府采购政策需满足的资格要求</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left="1981" w:leftChars="200" w:right="849" w:rightChars="300" w:hanging="1415" w:hangingChars="50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第二部分  符合性证明文件</w:t>
      </w:r>
      <w:r>
        <w:rPr>
          <w:color w:val="000000" w:themeColor="text1"/>
          <w14:textFill>
            <w14:solidFill>
              <w14:schemeClr w14:val="tx1"/>
            </w14:solidFill>
          </w14:textFill>
        </w:rPr>
        <w:tab/>
      </w:r>
      <w:r>
        <w:rPr>
          <w:color w:val="000000" w:themeColor="text1"/>
          <w14:textFill>
            <w14:solidFill>
              <w14:schemeClr w14:val="tx1"/>
            </w14:solidFill>
          </w14:textFill>
        </w:rPr>
        <w:t>X</w:t>
      </w:r>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一、响应函格式</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left="1981" w:leftChars="200" w:right="849" w:rightChars="300" w:hanging="1415" w:hanging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二、第一次</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报价表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left="1981" w:leftChars="200" w:right="849" w:rightChars="300" w:hanging="1415" w:hanging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分项报价表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left="1981" w:leftChars="500" w:right="849" w:rightChars="300" w:hanging="566" w:hanging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三、供应商参加政府采购活动承诺书</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四</w:t>
      </w:r>
      <w:r>
        <w:rPr>
          <w:rFonts w:hint="eastAsia" w:ascii="仿宋_GB2312" w:hAnsi="仿宋_GB2312" w:eastAsia="仿宋_GB2312" w:cs="仿宋_GB2312"/>
          <w:color w:val="000000" w:themeColor="text1"/>
          <w14:textFill>
            <w14:solidFill>
              <w14:schemeClr w14:val="tx1"/>
            </w14:solidFill>
          </w14:textFill>
        </w:rPr>
        <w:t>、技术服务偏差表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left="1981" w:leftChars="200" w:right="849" w:rightChars="300" w:hanging="1415" w:hanging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en-US" w:eastAsia="zh-CN"/>
          <w14:textFill>
            <w14:solidFill>
              <w14:schemeClr w14:val="tx1"/>
            </w14:solidFill>
          </w14:textFill>
        </w:rPr>
        <w:t>五</w:t>
      </w:r>
      <w:r>
        <w:rPr>
          <w:rFonts w:hint="eastAsia" w:ascii="仿宋_GB2312" w:hAnsi="仿宋_GB2312" w:eastAsia="仿宋_GB2312" w:cs="仿宋_GB2312"/>
          <w:color w:val="000000" w:themeColor="text1"/>
          <w14:textFill>
            <w14:solidFill>
              <w14:schemeClr w14:val="tx1"/>
            </w14:solidFill>
          </w14:textFill>
        </w:rPr>
        <w:t>、合同</w:t>
      </w:r>
      <w:r>
        <w:rPr>
          <w:rFonts w:hint="eastAsia" w:ascii="仿宋_GB2312" w:hAnsi="仿宋_GB2312" w:eastAsia="仿宋_GB2312" w:cs="仿宋_GB2312"/>
          <w:color w:val="000000" w:themeColor="text1"/>
          <w:lang w:val="en-US" w:eastAsia="zh-CN"/>
          <w14:textFill>
            <w14:solidFill>
              <w14:schemeClr w14:val="tx1"/>
            </w14:solidFill>
          </w14:textFill>
        </w:rPr>
        <w:t>草案</w:t>
      </w:r>
      <w:r>
        <w:rPr>
          <w:rFonts w:hint="eastAsia" w:ascii="仿宋_GB2312" w:hAnsi="仿宋_GB2312" w:eastAsia="仿宋_GB2312" w:cs="仿宋_GB2312"/>
          <w:color w:val="000000" w:themeColor="text1"/>
          <w14:textFill>
            <w14:solidFill>
              <w14:schemeClr w14:val="tx1"/>
            </w14:solidFill>
          </w14:textFill>
        </w:rPr>
        <w:t>条款响应</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right="849" w:rightChars="30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    第三部分  响应方案</w:t>
      </w:r>
    </w:p>
    <w:p>
      <w:pPr>
        <w:tabs>
          <w:tab w:val="right" w:leader="hyphen" w:pos="8504"/>
        </w:tabs>
        <w:spacing w:line="500" w:lineRule="exact"/>
        <w:ind w:left="1981" w:leftChars="200" w:right="849" w:rightChars="300" w:hanging="1415" w:hangingChars="500"/>
        <w:rPr>
          <w:rFonts w:hint="eastAsia" w:ascii="仿宋_GB2312" w:hAnsi="仿宋_GB2312" w:eastAsia="仿宋_GB2312"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一、供应商</w:t>
      </w:r>
      <w:r>
        <w:rPr>
          <w:rFonts w:hint="eastAsia" w:ascii="仿宋_GB2312" w:hAnsi="仿宋_GB2312" w:eastAsia="仿宋_GB2312" w:cs="仿宋_GB2312"/>
          <w:color w:val="000000" w:themeColor="text1"/>
          <w:lang w:val="en-US" w:eastAsia="zh-CN"/>
          <w14:textFill>
            <w14:solidFill>
              <w14:schemeClr w14:val="tx1"/>
            </w14:solidFill>
          </w14:textFill>
        </w:rPr>
        <w:t>基本情况及其性质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left="849" w:leftChars="300" w:right="849" w:rightChars="300"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二、技术服务方案</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numPr>
          <w:ilvl w:val="0"/>
          <w:numId w:val="0"/>
        </w:numPr>
        <w:tabs>
          <w:tab w:val="right" w:leader="hyphen" w:pos="8504"/>
        </w:tabs>
        <w:spacing w:line="500" w:lineRule="exact"/>
        <w:ind w:left="1981" w:leftChars="500" w:right="849" w:rightChars="300" w:hanging="566" w:hanging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三、</w:t>
      </w:r>
      <w:r>
        <w:rPr>
          <w:rFonts w:hint="eastAsia" w:ascii="仿宋_GB2312" w:hAnsi="仿宋_GB2312" w:eastAsia="仿宋_GB2312" w:cs="仿宋_GB2312"/>
          <w:color w:val="000000" w:themeColor="text1"/>
          <w14:textFill>
            <w14:solidFill>
              <w14:schemeClr w14:val="tx1"/>
            </w14:solidFill>
          </w14:textFill>
        </w:rPr>
        <w:t>参考样表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spacing w:line="500" w:lineRule="exact"/>
        <w:jc w:val="center"/>
        <w:rPr>
          <w:rFonts w:ascii="黑体" w:hAnsi="黑体" w:eastAsia="黑体"/>
          <w:b/>
          <w:color w:val="000000" w:themeColor="text1"/>
          <w14:textFill>
            <w14:solidFill>
              <w14:schemeClr w14:val="tx1"/>
            </w14:solidFill>
          </w14:textFill>
        </w:rPr>
      </w:pPr>
    </w:p>
    <w:p>
      <w:pPr>
        <w:spacing w:line="500" w:lineRule="exact"/>
        <w:jc w:val="center"/>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br w:type="page"/>
      </w:r>
      <w:bookmarkStart w:id="250" w:name="_Toc5115_WPSOffice_Level1"/>
      <w:bookmarkStart w:id="251" w:name="_Toc8079"/>
      <w:bookmarkStart w:id="252" w:name="_Toc16498"/>
      <w:bookmarkStart w:id="253" w:name="_Toc6199"/>
      <w:bookmarkStart w:id="254" w:name="_Toc23478"/>
      <w:bookmarkStart w:id="255" w:name="_Toc3534_WPSOffice_Level1"/>
      <w:bookmarkStart w:id="256" w:name="_Toc14670_WPSOffice_Level1"/>
      <w:r>
        <w:rPr>
          <w:rStyle w:val="44"/>
          <w:rFonts w:hint="eastAsia" w:ascii="黑体" w:hAnsi="黑体" w:eastAsia="黑体" w:cs="黑体"/>
          <w:b w:val="0"/>
          <w:bCs/>
          <w:color w:val="000000" w:themeColor="text1"/>
          <w:sz w:val="32"/>
          <w:szCs w:val="40"/>
          <w14:textFill>
            <w14:solidFill>
              <w14:schemeClr w14:val="tx1"/>
            </w14:solidFill>
          </w14:textFill>
        </w:rPr>
        <w:t>第一部分  资格证明文件</w:t>
      </w:r>
      <w:bookmarkEnd w:id="250"/>
      <w:bookmarkEnd w:id="251"/>
      <w:bookmarkEnd w:id="252"/>
      <w:bookmarkEnd w:id="253"/>
      <w:bookmarkEnd w:id="254"/>
      <w:bookmarkEnd w:id="255"/>
      <w:bookmarkEnd w:id="256"/>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供应商应按照</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文件第</w:t>
      </w:r>
      <w:r>
        <w:rPr>
          <w:rFonts w:hint="eastAsia" w:ascii="仿宋_GB2312" w:hAnsi="仿宋_GB2312" w:eastAsia="仿宋_GB2312" w:cs="仿宋_GB2312"/>
          <w:color w:val="000000" w:themeColor="text1"/>
          <w:lang w:val="en-US" w:eastAsia="zh-CN"/>
          <w14:textFill>
            <w14:solidFill>
              <w14:schemeClr w14:val="tx1"/>
            </w14:solidFill>
          </w14:textFill>
        </w:rPr>
        <w:t>二</w:t>
      </w:r>
      <w:r>
        <w:rPr>
          <w:rFonts w:hint="eastAsia" w:ascii="仿宋_GB2312" w:hAnsi="仿宋_GB2312" w:eastAsia="仿宋_GB2312" w:cs="仿宋_GB2312"/>
          <w:color w:val="000000" w:themeColor="text1"/>
          <w14:textFill>
            <w14:solidFill>
              <w14:schemeClr w14:val="tx1"/>
            </w14:solidFill>
          </w14:textFill>
        </w:rPr>
        <w:t>章</w:t>
      </w:r>
      <w:r>
        <w:rPr>
          <w:rFonts w:hint="eastAsia" w:ascii="仿宋_GB2312" w:hAnsi="仿宋_GB2312" w:eastAsia="仿宋_GB2312" w:cs="仿宋_GB2312"/>
          <w:color w:val="000000" w:themeColor="text1"/>
          <w:lang w:val="en-US" w:eastAsia="zh-CN"/>
          <w14:textFill>
            <w14:solidFill>
              <w14:schemeClr w14:val="tx1"/>
            </w14:solidFill>
          </w14:textFill>
        </w:rPr>
        <w:t>《资格审查表》</w:t>
      </w:r>
      <w:r>
        <w:rPr>
          <w:rFonts w:hint="eastAsia" w:ascii="仿宋_GB2312" w:hAnsi="仿宋_GB2312" w:eastAsia="仿宋_GB2312" w:cs="仿宋_GB2312"/>
          <w:color w:val="000000" w:themeColor="text1"/>
          <w14:textFill>
            <w14:solidFill>
              <w14:schemeClr w14:val="tx1"/>
            </w14:solidFill>
          </w14:textFill>
        </w:rPr>
        <w:t>所列</w:t>
      </w:r>
      <w:r>
        <w:rPr>
          <w:rFonts w:hint="eastAsia" w:ascii="仿宋_GB2312" w:hAnsi="仿宋_GB2312" w:eastAsia="仿宋_GB2312" w:cs="仿宋_GB2312"/>
          <w:color w:val="000000" w:themeColor="text1"/>
          <w:lang w:val="en-US" w:eastAsia="zh-CN"/>
          <w14:textFill>
            <w14:solidFill>
              <w14:schemeClr w14:val="tx1"/>
            </w14:solidFill>
          </w14:textFill>
        </w:rPr>
        <w:t>审查项</w:t>
      </w:r>
      <w:r>
        <w:rPr>
          <w:rFonts w:hint="eastAsia" w:ascii="仿宋_GB2312" w:hAnsi="仿宋_GB2312" w:eastAsia="仿宋_GB2312" w:cs="仿宋_GB2312"/>
          <w:color w:val="000000" w:themeColor="text1"/>
          <w14:textFill>
            <w14:solidFill>
              <w14:schemeClr w14:val="tx1"/>
            </w14:solidFill>
          </w14:textFill>
        </w:rPr>
        <w:t>逐一提供全部资格证明文件。缺少其中任何一项，其响应文件将被视为无效文件。</w:t>
      </w:r>
    </w:p>
    <w:p>
      <w:pPr>
        <w:spacing w:line="500" w:lineRule="exact"/>
        <w:ind w:firstLine="562"/>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其中，《近三年内在经营活动中无重大违法记录声明》、《法定代表人授权委托书》</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中小企业声明函</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须按下文给定格式填写，否则按无效处理。特别说明，法定代表人亲自参加</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的，可不提供法定代表人授权委托书，但须提供其本人身份证（正反面）复印件。</w:t>
      </w:r>
    </w:p>
    <w:p>
      <w:pPr>
        <w:spacing w:line="500" w:lineRule="exact"/>
        <w:ind w:firstLine="562"/>
        <w:rPr>
          <w:rFonts w:hint="eastAsia" w:ascii="仿宋_GB2312" w:hAnsi="仿宋_GB2312" w:eastAsia="仿宋_GB2312" w:cs="仿宋_GB2312"/>
          <w:b/>
          <w:color w:val="000000" w:themeColor="text1"/>
          <w14:textFill>
            <w14:solidFill>
              <w14:schemeClr w14:val="tx1"/>
            </w14:solidFill>
          </w14:textFill>
        </w:rPr>
      </w:pPr>
      <w:bookmarkStart w:id="257" w:name="_Toc19075_WPSOffice_Level2"/>
      <w:bookmarkStart w:id="258" w:name="_Toc9954_WPSOffice_Level2"/>
      <w:bookmarkStart w:id="259" w:name="_Toc26041_WPSOffice_Level2"/>
      <w:bookmarkStart w:id="260" w:name="_Toc6967_WPSOffice_Level2"/>
      <w:r>
        <w:rPr>
          <w:rFonts w:hint="eastAsia" w:ascii="仿宋_GB2312" w:hAnsi="仿宋_GB2312" w:eastAsia="仿宋_GB2312" w:cs="仿宋_GB2312"/>
          <w:b/>
          <w:color w:val="000000" w:themeColor="text1"/>
          <w14:textFill>
            <w14:solidFill>
              <w14:schemeClr w14:val="tx1"/>
            </w14:solidFill>
          </w14:textFill>
        </w:rPr>
        <w:t>一、营业执照等主体资格证明文件</w:t>
      </w:r>
      <w:bookmarkEnd w:id="257"/>
      <w:bookmarkEnd w:id="258"/>
      <w:bookmarkEnd w:id="259"/>
      <w:bookmarkEnd w:id="260"/>
    </w:p>
    <w:p>
      <w:pPr>
        <w:spacing w:line="500" w:lineRule="exact"/>
        <w:ind w:firstLine="562"/>
        <w:rPr>
          <w:rFonts w:hint="eastAsia" w:ascii="仿宋_GB2312" w:hAnsi="仿宋_GB2312" w:eastAsia="仿宋_GB2312" w:cs="仿宋_GB2312"/>
          <w:b/>
          <w:color w:val="000000" w:themeColor="text1"/>
          <w14:textFill>
            <w14:solidFill>
              <w14:schemeClr w14:val="tx1"/>
            </w14:solidFill>
          </w14:textFill>
        </w:rPr>
      </w:pPr>
      <w:bookmarkStart w:id="261" w:name="_Toc8228_WPSOffice_Level2"/>
      <w:bookmarkStart w:id="262" w:name="_Toc24324_WPSOffice_Level2"/>
      <w:bookmarkStart w:id="263" w:name="_Toc6228_WPSOffice_Level2"/>
      <w:bookmarkStart w:id="264" w:name="_Toc18116_WPSOffice_Level2"/>
      <w:r>
        <w:rPr>
          <w:rFonts w:hint="eastAsia" w:ascii="仿宋_GB2312" w:hAnsi="仿宋_GB2312" w:eastAsia="仿宋_GB2312" w:cs="仿宋_GB2312"/>
          <w:b/>
          <w:color w:val="000000" w:themeColor="text1"/>
          <w14:textFill>
            <w14:solidFill>
              <w14:schemeClr w14:val="tx1"/>
            </w14:solidFill>
          </w14:textFill>
        </w:rPr>
        <w:t>二、财务状况报告</w:t>
      </w:r>
      <w:bookmarkEnd w:id="261"/>
      <w:bookmarkEnd w:id="262"/>
      <w:bookmarkEnd w:id="263"/>
      <w:bookmarkEnd w:id="264"/>
    </w:p>
    <w:p>
      <w:pPr>
        <w:spacing w:line="500" w:lineRule="exact"/>
        <w:ind w:firstLine="562"/>
        <w:rPr>
          <w:rFonts w:hint="eastAsia" w:ascii="仿宋_GB2312" w:hAnsi="仿宋_GB2312" w:eastAsia="仿宋_GB2312" w:cs="仿宋_GB2312"/>
          <w:b/>
          <w:color w:val="000000" w:themeColor="text1"/>
          <w14:textFill>
            <w14:solidFill>
              <w14:schemeClr w14:val="tx1"/>
            </w14:solidFill>
          </w14:textFill>
        </w:rPr>
      </w:pPr>
      <w:bookmarkStart w:id="265" w:name="_Toc9514_WPSOffice_Level2"/>
      <w:bookmarkStart w:id="266" w:name="_Toc29597_WPSOffice_Level2"/>
      <w:bookmarkStart w:id="267" w:name="_Toc8724_WPSOffice_Level2"/>
      <w:bookmarkStart w:id="268" w:name="_Toc25438_WPSOffice_Level2"/>
      <w:r>
        <w:rPr>
          <w:rFonts w:hint="eastAsia" w:ascii="仿宋_GB2312" w:hAnsi="仿宋_GB2312" w:eastAsia="仿宋_GB2312" w:cs="仿宋_GB2312"/>
          <w:b/>
          <w:color w:val="000000" w:themeColor="text1"/>
          <w14:textFill>
            <w14:solidFill>
              <w14:schemeClr w14:val="tx1"/>
            </w14:solidFill>
          </w14:textFill>
        </w:rPr>
        <w:t>三、社保缴纳证明</w:t>
      </w:r>
      <w:bookmarkEnd w:id="265"/>
      <w:bookmarkEnd w:id="266"/>
      <w:bookmarkEnd w:id="267"/>
      <w:bookmarkEnd w:id="268"/>
    </w:p>
    <w:p>
      <w:pPr>
        <w:spacing w:line="500" w:lineRule="exact"/>
        <w:ind w:firstLine="562"/>
        <w:rPr>
          <w:rFonts w:hint="eastAsia" w:ascii="仿宋_GB2312" w:hAnsi="仿宋_GB2312" w:eastAsia="仿宋_GB2312" w:cs="仿宋_GB2312"/>
          <w:b/>
          <w:color w:val="000000" w:themeColor="text1"/>
          <w14:textFill>
            <w14:solidFill>
              <w14:schemeClr w14:val="tx1"/>
            </w14:solidFill>
          </w14:textFill>
        </w:rPr>
      </w:pPr>
      <w:bookmarkStart w:id="269" w:name="_Toc26260_WPSOffice_Level2"/>
      <w:bookmarkStart w:id="270" w:name="_Toc18154_WPSOffice_Level2"/>
      <w:bookmarkStart w:id="271" w:name="_Toc22563_WPSOffice_Level2"/>
      <w:bookmarkStart w:id="272" w:name="_Toc960_WPSOffice_Level2"/>
      <w:r>
        <w:rPr>
          <w:rFonts w:hint="eastAsia" w:ascii="仿宋_GB2312" w:hAnsi="仿宋_GB2312" w:eastAsia="仿宋_GB2312" w:cs="仿宋_GB2312"/>
          <w:b/>
          <w:color w:val="000000" w:themeColor="text1"/>
          <w14:textFill>
            <w14:solidFill>
              <w14:schemeClr w14:val="tx1"/>
            </w14:solidFill>
          </w14:textFill>
        </w:rPr>
        <w:t>四、税收缴纳证明</w:t>
      </w:r>
      <w:bookmarkEnd w:id="269"/>
      <w:bookmarkEnd w:id="270"/>
      <w:bookmarkEnd w:id="271"/>
      <w:bookmarkEnd w:id="272"/>
    </w:p>
    <w:p>
      <w:pPr>
        <w:spacing w:line="500" w:lineRule="exact"/>
        <w:ind w:firstLine="566" w:firstLineChars="200"/>
        <w:rPr>
          <w:rFonts w:hint="eastAsia" w:ascii="仿宋_GB2312" w:hAnsi="仿宋_GB2312" w:eastAsia="仿宋_GB2312" w:cs="仿宋_GB2312"/>
          <w:b/>
          <w:color w:val="000000" w:themeColor="text1"/>
          <w14:textFill>
            <w14:solidFill>
              <w14:schemeClr w14:val="tx1"/>
            </w14:solidFill>
          </w14:textFill>
        </w:rPr>
      </w:pPr>
      <w:bookmarkStart w:id="273" w:name="_Toc1079_WPSOffice_Level2"/>
      <w:bookmarkStart w:id="274" w:name="_Toc32533_WPSOffice_Level2"/>
      <w:bookmarkStart w:id="275" w:name="_Toc30636_WPSOffice_Level2"/>
      <w:bookmarkStart w:id="276" w:name="_Toc10483_WPSOffice_Level2"/>
    </w:p>
    <w:p>
      <w:pPr>
        <w:spacing w:line="500" w:lineRule="exact"/>
        <w:ind w:firstLine="566" w:firstLineChars="200"/>
        <w:rPr>
          <w:rFonts w:hint="eastAsia" w:ascii="仿宋_GB2312" w:hAnsi="仿宋_GB2312" w:eastAsia="仿宋_GB2312" w:cs="仿宋_GB2312"/>
          <w:b/>
          <w:color w:val="000000" w:themeColor="text1"/>
          <w14:textFill>
            <w14:solidFill>
              <w14:schemeClr w14:val="tx1"/>
            </w14:solidFill>
          </w14:textFill>
        </w:rPr>
      </w:pPr>
    </w:p>
    <w:p>
      <w:pPr>
        <w:spacing w:line="500" w:lineRule="exact"/>
        <w:ind w:firstLine="566" w:firstLineChars="200"/>
        <w:rPr>
          <w:rFonts w:hint="eastAsia" w:ascii="仿宋" w:hAnsi="仿宋" w:eastAsia="仿宋"/>
          <w:b/>
          <w:color w:val="000000" w:themeColor="text1"/>
          <w14:textFill>
            <w14:solidFill>
              <w14:schemeClr w14:val="tx1"/>
            </w14:solidFill>
          </w14:textFill>
        </w:rPr>
      </w:pPr>
    </w:p>
    <w:p>
      <w:pPr>
        <w:spacing w:line="500" w:lineRule="exact"/>
        <w:ind w:firstLine="566" w:firstLineChars="200"/>
        <w:rPr>
          <w:rFonts w:hint="eastAsia" w:ascii="仿宋" w:hAnsi="仿宋" w:eastAsia="仿宋"/>
          <w:b/>
          <w:color w:val="000000" w:themeColor="text1"/>
          <w14:textFill>
            <w14:solidFill>
              <w14:schemeClr w14:val="tx1"/>
            </w14:solidFill>
          </w14:textFill>
        </w:rPr>
      </w:pPr>
    </w:p>
    <w:p>
      <w:pPr>
        <w:rPr>
          <w:rFonts w:hint="eastAsia"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br w:type="page"/>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五、书面声明</w:t>
      </w:r>
      <w:bookmarkEnd w:id="273"/>
      <w:bookmarkEnd w:id="274"/>
      <w:bookmarkEnd w:id="275"/>
      <w:bookmarkEnd w:id="276"/>
    </w:p>
    <w:p>
      <w:pPr>
        <w:pStyle w:val="45"/>
        <w:jc w:val="both"/>
        <w:outlineLvl w:val="9"/>
        <w:rPr>
          <w:rFonts w:hint="eastAsia" w:ascii="仿宋_GB2312" w:hAnsi="仿宋_GB2312" w:eastAsia="仿宋_GB2312" w:cs="仿宋_GB2312"/>
          <w:color w:val="000000" w:themeColor="text1"/>
          <w:sz w:val="30"/>
          <w:szCs w:val="30"/>
          <w14:textFill>
            <w14:solidFill>
              <w14:schemeClr w14:val="tx1"/>
            </w14:solidFill>
          </w14:textFill>
        </w:rPr>
      </w:pPr>
    </w:p>
    <w:p>
      <w:pPr>
        <w:pStyle w:val="45"/>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近三年内在经营活动中无重大违法记录声明</w:t>
      </w:r>
    </w:p>
    <w:p>
      <w:pPr>
        <w:spacing w:line="50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汉中市</w:t>
      </w:r>
      <w:r>
        <w:rPr>
          <w:rFonts w:hint="eastAsia" w:ascii="仿宋_GB2312" w:hAnsi="仿宋_GB2312" w:eastAsia="仿宋_GB2312" w:cs="仿宋_GB2312"/>
          <w:color w:val="000000" w:themeColor="text1"/>
          <w14:textFill>
            <w14:solidFill>
              <w14:schemeClr w14:val="tx1"/>
            </w14:solidFill>
          </w14:textFill>
        </w:rPr>
        <w:t>政府采购中心：</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我方作为</w:t>
      </w:r>
      <w:r>
        <w:rPr>
          <w:rFonts w:hint="eastAsia" w:ascii="仿宋_GB2312" w:hAnsi="仿宋_GB2312" w:eastAsia="仿宋_GB2312" w:cs="仿宋_GB2312"/>
          <w:color w:val="000000" w:themeColor="text1"/>
          <w:u w:val="single"/>
          <w14:textFill>
            <w14:solidFill>
              <w14:schemeClr w14:val="tx1"/>
            </w14:solidFill>
          </w14:textFill>
        </w:rPr>
        <w:t>项目名称</w:t>
      </w:r>
      <w:r>
        <w:rPr>
          <w:rFonts w:hint="eastAsia" w:ascii="仿宋_GB2312" w:hAnsi="仿宋_GB2312" w:eastAsia="仿宋_GB2312" w:cs="仿宋_GB2312"/>
          <w:color w:val="000000" w:themeColor="text1"/>
          <w14:textFill>
            <w14:solidFill>
              <w14:schemeClr w14:val="tx1"/>
            </w14:solidFill>
          </w14:textFill>
        </w:rPr>
        <w:t>（项目编号：____）第___标段的供应商，在此郑重声明：</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在参加本次政府采购活动前3年内的经营活动中____（填“没有”或“有”）重大违法记录。</w:t>
      </w:r>
    </w:p>
    <w:p>
      <w:pPr>
        <w:pStyle w:val="20"/>
        <w:ind w:left="0" w:leftChars="0" w:firstLine="0" w:firstLineChars="0"/>
        <w:rPr>
          <w:rFonts w:hint="eastAsia" w:ascii="仿宋_GB2312" w:hAnsi="仿宋_GB2312" w:eastAsia="仿宋_GB2312" w:cs="仿宋_GB2312"/>
          <w:color w:val="000000" w:themeColor="text1"/>
          <w14:textFill>
            <w14:solidFill>
              <w14:schemeClr w14:val="tx1"/>
            </w14:solidFill>
          </w14:textFill>
        </w:rPr>
      </w:pP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如有不实，我方将无条件地退出本项目的采购活动，并遵照《</w:t>
      </w:r>
      <w:r>
        <w:rPr>
          <w:rFonts w:hint="eastAsia" w:ascii="仿宋_GB2312" w:hAnsi="仿宋_GB2312" w:eastAsia="仿宋_GB2312" w:cs="仿宋_GB2312"/>
          <w:color w:val="000000" w:themeColor="text1"/>
          <w:lang w:val="en-US" w:eastAsia="zh-CN"/>
          <w14:textFill>
            <w14:solidFill>
              <w14:schemeClr w14:val="tx1"/>
            </w14:solidFill>
          </w14:textFill>
        </w:rPr>
        <w:t>中华人民共和国</w:t>
      </w:r>
      <w:r>
        <w:rPr>
          <w:rFonts w:hint="eastAsia" w:ascii="仿宋_GB2312" w:hAnsi="仿宋_GB2312" w:eastAsia="仿宋_GB2312" w:cs="仿宋_GB2312"/>
          <w:color w:val="000000" w:themeColor="text1"/>
          <w14:textFill>
            <w14:solidFill>
              <w14:schemeClr w14:val="tx1"/>
            </w14:solidFill>
          </w14:textFill>
        </w:rPr>
        <w:t>政府采购法》有关“提供虚假材料的规定”接受处罚。</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特此声明。</w:t>
      </w:r>
    </w:p>
    <w:p>
      <w:pPr>
        <w:spacing w:line="500" w:lineRule="exact"/>
        <w:ind w:firstLine="4245" w:firstLineChars="1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spacing w:line="500" w:lineRule="exact"/>
        <w:ind w:firstLine="4245" w:firstLineChars="1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p>
    <w:p>
      <w:pPr>
        <w:spacing w:line="500" w:lineRule="exact"/>
        <w:ind w:firstLine="566" w:firstLineChars="200"/>
        <w:rPr>
          <w:rFonts w:ascii="仿宋" w:hAnsi="仿宋" w:eastAsia="仿宋" w:cs="仿宋"/>
          <w:color w:val="000000" w:themeColor="text1"/>
          <w14:textFill>
            <w14:solidFill>
              <w14:schemeClr w14:val="tx1"/>
            </w14:solidFill>
          </w14:textFill>
        </w:rPr>
      </w:pPr>
    </w:p>
    <w:p>
      <w:pPr>
        <w:spacing w:line="500" w:lineRule="exact"/>
        <w:ind w:firstLine="426"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重大违法记录</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是指供应商因违法经营受到刑事处罚或者责令停产停业、吊销许可证或者执照、较大数额罚款等行政处罚</w:t>
      </w:r>
      <w:r>
        <w:rPr>
          <w:rFonts w:hint="eastAsia" w:ascii="宋体" w:hAnsi="宋体" w:eastAsia="宋体" w:cs="宋体"/>
          <w:color w:val="000000" w:themeColor="text1"/>
          <w:sz w:val="21"/>
          <w:szCs w:val="21"/>
          <w:lang w:eastAsia="zh-CN"/>
          <w14:textFill>
            <w14:solidFill>
              <w14:schemeClr w14:val="tx1"/>
            </w14:solidFill>
          </w14:textFill>
        </w:rPr>
        <w:t>。</w:t>
      </w:r>
    </w:p>
    <w:p>
      <w:pPr>
        <w:spacing w:line="500" w:lineRule="exact"/>
        <w:ind w:firstLine="426" w:firstLineChars="2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2、供应商在参加政府采购活动前3年内因违法经营被禁止在一定期限内参加政府采购活动，期限届满的，可以参加政府采购活动。</w:t>
      </w:r>
    </w:p>
    <w:p>
      <w:pPr>
        <w:spacing w:line="500" w:lineRule="exact"/>
        <w:ind w:firstLine="426" w:firstLineChars="200"/>
        <w:rPr>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项目不分标段的，第___标段空白处填写“/”。</w:t>
      </w:r>
    </w:p>
    <w:p>
      <w:pPr>
        <w:spacing w:line="240" w:lineRule="auto"/>
        <w:jc w:val="left"/>
        <w:rPr>
          <w:b/>
          <w:bCs/>
          <w:color w:val="000000" w:themeColor="text1"/>
          <w:sz w:val="30"/>
          <w:szCs w:val="30"/>
          <w14:textFill>
            <w14:solidFill>
              <w14:schemeClr w14:val="tx1"/>
            </w14:solidFill>
          </w14:textFill>
        </w:rPr>
      </w:pPr>
    </w:p>
    <w:p>
      <w:pPr>
        <w:pStyle w:val="20"/>
        <w:ind w:firstLine="304"/>
        <w:rPr>
          <w:b/>
          <w:bCs/>
          <w:color w:val="000000" w:themeColor="text1"/>
          <w:sz w:val="30"/>
          <w:szCs w:val="30"/>
          <w14:textFill>
            <w14:solidFill>
              <w14:schemeClr w14:val="tx1"/>
            </w14:solidFill>
          </w14:textFill>
        </w:rPr>
      </w:pPr>
    </w:p>
    <w:p>
      <w:pPr>
        <w:pStyle w:val="20"/>
        <w:ind w:firstLine="304"/>
        <w:rPr>
          <w:b/>
          <w:bCs/>
          <w:color w:val="000000" w:themeColor="text1"/>
          <w:sz w:val="30"/>
          <w:szCs w:val="30"/>
          <w14:textFill>
            <w14:solidFill>
              <w14:schemeClr w14:val="tx1"/>
            </w14:solidFill>
          </w14:textFill>
        </w:rPr>
      </w:pPr>
    </w:p>
    <w:p>
      <w:pP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br w:type="page"/>
      </w:r>
    </w:p>
    <w:p>
      <w:pPr>
        <w:pStyle w:val="45"/>
        <w:jc w:val="both"/>
        <w:rPr>
          <w:rFonts w:hint="eastAsia" w:ascii="仿宋_GB2312" w:hAnsi="仿宋_GB2312" w:eastAsia="仿宋_GB2312" w:cs="仿宋_GB2312"/>
          <w:color w:val="000000" w:themeColor="text1"/>
          <w:sz w:val="30"/>
          <w:szCs w:val="30"/>
          <w14:textFill>
            <w14:solidFill>
              <w14:schemeClr w14:val="tx1"/>
            </w14:solidFill>
          </w14:textFill>
        </w:rPr>
      </w:pPr>
      <w:bookmarkStart w:id="277" w:name="_Toc13298_WPSOffice_Level2"/>
      <w:bookmarkStart w:id="278" w:name="_Toc14516_WPSOffice_Level2"/>
      <w:bookmarkStart w:id="279" w:name="_Toc23486_WPSOffice_Level2"/>
      <w:bookmarkStart w:id="280" w:name="_Toc24625_WPSOffice_Level2"/>
      <w:r>
        <w:rPr>
          <w:rFonts w:hint="eastAsia" w:ascii="仿宋_GB2312" w:hAnsi="仿宋_GB2312" w:eastAsia="仿宋_GB2312" w:cs="仿宋_GB2312"/>
          <w:color w:val="000000" w:themeColor="text1"/>
          <w:sz w:val="30"/>
          <w:szCs w:val="30"/>
          <w14:textFill>
            <w14:solidFill>
              <w14:schemeClr w14:val="tx1"/>
            </w14:solidFill>
          </w14:textFill>
        </w:rPr>
        <w:t>六、法定代表人授权委托书</w:t>
      </w:r>
      <w:bookmarkEnd w:id="277"/>
      <w:bookmarkEnd w:id="278"/>
      <w:bookmarkEnd w:id="279"/>
      <w:bookmarkEnd w:id="280"/>
      <w:bookmarkStart w:id="281" w:name="_Toc19993_WPSOffice_Level3"/>
    </w:p>
    <w:p>
      <w:pPr>
        <w:pStyle w:val="45"/>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法定代表人授权委托书</w:t>
      </w:r>
      <w:bookmarkEnd w:id="281"/>
    </w:p>
    <w:p>
      <w:pPr>
        <w:snapToGrid w:val="0"/>
        <w:spacing w:line="50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汉中市</w:t>
      </w:r>
      <w:r>
        <w:rPr>
          <w:rFonts w:hint="eastAsia" w:ascii="仿宋_GB2312" w:hAnsi="仿宋_GB2312" w:eastAsia="仿宋_GB2312" w:cs="仿宋_GB2312"/>
          <w:color w:val="000000" w:themeColor="text1"/>
          <w14:textFill>
            <w14:solidFill>
              <w14:schemeClr w14:val="tx1"/>
            </w14:solidFill>
          </w14:textFill>
        </w:rPr>
        <w:t>政府采购中心：</w:t>
      </w:r>
    </w:p>
    <w:p>
      <w:pPr>
        <w:spacing w:line="500" w:lineRule="exact"/>
        <w:ind w:right="11"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现委派</w:t>
      </w:r>
      <w:r>
        <w:rPr>
          <w:rFonts w:hint="eastAsia" w:ascii="仿宋_GB2312" w:hAnsi="仿宋_GB2312" w:eastAsia="仿宋_GB2312" w:cs="仿宋_GB2312"/>
          <w:color w:val="000000" w:themeColor="text1"/>
          <w:u w:val="single"/>
          <w14:textFill>
            <w14:solidFill>
              <w14:schemeClr w14:val="tx1"/>
            </w14:solidFill>
          </w14:textFill>
        </w:rPr>
        <w:t>（授权代表姓名）</w:t>
      </w:r>
      <w:r>
        <w:rPr>
          <w:rFonts w:hint="eastAsia" w:ascii="仿宋_GB2312" w:hAnsi="仿宋_GB2312" w:eastAsia="仿宋_GB2312" w:cs="仿宋_GB2312"/>
          <w:color w:val="000000" w:themeColor="text1"/>
          <w:u w:val="none"/>
          <w:lang w:eastAsia="zh-CN"/>
          <w14:textFill>
            <w14:solidFill>
              <w14:schemeClr w14:val="tx1"/>
            </w14:solidFill>
          </w14:textFill>
        </w:rPr>
        <w:t>（</w:t>
      </w:r>
      <w:r>
        <w:rPr>
          <w:rFonts w:hint="eastAsia" w:ascii="仿宋_GB2312" w:hAnsi="仿宋_GB2312" w:eastAsia="仿宋_GB2312" w:cs="仿宋_GB2312"/>
          <w:color w:val="000000" w:themeColor="text1"/>
          <w:u w:val="none"/>
          <w:lang w:val="en-US" w:eastAsia="zh-CN"/>
          <w14:textFill>
            <w14:solidFill>
              <w14:schemeClr w14:val="tx1"/>
            </w14:solidFill>
          </w14:textFill>
        </w:rPr>
        <w:t>身份证号：</w:t>
      </w:r>
      <w:r>
        <w:rPr>
          <w:rFonts w:hint="eastAsia" w:ascii="仿宋_GB2312" w:hAnsi="仿宋_GB2312" w:eastAsia="仿宋_GB2312" w:cs="仿宋_GB2312"/>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u w:val="none"/>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为本公司的授权代表，参加贵方组织的</w:t>
      </w:r>
      <w:r>
        <w:rPr>
          <w:rFonts w:hint="eastAsia" w:ascii="仿宋_GB2312" w:hAnsi="仿宋_GB2312" w:eastAsia="仿宋_GB2312" w:cs="仿宋_GB2312"/>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项目名称 </w:t>
      </w:r>
      <w:r>
        <w:rPr>
          <w:rFonts w:hint="eastAsia" w:ascii="仿宋_GB2312" w:hAnsi="仿宋_GB2312" w:eastAsia="仿宋_GB2312" w:cs="仿宋_GB2312"/>
          <w:color w:val="000000" w:themeColor="text1"/>
          <w14:textFill>
            <w14:solidFill>
              <w14:schemeClr w14:val="tx1"/>
            </w14:solidFill>
          </w14:textFill>
        </w:rPr>
        <w:t>（项目编号：</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）第___标段政府采购活动，就该项目的</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及合同的执行和完成，以本公司的名义处理一切与之有关的事宜。本授权自开标之日起生效，有效期与投标文件有效期一致。</w:t>
      </w:r>
    </w:p>
    <w:p>
      <w:pPr>
        <w:tabs>
          <w:tab w:val="left" w:pos="5245"/>
          <w:tab w:val="left" w:pos="6946"/>
        </w:tabs>
        <w:snapToGrid w:val="0"/>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授权代表姓名：_______________</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性别：_____</w:t>
      </w:r>
      <w:r>
        <w:rPr>
          <w:rFonts w:hint="eastAsia" w:ascii="仿宋_GB2312" w:hAnsi="仿宋_GB2312" w:eastAsia="仿宋_GB2312" w:cs="仿宋_GB2312"/>
          <w:color w:val="000000" w:themeColor="text1"/>
          <w14:textFill>
            <w14:solidFill>
              <w14:schemeClr w14:val="tx1"/>
            </w14:solidFill>
          </w14:textFill>
        </w:rPr>
        <w:tab/>
      </w:r>
    </w:p>
    <w:p>
      <w:pPr>
        <w:tabs>
          <w:tab w:val="left" w:pos="5245"/>
        </w:tabs>
        <w:snapToGrid w:val="0"/>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职务：________________           电话：_________</w:t>
      </w:r>
    </w:p>
    <w:p>
      <w:pPr>
        <w:tabs>
          <w:tab w:val="left" w:pos="3828"/>
          <w:tab w:val="left" w:pos="6237"/>
        </w:tabs>
        <w:snapToGrid w:val="0"/>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通讯地址：__________________     邮政编码：__________</w:t>
      </w:r>
    </w:p>
    <w:tbl>
      <w:tblPr>
        <w:tblStyle w:val="22"/>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ind w:firstLine="8" w:firstLineChars="3"/>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法定代表人身份证复印件</w:t>
            </w:r>
          </w:p>
          <w:p>
            <w:pPr>
              <w:ind w:firstLine="8" w:firstLineChars="3"/>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授权代表身份证复印件</w:t>
            </w:r>
          </w:p>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072" w:type="dxa"/>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法定代表人身份证复印件</w:t>
            </w:r>
          </w:p>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（有国徽面）</w:t>
            </w:r>
          </w:p>
        </w:tc>
        <w:tc>
          <w:tcPr>
            <w:tcW w:w="4098" w:type="dxa"/>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授权代表身份证复印件</w:t>
            </w:r>
          </w:p>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（有国徽面）</w:t>
            </w:r>
          </w:p>
        </w:tc>
      </w:tr>
    </w:tbl>
    <w:p>
      <w:pPr>
        <w:tabs>
          <w:tab w:val="right" w:pos="8931"/>
        </w:tabs>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供应商：名称（加盖公章）        法定代表人：（签字或盖章）</w:t>
      </w:r>
    </w:p>
    <w:p>
      <w:pPr>
        <w:spacing w:line="440" w:lineRule="exact"/>
        <w:ind w:firstLine="5943" w:firstLineChars="2100"/>
        <w:rPr>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p>
    <w:p>
      <w:pPr>
        <w:keepNext w:val="0"/>
        <w:keepLines w:val="0"/>
        <w:pageBreakBefore w:val="0"/>
        <w:widowControl/>
        <w:kinsoku/>
        <w:wordWrap/>
        <w:overflowPunct/>
        <w:topLinePunct w:val="0"/>
        <w:autoSpaceDE/>
        <w:autoSpaceDN/>
        <w:bidi w:val="0"/>
        <w:adjustRightInd/>
        <w:snapToGrid/>
        <w:spacing w:line="440" w:lineRule="exact"/>
        <w:ind w:firstLine="426" w:firstLineChars="20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440" w:lineRule="exact"/>
        <w:ind w:firstLine="426" w:firstLineChars="20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2、法定代表人亲自参加</w:t>
      </w:r>
      <w:r>
        <w:rPr>
          <w:rFonts w:hint="eastAsia" w:ascii="宋体" w:hAnsi="宋体" w:eastAsia="宋体" w:cs="宋体"/>
          <w:color w:val="000000" w:themeColor="text1"/>
          <w:sz w:val="21"/>
          <w:szCs w:val="21"/>
          <w:lang w:val="en-US" w:eastAsia="zh-CN"/>
          <w14:textFill>
            <w14:solidFill>
              <w14:schemeClr w14:val="tx1"/>
            </w14:solidFill>
          </w14:textFill>
        </w:rPr>
        <w:t>谈判</w:t>
      </w:r>
      <w:r>
        <w:rPr>
          <w:rFonts w:hint="eastAsia" w:ascii="宋体" w:hAnsi="宋体" w:eastAsia="宋体" w:cs="宋体"/>
          <w:color w:val="000000" w:themeColor="text1"/>
          <w:sz w:val="21"/>
          <w:szCs w:val="21"/>
          <w14:textFill>
            <w14:solidFill>
              <w14:schemeClr w14:val="tx1"/>
            </w14:solidFill>
          </w14:textFill>
        </w:rPr>
        <w:t>的，无需提供该委托授权书，但须提供法定代表人本人身份证（正反面）复印件。</w:t>
      </w:r>
    </w:p>
    <w:p>
      <w:pPr>
        <w:pStyle w:val="20"/>
        <w:keepNext w:val="0"/>
        <w:keepLines w:val="0"/>
        <w:pageBreakBefore w:val="0"/>
        <w:widowControl/>
        <w:kinsoku/>
        <w:wordWrap/>
        <w:overflowPunct/>
        <w:topLinePunct w:val="0"/>
        <w:autoSpaceDE/>
        <w:autoSpaceDN/>
        <w:bidi w:val="0"/>
        <w:adjustRightInd/>
        <w:snapToGrid/>
        <w:ind w:left="0" w:leftChars="0" w:firstLine="426" w:firstLineChars="200"/>
        <w:textAlignment w:val="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3、法定代表人签字或盖章可采用纸质签字或盖章后，上传至电子响应文件，也可使用法定代表人CA锁在电子响应文件制作软件中签章。</w:t>
      </w:r>
      <w:r>
        <w:rPr>
          <w:rFonts w:hint="eastAsia" w:ascii="宋体" w:hAnsi="宋体" w:eastAsia="宋体"/>
          <w:color w:val="000000" w:themeColor="text1"/>
          <w:sz w:val="21"/>
          <w:szCs w:val="21"/>
          <w:lang w:val="en-US" w:eastAsia="zh-CN"/>
          <w14:textFill>
            <w14:solidFill>
              <w14:schemeClr w14:val="tx1"/>
            </w14:solidFill>
          </w14:textFill>
        </w:rPr>
        <w:t xml:space="preserve">   </w:t>
      </w:r>
    </w:p>
    <w:p>
      <w:pP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br w:type="page"/>
      </w:r>
    </w:p>
    <w:p>
      <w:pPr>
        <w:pStyle w:val="43"/>
        <w:jc w:val="both"/>
        <w:rPr>
          <w:rFonts w:hint="eastAsia" w:ascii="黑体" w:hAnsi="黑体" w:eastAsia="黑体"/>
          <w:b w:val="0"/>
          <w:color w:val="000000" w:themeColor="text1"/>
          <w14:textFill>
            <w14:solidFill>
              <w14:schemeClr w14:val="tx1"/>
            </w14:solidFill>
          </w14:textFill>
        </w:rPr>
      </w:pPr>
      <w:bookmarkStart w:id="282" w:name="_Toc9751"/>
      <w:bookmarkStart w:id="283" w:name="_Toc18829"/>
      <w:bookmarkStart w:id="284" w:name="_Toc29866"/>
      <w:bookmarkStart w:id="285" w:name="_Toc2083"/>
      <w:bookmarkStart w:id="286" w:name="_Toc28770"/>
      <w:bookmarkStart w:id="287" w:name="_Toc1034"/>
      <w:bookmarkStart w:id="288" w:name="_Toc29990_WPSOffice_Level2"/>
      <w:bookmarkStart w:id="289" w:name="_Toc9519_WPSOffice_Level2"/>
      <w:bookmarkStart w:id="290" w:name="_Toc20137"/>
      <w:bookmarkStart w:id="291" w:name="_Toc17773_WPSOffice_Level2"/>
      <w:bookmarkStart w:id="292" w:name="_Toc29102_WPSOffice_Level2"/>
      <w:r>
        <w:rPr>
          <w:rFonts w:hint="eastAsia" w:ascii="仿宋_GB2312" w:hAnsi="仿宋_GB2312" w:eastAsia="仿宋_GB2312" w:cs="仿宋_GB2312"/>
          <w:b/>
          <w:bCs/>
          <w:color w:val="000000" w:themeColor="text1"/>
          <w:kern w:val="2"/>
          <w:sz w:val="30"/>
          <w:szCs w:val="30"/>
          <w:u w:val="none"/>
          <w:lang w:val="en-US" w:eastAsia="zh-CN" w:bidi="ar-SA"/>
          <w14:textFill>
            <w14:solidFill>
              <w14:schemeClr w14:val="tx1"/>
            </w14:solidFill>
          </w14:textFill>
        </w:rPr>
        <w:t>七、落实政府采购政策需满足的资格要求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中小企业声明函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本公司（联合体）郑重声明，根据《政府采购促进中小企业发展管理办法》（财库﹝2020﹞46 号）的规定，本公司（联合体）参加</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（单位名称）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（项目名称）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（标的名称） </w:t>
      </w:r>
      <w:r>
        <w:rPr>
          <w:rFonts w:hint="eastAsia" w:ascii="仿宋_GB2312" w:hAnsi="仿宋_GB2312" w:eastAsia="仿宋_GB2312" w:cs="仿宋_GB2312"/>
          <w:color w:val="000000" w:themeColor="text1"/>
          <w:sz w:val="28"/>
          <w:szCs w:val="28"/>
          <w:lang w:eastAsia="zh-CN"/>
          <w14:textFill>
            <w14:solidFill>
              <w14:schemeClr w14:val="tx1"/>
            </w14:solidFill>
          </w14:textFill>
        </w:rPr>
        <w:t>，属于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（采购文件中明确的所属行业）行业</w:t>
      </w:r>
      <w:r>
        <w:rPr>
          <w:rFonts w:hint="eastAsia" w:ascii="仿宋_GB2312" w:hAnsi="仿宋_GB2312" w:eastAsia="仿宋_GB2312" w:cs="仿宋_GB2312"/>
          <w:color w:val="000000" w:themeColor="text1"/>
          <w:sz w:val="28"/>
          <w:szCs w:val="28"/>
          <w:lang w:eastAsia="zh-CN"/>
          <w14:textFill>
            <w14:solidFill>
              <w14:schemeClr w14:val="tx1"/>
            </w14:solidFill>
          </w14:textFill>
        </w:rPr>
        <w:t>；制造商为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（企业名称）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，从业人员</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人，营业收入为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万元，资产总额为万元，属于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（中型企业、小型企业、微型企业）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（标的名称） </w:t>
      </w:r>
      <w:r>
        <w:rPr>
          <w:rFonts w:hint="eastAsia" w:ascii="仿宋_GB2312" w:hAnsi="仿宋_GB2312" w:eastAsia="仿宋_GB2312" w:cs="仿宋_GB2312"/>
          <w:color w:val="000000" w:themeColor="text1"/>
          <w:sz w:val="28"/>
          <w:szCs w:val="28"/>
          <w:lang w:eastAsia="zh-CN"/>
          <w14:textFill>
            <w14:solidFill>
              <w14:schemeClr w14:val="tx1"/>
            </w14:solidFill>
          </w14:textFill>
        </w:rPr>
        <w:t>，属于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（采购文件中明确的所属行业）行业</w:t>
      </w:r>
      <w:r>
        <w:rPr>
          <w:rFonts w:hint="eastAsia" w:ascii="仿宋_GB2312" w:hAnsi="仿宋_GB2312" w:eastAsia="仿宋_GB2312" w:cs="仿宋_GB2312"/>
          <w:color w:val="000000" w:themeColor="text1"/>
          <w:sz w:val="28"/>
          <w:szCs w:val="28"/>
          <w:lang w:eastAsia="zh-CN"/>
          <w14:textFill>
            <w14:solidFill>
              <w14:schemeClr w14:val="tx1"/>
            </w14:solidFill>
          </w14:textFill>
        </w:rPr>
        <w:t>；制造商为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（企业名称）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，从业人员</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人，营业收入为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万元，资产总额为万元，属于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（中型企业、小型企业、微型企业）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企业名称（盖章）：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日 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adjustRightInd/>
        <w:snapToGrid/>
        <w:spacing w:after="120" w:line="500" w:lineRule="exact"/>
        <w:ind w:firstLine="566" w:firstLineChars="200"/>
        <w:jc w:val="right"/>
        <w:textAlignment w:val="auto"/>
        <w:rPr>
          <w:rFonts w:hint="eastAsia" w:ascii="华文仿宋" w:hAnsi="华文仿宋" w:eastAsia="华文仿宋" w:cs="华文仿宋"/>
          <w:color w:val="000000" w:themeColor="text1"/>
          <w:kern w:val="2"/>
          <w:sz w:val="28"/>
          <w:szCs w:val="28"/>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28"/>
          <w:szCs w:val="28"/>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备注：1、</w:t>
      </w:r>
      <w:r>
        <w:rPr>
          <w:rFonts w:hint="eastAsia" w:ascii="宋体" w:hAnsi="宋体" w:eastAsia="宋体" w:cs="宋体"/>
          <w:color w:val="000000" w:themeColor="text1"/>
          <w:sz w:val="21"/>
          <w:szCs w:val="21"/>
          <w14:textFill>
            <w14:solidFill>
              <w14:schemeClr w14:val="tx1"/>
            </w14:solidFill>
          </w14:textFill>
        </w:rPr>
        <w:t>本项目采购标的对应的中小企业划分标准所属行业为：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工</w:t>
      </w:r>
      <w:r>
        <w:rPr>
          <w:rFonts w:hint="eastAsia" w:ascii="宋体" w:hAnsi="宋体" w:eastAsia="宋体" w:cs="宋体"/>
          <w:b/>
          <w:bCs/>
          <w:color w:val="000000" w:themeColor="text1"/>
          <w:sz w:val="21"/>
          <w:szCs w:val="21"/>
          <w:highlight w:val="none"/>
          <w14:textFill>
            <w14:solidFill>
              <w14:schemeClr w14:val="tx1"/>
            </w14:solidFill>
          </w14:textFill>
        </w:rPr>
        <w:t>业</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3、各供应商可根据企业从业人员、营业收入、资产总额等指标，按照谈判文件约定的采购标的对应的中小企业划分标准所属行业和《中小企业划型标准规定》（工信部联企业〔2011〕300号）进行自测。可登录工业和信息化部的中小企业规模类型自测小程 序（https://baosong.miit.gov.cn/ScaleTest）进行测算。 </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4、各供应商如非中小企业，则无需填写。 </w:t>
      </w:r>
    </w:p>
    <w:p>
      <w:pPr>
        <w:rPr>
          <w:rFonts w:hint="eastAsia"/>
          <w:b/>
          <w:color w:val="000000" w:themeColor="text1"/>
          <w:sz w:val="32"/>
          <w:szCs w:val="32"/>
          <w14:textFill>
            <w14:solidFill>
              <w14:schemeClr w14:val="tx1"/>
            </w14:solidFill>
          </w14:textFill>
        </w:rPr>
      </w:pPr>
      <w:r>
        <w:rPr>
          <w:rFonts w:hint="eastAsia"/>
          <w:b/>
          <w:color w:val="000000" w:themeColor="text1"/>
          <w:sz w:val="30"/>
          <w:szCs w:val="30"/>
          <w14:textFill>
            <w14:solidFill>
              <w14:schemeClr w14:val="tx1"/>
            </w14:solidFill>
          </w14:textFill>
        </w:rPr>
        <w:br w:type="page"/>
      </w:r>
    </w:p>
    <w:p>
      <w:pPr>
        <w:pStyle w:val="43"/>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第二部分  符合性证明文件</w:t>
      </w:r>
      <w:bookmarkEnd w:id="282"/>
      <w:bookmarkEnd w:id="283"/>
      <w:bookmarkEnd w:id="284"/>
      <w:bookmarkEnd w:id="285"/>
      <w:bookmarkEnd w:id="286"/>
      <w:bookmarkEnd w:id="287"/>
    </w:p>
    <w:p>
      <w:pPr>
        <w:pStyle w:val="43"/>
        <w:jc w:val="both"/>
        <w:rPr>
          <w:rFonts w:hint="eastAsia" w:ascii="仿宋_GB2312" w:hAnsi="仿宋_GB2312" w:eastAsia="仿宋_GB2312" w:cs="仿宋_GB2312"/>
          <w:bCs w:val="0"/>
          <w:color w:val="000000" w:themeColor="text1"/>
          <w14:textFill>
            <w14:solidFill>
              <w14:schemeClr w14:val="tx1"/>
            </w14:solidFill>
          </w14:textFill>
        </w:rPr>
      </w:pPr>
      <w:bookmarkStart w:id="293" w:name="_Toc19788"/>
      <w:bookmarkStart w:id="294" w:name="_Toc22486"/>
      <w:bookmarkStart w:id="295" w:name="_Toc26623"/>
      <w:bookmarkStart w:id="296" w:name="_Toc7047"/>
      <w:bookmarkStart w:id="297" w:name="_Toc26585"/>
      <w:bookmarkStart w:id="298" w:name="_Toc2230"/>
      <w:bookmarkStart w:id="299" w:name="_Toc28961"/>
      <w:bookmarkStart w:id="300" w:name="_Toc14262"/>
      <w:bookmarkStart w:id="301" w:name="_Toc3857"/>
      <w:r>
        <w:rPr>
          <w:rFonts w:hint="eastAsia" w:ascii="仿宋_GB2312" w:hAnsi="仿宋_GB2312" w:eastAsia="仿宋_GB2312" w:cs="仿宋_GB2312"/>
          <w:bCs w:val="0"/>
          <w:color w:val="000000" w:themeColor="text1"/>
          <w14:textFill>
            <w14:solidFill>
              <w14:schemeClr w14:val="tx1"/>
            </w14:solidFill>
          </w14:textFill>
        </w:rPr>
        <w:t>一、响应函格式</w:t>
      </w:r>
      <w:bookmarkEnd w:id="293"/>
      <w:bookmarkEnd w:id="294"/>
      <w:bookmarkEnd w:id="295"/>
      <w:bookmarkEnd w:id="296"/>
      <w:bookmarkEnd w:id="297"/>
      <w:bookmarkEnd w:id="298"/>
      <w:bookmarkEnd w:id="299"/>
      <w:bookmarkEnd w:id="300"/>
      <w:bookmarkEnd w:id="301"/>
    </w:p>
    <w:p>
      <w:pPr>
        <w:pStyle w:val="39"/>
        <w:ind w:firstLine="647"/>
        <w:jc w:val="center"/>
        <w:rPr>
          <w:rFonts w:hint="eastAsia" w:ascii="仿宋_GB2312" w:hAnsi="仿宋_GB2312" w:eastAsia="仿宋_GB2312" w:cs="仿宋_GB2312"/>
          <w:color w:val="000000" w:themeColor="text1"/>
          <w:sz w:val="32"/>
          <w:szCs w:val="32"/>
          <w14:textFill>
            <w14:solidFill>
              <w14:schemeClr w14:val="tx1"/>
            </w14:solidFill>
          </w14:textFill>
        </w:rPr>
      </w:pPr>
      <w:bookmarkStart w:id="302" w:name="_Toc22777"/>
      <w:bookmarkStart w:id="303" w:name="_Toc23334"/>
      <w:bookmarkStart w:id="304" w:name="_Toc10617"/>
      <w:r>
        <w:rPr>
          <w:rFonts w:hint="eastAsia" w:ascii="仿宋_GB2312" w:hAnsi="仿宋_GB2312" w:eastAsia="仿宋_GB2312" w:cs="仿宋_GB2312"/>
          <w:color w:val="000000" w:themeColor="text1"/>
          <w:sz w:val="32"/>
          <w:szCs w:val="32"/>
          <w14:textFill>
            <w14:solidFill>
              <w14:schemeClr w14:val="tx1"/>
            </w14:solidFill>
          </w14:textFill>
        </w:rPr>
        <w:t>响应函</w:t>
      </w:r>
      <w:bookmarkEnd w:id="302"/>
      <w:bookmarkEnd w:id="303"/>
      <w:bookmarkEnd w:id="304"/>
    </w:p>
    <w:p>
      <w:pPr>
        <w:pStyle w:val="39"/>
        <w:spacing w:line="500" w:lineRule="exact"/>
        <w:ind w:firstLine="0" w:firstLineChars="0"/>
        <w:rPr>
          <w:rFonts w:hint="eastAsia" w:ascii="仿宋_GB2312" w:hAnsi="仿宋_GB2312" w:eastAsia="仿宋_GB2312" w:cs="仿宋_GB2312"/>
          <w:color w:val="000000" w:themeColor="text1"/>
          <w:lang w:val="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汉中市</w:t>
      </w:r>
      <w:r>
        <w:rPr>
          <w:rFonts w:hint="eastAsia" w:ascii="仿宋_GB2312" w:hAnsi="仿宋_GB2312" w:eastAsia="仿宋_GB2312" w:cs="仿宋_GB2312"/>
          <w:color w:val="000000" w:themeColor="text1"/>
          <w14:textFill>
            <w14:solidFill>
              <w14:schemeClr w14:val="tx1"/>
            </w14:solidFill>
          </w14:textFill>
        </w:rPr>
        <w:t>政府采购中心</w:t>
      </w:r>
      <w:r>
        <w:rPr>
          <w:rFonts w:hint="eastAsia" w:ascii="仿宋_GB2312" w:hAnsi="仿宋_GB2312" w:eastAsia="仿宋_GB2312" w:cs="仿宋_GB2312"/>
          <w:color w:val="000000" w:themeColor="text1"/>
          <w:lang w:val="zh-CN"/>
          <w14:textFill>
            <w14:solidFill>
              <w14:schemeClr w14:val="tx1"/>
            </w14:solidFill>
          </w14:textFill>
        </w:rPr>
        <w:t>：</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我方收到贵中心发布的</w:t>
      </w:r>
      <w:r>
        <w:rPr>
          <w:rFonts w:hint="eastAsia" w:ascii="仿宋_GB2312" w:hAnsi="仿宋_GB2312" w:eastAsia="仿宋_GB2312" w:cs="仿宋_GB2312"/>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项目名称</w:t>
      </w:r>
      <w:r>
        <w:rPr>
          <w:rFonts w:hint="eastAsia" w:ascii="仿宋_GB2312" w:hAnsi="仿宋_GB2312" w:eastAsia="仿宋_GB2312" w:cs="仿宋_GB2312"/>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（项目编号：</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）第</w:t>
      </w:r>
      <w:r>
        <w:rPr>
          <w:rFonts w:hint="eastAsia" w:ascii="仿宋_GB2312" w:hAnsi="仿宋_GB2312" w:eastAsia="仿宋_GB2312" w:cs="仿宋_GB2312"/>
          <w:color w:val="000000" w:themeColor="text1"/>
          <w:u w:val="single"/>
          <w14:textFill>
            <w14:solidFill>
              <w14:schemeClr w14:val="tx1"/>
            </w14:solidFill>
          </w14:textFill>
        </w:rPr>
        <w:t>___</w:t>
      </w:r>
      <w:r>
        <w:rPr>
          <w:rFonts w:hint="eastAsia" w:ascii="仿宋_GB2312" w:hAnsi="仿宋_GB2312" w:eastAsia="仿宋_GB2312" w:cs="仿宋_GB2312"/>
          <w:color w:val="000000" w:themeColor="text1"/>
          <w14:textFill>
            <w14:solidFill>
              <w14:schemeClr w14:val="tx1"/>
            </w14:solidFill>
          </w14:textFill>
        </w:rPr>
        <w:t>标段</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文件，经详细研究，我方决定参加该项目第</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标段</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活动。为此，我方郑重声明以下诸点，并负法律责任。</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一、我方已详细阅读了</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文件，完全理解并同意</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文件的所有事项及内容。</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二、我方已悉知并关注了贵方在政府采购信息发布媒体（详见</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文件第二章第三条中的“</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文件的修改、澄清”）上发布的关于本项目的有关变更公告（包括但不限于对</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文件做出的修改或澄清、答疑纪要，以及项目暂停、重启、延期、终止等）。</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三、我方同意向贵方提供与本</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有关的任何证明材料，保证所提交的证明材料真实、合法、有效。</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四、我方</w:t>
      </w:r>
      <w:r>
        <w:rPr>
          <w:rFonts w:hint="eastAsia" w:ascii="仿宋_GB2312" w:hAnsi="仿宋_GB2312" w:eastAsia="仿宋_GB2312" w:cs="仿宋_GB2312"/>
          <w:color w:val="000000" w:themeColor="text1"/>
          <w14:textFill>
            <w14:solidFill>
              <w14:schemeClr w14:val="tx1"/>
            </w14:solidFill>
          </w14:textFill>
        </w:rPr>
        <w:t>尊重</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小组的评审结果。</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五</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如若成交，</w:t>
      </w:r>
      <w:r>
        <w:rPr>
          <w:rFonts w:hint="eastAsia" w:ascii="仿宋_GB2312" w:hAnsi="仿宋_GB2312" w:eastAsia="仿宋_GB2312" w:cs="仿宋_GB2312"/>
          <w:color w:val="000000" w:themeColor="text1"/>
          <w14:textFill>
            <w14:solidFill>
              <w14:schemeClr w14:val="tx1"/>
            </w14:solidFill>
          </w14:textFill>
        </w:rPr>
        <w:t>我方愿意按照</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文件中的一切要求，完成本项目合同责任和义务。</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六</w:t>
      </w:r>
      <w:r>
        <w:rPr>
          <w:rFonts w:hint="eastAsia" w:ascii="仿宋_GB2312" w:hAnsi="仿宋_GB2312" w:eastAsia="仿宋_GB2312" w:cs="仿宋_GB2312"/>
          <w:color w:val="000000" w:themeColor="text1"/>
          <w14:textFill>
            <w14:solidFill>
              <w14:schemeClr w14:val="tx1"/>
            </w14:solidFill>
          </w14:textFill>
        </w:rPr>
        <w:t>、我方提交</w:t>
      </w:r>
      <w:r>
        <w:rPr>
          <w:rFonts w:hint="eastAsia" w:ascii="仿宋_GB2312" w:hAnsi="仿宋_GB2312" w:eastAsia="仿宋_GB2312" w:cs="仿宋_GB2312"/>
          <w:b/>
          <w:color w:val="000000" w:themeColor="text1"/>
          <w14:textFill>
            <w14:solidFill>
              <w14:schemeClr w14:val="tx1"/>
            </w14:solidFill>
          </w14:textFill>
        </w:rPr>
        <w:t>电子响应文件一份</w:t>
      </w:r>
      <w:r>
        <w:rPr>
          <w:rFonts w:hint="eastAsia" w:ascii="仿宋_GB2312" w:hAnsi="仿宋_GB2312" w:eastAsia="仿宋_GB2312" w:cs="仿宋_GB2312"/>
          <w:b/>
          <w:bCs/>
          <w:color w:val="000000" w:themeColor="text1"/>
          <w14:textFill>
            <w14:solidFill>
              <w14:schemeClr w14:val="tx1"/>
            </w14:solidFill>
          </w14:textFill>
        </w:rPr>
        <w:t>。</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七</w:t>
      </w:r>
      <w:r>
        <w:rPr>
          <w:rFonts w:hint="eastAsia" w:ascii="仿宋_GB2312" w:hAnsi="仿宋_GB2312" w:eastAsia="仿宋_GB2312" w:cs="仿宋_GB2312"/>
          <w:color w:val="000000" w:themeColor="text1"/>
          <w14:textFill>
            <w14:solidFill>
              <w14:schemeClr w14:val="tx1"/>
            </w14:solidFill>
          </w14:textFill>
        </w:rPr>
        <w:t>、供应商在提交响应文件截止时间后撤回响应文件的，我们愿接受政府采购的有关处罚决定。</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八</w:t>
      </w:r>
      <w:r>
        <w:rPr>
          <w:rFonts w:hint="eastAsia" w:ascii="仿宋_GB2312" w:hAnsi="仿宋_GB2312" w:eastAsia="仿宋_GB2312" w:cs="仿宋_GB2312"/>
          <w:color w:val="000000" w:themeColor="text1"/>
          <w14:textFill>
            <w14:solidFill>
              <w14:schemeClr w14:val="tx1"/>
            </w14:solidFill>
          </w14:textFill>
        </w:rPr>
        <w:t>、我方的响应文件在开标之日起</w:t>
      </w:r>
      <w:r>
        <w:rPr>
          <w:rFonts w:hint="eastAsia" w:ascii="仿宋_GB2312" w:hAnsi="仿宋_GB2312" w:eastAsia="仿宋_GB2312" w:cs="仿宋_GB2312"/>
          <w:b/>
          <w:bCs/>
          <w:color w:val="000000" w:themeColor="text1"/>
          <w:u w:val="single"/>
          <w14:textFill>
            <w14:solidFill>
              <w14:schemeClr w14:val="tx1"/>
            </w14:solidFill>
          </w14:textFill>
        </w:rPr>
        <w:t xml:space="preserve"> 90 </w:t>
      </w:r>
      <w:r>
        <w:rPr>
          <w:rFonts w:hint="eastAsia" w:ascii="仿宋_GB2312" w:hAnsi="仿宋_GB2312" w:eastAsia="仿宋_GB2312" w:cs="仿宋_GB2312"/>
          <w:color w:val="000000" w:themeColor="text1"/>
          <w14:textFill>
            <w14:solidFill>
              <w14:schemeClr w14:val="tx1"/>
            </w14:solidFill>
          </w14:textFill>
        </w:rPr>
        <w:t>个日历日内有效，如成交，延长至合同执行完毕时止。</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九</w:t>
      </w:r>
      <w:r>
        <w:rPr>
          <w:rFonts w:hint="eastAsia" w:ascii="仿宋_GB2312" w:hAnsi="仿宋_GB2312" w:eastAsia="仿宋_GB2312" w:cs="仿宋_GB2312"/>
          <w:color w:val="000000" w:themeColor="text1"/>
          <w14:textFill>
            <w14:solidFill>
              <w14:schemeClr w14:val="tx1"/>
            </w14:solidFill>
          </w14:textFill>
        </w:rPr>
        <w:t>、所有关于此次</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活动的函电，请按下列地址联系：</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供应商：名称（加盖公章）</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地址：</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电话：</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传真：</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邮编：</w:t>
      </w:r>
    </w:p>
    <w:p>
      <w:pPr>
        <w:pStyle w:val="39"/>
        <w:spacing w:line="500" w:lineRule="exact"/>
        <w:ind w:firstLine="567"/>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电子邮箱：         </w:t>
      </w:r>
    </w:p>
    <w:p>
      <w:pPr>
        <w:pStyle w:val="39"/>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p>
    <w:p>
      <w:pPr>
        <w:pStyle w:val="39"/>
        <w:ind w:firstLine="0" w:firstLineChars="0"/>
        <w:rPr>
          <w:rFonts w:hint="eastAsia" w:ascii="仿宋_GB2312" w:hAnsi="仿宋_GB2312" w:eastAsia="仿宋_GB2312" w:cs="仿宋_GB2312"/>
          <w:color w:val="000000" w:themeColor="text1"/>
          <w:sz w:val="36"/>
          <w14:textFill>
            <w14:solidFill>
              <w14:schemeClr w14:val="tx1"/>
            </w14:solidFill>
          </w14:textFill>
        </w:rPr>
      </w:pPr>
    </w:p>
    <w:p>
      <w:pPr>
        <w:pStyle w:val="39"/>
        <w:ind w:firstLine="0" w:firstLineChars="0"/>
        <w:rPr>
          <w:rFonts w:hint="eastAsia" w:ascii="仿宋_GB2312" w:hAnsi="仿宋_GB2312" w:eastAsia="仿宋_GB2312" w:cs="仿宋_GB2312"/>
          <w:color w:val="000000" w:themeColor="text1"/>
          <w:sz w:val="36"/>
          <w14:textFill>
            <w14:solidFill>
              <w14:schemeClr w14:val="tx1"/>
            </w14:solidFill>
          </w14:textFill>
        </w:rPr>
      </w:pPr>
    </w:p>
    <w:p>
      <w:pPr>
        <w:pStyle w:val="39"/>
        <w:ind w:firstLine="0" w:firstLineChars="0"/>
        <w:rPr>
          <w:rFonts w:hint="eastAsia" w:ascii="仿宋_GB2312" w:hAnsi="仿宋_GB2312" w:eastAsia="仿宋_GB2312" w:cs="仿宋_GB2312"/>
          <w:color w:val="000000" w:themeColor="text1"/>
          <w:sz w:val="36"/>
          <w14:textFill>
            <w14:solidFill>
              <w14:schemeClr w14:val="tx1"/>
            </w14:solidFill>
          </w14:textFill>
        </w:rPr>
      </w:pPr>
    </w:p>
    <w:p>
      <w:pPr>
        <w:pStyle w:val="39"/>
        <w:ind w:firstLine="0" w:firstLineChars="0"/>
        <w:rPr>
          <w:color w:val="000000" w:themeColor="text1"/>
          <w:sz w:val="36"/>
          <w14:textFill>
            <w14:solidFill>
              <w14:schemeClr w14:val="tx1"/>
            </w14:solidFill>
          </w14:textFill>
        </w:rPr>
      </w:pPr>
    </w:p>
    <w:p>
      <w:pPr>
        <w:pStyle w:val="39"/>
        <w:ind w:firstLine="0" w:firstLineChars="0"/>
        <w:rPr>
          <w:color w:val="000000" w:themeColor="text1"/>
          <w:sz w:val="36"/>
          <w14:textFill>
            <w14:solidFill>
              <w14:schemeClr w14:val="tx1"/>
            </w14:solidFill>
          </w14:textFill>
        </w:rPr>
      </w:pPr>
    </w:p>
    <w:p>
      <w:pPr>
        <w:pStyle w:val="39"/>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备注：1、项目不分标段的，第___标段空白处填写“/”。</w:t>
      </w:r>
    </w:p>
    <w:p>
      <w:pPr>
        <w:pStyle w:val="39"/>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2、除可填报项目外，对本响应函的任何实质性内容修改将被视为非实质性响应，在评审时将其视为无效响应。</w:t>
      </w:r>
    </w:p>
    <w:p>
      <w:pPr>
        <w:pStyle w:val="39"/>
        <w:ind w:firstLine="639" w:firstLineChars="300"/>
        <w:rPr>
          <w:rFonts w:hint="eastAsia" w:ascii="宋体" w:hAnsi="宋体" w:eastAsia="宋体" w:cs="宋体"/>
          <w:b/>
          <w:bCs/>
          <w:color w:val="000000" w:themeColor="text1"/>
          <w:sz w:val="21"/>
          <w:szCs w:val="21"/>
          <w14:textFill>
            <w14:solidFill>
              <w14:schemeClr w14:val="tx1"/>
            </w14:solidFill>
          </w14:textFill>
        </w:rPr>
      </w:pPr>
    </w:p>
    <w:p>
      <w:pPr>
        <w:pStyle w:val="39"/>
        <w:ind w:firstLine="639" w:firstLineChars="300"/>
        <w:rPr>
          <w:rFonts w:hint="eastAsia" w:ascii="宋体" w:hAnsi="宋体" w:eastAsia="宋体" w:cs="宋体"/>
          <w:b/>
          <w:bCs/>
          <w:color w:val="000000" w:themeColor="text1"/>
          <w:sz w:val="21"/>
          <w:szCs w:val="21"/>
          <w14:textFill>
            <w14:solidFill>
              <w14:schemeClr w14:val="tx1"/>
            </w14:solidFill>
          </w14:textFill>
        </w:rPr>
      </w:pPr>
    </w:p>
    <w:p>
      <w:pPr>
        <w:pStyle w:val="39"/>
        <w:ind w:firstLine="639" w:firstLineChars="300"/>
        <w:rPr>
          <w:rFonts w:hint="eastAsia" w:ascii="宋体" w:hAnsi="宋体" w:eastAsia="宋体" w:cs="宋体"/>
          <w:b/>
          <w:bCs/>
          <w:color w:val="000000" w:themeColor="text1"/>
          <w:sz w:val="21"/>
          <w:szCs w:val="21"/>
          <w14:textFill>
            <w14:solidFill>
              <w14:schemeClr w14:val="tx1"/>
            </w14:solidFill>
          </w14:textFill>
        </w:rPr>
      </w:pPr>
    </w:p>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br w:type="page"/>
      </w:r>
    </w:p>
    <w:bookmarkEnd w:id="288"/>
    <w:bookmarkEnd w:id="289"/>
    <w:bookmarkEnd w:id="290"/>
    <w:bookmarkEnd w:id="291"/>
    <w:bookmarkEnd w:id="292"/>
    <w:p>
      <w:pPr>
        <w:pStyle w:val="43"/>
        <w:jc w:val="both"/>
        <w:rPr>
          <w:rFonts w:hint="eastAsia" w:ascii="仿宋_GB2312" w:hAnsi="仿宋_GB2312" w:eastAsia="仿宋_GB2312" w:cs="仿宋_GB2312"/>
          <w:color w:val="000000" w:themeColor="text1"/>
          <w:sz w:val="24"/>
          <w:szCs w:val="24"/>
          <w14:textFill>
            <w14:solidFill>
              <w14:schemeClr w14:val="tx1"/>
            </w14:solidFill>
          </w14:textFill>
        </w:rPr>
      </w:pPr>
      <w:bookmarkStart w:id="305" w:name="_Toc8175"/>
      <w:bookmarkStart w:id="306" w:name="_Toc15883"/>
      <w:bookmarkStart w:id="307" w:name="_Toc24876"/>
      <w:bookmarkStart w:id="308" w:name="_Toc6154"/>
      <w:bookmarkStart w:id="309" w:name="_Toc23660"/>
      <w:bookmarkStart w:id="310" w:name="_Toc13216"/>
      <w:bookmarkStart w:id="311" w:name="_Toc6921"/>
      <w:bookmarkStart w:id="312" w:name="_Toc23955"/>
      <w:bookmarkStart w:id="313" w:name="_Toc30525"/>
      <w:bookmarkStart w:id="314" w:name="_Toc17656_WPSOffice_Level2"/>
      <w:r>
        <w:rPr>
          <w:rFonts w:hint="eastAsia" w:ascii="仿宋_GB2312" w:hAnsi="仿宋_GB2312" w:eastAsia="仿宋_GB2312" w:cs="仿宋_GB2312"/>
          <w:bCs w:val="0"/>
          <w:color w:val="000000" w:themeColor="text1"/>
          <w14:textFill>
            <w14:solidFill>
              <w14:schemeClr w14:val="tx1"/>
            </w14:solidFill>
          </w14:textFill>
        </w:rPr>
        <w:t>二、第一次</w:t>
      </w:r>
      <w:r>
        <w:rPr>
          <w:rFonts w:hint="eastAsia" w:ascii="仿宋_GB2312" w:hAnsi="仿宋_GB2312" w:eastAsia="仿宋_GB2312" w:cs="仿宋_GB2312"/>
          <w:bCs w:val="0"/>
          <w:color w:val="000000" w:themeColor="text1"/>
          <w:lang w:eastAsia="zh-CN"/>
          <w14:textFill>
            <w14:solidFill>
              <w14:schemeClr w14:val="tx1"/>
            </w14:solidFill>
          </w14:textFill>
        </w:rPr>
        <w:t>谈判</w:t>
      </w:r>
      <w:r>
        <w:rPr>
          <w:rFonts w:hint="eastAsia" w:ascii="仿宋_GB2312" w:hAnsi="仿宋_GB2312" w:eastAsia="仿宋_GB2312" w:cs="仿宋_GB2312"/>
          <w:bCs w:val="0"/>
          <w:color w:val="000000" w:themeColor="text1"/>
          <w14:textFill>
            <w14:solidFill>
              <w14:schemeClr w14:val="tx1"/>
            </w14:solidFill>
          </w14:textFill>
        </w:rPr>
        <w:t>报价表</w:t>
      </w:r>
      <w:bookmarkEnd w:id="305"/>
      <w:bookmarkEnd w:id="306"/>
      <w:bookmarkEnd w:id="307"/>
      <w:bookmarkEnd w:id="308"/>
      <w:bookmarkEnd w:id="309"/>
      <w:bookmarkEnd w:id="310"/>
      <w:bookmarkEnd w:id="311"/>
      <w:bookmarkEnd w:id="312"/>
      <w:bookmarkEnd w:id="313"/>
    </w:p>
    <w:p>
      <w:pPr>
        <w:spacing w:line="500" w:lineRule="exact"/>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项目名称：</w:t>
      </w:r>
    </w:p>
    <w:p>
      <w:pPr>
        <w:pStyle w:val="18"/>
        <w:wordWrap w:val="0"/>
        <w:spacing w:beforeAutospacing="0" w:afterAutospacing="0" w:line="500" w:lineRule="exact"/>
        <w:rPr>
          <w:rFonts w:hint="eastAsia" w:ascii="仿宋_GB2312" w:hAnsi="仿宋_GB2312" w:eastAsia="仿宋_GB2312" w:cs="仿宋_GB2312"/>
          <w:color w:val="000000" w:themeColor="text1"/>
          <w:sz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hd w:val="clear" w:color="auto" w:fill="FFFFFF"/>
          <w14:textFill>
            <w14:solidFill>
              <w14:schemeClr w14:val="tx1"/>
            </w14:solidFill>
          </w14:textFill>
        </w:rPr>
        <w:t>项目编号：</w:t>
      </w:r>
    </w:p>
    <w:p>
      <w:pPr>
        <w:pStyle w:val="14"/>
        <w:rPr>
          <w:rFonts w:hint="eastAsia" w:ascii="仿宋_GB2312" w:hAnsi="仿宋_GB2312" w:eastAsia="仿宋_GB2312" w:cs="仿宋_GB2312"/>
          <w:color w:val="000000" w:themeColor="text1"/>
          <w:sz w:val="28"/>
          <w:shd w:val="clear" w:color="auto" w:fill="FFFFFF"/>
          <w14:textFill>
            <w14:solidFill>
              <w14:schemeClr w14:val="tx1"/>
            </w14:solidFill>
          </w14:textFill>
        </w:rPr>
      </w:pPr>
    </w:p>
    <w:p>
      <w:pPr>
        <w:pStyle w:val="14"/>
        <w:rPr>
          <w:rFonts w:hint="eastAsia" w:ascii="仿宋_GB2312" w:hAnsi="仿宋_GB2312" w:eastAsia="仿宋_GB2312" w:cs="仿宋_GB2312"/>
          <w:color w:val="000000" w:themeColor="text1"/>
          <w:sz w:val="28"/>
          <w:shd w:val="clear" w:color="auto" w:fill="FFFFFF"/>
          <w14:textFill>
            <w14:solidFill>
              <w14:schemeClr w14:val="tx1"/>
            </w14:solidFill>
          </w14:textFill>
        </w:rPr>
      </w:pPr>
    </w:p>
    <w:tbl>
      <w:tblPr>
        <w:tblStyle w:val="22"/>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8"/>
              <w:spacing w:line="360" w:lineRule="auto"/>
              <w:ind w:firstLine="0"/>
              <w:jc w:val="center"/>
              <w:rPr>
                <w:rFonts w:hint="eastAsia" w:ascii="仿宋_GB2312" w:hAnsi="仿宋_GB2312" w:eastAsia="仿宋_GB2312" w:cs="仿宋_GB2312"/>
                <w:color w:val="000000" w:themeColor="text1"/>
                <w:szCs w:val="24"/>
                <w14:textFill>
                  <w14:solidFill>
                    <w14:schemeClr w14:val="tx1"/>
                  </w14:solidFill>
                </w14:textFill>
              </w:rPr>
            </w:pPr>
          </w:p>
        </w:tc>
        <w:tc>
          <w:tcPr>
            <w:tcW w:w="5752" w:type="dxa"/>
            <w:vAlign w:val="center"/>
          </w:tcPr>
          <w:p>
            <w:pPr>
              <w:spacing w:line="440" w:lineRule="exact"/>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8"/>
              <w:spacing w:line="360" w:lineRule="auto"/>
              <w:ind w:firstLine="0"/>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lang w:eastAsia="zh-CN"/>
                <w14:textFill>
                  <w14:solidFill>
                    <w14:schemeClr w14:val="tx1"/>
                  </w14:solidFill>
                </w14:textFill>
              </w:rPr>
              <w:t>谈判</w:t>
            </w:r>
            <w:r>
              <w:rPr>
                <w:rFonts w:hint="eastAsia" w:ascii="仿宋_GB2312" w:hAnsi="仿宋_GB2312" w:eastAsia="仿宋_GB2312" w:cs="仿宋_GB2312"/>
                <w:color w:val="000000" w:themeColor="text1"/>
                <w:szCs w:val="24"/>
                <w14:textFill>
                  <w14:solidFill>
                    <w14:schemeClr w14:val="tx1"/>
                  </w14:solidFill>
                </w14:textFill>
              </w:rPr>
              <w:t>报价</w:t>
            </w:r>
          </w:p>
        </w:tc>
        <w:tc>
          <w:tcPr>
            <w:tcW w:w="5752" w:type="dxa"/>
            <w:vAlign w:val="center"/>
          </w:tcPr>
          <w:p>
            <w:pPr>
              <w:autoSpaceDE w:val="0"/>
              <w:autoSpaceDN w:val="0"/>
              <w:spacing w:line="360" w:lineRule="auto"/>
              <w:rPr>
                <w:rFonts w:hint="eastAsia" w:ascii="仿宋_GB2312" w:hAnsi="仿宋_GB2312" w:eastAsia="仿宋_GB2312" w:cs="仿宋_GB2312"/>
                <w:color w:val="000000" w:themeColor="text1"/>
                <w:kern w:val="0"/>
                <w:szCs w:val="24"/>
                <w:lang w:val="zh-CN"/>
                <w14:textFill>
                  <w14:solidFill>
                    <w14:schemeClr w14:val="tx1"/>
                  </w14:solidFill>
                </w14:textFill>
              </w:rPr>
            </w:pPr>
            <w:r>
              <w:rPr>
                <w:rFonts w:hint="eastAsia" w:ascii="仿宋_GB2312" w:hAnsi="仿宋_GB2312" w:eastAsia="仿宋_GB2312" w:cs="仿宋_GB2312"/>
                <w:color w:val="000000" w:themeColor="text1"/>
                <w:kern w:val="0"/>
                <w:szCs w:val="24"/>
                <w:lang w:val="zh-CN"/>
                <w14:textFill>
                  <w14:solidFill>
                    <w14:schemeClr w14:val="tx1"/>
                  </w14:solidFill>
                </w14:textFill>
              </w:rPr>
              <w:t>小写：</w:t>
            </w:r>
          </w:p>
          <w:p>
            <w:pPr>
              <w:pStyle w:val="14"/>
              <w:rPr>
                <w:rFonts w:hint="eastAsia" w:ascii="仿宋_GB2312" w:hAnsi="仿宋_GB2312" w:eastAsia="仿宋_GB2312" w:cs="仿宋_GB2312"/>
                <w:color w:val="000000" w:themeColor="text1"/>
                <w:lang w:val="zh-CN"/>
                <w14:textFill>
                  <w14:solidFill>
                    <w14:schemeClr w14:val="tx1"/>
                  </w14:solidFill>
                </w14:textFill>
              </w:rPr>
            </w:pPr>
          </w:p>
          <w:p>
            <w:pPr>
              <w:autoSpaceDE w:val="0"/>
              <w:autoSpaceDN w:val="0"/>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大写</w:t>
            </w:r>
            <w:r>
              <w:rPr>
                <w:rFonts w:hint="eastAsia" w:ascii="仿宋_GB2312" w:hAnsi="仿宋_GB2312" w:eastAsia="仿宋_GB2312" w:cs="仿宋_GB2312"/>
                <w:color w:val="000000" w:themeColor="text1"/>
                <w:sz w:val="24"/>
                <w:szCs w:val="24"/>
                <w14:textFill>
                  <w14:solidFill>
                    <w14:schemeClr w14:val="tx1"/>
                  </w14:solidFill>
                </w14:textFill>
              </w:rPr>
              <w:t>：</w:t>
            </w:r>
          </w:p>
          <w:p>
            <w:pPr>
              <w:autoSpaceDE w:val="0"/>
              <w:autoSpaceDN w:val="0"/>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单位：元（保留到元）</w:t>
            </w:r>
          </w:p>
        </w:tc>
      </w:tr>
    </w:tbl>
    <w:p>
      <w:pPr>
        <w:autoSpaceDE w:val="0"/>
        <w:autoSpaceDN w:val="0"/>
        <w:spacing w:line="240" w:lineRule="auto"/>
        <w:ind w:firstLine="480"/>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备注</w:t>
      </w:r>
      <w:r>
        <w:rPr>
          <w:rFonts w:hint="eastAsia" w:ascii="宋体" w:hAnsi="宋体" w:eastAsia="宋体" w:cs="宋体"/>
          <w:b/>
          <w:bCs/>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lang w:val="zh-CN"/>
          <w14:textFill>
            <w14:solidFill>
              <w14:schemeClr w14:val="tx1"/>
            </w14:solidFill>
          </w14:textFill>
        </w:rPr>
        <w:t>“谈判报价”为谈判总价。谈判</w:t>
      </w:r>
      <w:r>
        <w:rPr>
          <w:rFonts w:ascii="宋体" w:hAnsi="宋体" w:eastAsia="宋体" w:cs="宋体"/>
          <w:color w:val="000000" w:themeColor="text1"/>
          <w:kern w:val="0"/>
          <w:sz w:val="21"/>
          <w:szCs w:val="21"/>
          <w:lang w:val="zh-CN"/>
          <w14:textFill>
            <w14:solidFill>
              <w14:schemeClr w14:val="tx1"/>
            </w14:solidFill>
          </w14:textFill>
        </w:rPr>
        <w:t>报价必须包括</w:t>
      </w:r>
      <w:r>
        <w:rPr>
          <w:rFonts w:hint="eastAsia" w:ascii="宋体" w:hAnsi="宋体" w:eastAsia="宋体" w:cs="宋体"/>
          <w:color w:val="000000" w:themeColor="text1"/>
          <w:kern w:val="0"/>
          <w:sz w:val="21"/>
          <w:szCs w:val="21"/>
          <w:lang w:val="zh-CN"/>
          <w14:textFill>
            <w14:solidFill>
              <w14:schemeClr w14:val="tx1"/>
            </w14:solidFill>
          </w14:textFill>
        </w:rPr>
        <w:t>本项目所需</w:t>
      </w:r>
      <w:r>
        <w:rPr>
          <w:rFonts w:ascii="宋体" w:hAnsi="宋体" w:eastAsia="宋体" w:cs="宋体"/>
          <w:color w:val="000000" w:themeColor="text1"/>
          <w:kern w:val="0"/>
          <w:sz w:val="21"/>
          <w:szCs w:val="21"/>
          <w:lang w:val="zh-CN"/>
          <w14:textFill>
            <w14:solidFill>
              <w14:schemeClr w14:val="tx1"/>
            </w14:solidFill>
          </w14:textFill>
        </w:rPr>
        <w:t>全部费用</w:t>
      </w:r>
      <w:r>
        <w:rPr>
          <w:rFonts w:hint="eastAsia" w:ascii="宋体" w:hAnsi="宋体" w:eastAsia="宋体" w:cs="宋体"/>
          <w:color w:val="000000" w:themeColor="text1"/>
          <w:kern w:val="0"/>
          <w:sz w:val="21"/>
          <w:szCs w:val="21"/>
          <w:lang w:val="zh-CN"/>
          <w14:textFill>
            <w14:solidFill>
              <w14:schemeClr w14:val="tx1"/>
            </w14:solidFill>
          </w14:textFill>
        </w:rPr>
        <w:t>。</w:t>
      </w:r>
    </w:p>
    <w:p>
      <w:pPr>
        <w:autoSpaceDE w:val="0"/>
        <w:autoSpaceDN w:val="0"/>
        <w:spacing w:line="240" w:lineRule="auto"/>
        <w:ind w:firstLine="480"/>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2、该报价须与标书信息确认中的报价一致，如不一致，以标书信息确认中的报价为准，请各供应商仔细填写。</w:t>
      </w:r>
    </w:p>
    <w:p>
      <w:pPr>
        <w:autoSpaceDE w:val="0"/>
        <w:autoSpaceDN w:val="0"/>
        <w:spacing w:line="240" w:lineRule="auto"/>
        <w:ind w:firstLine="1065" w:firstLineChars="500"/>
        <w:rPr>
          <w:rFonts w:ascii="宋体" w:hAnsi="宋体" w:eastAsia="宋体" w:cs="宋体"/>
          <w:color w:val="000000" w:themeColor="text1"/>
          <w:sz w:val="21"/>
          <w:szCs w:val="21"/>
          <w14:textFill>
            <w14:solidFill>
              <w14:schemeClr w14:val="tx1"/>
            </w14:solidFill>
          </w14:textFill>
        </w:rPr>
      </w:pPr>
    </w:p>
    <w:p>
      <w:pPr>
        <w:spacing w:line="440" w:lineRule="exact"/>
        <w:ind w:right="560"/>
        <w:jc w:val="right"/>
        <w:rPr>
          <w:rFonts w:hint="eastAsia" w:ascii="仿宋_GB2312" w:hAnsi="仿宋_GB2312" w:eastAsia="仿宋_GB2312" w:cs="仿宋_GB2312"/>
          <w:color w:val="000000" w:themeColor="text1"/>
          <w:sz w:val="24"/>
          <w:szCs w:val="24"/>
          <w14:textFill>
            <w14:solidFill>
              <w14:schemeClr w14:val="tx1"/>
            </w14:solidFill>
          </w14:textFill>
        </w:rPr>
      </w:pPr>
    </w:p>
    <w:p>
      <w:pPr>
        <w:spacing w:line="500" w:lineRule="exact"/>
        <w:ind w:firstLine="5094" w:firstLineChars="18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spacing w:line="500" w:lineRule="exact"/>
        <w:ind w:firstLine="5094" w:firstLineChars="18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日期：　　年　月　日     </w:t>
      </w:r>
    </w:p>
    <w:p>
      <w:pPr>
        <w:spacing w:line="500" w:lineRule="exact"/>
        <w:ind w:firstLine="566" w:firstLineChars="200"/>
        <w:rPr>
          <w:rFonts w:ascii="华文仿宋" w:hAnsi="华文仿宋" w:cs="华文仿宋"/>
          <w:b/>
          <w:color w:val="000000" w:themeColor="text1"/>
          <w14:textFill>
            <w14:solidFill>
              <w14:schemeClr w14:val="tx1"/>
            </w14:solidFill>
          </w14:textFill>
        </w:rPr>
      </w:pPr>
    </w:p>
    <w:bookmarkEnd w:id="314"/>
    <w:p>
      <w:pPr>
        <w:rPr>
          <w:rFonts w:ascii="宋体" w:hAnsi="宋体"/>
          <w:b/>
          <w:bCs/>
          <w:color w:val="000000" w:themeColor="text1"/>
          <w:sz w:val="32"/>
          <w:szCs w:val="32"/>
          <w14:textFill>
            <w14:solidFill>
              <w14:schemeClr w14:val="tx1"/>
            </w14:solidFill>
          </w14:textFill>
        </w:rPr>
      </w:pPr>
      <w:r>
        <w:rPr>
          <w:rFonts w:ascii="华文仿宋" w:hAnsi="华文仿宋" w:cs="华文仿宋"/>
          <w:b w:val="0"/>
          <w:color w:val="000000" w:themeColor="text1"/>
          <w:sz w:val="28"/>
          <w:szCs w:val="28"/>
          <w14:textFill>
            <w14:solidFill>
              <w14:schemeClr w14:val="tx1"/>
            </w14:solidFill>
          </w14:textFill>
        </w:rPr>
        <w:br w:type="page"/>
      </w:r>
    </w:p>
    <w:p>
      <w:pPr>
        <w:spacing w:line="240" w:lineRule="auto"/>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分项报价表（样表）</w:t>
      </w:r>
      <w:r>
        <w:rPr>
          <w:rFonts w:hint="eastAsia" w:ascii="仿宋_GB2312" w:hAnsi="仿宋_GB2312" w:eastAsia="仿宋_GB2312" w:cs="仿宋_GB2312"/>
          <w:b/>
          <w:color w:val="000000" w:themeColor="text1"/>
          <w14:textFill>
            <w14:solidFill>
              <w14:schemeClr w14:val="tx1"/>
            </w14:solidFill>
          </w14:textFill>
        </w:rPr>
        <w:tab/>
      </w:r>
    </w:p>
    <w:tbl>
      <w:tblPr>
        <w:tblStyle w:val="23"/>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79"/>
        <w:gridCol w:w="966"/>
        <w:gridCol w:w="1555"/>
        <w:gridCol w:w="1240"/>
        <w:gridCol w:w="772"/>
        <w:gridCol w:w="113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0" w:type="dxa"/>
            <w:vAlign w:val="center"/>
          </w:tcPr>
          <w:p>
            <w:pPr>
              <w:pStyle w:val="43"/>
              <w:widowControl w:val="0"/>
              <w:rPr>
                <w:rFonts w:hint="eastAsia" w:ascii="仿宋_GB2312" w:hAnsi="仿宋_GB2312" w:eastAsia="仿宋_GB2312" w:cs="仿宋_GB2312"/>
                <w:bCs w:val="0"/>
                <w:color w:val="000000" w:themeColor="text1"/>
                <w:sz w:val="24"/>
                <w:szCs w:val="24"/>
                <w14:textFill>
                  <w14:solidFill>
                    <w14:schemeClr w14:val="tx1"/>
                  </w14:solidFill>
                </w14:textFill>
              </w:rPr>
            </w:pPr>
            <w:bookmarkStart w:id="315" w:name="_Toc32361"/>
            <w:bookmarkStart w:id="316" w:name="_Toc16723"/>
            <w:bookmarkStart w:id="317" w:name="_Toc11534"/>
            <w:bookmarkStart w:id="318" w:name="_Toc28408"/>
            <w:bookmarkStart w:id="319" w:name="_Toc11855"/>
            <w:bookmarkStart w:id="320" w:name="_Toc1934"/>
            <w:bookmarkStart w:id="321" w:name="_Toc18433"/>
            <w:bookmarkStart w:id="322" w:name="_Toc22090"/>
            <w:bookmarkStart w:id="323" w:name="_Toc26257"/>
            <w:r>
              <w:rPr>
                <w:rFonts w:hint="eastAsia" w:ascii="仿宋_GB2312" w:hAnsi="仿宋_GB2312" w:eastAsia="仿宋_GB2312" w:cs="仿宋_GB2312"/>
                <w:bCs w:val="0"/>
                <w:color w:val="000000" w:themeColor="text1"/>
                <w:sz w:val="24"/>
                <w:szCs w:val="24"/>
                <w14:textFill>
                  <w14:solidFill>
                    <w14:schemeClr w14:val="tx1"/>
                  </w14:solidFill>
                </w14:textFill>
              </w:rPr>
              <w:t>序号</w:t>
            </w:r>
            <w:bookmarkEnd w:id="315"/>
            <w:bookmarkEnd w:id="316"/>
            <w:bookmarkEnd w:id="317"/>
            <w:bookmarkEnd w:id="318"/>
            <w:bookmarkEnd w:id="319"/>
            <w:bookmarkEnd w:id="320"/>
            <w:bookmarkEnd w:id="321"/>
            <w:bookmarkEnd w:id="322"/>
            <w:bookmarkEnd w:id="323"/>
          </w:p>
        </w:tc>
        <w:tc>
          <w:tcPr>
            <w:tcW w:w="1379" w:type="dxa"/>
            <w:vAlign w:val="center"/>
          </w:tcPr>
          <w:p>
            <w:pPr>
              <w:pStyle w:val="43"/>
              <w:widowControl w:val="0"/>
              <w:rPr>
                <w:rFonts w:hint="eastAsia" w:ascii="仿宋_GB2312" w:hAnsi="仿宋_GB2312" w:eastAsia="仿宋_GB2312" w:cs="仿宋_GB2312"/>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产品名称</w:t>
            </w:r>
          </w:p>
        </w:tc>
        <w:tc>
          <w:tcPr>
            <w:tcW w:w="966" w:type="dxa"/>
            <w:vAlign w:val="center"/>
          </w:tcPr>
          <w:p>
            <w:pPr>
              <w:pStyle w:val="43"/>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品牌</w:t>
            </w:r>
          </w:p>
        </w:tc>
        <w:tc>
          <w:tcPr>
            <w:tcW w:w="1555" w:type="dxa"/>
            <w:vAlign w:val="center"/>
          </w:tcPr>
          <w:p>
            <w:pPr>
              <w:pStyle w:val="43"/>
              <w:widowControl w:val="0"/>
              <w:spacing w:line="300" w:lineRule="exact"/>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规格型号</w:t>
            </w:r>
          </w:p>
        </w:tc>
        <w:tc>
          <w:tcPr>
            <w:tcW w:w="1240" w:type="dxa"/>
            <w:vAlign w:val="center"/>
          </w:tcPr>
          <w:p>
            <w:pPr>
              <w:pStyle w:val="43"/>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制造商</w:t>
            </w:r>
          </w:p>
        </w:tc>
        <w:tc>
          <w:tcPr>
            <w:tcW w:w="772" w:type="dxa"/>
            <w:vAlign w:val="center"/>
          </w:tcPr>
          <w:p>
            <w:pPr>
              <w:pStyle w:val="43"/>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数量</w:t>
            </w:r>
          </w:p>
        </w:tc>
        <w:tc>
          <w:tcPr>
            <w:tcW w:w="1135" w:type="dxa"/>
            <w:vAlign w:val="center"/>
          </w:tcPr>
          <w:p>
            <w:pPr>
              <w:pStyle w:val="43"/>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单价</w:t>
            </w:r>
          </w:p>
        </w:tc>
        <w:tc>
          <w:tcPr>
            <w:tcW w:w="1352" w:type="dxa"/>
            <w:vAlign w:val="center"/>
          </w:tcPr>
          <w:p>
            <w:pPr>
              <w:pStyle w:val="43"/>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bookmarkStart w:id="324" w:name="_Toc31519"/>
          </w:p>
        </w:tc>
        <w:tc>
          <w:tcPr>
            <w:tcW w:w="1379"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966"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55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24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77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13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5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79"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966"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55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24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77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13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5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79"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966"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55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24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77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13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5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79"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966"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55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240"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77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135"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52" w:type="dxa"/>
          </w:tcPr>
          <w:p>
            <w:pPr>
              <w:pStyle w:val="43"/>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gridSpan w:val="2"/>
            <w:vAlign w:val="center"/>
          </w:tcPr>
          <w:p>
            <w:pPr>
              <w:pStyle w:val="43"/>
              <w:widowControl w:val="0"/>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合计</w:t>
            </w:r>
            <w:bookmarkEnd w:id="324"/>
          </w:p>
        </w:tc>
        <w:tc>
          <w:tcPr>
            <w:tcW w:w="7020" w:type="dxa"/>
            <w:gridSpan w:val="6"/>
          </w:tcPr>
          <w:p>
            <w:pPr>
              <w:widowControl w:val="0"/>
              <w:autoSpaceDE w:val="0"/>
              <w:autoSpaceDN w:val="0"/>
              <w:spacing w:line="240" w:lineRule="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小写：</w:t>
            </w:r>
          </w:p>
          <w:p>
            <w:pPr>
              <w:pStyle w:val="43"/>
              <w:widowControl w:val="0"/>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 xml:space="preserve">                                 </w:t>
            </w:r>
            <w:bookmarkStart w:id="325" w:name="_Toc17991"/>
            <w:bookmarkStart w:id="326" w:name="_Toc22162"/>
            <w:bookmarkStart w:id="327" w:name="_Toc10552"/>
            <w:bookmarkStart w:id="328" w:name="_Toc31429"/>
            <w:bookmarkStart w:id="329" w:name="_Toc7253"/>
            <w:bookmarkStart w:id="330" w:name="_Toc8004"/>
            <w:bookmarkStart w:id="331" w:name="_Toc28010"/>
            <w:r>
              <w:rPr>
                <w:rFonts w:hint="eastAsia" w:ascii="仿宋_GB2312" w:hAnsi="仿宋_GB2312" w:eastAsia="仿宋_GB2312" w:cs="仿宋_GB2312"/>
                <w:b w:val="0"/>
                <w:bCs w:val="0"/>
                <w:color w:val="000000" w:themeColor="text1"/>
                <w:sz w:val="24"/>
                <w:szCs w:val="24"/>
                <w14:textFill>
                  <w14:solidFill>
                    <w14:schemeClr w14:val="tx1"/>
                  </w14:solidFill>
                </w14:textFill>
              </w:rPr>
              <w:t>单位：元（保留到元）</w:t>
            </w:r>
            <w:bookmarkEnd w:id="325"/>
            <w:bookmarkEnd w:id="326"/>
            <w:bookmarkEnd w:id="327"/>
            <w:bookmarkEnd w:id="328"/>
            <w:bookmarkEnd w:id="329"/>
            <w:bookmarkEnd w:id="330"/>
            <w:bookmarkEnd w:id="331"/>
          </w:p>
        </w:tc>
      </w:tr>
    </w:tbl>
    <w:p>
      <w:pPr>
        <w:tabs>
          <w:tab w:val="right" w:pos="9072"/>
        </w:tabs>
        <w:spacing w:line="500" w:lineRule="exact"/>
        <w:ind w:firstLine="566" w:firstLineChars="200"/>
        <w:jc w:val="right"/>
        <w:rPr>
          <w:rFonts w:ascii="仿宋" w:hAnsi="仿宋" w:eastAsia="仿宋"/>
          <w:b/>
          <w:color w:val="000000" w:themeColor="text1"/>
          <w14:textFill>
            <w14:solidFill>
              <w14:schemeClr w14:val="tx1"/>
            </w14:solidFill>
          </w14:textFill>
        </w:rPr>
      </w:pPr>
    </w:p>
    <w:p>
      <w:pPr>
        <w:tabs>
          <w:tab w:val="right" w:pos="9072"/>
        </w:tabs>
        <w:spacing w:line="240" w:lineRule="auto"/>
        <w:ind w:firstLine="213" w:firstLineChars="100"/>
        <w:rPr>
          <w:rFonts w:ascii="宋体" w:hAnsi="宋体" w:eastAsia="宋体" w:cs="华文仿宋"/>
          <w:color w:val="000000" w:themeColor="text1"/>
          <w:sz w:val="21"/>
          <w:szCs w:val="21"/>
          <w14:textFill>
            <w14:solidFill>
              <w14:schemeClr w14:val="tx1"/>
            </w14:solidFill>
          </w14:textFill>
        </w:rPr>
      </w:pPr>
      <w:r>
        <w:rPr>
          <w:rFonts w:hint="eastAsia" w:ascii="宋体" w:hAnsi="宋体" w:eastAsia="宋体" w:cs="华文仿宋"/>
          <w:color w:val="000000" w:themeColor="text1"/>
          <w:sz w:val="21"/>
          <w:szCs w:val="21"/>
          <w14:textFill>
            <w14:solidFill>
              <w14:schemeClr w14:val="tx1"/>
            </w14:solidFill>
          </w14:textFill>
        </w:rPr>
        <w:t>备注</w:t>
      </w:r>
      <w:r>
        <w:rPr>
          <w:rFonts w:ascii="宋体" w:hAnsi="宋体" w:eastAsia="宋体" w:cs="华文仿宋"/>
          <w:color w:val="000000" w:themeColor="text1"/>
          <w:sz w:val="21"/>
          <w:szCs w:val="21"/>
          <w14:textFill>
            <w14:solidFill>
              <w14:schemeClr w14:val="tx1"/>
            </w14:solidFill>
          </w14:textFill>
        </w:rPr>
        <w:t>：</w:t>
      </w:r>
      <w:r>
        <w:rPr>
          <w:rFonts w:hint="eastAsia" w:ascii="宋体" w:hAnsi="宋体" w:eastAsia="宋体" w:cs="华文仿宋"/>
          <w:color w:val="000000" w:themeColor="text1"/>
          <w:sz w:val="21"/>
          <w:szCs w:val="21"/>
          <w14:textFill>
            <w14:solidFill>
              <w14:schemeClr w14:val="tx1"/>
            </w14:solidFill>
          </w14:textFill>
        </w:rPr>
        <w:t>1、本表“</w:t>
      </w:r>
      <w:r>
        <w:rPr>
          <w:rFonts w:hint="eastAsia" w:ascii="宋体" w:hAnsi="宋体" w:eastAsia="宋体" w:cs="华文仿宋"/>
          <w:color w:val="000000" w:themeColor="text1"/>
          <w:sz w:val="21"/>
          <w:szCs w:val="21"/>
          <w:lang w:val="en-US" w:eastAsia="zh-CN"/>
          <w14:textFill>
            <w14:solidFill>
              <w14:schemeClr w14:val="tx1"/>
            </w14:solidFill>
          </w14:textFill>
        </w:rPr>
        <w:t>合计</w:t>
      </w:r>
      <w:r>
        <w:rPr>
          <w:rFonts w:hint="eastAsia" w:ascii="宋体" w:hAnsi="宋体" w:eastAsia="宋体" w:cs="华文仿宋"/>
          <w:color w:val="000000" w:themeColor="text1"/>
          <w:sz w:val="21"/>
          <w:szCs w:val="21"/>
          <w14:textFill>
            <w14:solidFill>
              <w14:schemeClr w14:val="tx1"/>
            </w14:solidFill>
          </w14:textFill>
        </w:rPr>
        <w:t>”金额应与“第一次</w:t>
      </w:r>
      <w:r>
        <w:rPr>
          <w:rFonts w:hint="eastAsia" w:ascii="宋体" w:hAnsi="宋体" w:eastAsia="宋体" w:cs="华文仿宋"/>
          <w:color w:val="000000" w:themeColor="text1"/>
          <w:sz w:val="21"/>
          <w:szCs w:val="21"/>
          <w:lang w:eastAsia="zh-CN"/>
          <w14:textFill>
            <w14:solidFill>
              <w14:schemeClr w14:val="tx1"/>
            </w14:solidFill>
          </w14:textFill>
        </w:rPr>
        <w:t>谈判</w:t>
      </w:r>
      <w:r>
        <w:rPr>
          <w:rFonts w:hint="eastAsia" w:ascii="宋体" w:hAnsi="宋体" w:eastAsia="宋体" w:cs="华文仿宋"/>
          <w:color w:val="000000" w:themeColor="text1"/>
          <w:sz w:val="21"/>
          <w:szCs w:val="21"/>
          <w14:textFill>
            <w14:solidFill>
              <w14:schemeClr w14:val="tx1"/>
            </w14:solidFill>
          </w14:textFill>
        </w:rPr>
        <w:t>报价表”中的“</w:t>
      </w:r>
      <w:r>
        <w:rPr>
          <w:rFonts w:hint="eastAsia" w:ascii="宋体" w:hAnsi="宋体" w:eastAsia="宋体" w:cs="华文仿宋"/>
          <w:color w:val="000000" w:themeColor="text1"/>
          <w:sz w:val="21"/>
          <w:szCs w:val="21"/>
          <w:lang w:eastAsia="zh-CN"/>
          <w14:textFill>
            <w14:solidFill>
              <w14:schemeClr w14:val="tx1"/>
            </w14:solidFill>
          </w14:textFill>
        </w:rPr>
        <w:t>谈判</w:t>
      </w:r>
      <w:r>
        <w:rPr>
          <w:rFonts w:hint="eastAsia" w:ascii="宋体" w:hAnsi="宋体" w:eastAsia="宋体" w:cs="华文仿宋"/>
          <w:color w:val="000000" w:themeColor="text1"/>
          <w:sz w:val="21"/>
          <w:szCs w:val="21"/>
          <w14:textFill>
            <w14:solidFill>
              <w14:schemeClr w14:val="tx1"/>
            </w14:solidFill>
          </w14:textFill>
        </w:rPr>
        <w:t>报价”一致；</w:t>
      </w:r>
    </w:p>
    <w:p>
      <w:pPr>
        <w:tabs>
          <w:tab w:val="right" w:pos="9072"/>
        </w:tabs>
        <w:spacing w:line="240" w:lineRule="auto"/>
        <w:ind w:firstLine="852" w:firstLineChars="400"/>
        <w:rPr>
          <w:rFonts w:ascii="宋体" w:hAnsi="宋体" w:eastAsia="宋体" w:cs="华文仿宋"/>
          <w:color w:val="000000" w:themeColor="text1"/>
          <w:sz w:val="21"/>
          <w:szCs w:val="21"/>
          <w14:textFill>
            <w14:solidFill>
              <w14:schemeClr w14:val="tx1"/>
            </w14:solidFill>
          </w14:textFill>
        </w:rPr>
      </w:pPr>
      <w:r>
        <w:rPr>
          <w:rFonts w:hint="eastAsia" w:ascii="宋体" w:hAnsi="宋体" w:eastAsia="宋体" w:cs="华文仿宋"/>
          <w:color w:val="000000" w:themeColor="text1"/>
          <w:sz w:val="21"/>
          <w:szCs w:val="21"/>
          <w14:textFill>
            <w14:solidFill>
              <w14:schemeClr w14:val="tx1"/>
            </w14:solidFill>
          </w14:textFill>
        </w:rPr>
        <w:t>2、本表为</w:t>
      </w:r>
      <w:r>
        <w:rPr>
          <w:rFonts w:ascii="宋体" w:hAnsi="宋体" w:eastAsia="宋体" w:cs="华文仿宋"/>
          <w:color w:val="000000" w:themeColor="text1"/>
          <w:sz w:val="21"/>
          <w:szCs w:val="21"/>
          <w14:textFill>
            <w14:solidFill>
              <w14:schemeClr w14:val="tx1"/>
            </w14:solidFill>
          </w14:textFill>
        </w:rPr>
        <w:t>样表，仅供参考，</w:t>
      </w:r>
      <w:r>
        <w:rPr>
          <w:rFonts w:hint="eastAsia" w:ascii="宋体" w:hAnsi="宋体" w:eastAsia="宋体" w:cs="华文仿宋"/>
          <w:color w:val="000000" w:themeColor="text1"/>
          <w:sz w:val="21"/>
          <w:szCs w:val="21"/>
          <w14:textFill>
            <w14:solidFill>
              <w14:schemeClr w14:val="tx1"/>
            </w14:solidFill>
          </w14:textFill>
        </w:rPr>
        <w:t>供应商根据</w:t>
      </w:r>
      <w:r>
        <w:rPr>
          <w:rFonts w:ascii="宋体" w:hAnsi="宋体" w:eastAsia="宋体" w:cs="华文仿宋"/>
          <w:color w:val="000000" w:themeColor="text1"/>
          <w:sz w:val="21"/>
          <w:szCs w:val="21"/>
          <w14:textFill>
            <w14:solidFill>
              <w14:schemeClr w14:val="tx1"/>
            </w14:solidFill>
          </w14:textFill>
        </w:rPr>
        <w:t>项目实际</w:t>
      </w:r>
      <w:r>
        <w:rPr>
          <w:rFonts w:hint="eastAsia" w:ascii="宋体" w:hAnsi="宋体" w:eastAsia="宋体" w:cs="华文仿宋"/>
          <w:color w:val="000000" w:themeColor="text1"/>
          <w:sz w:val="21"/>
          <w:szCs w:val="21"/>
          <w14:textFill>
            <w14:solidFill>
              <w14:schemeClr w14:val="tx1"/>
            </w14:solidFill>
          </w14:textFill>
        </w:rPr>
        <w:t>需求</w:t>
      </w:r>
      <w:r>
        <w:rPr>
          <w:rFonts w:ascii="宋体" w:hAnsi="宋体" w:eastAsia="宋体" w:cs="华文仿宋"/>
          <w:color w:val="000000" w:themeColor="text1"/>
          <w:sz w:val="21"/>
          <w:szCs w:val="21"/>
          <w14:textFill>
            <w14:solidFill>
              <w14:schemeClr w14:val="tx1"/>
            </w14:solidFill>
          </w14:textFill>
        </w:rPr>
        <w:t>进行填写</w:t>
      </w:r>
      <w:r>
        <w:rPr>
          <w:rFonts w:hint="eastAsia" w:ascii="宋体" w:hAnsi="宋体" w:eastAsia="宋体" w:cs="华文仿宋"/>
          <w:color w:val="000000" w:themeColor="text1"/>
          <w:sz w:val="21"/>
          <w:szCs w:val="21"/>
          <w14:textFill>
            <w14:solidFill>
              <w14:schemeClr w14:val="tx1"/>
            </w14:solidFill>
          </w14:textFill>
        </w:rPr>
        <w:t>。</w:t>
      </w:r>
    </w:p>
    <w:p>
      <w:pPr>
        <w:tabs>
          <w:tab w:val="right" w:pos="9072"/>
        </w:tabs>
        <w:spacing w:line="500" w:lineRule="exact"/>
        <w:ind w:firstLine="486" w:firstLineChars="200"/>
        <w:rPr>
          <w:rFonts w:ascii="华文仿宋" w:hAnsi="华文仿宋" w:cs="华文仿宋"/>
          <w:color w:val="000000" w:themeColor="text1"/>
          <w:sz w:val="24"/>
          <w:szCs w:val="24"/>
          <w14:textFill>
            <w14:solidFill>
              <w14:schemeClr w14:val="tx1"/>
            </w14:solidFill>
          </w14:textFill>
        </w:rPr>
      </w:pPr>
    </w:p>
    <w:p>
      <w:pPr>
        <w:tabs>
          <w:tab w:val="right" w:pos="9072"/>
        </w:tabs>
        <w:spacing w:line="500" w:lineRule="exact"/>
        <w:ind w:firstLine="486" w:firstLineChars="200"/>
        <w:rPr>
          <w:rFonts w:ascii="华文仿宋" w:hAnsi="华文仿宋" w:cs="华文仿宋"/>
          <w:color w:val="000000" w:themeColor="text1"/>
          <w:sz w:val="24"/>
          <w:szCs w:val="24"/>
          <w14:textFill>
            <w14:solidFill>
              <w14:schemeClr w14:val="tx1"/>
            </w14:solidFill>
          </w14:textFill>
        </w:rPr>
      </w:pPr>
    </w:p>
    <w:p>
      <w:pPr>
        <w:tabs>
          <w:tab w:val="right" w:pos="9072"/>
        </w:tabs>
        <w:spacing w:line="500" w:lineRule="exact"/>
        <w:ind w:firstLine="566" w:firstLineChars="200"/>
        <w:rPr>
          <w:rFonts w:ascii="华文仿宋" w:hAnsi="华文仿宋" w:cs="华文仿宋"/>
          <w:b/>
          <w:color w:val="000000" w:themeColor="text1"/>
          <w14:textFill>
            <w14:solidFill>
              <w14:schemeClr w14:val="tx1"/>
            </w14:solidFill>
          </w14:textFill>
        </w:rPr>
      </w:pPr>
    </w:p>
    <w:p>
      <w:pPr>
        <w:spacing w:line="500" w:lineRule="exact"/>
        <w:ind w:firstLine="4811" w:firstLineChars="17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w:t>
      </w:r>
      <w:r>
        <w:rPr>
          <w:rFonts w:hint="eastAsia" w:ascii="仿宋" w:hAnsi="仿宋" w:eastAsia="仿宋" w:cs="仿宋"/>
          <w:color w:val="000000" w:themeColor="text1"/>
          <w:u w:val="single"/>
          <w14:textFill>
            <w14:solidFill>
              <w14:schemeClr w14:val="tx1"/>
            </w14:solidFill>
          </w14:textFill>
        </w:rPr>
        <w:t>名称</w:t>
      </w:r>
      <w:r>
        <w:rPr>
          <w:rFonts w:hint="eastAsia" w:ascii="仿宋" w:hAnsi="仿宋" w:eastAsia="仿宋" w:cs="仿宋"/>
          <w:color w:val="000000" w:themeColor="text1"/>
          <w14:textFill>
            <w14:solidFill>
              <w14:schemeClr w14:val="tx1"/>
            </w14:solidFill>
          </w14:textFill>
        </w:rPr>
        <w:t>（加盖公章）</w:t>
      </w:r>
    </w:p>
    <w:p>
      <w:pPr>
        <w:tabs>
          <w:tab w:val="right" w:pos="9070"/>
        </w:tabs>
        <w:spacing w:line="500" w:lineRule="exact"/>
        <w:ind w:firstLine="4811" w:firstLineChars="1700"/>
        <w:rPr>
          <w:rFonts w:ascii="华文仿宋" w:hAnsi="华文仿宋" w:cs="华文仿宋"/>
          <w:bCs/>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日期：　　年　月　日</w:t>
      </w:r>
      <w:r>
        <w:rPr>
          <w:rFonts w:hint="eastAsia" w:ascii="华文仿宋" w:hAnsi="华文仿宋" w:cs="华文仿宋"/>
          <w:bCs/>
          <w:color w:val="000000" w:themeColor="text1"/>
          <w14:textFill>
            <w14:solidFill>
              <w14:schemeClr w14:val="tx1"/>
            </w14:solidFill>
          </w14:textFill>
        </w:rPr>
        <w:tab/>
      </w:r>
      <w:r>
        <w:rPr>
          <w:rFonts w:hint="eastAsia" w:ascii="华文仿宋" w:hAnsi="华文仿宋" w:cs="华文仿宋"/>
          <w:bCs/>
          <w:color w:val="000000" w:themeColor="text1"/>
          <w14:textFill>
            <w14:solidFill>
              <w14:schemeClr w14:val="tx1"/>
            </w14:solidFill>
          </w14:textFill>
        </w:rPr>
        <w:t xml:space="preserve">  </w:t>
      </w:r>
    </w:p>
    <w:p>
      <w:pPr>
        <w:tabs>
          <w:tab w:val="right" w:pos="9070"/>
        </w:tabs>
        <w:spacing w:line="500" w:lineRule="exact"/>
        <w:rPr>
          <w:rFonts w:ascii="华文仿宋" w:hAnsi="华文仿宋" w:cs="华文仿宋"/>
          <w:bCs/>
          <w:color w:val="000000" w:themeColor="text1"/>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br w:type="page"/>
      </w:r>
    </w:p>
    <w:p>
      <w:pPr>
        <w:pStyle w:val="43"/>
        <w:jc w:val="both"/>
        <w:rPr>
          <w:rFonts w:hint="eastAsia" w:ascii="仿宋_GB2312" w:hAnsi="仿宋_GB2312" w:eastAsia="仿宋_GB2312" w:cs="仿宋_GB2312"/>
          <w:bCs w:val="0"/>
          <w:color w:val="000000" w:themeColor="text1"/>
          <w14:textFill>
            <w14:solidFill>
              <w14:schemeClr w14:val="tx1"/>
            </w14:solidFill>
          </w14:textFill>
        </w:rPr>
      </w:pPr>
      <w:bookmarkStart w:id="332" w:name="_Toc2393"/>
      <w:bookmarkStart w:id="333" w:name="_Toc13309_WPSOffice_Level2"/>
      <w:bookmarkStart w:id="334" w:name="_Toc20416"/>
      <w:bookmarkStart w:id="335" w:name="_Toc9727_WPSOffice_Level2"/>
      <w:bookmarkStart w:id="336" w:name="_Toc26536_WPSOffice_Level2"/>
      <w:bookmarkStart w:id="337" w:name="_Toc18036_WPSOffice_Level2"/>
      <w:bookmarkStart w:id="338" w:name="_Toc26668"/>
      <w:bookmarkStart w:id="339" w:name="_Toc13794"/>
      <w:bookmarkStart w:id="340" w:name="_Toc1823_WPSOffice_Level2"/>
      <w:r>
        <w:rPr>
          <w:rFonts w:hint="eastAsia" w:ascii="仿宋_GB2312" w:hAnsi="仿宋_GB2312" w:eastAsia="仿宋_GB2312" w:cs="仿宋_GB2312"/>
          <w:bCs w:val="0"/>
          <w:color w:val="000000" w:themeColor="text1"/>
          <w:szCs w:val="28"/>
          <w14:textFill>
            <w14:solidFill>
              <w14:schemeClr w14:val="tx1"/>
            </w14:solidFill>
          </w14:textFill>
        </w:rPr>
        <w:t>三、</w:t>
      </w:r>
      <w:bookmarkEnd w:id="332"/>
      <w:bookmarkEnd w:id="333"/>
      <w:bookmarkStart w:id="341" w:name="_Toc4322"/>
      <w:bookmarkStart w:id="342" w:name="_Toc31081"/>
      <w:r>
        <w:rPr>
          <w:rFonts w:hint="eastAsia" w:ascii="仿宋_GB2312" w:hAnsi="仿宋_GB2312" w:eastAsia="仿宋_GB2312" w:cs="仿宋_GB2312"/>
          <w:bCs w:val="0"/>
          <w:color w:val="000000" w:themeColor="text1"/>
          <w14:textFill>
            <w14:solidFill>
              <w14:schemeClr w14:val="tx1"/>
            </w14:solidFill>
          </w14:textFill>
        </w:rPr>
        <w:t>供应商参加政府采购活动承诺书</w:t>
      </w:r>
      <w:bookmarkEnd w:id="334"/>
      <w:bookmarkEnd w:id="341"/>
      <w:bookmarkEnd w:id="342"/>
    </w:p>
    <w:bookmarkEnd w:id="335"/>
    <w:bookmarkEnd w:id="336"/>
    <w:bookmarkEnd w:id="337"/>
    <w:bookmarkEnd w:id="338"/>
    <w:bookmarkEnd w:id="339"/>
    <w:bookmarkEnd w:id="340"/>
    <w:p>
      <w:pPr>
        <w:spacing w:before="190" w:beforeLines="50" w:line="500" w:lineRule="exact"/>
        <w:ind w:firstLine="566" w:firstLineChars="200"/>
        <w:jc w:val="center"/>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拒绝政府采购领域商业贿赂承诺书</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为响应党中央、国务院关于治理政府采购领域商业贿赂行为的号召，我公司在此庄严承诺：</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1、在参与政府采购活动中遵纪守法、诚信经营、公平竞标。</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2、不向政府采购人、采购代理机构和政府采购评审专家进行任何形式的商业贿赂以谋取交易机会。</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3、不向政府采购代理机构和采购人提供虚假资质文件或采用虚假应标方式参与政府采购市场竞争并谋取中标、成交。</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4、不采取“围标、陪标”等商业欺诈手段获得政府采购定单。</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5、不采取不正当手段诋毁、排挤其他供应商。</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6、不在提供商品和服务时“偷梁换柱、以次充好”损害采购人的合法权益。</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7、不与采购人、采购代理机构政府采购评审专家或其它供应商恶意串通，进行质疑和投诉，维护政府采购市场秩序。</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8、尊重和接受政府采购监督管理部门的监督和政府采购代理机构招标采购要求，承担因违约行为给采购人造成的损失。</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9、不发生其他有悖于政府采购公开、公平、公正和诚信原则的行为。</w:t>
      </w:r>
    </w:p>
    <w:p>
      <w:pPr>
        <w:spacing w:line="500" w:lineRule="exact"/>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spacing w:line="500" w:lineRule="exact"/>
        <w:ind w:firstLine="5377" w:firstLineChars="19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日期：　 年　月　日</w:t>
      </w:r>
    </w:p>
    <w:p>
      <w:pPr>
        <w:spacing w:line="500" w:lineRule="exact"/>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br w:type="page"/>
      </w:r>
      <w:bookmarkStart w:id="343" w:name="_Toc27976_WPSOffice_Level2"/>
      <w:bookmarkStart w:id="344" w:name="_Toc16442_WPSOffice_Level2"/>
      <w:bookmarkStart w:id="345" w:name="_Toc16564_WPSOffice_Level2"/>
      <w:bookmarkStart w:id="346" w:name="_Toc10928_WPSOffice_Level2"/>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、技术服务偏差表</w:t>
      </w:r>
      <w:bookmarkEnd w:id="343"/>
      <w:bookmarkEnd w:id="344"/>
      <w:bookmarkEnd w:id="345"/>
      <w:bookmarkEnd w:id="346"/>
    </w:p>
    <w:tbl>
      <w:tblPr>
        <w:tblStyle w:val="2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92"/>
        <w:gridCol w:w="2480"/>
        <w:gridCol w:w="1254"/>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40"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1692"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b/>
                <w:color w:val="000000" w:themeColor="text1"/>
                <w:sz w:val="24"/>
                <w:szCs w:val="24"/>
                <w14:textFill>
                  <w14:solidFill>
                    <w14:schemeClr w14:val="tx1"/>
                  </w14:solidFill>
                </w14:textFill>
              </w:rPr>
              <w:t>文件要求</w:t>
            </w:r>
          </w:p>
        </w:tc>
        <w:tc>
          <w:tcPr>
            <w:tcW w:w="2480"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响应文件响应条款</w:t>
            </w:r>
          </w:p>
        </w:tc>
        <w:tc>
          <w:tcPr>
            <w:tcW w:w="1254"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偏离程度</w:t>
            </w:r>
          </w:p>
        </w:tc>
        <w:tc>
          <w:tcPr>
            <w:tcW w:w="2051"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偏离简述</w:t>
            </w:r>
          </w:p>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486" w:firstLineChars="20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bookmarkStart w:id="347" w:name="_Toc5795_WPSOffice_Level1"/>
      <w:bookmarkStart w:id="348" w:name="_Toc9021_WPSOffice_Level1"/>
      <w:bookmarkStart w:id="349" w:name="_Toc31624_WPSOffice_Level1"/>
      <w:r>
        <w:rPr>
          <w:rFonts w:hint="eastAsia" w:ascii="仿宋_GB2312" w:hAnsi="仿宋_GB2312" w:eastAsia="仿宋_GB2312" w:cs="仿宋_GB2312"/>
          <w:color w:val="000000" w:themeColor="text1"/>
          <w:sz w:val="24"/>
          <w:szCs w:val="24"/>
          <w14:textFill>
            <w14:solidFill>
              <w14:schemeClr w14:val="tx1"/>
            </w14:solidFill>
          </w14:textFill>
        </w:rPr>
        <w:t>备注：填写此表时以第三章“</w:t>
      </w:r>
      <w:r>
        <w:rPr>
          <w:rFonts w:hint="eastAsia" w:ascii="仿宋_GB2312" w:hAnsi="仿宋_GB2312" w:eastAsia="仿宋_GB2312" w:cs="仿宋_GB2312"/>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内容及采购要求”各条款为基本响应要求，满足</w:t>
      </w:r>
      <w:r>
        <w:rPr>
          <w:rFonts w:hint="eastAsia" w:ascii="仿宋_GB2312" w:hAnsi="仿宋_GB2312" w:eastAsia="仿宋_GB2312" w:cs="仿宋_GB2312"/>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文件要求的，“偏离程度”注明“0”，无需填写“偏离简述”项。超出、不满足</w:t>
      </w:r>
      <w:r>
        <w:rPr>
          <w:rFonts w:hint="eastAsia" w:ascii="仿宋_GB2312" w:hAnsi="仿宋_GB2312" w:eastAsia="仿宋_GB2312" w:cs="仿宋_GB2312"/>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文件要求的，列出“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”偏差，并在“偏离简述”项做出详细说明；如果加“★”内容的“响应条款”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或</w:t>
      </w:r>
      <w:r>
        <w:rPr>
          <w:rFonts w:hint="eastAsia" w:ascii="仿宋_GB2312" w:hAnsi="仿宋_GB2312" w:eastAsia="仿宋_GB2312" w:cs="仿宋_GB2312"/>
          <w:color w:val="000000" w:themeColor="text1"/>
          <w:sz w:val="24"/>
          <w:szCs w:val="24"/>
          <w14:textFill>
            <w14:solidFill>
              <w14:schemeClr w14:val="tx1"/>
            </w14:solidFill>
          </w14:textFill>
        </w:rPr>
        <w:t>“偏离程度”项未填写，将视为该项指标未响应，投标无效</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spacing w:line="240" w:lineRule="auto"/>
        <w:ind w:firstLine="426" w:firstLineChars="200"/>
        <w:rPr>
          <w:rFonts w:hint="eastAsia" w:ascii="仿宋_GB2312" w:hAnsi="仿宋_GB2312" w:eastAsia="仿宋_GB2312" w:cs="仿宋_GB2312"/>
          <w:color w:val="000000" w:themeColor="text1"/>
          <w:sz w:val="21"/>
          <w:szCs w:val="21"/>
          <w14:textFill>
            <w14:solidFill>
              <w14:schemeClr w14:val="tx1"/>
            </w14:solidFill>
          </w14:textFill>
        </w:rPr>
      </w:pP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p>
    <w:p>
      <w:pPr>
        <w:spacing w:line="500" w:lineRule="exact"/>
        <w:ind w:firstLine="5094" w:firstLineChars="18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tabs>
          <w:tab w:val="right" w:pos="9070"/>
        </w:tabs>
        <w:spacing w:line="500" w:lineRule="exact"/>
        <w:ind w:firstLine="5094" w:firstLineChars="1800"/>
        <w:rPr>
          <w:rFonts w:ascii="仿宋" w:hAnsi="仿宋" w:eastAsia="仿宋"/>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r>
        <w:rPr>
          <w:rFonts w:hint="eastAsia" w:ascii="仿宋_GB2312" w:hAnsi="仿宋_GB2312" w:eastAsia="仿宋_GB2312" w:cs="仿宋_GB2312"/>
          <w:bCs/>
          <w:color w:val="000000" w:themeColor="text1"/>
          <w14:textFill>
            <w14:solidFill>
              <w14:schemeClr w14:val="tx1"/>
            </w14:solidFill>
          </w14:textFill>
        </w:rPr>
        <w:tab/>
      </w:r>
    </w:p>
    <w:p>
      <w:pPr>
        <w:tabs>
          <w:tab w:val="right" w:pos="9070"/>
        </w:tabs>
        <w:spacing w:line="500" w:lineRule="exact"/>
        <w:ind w:firstLine="566" w:firstLineChars="200"/>
        <w:rPr>
          <w:rFonts w:ascii="仿宋" w:hAnsi="仿宋" w:eastAsia="仿宋"/>
          <w:bCs/>
          <w:color w:val="000000" w:themeColor="text1"/>
          <w14:textFill>
            <w14:solidFill>
              <w14:schemeClr w14:val="tx1"/>
            </w14:solidFill>
          </w14:textFill>
        </w:rPr>
      </w:pPr>
    </w:p>
    <w:p>
      <w:pPr>
        <w:spacing w:line="240" w:lineRule="auto"/>
        <w:jc w:val="left"/>
        <w:rPr>
          <w:rFonts w:ascii="仿宋" w:hAnsi="仿宋" w:eastAsia="仿宋" w:cs="仿宋"/>
          <w:b/>
          <w:color w:val="000000" w:themeColor="text1"/>
          <w:sz w:val="32"/>
          <w:szCs w:val="32"/>
          <w14:textFill>
            <w14:solidFill>
              <w14:schemeClr w14:val="tx1"/>
            </w14:solidFill>
          </w14:textFill>
        </w:rPr>
      </w:pPr>
    </w:p>
    <w:p>
      <w:pPr>
        <w:spacing w:line="240" w:lineRule="auto"/>
        <w:jc w:val="left"/>
        <w:rPr>
          <w:rFonts w:ascii="仿宋" w:hAnsi="仿宋" w:eastAsia="仿宋" w:cs="仿宋"/>
          <w:b/>
          <w:color w:val="000000" w:themeColor="text1"/>
          <w:sz w:val="32"/>
          <w:szCs w:val="32"/>
          <w14:textFill>
            <w14:solidFill>
              <w14:schemeClr w14:val="tx1"/>
            </w14:solidFill>
          </w14:textFill>
        </w:rPr>
      </w:pPr>
    </w:p>
    <w:p>
      <w:pPr>
        <w:spacing w:line="240" w:lineRule="auto"/>
        <w:jc w:val="left"/>
        <w:rPr>
          <w:rFonts w:ascii="仿宋" w:hAnsi="仿宋" w:eastAsia="仿宋" w:cs="仿宋"/>
          <w:b/>
          <w:color w:val="000000" w:themeColor="text1"/>
          <w:sz w:val="32"/>
          <w:szCs w:val="32"/>
          <w14:textFill>
            <w14:solidFill>
              <w14:schemeClr w14:val="tx1"/>
            </w14:solidFill>
          </w14:textFill>
        </w:rPr>
      </w:pPr>
    </w:p>
    <w:p>
      <w:pPr>
        <w:spacing w:line="240" w:lineRule="auto"/>
        <w:jc w:val="left"/>
        <w:rPr>
          <w:rFonts w:ascii="仿宋" w:hAnsi="仿宋" w:eastAsia="仿宋" w:cs="仿宋"/>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br w:type="page"/>
      </w:r>
    </w:p>
    <w:p>
      <w:pPr>
        <w:spacing w:line="240" w:lineRule="auto"/>
        <w:jc w:val="left"/>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、合同</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草案</w:t>
      </w:r>
      <w:r>
        <w:rPr>
          <w:rFonts w:hint="eastAsia" w:ascii="仿宋_GB2312" w:hAnsi="仿宋_GB2312" w:eastAsia="仿宋_GB2312" w:cs="仿宋_GB2312"/>
          <w:b/>
          <w:color w:val="000000" w:themeColor="text1"/>
          <w:sz w:val="32"/>
          <w:szCs w:val="32"/>
          <w14:textFill>
            <w14:solidFill>
              <w14:schemeClr w14:val="tx1"/>
            </w14:solidFill>
          </w14:textFill>
        </w:rPr>
        <w:t>条款响应</w:t>
      </w:r>
    </w:p>
    <w:p>
      <w:pPr>
        <w:spacing w:line="500" w:lineRule="exact"/>
        <w:ind w:firstLine="566" w:firstLineChars="200"/>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完全理解并接受</w:t>
      </w:r>
      <w:r>
        <w:rPr>
          <w:rFonts w:hint="eastAsia" w:ascii="仿宋_GB2312" w:hAnsi="仿宋_GB2312" w:eastAsia="仿宋_GB2312" w:cs="仿宋_GB2312"/>
          <w:bCs/>
          <w:color w:val="000000" w:themeColor="text1"/>
          <w:lang w:eastAsia="zh-CN"/>
          <w14:textFill>
            <w14:solidFill>
              <w14:schemeClr w14:val="tx1"/>
            </w14:solidFill>
          </w14:textFill>
        </w:rPr>
        <w:t>谈判</w:t>
      </w:r>
      <w:r>
        <w:rPr>
          <w:rFonts w:hint="eastAsia" w:ascii="仿宋_GB2312" w:hAnsi="仿宋_GB2312" w:eastAsia="仿宋_GB2312" w:cs="仿宋_GB2312"/>
          <w:bCs/>
          <w:color w:val="000000" w:themeColor="text1"/>
          <w14:textFill>
            <w14:solidFill>
              <w14:schemeClr w14:val="tx1"/>
            </w14:solidFill>
          </w14:textFill>
        </w:rPr>
        <w:t>文件中“合同</w:t>
      </w:r>
      <w:r>
        <w:rPr>
          <w:rFonts w:hint="eastAsia" w:ascii="仿宋_GB2312" w:hAnsi="仿宋_GB2312" w:eastAsia="仿宋_GB2312" w:cs="仿宋_GB2312"/>
          <w:bCs/>
          <w:color w:val="000000" w:themeColor="text1"/>
          <w:lang w:val="en-US" w:eastAsia="zh-CN"/>
          <w14:textFill>
            <w14:solidFill>
              <w14:schemeClr w14:val="tx1"/>
            </w14:solidFill>
          </w14:textFill>
        </w:rPr>
        <w:t>草案</w:t>
      </w:r>
      <w:r>
        <w:rPr>
          <w:rFonts w:hint="eastAsia" w:ascii="仿宋_GB2312" w:hAnsi="仿宋_GB2312" w:eastAsia="仿宋_GB2312" w:cs="仿宋_GB2312"/>
          <w:bCs/>
          <w:color w:val="000000" w:themeColor="text1"/>
          <w14:textFill>
            <w14:solidFill>
              <w14:schemeClr w14:val="tx1"/>
            </w14:solidFill>
          </w14:textFill>
        </w:rPr>
        <w:t>条款”要求。</w:t>
      </w: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spacing w:line="500" w:lineRule="exact"/>
        <w:ind w:firstLine="5094" w:firstLineChars="18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tabs>
          <w:tab w:val="right" w:pos="9070"/>
        </w:tabs>
        <w:spacing w:line="500" w:lineRule="exact"/>
        <w:ind w:firstLine="5094" w:firstLineChars="1800"/>
        <w:rPr>
          <w:rFonts w:ascii="仿宋" w:hAnsi="仿宋" w:eastAsia="仿宋"/>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r>
        <w:rPr>
          <w:rFonts w:hint="eastAsia" w:ascii="仿宋_GB2312" w:hAnsi="仿宋_GB2312" w:eastAsia="仿宋_GB2312" w:cs="仿宋_GB2312"/>
          <w:bCs/>
          <w:color w:val="000000" w:themeColor="text1"/>
          <w14:textFill>
            <w14:solidFill>
              <w14:schemeClr w14:val="tx1"/>
            </w14:solidFill>
          </w14:textFill>
        </w:rPr>
        <w:tab/>
      </w: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3"/>
        <w:spacing w:line="500" w:lineRule="exact"/>
        <w:rPr>
          <w:rFonts w:ascii="黑体" w:hAnsi="黑体" w:eastAsia="黑体"/>
          <w:b w:val="0"/>
          <w:color w:val="000000" w:themeColor="text1"/>
          <w14:textFill>
            <w14:solidFill>
              <w14:schemeClr w14:val="tx1"/>
            </w14:solidFill>
          </w14:textFill>
        </w:rPr>
      </w:pPr>
      <w:bookmarkStart w:id="350" w:name="_Toc30940"/>
      <w:bookmarkStart w:id="351" w:name="_Toc28832"/>
      <w:bookmarkStart w:id="352" w:name="_Toc19912"/>
      <w:bookmarkStart w:id="353" w:name="_Toc17248"/>
      <w:r>
        <w:rPr>
          <w:rStyle w:val="44"/>
          <w:rFonts w:hint="eastAsia" w:ascii="黑体" w:hAnsi="黑体" w:eastAsia="黑体"/>
          <w:b w:val="0"/>
          <w:bCs w:val="0"/>
          <w:color w:val="000000" w:themeColor="text1"/>
          <w:sz w:val="32"/>
          <w:szCs w:val="40"/>
          <w14:textFill>
            <w14:solidFill>
              <w14:schemeClr w14:val="tx1"/>
            </w14:solidFill>
          </w14:textFill>
        </w:rPr>
        <w:t>第三部分  响应方案</w:t>
      </w:r>
      <w:bookmarkEnd w:id="347"/>
      <w:bookmarkEnd w:id="348"/>
      <w:bookmarkEnd w:id="349"/>
      <w:bookmarkEnd w:id="350"/>
      <w:bookmarkEnd w:id="351"/>
      <w:bookmarkEnd w:id="352"/>
      <w:bookmarkEnd w:id="353"/>
    </w:p>
    <w:p>
      <w:pPr>
        <w:pStyle w:val="43"/>
        <w:spacing w:before="190" w:beforeLines="50" w:after="190" w:afterLines="50" w:line="500" w:lineRule="exact"/>
        <w:jc w:val="both"/>
        <w:rPr>
          <w:rFonts w:hint="eastAsia" w:ascii="仿宋_GB2312" w:hAnsi="仿宋_GB2312" w:eastAsia="仿宋_GB2312" w:cs="仿宋_GB2312"/>
          <w:bCs w:val="0"/>
          <w:color w:val="000000" w:themeColor="text1"/>
          <w:lang w:val="en-US" w:eastAsia="zh-CN"/>
          <w14:textFill>
            <w14:solidFill>
              <w14:schemeClr w14:val="tx1"/>
            </w14:solidFill>
          </w14:textFill>
        </w:rPr>
      </w:pPr>
      <w:bookmarkStart w:id="354" w:name="_Toc15660_WPSOffice_Level2"/>
      <w:bookmarkStart w:id="355" w:name="_Toc9337_WPSOffice_Level2"/>
      <w:bookmarkStart w:id="356" w:name="_Toc1481"/>
      <w:bookmarkStart w:id="357" w:name="_Toc9079"/>
      <w:bookmarkStart w:id="358" w:name="_Toc17062_WPSOffice_Level2"/>
      <w:bookmarkStart w:id="359" w:name="_Toc27817"/>
      <w:bookmarkStart w:id="360" w:name="_Toc11401"/>
      <w:bookmarkStart w:id="361" w:name="_Toc11555"/>
      <w:bookmarkStart w:id="362" w:name="_Toc29975_WPSOffice_Level2"/>
      <w:r>
        <w:rPr>
          <w:rFonts w:hint="eastAsia" w:ascii="仿宋_GB2312" w:hAnsi="仿宋_GB2312" w:eastAsia="仿宋_GB2312" w:cs="仿宋_GB2312"/>
          <w:bCs w:val="0"/>
          <w:color w:val="000000" w:themeColor="text1"/>
          <w14:textFill>
            <w14:solidFill>
              <w14:schemeClr w14:val="tx1"/>
            </w14:solidFill>
          </w14:textFill>
        </w:rPr>
        <w:t>一、供应商</w:t>
      </w:r>
      <w:bookmarkEnd w:id="354"/>
      <w:bookmarkEnd w:id="355"/>
      <w:bookmarkEnd w:id="356"/>
      <w:bookmarkEnd w:id="357"/>
      <w:bookmarkEnd w:id="358"/>
      <w:bookmarkEnd w:id="359"/>
      <w:bookmarkEnd w:id="360"/>
      <w:bookmarkEnd w:id="361"/>
      <w:bookmarkEnd w:id="362"/>
      <w:r>
        <w:rPr>
          <w:rFonts w:hint="eastAsia" w:ascii="仿宋_GB2312" w:hAnsi="仿宋_GB2312" w:eastAsia="仿宋_GB2312" w:cs="仿宋_GB2312"/>
          <w:bCs w:val="0"/>
          <w:color w:val="000000" w:themeColor="text1"/>
          <w:lang w:val="en-US" w:eastAsia="zh-CN"/>
          <w14:textFill>
            <w14:solidFill>
              <w14:schemeClr w14:val="tx1"/>
            </w14:solidFill>
          </w14:textFill>
        </w:rPr>
        <w:t>基本情况及其性质</w:t>
      </w:r>
    </w:p>
    <w:p>
      <w:pPr>
        <w:spacing w:line="500" w:lineRule="exact"/>
        <w:ind w:firstLine="566" w:firstLineChars="200"/>
        <w:rPr>
          <w:rFonts w:hint="eastAsia" w:ascii="仿宋_GB2312" w:hAnsi="仿宋_GB2312" w:eastAsia="仿宋_GB2312" w:cs="仿宋_GB2312"/>
          <w:b/>
          <w:color w:val="000000" w:themeColor="text1"/>
          <w14:textFill>
            <w14:solidFill>
              <w14:schemeClr w14:val="tx1"/>
            </w14:solidFill>
          </w14:textFill>
        </w:rPr>
      </w:pPr>
      <w:bookmarkStart w:id="363" w:name="_Toc27223_WPSOffice_Level3"/>
      <w:r>
        <w:rPr>
          <w:rFonts w:hint="eastAsia" w:ascii="仿宋_GB2312" w:hAnsi="仿宋_GB2312" w:eastAsia="仿宋_GB2312" w:cs="仿宋_GB2312"/>
          <w:b/>
          <w:color w:val="000000" w:themeColor="text1"/>
          <w14:textFill>
            <w14:solidFill>
              <w14:schemeClr w14:val="tx1"/>
            </w14:solidFill>
          </w14:textFill>
        </w:rPr>
        <w:t>（一）供应商基本信息</w:t>
      </w:r>
      <w:bookmarkEnd w:id="363"/>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供应商全称</w:t>
            </w:r>
          </w:p>
        </w:tc>
        <w:tc>
          <w:tcPr>
            <w:tcW w:w="749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注册地址</w:t>
            </w:r>
          </w:p>
        </w:tc>
        <w:tc>
          <w:tcPr>
            <w:tcW w:w="3009"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登记证号</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(主要负责人)</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上年度</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营业收入</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基本存款账户</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开户银行</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基本存款</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所获得资质及等级(国家行政部门颁发)</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000000" w:themeColor="text1"/>
                <w:kern w:val="0"/>
                <w:sz w:val="24"/>
                <w:szCs w:val="24"/>
                <w14:textFill>
                  <w14:solidFill>
                    <w14:schemeClr w14:val="tx1"/>
                  </w14:solidFill>
                </w14:textFill>
              </w:rPr>
            </w:pPr>
          </w:p>
          <w:p>
            <w:pPr>
              <w:autoSpaceDE w:val="0"/>
              <w:autoSpaceDN w:val="0"/>
              <w:adjustRightInd w:val="0"/>
              <w:spacing w:line="320" w:lineRule="exact"/>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经营范围</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从业人员总数</w:t>
            </w:r>
          </w:p>
        </w:tc>
        <w:tc>
          <w:tcPr>
            <w:tcW w:w="1239"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专业技术</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239"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说明</w:t>
            </w:r>
          </w:p>
        </w:tc>
        <w:tc>
          <w:tcPr>
            <w:tcW w:w="7494"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3、供应商应如实填写上述信息。</w:t>
            </w:r>
            <w:bookmarkStart w:id="364" w:name="■AcceptUnion_CH5_A■"/>
            <w:r>
              <w:rPr>
                <w:rFonts w:hint="eastAsia" w:ascii="仿宋_GB2312" w:hAnsi="仿宋_GB2312" w:eastAsia="仿宋_GB2312" w:cs="仿宋_GB2312"/>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文件允许联合体投标的，联合体各方均应提供。</w:t>
            </w:r>
            <w:bookmarkEnd w:id="364"/>
          </w:p>
        </w:tc>
      </w:tr>
    </w:tbl>
    <w:p>
      <w:pPr>
        <w:spacing w:line="500" w:lineRule="exact"/>
        <w:ind w:firstLine="566" w:firstLineChars="200"/>
        <w:rPr>
          <w:rFonts w:hint="eastAsia" w:ascii="仿宋_GB2312" w:hAnsi="仿宋_GB2312" w:eastAsia="仿宋_GB2312" w:cs="仿宋_GB2312"/>
          <w:b/>
          <w:bCs/>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w:t>
      </w:r>
      <w:r>
        <w:rPr>
          <w:rFonts w:hint="eastAsia" w:ascii="仿宋_GB2312" w:hAnsi="仿宋_GB2312" w:eastAsia="仿宋_GB2312" w:cs="仿宋_GB2312"/>
          <w:b/>
          <w:bCs/>
          <w:color w:val="000000" w:themeColor="text1"/>
          <w:lang w:val="en-US" w:eastAsia="zh-CN"/>
          <w14:textFill>
            <w14:solidFill>
              <w14:schemeClr w14:val="tx1"/>
            </w14:solidFill>
          </w14:textFill>
        </w:rPr>
        <w:t>二</w:t>
      </w:r>
      <w:r>
        <w:rPr>
          <w:rFonts w:hint="eastAsia" w:ascii="仿宋_GB2312" w:hAnsi="仿宋_GB2312" w:eastAsia="仿宋_GB2312" w:cs="仿宋_GB2312"/>
          <w:b/>
          <w:bCs/>
          <w:color w:val="000000" w:themeColor="text1"/>
          <w:lang w:eastAsia="zh-CN"/>
          <w14:textFill>
            <w14:solidFill>
              <w14:schemeClr w14:val="tx1"/>
            </w14:solidFill>
          </w14:textFill>
        </w:rPr>
        <w:t>）</w:t>
      </w:r>
      <w:r>
        <w:rPr>
          <w:rFonts w:hint="eastAsia" w:ascii="仿宋_GB2312" w:hAnsi="仿宋_GB2312" w:eastAsia="仿宋_GB2312" w:cs="仿宋_GB2312"/>
          <w:b/>
          <w:bCs/>
          <w:color w:val="000000" w:themeColor="text1"/>
          <w:lang w:val="en-US" w:eastAsia="zh-CN"/>
          <w14:textFill>
            <w14:solidFill>
              <w14:schemeClr w14:val="tx1"/>
            </w14:solidFill>
          </w14:textFill>
        </w:rPr>
        <w:t>供应商其他情况</w:t>
      </w:r>
    </w:p>
    <w:p>
      <w:pPr>
        <w:tabs>
          <w:tab w:val="right" w:pos="8364"/>
        </w:tabs>
        <w:spacing w:line="500" w:lineRule="exact"/>
        <w:ind w:firstLine="566" w:firstLineChars="20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包括但不限于总公司分公司分布及经营状况、股权变更、管理制度、人员配备、用户评价、正在实施的项目，评优获奖等情况，以及供应商认为有利于成交的其他情况说明。</w:t>
      </w:r>
    </w:p>
    <w:p>
      <w:pPr>
        <w:rPr>
          <w:rFonts w:hint="eastAsia"/>
          <w:b/>
          <w:color w:val="000000" w:themeColor="text1"/>
          <w:sz w:val="32"/>
          <w:szCs w:val="32"/>
          <w14:textFill>
            <w14:solidFill>
              <w14:schemeClr w14:val="tx1"/>
            </w14:solidFill>
          </w14:textFill>
        </w:rPr>
      </w:pPr>
      <w:r>
        <w:rPr>
          <w:rFonts w:hint="eastAsia"/>
          <w:b/>
          <w:color w:val="000000" w:themeColor="text1"/>
          <w:sz w:val="30"/>
          <w:szCs w:val="30"/>
          <w14:textFill>
            <w14:solidFill>
              <w14:schemeClr w14:val="tx1"/>
            </w14:solidFill>
          </w14:textFill>
        </w:rPr>
        <w:br w:type="page"/>
      </w:r>
    </w:p>
    <w:p>
      <w:pPr>
        <w:spacing w:line="500" w:lineRule="exact"/>
        <w:ind w:firstLine="0" w:firstLineChars="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二、技术服务方案</w:t>
      </w:r>
    </w:p>
    <w:p>
      <w:pPr>
        <w:spacing w:line="500" w:lineRule="exact"/>
        <w:ind w:firstLine="566" w:firstLineChars="200"/>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参照</w:t>
      </w:r>
      <w:r>
        <w:rPr>
          <w:rFonts w:hint="eastAsia" w:ascii="仿宋_GB2312" w:hAnsi="仿宋_GB2312" w:eastAsia="仿宋_GB2312" w:cs="仿宋_GB2312"/>
          <w:bCs/>
          <w:color w:val="000000" w:themeColor="text1"/>
          <w:lang w:eastAsia="zh-CN"/>
          <w14:textFill>
            <w14:solidFill>
              <w14:schemeClr w14:val="tx1"/>
            </w14:solidFill>
          </w14:textFill>
        </w:rPr>
        <w:t>谈判</w:t>
      </w:r>
      <w:r>
        <w:rPr>
          <w:rFonts w:hint="eastAsia" w:ascii="仿宋_GB2312" w:hAnsi="仿宋_GB2312" w:eastAsia="仿宋_GB2312" w:cs="仿宋_GB2312"/>
          <w:bCs/>
          <w:color w:val="000000" w:themeColor="text1"/>
          <w14:textFill>
            <w14:solidFill>
              <w14:schemeClr w14:val="tx1"/>
            </w14:solidFill>
          </w14:textFill>
        </w:rPr>
        <w:t>文件第二章《组织评审》各条款的要求，结合第三章《</w:t>
      </w:r>
      <w:r>
        <w:rPr>
          <w:rFonts w:hint="eastAsia" w:ascii="仿宋_GB2312" w:hAnsi="仿宋_GB2312" w:eastAsia="仿宋_GB2312" w:cs="仿宋_GB2312"/>
          <w:bCs/>
          <w:color w:val="000000" w:themeColor="text1"/>
          <w:lang w:eastAsia="zh-CN"/>
          <w14:textFill>
            <w14:solidFill>
              <w14:schemeClr w14:val="tx1"/>
            </w14:solidFill>
          </w14:textFill>
        </w:rPr>
        <w:t>谈判</w:t>
      </w:r>
      <w:r>
        <w:rPr>
          <w:rFonts w:hint="eastAsia" w:ascii="仿宋_GB2312" w:hAnsi="仿宋_GB2312" w:eastAsia="仿宋_GB2312" w:cs="仿宋_GB2312"/>
          <w:bCs/>
          <w:color w:val="000000" w:themeColor="text1"/>
          <w14:textFill>
            <w14:solidFill>
              <w14:schemeClr w14:val="tx1"/>
            </w14:solidFill>
          </w14:textFill>
        </w:rPr>
        <w:t>内容及采购要求》编制技术服务方案。</w:t>
      </w:r>
    </w:p>
    <w:p>
      <w:pPr>
        <w:tabs>
          <w:tab w:val="right" w:pos="9070"/>
        </w:tabs>
        <w:spacing w:line="500" w:lineRule="exact"/>
        <w:rPr>
          <w:rFonts w:hint="eastAsia" w:ascii="仿宋_GB2312" w:hAnsi="仿宋_GB2312" w:eastAsia="仿宋_GB2312" w:cs="仿宋_GB2312"/>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br w:type="page"/>
      </w:r>
    </w:p>
    <w:p>
      <w:pPr>
        <w:tabs>
          <w:tab w:val="right" w:pos="9070"/>
        </w:tabs>
        <w:spacing w:line="500" w:lineRule="exac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三、参考样表</w:t>
      </w:r>
    </w:p>
    <w:p>
      <w:pPr>
        <w:keepNext w:val="0"/>
        <w:keepLines w:val="0"/>
        <w:pageBreakBefore w:val="0"/>
        <w:kinsoku/>
        <w:wordWrap/>
        <w:overflowPunct/>
        <w:topLinePunct w:val="0"/>
        <w:autoSpaceDE/>
        <w:autoSpaceDN/>
        <w:bidi w:val="0"/>
        <w:spacing w:line="400" w:lineRule="exact"/>
        <w:ind w:firstLine="566" w:firstLineChars="200"/>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（一）履约进度计划表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904"/>
        <w:gridCol w:w="2820"/>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kern w:val="2"/>
                <w:sz w:val="28"/>
                <w:szCs w:val="28"/>
                <w:shd w:val="clear" w:color="auto" w:fill="auto"/>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auto"/>
                <w14:textFill>
                  <w14:solidFill>
                    <w14:schemeClr w14:val="tx1"/>
                  </w14:solidFill>
                </w14:textFill>
              </w:rPr>
              <w:t>序号</w:t>
            </w: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kern w:val="2"/>
                <w:sz w:val="28"/>
                <w:szCs w:val="28"/>
                <w:shd w:val="clear" w:color="auto" w:fill="auto"/>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auto"/>
                <w14:textFill>
                  <w14:solidFill>
                    <w14:schemeClr w14:val="tx1"/>
                  </w14:solidFill>
                </w14:textFill>
              </w:rPr>
              <w:t>拟定时间安排</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kern w:val="2"/>
                <w:sz w:val="28"/>
                <w:szCs w:val="28"/>
                <w:shd w:val="clear" w:color="auto" w:fill="auto"/>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auto"/>
                <w14:textFill>
                  <w14:solidFill>
                    <w14:schemeClr w14:val="tx1"/>
                  </w14:solidFill>
                </w14:textFill>
              </w:rPr>
              <w:t>计划完成的工作内容</w:t>
            </w: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kern w:val="2"/>
                <w:sz w:val="28"/>
                <w:szCs w:val="28"/>
                <w:shd w:val="clear" w:color="auto" w:fill="auto"/>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auto"/>
                <w14:textFill>
                  <w14:solidFill>
                    <w14:schemeClr w14:val="tx1"/>
                  </w14:solidFill>
                </w14:textFill>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numPr>
                <w:ilvl w:val="0"/>
                <w:numId w:val="3"/>
              </w:numPr>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拟定  年  月   日</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签定合同并生效</w:t>
            </w: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numPr>
                <w:ilvl w:val="0"/>
                <w:numId w:val="3"/>
              </w:numPr>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月  日—  月   日</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numPr>
                <w:ilvl w:val="0"/>
                <w:numId w:val="3"/>
              </w:numPr>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月  日—  月   日</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numPr>
                <w:ilvl w:val="0"/>
                <w:numId w:val="3"/>
              </w:numPr>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月  日—  月   日</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质保期</w:t>
            </w: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bl>
    <w:p>
      <w:pPr>
        <w:keepNext w:val="0"/>
        <w:keepLines w:val="0"/>
        <w:pageBreakBefore w:val="0"/>
        <w:kinsoku/>
        <w:wordWrap/>
        <w:overflowPunct/>
        <w:topLinePunct w:val="0"/>
        <w:autoSpaceDE/>
        <w:autoSpaceDN/>
        <w:bidi w:val="0"/>
        <w:spacing w:line="400" w:lineRule="exact"/>
        <w:ind w:firstLine="566" w:firstLineChars="20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业绩合同样表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58"/>
        <w:gridCol w:w="1479"/>
        <w:gridCol w:w="2265"/>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序号</w:t>
            </w:r>
          </w:p>
        </w:tc>
        <w:tc>
          <w:tcPr>
            <w:tcW w:w="1958"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采购单位名称</w:t>
            </w:r>
          </w:p>
        </w:tc>
        <w:tc>
          <w:tcPr>
            <w:tcW w:w="1479"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合同名称</w:t>
            </w:r>
          </w:p>
        </w:tc>
        <w:tc>
          <w:tcPr>
            <w:tcW w:w="2265"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合同起止时间</w:t>
            </w:r>
          </w:p>
        </w:tc>
        <w:tc>
          <w:tcPr>
            <w:tcW w:w="2276"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p>
        </w:tc>
        <w:tc>
          <w:tcPr>
            <w:tcW w:w="1958"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7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7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p>
        </w:tc>
        <w:tc>
          <w:tcPr>
            <w:tcW w:w="1958"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7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7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p>
        </w:tc>
        <w:tc>
          <w:tcPr>
            <w:tcW w:w="1958"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7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7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p>
        </w:tc>
        <w:tc>
          <w:tcPr>
            <w:tcW w:w="1958"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7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7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89" w:type="dxa"/>
            <w:gridSpan w:val="5"/>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数量合计（个）</w:t>
            </w:r>
            <w:r>
              <w:rPr>
                <w:rFonts w:hint="eastAsia" w:ascii="仿宋_GB2312" w:hAnsi="仿宋_GB2312" w:eastAsia="仿宋_GB2312" w:cs="仿宋_GB2312"/>
                <w:color w:val="000000" w:themeColor="text1"/>
                <w:sz w:val="28"/>
                <w:szCs w:val="28"/>
                <w14:textFill>
                  <w14:solidFill>
                    <w14:schemeClr w14:val="tx1"/>
                  </w14:solidFill>
                </w14:textFill>
              </w:rPr>
              <w:t>：</w:t>
            </w:r>
          </w:p>
        </w:tc>
      </w:tr>
    </w:tbl>
    <w:p>
      <w:pPr>
        <w:keepNext w:val="0"/>
        <w:keepLines w:val="0"/>
        <w:pageBreakBefore w:val="0"/>
        <w:tabs>
          <w:tab w:val="right" w:pos="9070"/>
        </w:tabs>
        <w:kinsoku/>
        <w:wordWrap/>
        <w:overflowPunct/>
        <w:topLinePunct w:val="0"/>
        <w:autoSpaceDE/>
        <w:autoSpaceDN/>
        <w:bidi w:val="0"/>
        <w:snapToGrid w:val="0"/>
        <w:spacing w:line="400" w:lineRule="exact"/>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后附20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color w:val="000000" w:themeColor="text1"/>
          <w:sz w:val="28"/>
          <w:szCs w:val="28"/>
          <w14:textFill>
            <w14:solidFill>
              <w14:schemeClr w14:val="tx1"/>
            </w14:solidFill>
          </w14:textFill>
        </w:rPr>
        <w:t>年1月1日以来同类项目合同复印件加盖响应人公章（以合同签订日期为准）</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2、视情况，此表一并随《成交结果》公示。</w:t>
      </w:r>
    </w:p>
    <w:p>
      <w:pPr>
        <w:keepNext w:val="0"/>
        <w:keepLines w:val="0"/>
        <w:pageBreakBefore w:val="0"/>
        <w:tabs>
          <w:tab w:val="right" w:pos="9070"/>
        </w:tabs>
        <w:kinsoku/>
        <w:wordWrap/>
        <w:overflowPunct/>
        <w:topLinePunct w:val="0"/>
        <w:autoSpaceDE/>
        <w:autoSpaceDN/>
        <w:bidi w:val="0"/>
        <w:snapToGrid w:val="0"/>
        <w:spacing w:line="400" w:lineRule="exact"/>
        <w:ind w:left="566" w:left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28"/>
          <w:szCs w:val="28"/>
          <w14:textFill>
            <w14:solidFill>
              <w14:schemeClr w14:val="tx1"/>
            </w14:solidFill>
          </w14:textFill>
        </w:rPr>
        <w:t>）项目团队样表</w:t>
      </w:r>
    </w:p>
    <w:p>
      <w:pPr>
        <w:keepNext w:val="0"/>
        <w:keepLines w:val="0"/>
        <w:pageBreakBefore w:val="0"/>
        <w:tabs>
          <w:tab w:val="right" w:pos="9070"/>
        </w:tabs>
        <w:kinsoku/>
        <w:wordWrap/>
        <w:overflowPunct/>
        <w:topLinePunct w:val="0"/>
        <w:autoSpaceDE/>
        <w:autoSpaceDN/>
        <w:bidi w:val="0"/>
        <w:spacing w:line="4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1、项目团队情况概述</w:t>
      </w:r>
    </w:p>
    <w:p>
      <w:pPr>
        <w:keepNext w:val="0"/>
        <w:keepLines w:val="0"/>
        <w:pageBreakBefore w:val="0"/>
        <w:tabs>
          <w:tab w:val="right" w:pos="9070"/>
        </w:tabs>
        <w:kinsoku/>
        <w:wordWrap/>
        <w:overflowPunct/>
        <w:topLinePunct w:val="0"/>
        <w:autoSpaceDE/>
        <w:autoSpaceDN/>
        <w:bidi w:val="0"/>
        <w:spacing w:line="4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概述内容包括但不限于为本项目提供服务的团队整体情况、团队负责人、联系人基本情况、背景、能力介绍等，具体内容自行编制。</w:t>
      </w:r>
    </w:p>
    <w:p>
      <w:pPr>
        <w:keepNext w:val="0"/>
        <w:keepLines w:val="0"/>
        <w:pageBreakBefore w:val="0"/>
        <w:tabs>
          <w:tab w:val="right" w:pos="9070"/>
        </w:tabs>
        <w:kinsoku/>
        <w:wordWrap/>
        <w:overflowPunct/>
        <w:topLinePunct w:val="0"/>
        <w:autoSpaceDE/>
        <w:autoSpaceDN/>
        <w:bidi w:val="0"/>
        <w:spacing w:line="4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2、项目团队人员清单</w:t>
      </w:r>
    </w:p>
    <w:tbl>
      <w:tblPr>
        <w:tblStyle w:val="2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128"/>
        <w:gridCol w:w="1839"/>
        <w:gridCol w:w="174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8"/>
            <w:tcBorders>
              <w:tl2br w:val="nil"/>
              <w:tr2bl w:val="nil"/>
            </w:tcBorders>
            <w:vAlign w:val="center"/>
          </w:tcPr>
          <w:p>
            <w:pPr>
              <w:keepNext w:val="0"/>
              <w:keepLines w:val="0"/>
              <w:pageBreakBefore w:val="0"/>
              <w:tabs>
                <w:tab w:val="right" w:pos="9070"/>
              </w:tabs>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1、项目负责人/技术负责人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资格</w:t>
            </w: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职称</w:t>
            </w: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在本行业从业工作年限</w:t>
            </w: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主要工作</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业绩和经历</w:t>
            </w: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w:t>
            </w:r>
            <w:r>
              <w:rPr>
                <w:rFonts w:hint="eastAsia" w:ascii="仿宋_GB2312" w:hAnsi="仿宋_GB2312" w:eastAsia="仿宋_GB2312" w:cs="仿宋_GB2312"/>
                <w:color w:val="000000" w:themeColor="text1"/>
                <w:sz w:val="28"/>
                <w:szCs w:val="28"/>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8"/>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资格</w:t>
            </w: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职称</w:t>
            </w: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在本行业从业工作年限</w:t>
            </w: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主要工作</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业绩和经历</w:t>
            </w: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8"/>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年龄</w:t>
            </w:r>
          </w:p>
        </w:tc>
        <w:tc>
          <w:tcPr>
            <w:tcW w:w="1284"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学历</w:t>
            </w:r>
          </w:p>
        </w:tc>
        <w:tc>
          <w:tcPr>
            <w:tcW w:w="1128"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职称</w:t>
            </w: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从事类似项目工作年限</w:t>
            </w: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主要工作</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业绩和经历</w:t>
            </w: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w:t>
            </w:r>
            <w:r>
              <w:rPr>
                <w:rFonts w:hint="eastAsia" w:ascii="仿宋_GB2312" w:hAnsi="仿宋_GB2312" w:eastAsia="仿宋_GB2312" w:cs="仿宋_GB2312"/>
                <w:color w:val="000000" w:themeColor="text1"/>
                <w:sz w:val="28"/>
                <w:szCs w:val="28"/>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84"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28"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84"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28"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84"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28"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备注</w:t>
            </w:r>
          </w:p>
        </w:tc>
        <w:tc>
          <w:tcPr>
            <w:tcW w:w="8051" w:type="dxa"/>
            <w:gridSpan w:val="7"/>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表格空间不足时请自行扩展。</w:t>
            </w:r>
          </w:p>
        </w:tc>
      </w:tr>
    </w:tbl>
    <w:p>
      <w:pPr>
        <w:pStyle w:val="2"/>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sectPr>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47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47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47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47 </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宋体" w:hAnsi="宋体" w:eastAsia="宋体" w:cs="华文仿宋"/>
        <w:lang w:val="en-US" w:eastAsia="zh-CN"/>
      </w:rPr>
      <w:t>汉中市政府采购中心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宋体"/>
        <w:sz w:val="21"/>
        <w:szCs w:val="21"/>
        <w:lang w:val="en-US" w:eastAsia="zh-CN"/>
      </w:rPr>
    </w:pPr>
    <w:r>
      <w:rPr>
        <w:rFonts w:hint="eastAsia" w:ascii="宋体" w:hAnsi="宋体" w:eastAsia="宋体" w:cs="华文仿宋"/>
        <w:lang w:val="en-US" w:eastAsia="zh-CN"/>
      </w:rPr>
      <w:t>汉中市政府采购中心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abstractNum w:abstractNumId="2">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42"/>
  <w:drawingGridVerticalSpacing w:val="19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00172A27"/>
    <w:rsid w:val="0007204D"/>
    <w:rsid w:val="00294CF0"/>
    <w:rsid w:val="002B30BD"/>
    <w:rsid w:val="00331341"/>
    <w:rsid w:val="00340C6A"/>
    <w:rsid w:val="0038572B"/>
    <w:rsid w:val="003917EE"/>
    <w:rsid w:val="003E41D4"/>
    <w:rsid w:val="004F3FD4"/>
    <w:rsid w:val="007378C6"/>
    <w:rsid w:val="007A39DA"/>
    <w:rsid w:val="00934F0E"/>
    <w:rsid w:val="009716B8"/>
    <w:rsid w:val="00975546"/>
    <w:rsid w:val="00BA4780"/>
    <w:rsid w:val="00D54DC4"/>
    <w:rsid w:val="00DA0F8E"/>
    <w:rsid w:val="00EF498E"/>
    <w:rsid w:val="00F058FE"/>
    <w:rsid w:val="010518F0"/>
    <w:rsid w:val="015A5870"/>
    <w:rsid w:val="015C7263"/>
    <w:rsid w:val="015D1C6F"/>
    <w:rsid w:val="016439CE"/>
    <w:rsid w:val="01684E01"/>
    <w:rsid w:val="01903397"/>
    <w:rsid w:val="01A050EF"/>
    <w:rsid w:val="01C82D28"/>
    <w:rsid w:val="01CD6A8A"/>
    <w:rsid w:val="01CE3474"/>
    <w:rsid w:val="01D515BB"/>
    <w:rsid w:val="01F679DE"/>
    <w:rsid w:val="01FA3AC8"/>
    <w:rsid w:val="0204742C"/>
    <w:rsid w:val="02343D5B"/>
    <w:rsid w:val="023B08E9"/>
    <w:rsid w:val="023E3EED"/>
    <w:rsid w:val="02557B87"/>
    <w:rsid w:val="025A0286"/>
    <w:rsid w:val="02671768"/>
    <w:rsid w:val="02891DCB"/>
    <w:rsid w:val="02BD0EE2"/>
    <w:rsid w:val="02C11391"/>
    <w:rsid w:val="02C4205E"/>
    <w:rsid w:val="02E307E4"/>
    <w:rsid w:val="03427B4F"/>
    <w:rsid w:val="03460878"/>
    <w:rsid w:val="034B3DA3"/>
    <w:rsid w:val="03526AB2"/>
    <w:rsid w:val="03531D00"/>
    <w:rsid w:val="036C3D74"/>
    <w:rsid w:val="037E48A2"/>
    <w:rsid w:val="0387207F"/>
    <w:rsid w:val="039F5F7A"/>
    <w:rsid w:val="03A7685B"/>
    <w:rsid w:val="03B2157C"/>
    <w:rsid w:val="03BD2FA8"/>
    <w:rsid w:val="03D43FC2"/>
    <w:rsid w:val="03E823D6"/>
    <w:rsid w:val="03EC7A8D"/>
    <w:rsid w:val="03EF1CB8"/>
    <w:rsid w:val="0426080F"/>
    <w:rsid w:val="044762AA"/>
    <w:rsid w:val="045F127B"/>
    <w:rsid w:val="0467205E"/>
    <w:rsid w:val="047F7D42"/>
    <w:rsid w:val="0489653F"/>
    <w:rsid w:val="048A6B28"/>
    <w:rsid w:val="04981D44"/>
    <w:rsid w:val="049F3DB3"/>
    <w:rsid w:val="04A04E7B"/>
    <w:rsid w:val="04A56CCB"/>
    <w:rsid w:val="04B01582"/>
    <w:rsid w:val="04C17D44"/>
    <w:rsid w:val="04C57B89"/>
    <w:rsid w:val="04DF00DC"/>
    <w:rsid w:val="05016CE4"/>
    <w:rsid w:val="05210E5D"/>
    <w:rsid w:val="05214B13"/>
    <w:rsid w:val="055F2FF6"/>
    <w:rsid w:val="05686454"/>
    <w:rsid w:val="057139B6"/>
    <w:rsid w:val="057F5907"/>
    <w:rsid w:val="05A35D71"/>
    <w:rsid w:val="05B065AB"/>
    <w:rsid w:val="05D17456"/>
    <w:rsid w:val="062335AF"/>
    <w:rsid w:val="06243474"/>
    <w:rsid w:val="06264001"/>
    <w:rsid w:val="06410743"/>
    <w:rsid w:val="064B18B7"/>
    <w:rsid w:val="064E03A2"/>
    <w:rsid w:val="0680440D"/>
    <w:rsid w:val="068157BD"/>
    <w:rsid w:val="06C17517"/>
    <w:rsid w:val="07195343"/>
    <w:rsid w:val="07254389"/>
    <w:rsid w:val="07280963"/>
    <w:rsid w:val="073843F7"/>
    <w:rsid w:val="073E266E"/>
    <w:rsid w:val="074E0A56"/>
    <w:rsid w:val="076C6CA2"/>
    <w:rsid w:val="076D5CE6"/>
    <w:rsid w:val="078508C6"/>
    <w:rsid w:val="07AA637F"/>
    <w:rsid w:val="07C92D47"/>
    <w:rsid w:val="07CA4DE5"/>
    <w:rsid w:val="07D860C3"/>
    <w:rsid w:val="07DB28A2"/>
    <w:rsid w:val="07E020CE"/>
    <w:rsid w:val="07EA4D10"/>
    <w:rsid w:val="08097B10"/>
    <w:rsid w:val="080F1B46"/>
    <w:rsid w:val="0813234A"/>
    <w:rsid w:val="08211FD1"/>
    <w:rsid w:val="08243795"/>
    <w:rsid w:val="083537ED"/>
    <w:rsid w:val="083C734E"/>
    <w:rsid w:val="08417A7B"/>
    <w:rsid w:val="085F77E6"/>
    <w:rsid w:val="08694136"/>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F16EE"/>
    <w:rsid w:val="09555E20"/>
    <w:rsid w:val="096F7367"/>
    <w:rsid w:val="098900BC"/>
    <w:rsid w:val="09921B5C"/>
    <w:rsid w:val="09A44801"/>
    <w:rsid w:val="09E319B7"/>
    <w:rsid w:val="0A16231D"/>
    <w:rsid w:val="0A394E5E"/>
    <w:rsid w:val="0A4214E6"/>
    <w:rsid w:val="0A622F41"/>
    <w:rsid w:val="0A7A446C"/>
    <w:rsid w:val="0A7D5CED"/>
    <w:rsid w:val="0A7F7130"/>
    <w:rsid w:val="0A870BFA"/>
    <w:rsid w:val="0A9B2547"/>
    <w:rsid w:val="0AF11BC9"/>
    <w:rsid w:val="0AFB176D"/>
    <w:rsid w:val="0B0B31B3"/>
    <w:rsid w:val="0B144A64"/>
    <w:rsid w:val="0B1C7012"/>
    <w:rsid w:val="0B240833"/>
    <w:rsid w:val="0B354EB2"/>
    <w:rsid w:val="0B373F04"/>
    <w:rsid w:val="0B3F0F07"/>
    <w:rsid w:val="0B4C17B5"/>
    <w:rsid w:val="0B5155F7"/>
    <w:rsid w:val="0B6901C4"/>
    <w:rsid w:val="0B692F04"/>
    <w:rsid w:val="0B6A096C"/>
    <w:rsid w:val="0B721EFB"/>
    <w:rsid w:val="0B894B9F"/>
    <w:rsid w:val="0B8E23DB"/>
    <w:rsid w:val="0B9C58ED"/>
    <w:rsid w:val="0BC4039D"/>
    <w:rsid w:val="0BD14F4E"/>
    <w:rsid w:val="0BDF2684"/>
    <w:rsid w:val="0BDF30E8"/>
    <w:rsid w:val="0BDF5D7D"/>
    <w:rsid w:val="0BE60A01"/>
    <w:rsid w:val="0BEC43AB"/>
    <w:rsid w:val="0C182E69"/>
    <w:rsid w:val="0C1D529F"/>
    <w:rsid w:val="0C1E1870"/>
    <w:rsid w:val="0C325E86"/>
    <w:rsid w:val="0C424E69"/>
    <w:rsid w:val="0C5D7BD6"/>
    <w:rsid w:val="0C620A1C"/>
    <w:rsid w:val="0C7C7D5B"/>
    <w:rsid w:val="0C8E6CD7"/>
    <w:rsid w:val="0CC20327"/>
    <w:rsid w:val="0CC24884"/>
    <w:rsid w:val="0CE86762"/>
    <w:rsid w:val="0CEC4544"/>
    <w:rsid w:val="0D085996"/>
    <w:rsid w:val="0D256266"/>
    <w:rsid w:val="0D6D6BDD"/>
    <w:rsid w:val="0D6E60A1"/>
    <w:rsid w:val="0D9171AE"/>
    <w:rsid w:val="0DA9338A"/>
    <w:rsid w:val="0DE037BA"/>
    <w:rsid w:val="0DE85E53"/>
    <w:rsid w:val="0E132C75"/>
    <w:rsid w:val="0E2E2A82"/>
    <w:rsid w:val="0E5F01E5"/>
    <w:rsid w:val="0E8363B6"/>
    <w:rsid w:val="0EB253C1"/>
    <w:rsid w:val="0EB957D3"/>
    <w:rsid w:val="0ECE1CDE"/>
    <w:rsid w:val="0ECF35E0"/>
    <w:rsid w:val="0EE4486D"/>
    <w:rsid w:val="0EED3D24"/>
    <w:rsid w:val="0F1B578D"/>
    <w:rsid w:val="0F1D03EF"/>
    <w:rsid w:val="0F257B4C"/>
    <w:rsid w:val="0F3533CF"/>
    <w:rsid w:val="0F684453"/>
    <w:rsid w:val="0F7165DD"/>
    <w:rsid w:val="0F8B2DA9"/>
    <w:rsid w:val="0FB15E33"/>
    <w:rsid w:val="0FE75496"/>
    <w:rsid w:val="0FF86D48"/>
    <w:rsid w:val="100C563E"/>
    <w:rsid w:val="10292C44"/>
    <w:rsid w:val="10841837"/>
    <w:rsid w:val="10883FD1"/>
    <w:rsid w:val="10A32F80"/>
    <w:rsid w:val="10BC00C6"/>
    <w:rsid w:val="10E13394"/>
    <w:rsid w:val="10FD2B76"/>
    <w:rsid w:val="110C102F"/>
    <w:rsid w:val="11181B40"/>
    <w:rsid w:val="11252F1A"/>
    <w:rsid w:val="114A462A"/>
    <w:rsid w:val="1169081A"/>
    <w:rsid w:val="118249C0"/>
    <w:rsid w:val="11B03DAF"/>
    <w:rsid w:val="11DE655A"/>
    <w:rsid w:val="11F32DBF"/>
    <w:rsid w:val="12303C06"/>
    <w:rsid w:val="123E6579"/>
    <w:rsid w:val="12421048"/>
    <w:rsid w:val="124E27C4"/>
    <w:rsid w:val="125C0391"/>
    <w:rsid w:val="126F2075"/>
    <w:rsid w:val="128D6FC9"/>
    <w:rsid w:val="12950F85"/>
    <w:rsid w:val="12960862"/>
    <w:rsid w:val="12A04BDA"/>
    <w:rsid w:val="12A86650"/>
    <w:rsid w:val="12E51257"/>
    <w:rsid w:val="12F57C06"/>
    <w:rsid w:val="12F96745"/>
    <w:rsid w:val="12FD6D66"/>
    <w:rsid w:val="12FF18AF"/>
    <w:rsid w:val="131953F9"/>
    <w:rsid w:val="134C233A"/>
    <w:rsid w:val="136F7A26"/>
    <w:rsid w:val="137A4AD4"/>
    <w:rsid w:val="137B051A"/>
    <w:rsid w:val="138222F2"/>
    <w:rsid w:val="13837718"/>
    <w:rsid w:val="138C0895"/>
    <w:rsid w:val="138D048A"/>
    <w:rsid w:val="13900013"/>
    <w:rsid w:val="13931510"/>
    <w:rsid w:val="139E0D62"/>
    <w:rsid w:val="13A11597"/>
    <w:rsid w:val="13AE09B3"/>
    <w:rsid w:val="13C31130"/>
    <w:rsid w:val="13C85D12"/>
    <w:rsid w:val="13C937D6"/>
    <w:rsid w:val="13E737B7"/>
    <w:rsid w:val="13EE393F"/>
    <w:rsid w:val="1402440B"/>
    <w:rsid w:val="1408673E"/>
    <w:rsid w:val="140E39DD"/>
    <w:rsid w:val="141C207A"/>
    <w:rsid w:val="142D54E1"/>
    <w:rsid w:val="14336CEA"/>
    <w:rsid w:val="14341855"/>
    <w:rsid w:val="14477D16"/>
    <w:rsid w:val="14633F0B"/>
    <w:rsid w:val="14743D20"/>
    <w:rsid w:val="14774D9D"/>
    <w:rsid w:val="148D32B1"/>
    <w:rsid w:val="14A52B7A"/>
    <w:rsid w:val="14A539EC"/>
    <w:rsid w:val="14DA45EC"/>
    <w:rsid w:val="14F33389"/>
    <w:rsid w:val="14FB602E"/>
    <w:rsid w:val="150E3E9E"/>
    <w:rsid w:val="151F1ED6"/>
    <w:rsid w:val="153D08FD"/>
    <w:rsid w:val="1564126D"/>
    <w:rsid w:val="15645D6E"/>
    <w:rsid w:val="156C1521"/>
    <w:rsid w:val="15A614D9"/>
    <w:rsid w:val="15CA6D94"/>
    <w:rsid w:val="15D226A2"/>
    <w:rsid w:val="15DB7622"/>
    <w:rsid w:val="162271CE"/>
    <w:rsid w:val="163D2276"/>
    <w:rsid w:val="1646616E"/>
    <w:rsid w:val="164B7078"/>
    <w:rsid w:val="16545E33"/>
    <w:rsid w:val="16961986"/>
    <w:rsid w:val="16984A31"/>
    <w:rsid w:val="16A724A2"/>
    <w:rsid w:val="16DF64BF"/>
    <w:rsid w:val="16E25B8A"/>
    <w:rsid w:val="16FF6F24"/>
    <w:rsid w:val="170555E3"/>
    <w:rsid w:val="172547B0"/>
    <w:rsid w:val="17562AFA"/>
    <w:rsid w:val="178701A0"/>
    <w:rsid w:val="178D3B42"/>
    <w:rsid w:val="17CD1BB2"/>
    <w:rsid w:val="17EB105E"/>
    <w:rsid w:val="17F54509"/>
    <w:rsid w:val="180D61E0"/>
    <w:rsid w:val="181417AB"/>
    <w:rsid w:val="181D6C67"/>
    <w:rsid w:val="182820E1"/>
    <w:rsid w:val="18354553"/>
    <w:rsid w:val="18460FF6"/>
    <w:rsid w:val="184B4224"/>
    <w:rsid w:val="184F21B3"/>
    <w:rsid w:val="186802BC"/>
    <w:rsid w:val="18864D3A"/>
    <w:rsid w:val="189A4C02"/>
    <w:rsid w:val="18A626E9"/>
    <w:rsid w:val="18A74FE1"/>
    <w:rsid w:val="18A90755"/>
    <w:rsid w:val="18B77BA2"/>
    <w:rsid w:val="18BA17D8"/>
    <w:rsid w:val="18C835DC"/>
    <w:rsid w:val="18D41CCF"/>
    <w:rsid w:val="18E1122A"/>
    <w:rsid w:val="19182E15"/>
    <w:rsid w:val="19192C89"/>
    <w:rsid w:val="19364865"/>
    <w:rsid w:val="195E4D01"/>
    <w:rsid w:val="199363BE"/>
    <w:rsid w:val="19961403"/>
    <w:rsid w:val="19A07745"/>
    <w:rsid w:val="19B25FC3"/>
    <w:rsid w:val="19BC3D6B"/>
    <w:rsid w:val="19BF282D"/>
    <w:rsid w:val="19C0263E"/>
    <w:rsid w:val="19CD08FA"/>
    <w:rsid w:val="19D22C3D"/>
    <w:rsid w:val="1A0D68EB"/>
    <w:rsid w:val="1A424B3D"/>
    <w:rsid w:val="1A4F5CB2"/>
    <w:rsid w:val="1A50307B"/>
    <w:rsid w:val="1A9D590B"/>
    <w:rsid w:val="1AA441E5"/>
    <w:rsid w:val="1AB335A6"/>
    <w:rsid w:val="1AC85D1B"/>
    <w:rsid w:val="1ACC5E1B"/>
    <w:rsid w:val="1AD304B8"/>
    <w:rsid w:val="1AE006FC"/>
    <w:rsid w:val="1AFF05E0"/>
    <w:rsid w:val="1B0374CB"/>
    <w:rsid w:val="1B1021D6"/>
    <w:rsid w:val="1B2E0D2F"/>
    <w:rsid w:val="1B34316D"/>
    <w:rsid w:val="1B3C49CA"/>
    <w:rsid w:val="1B4771C2"/>
    <w:rsid w:val="1B7D49F7"/>
    <w:rsid w:val="1B8E56AB"/>
    <w:rsid w:val="1BA80A6F"/>
    <w:rsid w:val="1BB14E66"/>
    <w:rsid w:val="1BE04391"/>
    <w:rsid w:val="1BF8652E"/>
    <w:rsid w:val="1C2E65C9"/>
    <w:rsid w:val="1C2F3C10"/>
    <w:rsid w:val="1C2F716F"/>
    <w:rsid w:val="1C3E54EB"/>
    <w:rsid w:val="1C3F3D72"/>
    <w:rsid w:val="1C552039"/>
    <w:rsid w:val="1C563B22"/>
    <w:rsid w:val="1C796C6B"/>
    <w:rsid w:val="1C7B1AED"/>
    <w:rsid w:val="1C8A3C5A"/>
    <w:rsid w:val="1C8F7303"/>
    <w:rsid w:val="1C901B90"/>
    <w:rsid w:val="1C967A89"/>
    <w:rsid w:val="1CAE291B"/>
    <w:rsid w:val="1CC21924"/>
    <w:rsid w:val="1CD15C79"/>
    <w:rsid w:val="1D0205B4"/>
    <w:rsid w:val="1D1B4F27"/>
    <w:rsid w:val="1D20081E"/>
    <w:rsid w:val="1D335514"/>
    <w:rsid w:val="1D356CC0"/>
    <w:rsid w:val="1D501181"/>
    <w:rsid w:val="1D5C063C"/>
    <w:rsid w:val="1D8343E7"/>
    <w:rsid w:val="1D8D1C09"/>
    <w:rsid w:val="1D992236"/>
    <w:rsid w:val="1DA51267"/>
    <w:rsid w:val="1DC27599"/>
    <w:rsid w:val="1DD2092D"/>
    <w:rsid w:val="1DE42258"/>
    <w:rsid w:val="1DF82208"/>
    <w:rsid w:val="1E150EE3"/>
    <w:rsid w:val="1E390005"/>
    <w:rsid w:val="1E3C4FCE"/>
    <w:rsid w:val="1E5A2132"/>
    <w:rsid w:val="1E776749"/>
    <w:rsid w:val="1E820D2A"/>
    <w:rsid w:val="1E8E20FF"/>
    <w:rsid w:val="1E8F1ECA"/>
    <w:rsid w:val="1E9546A5"/>
    <w:rsid w:val="1E9B1F5F"/>
    <w:rsid w:val="1EA37146"/>
    <w:rsid w:val="1EAB1ADB"/>
    <w:rsid w:val="1EAC4085"/>
    <w:rsid w:val="1EBF5830"/>
    <w:rsid w:val="1EC645BF"/>
    <w:rsid w:val="1EC67C8F"/>
    <w:rsid w:val="1ED8574D"/>
    <w:rsid w:val="1EDC1A7B"/>
    <w:rsid w:val="1EDD0A29"/>
    <w:rsid w:val="1EDD7FA9"/>
    <w:rsid w:val="1EDF295B"/>
    <w:rsid w:val="1EFC4527"/>
    <w:rsid w:val="1F0268BD"/>
    <w:rsid w:val="1F0F280A"/>
    <w:rsid w:val="1F2422DF"/>
    <w:rsid w:val="1F2B2168"/>
    <w:rsid w:val="1F306773"/>
    <w:rsid w:val="1F346CA0"/>
    <w:rsid w:val="1F4C66FE"/>
    <w:rsid w:val="1F77014D"/>
    <w:rsid w:val="1F827198"/>
    <w:rsid w:val="1F876088"/>
    <w:rsid w:val="1F925678"/>
    <w:rsid w:val="1F9F20EA"/>
    <w:rsid w:val="1FAB6CE1"/>
    <w:rsid w:val="1FDB5C4A"/>
    <w:rsid w:val="200705EA"/>
    <w:rsid w:val="203945B9"/>
    <w:rsid w:val="2042167B"/>
    <w:rsid w:val="204D2CD4"/>
    <w:rsid w:val="20500A32"/>
    <w:rsid w:val="205D4EF1"/>
    <w:rsid w:val="20677454"/>
    <w:rsid w:val="20787973"/>
    <w:rsid w:val="20885D40"/>
    <w:rsid w:val="20A37050"/>
    <w:rsid w:val="20A91698"/>
    <w:rsid w:val="20B53E4A"/>
    <w:rsid w:val="20BA6848"/>
    <w:rsid w:val="20C430EF"/>
    <w:rsid w:val="20E07AF1"/>
    <w:rsid w:val="20F37841"/>
    <w:rsid w:val="210F4172"/>
    <w:rsid w:val="215E7F7D"/>
    <w:rsid w:val="216A5B17"/>
    <w:rsid w:val="21881D08"/>
    <w:rsid w:val="218C5F60"/>
    <w:rsid w:val="218D3E5D"/>
    <w:rsid w:val="218E2416"/>
    <w:rsid w:val="21910AEA"/>
    <w:rsid w:val="21A41C3A"/>
    <w:rsid w:val="21AA2BB6"/>
    <w:rsid w:val="21CE6EEF"/>
    <w:rsid w:val="21D073B0"/>
    <w:rsid w:val="21D72497"/>
    <w:rsid w:val="21EB6A1B"/>
    <w:rsid w:val="21ED538F"/>
    <w:rsid w:val="21F0447F"/>
    <w:rsid w:val="21F77868"/>
    <w:rsid w:val="21FB63BA"/>
    <w:rsid w:val="2217504C"/>
    <w:rsid w:val="22491C26"/>
    <w:rsid w:val="224E07D8"/>
    <w:rsid w:val="22554647"/>
    <w:rsid w:val="22575CE6"/>
    <w:rsid w:val="2264646B"/>
    <w:rsid w:val="226C52A0"/>
    <w:rsid w:val="226E2973"/>
    <w:rsid w:val="226F59C8"/>
    <w:rsid w:val="22887BC3"/>
    <w:rsid w:val="2295740C"/>
    <w:rsid w:val="22FA3D86"/>
    <w:rsid w:val="23175F7D"/>
    <w:rsid w:val="231A1B0E"/>
    <w:rsid w:val="231B09DE"/>
    <w:rsid w:val="23244A98"/>
    <w:rsid w:val="23342EC4"/>
    <w:rsid w:val="23373684"/>
    <w:rsid w:val="23567880"/>
    <w:rsid w:val="237D15F6"/>
    <w:rsid w:val="23876DB6"/>
    <w:rsid w:val="238C2D74"/>
    <w:rsid w:val="239048BE"/>
    <w:rsid w:val="23A93BDB"/>
    <w:rsid w:val="23A96390"/>
    <w:rsid w:val="23B35841"/>
    <w:rsid w:val="23C41338"/>
    <w:rsid w:val="23EF46D5"/>
    <w:rsid w:val="23F724F4"/>
    <w:rsid w:val="24042BDB"/>
    <w:rsid w:val="24234AF6"/>
    <w:rsid w:val="244C739C"/>
    <w:rsid w:val="245B144E"/>
    <w:rsid w:val="245D3144"/>
    <w:rsid w:val="246B7E66"/>
    <w:rsid w:val="246F4AAC"/>
    <w:rsid w:val="247E599E"/>
    <w:rsid w:val="248E26A9"/>
    <w:rsid w:val="24B46637"/>
    <w:rsid w:val="24E16FE1"/>
    <w:rsid w:val="24EB6423"/>
    <w:rsid w:val="250A773C"/>
    <w:rsid w:val="25136D8E"/>
    <w:rsid w:val="25384B48"/>
    <w:rsid w:val="25471D43"/>
    <w:rsid w:val="254D418D"/>
    <w:rsid w:val="255179ED"/>
    <w:rsid w:val="256B6EB4"/>
    <w:rsid w:val="2571095A"/>
    <w:rsid w:val="258549DE"/>
    <w:rsid w:val="258D6C25"/>
    <w:rsid w:val="26016813"/>
    <w:rsid w:val="2606196B"/>
    <w:rsid w:val="26072636"/>
    <w:rsid w:val="26143C85"/>
    <w:rsid w:val="26156A2E"/>
    <w:rsid w:val="261D1E42"/>
    <w:rsid w:val="262364AE"/>
    <w:rsid w:val="262A2DBD"/>
    <w:rsid w:val="26414B12"/>
    <w:rsid w:val="2664395E"/>
    <w:rsid w:val="26906045"/>
    <w:rsid w:val="269E5D92"/>
    <w:rsid w:val="26A37629"/>
    <w:rsid w:val="26AA2373"/>
    <w:rsid w:val="26C02358"/>
    <w:rsid w:val="26C77C48"/>
    <w:rsid w:val="26D272A7"/>
    <w:rsid w:val="26D93911"/>
    <w:rsid w:val="26E63298"/>
    <w:rsid w:val="271543D2"/>
    <w:rsid w:val="272E7C25"/>
    <w:rsid w:val="27475541"/>
    <w:rsid w:val="275E46A6"/>
    <w:rsid w:val="27723BE0"/>
    <w:rsid w:val="27835FC2"/>
    <w:rsid w:val="27886618"/>
    <w:rsid w:val="279845D2"/>
    <w:rsid w:val="27B256E3"/>
    <w:rsid w:val="27D305C7"/>
    <w:rsid w:val="27D91A5B"/>
    <w:rsid w:val="27DB1F8C"/>
    <w:rsid w:val="27E31A18"/>
    <w:rsid w:val="27E964AC"/>
    <w:rsid w:val="27EE6269"/>
    <w:rsid w:val="27F947FC"/>
    <w:rsid w:val="280E6F7D"/>
    <w:rsid w:val="28213C50"/>
    <w:rsid w:val="283F53A6"/>
    <w:rsid w:val="28424EE2"/>
    <w:rsid w:val="28453086"/>
    <w:rsid w:val="285E08D0"/>
    <w:rsid w:val="28637E3D"/>
    <w:rsid w:val="28651224"/>
    <w:rsid w:val="287B7B56"/>
    <w:rsid w:val="288D49B8"/>
    <w:rsid w:val="288D78CB"/>
    <w:rsid w:val="28CB1F56"/>
    <w:rsid w:val="28D30D37"/>
    <w:rsid w:val="28DF504B"/>
    <w:rsid w:val="28F224E1"/>
    <w:rsid w:val="28FC7ED2"/>
    <w:rsid w:val="290410FD"/>
    <w:rsid w:val="291A586C"/>
    <w:rsid w:val="292045F7"/>
    <w:rsid w:val="292B0B20"/>
    <w:rsid w:val="29514F8D"/>
    <w:rsid w:val="29613908"/>
    <w:rsid w:val="298C582A"/>
    <w:rsid w:val="299568ED"/>
    <w:rsid w:val="299E4141"/>
    <w:rsid w:val="29CD2E3F"/>
    <w:rsid w:val="29D02637"/>
    <w:rsid w:val="29D432EC"/>
    <w:rsid w:val="29D67228"/>
    <w:rsid w:val="2A144AFA"/>
    <w:rsid w:val="2A212221"/>
    <w:rsid w:val="2A230158"/>
    <w:rsid w:val="2A3B2025"/>
    <w:rsid w:val="2A5F55C3"/>
    <w:rsid w:val="2A8339A2"/>
    <w:rsid w:val="2A945773"/>
    <w:rsid w:val="2ADD059B"/>
    <w:rsid w:val="2ADE61BC"/>
    <w:rsid w:val="2AE632C3"/>
    <w:rsid w:val="2B007F78"/>
    <w:rsid w:val="2B084FE7"/>
    <w:rsid w:val="2B290297"/>
    <w:rsid w:val="2B4A4876"/>
    <w:rsid w:val="2B8C5811"/>
    <w:rsid w:val="2B955295"/>
    <w:rsid w:val="2B9A382D"/>
    <w:rsid w:val="2BA0394B"/>
    <w:rsid w:val="2BB2311B"/>
    <w:rsid w:val="2BD93648"/>
    <w:rsid w:val="2BEC377F"/>
    <w:rsid w:val="2C26758B"/>
    <w:rsid w:val="2C286B86"/>
    <w:rsid w:val="2C292C06"/>
    <w:rsid w:val="2C357305"/>
    <w:rsid w:val="2C383938"/>
    <w:rsid w:val="2C473F94"/>
    <w:rsid w:val="2C4958B7"/>
    <w:rsid w:val="2C5E4EB5"/>
    <w:rsid w:val="2C8F30C6"/>
    <w:rsid w:val="2C916EC8"/>
    <w:rsid w:val="2CA65861"/>
    <w:rsid w:val="2D0E75A7"/>
    <w:rsid w:val="2D197F39"/>
    <w:rsid w:val="2D272F05"/>
    <w:rsid w:val="2D3145A1"/>
    <w:rsid w:val="2D477E26"/>
    <w:rsid w:val="2D4E0FF6"/>
    <w:rsid w:val="2D551367"/>
    <w:rsid w:val="2D9939FD"/>
    <w:rsid w:val="2DA06D16"/>
    <w:rsid w:val="2DB53831"/>
    <w:rsid w:val="2DCE3C7D"/>
    <w:rsid w:val="2DCF0D38"/>
    <w:rsid w:val="2DDB0505"/>
    <w:rsid w:val="2DF77CC5"/>
    <w:rsid w:val="2DFF70AD"/>
    <w:rsid w:val="2E197228"/>
    <w:rsid w:val="2E490CF6"/>
    <w:rsid w:val="2E616693"/>
    <w:rsid w:val="2E640E80"/>
    <w:rsid w:val="2E685A4D"/>
    <w:rsid w:val="2E85670C"/>
    <w:rsid w:val="2E93683E"/>
    <w:rsid w:val="2ECE0FF5"/>
    <w:rsid w:val="2EDB35F4"/>
    <w:rsid w:val="2EE80E9D"/>
    <w:rsid w:val="2F340AB1"/>
    <w:rsid w:val="2F3E05FD"/>
    <w:rsid w:val="2F5A04F1"/>
    <w:rsid w:val="2F5F6EB7"/>
    <w:rsid w:val="2F702A20"/>
    <w:rsid w:val="2F7601D5"/>
    <w:rsid w:val="2F9C3813"/>
    <w:rsid w:val="2FB214E2"/>
    <w:rsid w:val="2FC13835"/>
    <w:rsid w:val="2FC17679"/>
    <w:rsid w:val="2FD82A6D"/>
    <w:rsid w:val="2FE82DA7"/>
    <w:rsid w:val="2FE8558C"/>
    <w:rsid w:val="2FF724D0"/>
    <w:rsid w:val="3012072F"/>
    <w:rsid w:val="301A150C"/>
    <w:rsid w:val="302D1BB3"/>
    <w:rsid w:val="30342F1D"/>
    <w:rsid w:val="30395C43"/>
    <w:rsid w:val="303C489B"/>
    <w:rsid w:val="303F40CB"/>
    <w:rsid w:val="305344F9"/>
    <w:rsid w:val="305658CA"/>
    <w:rsid w:val="30616F9C"/>
    <w:rsid w:val="306C1DBC"/>
    <w:rsid w:val="307A4AC9"/>
    <w:rsid w:val="308929C6"/>
    <w:rsid w:val="30893359"/>
    <w:rsid w:val="308E0291"/>
    <w:rsid w:val="30942A46"/>
    <w:rsid w:val="309E477A"/>
    <w:rsid w:val="30A42698"/>
    <w:rsid w:val="30DB652B"/>
    <w:rsid w:val="30E639BE"/>
    <w:rsid w:val="30F02844"/>
    <w:rsid w:val="30F30335"/>
    <w:rsid w:val="31051699"/>
    <w:rsid w:val="310D5CA5"/>
    <w:rsid w:val="311321B5"/>
    <w:rsid w:val="311A5A74"/>
    <w:rsid w:val="311F02AF"/>
    <w:rsid w:val="313A7E15"/>
    <w:rsid w:val="3151177C"/>
    <w:rsid w:val="317A3376"/>
    <w:rsid w:val="31890866"/>
    <w:rsid w:val="318A77C5"/>
    <w:rsid w:val="31B4416D"/>
    <w:rsid w:val="31E150A9"/>
    <w:rsid w:val="31F5271A"/>
    <w:rsid w:val="320061DC"/>
    <w:rsid w:val="323671A4"/>
    <w:rsid w:val="3237369F"/>
    <w:rsid w:val="32406CCF"/>
    <w:rsid w:val="32463A26"/>
    <w:rsid w:val="32552500"/>
    <w:rsid w:val="326E6E6C"/>
    <w:rsid w:val="32700042"/>
    <w:rsid w:val="327166EE"/>
    <w:rsid w:val="327C087E"/>
    <w:rsid w:val="32933F60"/>
    <w:rsid w:val="329A2FAD"/>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7A6C9E"/>
    <w:rsid w:val="3386499B"/>
    <w:rsid w:val="33B12A74"/>
    <w:rsid w:val="33B755E0"/>
    <w:rsid w:val="33C250D0"/>
    <w:rsid w:val="33EA22B9"/>
    <w:rsid w:val="33EE561B"/>
    <w:rsid w:val="33F2005B"/>
    <w:rsid w:val="33F66E03"/>
    <w:rsid w:val="340915D9"/>
    <w:rsid w:val="341660D6"/>
    <w:rsid w:val="343321E4"/>
    <w:rsid w:val="3449718C"/>
    <w:rsid w:val="345A7CDA"/>
    <w:rsid w:val="3477169F"/>
    <w:rsid w:val="347845C3"/>
    <w:rsid w:val="348E726D"/>
    <w:rsid w:val="349C3A45"/>
    <w:rsid w:val="34A72740"/>
    <w:rsid w:val="34A83CBD"/>
    <w:rsid w:val="34C90259"/>
    <w:rsid w:val="34F23FA0"/>
    <w:rsid w:val="34F5398E"/>
    <w:rsid w:val="35232779"/>
    <w:rsid w:val="35533564"/>
    <w:rsid w:val="356053EC"/>
    <w:rsid w:val="357F3C0D"/>
    <w:rsid w:val="359C482A"/>
    <w:rsid w:val="35A2648D"/>
    <w:rsid w:val="35DB5433"/>
    <w:rsid w:val="35EE3F20"/>
    <w:rsid w:val="36120EED"/>
    <w:rsid w:val="363A1A40"/>
    <w:rsid w:val="365057CB"/>
    <w:rsid w:val="366F05D1"/>
    <w:rsid w:val="36707E4B"/>
    <w:rsid w:val="36C06D6C"/>
    <w:rsid w:val="36C0742F"/>
    <w:rsid w:val="36C848DD"/>
    <w:rsid w:val="36CB72FE"/>
    <w:rsid w:val="370B22B6"/>
    <w:rsid w:val="3720617D"/>
    <w:rsid w:val="375A115E"/>
    <w:rsid w:val="37786996"/>
    <w:rsid w:val="37AB7604"/>
    <w:rsid w:val="38152477"/>
    <w:rsid w:val="381A3FBC"/>
    <w:rsid w:val="383115F5"/>
    <w:rsid w:val="386A4D8B"/>
    <w:rsid w:val="387060FE"/>
    <w:rsid w:val="38780152"/>
    <w:rsid w:val="387D2978"/>
    <w:rsid w:val="388242C0"/>
    <w:rsid w:val="388D490B"/>
    <w:rsid w:val="38AA19BF"/>
    <w:rsid w:val="38C53CA2"/>
    <w:rsid w:val="38CA274D"/>
    <w:rsid w:val="391A3434"/>
    <w:rsid w:val="396759FD"/>
    <w:rsid w:val="397958BD"/>
    <w:rsid w:val="397D3884"/>
    <w:rsid w:val="398F55AF"/>
    <w:rsid w:val="39916AF0"/>
    <w:rsid w:val="39BB72A2"/>
    <w:rsid w:val="39C61315"/>
    <w:rsid w:val="39DB1464"/>
    <w:rsid w:val="39EC4848"/>
    <w:rsid w:val="39FB1FB5"/>
    <w:rsid w:val="3A1D23B3"/>
    <w:rsid w:val="3A3620BE"/>
    <w:rsid w:val="3A3932E5"/>
    <w:rsid w:val="3A3F327A"/>
    <w:rsid w:val="3A402C8E"/>
    <w:rsid w:val="3A57294E"/>
    <w:rsid w:val="3A725720"/>
    <w:rsid w:val="3A8A623C"/>
    <w:rsid w:val="3A8D36C6"/>
    <w:rsid w:val="3ABC50BD"/>
    <w:rsid w:val="3AE47E5B"/>
    <w:rsid w:val="3AFB0727"/>
    <w:rsid w:val="3B0E7AE4"/>
    <w:rsid w:val="3B34709E"/>
    <w:rsid w:val="3B374E54"/>
    <w:rsid w:val="3B662A70"/>
    <w:rsid w:val="3B7216AD"/>
    <w:rsid w:val="3B7A2E9E"/>
    <w:rsid w:val="3B871F58"/>
    <w:rsid w:val="3B8B5E54"/>
    <w:rsid w:val="3B924D83"/>
    <w:rsid w:val="3BA044D9"/>
    <w:rsid w:val="3C043541"/>
    <w:rsid w:val="3C456A27"/>
    <w:rsid w:val="3C7B42E0"/>
    <w:rsid w:val="3C894E88"/>
    <w:rsid w:val="3CEF7ADE"/>
    <w:rsid w:val="3CF010B9"/>
    <w:rsid w:val="3CF61A27"/>
    <w:rsid w:val="3D1B7EA2"/>
    <w:rsid w:val="3D2116F3"/>
    <w:rsid w:val="3D2E7CCB"/>
    <w:rsid w:val="3D4B512D"/>
    <w:rsid w:val="3D612479"/>
    <w:rsid w:val="3D741EAE"/>
    <w:rsid w:val="3D7E2A2B"/>
    <w:rsid w:val="3D7E6297"/>
    <w:rsid w:val="3D834075"/>
    <w:rsid w:val="3D8D740C"/>
    <w:rsid w:val="3DBA72BA"/>
    <w:rsid w:val="3DC92869"/>
    <w:rsid w:val="3DD3562E"/>
    <w:rsid w:val="3DDE52D5"/>
    <w:rsid w:val="3DEE0AC0"/>
    <w:rsid w:val="3E077CBE"/>
    <w:rsid w:val="3E102F58"/>
    <w:rsid w:val="3E1C24A8"/>
    <w:rsid w:val="3E29618D"/>
    <w:rsid w:val="3E2E3243"/>
    <w:rsid w:val="3E3C7AEA"/>
    <w:rsid w:val="3E3D4BD0"/>
    <w:rsid w:val="3E683EEA"/>
    <w:rsid w:val="3E824C64"/>
    <w:rsid w:val="3E987AEE"/>
    <w:rsid w:val="3E9A2284"/>
    <w:rsid w:val="3EAC34A7"/>
    <w:rsid w:val="3EB1328C"/>
    <w:rsid w:val="3EB472BD"/>
    <w:rsid w:val="3F15252A"/>
    <w:rsid w:val="3F1B5750"/>
    <w:rsid w:val="3F3177A8"/>
    <w:rsid w:val="3F496CBE"/>
    <w:rsid w:val="3F587306"/>
    <w:rsid w:val="3F632CDC"/>
    <w:rsid w:val="3F7306EF"/>
    <w:rsid w:val="3FAE024D"/>
    <w:rsid w:val="40213BB3"/>
    <w:rsid w:val="40275EA5"/>
    <w:rsid w:val="40701A4C"/>
    <w:rsid w:val="40741F5B"/>
    <w:rsid w:val="40774232"/>
    <w:rsid w:val="40860801"/>
    <w:rsid w:val="40865A6A"/>
    <w:rsid w:val="408E7435"/>
    <w:rsid w:val="40AE3E97"/>
    <w:rsid w:val="40E050C2"/>
    <w:rsid w:val="40FA1B12"/>
    <w:rsid w:val="4122513C"/>
    <w:rsid w:val="41355EF0"/>
    <w:rsid w:val="41392674"/>
    <w:rsid w:val="415D1E0C"/>
    <w:rsid w:val="41794F45"/>
    <w:rsid w:val="417F0FDE"/>
    <w:rsid w:val="4189189E"/>
    <w:rsid w:val="41C51A2C"/>
    <w:rsid w:val="41E24A0A"/>
    <w:rsid w:val="41E54201"/>
    <w:rsid w:val="41EA0EFE"/>
    <w:rsid w:val="42517364"/>
    <w:rsid w:val="4262363F"/>
    <w:rsid w:val="426F50C2"/>
    <w:rsid w:val="42A82704"/>
    <w:rsid w:val="42CE76C5"/>
    <w:rsid w:val="4305085A"/>
    <w:rsid w:val="431742E7"/>
    <w:rsid w:val="43312BDE"/>
    <w:rsid w:val="433862B6"/>
    <w:rsid w:val="43457D5C"/>
    <w:rsid w:val="43743B53"/>
    <w:rsid w:val="43763D41"/>
    <w:rsid w:val="43843137"/>
    <w:rsid w:val="4391176E"/>
    <w:rsid w:val="43B545F0"/>
    <w:rsid w:val="43CF397F"/>
    <w:rsid w:val="43F539A2"/>
    <w:rsid w:val="442A447D"/>
    <w:rsid w:val="44391ED2"/>
    <w:rsid w:val="444903F3"/>
    <w:rsid w:val="449A4C45"/>
    <w:rsid w:val="44A85A06"/>
    <w:rsid w:val="44C252E7"/>
    <w:rsid w:val="44E43D61"/>
    <w:rsid w:val="44E72DD0"/>
    <w:rsid w:val="44EE10CA"/>
    <w:rsid w:val="452250F1"/>
    <w:rsid w:val="4525639F"/>
    <w:rsid w:val="452623E2"/>
    <w:rsid w:val="45284541"/>
    <w:rsid w:val="45316B5D"/>
    <w:rsid w:val="45396E2A"/>
    <w:rsid w:val="456875F0"/>
    <w:rsid w:val="456F5A54"/>
    <w:rsid w:val="45A96C77"/>
    <w:rsid w:val="45AC7614"/>
    <w:rsid w:val="45B33761"/>
    <w:rsid w:val="45C53DA9"/>
    <w:rsid w:val="45CC6425"/>
    <w:rsid w:val="46B67097"/>
    <w:rsid w:val="46BA5F18"/>
    <w:rsid w:val="46BC3AE3"/>
    <w:rsid w:val="46BF57EA"/>
    <w:rsid w:val="46E22B80"/>
    <w:rsid w:val="471C6162"/>
    <w:rsid w:val="471D1AE4"/>
    <w:rsid w:val="471E63A8"/>
    <w:rsid w:val="474B7E8D"/>
    <w:rsid w:val="474F4C0B"/>
    <w:rsid w:val="475F38B6"/>
    <w:rsid w:val="47685614"/>
    <w:rsid w:val="476D294A"/>
    <w:rsid w:val="47907984"/>
    <w:rsid w:val="47C00874"/>
    <w:rsid w:val="47E41648"/>
    <w:rsid w:val="47E71D6B"/>
    <w:rsid w:val="47EC4B78"/>
    <w:rsid w:val="47F02948"/>
    <w:rsid w:val="480D47B9"/>
    <w:rsid w:val="48277842"/>
    <w:rsid w:val="48284AC3"/>
    <w:rsid w:val="483D20C4"/>
    <w:rsid w:val="48776E5E"/>
    <w:rsid w:val="48795C23"/>
    <w:rsid w:val="488C2FD7"/>
    <w:rsid w:val="48974A79"/>
    <w:rsid w:val="489F5422"/>
    <w:rsid w:val="48D14BB0"/>
    <w:rsid w:val="48D70F6B"/>
    <w:rsid w:val="48E50E7E"/>
    <w:rsid w:val="490E63AC"/>
    <w:rsid w:val="490F1DBB"/>
    <w:rsid w:val="49260A0E"/>
    <w:rsid w:val="492A7C7B"/>
    <w:rsid w:val="49750ACF"/>
    <w:rsid w:val="498768B0"/>
    <w:rsid w:val="498F1EC9"/>
    <w:rsid w:val="498F281F"/>
    <w:rsid w:val="49CF169A"/>
    <w:rsid w:val="4A0A6A2A"/>
    <w:rsid w:val="4A104F60"/>
    <w:rsid w:val="4A1277D9"/>
    <w:rsid w:val="4A204EC8"/>
    <w:rsid w:val="4A236AB7"/>
    <w:rsid w:val="4A4C7A60"/>
    <w:rsid w:val="4A5730A3"/>
    <w:rsid w:val="4A7D1B58"/>
    <w:rsid w:val="4A7D6FF8"/>
    <w:rsid w:val="4AD34EFA"/>
    <w:rsid w:val="4ADD1B95"/>
    <w:rsid w:val="4AE04400"/>
    <w:rsid w:val="4AE93111"/>
    <w:rsid w:val="4B30754A"/>
    <w:rsid w:val="4B37594E"/>
    <w:rsid w:val="4B3C44DC"/>
    <w:rsid w:val="4B5F5FC3"/>
    <w:rsid w:val="4B6549DC"/>
    <w:rsid w:val="4B6E06DF"/>
    <w:rsid w:val="4B937C35"/>
    <w:rsid w:val="4B9F2EFD"/>
    <w:rsid w:val="4BAF63DD"/>
    <w:rsid w:val="4BB57285"/>
    <w:rsid w:val="4BBD1489"/>
    <w:rsid w:val="4BDB0C2D"/>
    <w:rsid w:val="4BF20952"/>
    <w:rsid w:val="4C001724"/>
    <w:rsid w:val="4C0478A6"/>
    <w:rsid w:val="4C6A0DCA"/>
    <w:rsid w:val="4C6B04B5"/>
    <w:rsid w:val="4C7F272A"/>
    <w:rsid w:val="4CA46E0E"/>
    <w:rsid w:val="4CB01933"/>
    <w:rsid w:val="4CB45732"/>
    <w:rsid w:val="4CBD3D2C"/>
    <w:rsid w:val="4CC24367"/>
    <w:rsid w:val="4CD160C0"/>
    <w:rsid w:val="4D022C05"/>
    <w:rsid w:val="4D1F5342"/>
    <w:rsid w:val="4D2C7AF3"/>
    <w:rsid w:val="4D343260"/>
    <w:rsid w:val="4D452701"/>
    <w:rsid w:val="4D484218"/>
    <w:rsid w:val="4D5F4C58"/>
    <w:rsid w:val="4D7267BE"/>
    <w:rsid w:val="4D8F0B44"/>
    <w:rsid w:val="4D901816"/>
    <w:rsid w:val="4DAA2AAB"/>
    <w:rsid w:val="4DBA0BF6"/>
    <w:rsid w:val="4DD067B1"/>
    <w:rsid w:val="4DDC7FA5"/>
    <w:rsid w:val="4E0B7263"/>
    <w:rsid w:val="4E135FA5"/>
    <w:rsid w:val="4E143766"/>
    <w:rsid w:val="4E4906EE"/>
    <w:rsid w:val="4E5C0BF1"/>
    <w:rsid w:val="4E692982"/>
    <w:rsid w:val="4E786F7F"/>
    <w:rsid w:val="4E806017"/>
    <w:rsid w:val="4E81128D"/>
    <w:rsid w:val="4EAA2B9B"/>
    <w:rsid w:val="4EAC63A7"/>
    <w:rsid w:val="4EB40847"/>
    <w:rsid w:val="4EB44450"/>
    <w:rsid w:val="4EBE06E2"/>
    <w:rsid w:val="4F04640B"/>
    <w:rsid w:val="4F0E3BBD"/>
    <w:rsid w:val="4F144EEE"/>
    <w:rsid w:val="4F4C2A01"/>
    <w:rsid w:val="4F6B7BB9"/>
    <w:rsid w:val="4F7714C1"/>
    <w:rsid w:val="4F981B6D"/>
    <w:rsid w:val="4FA6654E"/>
    <w:rsid w:val="4FCC7BD9"/>
    <w:rsid w:val="4FD42BF3"/>
    <w:rsid w:val="4FD51E77"/>
    <w:rsid w:val="4FEF0962"/>
    <w:rsid w:val="4FF51ACA"/>
    <w:rsid w:val="4FF659D3"/>
    <w:rsid w:val="4FFB6AF8"/>
    <w:rsid w:val="503A7C33"/>
    <w:rsid w:val="503B7503"/>
    <w:rsid w:val="50626FEC"/>
    <w:rsid w:val="50802698"/>
    <w:rsid w:val="50B62460"/>
    <w:rsid w:val="50DF4E67"/>
    <w:rsid w:val="50E15827"/>
    <w:rsid w:val="51002F0E"/>
    <w:rsid w:val="51071B0C"/>
    <w:rsid w:val="51E809A2"/>
    <w:rsid w:val="51EF6CDE"/>
    <w:rsid w:val="51F219E4"/>
    <w:rsid w:val="52151A1A"/>
    <w:rsid w:val="522C13B9"/>
    <w:rsid w:val="5234116C"/>
    <w:rsid w:val="52391B1D"/>
    <w:rsid w:val="5254213E"/>
    <w:rsid w:val="526650E8"/>
    <w:rsid w:val="5274323B"/>
    <w:rsid w:val="527812C6"/>
    <w:rsid w:val="52804735"/>
    <w:rsid w:val="52807D11"/>
    <w:rsid w:val="52AE3750"/>
    <w:rsid w:val="52B5436D"/>
    <w:rsid w:val="52BE1CC3"/>
    <w:rsid w:val="52D1109C"/>
    <w:rsid w:val="52DB195C"/>
    <w:rsid w:val="52E25026"/>
    <w:rsid w:val="52F03D33"/>
    <w:rsid w:val="53053AB0"/>
    <w:rsid w:val="531655AF"/>
    <w:rsid w:val="536E66F9"/>
    <w:rsid w:val="53733BF6"/>
    <w:rsid w:val="53962B3E"/>
    <w:rsid w:val="539F4BC3"/>
    <w:rsid w:val="53C7637D"/>
    <w:rsid w:val="53C9708E"/>
    <w:rsid w:val="53CD6E9C"/>
    <w:rsid w:val="53E51640"/>
    <w:rsid w:val="5410069F"/>
    <w:rsid w:val="5428422D"/>
    <w:rsid w:val="542850CE"/>
    <w:rsid w:val="54484B90"/>
    <w:rsid w:val="545430A1"/>
    <w:rsid w:val="5471114B"/>
    <w:rsid w:val="54B14A15"/>
    <w:rsid w:val="54B14ED7"/>
    <w:rsid w:val="54BE73BB"/>
    <w:rsid w:val="54C0392D"/>
    <w:rsid w:val="54EC1A3E"/>
    <w:rsid w:val="550876C8"/>
    <w:rsid w:val="552473CE"/>
    <w:rsid w:val="553918DB"/>
    <w:rsid w:val="554F3566"/>
    <w:rsid w:val="55694C7A"/>
    <w:rsid w:val="557A1F24"/>
    <w:rsid w:val="557B277B"/>
    <w:rsid w:val="559026A9"/>
    <w:rsid w:val="55A939CC"/>
    <w:rsid w:val="55AA7895"/>
    <w:rsid w:val="55DF443D"/>
    <w:rsid w:val="55E62380"/>
    <w:rsid w:val="55FB34EE"/>
    <w:rsid w:val="5628417F"/>
    <w:rsid w:val="562B489D"/>
    <w:rsid w:val="564357FC"/>
    <w:rsid w:val="5650554F"/>
    <w:rsid w:val="565C7725"/>
    <w:rsid w:val="56721800"/>
    <w:rsid w:val="568820D4"/>
    <w:rsid w:val="568D45BE"/>
    <w:rsid w:val="569D5052"/>
    <w:rsid w:val="56EB5C17"/>
    <w:rsid w:val="56F67432"/>
    <w:rsid w:val="56FC10C4"/>
    <w:rsid w:val="570C2AAA"/>
    <w:rsid w:val="57196811"/>
    <w:rsid w:val="57230876"/>
    <w:rsid w:val="5725461D"/>
    <w:rsid w:val="57440F69"/>
    <w:rsid w:val="5754503F"/>
    <w:rsid w:val="576378C6"/>
    <w:rsid w:val="578C51EE"/>
    <w:rsid w:val="57AC7CFA"/>
    <w:rsid w:val="57E27D6D"/>
    <w:rsid w:val="581D05D2"/>
    <w:rsid w:val="581E7B89"/>
    <w:rsid w:val="58203E2B"/>
    <w:rsid w:val="58363A1E"/>
    <w:rsid w:val="583B5B55"/>
    <w:rsid w:val="583E7652"/>
    <w:rsid w:val="586C0F12"/>
    <w:rsid w:val="586E0CF8"/>
    <w:rsid w:val="58787E52"/>
    <w:rsid w:val="587F7675"/>
    <w:rsid w:val="58990DC7"/>
    <w:rsid w:val="58B0376F"/>
    <w:rsid w:val="58BB47B4"/>
    <w:rsid w:val="58D24194"/>
    <w:rsid w:val="59075246"/>
    <w:rsid w:val="590810D4"/>
    <w:rsid w:val="592B1BE2"/>
    <w:rsid w:val="592D2065"/>
    <w:rsid w:val="593E07E2"/>
    <w:rsid w:val="59517920"/>
    <w:rsid w:val="59617A34"/>
    <w:rsid w:val="596C32A7"/>
    <w:rsid w:val="59721B65"/>
    <w:rsid w:val="59743505"/>
    <w:rsid w:val="599574FB"/>
    <w:rsid w:val="59A25F54"/>
    <w:rsid w:val="59A87F44"/>
    <w:rsid w:val="59C451A3"/>
    <w:rsid w:val="59C46400"/>
    <w:rsid w:val="59CE01AC"/>
    <w:rsid w:val="59F67729"/>
    <w:rsid w:val="59FD3B38"/>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946DD"/>
    <w:rsid w:val="5ADF16B5"/>
    <w:rsid w:val="5AE01313"/>
    <w:rsid w:val="5B034F7D"/>
    <w:rsid w:val="5B077572"/>
    <w:rsid w:val="5B1C48F7"/>
    <w:rsid w:val="5B2811C6"/>
    <w:rsid w:val="5B3D2335"/>
    <w:rsid w:val="5B3E13DB"/>
    <w:rsid w:val="5B596518"/>
    <w:rsid w:val="5B5D793D"/>
    <w:rsid w:val="5B650119"/>
    <w:rsid w:val="5B825172"/>
    <w:rsid w:val="5B8E4BB2"/>
    <w:rsid w:val="5B95101E"/>
    <w:rsid w:val="5BAA3237"/>
    <w:rsid w:val="5BBA2229"/>
    <w:rsid w:val="5BC46FC8"/>
    <w:rsid w:val="5BC91312"/>
    <w:rsid w:val="5BDD6EA5"/>
    <w:rsid w:val="5BDE3B67"/>
    <w:rsid w:val="5C1F62D6"/>
    <w:rsid w:val="5C510CA7"/>
    <w:rsid w:val="5C6C4B26"/>
    <w:rsid w:val="5C6E4D42"/>
    <w:rsid w:val="5C70627F"/>
    <w:rsid w:val="5C78121F"/>
    <w:rsid w:val="5C7E3B46"/>
    <w:rsid w:val="5C8E6AD3"/>
    <w:rsid w:val="5C962A0F"/>
    <w:rsid w:val="5C9C63C8"/>
    <w:rsid w:val="5CA04BF9"/>
    <w:rsid w:val="5CBA15A3"/>
    <w:rsid w:val="5CD82D18"/>
    <w:rsid w:val="5CDC0BDD"/>
    <w:rsid w:val="5CE96DCA"/>
    <w:rsid w:val="5CFB0D0E"/>
    <w:rsid w:val="5D077EF5"/>
    <w:rsid w:val="5D0D570F"/>
    <w:rsid w:val="5D5061F6"/>
    <w:rsid w:val="5D590772"/>
    <w:rsid w:val="5D670BC7"/>
    <w:rsid w:val="5D6F385A"/>
    <w:rsid w:val="5D8E4CA8"/>
    <w:rsid w:val="5DA30921"/>
    <w:rsid w:val="5DB86D54"/>
    <w:rsid w:val="5DBE6255"/>
    <w:rsid w:val="5DCA043A"/>
    <w:rsid w:val="5DDB0380"/>
    <w:rsid w:val="5DDC5EE5"/>
    <w:rsid w:val="5DE06080"/>
    <w:rsid w:val="5DE91DF2"/>
    <w:rsid w:val="5E026B09"/>
    <w:rsid w:val="5E103836"/>
    <w:rsid w:val="5E1C4572"/>
    <w:rsid w:val="5E246A8B"/>
    <w:rsid w:val="5E4B5198"/>
    <w:rsid w:val="5E642265"/>
    <w:rsid w:val="5E8F45BA"/>
    <w:rsid w:val="5EA70CDE"/>
    <w:rsid w:val="5EBE0A06"/>
    <w:rsid w:val="5ECB1CD4"/>
    <w:rsid w:val="5ED50ED8"/>
    <w:rsid w:val="5ED9159B"/>
    <w:rsid w:val="5EF779D7"/>
    <w:rsid w:val="5EFA1803"/>
    <w:rsid w:val="5EFC2014"/>
    <w:rsid w:val="5F0465E4"/>
    <w:rsid w:val="5F1B0A3E"/>
    <w:rsid w:val="5F270BBE"/>
    <w:rsid w:val="5F3B2D6C"/>
    <w:rsid w:val="5F4D0535"/>
    <w:rsid w:val="5F4D6200"/>
    <w:rsid w:val="5F57453E"/>
    <w:rsid w:val="5F5B53F6"/>
    <w:rsid w:val="5F60685A"/>
    <w:rsid w:val="5FA4782E"/>
    <w:rsid w:val="5FA570E4"/>
    <w:rsid w:val="5FC353A5"/>
    <w:rsid w:val="5FDC62ED"/>
    <w:rsid w:val="5FE819D3"/>
    <w:rsid w:val="5FED7100"/>
    <w:rsid w:val="5FF44887"/>
    <w:rsid w:val="5FF91C93"/>
    <w:rsid w:val="604550F9"/>
    <w:rsid w:val="6049085F"/>
    <w:rsid w:val="60554CDC"/>
    <w:rsid w:val="60580311"/>
    <w:rsid w:val="606E50B6"/>
    <w:rsid w:val="60751E3A"/>
    <w:rsid w:val="60963944"/>
    <w:rsid w:val="60994E7B"/>
    <w:rsid w:val="60DC5B8D"/>
    <w:rsid w:val="60E77EFC"/>
    <w:rsid w:val="60ED27E4"/>
    <w:rsid w:val="611C61A9"/>
    <w:rsid w:val="6143479C"/>
    <w:rsid w:val="619A1950"/>
    <w:rsid w:val="619D4186"/>
    <w:rsid w:val="619F73C4"/>
    <w:rsid w:val="61AE7D97"/>
    <w:rsid w:val="61EE6716"/>
    <w:rsid w:val="61F80AC1"/>
    <w:rsid w:val="62316AA4"/>
    <w:rsid w:val="62410803"/>
    <w:rsid w:val="624A237C"/>
    <w:rsid w:val="62686EAA"/>
    <w:rsid w:val="627D508D"/>
    <w:rsid w:val="62A226C2"/>
    <w:rsid w:val="62C8546B"/>
    <w:rsid w:val="62D813F4"/>
    <w:rsid w:val="62DC4BD7"/>
    <w:rsid w:val="630615B2"/>
    <w:rsid w:val="632073D1"/>
    <w:rsid w:val="6329520B"/>
    <w:rsid w:val="635C5213"/>
    <w:rsid w:val="636D7EBA"/>
    <w:rsid w:val="639064E8"/>
    <w:rsid w:val="63C164A3"/>
    <w:rsid w:val="63CE15FA"/>
    <w:rsid w:val="63DB6EED"/>
    <w:rsid w:val="63EF2296"/>
    <w:rsid w:val="64044E99"/>
    <w:rsid w:val="64051455"/>
    <w:rsid w:val="643F15A9"/>
    <w:rsid w:val="644D1BED"/>
    <w:rsid w:val="64743A57"/>
    <w:rsid w:val="64A81117"/>
    <w:rsid w:val="64B308E0"/>
    <w:rsid w:val="64C32CDA"/>
    <w:rsid w:val="64E85323"/>
    <w:rsid w:val="64E86B5E"/>
    <w:rsid w:val="64EC5266"/>
    <w:rsid w:val="64F751D0"/>
    <w:rsid w:val="65336F33"/>
    <w:rsid w:val="655834E5"/>
    <w:rsid w:val="656717CE"/>
    <w:rsid w:val="65774DE2"/>
    <w:rsid w:val="658F6A2D"/>
    <w:rsid w:val="65A9123D"/>
    <w:rsid w:val="65AF7C90"/>
    <w:rsid w:val="65B124D6"/>
    <w:rsid w:val="65FB194F"/>
    <w:rsid w:val="65FB1F67"/>
    <w:rsid w:val="661208FC"/>
    <w:rsid w:val="661C3008"/>
    <w:rsid w:val="6626043C"/>
    <w:rsid w:val="662D301C"/>
    <w:rsid w:val="664A36D1"/>
    <w:rsid w:val="665A7A13"/>
    <w:rsid w:val="6664740F"/>
    <w:rsid w:val="6665384F"/>
    <w:rsid w:val="66943F9D"/>
    <w:rsid w:val="6695367E"/>
    <w:rsid w:val="66986EFA"/>
    <w:rsid w:val="66B91561"/>
    <w:rsid w:val="66F43DD4"/>
    <w:rsid w:val="66FC4493"/>
    <w:rsid w:val="670C7116"/>
    <w:rsid w:val="673452B8"/>
    <w:rsid w:val="674B7A80"/>
    <w:rsid w:val="674E2FB6"/>
    <w:rsid w:val="675C0C10"/>
    <w:rsid w:val="67B75509"/>
    <w:rsid w:val="67C004EE"/>
    <w:rsid w:val="67CB3049"/>
    <w:rsid w:val="67D8055A"/>
    <w:rsid w:val="67DF5789"/>
    <w:rsid w:val="67E5058E"/>
    <w:rsid w:val="67E553B0"/>
    <w:rsid w:val="67E77246"/>
    <w:rsid w:val="67EF2889"/>
    <w:rsid w:val="67FA4E8C"/>
    <w:rsid w:val="681E1C8A"/>
    <w:rsid w:val="681E74FC"/>
    <w:rsid w:val="6846531F"/>
    <w:rsid w:val="685A18FB"/>
    <w:rsid w:val="687C28DB"/>
    <w:rsid w:val="68907DEF"/>
    <w:rsid w:val="68976136"/>
    <w:rsid w:val="68A0278A"/>
    <w:rsid w:val="68C812E7"/>
    <w:rsid w:val="68CE0B86"/>
    <w:rsid w:val="69082643"/>
    <w:rsid w:val="69256E15"/>
    <w:rsid w:val="695976F5"/>
    <w:rsid w:val="699219DD"/>
    <w:rsid w:val="69A654F2"/>
    <w:rsid w:val="69B00A10"/>
    <w:rsid w:val="69B42EE2"/>
    <w:rsid w:val="69D92366"/>
    <w:rsid w:val="69DE72A2"/>
    <w:rsid w:val="69E40BF9"/>
    <w:rsid w:val="69FA5E67"/>
    <w:rsid w:val="6A206100"/>
    <w:rsid w:val="6A263131"/>
    <w:rsid w:val="6A263720"/>
    <w:rsid w:val="6A330B04"/>
    <w:rsid w:val="6A426472"/>
    <w:rsid w:val="6A436AEC"/>
    <w:rsid w:val="6A730EA4"/>
    <w:rsid w:val="6AA93A14"/>
    <w:rsid w:val="6AB574DF"/>
    <w:rsid w:val="6ABD1F7B"/>
    <w:rsid w:val="6AC05FA9"/>
    <w:rsid w:val="6ACC62E0"/>
    <w:rsid w:val="6ACE4105"/>
    <w:rsid w:val="6AD03793"/>
    <w:rsid w:val="6AE608D0"/>
    <w:rsid w:val="6B327AFB"/>
    <w:rsid w:val="6B336006"/>
    <w:rsid w:val="6B366559"/>
    <w:rsid w:val="6B467F07"/>
    <w:rsid w:val="6B4904A7"/>
    <w:rsid w:val="6B5E78FE"/>
    <w:rsid w:val="6B622E3D"/>
    <w:rsid w:val="6B880AF2"/>
    <w:rsid w:val="6B94255A"/>
    <w:rsid w:val="6BA554C4"/>
    <w:rsid w:val="6BB06E24"/>
    <w:rsid w:val="6BB211A1"/>
    <w:rsid w:val="6BE45032"/>
    <w:rsid w:val="6BF71AE5"/>
    <w:rsid w:val="6BFA67A6"/>
    <w:rsid w:val="6C0C2360"/>
    <w:rsid w:val="6C1D733F"/>
    <w:rsid w:val="6C296A44"/>
    <w:rsid w:val="6C2B4C49"/>
    <w:rsid w:val="6C2C23C0"/>
    <w:rsid w:val="6C2E0482"/>
    <w:rsid w:val="6C395525"/>
    <w:rsid w:val="6C54338D"/>
    <w:rsid w:val="6C5F747B"/>
    <w:rsid w:val="6C6643BF"/>
    <w:rsid w:val="6C667726"/>
    <w:rsid w:val="6C745B95"/>
    <w:rsid w:val="6C813704"/>
    <w:rsid w:val="6CCD618B"/>
    <w:rsid w:val="6CD41A5B"/>
    <w:rsid w:val="6CD45481"/>
    <w:rsid w:val="6D0059E8"/>
    <w:rsid w:val="6D0D058A"/>
    <w:rsid w:val="6D155705"/>
    <w:rsid w:val="6D2102DD"/>
    <w:rsid w:val="6D4F5F3E"/>
    <w:rsid w:val="6D654AF0"/>
    <w:rsid w:val="6D672DF1"/>
    <w:rsid w:val="6D702BDA"/>
    <w:rsid w:val="6D7607C6"/>
    <w:rsid w:val="6D7C6B93"/>
    <w:rsid w:val="6D91680B"/>
    <w:rsid w:val="6DB97ACE"/>
    <w:rsid w:val="6DBE61E8"/>
    <w:rsid w:val="6DF45B50"/>
    <w:rsid w:val="6E0237C7"/>
    <w:rsid w:val="6E3C46FC"/>
    <w:rsid w:val="6E487B8A"/>
    <w:rsid w:val="6E62419F"/>
    <w:rsid w:val="6E9D322D"/>
    <w:rsid w:val="6EBB757B"/>
    <w:rsid w:val="6EC519AE"/>
    <w:rsid w:val="6ECA1928"/>
    <w:rsid w:val="6ECC1A86"/>
    <w:rsid w:val="6ED17380"/>
    <w:rsid w:val="6EEE6897"/>
    <w:rsid w:val="6F086931"/>
    <w:rsid w:val="6F175ED7"/>
    <w:rsid w:val="6F1A63C1"/>
    <w:rsid w:val="6F4106F3"/>
    <w:rsid w:val="6F724588"/>
    <w:rsid w:val="6F734606"/>
    <w:rsid w:val="6F812514"/>
    <w:rsid w:val="6F8D5CB6"/>
    <w:rsid w:val="6FA9005F"/>
    <w:rsid w:val="6FC7059A"/>
    <w:rsid w:val="6FC71C5E"/>
    <w:rsid w:val="6FCC43BD"/>
    <w:rsid w:val="6FE657EB"/>
    <w:rsid w:val="6FED00FF"/>
    <w:rsid w:val="6FF84890"/>
    <w:rsid w:val="703226EB"/>
    <w:rsid w:val="704E6956"/>
    <w:rsid w:val="70B71B18"/>
    <w:rsid w:val="70D3169F"/>
    <w:rsid w:val="70DC4E9C"/>
    <w:rsid w:val="711F45B9"/>
    <w:rsid w:val="712802B3"/>
    <w:rsid w:val="713B1222"/>
    <w:rsid w:val="713E7A0B"/>
    <w:rsid w:val="714E63D6"/>
    <w:rsid w:val="71756349"/>
    <w:rsid w:val="71905F74"/>
    <w:rsid w:val="71E33AEE"/>
    <w:rsid w:val="71F71DF5"/>
    <w:rsid w:val="71FC66A6"/>
    <w:rsid w:val="71FD217F"/>
    <w:rsid w:val="720601C5"/>
    <w:rsid w:val="72206BCE"/>
    <w:rsid w:val="722B123D"/>
    <w:rsid w:val="724541FF"/>
    <w:rsid w:val="72842B7E"/>
    <w:rsid w:val="729C6937"/>
    <w:rsid w:val="72AC0994"/>
    <w:rsid w:val="72C20476"/>
    <w:rsid w:val="72D32E9D"/>
    <w:rsid w:val="72D95E85"/>
    <w:rsid w:val="72E7502A"/>
    <w:rsid w:val="73044502"/>
    <w:rsid w:val="730832B1"/>
    <w:rsid w:val="7345735F"/>
    <w:rsid w:val="734E1B56"/>
    <w:rsid w:val="736528CC"/>
    <w:rsid w:val="736D4CD8"/>
    <w:rsid w:val="73A9592E"/>
    <w:rsid w:val="73A960E7"/>
    <w:rsid w:val="73DB7AF6"/>
    <w:rsid w:val="73DE0A03"/>
    <w:rsid w:val="73E96B3C"/>
    <w:rsid w:val="74094D4B"/>
    <w:rsid w:val="740A43A4"/>
    <w:rsid w:val="742A636D"/>
    <w:rsid w:val="74314148"/>
    <w:rsid w:val="744C7E0E"/>
    <w:rsid w:val="745775DE"/>
    <w:rsid w:val="745D758A"/>
    <w:rsid w:val="7464052A"/>
    <w:rsid w:val="74695686"/>
    <w:rsid w:val="746C3BCF"/>
    <w:rsid w:val="74726218"/>
    <w:rsid w:val="74813987"/>
    <w:rsid w:val="74AF7B7D"/>
    <w:rsid w:val="74B15097"/>
    <w:rsid w:val="74B174B7"/>
    <w:rsid w:val="74B662A6"/>
    <w:rsid w:val="74C14C55"/>
    <w:rsid w:val="74C730E6"/>
    <w:rsid w:val="74D40C14"/>
    <w:rsid w:val="74F4000B"/>
    <w:rsid w:val="74F53565"/>
    <w:rsid w:val="750C0702"/>
    <w:rsid w:val="7513266F"/>
    <w:rsid w:val="75354D85"/>
    <w:rsid w:val="755E271D"/>
    <w:rsid w:val="756646E4"/>
    <w:rsid w:val="75674CA9"/>
    <w:rsid w:val="758B541D"/>
    <w:rsid w:val="75A152BF"/>
    <w:rsid w:val="75B5699E"/>
    <w:rsid w:val="75EF0431"/>
    <w:rsid w:val="760473CE"/>
    <w:rsid w:val="761D6F02"/>
    <w:rsid w:val="7628317F"/>
    <w:rsid w:val="763846D6"/>
    <w:rsid w:val="765C2A9A"/>
    <w:rsid w:val="76616E2A"/>
    <w:rsid w:val="768F4495"/>
    <w:rsid w:val="769470CC"/>
    <w:rsid w:val="76B90DB8"/>
    <w:rsid w:val="770F4A0E"/>
    <w:rsid w:val="771B662C"/>
    <w:rsid w:val="771C23B1"/>
    <w:rsid w:val="772E2BF6"/>
    <w:rsid w:val="774804CC"/>
    <w:rsid w:val="77547927"/>
    <w:rsid w:val="77722EAD"/>
    <w:rsid w:val="777C270F"/>
    <w:rsid w:val="77CF75E3"/>
    <w:rsid w:val="77DD3B92"/>
    <w:rsid w:val="77F12A59"/>
    <w:rsid w:val="780B46B4"/>
    <w:rsid w:val="782021D6"/>
    <w:rsid w:val="782C17E6"/>
    <w:rsid w:val="7831720A"/>
    <w:rsid w:val="784A371B"/>
    <w:rsid w:val="784D0268"/>
    <w:rsid w:val="78720F0B"/>
    <w:rsid w:val="787B6CEB"/>
    <w:rsid w:val="7889250C"/>
    <w:rsid w:val="7895540D"/>
    <w:rsid w:val="789629A1"/>
    <w:rsid w:val="78B47E62"/>
    <w:rsid w:val="78BD3A19"/>
    <w:rsid w:val="78CA743F"/>
    <w:rsid w:val="78FC723E"/>
    <w:rsid w:val="7903576C"/>
    <w:rsid w:val="791059C4"/>
    <w:rsid w:val="79471A66"/>
    <w:rsid w:val="79715F03"/>
    <w:rsid w:val="79832C90"/>
    <w:rsid w:val="79B85F2C"/>
    <w:rsid w:val="79BA09EE"/>
    <w:rsid w:val="79CD40FA"/>
    <w:rsid w:val="7A0273B6"/>
    <w:rsid w:val="7A1376CB"/>
    <w:rsid w:val="7A47368D"/>
    <w:rsid w:val="7A477AC9"/>
    <w:rsid w:val="7A487312"/>
    <w:rsid w:val="7A4A7E2B"/>
    <w:rsid w:val="7A4B0FE0"/>
    <w:rsid w:val="7A4C2BA3"/>
    <w:rsid w:val="7A662F0C"/>
    <w:rsid w:val="7A922A62"/>
    <w:rsid w:val="7A9B7021"/>
    <w:rsid w:val="7AAB161A"/>
    <w:rsid w:val="7AB744CE"/>
    <w:rsid w:val="7AD622E1"/>
    <w:rsid w:val="7AE019BD"/>
    <w:rsid w:val="7AE31DB8"/>
    <w:rsid w:val="7AF2300E"/>
    <w:rsid w:val="7B0C07ED"/>
    <w:rsid w:val="7B192506"/>
    <w:rsid w:val="7B2B7492"/>
    <w:rsid w:val="7B3B29FD"/>
    <w:rsid w:val="7B440233"/>
    <w:rsid w:val="7B505C2F"/>
    <w:rsid w:val="7B631BC2"/>
    <w:rsid w:val="7BBC0F77"/>
    <w:rsid w:val="7BBF003E"/>
    <w:rsid w:val="7BC86099"/>
    <w:rsid w:val="7BCF61EF"/>
    <w:rsid w:val="7BDE4FC2"/>
    <w:rsid w:val="7C251BB9"/>
    <w:rsid w:val="7C270A47"/>
    <w:rsid w:val="7C526BA2"/>
    <w:rsid w:val="7C9E49BB"/>
    <w:rsid w:val="7CBE33F7"/>
    <w:rsid w:val="7CDE5CED"/>
    <w:rsid w:val="7CE77E19"/>
    <w:rsid w:val="7CFC31CC"/>
    <w:rsid w:val="7D094AC2"/>
    <w:rsid w:val="7D101A03"/>
    <w:rsid w:val="7D277784"/>
    <w:rsid w:val="7D281411"/>
    <w:rsid w:val="7D2D0E92"/>
    <w:rsid w:val="7D2F1335"/>
    <w:rsid w:val="7D5E7AAB"/>
    <w:rsid w:val="7D613541"/>
    <w:rsid w:val="7D623196"/>
    <w:rsid w:val="7D6A383D"/>
    <w:rsid w:val="7D787EF8"/>
    <w:rsid w:val="7DB3008D"/>
    <w:rsid w:val="7DB32A7F"/>
    <w:rsid w:val="7DC3439E"/>
    <w:rsid w:val="7DE435B1"/>
    <w:rsid w:val="7DF123E8"/>
    <w:rsid w:val="7E0064D6"/>
    <w:rsid w:val="7E032F24"/>
    <w:rsid w:val="7E113552"/>
    <w:rsid w:val="7E3D470A"/>
    <w:rsid w:val="7E3E2ED1"/>
    <w:rsid w:val="7E481050"/>
    <w:rsid w:val="7E4F112B"/>
    <w:rsid w:val="7E5132C5"/>
    <w:rsid w:val="7E725143"/>
    <w:rsid w:val="7E7722A2"/>
    <w:rsid w:val="7E895B51"/>
    <w:rsid w:val="7E8D040A"/>
    <w:rsid w:val="7EB75211"/>
    <w:rsid w:val="7ED17784"/>
    <w:rsid w:val="7EDA761A"/>
    <w:rsid w:val="7EFC4E2F"/>
    <w:rsid w:val="7F057C12"/>
    <w:rsid w:val="7F20708C"/>
    <w:rsid w:val="7F2B6298"/>
    <w:rsid w:val="7F413AA5"/>
    <w:rsid w:val="7F4E67C5"/>
    <w:rsid w:val="7F5E3540"/>
    <w:rsid w:val="7F6C5324"/>
    <w:rsid w:val="7F7B4EFD"/>
    <w:rsid w:val="7F8A2AB7"/>
    <w:rsid w:val="7F8C2BED"/>
    <w:rsid w:val="7F8F0454"/>
    <w:rsid w:val="7F9A3DE6"/>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qFormat="1" w:uiPriority="99"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4"/>
    <w:autoRedefine/>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5">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6">
    <w:name w:val="heading 4"/>
    <w:basedOn w:val="1"/>
    <w:next w:val="1"/>
    <w:autoRedefine/>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7">
    <w:name w:val="table of authorities"/>
    <w:basedOn w:val="1"/>
    <w:next w:val="1"/>
    <w:autoRedefine/>
    <w:semiHidden/>
    <w:unhideWhenUsed/>
    <w:qFormat/>
    <w:uiPriority w:val="99"/>
    <w:pPr>
      <w:ind w:left="420" w:leftChars="200"/>
    </w:pPr>
  </w:style>
  <w:style w:type="paragraph" w:styleId="8">
    <w:name w:val="Normal Indent"/>
    <w:basedOn w:val="1"/>
    <w:autoRedefine/>
    <w:qFormat/>
    <w:uiPriority w:val="99"/>
    <w:pPr>
      <w:ind w:firstLine="420"/>
    </w:pPr>
  </w:style>
  <w:style w:type="paragraph" w:styleId="9">
    <w:name w:val="annotation text"/>
    <w:basedOn w:val="1"/>
    <w:link w:val="48"/>
    <w:autoRedefine/>
    <w:qFormat/>
    <w:uiPriority w:val="0"/>
    <w:pPr>
      <w:jc w:val="left"/>
    </w:pPr>
  </w:style>
  <w:style w:type="paragraph" w:styleId="10">
    <w:name w:val="Body Text Indent"/>
    <w:basedOn w:val="1"/>
    <w:autoRedefine/>
    <w:qFormat/>
    <w:uiPriority w:val="0"/>
    <w:pPr>
      <w:spacing w:after="120"/>
      <w:ind w:left="420" w:leftChars="200"/>
    </w:pPr>
  </w:style>
  <w:style w:type="paragraph" w:styleId="11">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2">
    <w:name w:val="Date"/>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3">
    <w:name w:val="Balloon Text"/>
    <w:basedOn w:val="1"/>
    <w:link w:val="50"/>
    <w:autoRedefine/>
    <w:qFormat/>
    <w:uiPriority w:val="0"/>
    <w:pPr>
      <w:spacing w:line="240" w:lineRule="auto"/>
    </w:pPr>
    <w:rPr>
      <w:sz w:val="18"/>
      <w:szCs w:val="18"/>
    </w:rPr>
  </w:style>
  <w:style w:type="paragraph" w:styleId="14">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5">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6">
    <w:name w:val="toc 1"/>
    <w:basedOn w:val="1"/>
    <w:next w:val="1"/>
    <w:autoRedefine/>
    <w:qFormat/>
    <w:uiPriority w:val="39"/>
  </w:style>
  <w:style w:type="paragraph" w:styleId="17">
    <w:name w:val="toc 2"/>
    <w:basedOn w:val="1"/>
    <w:next w:val="1"/>
    <w:autoRedefine/>
    <w:unhideWhenUsed/>
    <w:qFormat/>
    <w:uiPriority w:val="39"/>
    <w:pPr>
      <w:ind w:left="420" w:leftChars="200"/>
    </w:pPr>
  </w:style>
  <w:style w:type="paragraph" w:styleId="18">
    <w:name w:val="Normal (Web)"/>
    <w:basedOn w:val="1"/>
    <w:autoRedefine/>
    <w:qFormat/>
    <w:uiPriority w:val="99"/>
    <w:pPr>
      <w:spacing w:beforeAutospacing="1" w:afterAutospacing="1"/>
      <w:jc w:val="left"/>
    </w:pPr>
    <w:rPr>
      <w:rFonts w:cs="Times New Roman"/>
      <w:kern w:val="0"/>
      <w:sz w:val="24"/>
    </w:rPr>
  </w:style>
  <w:style w:type="paragraph" w:styleId="19">
    <w:name w:val="annotation subject"/>
    <w:basedOn w:val="9"/>
    <w:next w:val="9"/>
    <w:link w:val="49"/>
    <w:autoRedefine/>
    <w:qFormat/>
    <w:uiPriority w:val="0"/>
    <w:rPr>
      <w:b/>
      <w:bCs/>
    </w:rPr>
  </w:style>
  <w:style w:type="paragraph" w:styleId="20">
    <w:name w:val="Body Text First Indent"/>
    <w:basedOn w:val="2"/>
    <w:autoRedefine/>
    <w:unhideWhenUsed/>
    <w:qFormat/>
    <w:uiPriority w:val="0"/>
    <w:pPr>
      <w:spacing w:line="240" w:lineRule="auto"/>
      <w:ind w:firstLine="420" w:firstLineChars="100"/>
    </w:pPr>
    <w:rPr>
      <w:rFonts w:ascii="Times New Roman" w:hAnsi="Times New Roman"/>
      <w:sz w:val="18"/>
      <w:szCs w:val="18"/>
    </w:rPr>
  </w:style>
  <w:style w:type="paragraph" w:styleId="21">
    <w:name w:val="Body Text First Indent 2"/>
    <w:autoRedefine/>
    <w:qFormat/>
    <w:uiPriority w:val="0"/>
    <w:pPr>
      <w:spacing w:after="120" w:line="400" w:lineRule="exact"/>
      <w:ind w:left="420" w:leftChars="200" w:firstLine="420" w:firstLineChars="200"/>
      <w:jc w:val="both"/>
    </w:pPr>
    <w:rPr>
      <w:rFonts w:ascii="Calibri Light" w:hAnsi="Calibri Light" w:eastAsia="华文仿宋" w:cs="Calibri Light"/>
      <w:kern w:val="2"/>
      <w:sz w:val="28"/>
      <w:szCs w:val="28"/>
      <w:lang w:val="en-US" w:eastAsia="zh-CN" w:bidi="ar-SA"/>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FollowedHyperlink"/>
    <w:basedOn w:val="24"/>
    <w:autoRedefine/>
    <w:semiHidden/>
    <w:unhideWhenUsed/>
    <w:qFormat/>
    <w:uiPriority w:val="0"/>
    <w:rPr>
      <w:color w:val="800080"/>
      <w:u w:val="none"/>
    </w:rPr>
  </w:style>
  <w:style w:type="character" w:styleId="27">
    <w:name w:val="Emphasis"/>
    <w:basedOn w:val="24"/>
    <w:autoRedefine/>
    <w:qFormat/>
    <w:uiPriority w:val="0"/>
    <w:rPr>
      <w:b/>
    </w:rPr>
  </w:style>
  <w:style w:type="character" w:styleId="28">
    <w:name w:val="HTML Definition"/>
    <w:basedOn w:val="24"/>
    <w:autoRedefine/>
    <w:semiHidden/>
    <w:unhideWhenUsed/>
    <w:qFormat/>
    <w:uiPriority w:val="0"/>
  </w:style>
  <w:style w:type="character" w:styleId="29">
    <w:name w:val="HTML Typewriter"/>
    <w:basedOn w:val="24"/>
    <w:autoRedefine/>
    <w:semiHidden/>
    <w:unhideWhenUsed/>
    <w:qFormat/>
    <w:uiPriority w:val="0"/>
    <w:rPr>
      <w:rFonts w:ascii="monospace" w:hAnsi="monospace" w:eastAsia="monospace" w:cs="monospace"/>
      <w:sz w:val="20"/>
    </w:rPr>
  </w:style>
  <w:style w:type="character" w:styleId="30">
    <w:name w:val="HTML Acronym"/>
    <w:basedOn w:val="24"/>
    <w:autoRedefine/>
    <w:semiHidden/>
    <w:unhideWhenUsed/>
    <w:qFormat/>
    <w:uiPriority w:val="0"/>
  </w:style>
  <w:style w:type="character" w:styleId="31">
    <w:name w:val="HTML Variable"/>
    <w:basedOn w:val="24"/>
    <w:autoRedefine/>
    <w:semiHidden/>
    <w:unhideWhenUsed/>
    <w:qFormat/>
    <w:uiPriority w:val="0"/>
  </w:style>
  <w:style w:type="character" w:styleId="32">
    <w:name w:val="Hyperlink"/>
    <w:autoRedefine/>
    <w:qFormat/>
    <w:uiPriority w:val="99"/>
    <w:rPr>
      <w:color w:val="000000"/>
      <w:sz w:val="18"/>
      <w:szCs w:val="18"/>
      <w:u w:val="none"/>
    </w:rPr>
  </w:style>
  <w:style w:type="character" w:styleId="33">
    <w:name w:val="HTML Code"/>
    <w:basedOn w:val="24"/>
    <w:autoRedefine/>
    <w:semiHidden/>
    <w:unhideWhenUsed/>
    <w:qFormat/>
    <w:uiPriority w:val="0"/>
    <w:rPr>
      <w:rFonts w:hint="default" w:ascii="monospace" w:hAnsi="monospace" w:eastAsia="monospace" w:cs="monospace"/>
      <w:sz w:val="20"/>
    </w:rPr>
  </w:style>
  <w:style w:type="character" w:styleId="34">
    <w:name w:val="annotation reference"/>
    <w:basedOn w:val="24"/>
    <w:autoRedefine/>
    <w:qFormat/>
    <w:uiPriority w:val="0"/>
    <w:rPr>
      <w:sz w:val="21"/>
      <w:szCs w:val="21"/>
    </w:rPr>
  </w:style>
  <w:style w:type="character" w:styleId="35">
    <w:name w:val="HTML Cite"/>
    <w:basedOn w:val="24"/>
    <w:autoRedefine/>
    <w:semiHidden/>
    <w:unhideWhenUsed/>
    <w:qFormat/>
    <w:uiPriority w:val="0"/>
  </w:style>
  <w:style w:type="character" w:styleId="36">
    <w:name w:val="HTML Keyboard"/>
    <w:basedOn w:val="24"/>
    <w:autoRedefine/>
    <w:semiHidden/>
    <w:unhideWhenUsed/>
    <w:qFormat/>
    <w:uiPriority w:val="0"/>
    <w:rPr>
      <w:rFonts w:hint="default" w:ascii="monospace" w:hAnsi="monospace" w:eastAsia="monospace" w:cs="monospace"/>
      <w:sz w:val="18"/>
      <w:szCs w:val="18"/>
      <w:bdr w:val="single" w:color="D2D2D2" w:sz="2" w:space="0"/>
    </w:rPr>
  </w:style>
  <w:style w:type="character" w:styleId="37">
    <w:name w:val="HTML Sample"/>
    <w:basedOn w:val="24"/>
    <w:autoRedefine/>
    <w:semiHidden/>
    <w:unhideWhenUsed/>
    <w:qFormat/>
    <w:uiPriority w:val="0"/>
    <w:rPr>
      <w:rFonts w:hint="default" w:ascii="monospace" w:hAnsi="monospace" w:eastAsia="monospace" w:cs="monospace"/>
    </w:rPr>
  </w:style>
  <w:style w:type="paragraph" w:customStyle="1" w:styleId="38">
    <w:name w:val="正文缩进1"/>
    <w:basedOn w:val="1"/>
    <w:autoRedefine/>
    <w:qFormat/>
    <w:uiPriority w:val="0"/>
    <w:pPr>
      <w:ind w:firstLine="420" w:firstLineChars="200"/>
    </w:pPr>
  </w:style>
  <w:style w:type="paragraph" w:customStyle="1" w:styleId="39">
    <w:name w:val="正文（缩进 2 字符）"/>
    <w:basedOn w:val="1"/>
    <w:autoRedefine/>
    <w:qFormat/>
    <w:uiPriority w:val="0"/>
    <w:pPr>
      <w:ind w:firstLine="200" w:firstLineChars="200"/>
    </w:pPr>
  </w:style>
  <w:style w:type="paragraph" w:customStyle="1" w:styleId="40">
    <w:name w:val="正文（缩进 4 字符）"/>
    <w:basedOn w:val="1"/>
    <w:autoRedefine/>
    <w:qFormat/>
    <w:uiPriority w:val="0"/>
    <w:pPr>
      <w:ind w:firstLine="1134" w:firstLineChars="400"/>
    </w:pPr>
  </w:style>
  <w:style w:type="paragraph" w:customStyle="1" w:styleId="41">
    <w:name w:val="列出段落1"/>
    <w:basedOn w:val="1"/>
    <w:autoRedefine/>
    <w:qFormat/>
    <w:uiPriority w:val="99"/>
    <w:pPr>
      <w:ind w:firstLine="420" w:firstLineChars="200"/>
    </w:pPr>
  </w:style>
  <w:style w:type="paragraph" w:customStyle="1" w:styleId="4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3">
    <w:name w:val="标题 2（投标文件）"/>
    <w:basedOn w:val="4"/>
    <w:autoRedefine/>
    <w:qFormat/>
    <w:uiPriority w:val="0"/>
    <w:pPr>
      <w:jc w:val="center"/>
    </w:pPr>
  </w:style>
  <w:style w:type="character" w:customStyle="1" w:styleId="44">
    <w:name w:val="标题 1 字符"/>
    <w:link w:val="3"/>
    <w:autoRedefine/>
    <w:qFormat/>
    <w:uiPriority w:val="9"/>
    <w:rPr>
      <w:rFonts w:eastAsia="仿宋"/>
      <w:b/>
      <w:color w:val="000000"/>
      <w:kern w:val="44"/>
      <w:sz w:val="36"/>
      <w:szCs w:val="44"/>
    </w:rPr>
  </w:style>
  <w:style w:type="paragraph" w:customStyle="1" w:styleId="45">
    <w:name w:val="标题 3（投标文件）"/>
    <w:basedOn w:val="5"/>
    <w:autoRedefine/>
    <w:qFormat/>
    <w:uiPriority w:val="0"/>
    <w:pPr>
      <w:jc w:val="left"/>
    </w:pPr>
    <w:rPr>
      <w:u w:val="none"/>
    </w:rPr>
  </w:style>
  <w:style w:type="character" w:customStyle="1" w:styleId="46">
    <w:name w:val="font21"/>
    <w:basedOn w:val="24"/>
    <w:autoRedefine/>
    <w:qFormat/>
    <w:uiPriority w:val="0"/>
    <w:rPr>
      <w:rFonts w:hint="default" w:ascii="Tahoma" w:hAnsi="Tahoma" w:eastAsia="Tahoma" w:cs="Tahoma"/>
      <w:color w:val="000000"/>
      <w:sz w:val="22"/>
      <w:szCs w:val="22"/>
      <w:u w:val="none"/>
    </w:rPr>
  </w:style>
  <w:style w:type="character" w:customStyle="1" w:styleId="47">
    <w:name w:val="font01"/>
    <w:basedOn w:val="24"/>
    <w:autoRedefine/>
    <w:qFormat/>
    <w:uiPriority w:val="0"/>
    <w:rPr>
      <w:rFonts w:hint="eastAsia" w:ascii="宋体" w:hAnsi="宋体" w:eastAsia="宋体" w:cs="宋体"/>
      <w:color w:val="000000"/>
      <w:sz w:val="22"/>
      <w:szCs w:val="22"/>
      <w:u w:val="none"/>
    </w:rPr>
  </w:style>
  <w:style w:type="character" w:customStyle="1" w:styleId="48">
    <w:name w:val="批注文字 字符"/>
    <w:basedOn w:val="24"/>
    <w:link w:val="9"/>
    <w:autoRedefine/>
    <w:qFormat/>
    <w:uiPriority w:val="0"/>
    <w:rPr>
      <w:rFonts w:ascii="Calibri Light" w:hAnsi="Calibri Light" w:eastAsia="华文仿宋" w:cs="Calibri Light"/>
      <w:kern w:val="2"/>
      <w:sz w:val="28"/>
      <w:szCs w:val="28"/>
    </w:rPr>
  </w:style>
  <w:style w:type="character" w:customStyle="1" w:styleId="49">
    <w:name w:val="批注主题 字符"/>
    <w:basedOn w:val="48"/>
    <w:link w:val="19"/>
    <w:autoRedefine/>
    <w:qFormat/>
    <w:uiPriority w:val="0"/>
    <w:rPr>
      <w:rFonts w:ascii="Calibri Light" w:hAnsi="Calibri Light" w:eastAsia="华文仿宋" w:cs="Calibri Light"/>
      <w:b/>
      <w:bCs/>
      <w:kern w:val="2"/>
      <w:sz w:val="28"/>
      <w:szCs w:val="28"/>
    </w:rPr>
  </w:style>
  <w:style w:type="character" w:customStyle="1" w:styleId="50">
    <w:name w:val="批注框文本 字符"/>
    <w:basedOn w:val="24"/>
    <w:link w:val="13"/>
    <w:autoRedefine/>
    <w:qFormat/>
    <w:uiPriority w:val="0"/>
    <w:rPr>
      <w:rFonts w:ascii="Calibri Light" w:hAnsi="Calibri Light" w:eastAsia="华文仿宋" w:cs="Calibri Light"/>
      <w:kern w:val="2"/>
      <w:sz w:val="18"/>
      <w:szCs w:val="18"/>
    </w:rPr>
  </w:style>
  <w:style w:type="paragraph" w:customStyle="1" w:styleId="51">
    <w:name w:val="文档正文"/>
    <w:basedOn w:val="1"/>
    <w:autoRedefine/>
    <w:qFormat/>
    <w:uiPriority w:val="99"/>
    <w:pPr>
      <w:adjustRightInd w:val="0"/>
      <w:spacing w:line="480" w:lineRule="atLeast"/>
      <w:ind w:firstLine="567" w:firstLineChars="200"/>
      <w:textAlignment w:val="baseline"/>
    </w:pPr>
    <w:rPr>
      <w:rFonts w:ascii="长城仿宋"/>
    </w:rPr>
  </w:style>
  <w:style w:type="character" w:customStyle="1" w:styleId="52">
    <w:name w:val="font11"/>
    <w:basedOn w:val="24"/>
    <w:autoRedefine/>
    <w:qFormat/>
    <w:uiPriority w:val="0"/>
    <w:rPr>
      <w:rFonts w:hint="default" w:ascii="Courier New" w:hAnsi="Courier New" w:cs="Courier New"/>
      <w:color w:val="000000"/>
      <w:sz w:val="28"/>
      <w:szCs w:val="28"/>
      <w:u w:val="none"/>
    </w:rPr>
  </w:style>
  <w:style w:type="character" w:customStyle="1" w:styleId="53">
    <w:name w:val="font71"/>
    <w:basedOn w:val="24"/>
    <w:autoRedefine/>
    <w:qFormat/>
    <w:uiPriority w:val="0"/>
    <w:rPr>
      <w:rFonts w:hint="default" w:ascii="Times New Roman" w:hAnsi="Times New Roman" w:cs="Times New Roman"/>
      <w:color w:val="000000"/>
      <w:sz w:val="28"/>
      <w:szCs w:val="28"/>
      <w:u w:val="none"/>
    </w:rPr>
  </w:style>
  <w:style w:type="character" w:customStyle="1" w:styleId="54">
    <w:name w:val="font81"/>
    <w:basedOn w:val="24"/>
    <w:autoRedefine/>
    <w:qFormat/>
    <w:uiPriority w:val="0"/>
    <w:rPr>
      <w:rFonts w:hint="eastAsia" w:ascii="宋体" w:hAnsi="宋体" w:eastAsia="宋体" w:cs="宋体"/>
      <w:color w:val="000000"/>
      <w:sz w:val="28"/>
      <w:szCs w:val="28"/>
      <w:u w:val="none"/>
    </w:rPr>
  </w:style>
  <w:style w:type="character" w:customStyle="1" w:styleId="55">
    <w:name w:val="font61"/>
    <w:basedOn w:val="24"/>
    <w:autoRedefine/>
    <w:qFormat/>
    <w:uiPriority w:val="0"/>
    <w:rPr>
      <w:rFonts w:hint="eastAsia" w:ascii="宋体" w:hAnsi="宋体" w:eastAsia="宋体" w:cs="宋体"/>
      <w:color w:val="000000"/>
      <w:sz w:val="24"/>
      <w:szCs w:val="24"/>
      <w:u w:val="none"/>
    </w:rPr>
  </w:style>
  <w:style w:type="character" w:customStyle="1" w:styleId="56">
    <w:name w:val="font51"/>
    <w:basedOn w:val="24"/>
    <w:autoRedefine/>
    <w:qFormat/>
    <w:uiPriority w:val="0"/>
    <w:rPr>
      <w:rFonts w:hint="eastAsia" w:ascii="宋体" w:hAnsi="宋体" w:eastAsia="宋体" w:cs="宋体"/>
      <w:color w:val="000000"/>
      <w:sz w:val="22"/>
      <w:szCs w:val="22"/>
      <w:u w:val="none"/>
    </w:rPr>
  </w:style>
  <w:style w:type="character" w:customStyle="1" w:styleId="57">
    <w:name w:val="font91"/>
    <w:basedOn w:val="24"/>
    <w:autoRedefine/>
    <w:qFormat/>
    <w:uiPriority w:val="0"/>
    <w:rPr>
      <w:rFonts w:hint="default" w:ascii="Times New Roman" w:hAnsi="Times New Roman" w:cs="Times New Roman"/>
      <w:color w:val="000000"/>
      <w:sz w:val="24"/>
      <w:szCs w:val="24"/>
      <w:u w:val="none"/>
    </w:rPr>
  </w:style>
  <w:style w:type="character" w:customStyle="1" w:styleId="58">
    <w:name w:val="font101"/>
    <w:basedOn w:val="24"/>
    <w:autoRedefine/>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24335</Words>
  <Characters>25936</Characters>
  <Lines>245</Lines>
  <Paragraphs>68</Paragraphs>
  <TotalTime>17</TotalTime>
  <ScaleCrop>false</ScaleCrop>
  <LinksUpToDate>false</LinksUpToDate>
  <CharactersWithSpaces>26691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2024-06-25T03:05:00Z</cp:lastPrinted>
  <dcterms:modified xsi:type="dcterms:W3CDTF">2024-11-19T01:56:11Z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C1863EAD3B154342B8010F7CF7AB9BA7</vt:lpwstr>
  </property>
</Properties>
</file>