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8C90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color w:val="auto"/>
          <w:sz w:val="48"/>
          <w:szCs w:val="48"/>
          <w:highlight w:val="none"/>
          <w:lang w:val="zh-CN"/>
        </w:rPr>
      </w:pPr>
      <w:r>
        <w:rPr>
          <w:rFonts w:hint="eastAsia" w:ascii="宋体" w:hAnsi="宋体" w:eastAsia="宋体" w:cs="宋体"/>
          <w:color w:val="auto"/>
          <w:sz w:val="48"/>
          <w:szCs w:val="48"/>
          <w:highlight w:val="none"/>
          <w:lang w:val="en-US" w:eastAsia="zh-CN"/>
        </w:rPr>
        <w:t xml:space="preserve">  </w:t>
      </w:r>
    </w:p>
    <w:p w14:paraId="0F7D5FD4">
      <w:pPr>
        <w:jc w:val="center"/>
        <w:rPr>
          <w:rFonts w:hint="eastAsia" w:ascii="宋体" w:hAnsi="宋体" w:eastAsia="宋体" w:cs="宋体"/>
          <w:b/>
          <w:color w:val="auto"/>
          <w:kern w:val="0"/>
          <w:sz w:val="72"/>
          <w:szCs w:val="72"/>
          <w:highlight w:val="none"/>
          <w:lang w:val="en-US" w:eastAsia="zh-CN"/>
        </w:rPr>
      </w:pPr>
      <w:r>
        <w:rPr>
          <w:rFonts w:hint="eastAsia" w:ascii="宋体" w:hAnsi="宋体" w:cs="宋体"/>
          <w:b/>
          <w:bCs/>
          <w:i w:val="0"/>
          <w:iCs w:val="0"/>
          <w:caps w:val="0"/>
          <w:color w:val="auto"/>
          <w:spacing w:val="0"/>
          <w:kern w:val="0"/>
          <w:sz w:val="32"/>
          <w:szCs w:val="32"/>
          <w:highlight w:val="none"/>
          <w:shd w:val="clear" w:fill="FFFFFF"/>
          <w:lang w:val="en-US" w:eastAsia="zh-CN" w:bidi="ar"/>
        </w:rPr>
        <w:t>黄龙县人民医院提升老年病服务能力建设项目医疗设施设备</w:t>
      </w:r>
    </w:p>
    <w:p w14:paraId="64BE0189">
      <w:pPr>
        <w:jc w:val="center"/>
        <w:rPr>
          <w:rFonts w:hint="eastAsia" w:ascii="宋体" w:hAnsi="宋体" w:eastAsia="宋体" w:cs="宋体"/>
          <w:b/>
          <w:color w:val="auto"/>
          <w:kern w:val="0"/>
          <w:sz w:val="92"/>
          <w:szCs w:val="84"/>
          <w:highlight w:val="none"/>
          <w:lang w:val="en-US" w:eastAsia="zh-CN"/>
        </w:rPr>
      </w:pPr>
    </w:p>
    <w:p w14:paraId="2BD97112">
      <w:pPr>
        <w:jc w:val="center"/>
        <w:rPr>
          <w:rFonts w:hint="eastAsia" w:ascii="宋体" w:hAnsi="宋体" w:eastAsia="宋体" w:cs="宋体"/>
          <w:b/>
          <w:color w:val="auto"/>
          <w:kern w:val="0"/>
          <w:sz w:val="92"/>
          <w:szCs w:val="84"/>
          <w:highlight w:val="none"/>
        </w:rPr>
      </w:pPr>
      <w:r>
        <w:rPr>
          <w:rFonts w:hint="eastAsia" w:ascii="宋体" w:hAnsi="宋体" w:eastAsia="宋体" w:cs="宋体"/>
          <w:b/>
          <w:color w:val="auto"/>
          <w:kern w:val="0"/>
          <w:sz w:val="92"/>
          <w:szCs w:val="84"/>
          <w:highlight w:val="none"/>
          <w:lang w:val="en-US" w:eastAsia="zh-CN"/>
        </w:rPr>
        <w:t xml:space="preserve">招 标 </w:t>
      </w:r>
      <w:r>
        <w:rPr>
          <w:rFonts w:hint="eastAsia" w:ascii="宋体" w:hAnsi="宋体" w:eastAsia="宋体" w:cs="宋体"/>
          <w:b/>
          <w:color w:val="auto"/>
          <w:kern w:val="0"/>
          <w:sz w:val="92"/>
          <w:szCs w:val="84"/>
          <w:highlight w:val="none"/>
        </w:rPr>
        <w:t>文</w:t>
      </w:r>
      <w:r>
        <w:rPr>
          <w:rFonts w:hint="eastAsia" w:ascii="宋体" w:hAnsi="宋体" w:eastAsia="宋体" w:cs="宋体"/>
          <w:b/>
          <w:color w:val="auto"/>
          <w:kern w:val="0"/>
          <w:sz w:val="92"/>
          <w:szCs w:val="84"/>
          <w:highlight w:val="none"/>
          <w:lang w:val="en-US" w:eastAsia="zh-CN"/>
        </w:rPr>
        <w:t xml:space="preserve"> </w:t>
      </w:r>
      <w:r>
        <w:rPr>
          <w:rFonts w:hint="eastAsia" w:ascii="宋体" w:hAnsi="宋体" w:eastAsia="宋体" w:cs="宋体"/>
          <w:b/>
          <w:color w:val="auto"/>
          <w:kern w:val="0"/>
          <w:sz w:val="92"/>
          <w:szCs w:val="84"/>
          <w:highlight w:val="none"/>
        </w:rPr>
        <w:t>件</w:t>
      </w:r>
    </w:p>
    <w:p w14:paraId="1D11F523">
      <w:pPr>
        <w:jc w:val="center"/>
        <w:rPr>
          <w:rFonts w:hint="eastAsia" w:ascii="宋体" w:hAnsi="宋体" w:eastAsia="宋体" w:cs="宋体"/>
          <w:color w:val="auto"/>
          <w:kern w:val="0"/>
          <w:szCs w:val="28"/>
          <w:highlight w:val="none"/>
        </w:rPr>
      </w:pPr>
    </w:p>
    <w:p w14:paraId="00D5B163">
      <w:pPr>
        <w:widowControl/>
        <w:spacing w:line="480" w:lineRule="exact"/>
        <w:jc w:val="center"/>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项目编号：HDXGDL-ZC2024-00</w:t>
      </w:r>
      <w:r>
        <w:rPr>
          <w:rFonts w:hint="eastAsia" w:ascii="宋体" w:hAnsi="宋体" w:cs="宋体"/>
          <w:b/>
          <w:bCs/>
          <w:color w:val="auto"/>
          <w:kern w:val="0"/>
          <w:sz w:val="28"/>
          <w:szCs w:val="28"/>
          <w:highlight w:val="none"/>
          <w:lang w:val="en-US" w:eastAsia="zh-CN"/>
        </w:rPr>
        <w:t>9</w:t>
      </w:r>
    </w:p>
    <w:p w14:paraId="0C805FF6">
      <w:pPr>
        <w:widowControl/>
        <w:spacing w:line="480" w:lineRule="exact"/>
        <w:ind w:firstLine="2811" w:firstLineChars="1000"/>
        <w:rPr>
          <w:rFonts w:hint="eastAsia" w:ascii="宋体" w:hAnsi="宋体" w:eastAsia="宋体" w:cs="宋体"/>
          <w:b/>
          <w:bCs/>
          <w:color w:val="auto"/>
          <w:sz w:val="28"/>
          <w:szCs w:val="28"/>
          <w:highlight w:val="none"/>
          <w:lang w:val="en-US" w:eastAsia="zh-CN"/>
        </w:rPr>
      </w:pPr>
    </w:p>
    <w:p w14:paraId="2BB87C22">
      <w:pPr>
        <w:spacing w:line="460" w:lineRule="exact"/>
        <w:jc w:val="center"/>
        <w:rPr>
          <w:rFonts w:hint="eastAsia" w:ascii="宋体" w:hAnsi="宋体" w:eastAsia="宋体" w:cs="宋体"/>
          <w:b/>
          <w:bCs/>
          <w:color w:val="auto"/>
          <w:sz w:val="28"/>
          <w:szCs w:val="28"/>
          <w:highlight w:val="none"/>
        </w:rPr>
      </w:pPr>
    </w:p>
    <w:p w14:paraId="45F9CB68">
      <w:pPr>
        <w:spacing w:line="460" w:lineRule="exact"/>
        <w:jc w:val="center"/>
        <w:rPr>
          <w:rFonts w:hint="eastAsia" w:ascii="宋体" w:hAnsi="宋体" w:eastAsia="宋体" w:cs="宋体"/>
          <w:b/>
          <w:bCs/>
          <w:color w:val="auto"/>
          <w:sz w:val="28"/>
          <w:szCs w:val="28"/>
          <w:highlight w:val="none"/>
        </w:rPr>
      </w:pPr>
    </w:p>
    <w:p w14:paraId="39F6BA8E">
      <w:pPr>
        <w:spacing w:line="460" w:lineRule="exact"/>
        <w:jc w:val="center"/>
        <w:rPr>
          <w:rFonts w:hint="eastAsia" w:ascii="宋体" w:hAnsi="宋体" w:eastAsia="宋体" w:cs="宋体"/>
          <w:b/>
          <w:bCs/>
          <w:color w:val="auto"/>
          <w:sz w:val="28"/>
          <w:szCs w:val="28"/>
          <w:highlight w:val="none"/>
        </w:rPr>
      </w:pPr>
    </w:p>
    <w:p w14:paraId="6DCE1494">
      <w:pPr>
        <w:spacing w:line="360" w:lineRule="auto"/>
        <w:jc w:val="center"/>
        <w:rPr>
          <w:rFonts w:hint="eastAsia" w:ascii="宋体" w:hAnsi="宋体" w:eastAsia="宋体" w:cs="宋体"/>
          <w:color w:val="auto"/>
          <w:sz w:val="24"/>
          <w:szCs w:val="24"/>
          <w:highlight w:val="none"/>
        </w:rPr>
      </w:pPr>
    </w:p>
    <w:p w14:paraId="7406B0B2">
      <w:pPr>
        <w:spacing w:line="360" w:lineRule="auto"/>
        <w:jc w:val="center"/>
        <w:rPr>
          <w:rFonts w:hint="eastAsia" w:ascii="宋体" w:hAnsi="宋体" w:eastAsia="宋体" w:cs="宋体"/>
          <w:color w:val="auto"/>
          <w:sz w:val="24"/>
          <w:szCs w:val="24"/>
          <w:highlight w:val="none"/>
        </w:rPr>
      </w:pPr>
    </w:p>
    <w:p w14:paraId="62AC8FA9">
      <w:pPr>
        <w:spacing w:line="360" w:lineRule="auto"/>
        <w:jc w:val="center"/>
        <w:rPr>
          <w:rFonts w:hint="eastAsia" w:ascii="宋体" w:hAnsi="宋体" w:eastAsia="宋体" w:cs="宋体"/>
          <w:color w:val="auto"/>
          <w:sz w:val="24"/>
          <w:szCs w:val="24"/>
          <w:highlight w:val="none"/>
        </w:rPr>
      </w:pPr>
    </w:p>
    <w:p w14:paraId="4C58D814">
      <w:pPr>
        <w:spacing w:line="460" w:lineRule="exact"/>
        <w:jc w:val="center"/>
        <w:rPr>
          <w:rFonts w:hint="eastAsia" w:ascii="宋体" w:hAnsi="宋体" w:eastAsia="宋体" w:cs="宋体"/>
          <w:color w:val="auto"/>
          <w:sz w:val="24"/>
          <w:szCs w:val="24"/>
          <w:highlight w:val="none"/>
        </w:rPr>
      </w:pPr>
    </w:p>
    <w:p w14:paraId="62CE596E">
      <w:pPr>
        <w:spacing w:line="460" w:lineRule="exact"/>
        <w:jc w:val="center"/>
        <w:rPr>
          <w:rFonts w:hint="eastAsia" w:ascii="宋体" w:hAnsi="宋体" w:eastAsia="宋体" w:cs="宋体"/>
          <w:color w:val="auto"/>
          <w:sz w:val="24"/>
          <w:szCs w:val="24"/>
          <w:highlight w:val="none"/>
        </w:rPr>
      </w:pPr>
    </w:p>
    <w:p w14:paraId="150AABB3">
      <w:pPr>
        <w:spacing w:line="460" w:lineRule="exact"/>
        <w:jc w:val="center"/>
        <w:rPr>
          <w:rFonts w:hint="eastAsia" w:ascii="宋体" w:hAnsi="宋体" w:eastAsia="宋体" w:cs="宋体"/>
          <w:color w:val="auto"/>
          <w:sz w:val="24"/>
          <w:szCs w:val="24"/>
          <w:highlight w:val="none"/>
        </w:rPr>
      </w:pPr>
    </w:p>
    <w:p w14:paraId="2F195A54">
      <w:pPr>
        <w:spacing w:line="460" w:lineRule="exact"/>
        <w:jc w:val="center"/>
        <w:rPr>
          <w:rFonts w:hint="eastAsia" w:ascii="宋体" w:hAnsi="宋体" w:eastAsia="宋体" w:cs="宋体"/>
          <w:color w:val="auto"/>
          <w:sz w:val="24"/>
          <w:szCs w:val="24"/>
          <w:highlight w:val="none"/>
        </w:rPr>
      </w:pPr>
    </w:p>
    <w:p w14:paraId="2B5EF909">
      <w:pPr>
        <w:rPr>
          <w:rFonts w:hint="eastAsia" w:ascii="宋体" w:hAnsi="宋体" w:eastAsia="宋体" w:cs="宋体"/>
          <w:color w:val="auto"/>
          <w:highlight w:val="none"/>
        </w:rPr>
      </w:pPr>
    </w:p>
    <w:p w14:paraId="62FD784A">
      <w:pPr>
        <w:spacing w:line="600" w:lineRule="auto"/>
        <w:ind w:firstLine="642"/>
        <w:rPr>
          <w:rFonts w:hint="eastAsia" w:ascii="宋体" w:hAnsi="宋体" w:eastAsia="宋体" w:cs="宋体"/>
          <w:b/>
          <w:bCs/>
          <w:color w:val="auto"/>
          <w:kern w:val="0"/>
          <w:sz w:val="32"/>
          <w:szCs w:val="32"/>
          <w:highlight w:val="none"/>
          <w:lang w:val="en-US" w:eastAsia="zh-CN"/>
        </w:rPr>
      </w:pPr>
      <w:r>
        <w:rPr>
          <w:rFonts w:hint="eastAsia" w:ascii="宋体" w:hAnsi="宋体" w:eastAsia="宋体" w:cs="宋体"/>
          <w:b/>
          <w:bCs/>
          <w:color w:val="auto"/>
          <w:kern w:val="0"/>
          <w:sz w:val="32"/>
          <w:szCs w:val="32"/>
          <w:highlight w:val="none"/>
        </w:rPr>
        <w:t>采   购   人：</w:t>
      </w:r>
      <w:r>
        <w:rPr>
          <w:rFonts w:hint="eastAsia" w:ascii="宋体" w:hAnsi="宋体" w:cs="宋体"/>
          <w:b/>
          <w:bCs/>
          <w:color w:val="auto"/>
          <w:kern w:val="0"/>
          <w:sz w:val="32"/>
          <w:szCs w:val="32"/>
          <w:highlight w:val="none"/>
          <w:lang w:eastAsia="zh-CN"/>
        </w:rPr>
        <w:t>黄龙县人民医院</w:t>
      </w:r>
      <w:r>
        <w:rPr>
          <w:rFonts w:hint="eastAsia" w:ascii="宋体" w:hAnsi="宋体" w:eastAsia="宋体" w:cs="宋体"/>
          <w:b/>
          <w:bCs/>
          <w:color w:val="auto"/>
          <w:kern w:val="0"/>
          <w:sz w:val="32"/>
          <w:szCs w:val="32"/>
          <w:highlight w:val="none"/>
          <w:lang w:val="en-US" w:eastAsia="zh-CN"/>
        </w:rPr>
        <w:t xml:space="preserve">  </w:t>
      </w:r>
    </w:p>
    <w:p w14:paraId="5B389EED">
      <w:pPr>
        <w:spacing w:line="600" w:lineRule="auto"/>
        <w:ind w:firstLine="642"/>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b/>
          <w:bCs/>
          <w:color w:val="auto"/>
          <w:kern w:val="0"/>
          <w:sz w:val="32"/>
          <w:szCs w:val="32"/>
          <w:highlight w:val="none"/>
        </w:rPr>
        <w:t>采购代理机构：</w:t>
      </w:r>
      <w:r>
        <w:rPr>
          <w:rFonts w:hint="eastAsia" w:ascii="宋体" w:hAnsi="宋体" w:cs="宋体"/>
          <w:b/>
          <w:bCs/>
          <w:color w:val="auto"/>
          <w:kern w:val="0"/>
          <w:sz w:val="32"/>
          <w:szCs w:val="32"/>
          <w:highlight w:val="none"/>
          <w:lang w:eastAsia="zh-CN"/>
        </w:rPr>
        <w:t>陕西华鼎项目管理有限公司</w:t>
      </w:r>
    </w:p>
    <w:p w14:paraId="6DFDEE6E">
      <w:pPr>
        <w:spacing w:line="600" w:lineRule="auto"/>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二〇二</w:t>
      </w:r>
      <w:r>
        <w:rPr>
          <w:rFonts w:hint="eastAsia" w:ascii="宋体" w:hAnsi="宋体" w:eastAsia="宋体" w:cs="宋体"/>
          <w:b/>
          <w:bCs/>
          <w:color w:val="auto"/>
          <w:kern w:val="0"/>
          <w:sz w:val="32"/>
          <w:szCs w:val="32"/>
          <w:highlight w:val="none"/>
          <w:lang w:val="en-US" w:eastAsia="zh-CN"/>
        </w:rPr>
        <w:t>四</w:t>
      </w:r>
      <w:r>
        <w:rPr>
          <w:rFonts w:hint="eastAsia" w:ascii="宋体" w:hAnsi="宋体" w:eastAsia="宋体" w:cs="宋体"/>
          <w:b/>
          <w:bCs/>
          <w:color w:val="auto"/>
          <w:kern w:val="0"/>
          <w:sz w:val="32"/>
          <w:szCs w:val="32"/>
          <w:highlight w:val="none"/>
        </w:rPr>
        <w:t>年</w:t>
      </w:r>
      <w:r>
        <w:rPr>
          <w:rFonts w:hint="eastAsia" w:ascii="宋体" w:hAnsi="宋体" w:eastAsia="宋体" w:cs="宋体"/>
          <w:b/>
          <w:bCs/>
          <w:color w:val="auto"/>
          <w:kern w:val="0"/>
          <w:sz w:val="32"/>
          <w:szCs w:val="32"/>
          <w:highlight w:val="none"/>
          <w:lang w:val="en-US" w:eastAsia="zh-CN"/>
        </w:rPr>
        <w:t>十</w:t>
      </w:r>
      <w:r>
        <w:rPr>
          <w:rFonts w:hint="eastAsia" w:ascii="宋体" w:hAnsi="宋体" w:cs="宋体"/>
          <w:b/>
          <w:bCs/>
          <w:color w:val="auto"/>
          <w:kern w:val="0"/>
          <w:sz w:val="32"/>
          <w:szCs w:val="32"/>
          <w:highlight w:val="none"/>
          <w:lang w:val="en-US" w:eastAsia="zh-CN"/>
        </w:rPr>
        <w:t>二</w:t>
      </w:r>
      <w:r>
        <w:rPr>
          <w:rFonts w:hint="eastAsia" w:ascii="宋体" w:hAnsi="宋体" w:eastAsia="宋体" w:cs="宋体"/>
          <w:b/>
          <w:bCs/>
          <w:color w:val="auto"/>
          <w:kern w:val="0"/>
          <w:sz w:val="32"/>
          <w:szCs w:val="32"/>
          <w:highlight w:val="none"/>
        </w:rPr>
        <w:t>月</w:t>
      </w:r>
    </w:p>
    <w:p w14:paraId="3AE2FE7F">
      <w:pPr>
        <w:spacing w:line="600" w:lineRule="auto"/>
        <w:jc w:val="center"/>
        <w:rPr>
          <w:rFonts w:hint="eastAsia" w:ascii="宋体" w:hAnsi="宋体" w:eastAsia="宋体" w:cs="宋体"/>
          <w:b/>
          <w:color w:val="auto"/>
          <w:sz w:val="44"/>
          <w:szCs w:val="44"/>
          <w:highlight w:val="none"/>
        </w:rPr>
        <w:sectPr>
          <w:footerReference r:id="rId5" w:type="first"/>
          <w:headerReference r:id="rId3" w:type="default"/>
          <w:footerReference r:id="rId4" w:type="default"/>
          <w:pgSz w:w="11906" w:h="16838"/>
          <w:pgMar w:top="1440" w:right="1588" w:bottom="1440" w:left="1588" w:header="851" w:footer="2392" w:gutter="0"/>
          <w:pgBorders>
            <w:top w:val="none" w:sz="0" w:space="0"/>
            <w:left w:val="none" w:sz="0" w:space="0"/>
            <w:bottom w:val="none" w:sz="0" w:space="0"/>
            <w:right w:val="none" w:sz="0" w:space="0"/>
          </w:pgBorders>
          <w:pgNumType w:fmt="decimal" w:start="1"/>
          <w:cols w:space="720" w:num="1"/>
          <w:docGrid w:linePitch="312" w:charSpace="0"/>
        </w:sectPr>
      </w:pPr>
    </w:p>
    <w:p w14:paraId="02B0E69D">
      <w:pPr>
        <w:pStyle w:val="43"/>
        <w:pageBreakBefore w:val="0"/>
        <w:tabs>
          <w:tab w:val="left" w:pos="3688"/>
          <w:tab w:val="center" w:pos="4932"/>
        </w:tabs>
        <w:bidi w:val="0"/>
        <w:spacing w:line="460" w:lineRule="exact"/>
        <w:jc w:val="center"/>
        <w:outlineLvl w:val="9"/>
        <w:rPr>
          <w:rFonts w:hint="eastAsia" w:ascii="宋体" w:hAnsi="宋体" w:eastAsia="宋体" w:cs="宋体"/>
          <w:color w:val="auto"/>
          <w:sz w:val="48"/>
          <w:szCs w:val="48"/>
          <w:highlight w:val="none"/>
          <w:lang w:val="zh-CN"/>
        </w:rPr>
      </w:pPr>
      <w:r>
        <w:rPr>
          <w:rFonts w:hint="eastAsia" w:ascii="宋体" w:hAnsi="宋体" w:eastAsia="宋体" w:cs="宋体"/>
          <w:color w:val="auto"/>
          <w:sz w:val="48"/>
          <w:szCs w:val="48"/>
          <w:highlight w:val="none"/>
          <w:lang w:val="zh-CN"/>
        </w:rPr>
        <w:t>目录</w:t>
      </w:r>
    </w:p>
    <w:p w14:paraId="23FD0520">
      <w:pPr>
        <w:pageBreakBefore w:val="0"/>
        <w:bidi w:val="0"/>
        <w:outlineLvl w:val="9"/>
        <w:rPr>
          <w:rFonts w:hint="eastAsia" w:ascii="宋体" w:hAnsi="宋体" w:eastAsia="宋体" w:cs="宋体"/>
          <w:color w:val="auto"/>
          <w:highlight w:val="none"/>
        </w:rPr>
      </w:pPr>
    </w:p>
    <w:p w14:paraId="169E9EB7">
      <w:pPr>
        <w:pStyle w:val="18"/>
        <w:tabs>
          <w:tab w:val="right" w:leader="dot" w:pos="9746"/>
        </w:tabs>
        <w:spacing w:line="600" w:lineRule="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"1-3" \h \z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_Toc3865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0"/>
          <w:szCs w:val="28"/>
          <w:highlight w:val="none"/>
          <w:shd w:val="clear" w:fill="FFFFFF"/>
          <w:lang w:val="en-US" w:eastAsia="zh-CN" w:bidi="ar"/>
        </w:rPr>
        <w:t>第一部分  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_Toc3865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B827B15">
      <w:pPr>
        <w:pStyle w:val="18"/>
        <w:tabs>
          <w:tab w:val="right" w:leader="dot" w:pos="9746"/>
        </w:tabs>
        <w:spacing w:line="600" w:lineRule="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_Toc9213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2"/>
          <w:highlight w:val="none"/>
        </w:rPr>
        <w:t>第二部分  供应商须知</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fldChar w:fldCharType="end"/>
      </w:r>
    </w:p>
    <w:p w14:paraId="568D974E">
      <w:pPr>
        <w:pStyle w:val="18"/>
        <w:tabs>
          <w:tab w:val="right" w:leader="dot" w:pos="9746"/>
        </w:tabs>
        <w:spacing w:line="600" w:lineRule="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_Toc4190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2"/>
          <w:highlight w:val="none"/>
          <w:lang w:val="en-US" w:eastAsia="zh-CN"/>
        </w:rPr>
        <w:t>第三部分 采购内容及要求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_Toc4190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9DE5B99">
      <w:pPr>
        <w:pStyle w:val="18"/>
        <w:tabs>
          <w:tab w:val="right" w:leader="dot" w:pos="9746"/>
        </w:tabs>
        <w:spacing w:line="60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_Toc28609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2"/>
          <w:highlight w:val="none"/>
        </w:rPr>
        <w:t>第四部分</w:t>
      </w:r>
      <w:r>
        <w:rPr>
          <w:rFonts w:hint="eastAsia" w:ascii="宋体" w:hAnsi="宋体" w:eastAsia="宋体" w:cs="宋体"/>
          <w:color w:val="auto"/>
          <w:highlight w:val="none"/>
        </w:rPr>
        <w:t xml:space="preserve">  </w:t>
      </w:r>
      <w:r>
        <w:rPr>
          <w:rFonts w:hint="eastAsia" w:ascii="宋体" w:hAnsi="宋体" w:eastAsia="宋体" w:cs="宋体"/>
          <w:color w:val="auto"/>
          <w:szCs w:val="32"/>
          <w:highlight w:val="none"/>
        </w:rPr>
        <w:t>合同主要条款</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lang w:val="en-US" w:eastAsia="zh-CN"/>
        </w:rPr>
        <w:t>仅供参考</w:t>
      </w:r>
      <w:r>
        <w:rPr>
          <w:rFonts w:hint="eastAsia" w:ascii="宋体" w:hAnsi="宋体" w:eastAsia="宋体" w:cs="宋体"/>
          <w:color w:val="auto"/>
          <w:szCs w:val="32"/>
          <w:highlight w:val="none"/>
          <w:lang w:eastAsia="zh-CN"/>
        </w:rPr>
        <w:t>）</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val="en-US" w:eastAsia="zh-CN"/>
        </w:rPr>
        <w:t>7</w:t>
      </w:r>
    </w:p>
    <w:p w14:paraId="3DC31853">
      <w:pPr>
        <w:pStyle w:val="18"/>
        <w:tabs>
          <w:tab w:val="right" w:leader="dot" w:pos="9746"/>
        </w:tabs>
        <w:spacing w:line="600" w:lineRule="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_Toc13042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2"/>
          <w:highlight w:val="none"/>
        </w:rPr>
        <w:t>第</w:t>
      </w:r>
      <w:r>
        <w:rPr>
          <w:rFonts w:hint="eastAsia" w:ascii="宋体" w:hAnsi="宋体" w:eastAsia="宋体" w:cs="宋体"/>
          <w:bCs/>
          <w:color w:val="auto"/>
          <w:szCs w:val="32"/>
          <w:highlight w:val="none"/>
          <w:lang w:val="en-US" w:eastAsia="zh-CN"/>
        </w:rPr>
        <w:t>五</w:t>
      </w:r>
      <w:r>
        <w:rPr>
          <w:rFonts w:hint="eastAsia" w:ascii="宋体" w:hAnsi="宋体" w:eastAsia="宋体" w:cs="宋体"/>
          <w:bCs/>
          <w:color w:val="auto"/>
          <w:szCs w:val="32"/>
          <w:highlight w:val="none"/>
        </w:rPr>
        <w:t>部分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_Toc13042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75BC5BA">
      <w:pPr>
        <w:pageBreakBefore w:val="0"/>
        <w:bidi w:val="0"/>
        <w:spacing w:line="460" w:lineRule="exact"/>
        <w:outlineLvl w:val="9"/>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14:paraId="6AD2305B">
      <w:pPr>
        <w:pageBreakBefore w:val="0"/>
        <w:tabs>
          <w:tab w:val="left" w:pos="7111"/>
        </w:tabs>
        <w:bidi w:val="0"/>
        <w:spacing w:line="460" w:lineRule="exact"/>
        <w:ind w:left="-141" w:leftChars="-67" w:right="-197" w:rightChars="-94"/>
        <w:outlineLvl w:val="9"/>
        <w:rPr>
          <w:rFonts w:hint="eastAsia" w:ascii="宋体" w:hAnsi="宋体" w:eastAsia="宋体" w:cs="宋体"/>
          <w:color w:val="auto"/>
          <w:highlight w:val="none"/>
        </w:rPr>
        <w:sectPr>
          <w:headerReference r:id="rId7" w:type="first"/>
          <w:footerReference r:id="rId9" w:type="first"/>
          <w:headerReference r:id="rId6" w:type="default"/>
          <w:footerReference r:id="rId8" w:type="default"/>
          <w:pgSz w:w="11906" w:h="16838"/>
          <w:pgMar w:top="1440" w:right="1080" w:bottom="1440" w:left="1080" w:header="851" w:footer="850" w:gutter="0"/>
          <w:pgBorders>
            <w:top w:val="none" w:sz="0" w:space="0"/>
            <w:left w:val="none" w:sz="0" w:space="0"/>
            <w:bottom w:val="none" w:sz="0" w:space="0"/>
            <w:right w:val="none" w:sz="0" w:space="0"/>
          </w:pgBorders>
          <w:pgNumType w:fmt="decimal" w:start="1"/>
          <w:cols w:space="425" w:num="1"/>
          <w:titlePg/>
          <w:docGrid w:type="lines" w:linePitch="312" w:charSpace="0"/>
        </w:sectPr>
      </w:pPr>
      <w:r>
        <w:rPr>
          <w:rFonts w:hint="eastAsia" w:ascii="宋体" w:hAnsi="宋体" w:eastAsia="宋体" w:cs="宋体"/>
          <w:color w:val="auto"/>
          <w:highlight w:val="none"/>
        </w:rPr>
        <w:tab/>
      </w:r>
    </w:p>
    <w:p w14:paraId="452990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jc w:val="center"/>
        <w:textAlignment w:val="auto"/>
        <w:outlineLvl w:val="0"/>
        <w:rPr>
          <w:rFonts w:hint="eastAsia" w:ascii="宋体" w:hAnsi="宋体" w:eastAsia="宋体" w:cs="宋体"/>
          <w:b/>
          <w:bCs/>
          <w:color w:val="auto"/>
          <w:kern w:val="0"/>
          <w:sz w:val="28"/>
          <w:szCs w:val="28"/>
          <w:highlight w:val="none"/>
          <w:shd w:val="clear" w:fill="FFFFFF"/>
          <w:lang w:val="en-US" w:eastAsia="zh-CN" w:bidi="ar"/>
        </w:rPr>
      </w:pPr>
      <w:bookmarkStart w:id="0" w:name="_Toc3865"/>
      <w:bookmarkStart w:id="1" w:name="OLE_LINK3"/>
      <w:r>
        <w:rPr>
          <w:rFonts w:hint="eastAsia" w:ascii="宋体" w:hAnsi="宋体" w:eastAsia="宋体" w:cs="宋体"/>
          <w:b/>
          <w:bCs/>
          <w:color w:val="auto"/>
          <w:kern w:val="0"/>
          <w:sz w:val="28"/>
          <w:szCs w:val="28"/>
          <w:highlight w:val="none"/>
          <w:shd w:val="clear" w:fill="FFFFFF"/>
          <w:lang w:val="en-US" w:eastAsia="zh-CN" w:bidi="ar"/>
        </w:rPr>
        <w:t>第一部分  招标公告</w:t>
      </w:r>
      <w:bookmarkEnd w:id="0"/>
    </w:p>
    <w:bookmarkEnd w:id="1"/>
    <w:p w14:paraId="6C6BC3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482" w:firstLineChars="200"/>
        <w:jc w:val="center"/>
        <w:textAlignment w:val="auto"/>
        <w:rPr>
          <w:rFonts w:hint="eastAsia" w:ascii="宋体" w:hAnsi="宋体" w:eastAsia="宋体" w:cs="宋体"/>
          <w:b/>
          <w:bCs/>
          <w:i w:val="0"/>
          <w:iCs w:val="0"/>
          <w:caps w:val="0"/>
          <w:color w:val="333333"/>
          <w:spacing w:val="0"/>
          <w:kern w:val="0"/>
          <w:sz w:val="24"/>
          <w:szCs w:val="24"/>
          <w:shd w:val="clear" w:fill="FFFFFF"/>
          <w:lang w:val="en-US" w:eastAsia="zh-CN" w:bidi="ar"/>
        </w:rPr>
      </w:pPr>
      <w:bookmarkStart w:id="2" w:name="_Toc9213"/>
      <w:r>
        <w:rPr>
          <w:rFonts w:hint="eastAsia" w:ascii="宋体" w:hAnsi="宋体" w:eastAsia="宋体" w:cs="宋体"/>
          <w:b/>
          <w:bCs/>
          <w:i w:val="0"/>
          <w:iCs w:val="0"/>
          <w:caps w:val="0"/>
          <w:color w:val="333333"/>
          <w:spacing w:val="0"/>
          <w:kern w:val="0"/>
          <w:sz w:val="24"/>
          <w:szCs w:val="24"/>
          <w:shd w:val="clear" w:fill="FFFFFF"/>
          <w:lang w:val="en-US" w:eastAsia="zh-CN" w:bidi="ar"/>
        </w:rPr>
        <w:t>黄龙县人民医院提升老年病服务能力建设项目医疗设施设备采购项目</w:t>
      </w:r>
    </w:p>
    <w:p w14:paraId="7FF98E4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482" w:firstLineChars="200"/>
        <w:jc w:val="center"/>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fill="FFFFFF"/>
          <w:lang w:val="en-US" w:eastAsia="zh-CN" w:bidi="ar"/>
        </w:rPr>
        <w:t>招标公告</w:t>
      </w:r>
    </w:p>
    <w:p w14:paraId="4D6AF0F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sz w:val="24"/>
          <w:szCs w:val="24"/>
        </w:rPr>
      </w:pPr>
      <w:r>
        <w:rPr>
          <w:rStyle w:val="27"/>
          <w:rFonts w:hint="eastAsia" w:ascii="宋体" w:hAnsi="宋体" w:eastAsia="宋体" w:cs="宋体"/>
          <w:b/>
          <w:bCs/>
          <w:i w:val="0"/>
          <w:iCs w:val="0"/>
          <w:caps w:val="0"/>
          <w:color w:val="333333"/>
          <w:spacing w:val="0"/>
          <w:sz w:val="24"/>
          <w:szCs w:val="24"/>
          <w:shd w:val="clear" w:fill="FFFFFF"/>
        </w:rPr>
        <w:t>项目概况</w:t>
      </w:r>
    </w:p>
    <w:p w14:paraId="469C680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黄龙县人民医院提升老年病服务能力建设项目医疗设施设备采购项目招标项目的潜在投标人应在《全国公共资源交易平台（陕西省·延安市）》电子招投标系统使用CA锁下载获取招标文件，并于2024年12月26日 14时30分（北京时间）前递交投标文件。</w:t>
      </w:r>
    </w:p>
    <w:p w14:paraId="5A2C200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60" w:lineRule="auto"/>
        <w:ind w:left="0" w:right="0" w:firstLine="482" w:firstLineChars="200"/>
        <w:jc w:val="left"/>
        <w:textAlignment w:val="auto"/>
        <w:rPr>
          <w:rFonts w:hint="eastAsia" w:ascii="宋体" w:hAnsi="宋体" w:eastAsia="宋体" w:cs="宋体"/>
          <w:b w:val="0"/>
          <w:bCs w:val="0"/>
          <w:sz w:val="24"/>
          <w:szCs w:val="24"/>
        </w:rPr>
      </w:pPr>
      <w:r>
        <w:rPr>
          <w:rStyle w:val="27"/>
          <w:rFonts w:hint="eastAsia" w:ascii="宋体" w:hAnsi="宋体" w:eastAsia="宋体" w:cs="宋体"/>
          <w:b/>
          <w:bCs/>
          <w:i w:val="0"/>
          <w:iCs w:val="0"/>
          <w:caps w:val="0"/>
          <w:color w:val="333333"/>
          <w:spacing w:val="0"/>
          <w:sz w:val="24"/>
          <w:szCs w:val="24"/>
          <w:shd w:val="clear" w:fill="FFFFFF"/>
        </w:rPr>
        <w:t>一、项目基本情况</w:t>
      </w:r>
    </w:p>
    <w:p w14:paraId="6FADE33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项目编号：HDXGDL-ZC2024-009</w:t>
      </w:r>
    </w:p>
    <w:p w14:paraId="7D1F51F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项目名称：黄龙县人民医院提升老年病服务能力建设项目医疗设施设备采购项目</w:t>
      </w:r>
    </w:p>
    <w:p w14:paraId="21C1D4B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采购方式：公开招标</w:t>
      </w:r>
    </w:p>
    <w:p w14:paraId="3499805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预算金额：5,916,750.00元</w:t>
      </w:r>
    </w:p>
    <w:p w14:paraId="1C95D2A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采购需求：</w:t>
      </w:r>
    </w:p>
    <w:p w14:paraId="2C7EB80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合同包1(黄龙县人民医院提升老年病服务能力建设项目医疗设施设备（一标包：综合类医疗设施设备）):</w:t>
      </w:r>
    </w:p>
    <w:p w14:paraId="2719630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合同包预算金额：2,757,050.00元</w:t>
      </w:r>
    </w:p>
    <w:p w14:paraId="690A12D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合同包最高限价：2,757,050.00元</w:t>
      </w:r>
    </w:p>
    <w:tbl>
      <w:tblPr>
        <w:tblStyle w:val="24"/>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81"/>
        <w:gridCol w:w="1122"/>
        <w:gridCol w:w="853"/>
        <w:gridCol w:w="853"/>
        <w:gridCol w:w="2987"/>
        <w:gridCol w:w="1680"/>
        <w:gridCol w:w="1680"/>
      </w:tblGrid>
      <w:tr w14:paraId="21583C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1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60522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76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1A6E2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56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D884C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56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C9D38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6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8CB20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55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1D984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55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506CF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14:paraId="6C1DF4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1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0BF11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76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0C5B4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其他医疗设备</w:t>
            </w:r>
          </w:p>
        </w:tc>
        <w:tc>
          <w:tcPr>
            <w:tcW w:w="56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9F5E0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货物</w:t>
            </w:r>
          </w:p>
        </w:tc>
        <w:tc>
          <w:tcPr>
            <w:tcW w:w="56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10CEE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1(批)</w:t>
            </w:r>
          </w:p>
        </w:tc>
        <w:tc>
          <w:tcPr>
            <w:tcW w:w="16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A697A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55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2C94C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firstLineChars="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2,757,050.00</w:t>
            </w:r>
          </w:p>
        </w:tc>
        <w:tc>
          <w:tcPr>
            <w:tcW w:w="55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FDEBE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firstLineChars="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2,757,050.00</w:t>
            </w:r>
          </w:p>
        </w:tc>
      </w:tr>
    </w:tbl>
    <w:p w14:paraId="79D162E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14:paraId="503E2AF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合同履行期限：自合同签订之日起30日历天</w:t>
      </w:r>
    </w:p>
    <w:p w14:paraId="5ACB52F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合同包2(黄龙县人民医院提升老年病服务能力建设项目医疗设施设备（二标包：治疗类医疗设施设备）):</w:t>
      </w:r>
    </w:p>
    <w:p w14:paraId="52F4B6B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合同包预算金额：1,962,000.00元</w:t>
      </w:r>
    </w:p>
    <w:p w14:paraId="36460BD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合同包最高限价：1,962,000.00元</w:t>
      </w:r>
    </w:p>
    <w:tbl>
      <w:tblPr>
        <w:tblStyle w:val="24"/>
        <w:tblW w:w="966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31"/>
        <w:gridCol w:w="949"/>
        <w:gridCol w:w="938"/>
        <w:gridCol w:w="1332"/>
        <w:gridCol w:w="1942"/>
        <w:gridCol w:w="1684"/>
        <w:gridCol w:w="1684"/>
      </w:tblGrid>
      <w:tr w14:paraId="6F25FA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11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E7F75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9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7233F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AF699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8E09C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7AA71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63C54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D994EA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14:paraId="1795A0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1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F1354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2-1</w:t>
            </w:r>
          </w:p>
        </w:tc>
        <w:tc>
          <w:tcPr>
            <w:tcW w:w="9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AE547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其他医疗设备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37004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货物</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40DFE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A6228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902EF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1,962,000.00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9F317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1,962,000.00</w:t>
            </w:r>
          </w:p>
        </w:tc>
      </w:tr>
    </w:tbl>
    <w:p w14:paraId="1A4B632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14:paraId="11738BD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合同履行期限：自合同签订之日起30日历天</w:t>
      </w:r>
    </w:p>
    <w:p w14:paraId="35C01F0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合同包3(黄龙县人民医院提升老年病服务能力建设项目医疗设施设备（三标包：监护类医疗设施设备）):</w:t>
      </w:r>
    </w:p>
    <w:p w14:paraId="79173AE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合同包预算金额：1,197,700.00元</w:t>
      </w:r>
    </w:p>
    <w:p w14:paraId="64D420A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合同包最高限价：1,197,700.00元</w:t>
      </w:r>
    </w:p>
    <w:tbl>
      <w:tblPr>
        <w:tblStyle w:val="24"/>
        <w:tblW w:w="5113"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33"/>
        <w:gridCol w:w="1548"/>
        <w:gridCol w:w="2106"/>
        <w:gridCol w:w="738"/>
        <w:gridCol w:w="1115"/>
        <w:gridCol w:w="1719"/>
        <w:gridCol w:w="1719"/>
      </w:tblGrid>
      <w:tr w14:paraId="4094C3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47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DFA51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7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4A617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106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5829C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3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328BB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56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05D99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86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66506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86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70CCB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14:paraId="155921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47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5383C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3-1</w:t>
            </w:r>
          </w:p>
        </w:tc>
        <w:tc>
          <w:tcPr>
            <w:tcW w:w="7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5A2B6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其他医疗设备</w:t>
            </w:r>
          </w:p>
        </w:tc>
        <w:tc>
          <w:tcPr>
            <w:tcW w:w="106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3D7D0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货物</w:t>
            </w:r>
          </w:p>
        </w:tc>
        <w:tc>
          <w:tcPr>
            <w:tcW w:w="3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917DE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1(批)</w:t>
            </w:r>
          </w:p>
        </w:tc>
        <w:tc>
          <w:tcPr>
            <w:tcW w:w="56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C4BDD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86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ADB4F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firstLineChars="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1,197,700.00</w:t>
            </w:r>
          </w:p>
        </w:tc>
        <w:tc>
          <w:tcPr>
            <w:tcW w:w="86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ADC14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firstLineChars="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1,197,700.00</w:t>
            </w:r>
          </w:p>
        </w:tc>
      </w:tr>
    </w:tbl>
    <w:p w14:paraId="5765CD6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14:paraId="638D3B2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合同履行期限：自合同签订之日起30日历天</w:t>
      </w:r>
    </w:p>
    <w:p w14:paraId="043A55D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60" w:lineRule="auto"/>
        <w:ind w:left="0" w:right="0" w:firstLine="482" w:firstLineChars="200"/>
        <w:jc w:val="left"/>
        <w:textAlignment w:val="auto"/>
        <w:rPr>
          <w:rFonts w:hint="eastAsia" w:ascii="宋体" w:hAnsi="宋体" w:eastAsia="宋体" w:cs="宋体"/>
          <w:b w:val="0"/>
          <w:bCs w:val="0"/>
          <w:sz w:val="24"/>
          <w:szCs w:val="24"/>
        </w:rPr>
      </w:pPr>
      <w:r>
        <w:rPr>
          <w:rStyle w:val="27"/>
          <w:rFonts w:hint="eastAsia" w:ascii="宋体" w:hAnsi="宋体" w:eastAsia="宋体" w:cs="宋体"/>
          <w:b/>
          <w:bCs/>
          <w:i w:val="0"/>
          <w:iCs w:val="0"/>
          <w:caps w:val="0"/>
          <w:color w:val="333333"/>
          <w:spacing w:val="0"/>
          <w:sz w:val="24"/>
          <w:szCs w:val="24"/>
          <w:shd w:val="clear" w:fill="FFFFFF"/>
        </w:rPr>
        <w:t>二、申请人的资格要求：</w:t>
      </w:r>
    </w:p>
    <w:p w14:paraId="271131A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1.满足《中华人民共和国政府采购法》第二十二条规定;</w:t>
      </w:r>
    </w:p>
    <w:p w14:paraId="20B1CC9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2.落实政府采购政策需满足的资格要求：</w:t>
      </w:r>
    </w:p>
    <w:p w14:paraId="7472F6B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合同包1(黄龙县人民医院提升老年病服务能力建设项目医疗设施设备（一标包：综合类医疗设施设备）)落实政府采购政策需满足的资格要求如下:</w:t>
      </w:r>
    </w:p>
    <w:p w14:paraId="6ED8F5F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政府采购促进中小企业发展管理办法》的通知（财库〔2020〕46号）；（2）财政部司法部关于政府采购支持监狱企业发展有关问题的通知--财库〔2014〕68号；（3）《国务院办公厅关于建立政府强制采购节能产品制度的通知》--国办发〔2007〕51号；（4）《关于促进残疾人就业政府采购政策的通知》财库〔2017〕141号；（5）陕西省财政厅关于印发《陕西省中小企业政府采购信用融资办法》（陕财办采〔2018〕23号）；（6）《财政部 发展改革委 生态环境部 市场监管总局关于调整优化节能产品、环境标志产品政府采购执行机制的通知》（财库〔2019〕9号）；（7）其他需要落实的政府采购政策。</w:t>
      </w:r>
    </w:p>
    <w:p w14:paraId="74E995B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合同包2(黄龙县人民医院提升老年病服务能力建设项目医疗设施设备（二标包：治疗类医疗设施设备）)落实政府采购政策需满足的资格要求如下:</w:t>
      </w:r>
    </w:p>
    <w:p w14:paraId="1FEC482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政府采购促进中小企业发展管理办法》的通知（财库〔2020〕46号）；（2）财政部司法部关于政府采购支持监狱企业发展有关问题的通知--财库〔2014〕68号；（3）《国务院办公厅关于建立政府强制采购节能产品制度的通知》--国办发〔2007〕51号；（4）《关于促进残疾人就业政府采购政策的通知》财库〔2017〕141号；（5）陕西省财政厅关于印发《陕西省中小企业政府采购信用融资办法》（陕财办采〔2018〕23号）；（6）《财政部 发展改革委 生态环境部 市场监管总局关于调整优化节能产品、环境标志产品政府采购执行机制的通知》（财库〔2019〕9号）；（7）其他需要落实的政府采购政策。</w:t>
      </w:r>
    </w:p>
    <w:p w14:paraId="2C79DFF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合同包3(黄龙县人民医院提升老年病服务能力建设项目医疗设施设备（三标包：监护类医疗设施设备）)落实政府采购政策需满足的资格要求如下:</w:t>
      </w:r>
    </w:p>
    <w:p w14:paraId="3145B16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政府采购促进中小企业发展管理办法》的通知（财库〔2020〕46号）；（2）财政部司法部关于政府采购支持监狱企业发展有关问题的通知--财库〔2014〕68号；（3）《国务院办公厅关于建立政府强制采购节能产品制度的通知》--国办发〔2007〕51号；（4）《关于促进残疾人就业政府采购政策的通知》财库〔2017〕141号；（5）陕西省财政厅关于印发《陕西省中小企业政府采购信用融资办法》（陕财办采〔2018〕23号）；（6）《财政部 发展改革委 生态环境部 市场监管总局关于调整优化节能产品、环境标志产品政府采购执行机制的通知》（财库〔2019〕9号）；（7）其他需要落实的政府采购政策。</w:t>
      </w:r>
    </w:p>
    <w:p w14:paraId="13E7D73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3.本项目的特定资格要求：</w:t>
      </w:r>
    </w:p>
    <w:p w14:paraId="7654902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合同包1(黄龙县人民医院提升老年病服务能力建设项目医疗设施设备（一标包：综合类医疗设施设备）)特定资格要求如下:</w:t>
      </w:r>
    </w:p>
    <w:p w14:paraId="4552B43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供应商须为独立承担民事责任能力的法人或其他组织，并出具有效的营业执照等国家规定的相关主体资格证明资料；（2）供应商须提供《医疗器械经营许可证》或《医疗器械经营备案凭证》或《医疗器械生产许可证》或《医疗器械生产备案凭证》（3）提供2023年经会计师事务所审计的财务审计报告或近三个月内银行出具的资信证明；（4）提供2024年1月1日至今已缴纳的至少一个月的纳税证明，依法免税的供应商应提供相关文件证明；（5）提供2024年1月1日至今已缴纳的至少一个月社会保障资金缴存单据或社保机构开具的社会保险参保缴费情况证明，依法不需要缴纳社保的供应商应提供相关文件证明；（6）法定代表人授权书及被授权人身份证（法定代表人直接投标只需提供本人身份证）；（7）参加政府采购活动前3年内，在经营活动中没有重大违法记录的书面声明；（8）供应商不得为“中国执行信息公开网”列入失信被执行人名单的供应商，不得为“信用中国”网列入重大税收违法失信主体名单的供应商，不得为中国政府采购网政府采购严重违法失信行为记录名单中被财政部门禁止参加政府采购活动的供应商（提供承诺书）。</w:t>
      </w:r>
    </w:p>
    <w:p w14:paraId="47E015F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合同包2(黄龙县人民医院提升老年病服务能力建设项目医疗设施设备（二标包：治疗类医疗设施设备）)特定资格要求如下:</w:t>
      </w:r>
    </w:p>
    <w:p w14:paraId="73831F3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供应商须为独立承担民事责任能力的法人或其他组织，并出具有效的营业执照等国家规定的相关主体资格证明资料；（2）供应商须提供《医疗器械经营许可证》或《医疗器械经营备案凭证》或《医疗器械生产许可证》或《医疗器械生产备案凭证》（3）提供2023年经会计师事务所审计的财务审计报告或近三个月内银行出具的资信证明；（4）提供2024年1月1日至今已缴纳的至少一个月的纳税证明，依法免税的供应商应提供相关文件证明；（5）提供2024年1月1日至今已缴纳的至少一个月社会保障资金缴存单据或社保机构开具的社会保险参保缴费情况证明，依法不需要缴纳社保的供应商应提供相关文件证明；（6）法定代表人授权书及被授权人身份证（法定代表人直接投标只需提供本人身份证）；（7）参加政府采购活动前3年内，在经营活动中没有重大违法记录的书面声明；（8）供应商不得为“中国执行信息公开网”列入失信被执行人名单的供应商，不得为“信用中国”网列入重大税收违法失信主体名单的供应商，不得为中国政府采购网政府采购严重违法失信行为记录名单中被财政部门禁止参加政府采购活动的供应商（提供承诺书）。</w:t>
      </w:r>
    </w:p>
    <w:p w14:paraId="4E7CFC0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合同包3(黄龙县人民医院提升老年病服务能力建设项目医疗设施设备（三标包：监护类医疗设施设备）)特定资格要求如下:</w:t>
      </w:r>
    </w:p>
    <w:p w14:paraId="037E840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供应商须为独立承担民事责任能力的法人或其他组织，并出具有效的营业执照等国家规定的相关主体资格证明资料；（2）供应商须提供《医疗器械经营许可证》或《医疗器械经营备案凭证》或《医疗器械生产许可证》或《医疗器械生产备案凭证》（3）提供2023年经会计师事务所审计的财务审计报告或近三个月内银行出具的资信证明；（4）提供2024年1月1日至今已缴纳的至少一个月的纳税证明，依法免税的供应商应提供相关文件证明；（5）提供2024年1月1日至今已缴纳的至少一个月社会保障资金缴存单据或社保机构开具的社会保险参保缴费情况证明，依法不需要缴纳社保的供应商应提供相关文件证明；（6）法定代表人授权书及被授权人身份证（法定代表人直接投标只需提供本人身份证）；（7）参加政府采购活动前3年内，在经营活动中没有重大违法记录的书面声明；（8）供应商不得为“中国执行信息公开网”列入失信被执行人名单的供应商，不得为“信用中国”网列入重大税收违法失信主体名单的供应商，不得为中国政府采购网政府采购严重违法失信行为记录名单中被财政部门禁止参加政府采购活动的供应商（提供承诺书）。</w:t>
      </w:r>
    </w:p>
    <w:p w14:paraId="73D5B4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60" w:lineRule="auto"/>
        <w:ind w:left="0" w:right="0" w:firstLine="482" w:firstLineChars="200"/>
        <w:jc w:val="left"/>
        <w:textAlignment w:val="auto"/>
        <w:rPr>
          <w:rFonts w:hint="eastAsia" w:ascii="宋体" w:hAnsi="宋体" w:eastAsia="宋体" w:cs="宋体"/>
          <w:b w:val="0"/>
          <w:bCs w:val="0"/>
          <w:sz w:val="24"/>
          <w:szCs w:val="24"/>
        </w:rPr>
      </w:pPr>
      <w:r>
        <w:rPr>
          <w:rStyle w:val="27"/>
          <w:rFonts w:hint="eastAsia" w:ascii="宋体" w:hAnsi="宋体" w:eastAsia="宋体" w:cs="宋体"/>
          <w:b/>
          <w:bCs/>
          <w:i w:val="0"/>
          <w:iCs w:val="0"/>
          <w:caps w:val="0"/>
          <w:color w:val="333333"/>
          <w:spacing w:val="0"/>
          <w:sz w:val="24"/>
          <w:szCs w:val="24"/>
          <w:shd w:val="clear" w:fill="FFFFFF"/>
        </w:rPr>
        <w:t>三、获取招标文件</w:t>
      </w:r>
    </w:p>
    <w:p w14:paraId="544CFF9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时间： 2024年12月06日至2024年12月12日，每天上午08:00:00至12:00:00 ，下午12:00:00至18:00:00（北京时间）</w:t>
      </w:r>
    </w:p>
    <w:p w14:paraId="0F6C865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途径：《全国公共资源交易平台（陕西省·延安市）》电子招投标系统使用CA锁下载</w:t>
      </w:r>
    </w:p>
    <w:p w14:paraId="2C9E661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方式：在线获取</w:t>
      </w:r>
    </w:p>
    <w:p w14:paraId="5DBE335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售价：0元</w:t>
      </w:r>
    </w:p>
    <w:p w14:paraId="2CE9F5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60" w:lineRule="auto"/>
        <w:ind w:left="0" w:right="0" w:firstLine="482" w:firstLineChars="200"/>
        <w:jc w:val="left"/>
        <w:textAlignment w:val="auto"/>
        <w:rPr>
          <w:rFonts w:hint="eastAsia" w:ascii="宋体" w:hAnsi="宋体" w:eastAsia="宋体" w:cs="宋体"/>
          <w:b w:val="0"/>
          <w:bCs w:val="0"/>
          <w:sz w:val="24"/>
          <w:szCs w:val="24"/>
        </w:rPr>
      </w:pPr>
      <w:r>
        <w:rPr>
          <w:rStyle w:val="27"/>
          <w:rFonts w:hint="eastAsia" w:ascii="宋体" w:hAnsi="宋体" w:eastAsia="宋体" w:cs="宋体"/>
          <w:b/>
          <w:bCs/>
          <w:i w:val="0"/>
          <w:iCs w:val="0"/>
          <w:caps w:val="0"/>
          <w:color w:val="333333"/>
          <w:spacing w:val="0"/>
          <w:sz w:val="24"/>
          <w:szCs w:val="24"/>
          <w:shd w:val="clear" w:fill="FFFFFF"/>
        </w:rPr>
        <w:t>四、提交投标文件截止时间、开标时间和地点</w:t>
      </w:r>
    </w:p>
    <w:p w14:paraId="657EAA6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时间：2024年12月26日 14时30分00秒（北京时间）</w:t>
      </w:r>
    </w:p>
    <w:p w14:paraId="19F27E7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提交投标文件地点：延安市公共资源交易中心交易二厅</w:t>
      </w:r>
    </w:p>
    <w:p w14:paraId="488C3A2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开标地点：延安市公共资源交易中心交易二厅</w:t>
      </w:r>
    </w:p>
    <w:p w14:paraId="6200B5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60" w:lineRule="auto"/>
        <w:ind w:left="0" w:right="0" w:firstLine="482" w:firstLineChars="200"/>
        <w:jc w:val="left"/>
        <w:textAlignment w:val="auto"/>
        <w:rPr>
          <w:rFonts w:hint="eastAsia" w:ascii="宋体" w:hAnsi="宋体" w:eastAsia="宋体" w:cs="宋体"/>
          <w:b w:val="0"/>
          <w:bCs w:val="0"/>
          <w:sz w:val="24"/>
          <w:szCs w:val="24"/>
        </w:rPr>
      </w:pPr>
      <w:r>
        <w:rPr>
          <w:rStyle w:val="27"/>
          <w:rFonts w:hint="eastAsia" w:ascii="宋体" w:hAnsi="宋体" w:eastAsia="宋体" w:cs="宋体"/>
          <w:b/>
          <w:bCs/>
          <w:i w:val="0"/>
          <w:iCs w:val="0"/>
          <w:caps w:val="0"/>
          <w:color w:val="333333"/>
          <w:spacing w:val="0"/>
          <w:sz w:val="24"/>
          <w:szCs w:val="24"/>
          <w:shd w:val="clear" w:fill="FFFFFF"/>
        </w:rPr>
        <w:t>五、公告期限</w:t>
      </w:r>
    </w:p>
    <w:p w14:paraId="14DF4EB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自本公告发布之日起5个工作日。</w:t>
      </w:r>
    </w:p>
    <w:p w14:paraId="61C168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60" w:lineRule="auto"/>
        <w:ind w:left="0" w:right="0" w:firstLine="482" w:firstLineChars="200"/>
        <w:jc w:val="left"/>
        <w:textAlignment w:val="auto"/>
        <w:rPr>
          <w:rFonts w:hint="eastAsia" w:ascii="宋体" w:hAnsi="宋体" w:eastAsia="宋体" w:cs="宋体"/>
          <w:b w:val="0"/>
          <w:bCs w:val="0"/>
          <w:sz w:val="24"/>
          <w:szCs w:val="24"/>
        </w:rPr>
      </w:pPr>
      <w:r>
        <w:rPr>
          <w:rStyle w:val="27"/>
          <w:rFonts w:hint="eastAsia" w:ascii="宋体" w:hAnsi="宋体" w:eastAsia="宋体" w:cs="宋体"/>
          <w:b/>
          <w:bCs/>
          <w:i w:val="0"/>
          <w:iCs w:val="0"/>
          <w:caps w:val="0"/>
          <w:color w:val="333333"/>
          <w:spacing w:val="0"/>
          <w:sz w:val="24"/>
          <w:szCs w:val="24"/>
          <w:shd w:val="clear" w:fill="FFFFFF"/>
        </w:rPr>
        <w:t>六、其他补充事宜</w:t>
      </w:r>
    </w:p>
    <w:p w14:paraId="16B550B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1、凡有意参与的供应商请于2024年12月06日至2024年12月12日（公休日休息）使用CA锁在全国公共资源交易平台（陕西省·延安市）选择电子交易平台中的陕西政府采购交易系统进行登录，登录后选择“交易乙方”身份进入供应商界面进行网上报名,报名成功后在《全国公共资源交易平台（陕西省·延安市）》免费下载招标文件。</w:t>
      </w:r>
    </w:p>
    <w:p w14:paraId="3F67CCB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2、纸质版投标文件递交地点：延安市新区为民服务中心7号楼二楼公共资源交易中心交易二厅，电子投标文件递交地点：《全国公共资源交易平台（陕西省·延安市）》电子招投标系统。投标文件递交的具体要求详见招标文件的规定。</w:t>
      </w:r>
    </w:p>
    <w:p w14:paraId="3026391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3、逾期送达、未送达指定地点或上传的投标文件，采购人不予受理。</w:t>
      </w:r>
    </w:p>
    <w:p w14:paraId="28E0F26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4、本次招标公告在《陕西省政府采购网》、《全国公共资源交易平台（陕西省.延安市）》媒介上发布。</w:t>
      </w:r>
    </w:p>
    <w:p w14:paraId="5613665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5、本项目不专门面向中小企业。</w:t>
      </w:r>
    </w:p>
    <w:p w14:paraId="1B911F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60" w:lineRule="auto"/>
        <w:ind w:left="0" w:right="0" w:firstLine="482" w:firstLineChars="200"/>
        <w:jc w:val="left"/>
        <w:textAlignment w:val="auto"/>
        <w:rPr>
          <w:rFonts w:hint="eastAsia" w:ascii="宋体" w:hAnsi="宋体" w:eastAsia="宋体" w:cs="宋体"/>
          <w:b w:val="0"/>
          <w:bCs w:val="0"/>
          <w:sz w:val="24"/>
          <w:szCs w:val="24"/>
        </w:rPr>
      </w:pPr>
      <w:r>
        <w:rPr>
          <w:rStyle w:val="27"/>
          <w:rFonts w:hint="eastAsia" w:ascii="宋体" w:hAnsi="宋体" w:eastAsia="宋体" w:cs="宋体"/>
          <w:b/>
          <w:bCs/>
          <w:i w:val="0"/>
          <w:iCs w:val="0"/>
          <w:caps w:val="0"/>
          <w:color w:val="333333"/>
          <w:spacing w:val="0"/>
          <w:sz w:val="24"/>
          <w:szCs w:val="24"/>
          <w:shd w:val="clear" w:fill="FFFFFF"/>
        </w:rPr>
        <w:t>七、对本次招标提出询问，请按以下方式联系。</w:t>
      </w:r>
    </w:p>
    <w:p w14:paraId="60647EB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1.采购人信息</w:t>
      </w:r>
    </w:p>
    <w:p w14:paraId="3B504FC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名称：黄龙县人民医院（黄龙县120急救服务中心）</w:t>
      </w:r>
    </w:p>
    <w:p w14:paraId="2B376C0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地址：黄龙县中心街39号</w:t>
      </w:r>
    </w:p>
    <w:p w14:paraId="5966B34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联系方式：15319556413</w:t>
      </w:r>
    </w:p>
    <w:p w14:paraId="74E4F6E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2.采购代理机构信息</w:t>
      </w:r>
    </w:p>
    <w:p w14:paraId="3AE39C3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名称：陕西华鼎项目管理有限公司</w:t>
      </w:r>
    </w:p>
    <w:p w14:paraId="131021F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地址：陕西省延安市宝塔区枣园风情街D座华鼎财经</w:t>
      </w:r>
    </w:p>
    <w:p w14:paraId="13174E7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联系方式：15667672737</w:t>
      </w:r>
    </w:p>
    <w:p w14:paraId="199809A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3.项目联系方式</w:t>
      </w:r>
    </w:p>
    <w:p w14:paraId="7BAC754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项目联系人：任荣荣</w:t>
      </w:r>
    </w:p>
    <w:p w14:paraId="10F7A15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电话：15667672737</w:t>
      </w:r>
    </w:p>
    <w:p w14:paraId="1527B11E">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0"/>
        <w:rPr>
          <w:rFonts w:hint="eastAsia" w:ascii="宋体" w:hAnsi="宋体" w:eastAsia="宋体" w:cs="宋体"/>
          <w:b/>
          <w:bCs/>
          <w:color w:val="auto"/>
          <w:sz w:val="28"/>
          <w:szCs w:val="32"/>
          <w:highlight w:val="none"/>
        </w:rPr>
        <w:sectPr>
          <w:headerReference r:id="rId10" w:type="default"/>
          <w:footerReference r:id="rId11" w:type="default"/>
          <w:pgSz w:w="11900" w:h="16838"/>
          <w:pgMar w:top="1440" w:right="1349" w:bottom="1440" w:left="1349" w:header="0" w:footer="0" w:gutter="0"/>
          <w:pgBorders>
            <w:top w:val="none" w:sz="0" w:space="0"/>
            <w:left w:val="none" w:sz="0" w:space="0"/>
            <w:bottom w:val="none" w:sz="0" w:space="0"/>
            <w:right w:val="none" w:sz="0" w:space="0"/>
          </w:pgBorders>
          <w:pgNumType w:fmt="decimal"/>
          <w:cols w:equalWidth="0" w:num="1">
            <w:col w:w="9420"/>
          </w:cols>
        </w:sectPr>
      </w:pPr>
    </w:p>
    <w:p w14:paraId="58038DC8">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0"/>
        <w:rPr>
          <w:rFonts w:hint="eastAsia" w:ascii="宋体" w:hAnsi="宋体" w:eastAsia="宋体" w:cs="宋体"/>
          <w:b/>
          <w:bCs/>
          <w:color w:val="auto"/>
          <w:sz w:val="28"/>
          <w:szCs w:val="32"/>
          <w:highlight w:val="none"/>
        </w:rPr>
      </w:pPr>
      <w:r>
        <w:rPr>
          <w:rFonts w:hint="eastAsia" w:ascii="宋体" w:hAnsi="宋体" w:eastAsia="宋体" w:cs="宋体"/>
          <w:b/>
          <w:bCs/>
          <w:color w:val="auto"/>
          <w:sz w:val="28"/>
          <w:szCs w:val="32"/>
          <w:highlight w:val="none"/>
        </w:rPr>
        <w:t>第二部分  供应商须知</w:t>
      </w:r>
      <w:bookmarkEnd w:id="2"/>
    </w:p>
    <w:p w14:paraId="4D664B22">
      <w:pPr>
        <w:pageBreakBefore w:val="0"/>
        <w:bidi w:val="0"/>
        <w:spacing w:line="460" w:lineRule="exact"/>
        <w:jc w:val="left"/>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供应商须知前附表</w:t>
      </w:r>
    </w:p>
    <w:tbl>
      <w:tblPr>
        <w:tblStyle w:val="24"/>
        <w:tblW w:w="9910"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755"/>
        <w:gridCol w:w="7575"/>
      </w:tblGrid>
      <w:tr w14:paraId="5F13F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80" w:type="dxa"/>
            <w:vAlign w:val="center"/>
          </w:tcPr>
          <w:p w14:paraId="0FE7C9F8">
            <w:pPr>
              <w:pageBreakBefore w:val="0"/>
              <w:bidi w:val="0"/>
              <w:spacing w:line="460" w:lineRule="exact"/>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755" w:type="dxa"/>
            <w:vAlign w:val="center"/>
          </w:tcPr>
          <w:p w14:paraId="3AC8620B">
            <w:pPr>
              <w:pageBreakBefore w:val="0"/>
              <w:bidi w:val="0"/>
              <w:spacing w:line="460" w:lineRule="exact"/>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7575" w:type="dxa"/>
          </w:tcPr>
          <w:p w14:paraId="56DA9AE6">
            <w:pPr>
              <w:pageBreakBefore w:val="0"/>
              <w:bidi w:val="0"/>
              <w:spacing w:line="460" w:lineRule="exact"/>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说明和要求</w:t>
            </w:r>
          </w:p>
        </w:tc>
      </w:tr>
      <w:tr w14:paraId="11550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580" w:type="dxa"/>
            <w:vAlign w:val="center"/>
          </w:tcPr>
          <w:p w14:paraId="7387B911">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55" w:type="dxa"/>
            <w:vAlign w:val="center"/>
          </w:tcPr>
          <w:p w14:paraId="6F17BB3B">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7575" w:type="dxa"/>
          </w:tcPr>
          <w:p w14:paraId="78B790A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jc w:val="both"/>
              <w:textAlignment w:val="auto"/>
              <w:rPr>
                <w:rFonts w:hint="eastAsia"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cs="宋体"/>
                <w:color w:val="auto"/>
                <w:sz w:val="24"/>
                <w:szCs w:val="24"/>
                <w:highlight w:val="none"/>
                <w:lang w:eastAsia="zh-CN"/>
              </w:rPr>
              <w:t>黄龙县人民医院</w:t>
            </w:r>
          </w:p>
          <w:p w14:paraId="4F1C3A6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地址：延安市黄龙县中心街39号</w:t>
            </w:r>
          </w:p>
          <w:p w14:paraId="1BFCD77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联系人：蒙创锋</w:t>
            </w:r>
          </w:p>
          <w:p w14:paraId="1151FEA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:15319556413</w:t>
            </w:r>
          </w:p>
        </w:tc>
      </w:tr>
      <w:tr w14:paraId="7B90A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580" w:type="dxa"/>
            <w:vAlign w:val="center"/>
          </w:tcPr>
          <w:p w14:paraId="3FB30512">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55" w:type="dxa"/>
            <w:vAlign w:val="center"/>
          </w:tcPr>
          <w:p w14:paraId="6BEF6020">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tc>
        <w:tc>
          <w:tcPr>
            <w:tcW w:w="7575" w:type="dxa"/>
          </w:tcPr>
          <w:p w14:paraId="248A102E">
            <w:pPr>
              <w:pageBreakBefore w:val="0"/>
              <w:bidi w:val="0"/>
              <w:spacing w:line="460" w:lineRule="exac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cs="宋体"/>
                <w:color w:val="auto"/>
                <w:sz w:val="24"/>
                <w:szCs w:val="24"/>
                <w:highlight w:val="none"/>
                <w:lang w:eastAsia="zh-CN"/>
              </w:rPr>
              <w:t>陕西华鼎项目管理有限公司</w:t>
            </w:r>
          </w:p>
          <w:p w14:paraId="4B9A4A30">
            <w:pPr>
              <w:pageBreakBefore w:val="0"/>
              <w:bidi w:val="0"/>
              <w:spacing w:line="460" w:lineRule="exac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地址：陕西省延安市宝塔区枣园风情街D座华鼎财经</w:t>
            </w:r>
          </w:p>
          <w:p w14:paraId="770D0D9A">
            <w:pPr>
              <w:pageBreakBefore w:val="0"/>
              <w:bidi w:val="0"/>
              <w:spacing w:line="460" w:lineRule="exac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任荣荣</w:t>
            </w:r>
          </w:p>
          <w:p w14:paraId="0C20C6A1">
            <w:pPr>
              <w:pageBreakBefore w:val="0"/>
              <w:bidi w:val="0"/>
              <w:spacing w:line="460" w:lineRule="exact"/>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cs="宋体"/>
                <w:color w:val="auto"/>
                <w:sz w:val="24"/>
                <w:szCs w:val="24"/>
                <w:highlight w:val="none"/>
                <w:lang w:val="en-US" w:eastAsia="zh-CN"/>
              </w:rPr>
              <w:t>15667672737</w:t>
            </w:r>
          </w:p>
        </w:tc>
      </w:tr>
      <w:tr w14:paraId="1115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80" w:type="dxa"/>
            <w:vAlign w:val="center"/>
          </w:tcPr>
          <w:p w14:paraId="33BE609B">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55" w:type="dxa"/>
            <w:vAlign w:val="center"/>
          </w:tcPr>
          <w:p w14:paraId="7DA6090A">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575" w:type="dxa"/>
          </w:tcPr>
          <w:p w14:paraId="42B43B9E">
            <w:pPr>
              <w:pageBreakBefore w:val="0"/>
              <w:bidi w:val="0"/>
              <w:spacing w:line="460" w:lineRule="exact"/>
              <w:outlineLvl w:val="9"/>
              <w:rPr>
                <w:rFonts w:hint="eastAsia" w:ascii="宋体" w:hAnsi="宋体" w:eastAsia="宋体" w:cs="宋体"/>
                <w:color w:val="auto"/>
                <w:spacing w:val="-6"/>
                <w:sz w:val="24"/>
                <w:szCs w:val="24"/>
                <w:highlight w:val="none"/>
                <w:lang w:eastAsia="zh-CN"/>
              </w:rPr>
            </w:pPr>
            <w:r>
              <w:rPr>
                <w:rFonts w:hint="eastAsia" w:ascii="宋体" w:hAnsi="宋体" w:cs="宋体"/>
                <w:color w:val="auto"/>
                <w:sz w:val="24"/>
                <w:szCs w:val="24"/>
                <w:highlight w:val="none"/>
                <w:lang w:eastAsia="zh-CN"/>
              </w:rPr>
              <w:t>黄龙县人民医院提升老年病服务能力建设项目医疗设施设备</w:t>
            </w:r>
          </w:p>
        </w:tc>
      </w:tr>
      <w:tr w14:paraId="3EEA8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80" w:type="dxa"/>
            <w:vAlign w:val="center"/>
          </w:tcPr>
          <w:p w14:paraId="6D50E51E">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755" w:type="dxa"/>
            <w:vAlign w:val="center"/>
          </w:tcPr>
          <w:p w14:paraId="12B5834F">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7575" w:type="dxa"/>
          </w:tcPr>
          <w:p w14:paraId="3D450856">
            <w:pPr>
              <w:pageBreakBefore w:val="0"/>
              <w:bidi w:val="0"/>
              <w:spacing w:line="460" w:lineRule="exac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HDXGDL-ZC2024-00</w:t>
            </w:r>
            <w:r>
              <w:rPr>
                <w:rFonts w:hint="eastAsia" w:ascii="宋体" w:hAnsi="宋体" w:cs="宋体"/>
                <w:color w:val="auto"/>
                <w:sz w:val="24"/>
                <w:szCs w:val="24"/>
                <w:highlight w:val="none"/>
                <w:lang w:val="en-US" w:eastAsia="zh-CN"/>
              </w:rPr>
              <w:t>9</w:t>
            </w:r>
          </w:p>
        </w:tc>
      </w:tr>
      <w:tr w14:paraId="1798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80" w:type="dxa"/>
            <w:vAlign w:val="center"/>
          </w:tcPr>
          <w:p w14:paraId="279C43E6">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755" w:type="dxa"/>
            <w:vAlign w:val="center"/>
          </w:tcPr>
          <w:p w14:paraId="65DB2FA0">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项目性质</w:t>
            </w:r>
          </w:p>
        </w:tc>
        <w:tc>
          <w:tcPr>
            <w:tcW w:w="7575" w:type="dxa"/>
          </w:tcPr>
          <w:p w14:paraId="39B854F3">
            <w:pPr>
              <w:pageBreakBefore w:val="0"/>
              <w:bidi w:val="0"/>
              <w:spacing w:line="460" w:lineRule="exac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财政资金</w:t>
            </w:r>
          </w:p>
        </w:tc>
      </w:tr>
      <w:tr w14:paraId="1EF6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580" w:type="dxa"/>
            <w:vAlign w:val="center"/>
          </w:tcPr>
          <w:p w14:paraId="6DC45CDC">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755" w:type="dxa"/>
            <w:vAlign w:val="center"/>
          </w:tcPr>
          <w:p w14:paraId="7958240B">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采购项目预算</w:t>
            </w:r>
          </w:p>
        </w:tc>
        <w:tc>
          <w:tcPr>
            <w:tcW w:w="7575" w:type="dxa"/>
            <w:vAlign w:val="center"/>
          </w:tcPr>
          <w:p w14:paraId="09AAB930">
            <w:pPr>
              <w:pageBreakBefore w:val="0"/>
              <w:bidi w:val="0"/>
              <w:spacing w:line="460" w:lineRule="exact"/>
              <w:jc w:val="both"/>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5916750.00</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其中一标包为</w:t>
            </w:r>
            <w:r>
              <w:rPr>
                <w:rFonts w:hint="eastAsia" w:ascii="宋体" w:hAnsi="宋体" w:cs="宋体"/>
                <w:color w:val="auto"/>
                <w:sz w:val="24"/>
                <w:szCs w:val="24"/>
                <w:highlight w:val="none"/>
                <w:lang w:val="en-US" w:eastAsia="zh-CN"/>
              </w:rPr>
              <w:t>2757050.00</w:t>
            </w:r>
            <w:r>
              <w:rPr>
                <w:rFonts w:hint="eastAsia" w:ascii="宋体" w:hAnsi="宋体" w:eastAsia="宋体" w:cs="宋体"/>
                <w:color w:val="auto"/>
                <w:sz w:val="24"/>
                <w:szCs w:val="24"/>
                <w:highlight w:val="none"/>
                <w:lang w:val="en-US" w:eastAsia="zh-CN"/>
              </w:rPr>
              <w:t>元，二标包为</w:t>
            </w:r>
            <w:r>
              <w:rPr>
                <w:rFonts w:hint="eastAsia" w:ascii="宋体" w:hAnsi="宋体" w:cs="宋体"/>
                <w:color w:val="auto"/>
                <w:sz w:val="24"/>
                <w:szCs w:val="24"/>
                <w:highlight w:val="none"/>
                <w:lang w:val="en-US" w:eastAsia="zh-CN"/>
              </w:rPr>
              <w:t>1962000.00</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val="en-US" w:eastAsia="zh-CN"/>
              </w:rPr>
              <w:t>标包为</w:t>
            </w:r>
            <w:r>
              <w:rPr>
                <w:rFonts w:hint="eastAsia" w:ascii="宋体" w:hAnsi="宋体" w:cs="宋体"/>
                <w:color w:val="auto"/>
                <w:sz w:val="24"/>
                <w:szCs w:val="24"/>
                <w:highlight w:val="none"/>
                <w:lang w:val="en-US" w:eastAsia="zh-CN"/>
              </w:rPr>
              <w:t>1197700.00</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w:t>
            </w:r>
          </w:p>
        </w:tc>
      </w:tr>
      <w:tr w14:paraId="19556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80" w:type="dxa"/>
            <w:vAlign w:val="center"/>
          </w:tcPr>
          <w:p w14:paraId="060B96B9">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755" w:type="dxa"/>
            <w:vAlign w:val="center"/>
          </w:tcPr>
          <w:p w14:paraId="76ABA41B">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项目用途</w:t>
            </w:r>
          </w:p>
        </w:tc>
        <w:tc>
          <w:tcPr>
            <w:tcW w:w="7575" w:type="dxa"/>
          </w:tcPr>
          <w:p w14:paraId="77753AEB">
            <w:pPr>
              <w:pageBreakBefore w:val="0"/>
              <w:bidi w:val="0"/>
              <w:spacing w:line="460" w:lineRule="exac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0C19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580" w:type="dxa"/>
            <w:vAlign w:val="center"/>
          </w:tcPr>
          <w:p w14:paraId="0E0FE783">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755" w:type="dxa"/>
            <w:vAlign w:val="center"/>
          </w:tcPr>
          <w:p w14:paraId="278C26FA">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7575" w:type="dxa"/>
            <w:vAlign w:val="center"/>
          </w:tcPr>
          <w:p w14:paraId="629C9C76">
            <w:pPr>
              <w:pageBreakBefore w:val="0"/>
              <w:bidi w:val="0"/>
              <w:spacing w:line="460" w:lineRule="exact"/>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一标包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综合类医疗设施设备</w:t>
            </w:r>
          </w:p>
          <w:p w14:paraId="52DF7761">
            <w:pPr>
              <w:pageBreakBefore w:val="0"/>
              <w:bidi w:val="0"/>
              <w:spacing w:line="460" w:lineRule="exact"/>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二标包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治疗类医疗设施设备</w:t>
            </w:r>
          </w:p>
          <w:p w14:paraId="3F33D797">
            <w:pPr>
              <w:pageBreakBefore w:val="0"/>
              <w:bidi w:val="0"/>
              <w:spacing w:line="460" w:lineRule="exact"/>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标包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监护类医疗设施设备</w:t>
            </w:r>
          </w:p>
          <w:p w14:paraId="42C26C06">
            <w:pPr>
              <w:pageBreakBefore w:val="0"/>
              <w:bidi w:val="0"/>
              <w:spacing w:line="460" w:lineRule="exact"/>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（具体详见采购清单）</w:t>
            </w:r>
          </w:p>
        </w:tc>
      </w:tr>
      <w:tr w14:paraId="175F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80" w:type="dxa"/>
            <w:vAlign w:val="center"/>
          </w:tcPr>
          <w:p w14:paraId="0D934E9E">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755" w:type="dxa"/>
            <w:vAlign w:val="center"/>
          </w:tcPr>
          <w:p w14:paraId="1239A4A7">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交货</w:t>
            </w:r>
            <w:r>
              <w:rPr>
                <w:rFonts w:hint="eastAsia" w:ascii="宋体" w:hAnsi="宋体" w:eastAsia="宋体" w:cs="宋体"/>
                <w:color w:val="auto"/>
                <w:sz w:val="24"/>
                <w:szCs w:val="24"/>
                <w:highlight w:val="none"/>
              </w:rPr>
              <w:t>期</w:t>
            </w:r>
          </w:p>
        </w:tc>
        <w:tc>
          <w:tcPr>
            <w:tcW w:w="7575" w:type="dxa"/>
            <w:vAlign w:val="center"/>
          </w:tcPr>
          <w:p w14:paraId="265E2D3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Cs/>
                <w:color w:val="auto"/>
                <w:kern w:val="2"/>
                <w:sz w:val="24"/>
                <w:szCs w:val="24"/>
                <w:highlight w:val="none"/>
                <w:lang w:val="en-US" w:eastAsia="zh-CN" w:bidi="ar-SA"/>
              </w:rPr>
              <w:t>自合同签订之日起30日历天</w:t>
            </w:r>
          </w:p>
        </w:tc>
      </w:tr>
      <w:tr w14:paraId="7339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80" w:type="dxa"/>
            <w:vAlign w:val="center"/>
          </w:tcPr>
          <w:p w14:paraId="748A745C">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755" w:type="dxa"/>
            <w:vAlign w:val="center"/>
          </w:tcPr>
          <w:p w14:paraId="5852235F">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招标文件发售</w:t>
            </w:r>
          </w:p>
        </w:tc>
        <w:tc>
          <w:tcPr>
            <w:tcW w:w="7575" w:type="dxa"/>
          </w:tcPr>
          <w:p w14:paraId="49F70479">
            <w:pPr>
              <w:pStyle w:val="44"/>
              <w:pageBreakBefore w:val="0"/>
              <w:bidi w:val="0"/>
              <w:spacing w:line="460" w:lineRule="exac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06</w:t>
            </w:r>
            <w:r>
              <w:rPr>
                <w:rFonts w:hint="eastAsia" w:ascii="宋体" w:hAnsi="宋体" w:eastAsia="宋体" w:cs="宋体"/>
                <w:color w:val="auto"/>
                <w:sz w:val="24"/>
                <w:szCs w:val="24"/>
                <w:highlight w:val="none"/>
                <w:lang w:eastAsia="zh-CN"/>
              </w:rPr>
              <w:t>日至202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日，每天上午08:00:00至12:00:00，下午12:00:00至18:00:00（北京时间）</w:t>
            </w:r>
          </w:p>
        </w:tc>
      </w:tr>
      <w:tr w14:paraId="25EE9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580" w:type="dxa"/>
            <w:vAlign w:val="center"/>
          </w:tcPr>
          <w:p w14:paraId="76D9435A">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755" w:type="dxa"/>
            <w:vAlign w:val="center"/>
          </w:tcPr>
          <w:p w14:paraId="368CB62A">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联合体投标</w:t>
            </w:r>
          </w:p>
        </w:tc>
        <w:tc>
          <w:tcPr>
            <w:tcW w:w="7575" w:type="dxa"/>
            <w:vAlign w:val="center"/>
          </w:tcPr>
          <w:p w14:paraId="68F2C71F">
            <w:pPr>
              <w:pageBreakBefore w:val="0"/>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w:t>
            </w:r>
          </w:p>
        </w:tc>
      </w:tr>
      <w:tr w14:paraId="64F83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580" w:type="dxa"/>
            <w:vAlign w:val="center"/>
          </w:tcPr>
          <w:p w14:paraId="0C847330">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755" w:type="dxa"/>
            <w:vAlign w:val="center"/>
          </w:tcPr>
          <w:p w14:paraId="71EB890A">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现场勘查、标前答疑会</w:t>
            </w:r>
          </w:p>
        </w:tc>
        <w:tc>
          <w:tcPr>
            <w:tcW w:w="7575" w:type="dxa"/>
            <w:vAlign w:val="center"/>
          </w:tcPr>
          <w:p w14:paraId="42B270DE">
            <w:pPr>
              <w:pageBreakBefore w:val="0"/>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w:t>
            </w:r>
          </w:p>
        </w:tc>
      </w:tr>
      <w:tr w14:paraId="489F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580" w:type="dxa"/>
            <w:vAlign w:val="center"/>
          </w:tcPr>
          <w:p w14:paraId="2B5024B2">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755" w:type="dxa"/>
            <w:vAlign w:val="center"/>
          </w:tcPr>
          <w:p w14:paraId="3D348506">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供应商对招标文件提出</w:t>
            </w:r>
            <w:r>
              <w:rPr>
                <w:rFonts w:hint="eastAsia" w:ascii="宋体" w:hAnsi="宋体" w:eastAsia="宋体" w:cs="宋体"/>
                <w:color w:val="auto"/>
                <w:sz w:val="24"/>
                <w:szCs w:val="24"/>
                <w:highlight w:val="none"/>
                <w:lang w:eastAsia="zh-CN"/>
              </w:rPr>
              <w:t>问题</w:t>
            </w:r>
            <w:r>
              <w:rPr>
                <w:rFonts w:hint="eastAsia" w:ascii="宋体" w:hAnsi="宋体" w:eastAsia="宋体" w:cs="宋体"/>
                <w:color w:val="auto"/>
                <w:sz w:val="24"/>
                <w:szCs w:val="24"/>
                <w:highlight w:val="none"/>
              </w:rPr>
              <w:t>的时间</w:t>
            </w:r>
          </w:p>
        </w:tc>
        <w:tc>
          <w:tcPr>
            <w:tcW w:w="7575" w:type="dxa"/>
            <w:vAlign w:val="center"/>
          </w:tcPr>
          <w:p w14:paraId="02FA12DC">
            <w:pPr>
              <w:pageBreakBefore w:val="0"/>
              <w:bidi w:val="0"/>
              <w:spacing w:line="460" w:lineRule="exact"/>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供应商若对招标文件有</w:t>
            </w:r>
            <w:r>
              <w:rPr>
                <w:rFonts w:hint="eastAsia" w:ascii="宋体" w:hAnsi="宋体" w:eastAsia="宋体" w:cs="宋体"/>
                <w:color w:val="auto"/>
                <w:sz w:val="24"/>
                <w:szCs w:val="24"/>
                <w:highlight w:val="none"/>
                <w:lang w:eastAsia="zh-CN"/>
              </w:rPr>
              <w:t>疑问</w:t>
            </w:r>
            <w:r>
              <w:rPr>
                <w:rFonts w:hint="eastAsia" w:ascii="宋体" w:hAnsi="宋体" w:eastAsia="宋体" w:cs="宋体"/>
                <w:color w:val="auto"/>
                <w:sz w:val="24"/>
                <w:szCs w:val="24"/>
                <w:highlight w:val="none"/>
              </w:rPr>
              <w:t>的，在投标截止时间10日前，以书面形式向采购代理机构提出，在此之后提出的</w:t>
            </w:r>
            <w:r>
              <w:rPr>
                <w:rFonts w:hint="eastAsia" w:ascii="宋体" w:hAnsi="宋体" w:eastAsia="宋体" w:cs="宋体"/>
                <w:color w:val="auto"/>
                <w:sz w:val="24"/>
                <w:szCs w:val="24"/>
                <w:highlight w:val="none"/>
                <w:lang w:eastAsia="zh-CN"/>
              </w:rPr>
              <w:t>疑问</w:t>
            </w:r>
            <w:r>
              <w:rPr>
                <w:rFonts w:hint="eastAsia" w:ascii="宋体" w:hAnsi="宋体" w:eastAsia="宋体" w:cs="宋体"/>
                <w:color w:val="auto"/>
                <w:sz w:val="24"/>
                <w:szCs w:val="24"/>
                <w:highlight w:val="none"/>
              </w:rPr>
              <w:t>无效。</w:t>
            </w:r>
          </w:p>
        </w:tc>
      </w:tr>
      <w:tr w14:paraId="020B4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580" w:type="dxa"/>
            <w:vAlign w:val="center"/>
          </w:tcPr>
          <w:p w14:paraId="6096DFFB">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755" w:type="dxa"/>
            <w:vAlign w:val="center"/>
          </w:tcPr>
          <w:p w14:paraId="08F86282">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构成招标文件的其他文件</w:t>
            </w:r>
          </w:p>
        </w:tc>
        <w:tc>
          <w:tcPr>
            <w:tcW w:w="7575" w:type="dxa"/>
            <w:vAlign w:val="center"/>
          </w:tcPr>
          <w:p w14:paraId="532094DB">
            <w:pPr>
              <w:pageBreakBefore w:val="0"/>
              <w:bidi w:val="0"/>
              <w:spacing w:line="460" w:lineRule="exact"/>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招标文件的澄清、修改书及有关补充通知为招标文件的有效组成部分。</w:t>
            </w:r>
          </w:p>
        </w:tc>
      </w:tr>
      <w:tr w14:paraId="629B6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580" w:type="dxa"/>
            <w:vAlign w:val="center"/>
          </w:tcPr>
          <w:p w14:paraId="0B56EF7D">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755" w:type="dxa"/>
            <w:vAlign w:val="center"/>
          </w:tcPr>
          <w:p w14:paraId="24F9E231">
            <w:pPr>
              <w:pStyle w:val="44"/>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投标文件截止时间及开标时间和地点</w:t>
            </w:r>
          </w:p>
        </w:tc>
        <w:tc>
          <w:tcPr>
            <w:tcW w:w="7575" w:type="dxa"/>
          </w:tcPr>
          <w:p w14:paraId="3403B160">
            <w:pPr>
              <w:pageBreakBefore w:val="0"/>
              <w:numPr>
                <w:ilvl w:val="0"/>
                <w:numId w:val="1"/>
              </w:numPr>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递交</w:t>
            </w:r>
            <w:r>
              <w:rPr>
                <w:rFonts w:hint="eastAsia" w:ascii="宋体" w:hAnsi="宋体" w:eastAsia="宋体" w:cs="宋体"/>
                <w:color w:val="auto"/>
                <w:sz w:val="24"/>
                <w:szCs w:val="24"/>
                <w:highlight w:val="none"/>
              </w:rPr>
              <w:t>投标文件截止时间：</w:t>
            </w:r>
            <w:bookmarkStart w:id="3" w:name="OLE_LINK5"/>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lang w:eastAsia="zh-CN"/>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秒</w:t>
            </w:r>
            <w:bookmarkEnd w:id="3"/>
            <w:r>
              <w:rPr>
                <w:rFonts w:hint="eastAsia" w:ascii="宋体" w:hAnsi="宋体" w:eastAsia="宋体" w:cs="宋体"/>
                <w:color w:val="auto"/>
                <w:sz w:val="24"/>
                <w:szCs w:val="24"/>
                <w:highlight w:val="none"/>
              </w:rPr>
              <w:t>（北京时间）</w:t>
            </w:r>
          </w:p>
          <w:p w14:paraId="0870B8C7">
            <w:pPr>
              <w:pageBreakBefore w:val="0"/>
              <w:numPr>
                <w:ilvl w:val="0"/>
                <w:numId w:val="0"/>
              </w:numPr>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2、投标文件开启时间</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lang w:eastAsia="zh-CN"/>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秒（北京时间）</w:t>
            </w:r>
          </w:p>
          <w:p w14:paraId="0B82281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50" w:lineRule="exact"/>
              <w:ind w:right="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w:t>
            </w:r>
            <w:r>
              <w:rPr>
                <w:rFonts w:hint="eastAsia" w:ascii="宋体" w:hAnsi="宋体" w:eastAsia="宋体" w:cs="宋体"/>
                <w:color w:val="auto"/>
                <w:sz w:val="24"/>
                <w:szCs w:val="24"/>
                <w:highlight w:val="none"/>
                <w:lang w:val="en-US" w:eastAsia="zh-CN"/>
              </w:rPr>
              <w:t>文件递交</w:t>
            </w:r>
            <w:r>
              <w:rPr>
                <w:rFonts w:hint="eastAsia" w:ascii="宋体" w:hAnsi="宋体" w:eastAsia="宋体" w:cs="宋体"/>
                <w:color w:val="auto"/>
                <w:sz w:val="24"/>
                <w:szCs w:val="24"/>
                <w:highlight w:val="none"/>
              </w:rPr>
              <w:t>地点：</w:t>
            </w:r>
            <w:r>
              <w:rPr>
                <w:rFonts w:hint="eastAsia" w:ascii="宋体" w:hAnsi="宋体" w:eastAsia="宋体" w:cs="宋体"/>
                <w:i w:val="0"/>
                <w:iCs w:val="0"/>
                <w:caps w:val="0"/>
                <w:color w:val="auto"/>
                <w:spacing w:val="0"/>
                <w:kern w:val="0"/>
                <w:sz w:val="24"/>
                <w:szCs w:val="24"/>
                <w:highlight w:val="none"/>
                <w:shd w:val="clear" w:fill="FFFFFF"/>
                <w:lang w:val="en-US" w:eastAsia="zh-CN" w:bidi="ar"/>
              </w:rPr>
              <w:t>纸质版递交至延安市公共资源交易中心交易</w:t>
            </w:r>
            <w:r>
              <w:rPr>
                <w:rFonts w:hint="eastAsia" w:cs="宋体"/>
                <w:i w:val="0"/>
                <w:iCs w:val="0"/>
                <w:caps w:val="0"/>
                <w:color w:val="auto"/>
                <w:spacing w:val="0"/>
                <w:kern w:val="0"/>
                <w:sz w:val="24"/>
                <w:szCs w:val="24"/>
                <w:highlight w:val="none"/>
                <w:shd w:val="clear" w:fill="FFFFFF"/>
                <w:lang w:val="en-US" w:eastAsia="zh-CN" w:bidi="ar"/>
              </w:rPr>
              <w:t xml:space="preserve"> 二</w:t>
            </w:r>
            <w:r>
              <w:rPr>
                <w:rFonts w:hint="eastAsia" w:ascii="宋体" w:hAnsi="宋体" w:eastAsia="宋体" w:cs="宋体"/>
                <w:i w:val="0"/>
                <w:iCs w:val="0"/>
                <w:caps w:val="0"/>
                <w:color w:val="auto"/>
                <w:spacing w:val="0"/>
                <w:kern w:val="0"/>
                <w:sz w:val="24"/>
                <w:szCs w:val="24"/>
                <w:highlight w:val="none"/>
                <w:shd w:val="clear" w:fill="FFFFFF"/>
                <w:lang w:val="en-US" w:eastAsia="zh-CN" w:bidi="ar"/>
              </w:rPr>
              <w:t>厅，电子版上传至《全国公共资源交易平台（陕西省·延安市）》电子招投标系统</w:t>
            </w:r>
            <w:r>
              <w:rPr>
                <w:rFonts w:hint="eastAsia" w:ascii="宋体" w:hAnsi="宋体" w:eastAsia="宋体" w:cs="宋体"/>
                <w:color w:val="auto"/>
                <w:sz w:val="24"/>
                <w:szCs w:val="24"/>
                <w:highlight w:val="none"/>
              </w:rPr>
              <w:t xml:space="preserve"> 。</w:t>
            </w:r>
          </w:p>
        </w:tc>
      </w:tr>
      <w:tr w14:paraId="41F9E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80" w:type="dxa"/>
            <w:vAlign w:val="center"/>
          </w:tcPr>
          <w:p w14:paraId="098FC20F">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755" w:type="dxa"/>
            <w:vAlign w:val="center"/>
          </w:tcPr>
          <w:p w14:paraId="2F1DD605">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7575" w:type="dxa"/>
          </w:tcPr>
          <w:p w14:paraId="2E87DDA3">
            <w:pPr>
              <w:pageBreakBefore w:val="0"/>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自</w:t>
            </w:r>
            <w:r>
              <w:rPr>
                <w:rFonts w:hint="eastAsia" w:ascii="宋体" w:hAnsi="宋体" w:eastAsia="宋体" w:cs="宋体"/>
                <w:color w:val="auto"/>
                <w:spacing w:val="-4"/>
                <w:sz w:val="24"/>
                <w:szCs w:val="24"/>
                <w:highlight w:val="none"/>
                <w:lang w:eastAsia="zh-CN"/>
              </w:rPr>
              <w:t>递交投标文件截止</w:t>
            </w:r>
            <w:r>
              <w:rPr>
                <w:rFonts w:hint="eastAsia" w:ascii="宋体" w:hAnsi="宋体" w:eastAsia="宋体" w:cs="宋体"/>
                <w:color w:val="auto"/>
                <w:spacing w:val="-4"/>
                <w:sz w:val="24"/>
                <w:szCs w:val="24"/>
                <w:highlight w:val="none"/>
              </w:rPr>
              <w:t>之日起90个日历天。</w:t>
            </w:r>
          </w:p>
        </w:tc>
      </w:tr>
      <w:tr w14:paraId="761B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80" w:type="dxa"/>
            <w:vAlign w:val="center"/>
          </w:tcPr>
          <w:p w14:paraId="7FFBFD06">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1755" w:type="dxa"/>
            <w:vAlign w:val="center"/>
          </w:tcPr>
          <w:p w14:paraId="0115FCDF">
            <w:pPr>
              <w:pageBreakBefore w:val="0"/>
              <w:bidi w:val="0"/>
              <w:spacing w:line="4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7575" w:type="dxa"/>
            <w:vAlign w:val="center"/>
          </w:tcPr>
          <w:p w14:paraId="1A139DBF">
            <w:pPr>
              <w:pageBreakBefore w:val="0"/>
              <w:bidi w:val="0"/>
              <w:spacing w:line="460" w:lineRule="exac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投标保证金应当以支票、汇票、本票或者金融机构、担保机构出具的保函等非现金形式提交。投标人未按照招标文件要求提交投标保证金的，投标无效。</w:t>
            </w:r>
          </w:p>
          <w:p w14:paraId="55A8CB59">
            <w:pPr>
              <w:pageBreakBefore w:val="0"/>
              <w:bidi w:val="0"/>
              <w:spacing w:line="460" w:lineRule="exac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采用银行转账形式交纳投标保证金的，供应商必须从供应商的银行账户（户名与供应商名一致）将投标保证金交纳至招标文件指定账户，并且在转账时注明项目编号或项目名称。</w:t>
            </w:r>
          </w:p>
          <w:p w14:paraId="2779C44C">
            <w:pPr>
              <w:pageBreakBefore w:val="0"/>
              <w:bidi w:val="0"/>
              <w:spacing w:line="460" w:lineRule="exac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投标保证金必须在投标截止时间前交纳。</w:t>
            </w:r>
          </w:p>
          <w:p w14:paraId="0B4E4433">
            <w:pPr>
              <w:pageBreakBefore w:val="0"/>
              <w:bidi w:val="0"/>
              <w:spacing w:line="460" w:lineRule="exac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（1）采用银行转账形式交纳的，以招标文件指定账户到账显示时间为准。</w:t>
            </w:r>
          </w:p>
          <w:p w14:paraId="37BBD6CD">
            <w:pPr>
              <w:pageBreakBefore w:val="0"/>
              <w:bidi w:val="0"/>
              <w:spacing w:line="460" w:lineRule="exac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（2）采用支票、汇票、本票、保函方式的，在投标文件中放入本票、汇票、支票、保函复印件，在投标截止时间之前将原件随纸质版投标文件一起递交。</w:t>
            </w:r>
          </w:p>
          <w:p w14:paraId="08DFCB5C">
            <w:pPr>
              <w:pageBreakBefore w:val="0"/>
              <w:bidi w:val="0"/>
              <w:spacing w:line="460" w:lineRule="exac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供应商应充分考虑并自行承担任何可能导致到账被延误的风险。</w:t>
            </w:r>
          </w:p>
          <w:p w14:paraId="051BABA3">
            <w:pPr>
              <w:pageBreakBefore w:val="0"/>
              <w:bidi w:val="0"/>
              <w:spacing w:line="460" w:lineRule="exac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投标保证金有效期与投标有效期一致。</w:t>
            </w:r>
          </w:p>
          <w:p w14:paraId="2402F267">
            <w:pPr>
              <w:pageBreakBefore w:val="0"/>
              <w:bidi w:val="0"/>
              <w:spacing w:line="460" w:lineRule="exac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凡未交纳、未足额交纳或未按规定时间和形式交纳保证金的，将被视为自动放弃投标权利，响应无效。</w:t>
            </w:r>
          </w:p>
          <w:p w14:paraId="27930DAA">
            <w:pPr>
              <w:pageBreakBefore w:val="0"/>
              <w:bidi w:val="0"/>
              <w:spacing w:line="460" w:lineRule="exac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投标保证金的金额为：</w:t>
            </w:r>
            <w:r>
              <w:rPr>
                <w:rFonts w:hint="eastAsia" w:ascii="宋体" w:hAnsi="宋体" w:eastAsia="宋体" w:cs="宋体"/>
                <w:color w:val="auto"/>
                <w:sz w:val="24"/>
                <w:szCs w:val="24"/>
                <w:highlight w:val="none"/>
                <w:lang w:val="en-US" w:eastAsia="zh-CN"/>
              </w:rPr>
              <w:t>一标包：</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000.00元； 二标包：</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000.00元</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val="en-US" w:eastAsia="zh-CN"/>
              </w:rPr>
              <w:t>标包：</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 xml:space="preserve">000.00元 </w:t>
            </w:r>
          </w:p>
          <w:p w14:paraId="593A162A">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保证金提交账户名称：陕西华鼎项目管理有限公司</w:t>
            </w:r>
          </w:p>
          <w:p w14:paraId="5F24B1D2">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开户银行：中国工商银行兰家坪支行</w:t>
            </w:r>
          </w:p>
          <w:p w14:paraId="0842F765">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账    号：2609011719200099594 </w:t>
            </w:r>
          </w:p>
          <w:p w14:paraId="743F27CF">
            <w:pPr>
              <w:pageBreakBefore w:val="0"/>
              <w:bidi w:val="0"/>
              <w:spacing w:line="460" w:lineRule="exact"/>
              <w:outlineLvl w:val="9"/>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rPr>
              <w:t>重要提示：缴纳凭证注明：（项目名称</w:t>
            </w:r>
            <w:r>
              <w:rPr>
                <w:rFonts w:hint="eastAsia" w:ascii="宋体" w:hAnsi="宋体" w:eastAsia="宋体" w:cs="宋体"/>
                <w:color w:val="auto"/>
                <w:sz w:val="24"/>
                <w:szCs w:val="24"/>
                <w:highlight w:val="none"/>
                <w:lang w:val="en-US" w:eastAsia="zh-CN"/>
              </w:rPr>
              <w:t>及标包</w:t>
            </w:r>
            <w:r>
              <w:rPr>
                <w:rFonts w:hint="eastAsia" w:ascii="宋体" w:hAnsi="宋体" w:eastAsia="宋体" w:cs="宋体"/>
                <w:color w:val="auto"/>
                <w:sz w:val="24"/>
                <w:szCs w:val="24"/>
                <w:highlight w:val="none"/>
              </w:rPr>
              <w:t>） 的</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保证金。</w:t>
            </w:r>
          </w:p>
        </w:tc>
      </w:tr>
      <w:tr w14:paraId="61273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580" w:type="dxa"/>
            <w:vAlign w:val="center"/>
          </w:tcPr>
          <w:p w14:paraId="68F9DD5B">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1755" w:type="dxa"/>
            <w:vAlign w:val="center"/>
          </w:tcPr>
          <w:p w14:paraId="446B6225">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备选投标方案</w:t>
            </w:r>
          </w:p>
          <w:p w14:paraId="3BA6DC26">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和报价</w:t>
            </w:r>
          </w:p>
        </w:tc>
        <w:tc>
          <w:tcPr>
            <w:tcW w:w="7575" w:type="dxa"/>
            <w:vAlign w:val="center"/>
          </w:tcPr>
          <w:p w14:paraId="371593DC">
            <w:pPr>
              <w:pageBreakBefore w:val="0"/>
              <w:tabs>
                <w:tab w:val="left" w:pos="7013"/>
              </w:tabs>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不接受备选投标方案和多个报价。</w:t>
            </w:r>
          </w:p>
        </w:tc>
      </w:tr>
      <w:tr w14:paraId="5EC2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80" w:type="dxa"/>
            <w:vAlign w:val="center"/>
          </w:tcPr>
          <w:p w14:paraId="6967FFDE">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1755" w:type="dxa"/>
            <w:vAlign w:val="center"/>
          </w:tcPr>
          <w:p w14:paraId="559D166D">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盖章签字</w:t>
            </w:r>
          </w:p>
        </w:tc>
        <w:tc>
          <w:tcPr>
            <w:tcW w:w="7575" w:type="dxa"/>
            <w:vAlign w:val="center"/>
          </w:tcPr>
          <w:p w14:paraId="04E842A9">
            <w:pPr>
              <w:pageBreakBefore w:val="0"/>
              <w:tabs>
                <w:tab w:val="left" w:pos="7013"/>
              </w:tabs>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招标文件要求指定位置“签字或盖章”的，投标人只要一项内容即可。</w:t>
            </w:r>
          </w:p>
          <w:p w14:paraId="438811B4">
            <w:pPr>
              <w:pageBreakBefore w:val="0"/>
              <w:tabs>
                <w:tab w:val="left" w:pos="7013"/>
              </w:tabs>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招标文件要求指定位置“签字和盖章”的，投标人必须既签字又盖章。</w:t>
            </w:r>
          </w:p>
        </w:tc>
      </w:tr>
      <w:tr w14:paraId="020AD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0" w:type="dxa"/>
            <w:vAlign w:val="center"/>
          </w:tcPr>
          <w:p w14:paraId="15246EA1">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755" w:type="dxa"/>
            <w:vAlign w:val="center"/>
          </w:tcPr>
          <w:p w14:paraId="4DC46EBA">
            <w:pPr>
              <w:pageBreakBefore w:val="0"/>
              <w:bidi w:val="0"/>
              <w:spacing w:line="460" w:lineRule="exact"/>
              <w:jc w:val="center"/>
              <w:outlineLvl w:val="9"/>
              <w:rPr>
                <w:rFonts w:hint="eastAsia" w:ascii="宋体" w:hAnsi="宋体" w:eastAsia="宋体" w:cs="宋体"/>
                <w:color w:val="auto"/>
                <w:spacing w:val="-30"/>
                <w:sz w:val="24"/>
                <w:szCs w:val="24"/>
                <w:highlight w:val="none"/>
              </w:rPr>
            </w:pPr>
            <w:r>
              <w:rPr>
                <w:rFonts w:hint="eastAsia" w:ascii="宋体" w:hAnsi="宋体" w:eastAsia="宋体" w:cs="宋体"/>
                <w:color w:val="auto"/>
                <w:spacing w:val="-30"/>
                <w:sz w:val="24"/>
                <w:szCs w:val="24"/>
                <w:highlight w:val="none"/>
              </w:rPr>
              <w:t>投标文件数量、</w:t>
            </w:r>
          </w:p>
          <w:p w14:paraId="2187E9EC">
            <w:pPr>
              <w:pageBreakBefore w:val="0"/>
              <w:bidi w:val="0"/>
              <w:spacing w:line="460" w:lineRule="exact"/>
              <w:jc w:val="center"/>
              <w:outlineLvl w:val="9"/>
              <w:rPr>
                <w:rFonts w:hint="eastAsia" w:ascii="宋体" w:hAnsi="宋体" w:eastAsia="宋体" w:cs="宋体"/>
                <w:color w:val="auto"/>
                <w:spacing w:val="-30"/>
                <w:sz w:val="24"/>
                <w:szCs w:val="24"/>
                <w:highlight w:val="none"/>
              </w:rPr>
            </w:pPr>
            <w:r>
              <w:rPr>
                <w:rFonts w:hint="eastAsia" w:ascii="宋体" w:hAnsi="宋体" w:eastAsia="宋体" w:cs="宋体"/>
                <w:color w:val="auto"/>
                <w:spacing w:val="-30"/>
                <w:sz w:val="24"/>
                <w:szCs w:val="24"/>
                <w:highlight w:val="none"/>
              </w:rPr>
              <w:t>装订</w:t>
            </w:r>
          </w:p>
        </w:tc>
        <w:tc>
          <w:tcPr>
            <w:tcW w:w="7575" w:type="dxa"/>
            <w:vAlign w:val="center"/>
          </w:tcPr>
          <w:p w14:paraId="53C02F1D">
            <w:pPr>
              <w:pageBreakBefore w:val="0"/>
              <w:bidi w:val="0"/>
              <w:spacing w:line="460" w:lineRule="exact"/>
              <w:outlineLvl w:val="9"/>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投标文件一律采用胶装方式装订。投标文件正本一份，副本二份，</w:t>
            </w:r>
            <w:r>
              <w:rPr>
                <w:rFonts w:hint="eastAsia" w:ascii="宋体" w:hAnsi="宋体" w:eastAsia="宋体" w:cs="宋体"/>
                <w:color w:val="auto"/>
                <w:sz w:val="24"/>
                <w:szCs w:val="24"/>
                <w:highlight w:val="none"/>
                <w:lang w:eastAsia="zh-CN"/>
              </w:rPr>
              <w:t>建议双面打印，</w:t>
            </w:r>
            <w:r>
              <w:rPr>
                <w:rFonts w:hint="eastAsia" w:ascii="宋体" w:hAnsi="宋体" w:eastAsia="宋体" w:cs="宋体"/>
                <w:color w:val="auto"/>
                <w:sz w:val="24"/>
                <w:szCs w:val="24"/>
                <w:highlight w:val="none"/>
              </w:rPr>
              <w:t>电子文件（U盘）</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份，投标报价一览表一份。投标文件的正本和副本均须A4纸打印，并编制目录和页码。正、副本分别各自装订成册，单独密封，电子文件和投标报价一览表密封在同一标袋内。</w:t>
            </w:r>
          </w:p>
        </w:tc>
      </w:tr>
      <w:tr w14:paraId="7FD6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0" w:type="dxa"/>
            <w:vAlign w:val="center"/>
          </w:tcPr>
          <w:p w14:paraId="34D03DFC">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1755" w:type="dxa"/>
            <w:vAlign w:val="center"/>
          </w:tcPr>
          <w:p w14:paraId="4AD107B9">
            <w:pPr>
              <w:pageBreakBefore w:val="0"/>
              <w:bidi w:val="0"/>
              <w:spacing w:line="24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评标办法及</w:t>
            </w:r>
          </w:p>
          <w:p w14:paraId="0438C996">
            <w:pPr>
              <w:pageBreakBefore w:val="0"/>
              <w:bidi w:val="0"/>
              <w:spacing w:line="24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w:t>
            </w:r>
          </w:p>
        </w:tc>
        <w:tc>
          <w:tcPr>
            <w:tcW w:w="7575" w:type="dxa"/>
            <w:vAlign w:val="center"/>
          </w:tcPr>
          <w:p w14:paraId="7C51A28D">
            <w:pPr>
              <w:pStyle w:val="44"/>
              <w:pageBreakBefore w:val="0"/>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w:t>
            </w:r>
            <w:bookmarkStart w:id="4" w:name="OLE_LINK8"/>
            <w:r>
              <w:rPr>
                <w:rFonts w:hint="eastAsia" w:ascii="宋体" w:hAnsi="宋体" w:eastAsia="宋体" w:cs="宋体"/>
                <w:color w:val="auto"/>
                <w:sz w:val="24"/>
                <w:szCs w:val="24"/>
                <w:highlight w:val="none"/>
              </w:rPr>
              <w:t>合评估</w:t>
            </w:r>
            <w:bookmarkEnd w:id="4"/>
            <w:r>
              <w:rPr>
                <w:rFonts w:hint="eastAsia" w:ascii="宋体" w:hAnsi="宋体" w:eastAsia="宋体" w:cs="宋体"/>
                <w:color w:val="auto"/>
                <w:sz w:val="24"/>
                <w:szCs w:val="24"/>
                <w:highlight w:val="none"/>
              </w:rPr>
              <w:t>法</w:t>
            </w:r>
          </w:p>
        </w:tc>
      </w:tr>
      <w:tr w14:paraId="20F1D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0" w:type="dxa"/>
            <w:shd w:val="clear" w:color="auto" w:fill="auto"/>
            <w:vAlign w:val="center"/>
          </w:tcPr>
          <w:p w14:paraId="47561234">
            <w:pPr>
              <w:pageBreakBefore w:val="0"/>
              <w:bidi w:val="0"/>
              <w:spacing w:line="460" w:lineRule="exact"/>
              <w:jc w:val="center"/>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22</w:t>
            </w:r>
          </w:p>
        </w:tc>
        <w:tc>
          <w:tcPr>
            <w:tcW w:w="1755" w:type="dxa"/>
            <w:vAlign w:val="center"/>
          </w:tcPr>
          <w:p w14:paraId="0BDC9105">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评审委员会的</w:t>
            </w:r>
          </w:p>
          <w:p w14:paraId="0315A0BD">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组建</w:t>
            </w:r>
          </w:p>
        </w:tc>
        <w:tc>
          <w:tcPr>
            <w:tcW w:w="7575" w:type="dxa"/>
            <w:vAlign w:val="center"/>
          </w:tcPr>
          <w:p w14:paraId="1BF9D174">
            <w:pPr>
              <w:pageBreakBefore w:val="0"/>
              <w:bidi w:val="0"/>
              <w:spacing w:line="460" w:lineRule="exac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评审委员会构成：</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。采购人代表2人，专家5人。</w:t>
            </w:r>
          </w:p>
          <w:p w14:paraId="63B28874">
            <w:pPr>
              <w:pageBreakBefore w:val="0"/>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评审专家确定方式：开标前24小时内从陕西省政府采购综合管理平台</w:t>
            </w:r>
            <w:r>
              <w:rPr>
                <w:rFonts w:hint="eastAsia" w:ascii="宋体" w:hAnsi="宋体" w:eastAsia="宋体" w:cs="宋体"/>
                <w:color w:val="auto"/>
                <w:sz w:val="24"/>
                <w:szCs w:val="24"/>
                <w:highlight w:val="none"/>
                <w:lang w:val="en-US" w:eastAsia="zh-CN"/>
              </w:rPr>
              <w:t>专家库</w:t>
            </w:r>
            <w:r>
              <w:rPr>
                <w:rFonts w:hint="eastAsia" w:ascii="宋体" w:hAnsi="宋体" w:eastAsia="宋体" w:cs="宋体"/>
                <w:color w:val="auto"/>
                <w:sz w:val="24"/>
                <w:szCs w:val="24"/>
                <w:highlight w:val="none"/>
              </w:rPr>
              <w:t>中随机抽取。</w:t>
            </w:r>
          </w:p>
        </w:tc>
      </w:tr>
      <w:tr w14:paraId="2B81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80" w:type="dxa"/>
            <w:shd w:val="clear" w:color="auto" w:fill="auto"/>
            <w:vAlign w:val="center"/>
          </w:tcPr>
          <w:p w14:paraId="7E792D63">
            <w:pPr>
              <w:pageBreakBefore w:val="0"/>
              <w:bidi w:val="0"/>
              <w:spacing w:line="460" w:lineRule="exact"/>
              <w:jc w:val="center"/>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23</w:t>
            </w:r>
          </w:p>
        </w:tc>
        <w:tc>
          <w:tcPr>
            <w:tcW w:w="1755" w:type="dxa"/>
            <w:vAlign w:val="center"/>
          </w:tcPr>
          <w:p w14:paraId="77CFD463">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服务费</w:t>
            </w:r>
          </w:p>
        </w:tc>
        <w:tc>
          <w:tcPr>
            <w:tcW w:w="7575" w:type="dxa"/>
            <w:vAlign w:val="center"/>
          </w:tcPr>
          <w:p w14:paraId="4B4E045B">
            <w:pPr>
              <w:pageBreakBefore w:val="0"/>
              <w:bidi w:val="0"/>
              <w:spacing w:line="460" w:lineRule="exact"/>
              <w:outlineLvl w:val="9"/>
              <w:rPr>
                <w:rFonts w:hint="eastAsia" w:ascii="宋体" w:hAnsi="宋体" w:eastAsia="宋体" w:cs="宋体"/>
                <w:color w:val="auto"/>
                <w:sz w:val="24"/>
                <w:szCs w:val="24"/>
                <w:highlight w:val="none"/>
              </w:rPr>
            </w:pPr>
            <w:bookmarkStart w:id="5" w:name="OLE_LINK9"/>
            <w:r>
              <w:rPr>
                <w:rFonts w:hint="eastAsia" w:ascii="宋体" w:hAnsi="宋体" w:eastAsia="宋体" w:cs="宋体"/>
                <w:color w:val="auto"/>
                <w:sz w:val="24"/>
                <w:szCs w:val="24"/>
                <w:highlight w:val="none"/>
              </w:rPr>
              <w:t>招标代理服务费</w:t>
            </w:r>
            <w:r>
              <w:rPr>
                <w:rFonts w:hint="eastAsia" w:ascii="宋体" w:hAnsi="宋体" w:eastAsia="宋体" w:cs="宋体"/>
                <w:color w:val="auto"/>
                <w:sz w:val="24"/>
                <w:szCs w:val="24"/>
                <w:highlight w:val="none"/>
                <w:lang w:eastAsia="zh-CN"/>
              </w:rPr>
              <w:t>：</w:t>
            </w:r>
            <w:bookmarkStart w:id="6" w:name="OLE_LINK10"/>
            <w:r>
              <w:rPr>
                <w:rFonts w:hint="eastAsia" w:ascii="宋体" w:hAnsi="宋体" w:eastAsia="宋体" w:cs="宋体"/>
                <w:color w:val="auto"/>
                <w:sz w:val="24"/>
                <w:szCs w:val="24"/>
                <w:highlight w:val="none"/>
                <w:lang w:val="en-US" w:eastAsia="zh-CN"/>
              </w:rPr>
              <w:t>按照《招标代理服务收费管理暂行办法》（计价格『2002』1980号）及《国家发展改革委关于降低部分建设项目收费标准规范收费行为等有关问题的通知》（发改价格[2011]534号）文件规定收取，由中标人支付。中标人在领取中标通知书时须向采购代理机构一次性支付招标代理服务费。</w:t>
            </w:r>
            <w:bookmarkEnd w:id="5"/>
            <w:bookmarkEnd w:id="6"/>
          </w:p>
        </w:tc>
      </w:tr>
      <w:tr w14:paraId="27B4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80" w:type="dxa"/>
            <w:shd w:val="clear" w:color="auto" w:fill="auto"/>
            <w:vAlign w:val="center"/>
          </w:tcPr>
          <w:p w14:paraId="03B7F520">
            <w:pPr>
              <w:pageBreakBefore w:val="0"/>
              <w:bidi w:val="0"/>
              <w:spacing w:line="460" w:lineRule="exact"/>
              <w:jc w:val="center"/>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24</w:t>
            </w:r>
          </w:p>
        </w:tc>
        <w:tc>
          <w:tcPr>
            <w:tcW w:w="1755" w:type="dxa"/>
            <w:vAlign w:val="center"/>
          </w:tcPr>
          <w:p w14:paraId="46780B51">
            <w:pPr>
              <w:pageBreakBefore w:val="0"/>
              <w:bidi w:val="0"/>
              <w:spacing w:line="460" w:lineRule="exact"/>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采购标的</w:t>
            </w:r>
          </w:p>
          <w:p w14:paraId="475AFE69">
            <w:pPr>
              <w:pageBreakBefore w:val="0"/>
              <w:bidi w:val="0"/>
              <w:spacing w:line="460" w:lineRule="exact"/>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所属行业</w:t>
            </w:r>
          </w:p>
        </w:tc>
        <w:tc>
          <w:tcPr>
            <w:tcW w:w="7575" w:type="dxa"/>
            <w:vAlign w:val="center"/>
          </w:tcPr>
          <w:p w14:paraId="2FF964AB">
            <w:pPr>
              <w:pageBreakBefore w:val="0"/>
              <w:bidi w:val="0"/>
              <w:spacing w:line="460" w:lineRule="exac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本项目采购标的对应的中小企业划分标准所属行业为</w:t>
            </w:r>
            <w:r>
              <w:rPr>
                <w:rFonts w:hint="eastAsia" w:ascii="宋体" w:hAnsi="宋体" w:eastAsia="宋体" w:cs="宋体"/>
                <w:color w:val="auto"/>
                <w:sz w:val="24"/>
                <w:szCs w:val="24"/>
                <w:highlight w:val="none"/>
                <w:u w:val="single"/>
                <w:lang w:val="en-US" w:eastAsia="zh-CN"/>
              </w:rPr>
              <w:t>工业</w:t>
            </w:r>
            <w:r>
              <w:rPr>
                <w:rFonts w:hint="eastAsia" w:ascii="宋体" w:hAnsi="宋体" w:eastAsia="宋体" w:cs="宋体"/>
                <w:color w:val="auto"/>
                <w:sz w:val="24"/>
                <w:szCs w:val="24"/>
                <w:highlight w:val="none"/>
                <w:lang w:val="en-US" w:eastAsia="zh-CN"/>
              </w:rPr>
              <w:t xml:space="preserve"> 。</w:t>
            </w:r>
          </w:p>
        </w:tc>
      </w:tr>
      <w:tr w14:paraId="660A0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580" w:type="dxa"/>
            <w:vAlign w:val="center"/>
          </w:tcPr>
          <w:p w14:paraId="59892DAD">
            <w:pPr>
              <w:pageBreakBefore w:val="0"/>
              <w:bidi w:val="0"/>
              <w:spacing w:line="460" w:lineRule="exact"/>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1755" w:type="dxa"/>
            <w:vAlign w:val="center"/>
          </w:tcPr>
          <w:p w14:paraId="36C73CE5">
            <w:pPr>
              <w:pageBreakBefore w:val="0"/>
              <w:bidi w:val="0"/>
              <w:spacing w:after="120" w:line="400" w:lineRule="exact"/>
              <w:jc w:val="center"/>
              <w:outlineLvl w:val="9"/>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sz w:val="24"/>
                <w:highlight w:val="none"/>
              </w:rPr>
              <w:t>电子投标注意事项</w:t>
            </w:r>
          </w:p>
        </w:tc>
        <w:tc>
          <w:tcPr>
            <w:tcW w:w="7575" w:type="dxa"/>
            <w:vAlign w:val="center"/>
          </w:tcPr>
          <w:p w14:paraId="7FE58D07">
            <w:pPr>
              <w:pageBreakBefore w:val="0"/>
              <w:bidi w:val="0"/>
              <w:spacing w:line="360" w:lineRule="auto"/>
              <w:outlineLvl w:val="9"/>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应及时下载招标文件等相关文件，在投标截止前必须上传投标文件；</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应在系统发出解密指令后规定时间内对投标文件完成解密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供应商未按规定下载、上传或对投标文件进行解密造成废标的，后果由供应商自行承担。</w:t>
            </w:r>
          </w:p>
        </w:tc>
      </w:tr>
    </w:tbl>
    <w:p w14:paraId="25A58363">
      <w:pPr>
        <w:pageBreakBefore w:val="0"/>
        <w:bidi w:val="0"/>
        <w:spacing w:line="460" w:lineRule="exact"/>
        <w:outlineLvl w:val="9"/>
        <w:rPr>
          <w:rFonts w:hint="eastAsia" w:ascii="宋体" w:hAnsi="宋体" w:eastAsia="宋体" w:cs="宋体"/>
          <w:b/>
          <w:color w:val="auto"/>
          <w:sz w:val="28"/>
          <w:szCs w:val="28"/>
          <w:highlight w:val="none"/>
        </w:rPr>
        <w:sectPr>
          <w:pgSz w:w="11900" w:h="16838"/>
          <w:pgMar w:top="1440" w:right="1349" w:bottom="1440" w:left="1349" w:header="0" w:footer="0" w:gutter="0"/>
          <w:pgBorders>
            <w:top w:val="none" w:sz="0" w:space="0"/>
            <w:left w:val="none" w:sz="0" w:space="0"/>
            <w:bottom w:val="none" w:sz="0" w:space="0"/>
            <w:right w:val="none" w:sz="0" w:space="0"/>
          </w:pgBorders>
          <w:pgNumType w:fmt="decimal"/>
          <w:cols w:equalWidth="0" w:num="1">
            <w:col w:w="9420"/>
          </w:cols>
        </w:sectPr>
      </w:pPr>
    </w:p>
    <w:p w14:paraId="596B9603">
      <w:pPr>
        <w:pageBreakBefore w:val="0"/>
        <w:bidi w:val="0"/>
        <w:spacing w:line="460" w:lineRule="exac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一、名词解释</w:t>
      </w:r>
    </w:p>
    <w:p w14:paraId="2EE91DA8">
      <w:pPr>
        <w:pageBreakBefore w:val="0"/>
        <w:bidi w:val="0"/>
        <w:spacing w:line="460" w:lineRule="exact"/>
        <w:ind w:firstLine="480" w:firstLineChars="200"/>
        <w:outlineLvl w:val="9"/>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val="zh-CN"/>
        </w:rPr>
        <w:t>1、采购人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黄龙县人民医院</w:t>
      </w:r>
    </w:p>
    <w:p w14:paraId="01CC5D76">
      <w:pPr>
        <w:pageBreakBefore w:val="0"/>
        <w:bidi w:val="0"/>
        <w:spacing w:line="460" w:lineRule="exact"/>
        <w:ind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、采购代理</w:t>
      </w:r>
      <w:r>
        <w:rPr>
          <w:rFonts w:hint="eastAsia" w:ascii="宋体" w:hAnsi="宋体" w:eastAsia="宋体" w:cs="宋体"/>
          <w:color w:val="auto"/>
          <w:sz w:val="24"/>
          <w:szCs w:val="24"/>
          <w:highlight w:val="none"/>
        </w:rPr>
        <w:t>机构：</w:t>
      </w:r>
      <w:r>
        <w:rPr>
          <w:rFonts w:hint="eastAsia" w:ascii="宋体" w:hAnsi="宋体" w:cs="宋体"/>
          <w:color w:val="auto"/>
          <w:sz w:val="24"/>
          <w:szCs w:val="24"/>
          <w:highlight w:val="none"/>
          <w:lang w:eastAsia="zh-CN"/>
        </w:rPr>
        <w:t>陕西华鼎项目管理有限公司</w:t>
      </w:r>
    </w:p>
    <w:p w14:paraId="3B290697">
      <w:pPr>
        <w:pageBreakBefore w:val="0"/>
        <w:bidi w:val="0"/>
        <w:spacing w:line="460" w:lineRule="exact"/>
        <w:ind w:firstLine="480" w:firstLineChars="200"/>
        <w:outlineLvl w:val="9"/>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3、采购预算价：</w:t>
      </w:r>
      <w:r>
        <w:rPr>
          <w:rFonts w:hint="eastAsia" w:ascii="宋体" w:hAnsi="宋体" w:cs="宋体"/>
          <w:color w:val="auto"/>
          <w:sz w:val="24"/>
          <w:szCs w:val="24"/>
          <w:highlight w:val="none"/>
          <w:lang w:val="en-US" w:eastAsia="zh-CN"/>
        </w:rPr>
        <w:t>5916750.00</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其中一标包为</w:t>
      </w:r>
      <w:r>
        <w:rPr>
          <w:rFonts w:hint="eastAsia" w:ascii="宋体" w:hAnsi="宋体" w:cs="宋体"/>
          <w:color w:val="auto"/>
          <w:sz w:val="24"/>
          <w:szCs w:val="24"/>
          <w:highlight w:val="none"/>
          <w:lang w:val="en-US" w:eastAsia="zh-CN"/>
        </w:rPr>
        <w:t>2757050.00</w:t>
      </w:r>
      <w:r>
        <w:rPr>
          <w:rFonts w:hint="eastAsia" w:ascii="宋体" w:hAnsi="宋体" w:eastAsia="宋体" w:cs="宋体"/>
          <w:color w:val="auto"/>
          <w:sz w:val="24"/>
          <w:szCs w:val="24"/>
          <w:highlight w:val="none"/>
          <w:lang w:val="en-US" w:eastAsia="zh-CN"/>
        </w:rPr>
        <w:t>元，二标包为</w:t>
      </w:r>
      <w:r>
        <w:rPr>
          <w:rFonts w:hint="eastAsia" w:ascii="宋体" w:hAnsi="宋体" w:cs="宋体"/>
          <w:color w:val="auto"/>
          <w:sz w:val="24"/>
          <w:szCs w:val="24"/>
          <w:highlight w:val="none"/>
          <w:lang w:val="en-US" w:eastAsia="zh-CN"/>
        </w:rPr>
        <w:t>1962000.00</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val="en-US" w:eastAsia="zh-CN"/>
        </w:rPr>
        <w:t>标包为</w:t>
      </w:r>
      <w:r>
        <w:rPr>
          <w:rFonts w:hint="eastAsia" w:ascii="宋体" w:hAnsi="宋体" w:cs="宋体"/>
          <w:color w:val="auto"/>
          <w:sz w:val="24"/>
          <w:szCs w:val="24"/>
          <w:highlight w:val="none"/>
          <w:lang w:val="en-US" w:eastAsia="zh-CN"/>
        </w:rPr>
        <w:t>1197700.00</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w:t>
      </w:r>
    </w:p>
    <w:p w14:paraId="787D7731">
      <w:pPr>
        <w:pageBreakBefore w:val="0"/>
        <w:bidi w:val="0"/>
        <w:spacing w:line="460" w:lineRule="exact"/>
        <w:ind w:firstLine="480" w:firstLineChars="200"/>
        <w:outlineLvl w:val="9"/>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4、招标最高限价：</w:t>
      </w:r>
      <w:r>
        <w:rPr>
          <w:rFonts w:hint="eastAsia" w:ascii="宋体" w:hAnsi="宋体" w:cs="宋体"/>
          <w:color w:val="auto"/>
          <w:sz w:val="24"/>
          <w:szCs w:val="24"/>
          <w:highlight w:val="none"/>
          <w:lang w:val="en-US" w:eastAsia="zh-CN"/>
        </w:rPr>
        <w:t>5916750.00</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其中一标包为</w:t>
      </w:r>
      <w:r>
        <w:rPr>
          <w:rFonts w:hint="eastAsia" w:ascii="宋体" w:hAnsi="宋体" w:cs="宋体"/>
          <w:color w:val="auto"/>
          <w:sz w:val="24"/>
          <w:szCs w:val="24"/>
          <w:highlight w:val="none"/>
          <w:lang w:val="en-US" w:eastAsia="zh-CN"/>
        </w:rPr>
        <w:t>2757050.00</w:t>
      </w:r>
      <w:r>
        <w:rPr>
          <w:rFonts w:hint="eastAsia" w:ascii="宋体" w:hAnsi="宋体" w:eastAsia="宋体" w:cs="宋体"/>
          <w:color w:val="auto"/>
          <w:sz w:val="24"/>
          <w:szCs w:val="24"/>
          <w:highlight w:val="none"/>
          <w:lang w:val="en-US" w:eastAsia="zh-CN"/>
        </w:rPr>
        <w:t>元，二标包为</w:t>
      </w:r>
      <w:r>
        <w:rPr>
          <w:rFonts w:hint="eastAsia" w:ascii="宋体" w:hAnsi="宋体" w:cs="宋体"/>
          <w:color w:val="auto"/>
          <w:sz w:val="24"/>
          <w:szCs w:val="24"/>
          <w:highlight w:val="none"/>
          <w:lang w:val="en-US" w:eastAsia="zh-CN"/>
        </w:rPr>
        <w:t>1962000.00</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val="en-US" w:eastAsia="zh-CN"/>
        </w:rPr>
        <w:t>标包为</w:t>
      </w:r>
      <w:r>
        <w:rPr>
          <w:rFonts w:hint="eastAsia" w:ascii="宋体" w:hAnsi="宋体" w:cs="宋体"/>
          <w:color w:val="auto"/>
          <w:sz w:val="24"/>
          <w:szCs w:val="24"/>
          <w:highlight w:val="none"/>
          <w:lang w:val="en-US" w:eastAsia="zh-CN"/>
        </w:rPr>
        <w:t>1197700.00</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w:t>
      </w:r>
    </w:p>
    <w:p w14:paraId="5ABC2AB9">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、标  书：招标文件与投标文件的统称</w:t>
      </w:r>
    </w:p>
    <w:p w14:paraId="28E549DB">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、供应商：</w:t>
      </w:r>
      <w:r>
        <w:rPr>
          <w:rFonts w:hint="eastAsia" w:ascii="宋体" w:hAnsi="宋体" w:eastAsia="宋体" w:cs="宋体"/>
          <w:color w:val="auto"/>
          <w:sz w:val="24"/>
          <w:szCs w:val="24"/>
          <w:highlight w:val="none"/>
        </w:rPr>
        <w:t>符合本次招标文件所规定的资格条件，自愿参加本次招标活动的投标单位。</w:t>
      </w:r>
    </w:p>
    <w:p w14:paraId="2659F303">
      <w:pPr>
        <w:pageBreakBefore w:val="0"/>
        <w:bidi w:val="0"/>
        <w:spacing w:line="460" w:lineRule="exact"/>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7、“节能产品”或“环保产品”：国务院有关部门发布的《节能产品政府采购清单》 或者《环境标志产品政府采购清单》 内的产品</w:t>
      </w:r>
    </w:p>
    <w:p w14:paraId="35E704DB">
      <w:pPr>
        <w:pageBreakBefore w:val="0"/>
        <w:bidi w:val="0"/>
        <w:spacing w:line="460" w:lineRule="exact"/>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 进口产品：通过中国海关报关验收进入中国境内且产自关境外的产品。已通过财政核准的进口产品，仅表明允许进口产品参与该项目的政府采购活动，如因信息不对称等原因，仍有满足需求的国内产品要求参与采购竞争的，任何单位和个人不得对其加以限制，应当按照公平竞争原则实施采购。未通过财政核准的进口产品，禁止进口产品参与本项目投标。</w:t>
      </w:r>
    </w:p>
    <w:p w14:paraId="3F7D2036">
      <w:pPr>
        <w:pageBreakBefore w:val="0"/>
        <w:tabs>
          <w:tab w:val="left" w:pos="3067"/>
        </w:tabs>
        <w:bidi w:val="0"/>
        <w:spacing w:line="460" w:lineRule="exac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二、招标文件</w:t>
      </w:r>
      <w:r>
        <w:rPr>
          <w:rFonts w:hint="eastAsia" w:ascii="宋体" w:hAnsi="宋体" w:eastAsia="宋体" w:cs="宋体"/>
          <w:b/>
          <w:color w:val="auto"/>
          <w:sz w:val="24"/>
          <w:szCs w:val="24"/>
          <w:highlight w:val="none"/>
        </w:rPr>
        <w:tab/>
      </w:r>
    </w:p>
    <w:p w14:paraId="6B35852A">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1、招标文件的组成： </w:t>
      </w:r>
    </w:p>
    <w:p w14:paraId="00E22358">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招标文件是根据本项目的特点和需求编制，包括以下内容：</w:t>
      </w:r>
    </w:p>
    <w:p w14:paraId="2923126E">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1-1、招标公告</w:t>
      </w:r>
    </w:p>
    <w:p w14:paraId="594D45D7">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1-2、供应商须知</w:t>
      </w:r>
    </w:p>
    <w:p w14:paraId="60BEF297">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1-3、采购内容及要求</w:t>
      </w:r>
    </w:p>
    <w:p w14:paraId="00A401A0">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1-4、合同主要条款</w:t>
      </w:r>
    </w:p>
    <w:p w14:paraId="4AB80898">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1-5、投标文件格式</w:t>
      </w:r>
    </w:p>
    <w:p w14:paraId="21EB7172">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认真审阅招标文件所有的事项、格式、条款和规范要求等，在投标文件中对招标文件的各方面都做出实质性的响应，按照招标文件的要求提交全部资料。若供应商的投标文件未按招标文件要求提交全部资料，或没有对招标文件做出实质性响应，应作废标处理。</w:t>
      </w:r>
    </w:p>
    <w:p w14:paraId="41977C7A">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3、招标文件的澄清或修改：</w:t>
      </w:r>
    </w:p>
    <w:p w14:paraId="51CA24BF">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提交投标文件截止时间前，采购人、采购代理机构可以以书面形式对招标文件进行必要的澄清或修改，其内容均为招标文件的组成部分，并对采购人及供应商起约束作用。澄清或修改的内容可能影响投标文件编制的，都将于提交投标文件截止时间15日前以书面形式发送给所有参加投标的供应商；不足15日的，采购人、采购代理机构顺延递交投标文件的截止时间。</w:t>
      </w:r>
    </w:p>
    <w:p w14:paraId="20CE60BD">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供应商若对招标文件有任何疑问要求澄清，或认为有必要与采购人进行技术交流的，供应商在投标截止时间10日前，以书面形式向采购代理机构提出，采购代理机构以书面形式予以答复。在此之后提出的无效。</w:t>
      </w:r>
    </w:p>
    <w:p w14:paraId="387A8151">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招标文件的澄清或修改内容均以书面形式明确的内容为准。当招标文件的澄清、修改、补充等在同一内容的表述上不一致时，以最后发出的书面文件为准。所有补充文件将作为招标文件的组成部分，对所有供应商具有约束力。</w:t>
      </w:r>
    </w:p>
    <w:p w14:paraId="546B607F">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3-4、根据招标工作进展实际情况，采购人可酌情延长递交投标文件的截止时间，若延长将另行以书面形式通知各供应商或在原信息发布媒体上发布变更公告。</w:t>
      </w:r>
    </w:p>
    <w:p w14:paraId="75C50CE4">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4、供应商必须从采购代理机构购买招标文件，供应商自行转让或复制招标文件视为无效。招标文件售后不退，仅作为本次招标使用。</w:t>
      </w:r>
    </w:p>
    <w:p w14:paraId="34E4ACDF">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5、招标文件的解释权归采购代理机构，如发现招标文件内容与现行法律法规不相符的情况，以现行法律法规为准。</w:t>
      </w:r>
    </w:p>
    <w:p w14:paraId="13A1DD95">
      <w:pPr>
        <w:pageBreakBefore w:val="0"/>
        <w:bidi w:val="0"/>
        <w:spacing w:line="460" w:lineRule="exact"/>
        <w:ind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三、投标文件</w:t>
      </w:r>
    </w:p>
    <w:p w14:paraId="5B251EA3">
      <w:pPr>
        <w:pageBreakBefore w:val="0"/>
        <w:bidi w:val="0"/>
        <w:spacing w:line="460" w:lineRule="exact"/>
        <w:ind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1、供应商资格要求：</w:t>
      </w:r>
    </w:p>
    <w:p w14:paraId="6D7E0829">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满足《中华人民共和国政府采购法》第二十二条规定;</w:t>
      </w:r>
    </w:p>
    <w:p w14:paraId="2ACB116C">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落实政府采购政策需满足的资格要求：</w:t>
      </w:r>
    </w:p>
    <w:p w14:paraId="72AC3280">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政府采购促进中小企业发展管理办法》的通知（财库〔2020〕46号）；（2）财政部司法部关于政府采购支持监狱企业发展有关问题的通知--财库〔2014〕68号；（3）《国务院办公厅关于建立政府强制采购节能产品制度的通知》--国办发〔2007〕51号；（4）《关于促进残疾人就业政府采购政策的通知》财库〔2017〕141号；（5）陕西省财政厅关于印发《陕西省中小企业政府采购信用融资办法》（陕财办采〔2018〕23号）；（6）《财政部 发展改革委 生态环境部 市场监管总局关于调整优化节能产品、环境标志产品政府采购执行机制的通知》（财库〔2019〕9号）；（7）其他需要落实的政府采购政策。</w:t>
      </w:r>
    </w:p>
    <w:p w14:paraId="1C7DDFF0">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本项目的特定资格要求：</w:t>
      </w:r>
    </w:p>
    <w:p w14:paraId="122AC29C">
      <w:pPr>
        <w:pageBreakBefore w:val="0"/>
        <w:bidi w:val="0"/>
        <w:spacing w:line="460" w:lineRule="exact"/>
        <w:ind w:firstLine="470" w:firstLineChars="196"/>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须为独立承担民事责任能力的法人或其他组织，并出具有效的营业执照等国家规定的相关主体资格证明资料；（2）供应商须提供《医疗器械经营许可证》或《医疗器械经营备案凭证》或《医疗器械生产许可证》或《医疗器械生产备案凭证》（3）提供2023年经会计师事务所审计的财务审计报告或近三个月内银行出具的资信证明；（4）提供2024年1月1日至今已缴纳的至少一个月的纳税证明，依法免税的供应商应提供相关文件证明；（5）提供2024年1月1日至今已缴纳的至少一个月社会保障资金缴存单据或社保机构开具的社会保险参保缴费情况证明，依法不需要缴纳社保的供应商应提供相关文件证明；（6）法定代表人授权书及被授权人身份证（法定代表人直接投标只需提供本人身份证）；（7）参加政府采购活动前3年内，在经营活动中没有重大违法记录的书面声明；（8）供应商不得为“中国执行信息公开网”列入失信被执行人名单的供应商，不得为“信用中国”网列入重大税收违法失信主体名单的供应商，不得为中国政府采购网政府采购严重违法失信行为记录名单中被财政部门禁止参加政府采购活动的供应商（提供承诺书）。</w:t>
      </w:r>
    </w:p>
    <w:p w14:paraId="6CEBA646">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2、投标文件的组成：</w:t>
      </w:r>
    </w:p>
    <w:p w14:paraId="4281DF3D">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2-1、各供应商应根据招标文件要求编制投标文件。</w:t>
      </w:r>
    </w:p>
    <w:p w14:paraId="73DC44A5">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2-2、投标文件包括：投标文件应由投标函、投标报价一览表、资格证明文件、技术文件等投标文件部分组成。</w:t>
      </w:r>
    </w:p>
    <w:p w14:paraId="1A2F65B9">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3、各供应商须对以下内容做出承诺：</w:t>
      </w:r>
    </w:p>
    <w:p w14:paraId="6EB1D382">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（1）必须根据招标文件要求进行设备的供货；</w:t>
      </w:r>
    </w:p>
    <w:p w14:paraId="10CAD396">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非经采购人同意，不得将本项目内容进行转包实施，一经发现，立即取消其中标资格，并承担由此引起的一切经济损失；经采购人同意，中标人可以依法采取分包方式履行合同。分包部分为中标项目的部分非主体、非关键性工作；</w:t>
      </w:r>
    </w:p>
    <w:p w14:paraId="33A9B925">
      <w:pPr>
        <w:pageBreakBefore w:val="0"/>
        <w:bidi w:val="0"/>
        <w:spacing w:line="460" w:lineRule="exact"/>
        <w:ind w:firstLine="470" w:firstLineChars="196"/>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（3）接受采购人委托的相关单位对</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的质量、</w:t>
      </w:r>
      <w:r>
        <w:rPr>
          <w:rFonts w:hint="eastAsia" w:ascii="宋体" w:hAnsi="宋体" w:eastAsia="宋体" w:cs="宋体"/>
          <w:color w:val="auto"/>
          <w:sz w:val="24"/>
          <w:szCs w:val="24"/>
          <w:highlight w:val="none"/>
          <w:lang w:val="en-US" w:eastAsia="zh-CN"/>
        </w:rPr>
        <w:t>采购的</w:t>
      </w:r>
      <w:r>
        <w:rPr>
          <w:rFonts w:hint="eastAsia" w:ascii="宋体" w:hAnsi="宋体" w:eastAsia="宋体" w:cs="宋体"/>
          <w:color w:val="auto"/>
          <w:sz w:val="24"/>
          <w:szCs w:val="24"/>
          <w:highlight w:val="none"/>
        </w:rPr>
        <w:t>进度及方案、实施方案、价款支付与结算审核等的监督和管理；</w:t>
      </w:r>
    </w:p>
    <w:p w14:paraId="62BAA9E3">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供应商应保证在本项目中使用的产品、材料和服务的任何一部分，不会产生因第三方提出的侵犯其专利权、商标权、著作权或其它知识产权而引起的法律和经济纠纷，由此引起的纠纷，由供应商承担所有相关责任；</w:t>
      </w:r>
    </w:p>
    <w:p w14:paraId="71BD7E99">
      <w:pPr>
        <w:pageBreakBefore w:val="0"/>
        <w:bidi w:val="0"/>
        <w:spacing w:line="460" w:lineRule="exact"/>
        <w:ind w:firstLine="470" w:firstLineChars="196"/>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购人享有在本项目实施过程中产生的知识成果及知识产权。供应商如欲在项目实施过程中采用自有知识成果，需在投标文件中声明，并提供相关知识产权证明文件。使用该知识成果后，供应商须提供开发接口和开发手册等技术文档，并承诺提供无限期技术支持，采购人享有永久使用权。如采用供应商所不拥有的知识产权，则在投标报价中必须包含合法获得该知识产权的相关费用。</w:t>
      </w:r>
    </w:p>
    <w:p w14:paraId="14F57F5D">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4、供应商不得以他人名义投标和串通投标。</w:t>
      </w:r>
    </w:p>
    <w:p w14:paraId="4E060629">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5、</w:t>
      </w:r>
      <w:r>
        <w:rPr>
          <w:rFonts w:hint="eastAsia" w:ascii="宋体" w:hAnsi="宋体" w:eastAsia="宋体" w:cs="宋体"/>
          <w:color w:val="auto"/>
          <w:sz w:val="24"/>
          <w:szCs w:val="24"/>
          <w:highlight w:val="none"/>
        </w:rPr>
        <w:t>投标文件填写说明</w:t>
      </w:r>
    </w:p>
    <w:p w14:paraId="6CDAC117">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5-1、投标文件格式：供应商提交的投标文件应当使用招标文件规定的全部格式（表格可以按同样格式扩展）编写，装订成册。</w:t>
      </w:r>
    </w:p>
    <w:p w14:paraId="0EA12588">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5-2、</w:t>
      </w:r>
      <w:r>
        <w:rPr>
          <w:rFonts w:hint="eastAsia" w:ascii="宋体" w:hAnsi="宋体" w:eastAsia="宋体" w:cs="宋体"/>
          <w:color w:val="auto"/>
          <w:spacing w:val="-4"/>
          <w:sz w:val="24"/>
          <w:szCs w:val="24"/>
          <w:highlight w:val="none"/>
        </w:rPr>
        <w:t>投标报价一览表为在开标会议上唱标的内容，要求按格式填写。若供应商填写有误，采购代理机构将默认为招标文件要求格式。</w:t>
      </w:r>
    </w:p>
    <w:p w14:paraId="141A58FC">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6、投标文件的计量单位</w:t>
      </w:r>
    </w:p>
    <w:p w14:paraId="37FD5C08">
      <w:pPr>
        <w:pageBreakBefore w:val="0"/>
        <w:bidi w:val="0"/>
        <w:spacing w:line="460" w:lineRule="exact"/>
        <w:ind w:left="-158" w:leftChars="-75" w:firstLine="624" w:firstLineChars="260"/>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投标文件中所使用的计量单位，除有特殊要求外，均采用国家法定计量单位。</w:t>
      </w:r>
    </w:p>
    <w:p w14:paraId="102D43F1">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7、投标报价</w:t>
      </w:r>
    </w:p>
    <w:p w14:paraId="7109C811">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7-1、投标货币：人民币      单位:元。</w:t>
      </w:r>
    </w:p>
    <w:p w14:paraId="1CBDA117">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7-2、供应商要按所报产品分项报价表内容填写货物品名、单价及总价、制造厂家等内容，并由法人代表或授权代表签署。</w:t>
      </w:r>
    </w:p>
    <w:p w14:paraId="26EC46C3">
      <w:pPr>
        <w:pageBreakBefore w:val="0"/>
        <w:bidi w:val="0"/>
        <w:spacing w:line="460" w:lineRule="exact"/>
        <w:ind w:firstLine="472" w:firstLineChars="196"/>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-3、投标报价是完成本项目的全部费用，后期不再增加任何费用，投标供应商报价包括、设计、制造、供货包装、运输、仓储费、搬运费、保险费、税金、安装、调试、配合系统运行，培训及售后服务等费用，备品备件费及相关的其他所有费用</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采购单位不再单独支付其他任何费用。</w:t>
      </w:r>
    </w:p>
    <w:p w14:paraId="41356905">
      <w:pPr>
        <w:pStyle w:val="7"/>
        <w:pageBreakBefore w:val="0"/>
        <w:bidi w:val="0"/>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 xml:space="preserve"> 投标报价表中标明的价格，在合同执行过程中，不得以任何理由变更。</w:t>
      </w:r>
    </w:p>
    <w:p w14:paraId="3D80BE9D">
      <w:pPr>
        <w:pageBreakBefore w:val="0"/>
        <w:bidi w:val="0"/>
        <w:spacing w:line="460" w:lineRule="exact"/>
        <w:ind w:firstLine="472" w:firstLineChars="196"/>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注：本项目采购预算：</w:t>
      </w:r>
      <w:r>
        <w:rPr>
          <w:rFonts w:hint="eastAsia" w:ascii="宋体" w:hAnsi="宋体" w:eastAsia="宋体" w:cs="宋体"/>
          <w:b/>
          <w:color w:val="auto"/>
          <w:sz w:val="24"/>
          <w:szCs w:val="24"/>
          <w:highlight w:val="none"/>
          <w:lang w:val="en-US" w:eastAsia="zh-CN"/>
        </w:rPr>
        <w:t>5916750.00元</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其中一标包为2757050.00元，二标包为1962000.00元，三标包为1197700.00元。</w:t>
      </w:r>
    </w:p>
    <w:p w14:paraId="24D3972F">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7-5、供应商须对《采购内容及技术要求》中任何货物需求、服务要求进行完整报价，采购代理机构拒绝只对部分服务进行报价的投标。供应商应在投标文件中的投标报价表上标明对本次招标拟提供货物、材料的单价和总价。任何有选择的报价将不予接受，每项</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只允许有一个报价。</w:t>
      </w:r>
    </w:p>
    <w:p w14:paraId="28220767">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、供应商所报的投标价在合同执行过程中是固定不变的，不得以任何理由予以变更。任何包含价格调整要求的投标，将被认为是非响应性投标而予以拒绝。</w:t>
      </w:r>
    </w:p>
    <w:p w14:paraId="06F8167A">
      <w:pPr>
        <w:pageBreakBefore w:val="0"/>
        <w:widowControl/>
        <w:bidi w:val="0"/>
        <w:spacing w:line="460" w:lineRule="exact"/>
        <w:ind w:firstLine="472" w:firstLineChars="197"/>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、采购代理机构不接受供应商对任何未办理正常进口手续的货物的投标报价。</w:t>
      </w:r>
    </w:p>
    <w:p w14:paraId="4FB64A0D">
      <w:pPr>
        <w:pageBreakBefore w:val="0"/>
        <w:bidi w:val="0"/>
        <w:spacing w:line="460" w:lineRule="exact"/>
        <w:ind w:firstLine="480" w:firstLineChars="200"/>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最低报价不是中标的唯一依据。</w:t>
      </w:r>
    </w:p>
    <w:p w14:paraId="6D898784">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供应商不得以低于成本的报价参加投标。当评标委员会认为某个供应商的投标价或者某些分项报价明显不合理或者低于成本，有可能影响设备质量和不能诚信履约的，可要求该供应商在规定的期限内提供书面文件予以解释说明，并提交相关证明材料；否则，评标委员会认定该供应商以低于成本报价竞标，其投标应作废标处理。</w:t>
      </w:r>
    </w:p>
    <w:p w14:paraId="313FA846">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8、投标期间一切费用自理。</w:t>
      </w:r>
    </w:p>
    <w:p w14:paraId="2CA169FA">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9、投标文件的制作</w:t>
      </w:r>
    </w:p>
    <w:p w14:paraId="27C43FED">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9-1、投标文件的签署及规定</w:t>
      </w:r>
    </w:p>
    <w:p w14:paraId="20DCA4C7">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（1）投标文件的各项资料均应遵守本条规定。</w:t>
      </w:r>
    </w:p>
    <w:p w14:paraId="37D15913">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（2）供应商应填写全称，同时加盖供应商公章。</w:t>
      </w:r>
    </w:p>
    <w:p w14:paraId="4C6E5D4F">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）除供应商对错误处需修改外，全套投标文件应无涂改或行间插字或增删。如有修改，修改处应加盖供应商公章及法人代表或委托人签字或盖章确认。</w:t>
      </w:r>
    </w:p>
    <w:p w14:paraId="7C6908EA">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）因字迹潦草或表达不清所引起的后果由供应商自行负责。</w:t>
      </w:r>
    </w:p>
    <w:p w14:paraId="6934B008">
      <w:pPr>
        <w:pageBreakBefore w:val="0"/>
        <w:bidi w:val="0"/>
        <w:spacing w:line="46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10、技术部分</w:t>
      </w:r>
    </w:p>
    <w:p w14:paraId="142F19E7">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供应商按照招标文件要求，针对本项目的技术指标和要求作出实质性响应，不得出现重大负偏离。包含以下内容：</w:t>
      </w:r>
    </w:p>
    <w:p w14:paraId="35281E02">
      <w:pPr>
        <w:pageBreakBefore w:val="0"/>
        <w:numPr>
          <w:ilvl w:val="0"/>
          <w:numId w:val="2"/>
        </w:numPr>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所投产品名称、型号；</w:t>
      </w:r>
    </w:p>
    <w:p w14:paraId="42B2CC97">
      <w:pPr>
        <w:pageBreakBefore w:val="0"/>
        <w:numPr>
          <w:ilvl w:val="0"/>
          <w:numId w:val="2"/>
        </w:numPr>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详细的技术指标、配置和参数；</w:t>
      </w:r>
    </w:p>
    <w:p w14:paraId="18EB6B5A">
      <w:pPr>
        <w:pageBreakBefore w:val="0"/>
        <w:numPr>
          <w:ilvl w:val="0"/>
          <w:numId w:val="2"/>
        </w:numPr>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技术响应偏离表；</w:t>
      </w:r>
    </w:p>
    <w:p w14:paraId="4C21C244">
      <w:pPr>
        <w:pageBreakBefore w:val="0"/>
        <w:numPr>
          <w:ilvl w:val="0"/>
          <w:numId w:val="2"/>
        </w:numPr>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供应商认为需要提供的文件和资料。</w:t>
      </w:r>
    </w:p>
    <w:p w14:paraId="5E8BFEAF">
      <w:pPr>
        <w:pageBreakBefore w:val="0"/>
        <w:bidi w:val="0"/>
        <w:spacing w:line="460" w:lineRule="exact"/>
        <w:ind w:firstLine="472" w:firstLineChars="196"/>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注：技术响应证明资料可以是文字、图纸、彩页、样品等，所有证明资料表述必须一致，否则，按未实质性响应招标文件，按无效文件处理。</w:t>
      </w:r>
    </w:p>
    <w:p w14:paraId="2C07D718">
      <w:pPr>
        <w:pageBreakBefore w:val="0"/>
        <w:bidi w:val="0"/>
        <w:spacing w:line="460" w:lineRule="exact"/>
        <w:ind w:left="56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11、商务部分</w:t>
      </w:r>
    </w:p>
    <w:p w14:paraId="05F5188C">
      <w:pPr>
        <w:pageBreakBefore w:val="0"/>
        <w:numPr>
          <w:ilvl w:val="0"/>
          <w:numId w:val="0"/>
        </w:numPr>
        <w:bidi w:val="0"/>
        <w:spacing w:line="460" w:lineRule="exact"/>
        <w:ind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供应商按照招标文件要求，针对本项目的商务要求作出实质性响应，不得出现重大负偏离</w:t>
      </w:r>
      <w:r>
        <w:rPr>
          <w:rFonts w:hint="eastAsia" w:ascii="宋体" w:hAnsi="宋体" w:eastAsia="宋体" w:cs="宋体"/>
          <w:color w:val="auto"/>
          <w:sz w:val="24"/>
          <w:szCs w:val="24"/>
          <w:highlight w:val="none"/>
          <w:lang w:eastAsia="zh-CN"/>
        </w:rPr>
        <w:t>。</w:t>
      </w:r>
    </w:p>
    <w:p w14:paraId="2987A877">
      <w:pPr>
        <w:pageBreakBefore w:val="0"/>
        <w:bidi w:val="0"/>
        <w:spacing w:line="460" w:lineRule="exac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、投标</w:t>
      </w:r>
    </w:p>
    <w:p w14:paraId="44A79E94">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1、投标文件的装订和递交</w:t>
      </w:r>
      <w:r>
        <w:rPr>
          <w:rFonts w:hint="eastAsia" w:ascii="宋体" w:hAnsi="宋体" w:eastAsia="宋体" w:cs="宋体"/>
          <w:color w:val="auto"/>
          <w:sz w:val="24"/>
          <w:szCs w:val="24"/>
          <w:highlight w:val="none"/>
        </w:rPr>
        <w:tab/>
      </w:r>
    </w:p>
    <w:p w14:paraId="023FE731">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1-1、投标文件的装订：</w:t>
      </w:r>
    </w:p>
    <w:p w14:paraId="330CCAE3">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（1）投标时，供应商应自行将投标文件密封完好。标袋上应写明项目名称、编号、供应商名称及“正本”、“副本”字样，并在密封条接缝处加盖单位公章（鲜章）和法定代表人或被授权人印章(或签字）；</w:t>
      </w:r>
    </w:p>
    <w:p w14:paraId="233D3C8D">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（2）投标文件一律采用书籍（胶装）方式装订。投标文件正本一份，副本二份，</w:t>
      </w:r>
      <w:r>
        <w:rPr>
          <w:rFonts w:hint="eastAsia" w:ascii="宋体" w:hAnsi="宋体" w:eastAsia="宋体" w:cs="宋体"/>
          <w:color w:val="auto"/>
          <w:sz w:val="24"/>
          <w:szCs w:val="24"/>
          <w:highlight w:val="none"/>
          <w:lang w:eastAsia="zh-CN"/>
        </w:rPr>
        <w:t>建议双面打印，</w:t>
      </w:r>
      <w:r>
        <w:rPr>
          <w:rFonts w:hint="eastAsia" w:ascii="宋体" w:hAnsi="宋体" w:eastAsia="宋体" w:cs="宋体"/>
          <w:color w:val="auto"/>
          <w:sz w:val="24"/>
          <w:szCs w:val="24"/>
          <w:highlight w:val="none"/>
        </w:rPr>
        <w:t>电子文件（U盘）</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份，投标报价一览表一份。投标文件的正本和副本均须A4纸打印，并编制目录和页码。正、副本分别各自装订成册，单独密封，电子文件和投标报价一览表密封在同一标袋内。各标袋上注明“开标时启封”字样。如果正本与副本不符，以正本为准。</w:t>
      </w:r>
    </w:p>
    <w:p w14:paraId="0EA5C813">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1-2、投标文件的递交：</w:t>
      </w:r>
    </w:p>
    <w:p w14:paraId="102A6849">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（1）供应商应按规定的时间、地点，于投标截止时间前递交</w:t>
      </w:r>
      <w:r>
        <w:rPr>
          <w:rFonts w:hint="eastAsia" w:ascii="宋体" w:hAnsi="宋体" w:eastAsia="宋体" w:cs="宋体"/>
          <w:color w:val="auto"/>
          <w:sz w:val="24"/>
          <w:szCs w:val="24"/>
          <w:highlight w:val="none"/>
          <w:lang w:eastAsia="zh-CN"/>
        </w:rPr>
        <w:t>并上传</w:t>
      </w:r>
      <w:r>
        <w:rPr>
          <w:rFonts w:hint="eastAsia" w:ascii="宋体" w:hAnsi="宋体" w:eastAsia="宋体" w:cs="宋体"/>
          <w:color w:val="auto"/>
          <w:sz w:val="24"/>
          <w:szCs w:val="24"/>
          <w:highlight w:val="none"/>
        </w:rPr>
        <w:t>投标文件；</w:t>
      </w:r>
    </w:p>
    <w:p w14:paraId="4F527CCC">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（2）采购代理机构推迟递交</w:t>
      </w:r>
      <w:r>
        <w:rPr>
          <w:rFonts w:hint="eastAsia" w:ascii="宋体" w:hAnsi="宋体" w:eastAsia="宋体" w:cs="宋体"/>
          <w:bCs/>
          <w:color w:val="auto"/>
          <w:sz w:val="24"/>
          <w:szCs w:val="24"/>
          <w:highlight w:val="none"/>
        </w:rPr>
        <w:t>投标</w:t>
      </w:r>
      <w:r>
        <w:rPr>
          <w:rFonts w:hint="eastAsia" w:ascii="宋体" w:hAnsi="宋体" w:eastAsia="宋体" w:cs="宋体"/>
          <w:color w:val="auto"/>
          <w:sz w:val="24"/>
          <w:szCs w:val="24"/>
          <w:highlight w:val="none"/>
        </w:rPr>
        <w:t>文件截止时间时，应在投标文件截止时间3日前</w:t>
      </w:r>
      <w:r>
        <w:rPr>
          <w:rFonts w:hint="eastAsia" w:ascii="宋体" w:hAnsi="宋体" w:eastAsia="宋体" w:cs="宋体"/>
          <w:color w:val="auto"/>
          <w:sz w:val="24"/>
          <w:szCs w:val="24"/>
          <w:highlight w:val="none"/>
          <w:lang w:val="en-US" w:eastAsia="zh-CN"/>
        </w:rPr>
        <w:t>通过相应网站变更开标时间</w:t>
      </w:r>
      <w:r>
        <w:rPr>
          <w:rFonts w:hint="eastAsia" w:ascii="宋体" w:hAnsi="宋体" w:eastAsia="宋体" w:cs="宋体"/>
          <w:color w:val="auto"/>
          <w:sz w:val="24"/>
          <w:szCs w:val="24"/>
          <w:highlight w:val="none"/>
        </w:rPr>
        <w:t>。采购代理机构和供应商的权利和义务将受到新的截止期的约束。</w:t>
      </w:r>
    </w:p>
    <w:p w14:paraId="4EF7EE67">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（3）供应商在规定的投标截止时间后递交投标文件，将被拒收。</w:t>
      </w:r>
    </w:p>
    <w:p w14:paraId="3699E45F">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1-3、投标文件的补充、修改与撤回：</w:t>
      </w:r>
    </w:p>
    <w:p w14:paraId="50928ED7">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（1）供应商在递交投标文件以后，在规定的投标截止时间之前,可以</w:t>
      </w:r>
      <w:r>
        <w:rPr>
          <w:rFonts w:hint="eastAsia" w:ascii="宋体" w:hAnsi="宋体" w:eastAsia="宋体" w:cs="宋体"/>
          <w:color w:val="auto"/>
          <w:sz w:val="24"/>
          <w:szCs w:val="24"/>
          <w:highlight w:val="none"/>
          <w:lang w:val="en-US" w:eastAsia="zh-CN"/>
        </w:rPr>
        <w:t>通过全国公共资源交易平台（陕西省·延安市）</w:t>
      </w:r>
      <w:r>
        <w:rPr>
          <w:rFonts w:hint="eastAsia" w:ascii="宋体" w:hAnsi="宋体" w:eastAsia="宋体" w:cs="宋体"/>
          <w:color w:val="auto"/>
          <w:sz w:val="24"/>
          <w:szCs w:val="24"/>
          <w:highlight w:val="none"/>
        </w:rPr>
        <w:t>补充、修改或撤回已递交的投标文件，并以书面形式通知采购代理机构。补充、修改的内容应当按招标文件要求密封、签署、盖章，并作为投标文件的组成部分；补充、修改的内容与相应文件不一致的，以补充、修改的内容为准；</w:t>
      </w:r>
    </w:p>
    <w:p w14:paraId="4A7F637B">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（2）供应商提出修改和撤标要求的，须在投标截止时间前密封送到采购代理机构，并在封面上加注“修改”或“撤回”字样。采购代理机构摄像留存后，将投标文件（包含纸质及电子版）退还供应商。</w:t>
      </w:r>
    </w:p>
    <w:p w14:paraId="11938FD5">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（3）撤回投标文件应</w:t>
      </w:r>
      <w:r>
        <w:rPr>
          <w:rFonts w:hint="eastAsia" w:ascii="宋体" w:hAnsi="宋体" w:eastAsia="宋体" w:cs="宋体"/>
          <w:color w:val="auto"/>
          <w:sz w:val="24"/>
          <w:szCs w:val="24"/>
          <w:highlight w:val="none"/>
          <w:lang w:val="en-US" w:eastAsia="zh-CN"/>
        </w:rPr>
        <w:t>通过全国公共资源交易平台（陕西省·延安市），并以</w:t>
      </w:r>
      <w:r>
        <w:rPr>
          <w:rFonts w:hint="eastAsia" w:ascii="宋体" w:hAnsi="宋体" w:eastAsia="宋体" w:cs="宋体"/>
          <w:color w:val="auto"/>
          <w:sz w:val="24"/>
          <w:szCs w:val="24"/>
          <w:highlight w:val="none"/>
        </w:rPr>
        <w:t>书面形式由有权人（法人代表或授权代表）通知采购代理机构。如采取传真形式撤回投标，随后必须补充有法人代表或授权代表签署的要求撤回投标的正式文件。以在招标开始前</w:t>
      </w:r>
      <w:r>
        <w:rPr>
          <w:rFonts w:hint="eastAsia" w:ascii="宋体" w:hAnsi="宋体" w:eastAsia="宋体" w:cs="宋体"/>
          <w:color w:val="auto"/>
          <w:sz w:val="24"/>
          <w:szCs w:val="24"/>
          <w:highlight w:val="none"/>
          <w:lang w:val="en-US" w:eastAsia="zh-CN"/>
        </w:rPr>
        <w:t>上传及</w:t>
      </w:r>
      <w:r>
        <w:rPr>
          <w:rFonts w:hint="eastAsia" w:ascii="宋体" w:hAnsi="宋体" w:eastAsia="宋体" w:cs="宋体"/>
          <w:color w:val="auto"/>
          <w:sz w:val="24"/>
          <w:szCs w:val="24"/>
          <w:highlight w:val="none"/>
        </w:rPr>
        <w:t>送达为准。</w:t>
      </w:r>
    </w:p>
    <w:p w14:paraId="4604C476">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（4）投标截止时间之后，供应商不得补充、修改投标文件；</w:t>
      </w:r>
    </w:p>
    <w:p w14:paraId="03C5A9AA">
      <w:pPr>
        <w:pageBreakBefore w:val="0"/>
        <w:tabs>
          <w:tab w:val="left" w:pos="2700"/>
        </w:tabs>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（5）在投标截止时间至投标有效期满之前，供应商不得撤回其投标文件，否则其投标保证金将不予退还，提供投标担保的供应商将由专业担保机构先行偿付采购人损失。</w:t>
      </w:r>
    </w:p>
    <w:p w14:paraId="3E965587">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1-4、投标文件的审查标准：</w:t>
      </w:r>
    </w:p>
    <w:p w14:paraId="29B934F5">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（1）投标文件图表与文字不符时，以文字为准；</w:t>
      </w:r>
    </w:p>
    <w:p w14:paraId="16E78656">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（2）投标文件正本与副本不符时，以正本为准；</w:t>
      </w:r>
    </w:p>
    <w:p w14:paraId="63439006">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（3）投标文件大写与小写不符时，以大写为准；</w:t>
      </w:r>
    </w:p>
    <w:p w14:paraId="21431BDE">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（4）单价乘以数量不等于总价时，以单价乘以数量为准；</w:t>
      </w:r>
    </w:p>
    <w:p w14:paraId="7E6B2E0A">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（5）投标文件有关内容与“一览表”不一致的，以“一览表”为准。</w:t>
      </w:r>
    </w:p>
    <w:p w14:paraId="52AE3A77">
      <w:pPr>
        <w:pageBreakBefore w:val="0"/>
        <w:bidi w:val="0"/>
        <w:spacing w:line="46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注：按上述修正方法调整的内容对供应商具有约束力，如果供应商不接受修正后的内容，其投标将被拒绝。</w:t>
      </w:r>
    </w:p>
    <w:p w14:paraId="06EE062C">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1-5、投标文件的有效性：</w:t>
      </w:r>
    </w:p>
    <w:p w14:paraId="646EC686">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（1）开标时，投标文件出现下列情形之一的，应当作为无效投标文件，不得进入评标：</w:t>
      </w:r>
    </w:p>
    <w:p w14:paraId="3BD6A304">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a、供应商未经过正常渠道</w:t>
      </w:r>
      <w:r>
        <w:rPr>
          <w:rFonts w:hint="eastAsia" w:ascii="宋体" w:hAnsi="宋体" w:eastAsia="宋体" w:cs="宋体"/>
          <w:color w:val="auto"/>
          <w:sz w:val="24"/>
          <w:szCs w:val="24"/>
          <w:highlight w:val="none"/>
          <w:lang w:val="en-US" w:eastAsia="zh-CN"/>
        </w:rPr>
        <w:t>下载</w:t>
      </w:r>
      <w:r>
        <w:rPr>
          <w:rFonts w:hint="eastAsia" w:ascii="宋体" w:hAnsi="宋体" w:eastAsia="宋体" w:cs="宋体"/>
          <w:color w:val="auto"/>
          <w:sz w:val="24"/>
          <w:szCs w:val="24"/>
          <w:highlight w:val="none"/>
        </w:rPr>
        <w:t>招标文件的；</w:t>
      </w:r>
    </w:p>
    <w:p w14:paraId="486C5653">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rPr>
        <w:t>、供应商未按招标文件的要求提供投标担保或所提供的投标担保有瑕疵的；</w:t>
      </w:r>
    </w:p>
    <w:p w14:paraId="071DF059">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rPr>
        <w:t>、投标文件的关键内容字迹模糊、无法辨认的；</w:t>
      </w:r>
    </w:p>
    <w:p w14:paraId="735A2490">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d</w:t>
      </w:r>
      <w:r>
        <w:rPr>
          <w:rFonts w:hint="eastAsia" w:ascii="宋体" w:hAnsi="宋体" w:eastAsia="宋体" w:cs="宋体"/>
          <w:color w:val="auto"/>
          <w:sz w:val="24"/>
          <w:szCs w:val="24"/>
          <w:highlight w:val="none"/>
        </w:rPr>
        <w:t>、供应商名称与</w:t>
      </w:r>
      <w:r>
        <w:rPr>
          <w:rFonts w:hint="eastAsia" w:ascii="宋体" w:hAnsi="宋体" w:eastAsia="宋体" w:cs="宋体"/>
          <w:color w:val="auto"/>
          <w:sz w:val="24"/>
          <w:szCs w:val="24"/>
          <w:highlight w:val="none"/>
          <w:lang w:val="en-US" w:eastAsia="zh-CN"/>
        </w:rPr>
        <w:t>营业执照</w:t>
      </w:r>
      <w:r>
        <w:rPr>
          <w:rFonts w:hint="eastAsia" w:ascii="宋体" w:hAnsi="宋体" w:eastAsia="宋体" w:cs="宋体"/>
          <w:color w:val="auto"/>
          <w:sz w:val="24"/>
          <w:szCs w:val="24"/>
          <w:highlight w:val="none"/>
        </w:rPr>
        <w:t>不一致的；</w:t>
      </w:r>
    </w:p>
    <w:p w14:paraId="523D695B">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e</w:t>
      </w:r>
      <w:r>
        <w:rPr>
          <w:rFonts w:hint="eastAsia" w:ascii="宋体" w:hAnsi="宋体" w:eastAsia="宋体" w:cs="宋体"/>
          <w:color w:val="auto"/>
          <w:sz w:val="24"/>
          <w:szCs w:val="24"/>
          <w:highlight w:val="none"/>
        </w:rPr>
        <w:t xml:space="preserve">、不符合技术规格、技术标准要求的； </w:t>
      </w:r>
    </w:p>
    <w:p w14:paraId="3709264E">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f</w:t>
      </w:r>
      <w:r>
        <w:rPr>
          <w:rFonts w:hint="eastAsia" w:ascii="宋体" w:hAnsi="宋体" w:eastAsia="宋体" w:cs="宋体"/>
          <w:color w:val="auto"/>
          <w:sz w:val="24"/>
          <w:szCs w:val="24"/>
          <w:highlight w:val="none"/>
        </w:rPr>
        <w:t xml:space="preserve">、投标文件载明的货物包装方式、检验标准和方法等不符合招标文件要求的； </w:t>
      </w:r>
    </w:p>
    <w:p w14:paraId="176D0AA6">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g</w:t>
      </w:r>
      <w:r>
        <w:rPr>
          <w:rFonts w:hint="eastAsia" w:ascii="宋体" w:hAnsi="宋体" w:eastAsia="宋体" w:cs="宋体"/>
          <w:color w:val="auto"/>
          <w:sz w:val="24"/>
          <w:szCs w:val="24"/>
          <w:highlight w:val="none"/>
        </w:rPr>
        <w:t>、投标文件附有采购人不能接受的条件的；</w:t>
      </w:r>
    </w:p>
    <w:p w14:paraId="51094F5F">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h</w:t>
      </w:r>
      <w:r>
        <w:rPr>
          <w:rFonts w:hint="eastAsia" w:ascii="宋体" w:hAnsi="宋体" w:eastAsia="宋体" w:cs="宋体"/>
          <w:color w:val="auto"/>
          <w:sz w:val="24"/>
          <w:szCs w:val="24"/>
          <w:highlight w:val="none"/>
        </w:rPr>
        <w:t>、不符合招标文件规定的其他实质性要求的。</w:t>
      </w:r>
    </w:p>
    <w:p w14:paraId="148CCD37">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pacing w:val="-4"/>
          <w:sz w:val="24"/>
          <w:szCs w:val="24"/>
          <w:highlight w:val="none"/>
        </w:rPr>
        <w:t>投标文件的有效期：自开标之日起算90个日历</w:t>
      </w:r>
      <w:r>
        <w:rPr>
          <w:rFonts w:hint="eastAsia" w:ascii="宋体" w:hAnsi="宋体" w:eastAsia="宋体" w:cs="宋体"/>
          <w:color w:val="auto"/>
          <w:spacing w:val="-4"/>
          <w:sz w:val="24"/>
          <w:szCs w:val="24"/>
          <w:highlight w:val="none"/>
          <w:lang w:val="en-US" w:eastAsia="zh-CN"/>
        </w:rPr>
        <w:t>天</w:t>
      </w:r>
      <w:r>
        <w:rPr>
          <w:rFonts w:hint="eastAsia" w:ascii="宋体" w:hAnsi="宋体" w:eastAsia="宋体" w:cs="宋体"/>
          <w:color w:val="auto"/>
          <w:spacing w:val="-4"/>
          <w:sz w:val="24"/>
          <w:szCs w:val="24"/>
          <w:highlight w:val="none"/>
        </w:rPr>
        <w:t>。</w:t>
      </w:r>
    </w:p>
    <w:p w14:paraId="1F2AB157">
      <w:pPr>
        <w:pageBreakBefore w:val="0"/>
        <w:bidi w:val="0"/>
        <w:spacing w:line="46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、开标、评标和定标</w:t>
      </w:r>
    </w:p>
    <w:p w14:paraId="2BD79309">
      <w:pPr>
        <w:pageBreakBefore w:val="0"/>
        <w:bidi w:val="0"/>
        <w:spacing w:line="460" w:lineRule="exact"/>
        <w:ind w:firstLine="480" w:firstLineChars="20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本项目采购不见面开标。供应商</w:t>
      </w:r>
      <w:r>
        <w:rPr>
          <w:rFonts w:hint="eastAsia" w:ascii="宋体" w:hAnsi="宋体" w:eastAsia="宋体" w:cs="宋体"/>
          <w:color w:val="auto"/>
          <w:sz w:val="24"/>
          <w:highlight w:val="none"/>
        </w:rPr>
        <w:t>应在系统发出解密指令后规定时间内对投标文件完成解密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供应商未按规定下载、上传或对投标文件进行解密造成废标的，后果由供应商自行承担。</w:t>
      </w:r>
    </w:p>
    <w:p w14:paraId="24F916C3">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w:t>
      </w:r>
    </w:p>
    <w:p w14:paraId="51A22C72">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bCs/>
          <w:color w:val="auto"/>
          <w:sz w:val="24"/>
          <w:szCs w:val="24"/>
          <w:highlight w:val="none"/>
        </w:rPr>
        <w:t>评标委员会</w:t>
      </w:r>
    </w:p>
    <w:p w14:paraId="4C51A289">
      <w:pPr>
        <w:pageBreakBefore w:val="0"/>
        <w:bidi w:val="0"/>
        <w:spacing w:line="460" w:lineRule="exact"/>
        <w:ind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（1）采购代理机构根据《中华人民共和国政府采购法》、《中华人民共和国政府采购法实施条例》和“财政部第18号部长令”的规定，依法组建评标委员会。</w:t>
      </w:r>
      <w:r>
        <w:rPr>
          <w:rFonts w:hint="eastAsia" w:ascii="宋体" w:hAnsi="宋体" w:eastAsia="宋体" w:cs="宋体"/>
          <w:b w:val="0"/>
          <w:bCs w:val="0"/>
          <w:color w:val="auto"/>
          <w:sz w:val="24"/>
          <w:szCs w:val="24"/>
          <w:highlight w:val="none"/>
        </w:rPr>
        <w:t>评标委员会由采购人代表和评标专家共</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人组成。评标委员会负责对具备实质性响应的投标文件进行评估和比较。</w:t>
      </w:r>
    </w:p>
    <w:p w14:paraId="167E030F">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（2）评标委员会成员应当遵守并履行下列职责义务：</w:t>
      </w:r>
    </w:p>
    <w:p w14:paraId="10786016">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a、遵纪守法，客观、公正、认真负责地履行职责，根据招标文件规定的评标程序、评标方法和评标标准审查投标文件是否符合招标文件的要求，并做出评价；</w:t>
      </w:r>
    </w:p>
    <w:p w14:paraId="7407086F">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b、认定供应商必备资质；</w:t>
      </w:r>
    </w:p>
    <w:p w14:paraId="119B4BFE">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c、评标委员会可要求供应商就投标文件中含义不明确的内容进行书面说明并提供相关材料。</w:t>
      </w:r>
    </w:p>
    <w:p w14:paraId="50BE6808">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d、依据招标文件的要求和评审标准进行评审，推荐中标候选单位名单，对评标意见承担个人责任；</w:t>
      </w:r>
    </w:p>
    <w:p w14:paraId="4BD122D2">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e、对评标过程及各供应商的商业机密予以保密；</w:t>
      </w:r>
    </w:p>
    <w:p w14:paraId="58EBD19F">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f、拟定评标结果；</w:t>
      </w:r>
    </w:p>
    <w:p w14:paraId="24400F4D">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g、告知采购人、采购代理机构在评标过程中发现的供应商的违法违规行为；</w:t>
      </w:r>
    </w:p>
    <w:p w14:paraId="68880C6D">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h、配合采购人、采购代理机构答复各供应商提出的质疑；</w:t>
      </w:r>
    </w:p>
    <w:p w14:paraId="17D9D8C9">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i、配合各部门的投诉处理和监督检查工作。</w:t>
      </w:r>
    </w:p>
    <w:p w14:paraId="3C292123">
      <w:pPr>
        <w:pageBreakBefore w:val="0"/>
        <w:bidi w:val="0"/>
        <w:spacing w:line="460" w:lineRule="exact"/>
        <w:ind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2-2、评标原则</w:t>
      </w:r>
    </w:p>
    <w:p w14:paraId="3FB95A96">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坚持公平、公正、科学、择优，合理低价，禁止不正当竞争。</w:t>
      </w:r>
    </w:p>
    <w:p w14:paraId="1ABBDCD4">
      <w:pPr>
        <w:pageBreakBefore w:val="0"/>
        <w:bidi w:val="0"/>
        <w:spacing w:line="460" w:lineRule="exact"/>
        <w:ind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2-3、评标办法</w:t>
      </w:r>
    </w:p>
    <w:p w14:paraId="2F6F5392">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本次招标采用综合评分法（详见本节评分标准）。</w:t>
      </w:r>
    </w:p>
    <w:p w14:paraId="386F34D2">
      <w:pPr>
        <w:pageBreakBefore w:val="0"/>
        <w:bidi w:val="0"/>
        <w:spacing w:line="46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2-4、</w:t>
      </w:r>
      <w:r>
        <w:rPr>
          <w:rFonts w:hint="eastAsia" w:ascii="宋体" w:hAnsi="宋体" w:eastAsia="宋体" w:cs="宋体"/>
          <w:b/>
          <w:color w:val="auto"/>
          <w:sz w:val="24"/>
          <w:szCs w:val="24"/>
          <w:highlight w:val="none"/>
        </w:rPr>
        <w:t>评标工作程序</w:t>
      </w:r>
    </w:p>
    <w:p w14:paraId="5CA98666">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（1）投标文件资格性评审：采购人对供应商必备资质原件进行审查，签字确认检查结果。不符合招标文件要求的按无效投标处理，不得进入后续评标工作。</w:t>
      </w:r>
    </w:p>
    <w:p w14:paraId="427ACCA4">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（2）投标文件符合性审查：对投标文件的有效性，完整性和对招标文件的响应程度进行审查。投标文件满足招标文件的实质性要求，无显著的差异或保留。</w:t>
      </w:r>
    </w:p>
    <w:p w14:paraId="4D0608A6">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（3）通过</w:t>
      </w:r>
      <w:r>
        <w:rPr>
          <w:rFonts w:hint="eastAsia" w:ascii="宋体" w:hAnsi="宋体" w:eastAsia="宋体" w:cs="宋体"/>
          <w:color w:val="auto"/>
          <w:sz w:val="24"/>
          <w:szCs w:val="24"/>
          <w:highlight w:val="none"/>
          <w:lang w:val="en-US" w:eastAsia="zh-CN"/>
        </w:rPr>
        <w:t>资格</w:t>
      </w:r>
      <w:r>
        <w:rPr>
          <w:rFonts w:hint="eastAsia" w:ascii="宋体" w:hAnsi="宋体" w:eastAsia="宋体" w:cs="宋体"/>
          <w:color w:val="auto"/>
          <w:sz w:val="24"/>
          <w:szCs w:val="24"/>
          <w:highlight w:val="none"/>
        </w:rPr>
        <w:t>审查和符合性评审合格的，评标委员会才进行综合评审并排序。凡未通过资格性和符合性评审的投标文件即作为废标处理，不得进入后续评审工作，内容如下：</w:t>
      </w:r>
    </w:p>
    <w:p w14:paraId="662826B5">
      <w:pPr>
        <w:pageBreakBefore w:val="0"/>
        <w:bidi w:val="0"/>
        <w:spacing w:line="460" w:lineRule="exact"/>
        <w:ind w:firstLine="482" w:firstLineChars="200"/>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资格评审和符合性评审</w:t>
      </w:r>
    </w:p>
    <w:tbl>
      <w:tblPr>
        <w:tblStyle w:val="24"/>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592"/>
        <w:gridCol w:w="8"/>
        <w:gridCol w:w="8155"/>
      </w:tblGrid>
      <w:tr w14:paraId="7D534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blHeader/>
        </w:trPr>
        <w:tc>
          <w:tcPr>
            <w:tcW w:w="1364" w:type="dxa"/>
            <w:gridSpan w:val="3"/>
            <w:vAlign w:val="center"/>
          </w:tcPr>
          <w:p w14:paraId="28EC1DDE">
            <w:pPr>
              <w:pageBreakBefore w:val="0"/>
              <w:tabs>
                <w:tab w:val="left" w:pos="0"/>
              </w:tabs>
              <w:bidi w:val="0"/>
              <w:adjustRightInd w:val="0"/>
              <w:snapToGrid w:val="0"/>
              <w:jc w:val="center"/>
              <w:outlineLvl w:val="9"/>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条款号</w:t>
            </w:r>
          </w:p>
        </w:tc>
        <w:tc>
          <w:tcPr>
            <w:tcW w:w="8155" w:type="dxa"/>
            <w:vAlign w:val="center"/>
          </w:tcPr>
          <w:p w14:paraId="5637DCAB">
            <w:pPr>
              <w:pageBreakBefore w:val="0"/>
              <w:tabs>
                <w:tab w:val="left" w:pos="0"/>
              </w:tabs>
              <w:bidi w:val="0"/>
              <w:adjustRightInd w:val="0"/>
              <w:snapToGrid w:val="0"/>
              <w:jc w:val="center"/>
              <w:outlineLvl w:val="9"/>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评审标准</w:t>
            </w:r>
          </w:p>
        </w:tc>
      </w:tr>
      <w:tr w14:paraId="28F29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restart"/>
            <w:vAlign w:val="center"/>
          </w:tcPr>
          <w:p w14:paraId="7EC7B195">
            <w:pPr>
              <w:pageBreakBefore w:val="0"/>
              <w:tabs>
                <w:tab w:val="left" w:pos="0"/>
              </w:tabs>
              <w:bidi w:val="0"/>
              <w:adjustRightInd w:val="0"/>
              <w:snapToGrid w:val="0"/>
              <w:jc w:val="center"/>
              <w:outlineLvl w:val="9"/>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2.1.1</w:t>
            </w:r>
          </w:p>
        </w:tc>
        <w:tc>
          <w:tcPr>
            <w:tcW w:w="600" w:type="dxa"/>
            <w:gridSpan w:val="2"/>
            <w:vMerge w:val="restart"/>
            <w:vAlign w:val="center"/>
          </w:tcPr>
          <w:p w14:paraId="3BBBFAC6">
            <w:pPr>
              <w:pageBreakBefore w:val="0"/>
              <w:tabs>
                <w:tab w:val="left" w:pos="0"/>
              </w:tabs>
              <w:bidi w:val="0"/>
              <w:adjustRightInd w:val="0"/>
              <w:snapToGrid w:val="0"/>
              <w:jc w:val="center"/>
              <w:outlineLvl w:val="9"/>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资格评审</w:t>
            </w:r>
          </w:p>
          <w:p w14:paraId="64AE348A">
            <w:pPr>
              <w:pageBreakBefore w:val="0"/>
              <w:tabs>
                <w:tab w:val="left" w:pos="0"/>
              </w:tabs>
              <w:bidi w:val="0"/>
              <w:adjustRightInd w:val="0"/>
              <w:snapToGrid w:val="0"/>
              <w:jc w:val="center"/>
              <w:outlineLvl w:val="9"/>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标准</w:t>
            </w:r>
          </w:p>
        </w:tc>
        <w:tc>
          <w:tcPr>
            <w:tcW w:w="8155" w:type="dxa"/>
            <w:vAlign w:val="center"/>
          </w:tcPr>
          <w:p w14:paraId="356FD34A">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供应商须为独立承担民事责任能力的法人或其他组织，并出具有效的营业执照等国家规定的相关主体资格证明资料</w:t>
            </w:r>
          </w:p>
        </w:tc>
      </w:tr>
      <w:tr w14:paraId="2C8E0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5FEF70F2">
            <w:pPr>
              <w:pageBreakBefore w:val="0"/>
              <w:tabs>
                <w:tab w:val="left" w:pos="0"/>
              </w:tabs>
              <w:bidi w:val="0"/>
              <w:adjustRightInd w:val="0"/>
              <w:snapToGrid w:val="0"/>
              <w:jc w:val="center"/>
              <w:outlineLvl w:val="9"/>
              <w:rPr>
                <w:rFonts w:hint="eastAsia" w:ascii="宋体" w:hAnsi="宋体" w:eastAsia="宋体" w:cs="宋体"/>
                <w:b/>
                <w:color w:val="auto"/>
                <w:szCs w:val="24"/>
                <w:highlight w:val="none"/>
              </w:rPr>
            </w:pPr>
          </w:p>
        </w:tc>
        <w:tc>
          <w:tcPr>
            <w:tcW w:w="600" w:type="dxa"/>
            <w:gridSpan w:val="2"/>
            <w:vMerge w:val="continue"/>
            <w:vAlign w:val="center"/>
          </w:tcPr>
          <w:p w14:paraId="508DFDD3">
            <w:pPr>
              <w:pageBreakBefore w:val="0"/>
              <w:tabs>
                <w:tab w:val="left" w:pos="0"/>
              </w:tabs>
              <w:bidi w:val="0"/>
              <w:adjustRightInd w:val="0"/>
              <w:snapToGrid w:val="0"/>
              <w:jc w:val="center"/>
              <w:outlineLvl w:val="9"/>
              <w:rPr>
                <w:rFonts w:hint="eastAsia" w:ascii="宋体" w:hAnsi="宋体" w:eastAsia="宋体" w:cs="宋体"/>
                <w:b/>
                <w:color w:val="auto"/>
                <w:szCs w:val="24"/>
                <w:highlight w:val="none"/>
              </w:rPr>
            </w:pPr>
          </w:p>
        </w:tc>
        <w:tc>
          <w:tcPr>
            <w:tcW w:w="8155" w:type="dxa"/>
            <w:vAlign w:val="center"/>
          </w:tcPr>
          <w:p w14:paraId="5E1EDF0A">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shd w:val="clear" w:fill="FFFFFF"/>
              </w:rPr>
              <w:t>供应商须提供《医疗器械经营许可证》或《医疗器械经营备案凭证》或《医疗器械生产许可证》或《医疗器械生产备案凭证》</w:t>
            </w:r>
          </w:p>
        </w:tc>
      </w:tr>
      <w:tr w14:paraId="1151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5B26B102">
            <w:pPr>
              <w:pageBreakBefore w:val="0"/>
              <w:tabs>
                <w:tab w:val="left" w:pos="0"/>
              </w:tabs>
              <w:bidi w:val="0"/>
              <w:adjustRightInd w:val="0"/>
              <w:snapToGrid w:val="0"/>
              <w:jc w:val="center"/>
              <w:outlineLvl w:val="9"/>
              <w:rPr>
                <w:rFonts w:hint="eastAsia" w:ascii="宋体" w:hAnsi="宋体" w:eastAsia="宋体" w:cs="宋体"/>
                <w:b/>
                <w:color w:val="auto"/>
                <w:szCs w:val="24"/>
                <w:highlight w:val="none"/>
              </w:rPr>
            </w:pPr>
          </w:p>
        </w:tc>
        <w:tc>
          <w:tcPr>
            <w:tcW w:w="600" w:type="dxa"/>
            <w:gridSpan w:val="2"/>
            <w:vMerge w:val="continue"/>
            <w:vAlign w:val="center"/>
          </w:tcPr>
          <w:p w14:paraId="4FA8E5C7">
            <w:pPr>
              <w:pageBreakBefore w:val="0"/>
              <w:tabs>
                <w:tab w:val="left" w:pos="0"/>
              </w:tabs>
              <w:bidi w:val="0"/>
              <w:adjustRightInd w:val="0"/>
              <w:snapToGrid w:val="0"/>
              <w:jc w:val="center"/>
              <w:outlineLvl w:val="9"/>
              <w:rPr>
                <w:rFonts w:hint="eastAsia" w:ascii="宋体" w:hAnsi="宋体" w:eastAsia="宋体" w:cs="宋体"/>
                <w:b/>
                <w:color w:val="auto"/>
                <w:szCs w:val="24"/>
                <w:highlight w:val="none"/>
              </w:rPr>
            </w:pPr>
          </w:p>
        </w:tc>
        <w:tc>
          <w:tcPr>
            <w:tcW w:w="8155" w:type="dxa"/>
            <w:vAlign w:val="center"/>
          </w:tcPr>
          <w:p w14:paraId="406F0BE4">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rPr>
              <w:t>提供202</w:t>
            </w:r>
            <w:r>
              <w:rPr>
                <w:rFonts w:hint="eastAsia" w:ascii="宋体" w:hAnsi="宋体" w:eastAsia="宋体" w:cs="宋体"/>
                <w:i w:val="0"/>
                <w:iCs w:val="0"/>
                <w:caps w:val="0"/>
                <w:color w:val="auto"/>
                <w:spacing w:val="0"/>
                <w:sz w:val="21"/>
                <w:szCs w:val="21"/>
                <w:highlight w:val="none"/>
                <w:shd w:val="clear" w:color="auto" w:fill="FFFFFF"/>
                <w:lang w:val="en-US" w:eastAsia="zh-CN"/>
              </w:rPr>
              <w:t>3</w:t>
            </w:r>
            <w:r>
              <w:rPr>
                <w:rFonts w:hint="eastAsia" w:ascii="宋体" w:hAnsi="宋体" w:eastAsia="宋体" w:cs="宋体"/>
                <w:i w:val="0"/>
                <w:iCs w:val="0"/>
                <w:caps w:val="0"/>
                <w:color w:val="auto"/>
                <w:spacing w:val="0"/>
                <w:sz w:val="21"/>
                <w:szCs w:val="21"/>
                <w:highlight w:val="none"/>
                <w:shd w:val="clear" w:color="auto" w:fill="FFFFFF"/>
              </w:rPr>
              <w:t>年经会计师事务所审计的财务审计报告或近三个月内银行出具的资信证明；</w:t>
            </w:r>
          </w:p>
        </w:tc>
      </w:tr>
      <w:tr w14:paraId="07156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418F1D0E">
            <w:pPr>
              <w:pageBreakBefore w:val="0"/>
              <w:tabs>
                <w:tab w:val="left" w:pos="0"/>
              </w:tabs>
              <w:bidi w:val="0"/>
              <w:adjustRightInd w:val="0"/>
              <w:snapToGrid w:val="0"/>
              <w:jc w:val="center"/>
              <w:outlineLvl w:val="9"/>
              <w:rPr>
                <w:rFonts w:hint="eastAsia" w:ascii="宋体" w:hAnsi="宋体" w:eastAsia="宋体" w:cs="宋体"/>
                <w:b/>
                <w:color w:val="auto"/>
                <w:szCs w:val="24"/>
                <w:highlight w:val="none"/>
              </w:rPr>
            </w:pPr>
          </w:p>
        </w:tc>
        <w:tc>
          <w:tcPr>
            <w:tcW w:w="600" w:type="dxa"/>
            <w:gridSpan w:val="2"/>
            <w:vMerge w:val="continue"/>
            <w:vAlign w:val="center"/>
          </w:tcPr>
          <w:p w14:paraId="07D4BF97">
            <w:pPr>
              <w:pageBreakBefore w:val="0"/>
              <w:tabs>
                <w:tab w:val="left" w:pos="0"/>
              </w:tabs>
              <w:bidi w:val="0"/>
              <w:adjustRightInd w:val="0"/>
              <w:snapToGrid w:val="0"/>
              <w:jc w:val="center"/>
              <w:outlineLvl w:val="9"/>
              <w:rPr>
                <w:rFonts w:hint="eastAsia" w:ascii="宋体" w:hAnsi="宋体" w:eastAsia="宋体" w:cs="宋体"/>
                <w:b/>
                <w:color w:val="auto"/>
                <w:szCs w:val="24"/>
                <w:highlight w:val="none"/>
              </w:rPr>
            </w:pPr>
          </w:p>
        </w:tc>
        <w:tc>
          <w:tcPr>
            <w:tcW w:w="8155" w:type="dxa"/>
            <w:vAlign w:val="center"/>
          </w:tcPr>
          <w:p w14:paraId="4AD9139B">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rPr>
              <w:t>提供202</w:t>
            </w:r>
            <w:r>
              <w:rPr>
                <w:rFonts w:hint="eastAsia" w:ascii="宋体" w:hAnsi="宋体" w:eastAsia="宋体" w:cs="宋体"/>
                <w:i w:val="0"/>
                <w:iCs w:val="0"/>
                <w:caps w:val="0"/>
                <w:color w:val="auto"/>
                <w:spacing w:val="0"/>
                <w:sz w:val="21"/>
                <w:szCs w:val="21"/>
                <w:highlight w:val="none"/>
                <w:shd w:val="clear" w:color="auto" w:fill="FFFFFF"/>
                <w:lang w:val="en-US" w:eastAsia="zh-CN"/>
              </w:rPr>
              <w:t>4</w:t>
            </w:r>
            <w:r>
              <w:rPr>
                <w:rFonts w:hint="eastAsia" w:ascii="宋体" w:hAnsi="宋体" w:eastAsia="宋体" w:cs="宋体"/>
                <w:i w:val="0"/>
                <w:iCs w:val="0"/>
                <w:caps w:val="0"/>
                <w:color w:val="auto"/>
                <w:spacing w:val="0"/>
                <w:sz w:val="21"/>
                <w:szCs w:val="21"/>
                <w:highlight w:val="none"/>
                <w:shd w:val="clear" w:color="auto" w:fill="FFFFFF"/>
              </w:rPr>
              <w:t>年1月1日至今已缴纳的至少</w:t>
            </w:r>
            <w:r>
              <w:rPr>
                <w:rFonts w:hint="eastAsia" w:ascii="宋体" w:hAnsi="宋体" w:cs="宋体"/>
                <w:i w:val="0"/>
                <w:iCs w:val="0"/>
                <w:caps w:val="0"/>
                <w:color w:val="auto"/>
                <w:spacing w:val="0"/>
                <w:sz w:val="21"/>
                <w:szCs w:val="21"/>
                <w:highlight w:val="none"/>
                <w:shd w:val="clear" w:color="auto" w:fill="FFFFFF"/>
                <w:lang w:val="en-US" w:eastAsia="zh-CN"/>
              </w:rPr>
              <w:t>一</w:t>
            </w:r>
            <w:r>
              <w:rPr>
                <w:rFonts w:hint="eastAsia" w:ascii="宋体" w:hAnsi="宋体" w:eastAsia="宋体" w:cs="宋体"/>
                <w:i w:val="0"/>
                <w:iCs w:val="0"/>
                <w:caps w:val="0"/>
                <w:color w:val="auto"/>
                <w:spacing w:val="0"/>
                <w:sz w:val="21"/>
                <w:szCs w:val="21"/>
                <w:highlight w:val="none"/>
                <w:shd w:val="clear" w:color="auto" w:fill="FFFFFF"/>
              </w:rPr>
              <w:t>个月的纳税证明，依法免税的供应商应提供相关文件证明；</w:t>
            </w:r>
          </w:p>
        </w:tc>
      </w:tr>
      <w:tr w14:paraId="329E2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60935B24">
            <w:pPr>
              <w:pageBreakBefore w:val="0"/>
              <w:tabs>
                <w:tab w:val="left" w:pos="0"/>
              </w:tabs>
              <w:bidi w:val="0"/>
              <w:adjustRightInd w:val="0"/>
              <w:snapToGrid w:val="0"/>
              <w:jc w:val="center"/>
              <w:outlineLvl w:val="9"/>
              <w:rPr>
                <w:rFonts w:hint="eastAsia" w:ascii="宋体" w:hAnsi="宋体" w:eastAsia="宋体" w:cs="宋体"/>
                <w:b/>
                <w:color w:val="auto"/>
                <w:szCs w:val="24"/>
                <w:highlight w:val="none"/>
              </w:rPr>
            </w:pPr>
          </w:p>
        </w:tc>
        <w:tc>
          <w:tcPr>
            <w:tcW w:w="600" w:type="dxa"/>
            <w:gridSpan w:val="2"/>
            <w:vMerge w:val="continue"/>
            <w:vAlign w:val="center"/>
          </w:tcPr>
          <w:p w14:paraId="79057DE7">
            <w:pPr>
              <w:pageBreakBefore w:val="0"/>
              <w:tabs>
                <w:tab w:val="left" w:pos="0"/>
              </w:tabs>
              <w:bidi w:val="0"/>
              <w:adjustRightInd w:val="0"/>
              <w:snapToGrid w:val="0"/>
              <w:jc w:val="center"/>
              <w:outlineLvl w:val="9"/>
              <w:rPr>
                <w:rFonts w:hint="eastAsia" w:ascii="宋体" w:hAnsi="宋体" w:eastAsia="宋体" w:cs="宋体"/>
                <w:b/>
                <w:color w:val="auto"/>
                <w:szCs w:val="24"/>
                <w:highlight w:val="none"/>
              </w:rPr>
            </w:pPr>
          </w:p>
        </w:tc>
        <w:tc>
          <w:tcPr>
            <w:tcW w:w="8155" w:type="dxa"/>
            <w:vAlign w:val="center"/>
          </w:tcPr>
          <w:p w14:paraId="39E21BD4">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rPr>
              <w:t>提供202</w:t>
            </w:r>
            <w:r>
              <w:rPr>
                <w:rFonts w:hint="eastAsia" w:ascii="宋体" w:hAnsi="宋体" w:eastAsia="宋体" w:cs="宋体"/>
                <w:i w:val="0"/>
                <w:iCs w:val="0"/>
                <w:caps w:val="0"/>
                <w:color w:val="auto"/>
                <w:spacing w:val="0"/>
                <w:sz w:val="21"/>
                <w:szCs w:val="21"/>
                <w:highlight w:val="none"/>
                <w:shd w:val="clear" w:color="auto" w:fill="FFFFFF"/>
                <w:lang w:val="en-US" w:eastAsia="zh-CN"/>
              </w:rPr>
              <w:t>4</w:t>
            </w:r>
            <w:r>
              <w:rPr>
                <w:rFonts w:hint="eastAsia" w:ascii="宋体" w:hAnsi="宋体" w:eastAsia="宋体" w:cs="宋体"/>
                <w:i w:val="0"/>
                <w:iCs w:val="0"/>
                <w:caps w:val="0"/>
                <w:color w:val="auto"/>
                <w:spacing w:val="0"/>
                <w:sz w:val="21"/>
                <w:szCs w:val="21"/>
                <w:highlight w:val="none"/>
                <w:shd w:val="clear" w:color="auto" w:fill="FFFFFF"/>
              </w:rPr>
              <w:t>年1月1日至今已缴纳的至少</w:t>
            </w:r>
            <w:r>
              <w:rPr>
                <w:rFonts w:hint="eastAsia" w:ascii="宋体" w:hAnsi="宋体" w:cs="宋体"/>
                <w:i w:val="0"/>
                <w:iCs w:val="0"/>
                <w:caps w:val="0"/>
                <w:color w:val="auto"/>
                <w:spacing w:val="0"/>
                <w:sz w:val="21"/>
                <w:szCs w:val="21"/>
                <w:highlight w:val="none"/>
                <w:shd w:val="clear" w:color="auto" w:fill="FFFFFF"/>
                <w:lang w:val="en-US" w:eastAsia="zh-CN"/>
              </w:rPr>
              <w:t>一</w:t>
            </w:r>
            <w:r>
              <w:rPr>
                <w:rFonts w:hint="eastAsia" w:ascii="宋体" w:hAnsi="宋体" w:eastAsia="宋体" w:cs="宋体"/>
                <w:i w:val="0"/>
                <w:iCs w:val="0"/>
                <w:caps w:val="0"/>
                <w:color w:val="auto"/>
                <w:spacing w:val="0"/>
                <w:sz w:val="21"/>
                <w:szCs w:val="21"/>
                <w:highlight w:val="none"/>
                <w:shd w:val="clear" w:color="auto" w:fill="FFFFFF"/>
              </w:rPr>
              <w:t>个月社会保障资金缴存单据或社保机构开具的社会保险参保缴费情况证明，依法不需要缴纳社保的供应商应提供相关文件证明；</w:t>
            </w:r>
          </w:p>
        </w:tc>
      </w:tr>
      <w:tr w14:paraId="630C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64" w:type="dxa"/>
            <w:vMerge w:val="continue"/>
            <w:vAlign w:val="center"/>
          </w:tcPr>
          <w:p w14:paraId="4D87769A">
            <w:pPr>
              <w:pageBreakBefore w:val="0"/>
              <w:tabs>
                <w:tab w:val="left" w:pos="0"/>
              </w:tabs>
              <w:bidi w:val="0"/>
              <w:adjustRightInd w:val="0"/>
              <w:snapToGrid w:val="0"/>
              <w:jc w:val="center"/>
              <w:outlineLvl w:val="9"/>
              <w:rPr>
                <w:rFonts w:hint="eastAsia" w:ascii="宋体" w:hAnsi="宋体" w:eastAsia="宋体" w:cs="宋体"/>
                <w:b/>
                <w:color w:val="auto"/>
                <w:szCs w:val="24"/>
                <w:highlight w:val="none"/>
              </w:rPr>
            </w:pPr>
          </w:p>
        </w:tc>
        <w:tc>
          <w:tcPr>
            <w:tcW w:w="600" w:type="dxa"/>
            <w:gridSpan w:val="2"/>
            <w:vMerge w:val="continue"/>
            <w:vAlign w:val="center"/>
          </w:tcPr>
          <w:p w14:paraId="78EE8BB5">
            <w:pPr>
              <w:pageBreakBefore w:val="0"/>
              <w:tabs>
                <w:tab w:val="left" w:pos="0"/>
              </w:tabs>
              <w:bidi w:val="0"/>
              <w:adjustRightInd w:val="0"/>
              <w:snapToGrid w:val="0"/>
              <w:jc w:val="center"/>
              <w:outlineLvl w:val="9"/>
              <w:rPr>
                <w:rFonts w:hint="eastAsia" w:ascii="宋体" w:hAnsi="宋体" w:eastAsia="宋体" w:cs="宋体"/>
                <w:b/>
                <w:color w:val="auto"/>
                <w:szCs w:val="24"/>
                <w:highlight w:val="none"/>
              </w:rPr>
            </w:pPr>
          </w:p>
        </w:tc>
        <w:tc>
          <w:tcPr>
            <w:tcW w:w="8155" w:type="dxa"/>
            <w:vAlign w:val="center"/>
          </w:tcPr>
          <w:p w14:paraId="07A62FC8">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rPr>
              <w:t>法定代表人授权书及被授权人身份证（法定代表人直接投标只需提供本人身份证）</w:t>
            </w:r>
          </w:p>
        </w:tc>
      </w:tr>
      <w:tr w14:paraId="79FF1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2F8828D4">
            <w:pPr>
              <w:pageBreakBefore w:val="0"/>
              <w:tabs>
                <w:tab w:val="left" w:pos="0"/>
              </w:tabs>
              <w:bidi w:val="0"/>
              <w:adjustRightInd w:val="0"/>
              <w:snapToGrid w:val="0"/>
              <w:jc w:val="center"/>
              <w:outlineLvl w:val="9"/>
              <w:rPr>
                <w:rFonts w:hint="eastAsia" w:ascii="宋体" w:hAnsi="宋体" w:eastAsia="宋体" w:cs="宋体"/>
                <w:b/>
                <w:color w:val="auto"/>
                <w:szCs w:val="24"/>
                <w:highlight w:val="none"/>
              </w:rPr>
            </w:pPr>
          </w:p>
        </w:tc>
        <w:tc>
          <w:tcPr>
            <w:tcW w:w="600" w:type="dxa"/>
            <w:gridSpan w:val="2"/>
            <w:vMerge w:val="continue"/>
            <w:vAlign w:val="center"/>
          </w:tcPr>
          <w:p w14:paraId="7A7C13E9">
            <w:pPr>
              <w:pageBreakBefore w:val="0"/>
              <w:tabs>
                <w:tab w:val="left" w:pos="0"/>
              </w:tabs>
              <w:bidi w:val="0"/>
              <w:adjustRightInd w:val="0"/>
              <w:snapToGrid w:val="0"/>
              <w:jc w:val="center"/>
              <w:outlineLvl w:val="9"/>
              <w:rPr>
                <w:rFonts w:hint="eastAsia" w:ascii="宋体" w:hAnsi="宋体" w:eastAsia="宋体" w:cs="宋体"/>
                <w:b/>
                <w:color w:val="auto"/>
                <w:szCs w:val="24"/>
                <w:highlight w:val="none"/>
              </w:rPr>
            </w:pPr>
          </w:p>
        </w:tc>
        <w:tc>
          <w:tcPr>
            <w:tcW w:w="8155" w:type="dxa"/>
            <w:vAlign w:val="center"/>
          </w:tcPr>
          <w:p w14:paraId="74EFECA0">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rPr>
              <w:t>参加政府采购活动前3年内，在经营活动中没有重大违法记录的书面声明；</w:t>
            </w:r>
          </w:p>
        </w:tc>
      </w:tr>
      <w:tr w14:paraId="11404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4B4DAEFE">
            <w:pPr>
              <w:pageBreakBefore w:val="0"/>
              <w:tabs>
                <w:tab w:val="left" w:pos="0"/>
              </w:tabs>
              <w:bidi w:val="0"/>
              <w:adjustRightInd w:val="0"/>
              <w:snapToGrid w:val="0"/>
              <w:jc w:val="center"/>
              <w:outlineLvl w:val="9"/>
              <w:rPr>
                <w:rFonts w:hint="eastAsia" w:ascii="宋体" w:hAnsi="宋体" w:eastAsia="宋体" w:cs="宋体"/>
                <w:b/>
                <w:color w:val="auto"/>
                <w:szCs w:val="24"/>
                <w:highlight w:val="none"/>
              </w:rPr>
            </w:pPr>
          </w:p>
        </w:tc>
        <w:tc>
          <w:tcPr>
            <w:tcW w:w="600" w:type="dxa"/>
            <w:gridSpan w:val="2"/>
            <w:vMerge w:val="continue"/>
            <w:vAlign w:val="center"/>
          </w:tcPr>
          <w:p w14:paraId="1FADAC26">
            <w:pPr>
              <w:pageBreakBefore w:val="0"/>
              <w:tabs>
                <w:tab w:val="left" w:pos="0"/>
              </w:tabs>
              <w:bidi w:val="0"/>
              <w:adjustRightInd w:val="0"/>
              <w:snapToGrid w:val="0"/>
              <w:jc w:val="center"/>
              <w:outlineLvl w:val="9"/>
              <w:rPr>
                <w:rFonts w:hint="eastAsia" w:ascii="宋体" w:hAnsi="宋体" w:eastAsia="宋体" w:cs="宋体"/>
                <w:b/>
                <w:color w:val="auto"/>
                <w:szCs w:val="24"/>
                <w:highlight w:val="none"/>
              </w:rPr>
            </w:pPr>
          </w:p>
        </w:tc>
        <w:tc>
          <w:tcPr>
            <w:tcW w:w="8155" w:type="dxa"/>
            <w:vAlign w:val="center"/>
          </w:tcPr>
          <w:p w14:paraId="7C5FC75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0"/>
              <w:jc w:val="both"/>
              <w:textAlignment w:val="auto"/>
              <w:rPr>
                <w:rFonts w:hint="eastAsia" w:ascii="宋体" w:hAnsi="宋体" w:eastAsia="宋体" w:cs="宋体"/>
                <w:i w:val="0"/>
                <w:iCs w:val="0"/>
                <w:caps w:val="0"/>
                <w:color w:val="auto"/>
                <w:spacing w:val="0"/>
                <w:kern w:val="2"/>
                <w:sz w:val="21"/>
                <w:szCs w:val="21"/>
                <w:highlight w:val="none"/>
                <w:shd w:val="clear" w:color="auto" w:fill="FFFFFF"/>
                <w:lang w:val="en-US" w:eastAsia="zh-CN" w:bidi="ar-SA"/>
              </w:rPr>
            </w:pPr>
            <w:r>
              <w:rPr>
                <w:rFonts w:hint="eastAsia" w:ascii="宋体" w:hAnsi="宋体" w:eastAsia="宋体" w:cs="宋体"/>
                <w:i w:val="0"/>
                <w:iCs w:val="0"/>
                <w:caps w:val="0"/>
                <w:color w:val="auto"/>
                <w:spacing w:val="0"/>
                <w:sz w:val="21"/>
                <w:szCs w:val="21"/>
                <w:highlight w:val="none"/>
                <w:shd w:val="clear" w:color="auto" w:fill="FFFFFF"/>
              </w:rPr>
              <w:t>供应商不得为“中国执行信息公开网”列入失信被执行人名单的供应商，不得为“信用中国”网列入</w:t>
            </w:r>
            <w:r>
              <w:rPr>
                <w:rFonts w:hint="eastAsia" w:ascii="宋体" w:hAnsi="宋体" w:eastAsia="宋体" w:cs="宋体"/>
                <w:i w:val="0"/>
                <w:iCs w:val="0"/>
                <w:caps w:val="0"/>
                <w:color w:val="auto"/>
                <w:spacing w:val="0"/>
                <w:sz w:val="21"/>
                <w:szCs w:val="21"/>
                <w:highlight w:val="none"/>
                <w:shd w:val="clear" w:color="auto" w:fill="FFFFFF"/>
                <w:lang w:val="en-US" w:eastAsia="zh-CN"/>
              </w:rPr>
              <w:t>重大税收违法失信主体</w:t>
            </w:r>
            <w:r>
              <w:rPr>
                <w:rFonts w:hint="eastAsia" w:ascii="宋体" w:hAnsi="宋体" w:eastAsia="宋体" w:cs="宋体"/>
                <w:i w:val="0"/>
                <w:iCs w:val="0"/>
                <w:caps w:val="0"/>
                <w:color w:val="auto"/>
                <w:spacing w:val="0"/>
                <w:sz w:val="21"/>
                <w:szCs w:val="21"/>
                <w:highlight w:val="none"/>
                <w:shd w:val="clear" w:color="auto" w:fill="FFFFFF"/>
              </w:rPr>
              <w:t>名单的供应商，不得为中国政府采购网政府采购严重违法失信行为记录名单中被财政部门禁止参加政府采购活动的供应商（提供</w:t>
            </w:r>
            <w:r>
              <w:rPr>
                <w:rFonts w:hint="eastAsia" w:ascii="宋体" w:hAnsi="宋体" w:eastAsia="宋体" w:cs="宋体"/>
                <w:i w:val="0"/>
                <w:iCs w:val="0"/>
                <w:caps w:val="0"/>
                <w:color w:val="auto"/>
                <w:spacing w:val="0"/>
                <w:sz w:val="21"/>
                <w:szCs w:val="21"/>
                <w:highlight w:val="none"/>
                <w:shd w:val="clear" w:color="auto" w:fill="FFFFFF"/>
                <w:lang w:val="en-US" w:eastAsia="zh-CN"/>
              </w:rPr>
              <w:t>承诺书</w:t>
            </w:r>
            <w:r>
              <w:rPr>
                <w:rFonts w:hint="eastAsia" w:ascii="宋体" w:hAnsi="宋体" w:eastAsia="宋体" w:cs="宋体"/>
                <w:i w:val="0"/>
                <w:iCs w:val="0"/>
                <w:caps w:val="0"/>
                <w:color w:val="auto"/>
                <w:spacing w:val="0"/>
                <w:sz w:val="21"/>
                <w:szCs w:val="21"/>
                <w:highlight w:val="none"/>
                <w:shd w:val="clear" w:color="auto" w:fill="FFFFFF"/>
              </w:rPr>
              <w:t>）</w:t>
            </w:r>
          </w:p>
        </w:tc>
      </w:tr>
      <w:tr w14:paraId="23E1D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19" w:type="dxa"/>
            <w:gridSpan w:val="4"/>
            <w:vAlign w:val="center"/>
          </w:tcPr>
          <w:p w14:paraId="146C834B">
            <w:pPr>
              <w:pageBreakBefore w:val="0"/>
              <w:tabs>
                <w:tab w:val="left" w:pos="0"/>
              </w:tabs>
              <w:bidi w:val="0"/>
              <w:adjustRightInd w:val="0"/>
              <w:snapToGrid w:val="0"/>
              <w:jc w:val="left"/>
              <w:outlineLvl w:val="9"/>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注：以上为必备资质，缺一项或某项达不到要求，按无效投标处理。</w:t>
            </w:r>
          </w:p>
        </w:tc>
      </w:tr>
      <w:tr w14:paraId="54FD0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restart"/>
            <w:vAlign w:val="center"/>
          </w:tcPr>
          <w:p w14:paraId="64933C9B">
            <w:pPr>
              <w:pageBreakBefore w:val="0"/>
              <w:tabs>
                <w:tab w:val="left" w:pos="0"/>
              </w:tabs>
              <w:bidi w:val="0"/>
              <w:adjustRightInd w:val="0"/>
              <w:snapToGrid w:val="0"/>
              <w:spacing w:line="360" w:lineRule="auto"/>
              <w:jc w:val="center"/>
              <w:outlineLvl w:val="9"/>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2.1.2</w:t>
            </w:r>
          </w:p>
        </w:tc>
        <w:tc>
          <w:tcPr>
            <w:tcW w:w="592" w:type="dxa"/>
            <w:vMerge w:val="restart"/>
            <w:vAlign w:val="center"/>
          </w:tcPr>
          <w:p w14:paraId="1C334926">
            <w:pPr>
              <w:pageBreakBefore w:val="0"/>
              <w:tabs>
                <w:tab w:val="left" w:pos="0"/>
              </w:tabs>
              <w:bidi w:val="0"/>
              <w:adjustRightInd w:val="0"/>
              <w:snapToGrid w:val="0"/>
              <w:jc w:val="center"/>
              <w:outlineLvl w:val="9"/>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符合性评</w:t>
            </w:r>
          </w:p>
          <w:p w14:paraId="7214A6D6">
            <w:pPr>
              <w:pageBreakBefore w:val="0"/>
              <w:tabs>
                <w:tab w:val="left" w:pos="0"/>
              </w:tabs>
              <w:bidi w:val="0"/>
              <w:adjustRightInd w:val="0"/>
              <w:snapToGrid w:val="0"/>
              <w:jc w:val="center"/>
              <w:outlineLvl w:val="9"/>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审标准</w:t>
            </w:r>
          </w:p>
          <w:p w14:paraId="42096A25">
            <w:pPr>
              <w:pageBreakBefore w:val="0"/>
              <w:tabs>
                <w:tab w:val="left" w:pos="0"/>
              </w:tabs>
              <w:bidi w:val="0"/>
              <w:adjustRightInd w:val="0"/>
              <w:snapToGrid w:val="0"/>
              <w:jc w:val="center"/>
              <w:outlineLvl w:val="9"/>
              <w:rPr>
                <w:rFonts w:hint="eastAsia" w:ascii="宋体" w:hAnsi="宋体" w:eastAsia="宋体" w:cs="宋体"/>
                <w:b/>
                <w:bCs/>
                <w:color w:val="auto"/>
                <w:szCs w:val="24"/>
                <w:highlight w:val="none"/>
              </w:rPr>
            </w:pPr>
          </w:p>
        </w:tc>
        <w:tc>
          <w:tcPr>
            <w:tcW w:w="8163" w:type="dxa"/>
            <w:gridSpan w:val="2"/>
            <w:vAlign w:val="center"/>
          </w:tcPr>
          <w:p w14:paraId="30AD8F1E">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val="en-US" w:eastAsia="zh-CN"/>
              </w:rPr>
              <w:t>投标文件的签字、盖章符合招标文件的规定。</w:t>
            </w:r>
          </w:p>
        </w:tc>
      </w:tr>
      <w:tr w14:paraId="262FA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64" w:type="dxa"/>
            <w:vMerge w:val="continue"/>
          </w:tcPr>
          <w:p w14:paraId="61F67EBC">
            <w:pPr>
              <w:pageBreakBefore w:val="0"/>
              <w:tabs>
                <w:tab w:val="left" w:pos="0"/>
              </w:tabs>
              <w:bidi w:val="0"/>
              <w:adjustRightInd w:val="0"/>
              <w:snapToGrid w:val="0"/>
              <w:spacing w:line="360" w:lineRule="auto"/>
              <w:outlineLvl w:val="9"/>
              <w:rPr>
                <w:rFonts w:hint="eastAsia" w:ascii="宋体" w:hAnsi="宋体" w:eastAsia="宋体" w:cs="宋体"/>
                <w:b/>
                <w:bCs/>
                <w:color w:val="auto"/>
                <w:szCs w:val="24"/>
                <w:highlight w:val="none"/>
              </w:rPr>
            </w:pPr>
          </w:p>
        </w:tc>
        <w:tc>
          <w:tcPr>
            <w:tcW w:w="592" w:type="dxa"/>
            <w:vMerge w:val="continue"/>
          </w:tcPr>
          <w:p w14:paraId="7132D90A">
            <w:pPr>
              <w:pageBreakBefore w:val="0"/>
              <w:tabs>
                <w:tab w:val="left" w:pos="0"/>
              </w:tabs>
              <w:bidi w:val="0"/>
              <w:adjustRightInd w:val="0"/>
              <w:snapToGrid w:val="0"/>
              <w:jc w:val="center"/>
              <w:outlineLvl w:val="9"/>
              <w:rPr>
                <w:rFonts w:hint="eastAsia" w:ascii="宋体" w:hAnsi="宋体" w:eastAsia="宋体" w:cs="宋体"/>
                <w:b/>
                <w:bCs/>
                <w:color w:val="auto"/>
                <w:szCs w:val="24"/>
                <w:highlight w:val="none"/>
              </w:rPr>
            </w:pPr>
          </w:p>
        </w:tc>
        <w:tc>
          <w:tcPr>
            <w:tcW w:w="8163" w:type="dxa"/>
            <w:gridSpan w:val="2"/>
            <w:vAlign w:val="center"/>
          </w:tcPr>
          <w:p w14:paraId="0030BD38">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val="en-US" w:eastAsia="zh-CN"/>
              </w:rPr>
              <w:t>投标文件格式符合招标文件中“投标文件格式”的要求</w:t>
            </w:r>
          </w:p>
        </w:tc>
      </w:tr>
      <w:tr w14:paraId="5DC6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14:paraId="5C2F84D4">
            <w:pPr>
              <w:pageBreakBefore w:val="0"/>
              <w:tabs>
                <w:tab w:val="left" w:pos="0"/>
              </w:tabs>
              <w:bidi w:val="0"/>
              <w:adjustRightInd w:val="0"/>
              <w:snapToGrid w:val="0"/>
              <w:spacing w:line="360" w:lineRule="auto"/>
              <w:outlineLvl w:val="9"/>
              <w:rPr>
                <w:rFonts w:hint="eastAsia" w:ascii="宋体" w:hAnsi="宋体" w:eastAsia="宋体" w:cs="宋体"/>
                <w:b/>
                <w:bCs/>
                <w:color w:val="auto"/>
                <w:szCs w:val="24"/>
                <w:highlight w:val="none"/>
              </w:rPr>
            </w:pPr>
          </w:p>
        </w:tc>
        <w:tc>
          <w:tcPr>
            <w:tcW w:w="592" w:type="dxa"/>
            <w:vMerge w:val="continue"/>
          </w:tcPr>
          <w:p w14:paraId="6B024FCF">
            <w:pPr>
              <w:pageBreakBefore w:val="0"/>
              <w:tabs>
                <w:tab w:val="left" w:pos="0"/>
              </w:tabs>
              <w:bidi w:val="0"/>
              <w:adjustRightInd w:val="0"/>
              <w:snapToGrid w:val="0"/>
              <w:jc w:val="center"/>
              <w:outlineLvl w:val="9"/>
              <w:rPr>
                <w:rFonts w:hint="eastAsia" w:ascii="宋体" w:hAnsi="宋体" w:eastAsia="宋体" w:cs="宋体"/>
                <w:b/>
                <w:bCs/>
                <w:color w:val="auto"/>
                <w:szCs w:val="24"/>
                <w:highlight w:val="none"/>
              </w:rPr>
            </w:pPr>
          </w:p>
        </w:tc>
        <w:tc>
          <w:tcPr>
            <w:tcW w:w="8163" w:type="dxa"/>
            <w:gridSpan w:val="2"/>
            <w:vAlign w:val="center"/>
          </w:tcPr>
          <w:p w14:paraId="3D4A2858">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val="en-US" w:eastAsia="zh-CN"/>
              </w:rPr>
              <w:t>只能有一个有效报价，不得提交选择性报价，且报价不超过采购预算金额或最高限价。</w:t>
            </w:r>
          </w:p>
        </w:tc>
      </w:tr>
      <w:tr w14:paraId="6C117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14:paraId="7674395A">
            <w:pPr>
              <w:pageBreakBefore w:val="0"/>
              <w:tabs>
                <w:tab w:val="left" w:pos="0"/>
              </w:tabs>
              <w:bidi w:val="0"/>
              <w:adjustRightInd w:val="0"/>
              <w:snapToGrid w:val="0"/>
              <w:spacing w:line="360" w:lineRule="auto"/>
              <w:outlineLvl w:val="9"/>
              <w:rPr>
                <w:rFonts w:hint="eastAsia" w:ascii="宋体" w:hAnsi="宋体" w:eastAsia="宋体" w:cs="宋体"/>
                <w:b/>
                <w:bCs/>
                <w:color w:val="auto"/>
                <w:szCs w:val="24"/>
                <w:highlight w:val="none"/>
              </w:rPr>
            </w:pPr>
          </w:p>
        </w:tc>
        <w:tc>
          <w:tcPr>
            <w:tcW w:w="592" w:type="dxa"/>
            <w:vMerge w:val="continue"/>
          </w:tcPr>
          <w:p w14:paraId="6E09ED0F">
            <w:pPr>
              <w:pageBreakBefore w:val="0"/>
              <w:tabs>
                <w:tab w:val="left" w:pos="0"/>
              </w:tabs>
              <w:bidi w:val="0"/>
              <w:adjustRightInd w:val="0"/>
              <w:snapToGrid w:val="0"/>
              <w:jc w:val="center"/>
              <w:outlineLvl w:val="9"/>
              <w:rPr>
                <w:rFonts w:hint="eastAsia" w:ascii="宋体" w:hAnsi="宋体" w:eastAsia="宋体" w:cs="宋体"/>
                <w:b/>
                <w:bCs/>
                <w:color w:val="auto"/>
                <w:szCs w:val="24"/>
                <w:highlight w:val="none"/>
              </w:rPr>
            </w:pPr>
          </w:p>
        </w:tc>
        <w:tc>
          <w:tcPr>
            <w:tcW w:w="8163" w:type="dxa"/>
            <w:gridSpan w:val="2"/>
            <w:vAlign w:val="center"/>
          </w:tcPr>
          <w:p w14:paraId="1BE1A4F8">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val="en-US" w:eastAsia="zh-CN"/>
              </w:rPr>
              <w:t>投标保证金满足招标文件中的规定</w:t>
            </w:r>
          </w:p>
        </w:tc>
      </w:tr>
      <w:tr w14:paraId="46E7D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15A27478">
            <w:pPr>
              <w:pageBreakBefore w:val="0"/>
              <w:tabs>
                <w:tab w:val="left" w:pos="0"/>
              </w:tabs>
              <w:bidi w:val="0"/>
              <w:adjustRightInd w:val="0"/>
              <w:snapToGrid w:val="0"/>
              <w:spacing w:line="360" w:lineRule="auto"/>
              <w:jc w:val="center"/>
              <w:outlineLvl w:val="9"/>
              <w:rPr>
                <w:rFonts w:hint="eastAsia" w:ascii="宋体" w:hAnsi="宋体" w:eastAsia="宋体" w:cs="宋体"/>
                <w:b/>
                <w:bCs/>
                <w:color w:val="auto"/>
                <w:szCs w:val="24"/>
                <w:highlight w:val="none"/>
              </w:rPr>
            </w:pPr>
          </w:p>
        </w:tc>
        <w:tc>
          <w:tcPr>
            <w:tcW w:w="592" w:type="dxa"/>
            <w:vMerge w:val="continue"/>
            <w:vAlign w:val="center"/>
          </w:tcPr>
          <w:p w14:paraId="0066FB01">
            <w:pPr>
              <w:pageBreakBefore w:val="0"/>
              <w:tabs>
                <w:tab w:val="left" w:pos="0"/>
              </w:tabs>
              <w:bidi w:val="0"/>
              <w:adjustRightInd w:val="0"/>
              <w:snapToGrid w:val="0"/>
              <w:jc w:val="center"/>
              <w:outlineLvl w:val="9"/>
              <w:rPr>
                <w:rFonts w:hint="eastAsia" w:ascii="宋体" w:hAnsi="宋体" w:eastAsia="宋体" w:cs="宋体"/>
                <w:b/>
                <w:bCs/>
                <w:color w:val="auto"/>
                <w:szCs w:val="24"/>
                <w:highlight w:val="none"/>
              </w:rPr>
            </w:pPr>
          </w:p>
        </w:tc>
        <w:tc>
          <w:tcPr>
            <w:tcW w:w="8163" w:type="dxa"/>
            <w:gridSpan w:val="2"/>
            <w:vAlign w:val="center"/>
          </w:tcPr>
          <w:p w14:paraId="00511639">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val="en-US" w:eastAsia="zh-CN"/>
              </w:rPr>
              <w:t>交货期满足招标文件中的规定</w:t>
            </w:r>
          </w:p>
        </w:tc>
      </w:tr>
      <w:tr w14:paraId="3944A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64" w:type="dxa"/>
            <w:vMerge w:val="continue"/>
          </w:tcPr>
          <w:p w14:paraId="3F117FC7">
            <w:pPr>
              <w:pageBreakBefore w:val="0"/>
              <w:tabs>
                <w:tab w:val="left" w:pos="0"/>
              </w:tabs>
              <w:bidi w:val="0"/>
              <w:adjustRightInd w:val="0"/>
              <w:snapToGrid w:val="0"/>
              <w:spacing w:line="360" w:lineRule="auto"/>
              <w:outlineLvl w:val="9"/>
              <w:rPr>
                <w:rFonts w:hint="eastAsia" w:ascii="宋体" w:hAnsi="宋体" w:eastAsia="宋体" w:cs="宋体"/>
                <w:b/>
                <w:bCs/>
                <w:color w:val="auto"/>
                <w:szCs w:val="24"/>
                <w:highlight w:val="none"/>
              </w:rPr>
            </w:pPr>
          </w:p>
        </w:tc>
        <w:tc>
          <w:tcPr>
            <w:tcW w:w="592" w:type="dxa"/>
            <w:vMerge w:val="continue"/>
          </w:tcPr>
          <w:p w14:paraId="31F48C01">
            <w:pPr>
              <w:pageBreakBefore w:val="0"/>
              <w:tabs>
                <w:tab w:val="left" w:pos="0"/>
              </w:tabs>
              <w:bidi w:val="0"/>
              <w:adjustRightInd w:val="0"/>
              <w:snapToGrid w:val="0"/>
              <w:spacing w:line="360" w:lineRule="auto"/>
              <w:outlineLvl w:val="9"/>
              <w:rPr>
                <w:rFonts w:hint="eastAsia" w:ascii="宋体" w:hAnsi="宋体" w:eastAsia="宋体" w:cs="宋体"/>
                <w:b/>
                <w:bCs/>
                <w:color w:val="auto"/>
                <w:szCs w:val="24"/>
                <w:highlight w:val="none"/>
              </w:rPr>
            </w:pPr>
          </w:p>
        </w:tc>
        <w:tc>
          <w:tcPr>
            <w:tcW w:w="8163" w:type="dxa"/>
            <w:gridSpan w:val="2"/>
            <w:vAlign w:val="center"/>
          </w:tcPr>
          <w:p w14:paraId="52995020">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val="en-US" w:eastAsia="zh-CN"/>
              </w:rPr>
              <w:t>质保期满足招标文件中的规定</w:t>
            </w:r>
          </w:p>
        </w:tc>
      </w:tr>
      <w:tr w14:paraId="139BC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14:paraId="4C53F5FA">
            <w:pPr>
              <w:pageBreakBefore w:val="0"/>
              <w:tabs>
                <w:tab w:val="left" w:pos="0"/>
              </w:tabs>
              <w:bidi w:val="0"/>
              <w:adjustRightInd w:val="0"/>
              <w:snapToGrid w:val="0"/>
              <w:spacing w:line="360" w:lineRule="auto"/>
              <w:outlineLvl w:val="9"/>
              <w:rPr>
                <w:rFonts w:hint="eastAsia" w:ascii="宋体" w:hAnsi="宋体" w:eastAsia="宋体" w:cs="宋体"/>
                <w:b/>
                <w:bCs/>
                <w:color w:val="auto"/>
                <w:szCs w:val="24"/>
                <w:highlight w:val="none"/>
              </w:rPr>
            </w:pPr>
          </w:p>
        </w:tc>
        <w:tc>
          <w:tcPr>
            <w:tcW w:w="592" w:type="dxa"/>
            <w:vMerge w:val="continue"/>
          </w:tcPr>
          <w:p w14:paraId="23E594E9">
            <w:pPr>
              <w:pageBreakBefore w:val="0"/>
              <w:tabs>
                <w:tab w:val="left" w:pos="0"/>
              </w:tabs>
              <w:bidi w:val="0"/>
              <w:adjustRightInd w:val="0"/>
              <w:snapToGrid w:val="0"/>
              <w:spacing w:line="360" w:lineRule="auto"/>
              <w:outlineLvl w:val="9"/>
              <w:rPr>
                <w:rFonts w:hint="eastAsia" w:ascii="宋体" w:hAnsi="宋体" w:eastAsia="宋体" w:cs="宋体"/>
                <w:b/>
                <w:bCs/>
                <w:color w:val="auto"/>
                <w:szCs w:val="24"/>
                <w:highlight w:val="none"/>
              </w:rPr>
            </w:pPr>
          </w:p>
        </w:tc>
        <w:tc>
          <w:tcPr>
            <w:tcW w:w="8163" w:type="dxa"/>
            <w:gridSpan w:val="2"/>
            <w:vAlign w:val="center"/>
          </w:tcPr>
          <w:p w14:paraId="41A90A0C">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1"/>
                <w:szCs w:val="21"/>
                <w:highlight w:val="none"/>
                <w:shd w:val="clear" w:fill="FFFFFF"/>
              </w:rPr>
            </w:pPr>
            <w:r>
              <w:rPr>
                <w:rFonts w:hint="eastAsia" w:ascii="宋体" w:hAnsi="宋体" w:eastAsia="宋体" w:cs="宋体"/>
                <w:i w:val="0"/>
                <w:iCs w:val="0"/>
                <w:caps w:val="0"/>
                <w:color w:val="auto"/>
                <w:spacing w:val="0"/>
                <w:sz w:val="21"/>
                <w:szCs w:val="21"/>
                <w:highlight w:val="none"/>
                <w:shd w:val="clear" w:fill="FFFFFF"/>
                <w:lang w:val="en-US" w:eastAsia="zh-CN"/>
              </w:rPr>
              <w:t>投标有效期满足招标文件中的规定</w:t>
            </w:r>
          </w:p>
        </w:tc>
      </w:tr>
    </w:tbl>
    <w:p w14:paraId="1B566827">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bookmarkStart w:id="15" w:name="_GoBack"/>
      <w:bookmarkEnd w:id="15"/>
      <w:r>
        <w:rPr>
          <w:rFonts w:hint="eastAsia" w:ascii="宋体" w:hAnsi="宋体" w:eastAsia="宋体" w:cs="宋体"/>
          <w:color w:val="auto"/>
          <w:sz w:val="24"/>
          <w:szCs w:val="24"/>
          <w:highlight w:val="none"/>
        </w:rPr>
        <w:t>（4）在投标文件的评审和比较、中标单位的确定过程中，供应商向评标委员会施加压力的任何行为，都将会导致其投标被拒绝。</w:t>
      </w:r>
    </w:p>
    <w:p w14:paraId="78473244">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委员会对投标文件的有效性、完整性和响应程度或其他内容有疑问的，评标委员会可要求供应商对投标文件含义不明确、同类问题表述不一致、有明显文字和计算错误其他内容作必要的澄清、说明或者更正。供应商应采用书面形式进行澄清、说明或者更正，并由法定代表人或授权代表签字或盖章。澄清、说明或者更正的内容不得超出投标文件的范围或改变投标文件的实质性内容。评标委员会不得寻求或建议对投标件的实质进行变更。</w:t>
      </w:r>
    </w:p>
    <w:p w14:paraId="6D05BEAB">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质询工作应当由全体评标委员会成员参加。对于实质性不符合招标文件的，评标委员会有权予以拒绝。质询工作应做书面记录，采购人代表、评标委员会成员及供应商应在记录上签字确认。</w:t>
      </w:r>
    </w:p>
    <w:p w14:paraId="56864E0F">
      <w:pPr>
        <w:pageBreakBefore w:val="0"/>
        <w:bidi w:val="0"/>
        <w:spacing w:line="460" w:lineRule="exact"/>
        <w:ind w:firstLine="551" w:firstLineChars="196"/>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rPr>
        <w:t>、评分标准</w:t>
      </w:r>
    </w:p>
    <w:tbl>
      <w:tblPr>
        <w:tblStyle w:val="24"/>
        <w:tblW w:w="90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826"/>
        <w:gridCol w:w="6794"/>
      </w:tblGrid>
      <w:tr w14:paraId="757FA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431" w:type="dxa"/>
            <w:noWrap w:val="0"/>
            <w:vAlign w:val="center"/>
          </w:tcPr>
          <w:p w14:paraId="0F7703F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分值</w:t>
            </w:r>
          </w:p>
          <w:p w14:paraId="10763F4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构成</w:t>
            </w:r>
          </w:p>
        </w:tc>
        <w:tc>
          <w:tcPr>
            <w:tcW w:w="826" w:type="dxa"/>
            <w:tcBorders>
              <w:left w:val="nil"/>
            </w:tcBorders>
            <w:noWrap w:val="0"/>
            <w:vAlign w:val="center"/>
          </w:tcPr>
          <w:p w14:paraId="52650E2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分值</w:t>
            </w:r>
          </w:p>
          <w:p w14:paraId="571659B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100分</w:t>
            </w:r>
          </w:p>
        </w:tc>
        <w:tc>
          <w:tcPr>
            <w:tcW w:w="6794" w:type="dxa"/>
            <w:tcBorders>
              <w:left w:val="nil"/>
            </w:tcBorders>
            <w:noWrap w:val="0"/>
            <w:vAlign w:val="center"/>
          </w:tcPr>
          <w:p w14:paraId="4F0B0A7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评审内容</w:t>
            </w:r>
          </w:p>
        </w:tc>
      </w:tr>
      <w:tr w14:paraId="5FAC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431" w:type="dxa"/>
            <w:noWrap w:val="0"/>
            <w:vAlign w:val="center"/>
          </w:tcPr>
          <w:p w14:paraId="683A8D1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报价</w:t>
            </w:r>
          </w:p>
        </w:tc>
        <w:tc>
          <w:tcPr>
            <w:tcW w:w="826" w:type="dxa"/>
            <w:tcBorders>
              <w:left w:val="nil"/>
            </w:tcBorders>
            <w:noWrap w:val="0"/>
            <w:vAlign w:val="center"/>
          </w:tcPr>
          <w:p w14:paraId="5F5870B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30分</w:t>
            </w:r>
          </w:p>
        </w:tc>
        <w:tc>
          <w:tcPr>
            <w:tcW w:w="6794" w:type="dxa"/>
            <w:tcBorders>
              <w:left w:val="nil"/>
            </w:tcBorders>
            <w:noWrap w:val="0"/>
            <w:vAlign w:val="center"/>
          </w:tcPr>
          <w:p w14:paraId="1E843B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满足招标文件要求且投标价格最低的投标价为评标基准价，其价格分为满分。</w:t>
            </w:r>
          </w:p>
          <w:p w14:paraId="4654D4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投标报价得分=（评审基准价／投标报价）×价格权值×100。</w:t>
            </w:r>
          </w:p>
        </w:tc>
      </w:tr>
      <w:tr w14:paraId="3D14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1431" w:type="dxa"/>
            <w:noWrap w:val="0"/>
            <w:vAlign w:val="center"/>
          </w:tcPr>
          <w:p w14:paraId="6E5135E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Cs w:val="21"/>
                <w:highlight w:val="none"/>
              </w:rPr>
            </w:pPr>
          </w:p>
          <w:p w14:paraId="1C67771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Cs w:val="21"/>
                <w:highlight w:val="none"/>
              </w:rPr>
            </w:pPr>
            <w:r>
              <w:rPr>
                <w:rFonts w:hint="eastAsia" w:ascii="宋体" w:hAnsi="宋体" w:eastAsia="宋体" w:cs="宋体"/>
                <w:b w:val="0"/>
                <w:bCs w:val="0"/>
                <w:color w:val="auto"/>
                <w:sz w:val="22"/>
                <w:szCs w:val="22"/>
              </w:rPr>
              <w:t>供货方案</w:t>
            </w:r>
          </w:p>
        </w:tc>
        <w:tc>
          <w:tcPr>
            <w:tcW w:w="826" w:type="dxa"/>
            <w:tcBorders>
              <w:left w:val="nil"/>
            </w:tcBorders>
            <w:noWrap w:val="0"/>
            <w:vAlign w:val="center"/>
          </w:tcPr>
          <w:p w14:paraId="7930F0F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val="en-US" w:eastAsia="zh-CN"/>
              </w:rPr>
              <w:t>20</w:t>
            </w:r>
            <w:r>
              <w:rPr>
                <w:rFonts w:hint="eastAsia" w:ascii="宋体" w:hAnsi="宋体" w:eastAsia="宋体" w:cs="宋体"/>
                <w:color w:val="auto"/>
                <w:spacing w:val="0"/>
                <w:szCs w:val="21"/>
                <w:highlight w:val="none"/>
              </w:rPr>
              <w:t>分</w:t>
            </w:r>
          </w:p>
        </w:tc>
        <w:tc>
          <w:tcPr>
            <w:tcW w:w="6794" w:type="dxa"/>
            <w:tcBorders>
              <w:left w:val="nil"/>
            </w:tcBorders>
            <w:noWrap w:val="0"/>
            <w:vAlign w:val="center"/>
          </w:tcPr>
          <w:p w14:paraId="67FF4AED">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评审内容：</w:t>
            </w:r>
          </w:p>
          <w:p w14:paraId="43A34F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rPr>
              <w:t>根据本项目实际需求及特点，制定供货方案，满分</w:t>
            </w:r>
            <w:r>
              <w:rPr>
                <w:rFonts w:hint="eastAsia" w:ascii="宋体" w:hAnsi="宋体" w:eastAsia="宋体" w:cs="宋体"/>
                <w:b w:val="0"/>
                <w:bCs w:val="0"/>
                <w:color w:val="auto"/>
                <w:sz w:val="22"/>
                <w:szCs w:val="22"/>
                <w:lang w:val="en-US" w:eastAsia="zh-CN"/>
              </w:rPr>
              <w:t>20</w:t>
            </w:r>
            <w:r>
              <w:rPr>
                <w:rFonts w:hint="eastAsia" w:ascii="宋体" w:hAnsi="宋体" w:eastAsia="宋体" w:cs="宋体"/>
                <w:b w:val="0"/>
                <w:bCs w:val="0"/>
                <w:color w:val="auto"/>
                <w:sz w:val="22"/>
                <w:szCs w:val="22"/>
              </w:rPr>
              <w:t xml:space="preserve"> 分。 内容包含：1、供货承诺及方案；2、缺送漏送的解决方案；3、退换货的处理方案；</w:t>
            </w:r>
            <w:r>
              <w:rPr>
                <w:rFonts w:hint="eastAsia" w:ascii="宋体" w:hAnsi="宋体" w:eastAsia="宋体" w:cs="宋体"/>
                <w:b w:val="0"/>
                <w:bCs w:val="0"/>
                <w:color w:val="auto"/>
                <w:sz w:val="22"/>
                <w:szCs w:val="22"/>
                <w:lang w:val="en-US" w:eastAsia="zh-CN"/>
              </w:rPr>
              <w:t>4、</w:t>
            </w:r>
            <w:r>
              <w:rPr>
                <w:rFonts w:hint="eastAsia" w:ascii="宋体" w:hAnsi="宋体" w:eastAsia="宋体" w:cs="宋体"/>
                <w:b w:val="0"/>
                <w:bCs w:val="0"/>
                <w:color w:val="auto"/>
                <w:sz w:val="22"/>
                <w:szCs w:val="22"/>
              </w:rPr>
              <w:t>运输</w:t>
            </w: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lang w:val="en-US" w:eastAsia="zh-CN"/>
              </w:rPr>
              <w:t>安装、调试</w:t>
            </w:r>
            <w:r>
              <w:rPr>
                <w:rFonts w:hint="eastAsia" w:ascii="宋体" w:hAnsi="宋体" w:eastAsia="宋体" w:cs="宋体"/>
                <w:b w:val="0"/>
                <w:bCs w:val="0"/>
                <w:color w:val="auto"/>
                <w:sz w:val="22"/>
                <w:szCs w:val="22"/>
              </w:rPr>
              <w:t>方案；5、突发事件的应急预案或处理方案</w:t>
            </w:r>
            <w:r>
              <w:rPr>
                <w:rFonts w:hint="eastAsia" w:ascii="宋体" w:hAnsi="宋体" w:eastAsia="宋体" w:cs="宋体"/>
                <w:b w:val="0"/>
                <w:bCs w:val="0"/>
                <w:color w:val="auto"/>
                <w:sz w:val="22"/>
                <w:szCs w:val="22"/>
                <w:lang w:eastAsia="zh-CN"/>
              </w:rPr>
              <w:t>。</w:t>
            </w:r>
          </w:p>
          <w:p w14:paraId="008ED3A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评审标准 </w:t>
            </w:r>
          </w:p>
          <w:p w14:paraId="2E552B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1、</w:t>
            </w:r>
            <w:r>
              <w:rPr>
                <w:rFonts w:hint="eastAsia" w:ascii="宋体" w:hAnsi="宋体" w:eastAsia="宋体" w:cs="宋体"/>
                <w:b w:val="0"/>
                <w:bCs w:val="0"/>
                <w:color w:val="auto"/>
                <w:sz w:val="22"/>
                <w:szCs w:val="22"/>
              </w:rPr>
              <w:t xml:space="preserve">完整性：切合本项目实际情况，方案内容齐全，对招标文件中各项 要求有详细描述及其他内容的补充； </w:t>
            </w:r>
          </w:p>
          <w:p w14:paraId="551963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2、</w:t>
            </w:r>
            <w:r>
              <w:rPr>
                <w:rFonts w:hint="eastAsia" w:ascii="宋体" w:hAnsi="宋体" w:eastAsia="宋体" w:cs="宋体"/>
                <w:b w:val="0"/>
                <w:bCs w:val="0"/>
                <w:color w:val="auto"/>
                <w:sz w:val="22"/>
                <w:szCs w:val="22"/>
              </w:rPr>
              <w:t xml:space="preserve">合理性：方案内容符合项目实际特点，合理、恰当； </w:t>
            </w:r>
          </w:p>
          <w:p w14:paraId="3C773D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3、</w:t>
            </w:r>
            <w:r>
              <w:rPr>
                <w:rFonts w:hint="eastAsia" w:ascii="宋体" w:hAnsi="宋体" w:eastAsia="宋体" w:cs="宋体"/>
                <w:b w:val="0"/>
                <w:bCs w:val="0"/>
                <w:color w:val="auto"/>
                <w:sz w:val="22"/>
                <w:szCs w:val="22"/>
              </w:rPr>
              <w:t xml:space="preserve">针对性：切合本项目实际情况，根据招标文件要求提出针对本项目 实际操作性强的措施方案。 </w:t>
            </w:r>
          </w:p>
          <w:p w14:paraId="643EAA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40" w:firstLineChars="200"/>
              <w:jc w:val="left"/>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b w:val="0"/>
                <w:bCs w:val="0"/>
                <w:color w:val="auto"/>
                <w:sz w:val="22"/>
                <w:szCs w:val="22"/>
              </w:rPr>
              <w:t>上述5项评审内容每有一项满足评审标准或优于项目实施需求的得</w:t>
            </w:r>
            <w:r>
              <w:rPr>
                <w:rFonts w:hint="eastAsia" w:ascii="宋体" w:hAnsi="宋体" w:eastAsia="宋体" w:cs="宋体"/>
                <w:b w:val="0"/>
                <w:bCs w:val="0"/>
                <w:color w:val="auto"/>
                <w:sz w:val="22"/>
                <w:szCs w:val="22"/>
                <w:lang w:val="en-US" w:eastAsia="zh-CN"/>
              </w:rPr>
              <w:t>4</w:t>
            </w:r>
            <w:r>
              <w:rPr>
                <w:rFonts w:hint="eastAsia" w:ascii="宋体" w:hAnsi="宋体" w:eastAsia="宋体" w:cs="宋体"/>
                <w:b w:val="0"/>
                <w:bCs w:val="0"/>
                <w:color w:val="auto"/>
                <w:sz w:val="22"/>
                <w:szCs w:val="22"/>
              </w:rPr>
              <w:t>分</w:t>
            </w: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rPr>
              <w:t>评审内容不满足或评审内容缺项不得分。</w:t>
            </w:r>
          </w:p>
        </w:tc>
      </w:tr>
      <w:tr w14:paraId="0468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431" w:type="dxa"/>
            <w:noWrap w:val="0"/>
            <w:vAlign w:val="center"/>
          </w:tcPr>
          <w:p w14:paraId="7BC2429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lang w:eastAsia="zh-CN"/>
              </w:rPr>
              <w:t>质量保证</w:t>
            </w:r>
          </w:p>
        </w:tc>
        <w:tc>
          <w:tcPr>
            <w:tcW w:w="826" w:type="dxa"/>
            <w:tcBorders>
              <w:left w:val="nil"/>
            </w:tcBorders>
            <w:noWrap w:val="0"/>
            <w:vAlign w:val="center"/>
          </w:tcPr>
          <w:p w14:paraId="1047A34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Cs w:val="21"/>
                <w:highlight w:val="none"/>
              </w:rPr>
            </w:pPr>
            <w:r>
              <w:rPr>
                <w:rFonts w:hint="eastAsia" w:ascii="宋体" w:hAnsi="宋体" w:cs="宋体"/>
                <w:color w:val="auto"/>
                <w:spacing w:val="0"/>
                <w:szCs w:val="21"/>
                <w:highlight w:val="none"/>
                <w:lang w:val="en-US" w:eastAsia="zh-CN"/>
              </w:rPr>
              <w:t>12</w:t>
            </w:r>
            <w:r>
              <w:rPr>
                <w:rFonts w:hint="eastAsia" w:ascii="宋体" w:hAnsi="宋体" w:eastAsia="宋体" w:cs="宋体"/>
                <w:color w:val="auto"/>
                <w:spacing w:val="0"/>
                <w:szCs w:val="21"/>
                <w:highlight w:val="none"/>
              </w:rPr>
              <w:t>分</w:t>
            </w:r>
          </w:p>
        </w:tc>
        <w:tc>
          <w:tcPr>
            <w:tcW w:w="6794" w:type="dxa"/>
            <w:tcBorders>
              <w:left w:val="nil"/>
            </w:tcBorders>
            <w:noWrap w:val="0"/>
            <w:vAlign w:val="center"/>
          </w:tcPr>
          <w:p w14:paraId="50CA6D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供应商针对本项目提供了在产品运输、送达、配发、调换、残损品补救方面保证措施</w:t>
            </w:r>
          </w:p>
          <w:p w14:paraId="7813D6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1、</w:t>
            </w:r>
            <w:r>
              <w:rPr>
                <w:rFonts w:hint="eastAsia" w:ascii="宋体" w:hAnsi="宋体" w:eastAsia="宋体" w:cs="宋体"/>
                <w:b w:val="0"/>
                <w:bCs w:val="0"/>
                <w:color w:val="auto"/>
                <w:sz w:val="22"/>
                <w:szCs w:val="22"/>
              </w:rPr>
              <w:t xml:space="preserve">质量保证措施详细、全面，措施得当，合理可行，得 </w:t>
            </w:r>
            <w:r>
              <w:rPr>
                <w:rFonts w:hint="eastAsia" w:ascii="宋体" w:hAnsi="宋体" w:cs="宋体"/>
                <w:b w:val="0"/>
                <w:bCs w:val="0"/>
                <w:color w:val="auto"/>
                <w:sz w:val="22"/>
                <w:szCs w:val="22"/>
                <w:lang w:val="en-US" w:eastAsia="zh-CN"/>
              </w:rPr>
              <w:t>12</w:t>
            </w:r>
            <w:r>
              <w:rPr>
                <w:rFonts w:hint="eastAsia" w:ascii="宋体" w:hAnsi="宋体" w:eastAsia="宋体" w:cs="宋体"/>
                <w:b w:val="0"/>
                <w:bCs w:val="0"/>
                <w:color w:val="auto"/>
                <w:sz w:val="22"/>
                <w:szCs w:val="22"/>
              </w:rPr>
              <w:t xml:space="preserve"> 分； </w:t>
            </w:r>
          </w:p>
          <w:p w14:paraId="01D403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2、</w:t>
            </w:r>
            <w:r>
              <w:rPr>
                <w:rFonts w:hint="eastAsia" w:ascii="宋体" w:hAnsi="宋体" w:eastAsia="宋体" w:cs="宋体"/>
                <w:b w:val="0"/>
                <w:bCs w:val="0"/>
                <w:color w:val="auto"/>
                <w:sz w:val="22"/>
                <w:szCs w:val="22"/>
              </w:rPr>
              <w:t>质量保证措施较为详细，有一定的措施，但不够详细全面，存在少量缺陷，得</w:t>
            </w:r>
            <w:r>
              <w:rPr>
                <w:rFonts w:hint="eastAsia" w:ascii="宋体" w:hAnsi="宋体" w:cs="宋体"/>
                <w:b w:val="0"/>
                <w:bCs w:val="0"/>
                <w:color w:val="auto"/>
                <w:sz w:val="22"/>
                <w:szCs w:val="22"/>
                <w:lang w:val="en-US" w:eastAsia="zh-CN"/>
              </w:rPr>
              <w:t>8</w:t>
            </w:r>
            <w:r>
              <w:rPr>
                <w:rFonts w:hint="eastAsia" w:ascii="宋体" w:hAnsi="宋体" w:eastAsia="宋体" w:cs="宋体"/>
                <w:b w:val="0"/>
                <w:bCs w:val="0"/>
                <w:color w:val="auto"/>
                <w:sz w:val="22"/>
                <w:szCs w:val="22"/>
              </w:rPr>
              <w:t xml:space="preserve">分； </w:t>
            </w:r>
          </w:p>
          <w:p w14:paraId="028AC5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b w:val="0"/>
                <w:bCs w:val="0"/>
                <w:color w:val="auto"/>
                <w:sz w:val="22"/>
                <w:szCs w:val="22"/>
                <w:lang w:val="en-US" w:eastAsia="zh-CN"/>
              </w:rPr>
              <w:t>3、</w:t>
            </w:r>
            <w:r>
              <w:rPr>
                <w:rFonts w:hint="eastAsia" w:ascii="宋体" w:hAnsi="宋体" w:eastAsia="宋体" w:cs="宋体"/>
                <w:b w:val="0"/>
                <w:bCs w:val="0"/>
                <w:color w:val="auto"/>
                <w:sz w:val="22"/>
                <w:szCs w:val="22"/>
              </w:rPr>
              <w:t>质量保证措施不够全面，基本无相应措施，内容缺失多， 难以保证项目质量，得</w:t>
            </w:r>
            <w:r>
              <w:rPr>
                <w:rFonts w:hint="eastAsia" w:ascii="宋体" w:hAnsi="宋体" w:cs="宋体"/>
                <w:b w:val="0"/>
                <w:bCs w:val="0"/>
                <w:color w:val="auto"/>
                <w:sz w:val="22"/>
                <w:szCs w:val="22"/>
                <w:lang w:val="en-US" w:eastAsia="zh-CN"/>
              </w:rPr>
              <w:t>4</w:t>
            </w:r>
            <w:r>
              <w:rPr>
                <w:rFonts w:hint="eastAsia" w:ascii="宋体" w:hAnsi="宋体" w:eastAsia="宋体" w:cs="宋体"/>
                <w:b w:val="0"/>
                <w:bCs w:val="0"/>
                <w:color w:val="auto"/>
                <w:sz w:val="22"/>
                <w:szCs w:val="22"/>
                <w:lang w:val="en-US" w:eastAsia="zh-CN"/>
              </w:rPr>
              <w:t>分。</w:t>
            </w:r>
          </w:p>
        </w:tc>
      </w:tr>
      <w:tr w14:paraId="5828D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1431" w:type="dxa"/>
            <w:noWrap w:val="0"/>
            <w:vAlign w:val="center"/>
          </w:tcPr>
          <w:p w14:paraId="2217E5B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eastAsia="zh-CN"/>
              </w:rPr>
              <w:t>售后服务方案</w:t>
            </w:r>
          </w:p>
        </w:tc>
        <w:tc>
          <w:tcPr>
            <w:tcW w:w="826" w:type="dxa"/>
            <w:tcBorders>
              <w:left w:val="nil"/>
            </w:tcBorders>
            <w:noWrap w:val="0"/>
            <w:vAlign w:val="center"/>
          </w:tcPr>
          <w:p w14:paraId="7561DE9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val="en-US" w:eastAsia="zh-CN"/>
              </w:rPr>
              <w:t>10</w:t>
            </w:r>
            <w:r>
              <w:rPr>
                <w:rFonts w:hint="eastAsia" w:ascii="宋体" w:hAnsi="宋体" w:eastAsia="宋体" w:cs="宋体"/>
                <w:color w:val="auto"/>
                <w:spacing w:val="0"/>
                <w:szCs w:val="21"/>
                <w:highlight w:val="none"/>
              </w:rPr>
              <w:t>分</w:t>
            </w:r>
          </w:p>
        </w:tc>
        <w:tc>
          <w:tcPr>
            <w:tcW w:w="6794" w:type="dxa"/>
            <w:tcBorders>
              <w:left w:val="nil"/>
            </w:tcBorders>
            <w:noWrap w:val="0"/>
            <w:vAlign w:val="center"/>
          </w:tcPr>
          <w:p w14:paraId="635A7D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1</w:t>
            </w: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rPr>
              <w:t xml:space="preserve">投标人配合项目验收的售后服务方案（2 分）； </w:t>
            </w:r>
          </w:p>
          <w:p w14:paraId="002ED5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2、</w:t>
            </w:r>
            <w:r>
              <w:rPr>
                <w:rFonts w:hint="eastAsia" w:ascii="宋体" w:hAnsi="宋体" w:eastAsia="宋体" w:cs="宋体"/>
                <w:b w:val="0"/>
                <w:bCs w:val="0"/>
                <w:color w:val="auto"/>
                <w:sz w:val="22"/>
                <w:szCs w:val="22"/>
              </w:rPr>
              <w:t xml:space="preserve">产品出现质量问题免费调换的服务方案（2 分）； </w:t>
            </w:r>
          </w:p>
          <w:p w14:paraId="635252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3、</w:t>
            </w:r>
            <w:r>
              <w:rPr>
                <w:rFonts w:hint="eastAsia" w:ascii="宋体" w:hAnsi="宋体" w:eastAsia="宋体" w:cs="宋体"/>
                <w:b w:val="0"/>
                <w:bCs w:val="0"/>
                <w:color w:val="auto"/>
                <w:sz w:val="22"/>
                <w:szCs w:val="22"/>
              </w:rPr>
              <w:t xml:space="preserve">接到招标人通知的响应时间及处理速度（2 分）； </w:t>
            </w:r>
          </w:p>
          <w:p w14:paraId="591807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4</w:t>
            </w: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rPr>
              <w:t>对易损件及时更换等提供详细的售后服务承诺及措施（2 分）；</w:t>
            </w:r>
          </w:p>
          <w:p w14:paraId="75AFD8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5、</w:t>
            </w:r>
            <w:r>
              <w:rPr>
                <w:rFonts w:hint="eastAsia" w:ascii="宋体" w:hAnsi="宋体" w:eastAsia="宋体" w:cs="宋体"/>
                <w:b w:val="0"/>
                <w:bCs w:val="0"/>
                <w:color w:val="auto"/>
                <w:sz w:val="22"/>
                <w:szCs w:val="22"/>
              </w:rPr>
              <w:t xml:space="preserve">质量保证期过后有完善的维保服务（2 分）。 </w:t>
            </w:r>
          </w:p>
          <w:p w14:paraId="5303DE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b w:val="0"/>
                <w:bCs w:val="0"/>
                <w:color w:val="auto"/>
                <w:sz w:val="22"/>
                <w:szCs w:val="22"/>
              </w:rPr>
              <w:t>上述 5 项评审内容每有一项且完整、合理、有针对性得 2 分；评审内容不满足或评审内容缺项不得分。</w:t>
            </w:r>
          </w:p>
        </w:tc>
      </w:tr>
      <w:tr w14:paraId="2BE84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431" w:type="dxa"/>
            <w:noWrap w:val="0"/>
            <w:vAlign w:val="center"/>
          </w:tcPr>
          <w:p w14:paraId="1845319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培训方案</w:t>
            </w:r>
          </w:p>
        </w:tc>
        <w:tc>
          <w:tcPr>
            <w:tcW w:w="826" w:type="dxa"/>
            <w:tcBorders>
              <w:left w:val="nil"/>
            </w:tcBorders>
            <w:noWrap w:val="0"/>
            <w:vAlign w:val="center"/>
          </w:tcPr>
          <w:p w14:paraId="661B843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9分</w:t>
            </w:r>
          </w:p>
        </w:tc>
        <w:tc>
          <w:tcPr>
            <w:tcW w:w="6794" w:type="dxa"/>
            <w:tcBorders>
              <w:left w:val="nil"/>
            </w:tcBorders>
            <w:noWrap w:val="0"/>
            <w:vAlign w:val="center"/>
          </w:tcPr>
          <w:p w14:paraId="20BE22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供应商提供的培训方案可行、有针对性。方案包括培训内容、培训次数、操作维护方法。</w:t>
            </w:r>
          </w:p>
          <w:p w14:paraId="2BEA77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b w:val="0"/>
                <w:bCs w:val="0"/>
                <w:color w:val="auto"/>
                <w:sz w:val="22"/>
                <w:szCs w:val="22"/>
              </w:rPr>
              <w:t xml:space="preserve">上述 </w:t>
            </w:r>
            <w:r>
              <w:rPr>
                <w:rFonts w:hint="eastAsia" w:ascii="宋体" w:hAnsi="宋体" w:eastAsia="宋体" w:cs="宋体"/>
                <w:b w:val="0"/>
                <w:bCs w:val="0"/>
                <w:color w:val="auto"/>
                <w:sz w:val="22"/>
                <w:szCs w:val="22"/>
                <w:lang w:val="en-US" w:eastAsia="zh-CN"/>
              </w:rPr>
              <w:t>3</w:t>
            </w:r>
            <w:r>
              <w:rPr>
                <w:rFonts w:hint="eastAsia" w:ascii="宋体" w:hAnsi="宋体" w:eastAsia="宋体" w:cs="宋体"/>
                <w:b w:val="0"/>
                <w:bCs w:val="0"/>
                <w:color w:val="auto"/>
                <w:sz w:val="22"/>
                <w:szCs w:val="22"/>
              </w:rPr>
              <w:t xml:space="preserve"> 项评审内容每有一项且完整、合理、有针对性得 </w:t>
            </w:r>
            <w:r>
              <w:rPr>
                <w:rFonts w:hint="eastAsia" w:ascii="宋体" w:hAnsi="宋体" w:eastAsia="宋体" w:cs="宋体"/>
                <w:b w:val="0"/>
                <w:bCs w:val="0"/>
                <w:color w:val="auto"/>
                <w:sz w:val="22"/>
                <w:szCs w:val="22"/>
                <w:lang w:val="en-US" w:eastAsia="zh-CN"/>
              </w:rPr>
              <w:t>3</w:t>
            </w:r>
            <w:r>
              <w:rPr>
                <w:rFonts w:hint="eastAsia" w:ascii="宋体" w:hAnsi="宋体" w:eastAsia="宋体" w:cs="宋体"/>
                <w:b w:val="0"/>
                <w:bCs w:val="0"/>
                <w:color w:val="auto"/>
                <w:sz w:val="22"/>
                <w:szCs w:val="22"/>
              </w:rPr>
              <w:t xml:space="preserve"> 分；评审内容不满足或评审内容缺项不得分。</w:t>
            </w:r>
          </w:p>
        </w:tc>
      </w:tr>
      <w:tr w14:paraId="1948B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431" w:type="dxa"/>
            <w:noWrap w:val="0"/>
            <w:vAlign w:val="center"/>
          </w:tcPr>
          <w:p w14:paraId="07E3424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val="en-US" w:eastAsia="zh-CN"/>
              </w:rPr>
              <w:t>企业</w:t>
            </w:r>
            <w:r>
              <w:rPr>
                <w:rFonts w:hint="eastAsia" w:ascii="宋体" w:hAnsi="宋体" w:eastAsia="宋体" w:cs="宋体"/>
                <w:color w:val="auto"/>
                <w:spacing w:val="0"/>
                <w:szCs w:val="21"/>
                <w:highlight w:val="none"/>
              </w:rPr>
              <w:t>业绩</w:t>
            </w:r>
          </w:p>
        </w:tc>
        <w:tc>
          <w:tcPr>
            <w:tcW w:w="826" w:type="dxa"/>
            <w:tcBorders>
              <w:left w:val="nil"/>
            </w:tcBorders>
            <w:noWrap w:val="0"/>
            <w:vAlign w:val="center"/>
          </w:tcPr>
          <w:p w14:paraId="6FD8388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pacing w:val="0"/>
                <w:szCs w:val="21"/>
                <w:highlight w:val="none"/>
              </w:rPr>
            </w:pPr>
            <w:r>
              <w:rPr>
                <w:rFonts w:hint="eastAsia" w:ascii="宋体" w:hAnsi="宋体" w:cs="宋体"/>
                <w:color w:val="auto"/>
                <w:spacing w:val="0"/>
                <w:szCs w:val="21"/>
                <w:highlight w:val="none"/>
                <w:lang w:val="en-US" w:eastAsia="zh-CN"/>
              </w:rPr>
              <w:t>9</w:t>
            </w:r>
            <w:r>
              <w:rPr>
                <w:rFonts w:hint="eastAsia" w:ascii="宋体" w:hAnsi="宋体" w:eastAsia="宋体" w:cs="宋体"/>
                <w:color w:val="auto"/>
                <w:spacing w:val="0"/>
                <w:szCs w:val="21"/>
                <w:highlight w:val="none"/>
              </w:rPr>
              <w:t>分</w:t>
            </w:r>
          </w:p>
        </w:tc>
        <w:tc>
          <w:tcPr>
            <w:tcW w:w="6794" w:type="dxa"/>
            <w:tcBorders>
              <w:left w:val="nil"/>
            </w:tcBorders>
            <w:noWrap w:val="0"/>
            <w:vAlign w:val="center"/>
          </w:tcPr>
          <w:p w14:paraId="3D056D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每提供1个202</w:t>
            </w:r>
            <w:r>
              <w:rPr>
                <w:rFonts w:hint="eastAsia" w:ascii="宋体" w:hAnsi="宋体" w:cs="宋体"/>
                <w:color w:val="auto"/>
                <w:spacing w:val="0"/>
                <w:szCs w:val="21"/>
                <w:highlight w:val="none"/>
                <w:lang w:val="en-US" w:eastAsia="zh-CN"/>
              </w:rPr>
              <w:t>1</w:t>
            </w:r>
            <w:r>
              <w:rPr>
                <w:rFonts w:hint="eastAsia" w:ascii="宋体" w:hAnsi="宋体" w:eastAsia="宋体" w:cs="宋体"/>
                <w:color w:val="auto"/>
                <w:spacing w:val="0"/>
                <w:szCs w:val="21"/>
                <w:highlight w:val="none"/>
                <w:lang w:val="en-US" w:eastAsia="zh-CN"/>
              </w:rPr>
              <w:t>年1月1日至今类似项目业绩（提供中标/成交通知书或合同协议书）得</w:t>
            </w:r>
            <w:r>
              <w:rPr>
                <w:rFonts w:hint="eastAsia" w:ascii="宋体" w:hAnsi="宋体" w:cs="宋体"/>
                <w:color w:val="auto"/>
                <w:spacing w:val="0"/>
                <w:szCs w:val="21"/>
                <w:highlight w:val="none"/>
                <w:lang w:val="en-US" w:eastAsia="zh-CN"/>
              </w:rPr>
              <w:t>3</w:t>
            </w:r>
            <w:r>
              <w:rPr>
                <w:rFonts w:hint="eastAsia" w:ascii="宋体" w:hAnsi="宋体" w:eastAsia="宋体" w:cs="宋体"/>
                <w:color w:val="auto"/>
                <w:spacing w:val="0"/>
                <w:szCs w:val="21"/>
                <w:highlight w:val="none"/>
                <w:lang w:val="en-US" w:eastAsia="zh-CN"/>
              </w:rPr>
              <w:t>分，共</w:t>
            </w:r>
            <w:r>
              <w:rPr>
                <w:rFonts w:hint="eastAsia" w:ascii="宋体" w:hAnsi="宋体" w:cs="宋体"/>
                <w:color w:val="auto"/>
                <w:spacing w:val="0"/>
                <w:szCs w:val="21"/>
                <w:highlight w:val="none"/>
                <w:lang w:val="en-US" w:eastAsia="zh-CN"/>
              </w:rPr>
              <w:t>9</w:t>
            </w:r>
            <w:r>
              <w:rPr>
                <w:rFonts w:hint="eastAsia" w:ascii="宋体" w:hAnsi="宋体" w:eastAsia="宋体" w:cs="宋体"/>
                <w:color w:val="auto"/>
                <w:spacing w:val="0"/>
                <w:szCs w:val="21"/>
                <w:highlight w:val="none"/>
                <w:lang w:val="en-US" w:eastAsia="zh-CN"/>
              </w:rPr>
              <w:t>分。</w:t>
            </w:r>
          </w:p>
        </w:tc>
      </w:tr>
      <w:tr w14:paraId="43CE3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431" w:type="dxa"/>
            <w:noWrap w:val="0"/>
            <w:vAlign w:val="center"/>
          </w:tcPr>
          <w:p w14:paraId="76F4789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pacing w:val="0"/>
                <w:szCs w:val="21"/>
                <w:highlight w:val="none"/>
                <w:lang w:eastAsia="zh-CN"/>
              </w:rPr>
            </w:pPr>
            <w:r>
              <w:rPr>
                <w:rFonts w:hint="eastAsia" w:ascii="宋体" w:hAnsi="宋体" w:eastAsia="宋体" w:cs="宋体"/>
                <w:color w:val="auto"/>
                <w:spacing w:val="0"/>
                <w:szCs w:val="21"/>
                <w:highlight w:val="none"/>
                <w:lang w:val="en-US" w:eastAsia="zh-CN"/>
              </w:rPr>
              <w:t>技术参数</w:t>
            </w:r>
          </w:p>
        </w:tc>
        <w:tc>
          <w:tcPr>
            <w:tcW w:w="826" w:type="dxa"/>
            <w:tcBorders>
              <w:left w:val="nil"/>
            </w:tcBorders>
            <w:noWrap w:val="0"/>
            <w:vAlign w:val="center"/>
          </w:tcPr>
          <w:p w14:paraId="19A04BF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pacing w:val="0"/>
                <w:szCs w:val="21"/>
                <w:highlight w:val="none"/>
              </w:rPr>
            </w:pPr>
            <w:r>
              <w:rPr>
                <w:rFonts w:hint="eastAsia" w:ascii="宋体" w:hAnsi="宋体" w:eastAsia="宋体" w:cs="宋体"/>
                <w:color w:val="auto"/>
                <w:spacing w:val="0"/>
                <w:szCs w:val="21"/>
                <w:highlight w:val="none"/>
                <w:lang w:val="en-US" w:eastAsia="zh-CN"/>
              </w:rPr>
              <w:t>1</w:t>
            </w:r>
            <w:r>
              <w:rPr>
                <w:rFonts w:hint="eastAsia" w:ascii="宋体" w:hAnsi="宋体" w:cs="宋体"/>
                <w:color w:val="auto"/>
                <w:spacing w:val="0"/>
                <w:szCs w:val="21"/>
                <w:highlight w:val="none"/>
                <w:lang w:val="en-US" w:eastAsia="zh-CN"/>
              </w:rPr>
              <w:t>0</w:t>
            </w:r>
            <w:r>
              <w:rPr>
                <w:rFonts w:hint="eastAsia" w:ascii="宋体" w:hAnsi="宋体" w:eastAsia="宋体" w:cs="宋体"/>
                <w:color w:val="auto"/>
                <w:spacing w:val="0"/>
                <w:szCs w:val="21"/>
                <w:highlight w:val="none"/>
              </w:rPr>
              <w:t>分</w:t>
            </w:r>
          </w:p>
        </w:tc>
        <w:tc>
          <w:tcPr>
            <w:tcW w:w="6794" w:type="dxa"/>
            <w:tcBorders>
              <w:left w:val="nil"/>
            </w:tcBorders>
            <w:noWrap w:val="0"/>
            <w:vAlign w:val="center"/>
          </w:tcPr>
          <w:p w14:paraId="6B73ED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技术参数每有一项</w:t>
            </w:r>
            <w:r>
              <w:rPr>
                <w:rFonts w:hint="eastAsia" w:ascii="宋体" w:hAnsi="宋体" w:cs="宋体"/>
                <w:color w:val="auto"/>
                <w:spacing w:val="0"/>
                <w:szCs w:val="21"/>
                <w:highlight w:val="none"/>
                <w:lang w:val="en-US" w:eastAsia="zh-CN"/>
              </w:rPr>
              <w:t>负偏离扣</w:t>
            </w:r>
            <w:r>
              <w:rPr>
                <w:rFonts w:hint="eastAsia" w:ascii="宋体" w:hAnsi="宋体" w:eastAsia="宋体" w:cs="宋体"/>
                <w:color w:val="auto"/>
                <w:spacing w:val="0"/>
                <w:szCs w:val="21"/>
                <w:highlight w:val="none"/>
                <w:lang w:val="en-US" w:eastAsia="zh-CN"/>
              </w:rPr>
              <w:t>1分，</w:t>
            </w:r>
            <w:r>
              <w:rPr>
                <w:rFonts w:hint="eastAsia" w:ascii="宋体" w:hAnsi="宋体" w:cs="宋体"/>
                <w:color w:val="auto"/>
                <w:spacing w:val="0"/>
                <w:szCs w:val="21"/>
                <w:highlight w:val="none"/>
                <w:lang w:val="en-US" w:eastAsia="zh-CN"/>
              </w:rPr>
              <w:t>扣完为止</w:t>
            </w:r>
            <w:r>
              <w:rPr>
                <w:rFonts w:hint="eastAsia" w:ascii="宋体" w:hAnsi="宋体" w:eastAsia="宋体" w:cs="宋体"/>
                <w:color w:val="auto"/>
                <w:spacing w:val="0"/>
                <w:szCs w:val="21"/>
                <w:highlight w:val="none"/>
                <w:lang w:val="en-US" w:eastAsia="zh-CN"/>
              </w:rPr>
              <w:t>。</w:t>
            </w:r>
          </w:p>
        </w:tc>
      </w:tr>
    </w:tbl>
    <w:p w14:paraId="6DE6D486">
      <w:pPr>
        <w:pageBreakBefore w:val="0"/>
        <w:bidi w:val="0"/>
        <w:spacing w:line="460" w:lineRule="exact"/>
        <w:outlineLvl w:val="9"/>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满分：100分，综合评分法。各分项分值分配如下：</w:t>
      </w:r>
    </w:p>
    <w:p w14:paraId="66BBC6EE">
      <w:pPr>
        <w:pageBreakBefore w:val="0"/>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注：1）评委打分超过得分界限或未按本方法赋分时，该评委的打分按废票处理。</w:t>
      </w:r>
    </w:p>
    <w:p w14:paraId="77DF9DCA">
      <w:pPr>
        <w:pageBreakBefore w:val="0"/>
        <w:numPr>
          <w:ilvl w:val="0"/>
          <w:numId w:val="4"/>
        </w:numPr>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各种计算数字均保留两位小数，第三位“四舍五入”。 </w:t>
      </w:r>
    </w:p>
    <w:p w14:paraId="6000C327">
      <w:pPr>
        <w:pageBreakBefore w:val="0"/>
        <w:bidi w:val="0"/>
        <w:spacing w:line="460" w:lineRule="exact"/>
        <w:ind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3）特殊情况处理</w:t>
      </w:r>
      <w:r>
        <w:rPr>
          <w:rFonts w:hint="eastAsia" w:ascii="宋体" w:hAnsi="宋体" w:eastAsia="宋体" w:cs="宋体"/>
          <w:color w:val="auto"/>
          <w:sz w:val="24"/>
          <w:szCs w:val="24"/>
          <w:highlight w:val="none"/>
        </w:rPr>
        <w:t>：</w:t>
      </w:r>
    </w:p>
    <w:p w14:paraId="2C23EC34">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若出现综合得分并列时，投标报价得分高者为第一中标候选人，若投标报价的得分相同，技术得分高者为第一中标候选人，若上述两项得分相同，则由全体评标委员会成员无记名投票，得票高者为第一中标候选人。</w:t>
      </w:r>
    </w:p>
    <w:p w14:paraId="08C7F9ED">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b、当供应商某评分项出现未报、漏报或零报价时，该分项得零分，并不参与投标报价分的计算。</w:t>
      </w:r>
    </w:p>
    <w:p w14:paraId="7703ED45">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c、评标过程中，若出现本评标方法以外的特殊情况时，将暂停评标，待评委商榷后再进行复会。</w:t>
      </w:r>
    </w:p>
    <w:p w14:paraId="3C8AC186">
      <w:pPr>
        <w:pageBreakBefore w:val="0"/>
        <w:bidi w:val="0"/>
        <w:spacing w:line="600" w:lineRule="exact"/>
        <w:ind w:firstLine="562" w:firstLineChars="200"/>
        <w:outlineLvl w:val="9"/>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、依据《中华人民共和国政府采购法》和《中华人民共和国政府采购实施条例》的有关规定，落实政府采购“优先购买节能环保产品、扶持小微企业、监狱企业、福利企业”等相关政策。</w:t>
      </w:r>
    </w:p>
    <w:p w14:paraId="09B6C206">
      <w:pPr>
        <w:pageBreakBefore w:val="0"/>
        <w:bidi w:val="0"/>
        <w:spacing w:line="600" w:lineRule="exact"/>
        <w:ind w:firstLine="482" w:firstLineChars="200"/>
        <w:outlineLvl w:val="9"/>
        <w:rPr>
          <w:rFonts w:hint="eastAsia" w:ascii="宋体" w:hAnsi="宋体" w:eastAsia="宋体" w:cs="宋体"/>
          <w:b/>
          <w:color w:val="auto"/>
          <w:highlight w:val="none"/>
        </w:rPr>
      </w:pPr>
      <w:r>
        <w:rPr>
          <w:rFonts w:hint="eastAsia" w:ascii="宋体" w:hAnsi="宋体" w:eastAsia="宋体" w:cs="宋体"/>
          <w:b/>
          <w:color w:val="auto"/>
          <w:kern w:val="0"/>
          <w:sz w:val="24"/>
          <w:highlight w:val="none"/>
          <w:lang w:val="en-US" w:eastAsia="zh-CN"/>
        </w:rPr>
        <w:t>1）</w:t>
      </w:r>
      <w:r>
        <w:rPr>
          <w:rFonts w:hint="eastAsia" w:ascii="宋体" w:hAnsi="宋体" w:eastAsia="宋体" w:cs="宋体"/>
          <w:b/>
          <w:color w:val="auto"/>
          <w:kern w:val="0"/>
          <w:sz w:val="24"/>
          <w:highlight w:val="none"/>
        </w:rPr>
        <w:t>政府采购政策</w:t>
      </w:r>
    </w:p>
    <w:p w14:paraId="54E98A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政府采购促进中小企业发展管理办法》的通知（财库〔2020〕46号）；（2）财政部司法部关于政府采购支持监狱企业发展有关问题的通知--财库〔2014〕68号；（3）《国务院办公厅关于建立政府强制采购节能产品制度的通知》--国办发〔2007〕51号；（4）《关于促进残疾人就业政府采购政策的通知》财库〔2017〕141号；（5）陕西省财政厅关于印发《陕西省中小企业政府采购信用融资办法》（陕财办采〔2018〕23号）；（6）《财政部 发展改革委 生态环境部 市场监管总局关于调整优化节能产品、环境标志产品政府采购执行机制的通知》（财库〔2019〕9号）；（7）其他需要落实的政府采购政策。</w:t>
      </w:r>
    </w:p>
    <w:p w14:paraId="109313C6">
      <w:pPr>
        <w:pageBreakBefore w:val="0"/>
        <w:bidi w:val="0"/>
        <w:spacing w:line="600" w:lineRule="exact"/>
        <w:ind w:firstLine="482" w:firstLineChars="200"/>
        <w:outlineLvl w:val="9"/>
        <w:rPr>
          <w:rFonts w:hint="eastAsia" w:ascii="宋体" w:hAnsi="宋体" w:eastAsia="宋体" w:cs="宋体"/>
          <w:b/>
          <w:color w:val="auto"/>
          <w:highlight w:val="none"/>
        </w:rPr>
      </w:pPr>
      <w:r>
        <w:rPr>
          <w:rFonts w:hint="eastAsia" w:ascii="宋体" w:hAnsi="宋体" w:eastAsia="宋体" w:cs="宋体"/>
          <w:b/>
          <w:color w:val="auto"/>
          <w:kern w:val="0"/>
          <w:sz w:val="24"/>
          <w:highlight w:val="none"/>
          <w:lang w:val="en-US" w:eastAsia="zh-CN"/>
        </w:rPr>
        <w:t>2）</w:t>
      </w:r>
      <w:r>
        <w:rPr>
          <w:rFonts w:hint="eastAsia" w:ascii="宋体" w:hAnsi="宋体" w:eastAsia="宋体" w:cs="宋体"/>
          <w:b/>
          <w:color w:val="auto"/>
          <w:kern w:val="0"/>
          <w:sz w:val="24"/>
          <w:highlight w:val="none"/>
          <w:lang w:bidi="ar"/>
        </w:rPr>
        <w:t>政策性</w:t>
      </w:r>
      <w:r>
        <w:rPr>
          <w:rFonts w:hint="eastAsia" w:ascii="宋体" w:hAnsi="宋体" w:eastAsia="宋体" w:cs="宋体"/>
          <w:b/>
          <w:color w:val="auto"/>
          <w:kern w:val="0"/>
          <w:sz w:val="24"/>
          <w:highlight w:val="none"/>
          <w:lang w:val="en-US" w:bidi="ar"/>
        </w:rPr>
        <w:t>优惠条</w:t>
      </w:r>
      <w:r>
        <w:rPr>
          <w:rFonts w:hint="eastAsia" w:ascii="宋体" w:hAnsi="宋体" w:eastAsia="宋体" w:cs="宋体"/>
          <w:b/>
          <w:color w:val="auto"/>
          <w:kern w:val="0"/>
          <w:sz w:val="24"/>
          <w:highlight w:val="none"/>
          <w:lang w:bidi="ar"/>
        </w:rPr>
        <w:t>件</w:t>
      </w:r>
    </w:p>
    <w:p w14:paraId="250C1F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供应商符合小型、微型企业或监狱企业、残疾人福利性单位条件的，其报价价格评审时将按相应比例进行扣除。</w:t>
      </w:r>
    </w:p>
    <w:p w14:paraId="2E9411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bidi="ar"/>
        </w:rPr>
        <w:t>1.1</w:t>
      </w:r>
      <w:r>
        <w:rPr>
          <w:rFonts w:hint="eastAsia" w:ascii="宋体" w:hAnsi="宋体" w:eastAsia="宋体" w:cs="宋体"/>
          <w:color w:val="auto"/>
          <w:kern w:val="0"/>
          <w:sz w:val="24"/>
          <w:highlight w:val="none"/>
          <w:lang w:val="en-US" w:eastAsia="zh-CN" w:bidi="ar"/>
        </w:rPr>
        <w:t>根据</w:t>
      </w:r>
      <w:r>
        <w:rPr>
          <w:rFonts w:hint="eastAsia" w:ascii="宋体" w:hAnsi="宋体" w:eastAsia="宋体" w:cs="宋体"/>
          <w:color w:val="auto"/>
          <w:kern w:val="0"/>
          <w:sz w:val="24"/>
          <w:highlight w:val="none"/>
          <w:lang w:bidi="ar"/>
        </w:rPr>
        <w:t>&lt;关于印发《政府采购促进中小企业发展管理办法》的通知&gt;（财库〔2020〕46号）的规定，</w:t>
      </w:r>
      <w:r>
        <w:rPr>
          <w:rFonts w:hint="eastAsia" w:ascii="宋体" w:hAnsi="宋体" w:eastAsia="宋体" w:cs="宋体"/>
          <w:color w:val="auto"/>
          <w:sz w:val="24"/>
          <w:szCs w:val="24"/>
          <w:highlight w:val="none"/>
        </w:rPr>
        <w:t>在政府采购活动中，供应商提供的货物、工程或者服务符合下列情形的，享受中小企业扶持政策：</w:t>
      </w:r>
    </w:p>
    <w:p w14:paraId="7CE52A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（一）在货物采购项目中，货物由中小企业制造，即货物由中小企业生产且使用该中小企业商号或者注册商标；</w:t>
      </w:r>
    </w:p>
    <w:p w14:paraId="11FAF7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（二）在工程采购项目中，工程由中小企业承建，即工程施工单位为中小企业；</w:t>
      </w:r>
    </w:p>
    <w:p w14:paraId="7FFDB0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（三）在服务采购项目中，服务由中小企业承接，即提供服务的人员为中小企业依照《中华人民共和国劳动合同法》订立劳动合同的从业人员。</w:t>
      </w:r>
    </w:p>
    <w:p w14:paraId="76F373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在货物采购项目中，供应商提供的货物既有中小企业制造货物，也有大型企业制造货物的，不享受中小企业扶持政策。</w:t>
      </w:r>
    </w:p>
    <w:p w14:paraId="4A81B1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14:paraId="1D014189">
      <w:pPr>
        <w:spacing w:line="6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中小企业划分标准详见《关于印发中小企业划型标准规定的通知》</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bidi="ar"/>
        </w:rPr>
        <w:t>工信部联企业〔2011〕300号）</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val="en-US" w:eastAsia="zh-CN" w:bidi="ar"/>
        </w:rPr>
        <w:t>但</w:t>
      </w:r>
      <w:r>
        <w:rPr>
          <w:rFonts w:hint="eastAsia" w:ascii="宋体" w:hAnsi="宋体" w:eastAsia="宋体" w:cs="宋体"/>
          <w:color w:val="auto"/>
          <w:sz w:val="24"/>
          <w:szCs w:val="24"/>
          <w:highlight w:val="none"/>
        </w:rPr>
        <w:t>与大企业的负责人为同一人，或者与大企业存在直接控股、管理关系的除外</w:t>
      </w:r>
      <w:r>
        <w:rPr>
          <w:rFonts w:hint="eastAsia" w:ascii="宋体" w:hAnsi="宋体" w:eastAsia="宋体" w:cs="宋体"/>
          <w:color w:val="auto"/>
          <w:kern w:val="0"/>
          <w:sz w:val="24"/>
          <w:highlight w:val="none"/>
          <w:lang w:bidi="ar"/>
        </w:rPr>
        <w:t>。</w:t>
      </w:r>
      <w:r>
        <w:rPr>
          <w:rFonts w:hint="eastAsia" w:ascii="宋体" w:hAnsi="宋体" w:eastAsia="宋体" w:cs="宋体"/>
          <w:color w:val="auto"/>
          <w:sz w:val="24"/>
          <w:szCs w:val="24"/>
          <w:highlight w:val="none"/>
        </w:rPr>
        <w:t>符合中小企业划分标准的个体工商户，在政府采购活动中视同中小企业。</w:t>
      </w:r>
    </w:p>
    <w:p w14:paraId="144BBB9C">
      <w:pPr>
        <w:spacing w:line="56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1.2</w:t>
      </w:r>
      <w:r>
        <w:rPr>
          <w:rFonts w:hint="eastAsia" w:ascii="宋体" w:hAnsi="宋体" w:eastAsia="宋体" w:cs="宋体"/>
          <w:color w:val="auto"/>
          <w:sz w:val="24"/>
          <w:highlight w:val="none"/>
          <w:lang w:bidi="ar"/>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D5DF363">
      <w:pPr>
        <w:spacing w:line="5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监狱企业参加政府采购活动时，应当提供由省级以上监狱管理局、戒毒管理局(含新疆生产建设兵团)出具的属于监狱企业的证明文件。</w:t>
      </w:r>
      <w:r>
        <w:rPr>
          <w:rFonts w:hint="eastAsia" w:ascii="宋体" w:hAnsi="宋体" w:eastAsia="宋体" w:cs="宋体"/>
          <w:color w:val="auto"/>
          <w:kern w:val="0"/>
          <w:sz w:val="24"/>
          <w:szCs w:val="20"/>
          <w:highlight w:val="none"/>
          <w:lang w:bidi="ar"/>
        </w:rPr>
        <w:t>监狱企业参加政府采购活动时，视同小型、微型企业。</w:t>
      </w:r>
    </w:p>
    <w:p w14:paraId="0E153C75">
      <w:pPr>
        <w:spacing w:line="56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1.3残疾人福利性单位应当同时满足以下条件：</w:t>
      </w:r>
    </w:p>
    <w:p w14:paraId="57CF9EB9">
      <w:pPr>
        <w:spacing w:line="56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（1）安置的残疾人占本单位在职职工人数的比例不低于25%（含25%），并且安置的残疾人人数不少于10人（含10人）；</w:t>
      </w:r>
    </w:p>
    <w:p w14:paraId="5197B202">
      <w:pPr>
        <w:spacing w:line="56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（2）依法与安置的每位残疾人签订了一年以上（含一年）的劳动合同或服务协议；</w:t>
      </w:r>
    </w:p>
    <w:p w14:paraId="3B60B0B5">
      <w:pPr>
        <w:spacing w:line="56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（3）为安置的每位残疾人按月足额缴纳了基本养老保险、基本医疗保险、失业保险、工伤保险和生育保险等社会保险费；</w:t>
      </w:r>
    </w:p>
    <w:p w14:paraId="24841854">
      <w:pPr>
        <w:spacing w:line="56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（4）通过银行等金融机构向安置的每位残疾人，按月支付了不低于单位所在区县适用的经省级人民政府批准的月最低工资标准的工资；</w:t>
      </w:r>
    </w:p>
    <w:p w14:paraId="3A9FE46A">
      <w:pPr>
        <w:spacing w:line="56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（5）提供本单位制造的货物、承担的工程或者服务（以下简称产品），或者提供其他残疾人福利性单位制造的货物（不包括使用非残疾人福利性单位注册商标的货物）。</w:t>
      </w:r>
    </w:p>
    <w:p w14:paraId="4F5DB15C">
      <w:pPr>
        <w:spacing w:line="56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F98FD81">
      <w:pPr>
        <w:spacing w:line="5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符合条件的残疾人福利性单位在参加政府采购活动时，应当提供本通知规定的《残疾人福利性单位声明函》，并对声明的真实性负责。残疾人福利性单位</w:t>
      </w:r>
      <w:r>
        <w:rPr>
          <w:rFonts w:hint="eastAsia" w:ascii="宋体" w:hAnsi="宋体" w:eastAsia="宋体" w:cs="宋体"/>
          <w:color w:val="auto"/>
          <w:kern w:val="0"/>
          <w:sz w:val="24"/>
          <w:szCs w:val="20"/>
          <w:highlight w:val="none"/>
          <w:lang w:bidi="ar"/>
        </w:rPr>
        <w:t>参加政府采购活动时，视同小型、微型企业；</w:t>
      </w:r>
      <w:r>
        <w:rPr>
          <w:rFonts w:hint="eastAsia" w:ascii="宋体" w:hAnsi="宋体" w:eastAsia="宋体" w:cs="宋体"/>
          <w:color w:val="auto"/>
          <w:kern w:val="0"/>
          <w:sz w:val="24"/>
          <w:highlight w:val="none"/>
          <w:lang w:bidi="ar"/>
        </w:rPr>
        <w:t>残疾人福利性单位属于小型、微型企业的，不重复享受政策。</w:t>
      </w:r>
    </w:p>
    <w:p w14:paraId="77F4DE7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供应商提供的</w:t>
      </w:r>
      <w:r>
        <w:rPr>
          <w:rFonts w:hint="eastAsia" w:ascii="宋体" w:hAnsi="宋体" w:eastAsia="宋体" w:cs="宋体"/>
          <w:color w:val="auto"/>
          <w:kern w:val="0"/>
          <w:sz w:val="24"/>
          <w:highlight w:val="none"/>
          <w:lang w:bidi="ar"/>
        </w:rPr>
        <w:t>中小企业声明函、</w:t>
      </w:r>
      <w:r>
        <w:rPr>
          <w:rFonts w:hint="eastAsia" w:ascii="宋体" w:hAnsi="宋体" w:eastAsia="宋体" w:cs="宋体"/>
          <w:color w:val="auto"/>
          <w:sz w:val="24"/>
          <w:highlight w:val="none"/>
        </w:rPr>
        <w:t>残疾人福利性单位声明函或监狱证明，与事实不符的，依照《政府采购法》第七十七条的相关规定追究法律责任。</w:t>
      </w:r>
    </w:p>
    <w:p w14:paraId="30016551">
      <w:pPr>
        <w:spacing w:line="600" w:lineRule="exact"/>
        <w:ind w:firstLine="482" w:firstLineChars="200"/>
        <w:rPr>
          <w:rFonts w:hint="eastAsia" w:ascii="宋体" w:hAnsi="宋体" w:eastAsia="宋体" w:cs="宋体"/>
          <w:b/>
          <w:color w:val="auto"/>
          <w:highlight w:val="none"/>
        </w:rPr>
      </w:pPr>
      <w:r>
        <w:rPr>
          <w:rFonts w:hint="eastAsia" w:ascii="宋体" w:hAnsi="宋体" w:eastAsia="宋体" w:cs="宋体"/>
          <w:b/>
          <w:color w:val="auto"/>
          <w:kern w:val="0"/>
          <w:sz w:val="24"/>
          <w:highlight w:val="none"/>
          <w:lang w:val="en-US" w:eastAsia="zh-CN" w:bidi="ar"/>
        </w:rPr>
        <w:t>3</w:t>
      </w:r>
      <w:r>
        <w:rPr>
          <w:rFonts w:hint="eastAsia" w:ascii="宋体" w:hAnsi="宋体" w:eastAsia="宋体" w:cs="宋体"/>
          <w:b/>
          <w:color w:val="auto"/>
          <w:kern w:val="0"/>
          <w:sz w:val="24"/>
          <w:highlight w:val="none"/>
          <w:lang w:eastAsia="zh-CN" w:bidi="ar"/>
        </w:rPr>
        <w:t>）</w:t>
      </w:r>
      <w:r>
        <w:rPr>
          <w:rFonts w:hint="eastAsia" w:ascii="宋体" w:hAnsi="宋体" w:eastAsia="宋体" w:cs="宋体"/>
          <w:b/>
          <w:color w:val="auto"/>
          <w:kern w:val="0"/>
          <w:sz w:val="24"/>
          <w:highlight w:val="none"/>
          <w:lang w:bidi="ar"/>
        </w:rPr>
        <w:t>政策性扣除比例：</w:t>
      </w:r>
    </w:p>
    <w:p w14:paraId="6E4CB3FF">
      <w:pPr>
        <w:spacing w:line="56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供应商符合小微型企业、监狱企业、残疾人福利性单位条件的，并提供中小企业声明函、残疾人福利性单位声明函或监狱企业证明，符合其中任意一种情形的，则在报价的基础上，按“报价×</w:t>
      </w:r>
      <w:r>
        <w:rPr>
          <w:rFonts w:hint="eastAsia" w:ascii="宋体" w:hAnsi="宋体" w:eastAsia="宋体" w:cs="宋体"/>
          <w:color w:val="auto"/>
          <w:kern w:val="0"/>
          <w:sz w:val="24"/>
          <w:highlight w:val="none"/>
          <w:lang w:val="en-US" w:eastAsia="zh-CN" w:bidi="ar"/>
        </w:rPr>
        <w:t>10</w:t>
      </w:r>
      <w:r>
        <w:rPr>
          <w:rFonts w:hint="eastAsia" w:ascii="宋体" w:hAnsi="宋体" w:eastAsia="宋体" w:cs="宋体"/>
          <w:color w:val="auto"/>
          <w:kern w:val="0"/>
          <w:sz w:val="24"/>
          <w:highlight w:val="none"/>
          <w:lang w:bidi="ar"/>
        </w:rPr>
        <w:t>%”进行价格扣除，以扣除后的价格参与评审；符合两种及以上情形的，不累加计算扣除价格。</w:t>
      </w:r>
    </w:p>
    <w:p w14:paraId="44B13106">
      <w:pPr>
        <w:spacing w:line="600" w:lineRule="exact"/>
        <w:ind w:firstLine="482" w:firstLineChars="200"/>
        <w:rPr>
          <w:rFonts w:hint="eastAsia" w:ascii="宋体" w:hAnsi="宋体" w:eastAsia="宋体" w:cs="宋体"/>
          <w:b/>
          <w:color w:val="auto"/>
          <w:kern w:val="0"/>
          <w:sz w:val="24"/>
          <w:highlight w:val="none"/>
          <w:lang w:val="en-US" w:eastAsia="zh-CN" w:bidi="ar"/>
        </w:rPr>
      </w:pPr>
      <w:r>
        <w:rPr>
          <w:rFonts w:hint="eastAsia" w:ascii="宋体" w:hAnsi="宋体" w:eastAsia="宋体" w:cs="宋体"/>
          <w:b/>
          <w:color w:val="auto"/>
          <w:kern w:val="0"/>
          <w:sz w:val="24"/>
          <w:highlight w:val="none"/>
          <w:lang w:val="en-US" w:eastAsia="zh-CN" w:bidi="ar"/>
        </w:rPr>
        <w:t>4）信用融资政策</w:t>
      </w:r>
    </w:p>
    <w:p w14:paraId="7FB1C512">
      <w:pPr>
        <w:spacing w:line="560" w:lineRule="exact"/>
        <w:ind w:firstLine="480" w:firstLineChars="200"/>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供应商如需信用融资，详见《陕西省财政厅关于印发&lt;陕西省中小企业政府采购信用融资办法&gt;的通知》（陕财办采【2018】23号）相关政策、业务流程、办理平台（http://www.ccgp-shaanxi.gov.cn/zcdservice/zcd/shanxi/）。</w:t>
      </w:r>
    </w:p>
    <w:p w14:paraId="5EF38D21">
      <w:pPr>
        <w:spacing w:line="600" w:lineRule="exact"/>
        <w:ind w:firstLine="482" w:firstLineChars="200"/>
        <w:rPr>
          <w:rFonts w:hint="eastAsia" w:ascii="宋体" w:hAnsi="宋体" w:eastAsia="宋体" w:cs="宋体"/>
          <w:b/>
          <w:color w:val="auto"/>
          <w:kern w:val="0"/>
          <w:sz w:val="24"/>
          <w:highlight w:val="none"/>
          <w:lang w:val="en-US" w:eastAsia="zh-CN" w:bidi="ar"/>
        </w:rPr>
      </w:pPr>
      <w:r>
        <w:rPr>
          <w:rFonts w:hint="eastAsia" w:ascii="宋体" w:hAnsi="宋体" w:eastAsia="宋体" w:cs="宋体"/>
          <w:b/>
          <w:color w:val="auto"/>
          <w:kern w:val="0"/>
          <w:sz w:val="24"/>
          <w:highlight w:val="none"/>
          <w:lang w:val="en-US" w:eastAsia="zh-CN" w:bidi="ar"/>
        </w:rPr>
        <w:t>政府采购信用融资业务办理银行</w:t>
      </w:r>
    </w:p>
    <w:tbl>
      <w:tblPr>
        <w:tblStyle w:val="25"/>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149"/>
        <w:gridCol w:w="3673"/>
        <w:gridCol w:w="1202"/>
        <w:gridCol w:w="1905"/>
      </w:tblGrid>
      <w:tr w14:paraId="31C7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7E6BB3E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b/>
                <w:bCs/>
                <w:i w:val="0"/>
                <w:caps w:val="0"/>
                <w:color w:val="auto"/>
                <w:spacing w:val="0"/>
                <w:kern w:val="0"/>
                <w:sz w:val="24"/>
                <w:szCs w:val="24"/>
                <w:highlight w:val="none"/>
                <w:shd w:val="clear" w:color="auto" w:fill="FFFFFF"/>
                <w:vertAlign w:val="baseline"/>
                <w:lang w:val="en-US" w:eastAsia="zh-CN" w:bidi="ar-SA"/>
              </w:rPr>
              <w:t>序号</w:t>
            </w:r>
          </w:p>
        </w:tc>
        <w:tc>
          <w:tcPr>
            <w:tcW w:w="2149" w:type="dxa"/>
            <w:noWrap w:val="0"/>
            <w:vAlign w:val="center"/>
          </w:tcPr>
          <w:p w14:paraId="6406BC0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b/>
                <w:bCs/>
                <w:i w:val="0"/>
                <w:caps w:val="0"/>
                <w:color w:val="auto"/>
                <w:spacing w:val="0"/>
                <w:kern w:val="0"/>
                <w:sz w:val="24"/>
                <w:szCs w:val="24"/>
                <w:highlight w:val="none"/>
                <w:shd w:val="clear" w:color="auto" w:fill="FFFFFF"/>
                <w:vertAlign w:val="baseline"/>
                <w:lang w:val="en-US" w:eastAsia="zh-CN" w:bidi="ar-SA"/>
              </w:rPr>
              <w:t>银行</w:t>
            </w:r>
          </w:p>
        </w:tc>
        <w:tc>
          <w:tcPr>
            <w:tcW w:w="3673" w:type="dxa"/>
            <w:noWrap w:val="0"/>
            <w:vAlign w:val="center"/>
          </w:tcPr>
          <w:p w14:paraId="6AD40B8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b/>
                <w:bCs/>
                <w:i w:val="0"/>
                <w:caps w:val="0"/>
                <w:color w:val="auto"/>
                <w:spacing w:val="0"/>
                <w:kern w:val="0"/>
                <w:sz w:val="24"/>
                <w:szCs w:val="24"/>
                <w:highlight w:val="none"/>
                <w:shd w:val="clear" w:color="auto" w:fill="FFFFFF"/>
                <w:vertAlign w:val="baseline"/>
                <w:lang w:val="en-US" w:eastAsia="zh-CN" w:bidi="ar-SA"/>
              </w:rPr>
              <w:t>地址</w:t>
            </w:r>
          </w:p>
        </w:tc>
        <w:tc>
          <w:tcPr>
            <w:tcW w:w="1202" w:type="dxa"/>
            <w:noWrap w:val="0"/>
            <w:vAlign w:val="center"/>
          </w:tcPr>
          <w:p w14:paraId="288C5D9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b/>
                <w:bCs/>
                <w:i w:val="0"/>
                <w:caps w:val="0"/>
                <w:color w:val="auto"/>
                <w:spacing w:val="0"/>
                <w:kern w:val="0"/>
                <w:sz w:val="24"/>
                <w:szCs w:val="24"/>
                <w:highlight w:val="none"/>
                <w:shd w:val="clear" w:color="auto" w:fill="FFFFFF"/>
                <w:vertAlign w:val="baseline"/>
                <w:lang w:val="en-US" w:eastAsia="zh-CN" w:bidi="ar-SA"/>
              </w:rPr>
              <w:t>联系人</w:t>
            </w:r>
          </w:p>
        </w:tc>
        <w:tc>
          <w:tcPr>
            <w:tcW w:w="1905" w:type="dxa"/>
            <w:noWrap w:val="0"/>
            <w:vAlign w:val="center"/>
          </w:tcPr>
          <w:p w14:paraId="797A6BD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aps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b/>
                <w:bCs/>
                <w:i w:val="0"/>
                <w:caps w:val="0"/>
                <w:color w:val="auto"/>
                <w:spacing w:val="0"/>
                <w:kern w:val="0"/>
                <w:sz w:val="24"/>
                <w:szCs w:val="24"/>
                <w:highlight w:val="none"/>
                <w:shd w:val="clear" w:color="auto" w:fill="FFFFFF"/>
                <w:vertAlign w:val="baseline"/>
                <w:lang w:val="en-US" w:eastAsia="zh-CN" w:bidi="ar-SA"/>
              </w:rPr>
              <w:t>电话</w:t>
            </w:r>
          </w:p>
        </w:tc>
      </w:tr>
      <w:tr w14:paraId="460E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55" w:type="dxa"/>
            <w:noWrap w:val="0"/>
            <w:vAlign w:val="center"/>
          </w:tcPr>
          <w:p w14:paraId="719CD55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w:t>
            </w:r>
          </w:p>
        </w:tc>
        <w:tc>
          <w:tcPr>
            <w:tcW w:w="2149" w:type="dxa"/>
            <w:noWrap w:val="0"/>
            <w:vAlign w:val="center"/>
          </w:tcPr>
          <w:p w14:paraId="579DF7D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lang w:val="en-US" w:eastAsia="zh-CN" w:bidi="ar-SA"/>
              </w:rPr>
              <w:t>中国建设银行延安分行</w:t>
            </w:r>
          </w:p>
        </w:tc>
        <w:tc>
          <w:tcPr>
            <w:tcW w:w="3673" w:type="dxa"/>
            <w:noWrap w:val="0"/>
            <w:vAlign w:val="center"/>
          </w:tcPr>
          <w:p w14:paraId="0097D3C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lang w:val="en-US" w:eastAsia="zh-CN" w:bidi="ar-SA"/>
              </w:rPr>
              <w:t>延安市宝塔区中心街</w:t>
            </w:r>
          </w:p>
        </w:tc>
        <w:tc>
          <w:tcPr>
            <w:tcW w:w="1202" w:type="dxa"/>
            <w:noWrap w:val="0"/>
            <w:vAlign w:val="center"/>
          </w:tcPr>
          <w:p w14:paraId="7EFB31C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徐欣蕾</w:t>
            </w:r>
          </w:p>
        </w:tc>
        <w:tc>
          <w:tcPr>
            <w:tcW w:w="1905" w:type="dxa"/>
            <w:noWrap w:val="0"/>
            <w:vAlign w:val="center"/>
          </w:tcPr>
          <w:p w14:paraId="0200E00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15891686951</w:t>
            </w:r>
          </w:p>
        </w:tc>
      </w:tr>
      <w:tr w14:paraId="311D8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55" w:type="dxa"/>
            <w:noWrap w:val="0"/>
            <w:vAlign w:val="center"/>
          </w:tcPr>
          <w:p w14:paraId="2CA57A8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2</w:t>
            </w:r>
          </w:p>
        </w:tc>
        <w:tc>
          <w:tcPr>
            <w:tcW w:w="2149" w:type="dxa"/>
            <w:noWrap w:val="0"/>
            <w:vAlign w:val="center"/>
          </w:tcPr>
          <w:p w14:paraId="1A873A2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中国工商银行延安分行</w:t>
            </w:r>
          </w:p>
        </w:tc>
        <w:tc>
          <w:tcPr>
            <w:tcW w:w="3673" w:type="dxa"/>
            <w:noWrap w:val="0"/>
            <w:vAlign w:val="center"/>
          </w:tcPr>
          <w:p w14:paraId="05D48D0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延安市宝塔区师范路</w:t>
            </w:r>
          </w:p>
        </w:tc>
        <w:tc>
          <w:tcPr>
            <w:tcW w:w="1202" w:type="dxa"/>
            <w:noWrap w:val="0"/>
            <w:vAlign w:val="center"/>
          </w:tcPr>
          <w:p w14:paraId="07DA74B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姬悦</w:t>
            </w:r>
          </w:p>
        </w:tc>
        <w:tc>
          <w:tcPr>
            <w:tcW w:w="1905" w:type="dxa"/>
            <w:noWrap w:val="0"/>
            <w:vAlign w:val="center"/>
          </w:tcPr>
          <w:p w14:paraId="5D527FA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18391156580</w:t>
            </w:r>
          </w:p>
        </w:tc>
      </w:tr>
      <w:tr w14:paraId="6F247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73E4C58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3</w:t>
            </w:r>
          </w:p>
        </w:tc>
        <w:tc>
          <w:tcPr>
            <w:tcW w:w="2149" w:type="dxa"/>
            <w:noWrap w:val="0"/>
            <w:vAlign w:val="center"/>
          </w:tcPr>
          <w:p w14:paraId="0491CE9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北京银行延安分行</w:t>
            </w:r>
          </w:p>
        </w:tc>
        <w:tc>
          <w:tcPr>
            <w:tcW w:w="3673" w:type="dxa"/>
            <w:noWrap w:val="0"/>
            <w:vAlign w:val="center"/>
          </w:tcPr>
          <w:p w14:paraId="77E112A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延安市宝塔区双拥大道</w:t>
            </w:r>
          </w:p>
        </w:tc>
        <w:tc>
          <w:tcPr>
            <w:tcW w:w="1202" w:type="dxa"/>
            <w:noWrap w:val="0"/>
            <w:vAlign w:val="center"/>
          </w:tcPr>
          <w:p w14:paraId="14CA7D4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奥宝森</w:t>
            </w:r>
          </w:p>
        </w:tc>
        <w:tc>
          <w:tcPr>
            <w:tcW w:w="1905" w:type="dxa"/>
            <w:noWrap w:val="0"/>
            <w:vAlign w:val="center"/>
          </w:tcPr>
          <w:p w14:paraId="6D95DEC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15592925222</w:t>
            </w:r>
          </w:p>
        </w:tc>
      </w:tr>
      <w:tr w14:paraId="1E1F0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55" w:type="dxa"/>
            <w:noWrap w:val="0"/>
            <w:vAlign w:val="center"/>
          </w:tcPr>
          <w:p w14:paraId="04D805D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4</w:t>
            </w:r>
          </w:p>
        </w:tc>
        <w:tc>
          <w:tcPr>
            <w:tcW w:w="2149" w:type="dxa"/>
            <w:noWrap w:val="0"/>
            <w:vAlign w:val="center"/>
          </w:tcPr>
          <w:p w14:paraId="3AD51EC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邮储银行延安分行</w:t>
            </w:r>
          </w:p>
        </w:tc>
        <w:tc>
          <w:tcPr>
            <w:tcW w:w="3673" w:type="dxa"/>
            <w:noWrap w:val="0"/>
            <w:vAlign w:val="center"/>
          </w:tcPr>
          <w:p w14:paraId="7552869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宝塔区枣园路志丹大厦</w:t>
            </w:r>
          </w:p>
        </w:tc>
        <w:tc>
          <w:tcPr>
            <w:tcW w:w="1202" w:type="dxa"/>
            <w:noWrap w:val="0"/>
            <w:vAlign w:val="center"/>
          </w:tcPr>
          <w:p w14:paraId="70A921E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刘凯</w:t>
            </w:r>
          </w:p>
        </w:tc>
        <w:tc>
          <w:tcPr>
            <w:tcW w:w="1905" w:type="dxa"/>
            <w:noWrap w:val="0"/>
            <w:vAlign w:val="center"/>
          </w:tcPr>
          <w:p w14:paraId="01853AB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18691114222</w:t>
            </w:r>
          </w:p>
        </w:tc>
      </w:tr>
      <w:tr w14:paraId="2B8E5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55" w:type="dxa"/>
            <w:noWrap w:val="0"/>
            <w:vAlign w:val="center"/>
          </w:tcPr>
          <w:p w14:paraId="0DACBFE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5</w:t>
            </w:r>
          </w:p>
        </w:tc>
        <w:tc>
          <w:tcPr>
            <w:tcW w:w="2149" w:type="dxa"/>
            <w:noWrap w:val="0"/>
            <w:vAlign w:val="center"/>
          </w:tcPr>
          <w:p w14:paraId="761D2E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光大银行延安分行</w:t>
            </w:r>
          </w:p>
        </w:tc>
        <w:tc>
          <w:tcPr>
            <w:tcW w:w="3673" w:type="dxa"/>
            <w:noWrap w:val="0"/>
            <w:vAlign w:val="center"/>
          </w:tcPr>
          <w:p w14:paraId="4F6F5D6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宝塔区卷烟厂东信时代一、二层</w:t>
            </w:r>
          </w:p>
        </w:tc>
        <w:tc>
          <w:tcPr>
            <w:tcW w:w="1202" w:type="dxa"/>
            <w:noWrap w:val="0"/>
            <w:vAlign w:val="center"/>
          </w:tcPr>
          <w:p w14:paraId="090F58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汪昊田</w:t>
            </w:r>
          </w:p>
        </w:tc>
        <w:tc>
          <w:tcPr>
            <w:tcW w:w="1905" w:type="dxa"/>
            <w:noWrap w:val="0"/>
            <w:vAlign w:val="center"/>
          </w:tcPr>
          <w:p w14:paraId="2780094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13509115500</w:t>
            </w:r>
          </w:p>
        </w:tc>
      </w:tr>
      <w:tr w14:paraId="72608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234871C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6</w:t>
            </w:r>
          </w:p>
        </w:tc>
        <w:tc>
          <w:tcPr>
            <w:tcW w:w="2149" w:type="dxa"/>
            <w:noWrap w:val="0"/>
            <w:vAlign w:val="center"/>
          </w:tcPr>
          <w:p w14:paraId="039AAA0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交通银行延安分行</w:t>
            </w:r>
          </w:p>
        </w:tc>
        <w:tc>
          <w:tcPr>
            <w:tcW w:w="3673" w:type="dxa"/>
            <w:noWrap w:val="0"/>
            <w:vAlign w:val="center"/>
          </w:tcPr>
          <w:p w14:paraId="65D210F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延安市宝塔区北大街95号</w:t>
            </w:r>
          </w:p>
        </w:tc>
        <w:tc>
          <w:tcPr>
            <w:tcW w:w="1202" w:type="dxa"/>
            <w:noWrap w:val="0"/>
            <w:vAlign w:val="center"/>
          </w:tcPr>
          <w:p w14:paraId="289210A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王瑶</w:t>
            </w:r>
          </w:p>
        </w:tc>
        <w:tc>
          <w:tcPr>
            <w:tcW w:w="1905" w:type="dxa"/>
            <w:noWrap w:val="0"/>
            <w:vAlign w:val="center"/>
          </w:tcPr>
          <w:p w14:paraId="18C27D8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13389119518</w:t>
            </w:r>
          </w:p>
        </w:tc>
      </w:tr>
      <w:tr w14:paraId="3CE38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5E73BCC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7</w:t>
            </w:r>
          </w:p>
        </w:tc>
        <w:tc>
          <w:tcPr>
            <w:tcW w:w="2149" w:type="dxa"/>
            <w:noWrap w:val="0"/>
            <w:vAlign w:val="center"/>
          </w:tcPr>
          <w:p w14:paraId="0322A57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延安农商行</w:t>
            </w:r>
          </w:p>
        </w:tc>
        <w:tc>
          <w:tcPr>
            <w:tcW w:w="3673" w:type="dxa"/>
            <w:noWrap w:val="0"/>
            <w:vAlign w:val="center"/>
          </w:tcPr>
          <w:p w14:paraId="334AF30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延安市宝塔区百米大道永兴路农商银行大厦</w:t>
            </w:r>
          </w:p>
        </w:tc>
        <w:tc>
          <w:tcPr>
            <w:tcW w:w="1202" w:type="dxa"/>
            <w:noWrap w:val="0"/>
            <w:vAlign w:val="center"/>
          </w:tcPr>
          <w:p w14:paraId="4285328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段田瑞</w:t>
            </w:r>
          </w:p>
        </w:tc>
        <w:tc>
          <w:tcPr>
            <w:tcW w:w="1905" w:type="dxa"/>
            <w:noWrap w:val="0"/>
            <w:vAlign w:val="center"/>
          </w:tcPr>
          <w:p w14:paraId="5FC894E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18700166012</w:t>
            </w:r>
          </w:p>
        </w:tc>
      </w:tr>
      <w:tr w14:paraId="3FFFF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6988477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8</w:t>
            </w:r>
          </w:p>
        </w:tc>
        <w:tc>
          <w:tcPr>
            <w:tcW w:w="2149" w:type="dxa"/>
            <w:noWrap w:val="0"/>
            <w:vAlign w:val="center"/>
          </w:tcPr>
          <w:p w14:paraId="549F88C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甘泉农商行</w:t>
            </w:r>
          </w:p>
        </w:tc>
        <w:tc>
          <w:tcPr>
            <w:tcW w:w="3673" w:type="dxa"/>
            <w:noWrap w:val="0"/>
            <w:vAlign w:val="center"/>
          </w:tcPr>
          <w:p w14:paraId="1975A85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甘泉县中心街019号</w:t>
            </w:r>
          </w:p>
        </w:tc>
        <w:tc>
          <w:tcPr>
            <w:tcW w:w="1202" w:type="dxa"/>
            <w:noWrap w:val="0"/>
            <w:vAlign w:val="center"/>
          </w:tcPr>
          <w:p w14:paraId="0B05C11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白晶晶</w:t>
            </w:r>
          </w:p>
        </w:tc>
        <w:tc>
          <w:tcPr>
            <w:tcW w:w="1905" w:type="dxa"/>
            <w:noWrap w:val="0"/>
            <w:vAlign w:val="center"/>
          </w:tcPr>
          <w:p w14:paraId="537DF08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15129872940</w:t>
            </w:r>
          </w:p>
        </w:tc>
      </w:tr>
      <w:tr w14:paraId="2B2C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30952AA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9</w:t>
            </w:r>
          </w:p>
        </w:tc>
        <w:tc>
          <w:tcPr>
            <w:tcW w:w="2149" w:type="dxa"/>
            <w:noWrap w:val="0"/>
            <w:vAlign w:val="center"/>
          </w:tcPr>
          <w:p w14:paraId="7CA66C4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延长联社</w:t>
            </w:r>
          </w:p>
        </w:tc>
        <w:tc>
          <w:tcPr>
            <w:tcW w:w="3673" w:type="dxa"/>
            <w:noWrap w:val="0"/>
            <w:vAlign w:val="center"/>
          </w:tcPr>
          <w:p w14:paraId="14992F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延长县七里村镇街道城区中街</w:t>
            </w:r>
          </w:p>
        </w:tc>
        <w:tc>
          <w:tcPr>
            <w:tcW w:w="1202" w:type="dxa"/>
            <w:noWrap w:val="0"/>
            <w:vAlign w:val="center"/>
          </w:tcPr>
          <w:p w14:paraId="5387B8E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白永卿</w:t>
            </w:r>
          </w:p>
        </w:tc>
        <w:tc>
          <w:tcPr>
            <w:tcW w:w="1905" w:type="dxa"/>
            <w:noWrap w:val="0"/>
            <w:vAlign w:val="center"/>
          </w:tcPr>
          <w:p w14:paraId="5219D31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18109119635</w:t>
            </w:r>
          </w:p>
        </w:tc>
      </w:tr>
      <w:tr w14:paraId="2B42B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4A01CC2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10</w:t>
            </w:r>
          </w:p>
        </w:tc>
        <w:tc>
          <w:tcPr>
            <w:tcW w:w="2149" w:type="dxa"/>
            <w:noWrap w:val="0"/>
            <w:vAlign w:val="center"/>
          </w:tcPr>
          <w:p w14:paraId="1446AA4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延川联社</w:t>
            </w:r>
          </w:p>
        </w:tc>
        <w:tc>
          <w:tcPr>
            <w:tcW w:w="3673" w:type="dxa"/>
            <w:noWrap w:val="0"/>
            <w:vAlign w:val="center"/>
          </w:tcPr>
          <w:p w14:paraId="367FCD5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延川县大禹街道北关信用合作联社</w:t>
            </w:r>
          </w:p>
        </w:tc>
        <w:tc>
          <w:tcPr>
            <w:tcW w:w="1202" w:type="dxa"/>
            <w:noWrap w:val="0"/>
            <w:vAlign w:val="center"/>
          </w:tcPr>
          <w:p w14:paraId="58B2FAF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张沛兴</w:t>
            </w:r>
          </w:p>
        </w:tc>
        <w:tc>
          <w:tcPr>
            <w:tcW w:w="1905" w:type="dxa"/>
            <w:noWrap w:val="0"/>
            <w:vAlign w:val="center"/>
          </w:tcPr>
          <w:p w14:paraId="45F8889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15129756920</w:t>
            </w:r>
          </w:p>
        </w:tc>
      </w:tr>
      <w:tr w14:paraId="46454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7A23E58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11</w:t>
            </w:r>
          </w:p>
        </w:tc>
        <w:tc>
          <w:tcPr>
            <w:tcW w:w="2149" w:type="dxa"/>
            <w:noWrap w:val="0"/>
            <w:vAlign w:val="center"/>
          </w:tcPr>
          <w:p w14:paraId="38E9884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子长农商行</w:t>
            </w:r>
          </w:p>
        </w:tc>
        <w:tc>
          <w:tcPr>
            <w:tcW w:w="3673" w:type="dxa"/>
            <w:noWrap w:val="0"/>
            <w:vAlign w:val="center"/>
          </w:tcPr>
          <w:p w14:paraId="001E21A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子长市长兴街</w:t>
            </w:r>
          </w:p>
        </w:tc>
        <w:tc>
          <w:tcPr>
            <w:tcW w:w="1202" w:type="dxa"/>
            <w:noWrap w:val="0"/>
            <w:vAlign w:val="center"/>
          </w:tcPr>
          <w:p w14:paraId="578F8F6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王莉</w:t>
            </w:r>
          </w:p>
        </w:tc>
        <w:tc>
          <w:tcPr>
            <w:tcW w:w="1905" w:type="dxa"/>
            <w:noWrap w:val="0"/>
            <w:vAlign w:val="center"/>
          </w:tcPr>
          <w:p w14:paraId="53CF025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13992153010</w:t>
            </w:r>
          </w:p>
        </w:tc>
      </w:tr>
      <w:tr w14:paraId="37373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55" w:type="dxa"/>
            <w:noWrap w:val="0"/>
            <w:vAlign w:val="center"/>
          </w:tcPr>
          <w:p w14:paraId="426185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12</w:t>
            </w:r>
          </w:p>
        </w:tc>
        <w:tc>
          <w:tcPr>
            <w:tcW w:w="2149" w:type="dxa"/>
            <w:noWrap w:val="0"/>
            <w:vAlign w:val="center"/>
          </w:tcPr>
          <w:p w14:paraId="0781A5C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安塞农商行</w:t>
            </w:r>
          </w:p>
        </w:tc>
        <w:tc>
          <w:tcPr>
            <w:tcW w:w="3673" w:type="dxa"/>
            <w:noWrap w:val="0"/>
            <w:vAlign w:val="center"/>
          </w:tcPr>
          <w:p w14:paraId="578AB8E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延安市安塞区富民街22号</w:t>
            </w:r>
          </w:p>
        </w:tc>
        <w:tc>
          <w:tcPr>
            <w:tcW w:w="1202" w:type="dxa"/>
            <w:noWrap w:val="0"/>
            <w:vAlign w:val="center"/>
          </w:tcPr>
          <w:p w14:paraId="5BA6966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王平</w:t>
            </w:r>
          </w:p>
        </w:tc>
        <w:tc>
          <w:tcPr>
            <w:tcW w:w="1905" w:type="dxa"/>
            <w:noWrap w:val="0"/>
            <w:vAlign w:val="center"/>
          </w:tcPr>
          <w:p w14:paraId="7E1B6EB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15991569027</w:t>
            </w:r>
          </w:p>
        </w:tc>
      </w:tr>
      <w:tr w14:paraId="164DF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5" w:type="dxa"/>
            <w:noWrap w:val="0"/>
            <w:vAlign w:val="center"/>
          </w:tcPr>
          <w:p w14:paraId="4956198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13</w:t>
            </w:r>
          </w:p>
        </w:tc>
        <w:tc>
          <w:tcPr>
            <w:tcW w:w="2149" w:type="dxa"/>
            <w:noWrap w:val="0"/>
            <w:vAlign w:val="center"/>
          </w:tcPr>
          <w:p w14:paraId="7354D43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志丹联社</w:t>
            </w:r>
          </w:p>
        </w:tc>
        <w:tc>
          <w:tcPr>
            <w:tcW w:w="3673" w:type="dxa"/>
            <w:noWrap w:val="0"/>
            <w:vAlign w:val="center"/>
          </w:tcPr>
          <w:p w14:paraId="059428D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延安市志丹县保安街134号信合大厦</w:t>
            </w:r>
          </w:p>
        </w:tc>
        <w:tc>
          <w:tcPr>
            <w:tcW w:w="1202" w:type="dxa"/>
            <w:noWrap w:val="0"/>
            <w:vAlign w:val="center"/>
          </w:tcPr>
          <w:p w14:paraId="0BA7A46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李倩</w:t>
            </w:r>
          </w:p>
        </w:tc>
        <w:tc>
          <w:tcPr>
            <w:tcW w:w="1905" w:type="dxa"/>
            <w:noWrap w:val="0"/>
            <w:vAlign w:val="center"/>
          </w:tcPr>
          <w:p w14:paraId="2AE42C8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18792408171</w:t>
            </w:r>
          </w:p>
        </w:tc>
      </w:tr>
      <w:tr w14:paraId="630FA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0F62CBD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14</w:t>
            </w:r>
          </w:p>
        </w:tc>
        <w:tc>
          <w:tcPr>
            <w:tcW w:w="2149" w:type="dxa"/>
            <w:noWrap w:val="0"/>
            <w:vAlign w:val="center"/>
          </w:tcPr>
          <w:p w14:paraId="52925F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吴起农合行</w:t>
            </w:r>
          </w:p>
        </w:tc>
        <w:tc>
          <w:tcPr>
            <w:tcW w:w="3673" w:type="dxa"/>
            <w:noWrap w:val="0"/>
            <w:vAlign w:val="center"/>
          </w:tcPr>
          <w:p w14:paraId="4FDD1F3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陕西省延安市吴起县北苑东路26号</w:t>
            </w:r>
          </w:p>
        </w:tc>
        <w:tc>
          <w:tcPr>
            <w:tcW w:w="1202" w:type="dxa"/>
            <w:noWrap w:val="0"/>
            <w:vAlign w:val="center"/>
          </w:tcPr>
          <w:p w14:paraId="79A0504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李娜玲</w:t>
            </w:r>
          </w:p>
        </w:tc>
        <w:tc>
          <w:tcPr>
            <w:tcW w:w="1905" w:type="dxa"/>
            <w:noWrap w:val="0"/>
            <w:vAlign w:val="center"/>
          </w:tcPr>
          <w:p w14:paraId="28D313B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15591103321</w:t>
            </w:r>
          </w:p>
        </w:tc>
      </w:tr>
      <w:tr w14:paraId="5501B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3A45E4C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15</w:t>
            </w:r>
          </w:p>
        </w:tc>
        <w:tc>
          <w:tcPr>
            <w:tcW w:w="2149" w:type="dxa"/>
            <w:noWrap w:val="0"/>
            <w:vAlign w:val="center"/>
          </w:tcPr>
          <w:p w14:paraId="03336C4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洛川农商行</w:t>
            </w:r>
          </w:p>
        </w:tc>
        <w:tc>
          <w:tcPr>
            <w:tcW w:w="3673" w:type="dxa"/>
            <w:noWrap w:val="0"/>
            <w:vAlign w:val="center"/>
          </w:tcPr>
          <w:p w14:paraId="28B7FC8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陕西省延安市洛川县中心街</w:t>
            </w:r>
          </w:p>
        </w:tc>
        <w:tc>
          <w:tcPr>
            <w:tcW w:w="1202" w:type="dxa"/>
            <w:noWrap w:val="0"/>
            <w:vAlign w:val="center"/>
          </w:tcPr>
          <w:p w14:paraId="0338863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史云云</w:t>
            </w:r>
          </w:p>
        </w:tc>
        <w:tc>
          <w:tcPr>
            <w:tcW w:w="1905" w:type="dxa"/>
            <w:noWrap w:val="0"/>
            <w:vAlign w:val="center"/>
          </w:tcPr>
          <w:p w14:paraId="3733073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15291172848</w:t>
            </w:r>
          </w:p>
        </w:tc>
      </w:tr>
      <w:tr w14:paraId="7EE0A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33BCF8D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16</w:t>
            </w:r>
          </w:p>
        </w:tc>
        <w:tc>
          <w:tcPr>
            <w:tcW w:w="2149" w:type="dxa"/>
            <w:noWrap w:val="0"/>
            <w:vAlign w:val="center"/>
          </w:tcPr>
          <w:p w14:paraId="4456B0F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富县农合行</w:t>
            </w:r>
          </w:p>
        </w:tc>
        <w:tc>
          <w:tcPr>
            <w:tcW w:w="3673" w:type="dxa"/>
            <w:noWrap w:val="0"/>
            <w:vAlign w:val="center"/>
          </w:tcPr>
          <w:p w14:paraId="2BE82B7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富县富城镇正街8号</w:t>
            </w:r>
          </w:p>
        </w:tc>
        <w:tc>
          <w:tcPr>
            <w:tcW w:w="1202" w:type="dxa"/>
            <w:noWrap w:val="0"/>
            <w:vAlign w:val="center"/>
          </w:tcPr>
          <w:p w14:paraId="4B2648C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逯其玲</w:t>
            </w:r>
          </w:p>
        </w:tc>
        <w:tc>
          <w:tcPr>
            <w:tcW w:w="1905" w:type="dxa"/>
            <w:noWrap w:val="0"/>
            <w:vAlign w:val="center"/>
          </w:tcPr>
          <w:p w14:paraId="52C161D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18091126065</w:t>
            </w:r>
          </w:p>
        </w:tc>
      </w:tr>
      <w:tr w14:paraId="27CB2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48408D5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17</w:t>
            </w:r>
          </w:p>
        </w:tc>
        <w:tc>
          <w:tcPr>
            <w:tcW w:w="2149" w:type="dxa"/>
            <w:noWrap w:val="0"/>
            <w:vAlign w:val="center"/>
          </w:tcPr>
          <w:p w14:paraId="5BF7D7C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黄陵联社</w:t>
            </w:r>
          </w:p>
        </w:tc>
        <w:tc>
          <w:tcPr>
            <w:tcW w:w="3673" w:type="dxa"/>
            <w:noWrap w:val="0"/>
            <w:vAlign w:val="center"/>
          </w:tcPr>
          <w:p w14:paraId="04D1225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黄陵县桥山大厦</w:t>
            </w:r>
          </w:p>
        </w:tc>
        <w:tc>
          <w:tcPr>
            <w:tcW w:w="1202" w:type="dxa"/>
            <w:noWrap w:val="0"/>
            <w:vAlign w:val="center"/>
          </w:tcPr>
          <w:p w14:paraId="305FED5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曹涛</w:t>
            </w:r>
          </w:p>
        </w:tc>
        <w:tc>
          <w:tcPr>
            <w:tcW w:w="1905" w:type="dxa"/>
            <w:noWrap w:val="0"/>
            <w:vAlign w:val="center"/>
          </w:tcPr>
          <w:p w14:paraId="6A65DF0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13772255164</w:t>
            </w:r>
          </w:p>
        </w:tc>
      </w:tr>
      <w:tr w14:paraId="41C39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0F3D8E1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18</w:t>
            </w:r>
          </w:p>
        </w:tc>
        <w:tc>
          <w:tcPr>
            <w:tcW w:w="2149" w:type="dxa"/>
            <w:noWrap w:val="0"/>
            <w:vAlign w:val="center"/>
          </w:tcPr>
          <w:p w14:paraId="7ED8BC6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宜川联社</w:t>
            </w:r>
          </w:p>
        </w:tc>
        <w:tc>
          <w:tcPr>
            <w:tcW w:w="3673" w:type="dxa"/>
            <w:noWrap w:val="0"/>
            <w:vAlign w:val="center"/>
          </w:tcPr>
          <w:p w14:paraId="03D8643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宜川县党湾街65号</w:t>
            </w:r>
          </w:p>
        </w:tc>
        <w:tc>
          <w:tcPr>
            <w:tcW w:w="1202" w:type="dxa"/>
            <w:noWrap w:val="0"/>
            <w:vAlign w:val="center"/>
          </w:tcPr>
          <w:p w14:paraId="33EDB01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毛永良</w:t>
            </w:r>
          </w:p>
        </w:tc>
        <w:tc>
          <w:tcPr>
            <w:tcW w:w="1905" w:type="dxa"/>
            <w:noWrap w:val="0"/>
            <w:vAlign w:val="center"/>
          </w:tcPr>
          <w:p w14:paraId="14C354F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15009118628</w:t>
            </w:r>
          </w:p>
        </w:tc>
      </w:tr>
      <w:tr w14:paraId="4EE6D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75BD136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19</w:t>
            </w:r>
          </w:p>
        </w:tc>
        <w:tc>
          <w:tcPr>
            <w:tcW w:w="2149" w:type="dxa"/>
            <w:noWrap w:val="0"/>
            <w:vAlign w:val="center"/>
          </w:tcPr>
          <w:p w14:paraId="03A92AD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黄龙联社</w:t>
            </w:r>
          </w:p>
        </w:tc>
        <w:tc>
          <w:tcPr>
            <w:tcW w:w="3673" w:type="dxa"/>
            <w:noWrap w:val="0"/>
            <w:vAlign w:val="center"/>
          </w:tcPr>
          <w:p w14:paraId="39AA7CD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黄龙县石堡镇广场大街40号</w:t>
            </w:r>
          </w:p>
        </w:tc>
        <w:tc>
          <w:tcPr>
            <w:tcW w:w="1202" w:type="dxa"/>
            <w:noWrap w:val="0"/>
            <w:vAlign w:val="center"/>
          </w:tcPr>
          <w:p w14:paraId="43D68A3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郑国强</w:t>
            </w:r>
          </w:p>
        </w:tc>
        <w:tc>
          <w:tcPr>
            <w:tcW w:w="1905" w:type="dxa"/>
            <w:noWrap w:val="0"/>
            <w:vAlign w:val="center"/>
          </w:tcPr>
          <w:p w14:paraId="5E17B42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t>15991595662</w:t>
            </w:r>
          </w:p>
        </w:tc>
      </w:tr>
    </w:tbl>
    <w:p w14:paraId="0B27B294">
      <w:pPr>
        <w:pageBreakBefore w:val="0"/>
        <w:bidi w:val="0"/>
        <w:spacing w:line="460" w:lineRule="exact"/>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政策提示：政府采购中标(成交)供应商可凭政府采购中标(成交)通知书或政府采购合同向金融机构提出融资申请。</w:t>
      </w:r>
    </w:p>
    <w:p w14:paraId="0C9EB415">
      <w:pPr>
        <w:pageBreakBefore w:val="0"/>
        <w:bidi w:val="0"/>
        <w:spacing w:line="46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bCs/>
          <w:color w:val="auto"/>
          <w:sz w:val="24"/>
          <w:szCs w:val="24"/>
          <w:highlight w:val="none"/>
        </w:rPr>
        <w:t>定标</w:t>
      </w:r>
    </w:p>
    <w:p w14:paraId="5FD933CD">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3-1、定标程序</w:t>
      </w:r>
    </w:p>
    <w:p w14:paraId="4DBD3D42">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（1）评标委员会依据评标办法，经过初审、澄清、比较与评价等程序后，在最大限度满足招标文件实质性要求前提下进行综合评审，以评标总得分最高到低的顺序推荐3名以上中标候选人，并编写评标报告。</w:t>
      </w:r>
    </w:p>
    <w:p w14:paraId="3BF75136">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在收到评标报告5个工作日内，从评审报告推荐的中标候选人中，以评标总分最高的供应商作为中标人，向采购代理机构出具《定标复函》；采购人逾期未确定中标单位且不提出异议的，视为确定评标报告推荐的评标得分最高的供应商为中标人。</w:t>
      </w:r>
    </w:p>
    <w:p w14:paraId="19DFDF67">
      <w:pPr>
        <w:pageBreakBefore w:val="0"/>
        <w:bidi w:val="0"/>
        <w:adjustRightInd w:val="0"/>
        <w:snapToGrid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代理机构接到采购人的《定标复函》后，将中标结果在陕西省政府采购网上进行公告。公告发布1个工作日，其他供应商若有异议，按《政府采购法》第52条执行。若无异议，采购代理机构向中标单位发出中标通知书。</w:t>
      </w:r>
    </w:p>
    <w:p w14:paraId="60ED0FAD">
      <w:pPr>
        <w:pageBreakBefore w:val="0"/>
        <w:bidi w:val="0"/>
        <w:spacing w:line="460" w:lineRule="exact"/>
        <w:ind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3-2、中标人确定后，采购人和采购代理机构对未中标原因不作任何解释，投标文件不予退还（含纸质及电子版文件）。</w:t>
      </w:r>
    </w:p>
    <w:p w14:paraId="742FA714">
      <w:pPr>
        <w:pageBreakBefore w:val="0"/>
        <w:bidi w:val="0"/>
        <w:spacing w:line="46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七、中标通知</w:t>
      </w:r>
    </w:p>
    <w:p w14:paraId="082986B6">
      <w:pPr>
        <w:pageBreakBefore w:val="0"/>
        <w:bidi w:val="0"/>
        <w:adjustRightInd w:val="0"/>
        <w:snapToGrid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采购代理机构向中标单位发出中标通知书。</w:t>
      </w:r>
    </w:p>
    <w:p w14:paraId="4A38FD4C">
      <w:pPr>
        <w:pageBreakBefore w:val="0"/>
        <w:bidi w:val="0"/>
        <w:spacing w:line="46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八、合同</w:t>
      </w:r>
    </w:p>
    <w:p w14:paraId="3EC557EB">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1、中标人在收到中标通知书后</w:t>
      </w:r>
      <w:r>
        <w:rPr>
          <w:rFonts w:hint="eastAsia" w:ascii="宋体" w:hAnsi="宋体" w:eastAsia="宋体" w:cs="宋体"/>
          <w:color w:val="auto"/>
          <w:sz w:val="24"/>
          <w:szCs w:val="24"/>
          <w:highlight w:val="none"/>
          <w:lang w:val="en-US" w:eastAsia="zh-CN"/>
        </w:rPr>
        <w:t>十五</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个日历日内，应按招标文件的要求与采购人签订合同。中标人因自身原因不按规定与采购人签订供货合同或者拒绝与采购人签订合同的，则采购人将废除授标，投标保证金不予退还。给采购人造成损失超过投标保证金额的，还应当对超过部分予以赔偿，并依法承担相应法律责任；</w:t>
      </w:r>
    </w:p>
    <w:p w14:paraId="0272AD5C">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因不可抗力或者自身原因不能履行政府采购合同的，采购人可以与排位在中标供应商之后第一位的中标候选供应商签订政府采购合同，以此类推，也可以重新开展招标活动。因自身原因拒绝签订政府采购合同的中标人不得参加对该项目重新开展的招标活动。</w:t>
      </w:r>
    </w:p>
    <w:p w14:paraId="6E67310E">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3、中标通知书将是合同的重要组成部分。招标文件、中标人的投标文件及评议过程中有关的澄清文件均作为合同附件。</w:t>
      </w:r>
    </w:p>
    <w:p w14:paraId="64FC3088">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后，中标人应按照合同约定履行义务，完成招标项目的供货，经采购人同意，中标人可以依法采取分包方式履行合同。分包部分为中标项目的部分非主体、非关键性工作。接受分包的供应商应当具备相应的资格条件，并不得再次分包。分包履行的，中标人就采购项目和分包项目向采购人负责，分包供应商就分包项目承担责任。</w:t>
      </w:r>
    </w:p>
    <w:p w14:paraId="57ECCA84">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5、采购人需追加与合同标的相同的货物或服务的，在不改变合同其他条款的前提下，可以与中标人协商签订补充合同，但所有补充合同的采购金额不得超过原合同采购金额的百分之十。</w:t>
      </w:r>
    </w:p>
    <w:p w14:paraId="1405EF69">
      <w:pPr>
        <w:pageBreakBefore w:val="0"/>
        <w:bidi w:val="0"/>
        <w:spacing w:line="460" w:lineRule="exact"/>
        <w:ind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九、招标服务费</w:t>
      </w:r>
    </w:p>
    <w:p w14:paraId="57294BD7">
      <w:pPr>
        <w:pageBreakBefore w:val="0"/>
        <w:bidi w:val="0"/>
        <w:spacing w:line="460" w:lineRule="exact"/>
        <w:ind w:firstLine="480" w:firstLineChars="200"/>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代理报酬按照《招标代理服务收费管理暂行办法》（计价格『2002』1980号）及《国家发展改革委关于降低部分建设项目收费标准规范收费行为等有关问题的通知》（发改价格[2011]534号）</w:t>
      </w:r>
      <w:r>
        <w:rPr>
          <w:rFonts w:hint="eastAsia" w:ascii="宋体" w:hAnsi="宋体" w:eastAsia="宋体" w:cs="宋体"/>
          <w:b w:val="0"/>
          <w:bCs/>
          <w:color w:val="auto"/>
          <w:sz w:val="24"/>
          <w:szCs w:val="24"/>
          <w:highlight w:val="none"/>
          <w:lang w:val="en-US" w:eastAsia="zh-CN"/>
        </w:rPr>
        <w:t>文件</w:t>
      </w:r>
      <w:r>
        <w:rPr>
          <w:rFonts w:hint="eastAsia" w:ascii="宋体" w:hAnsi="宋体" w:eastAsia="宋体" w:cs="宋体"/>
          <w:b w:val="0"/>
          <w:bCs/>
          <w:color w:val="auto"/>
          <w:sz w:val="24"/>
          <w:szCs w:val="24"/>
          <w:highlight w:val="none"/>
        </w:rPr>
        <w:t>规定</w:t>
      </w:r>
      <w:r>
        <w:rPr>
          <w:rFonts w:hint="eastAsia" w:ascii="宋体" w:hAnsi="宋体" w:eastAsia="宋体" w:cs="宋体"/>
          <w:b w:val="0"/>
          <w:bCs/>
          <w:color w:val="auto"/>
          <w:sz w:val="24"/>
          <w:szCs w:val="24"/>
          <w:highlight w:val="none"/>
          <w:lang w:val="en-US" w:eastAsia="zh-CN"/>
        </w:rPr>
        <w:t>下浮10%收取，由中标人支付。</w:t>
      </w:r>
    </w:p>
    <w:p w14:paraId="7113D69E">
      <w:pPr>
        <w:pageBreakBefore w:val="0"/>
        <w:bidi w:val="0"/>
        <w:spacing w:line="46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十、质疑</w:t>
      </w:r>
      <w:bookmarkStart w:id="7" w:name="OLE_LINK11"/>
    </w:p>
    <w:p w14:paraId="12FD0C5D">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en-US" w:eastAsia="zh-CN" w:bidi="ar-SA"/>
        </w:rPr>
        <w:t>1、</w:t>
      </w:r>
      <w:r>
        <w:rPr>
          <w:rFonts w:hint="eastAsia" w:ascii="宋体" w:hAnsi="宋体" w:eastAsia="宋体" w:cs="宋体"/>
          <w:bCs/>
          <w:color w:val="auto"/>
          <w:kern w:val="2"/>
          <w:sz w:val="24"/>
          <w:szCs w:val="24"/>
          <w:highlight w:val="none"/>
          <w:lang w:val="zh-CN" w:eastAsia="zh-CN" w:bidi="ar-SA"/>
        </w:rPr>
        <w:t>投标人认为采购文</w:t>
      </w:r>
      <w:bookmarkEnd w:id="7"/>
      <w:r>
        <w:rPr>
          <w:rFonts w:hint="eastAsia" w:ascii="宋体" w:hAnsi="宋体" w:eastAsia="宋体" w:cs="宋体"/>
          <w:bCs/>
          <w:color w:val="auto"/>
          <w:kern w:val="2"/>
          <w:sz w:val="24"/>
          <w:szCs w:val="24"/>
          <w:highlight w:val="none"/>
          <w:lang w:val="zh-CN" w:eastAsia="zh-CN" w:bidi="ar-SA"/>
        </w:rPr>
        <w:t>件、采购过程、中标结果使自己的权益受到损害的，可以在知道或者应</w:t>
      </w:r>
      <w:r>
        <w:rPr>
          <w:rFonts w:hint="eastAsia" w:ascii="宋体" w:hAnsi="宋体" w:eastAsia="宋体" w:cs="宋体"/>
          <w:bCs/>
          <w:color w:val="auto"/>
          <w:kern w:val="2"/>
          <w:sz w:val="24"/>
          <w:szCs w:val="24"/>
          <w:highlight w:val="none"/>
          <w:lang w:val="en-US" w:eastAsia="zh-CN" w:bidi="ar-SA"/>
        </w:rPr>
        <w:t>当知道</w:t>
      </w:r>
      <w:r>
        <w:rPr>
          <w:rFonts w:hint="eastAsia" w:ascii="宋体" w:hAnsi="宋体" w:eastAsia="宋体" w:cs="宋体"/>
          <w:bCs/>
          <w:color w:val="auto"/>
          <w:kern w:val="2"/>
          <w:sz w:val="24"/>
          <w:szCs w:val="24"/>
          <w:highlight w:val="none"/>
          <w:lang w:val="zh-CN" w:eastAsia="zh-CN" w:bidi="ar-SA"/>
        </w:rPr>
        <w:t xml:space="preserve">其权益受到损害之日起七个工作日内，以书面形式向采购代理机构提出（质疑函接收联系人、联系电话和通讯地址等详见招标公告）。 </w:t>
      </w:r>
    </w:p>
    <w:p w14:paraId="46820072">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zh-CN" w:eastAsia="zh-CN" w:bidi="ar-SA"/>
        </w:rPr>
        <w:t>质疑供应商法定代表人提交质疑的，须出具法定代表人资格证明书；委托代理人 提交质疑的，必须向其出具授权委托书，授权委托书应当载明代理人的姓名或者名称、代 理事项、具体权限、期限和相关事项，由法定代表人签字或者盖章，并加盖单位公章。</w:t>
      </w:r>
    </w:p>
    <w:p w14:paraId="19098964">
      <w:pPr>
        <w:keepNext w:val="0"/>
        <w:keepLines w:val="0"/>
        <w:widowControl/>
        <w:suppressLineNumbers w:val="0"/>
        <w:spacing w:line="360" w:lineRule="auto"/>
        <w:ind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质疑函应当包括下列内容： </w:t>
      </w:r>
    </w:p>
    <w:p w14:paraId="4E399068">
      <w:pPr>
        <w:keepNext w:val="0"/>
        <w:keepLines w:val="0"/>
        <w:widowControl/>
        <w:numPr>
          <w:ilvl w:val="0"/>
          <w:numId w:val="5"/>
        </w:numPr>
        <w:suppressLineNumbers w:val="0"/>
        <w:spacing w:line="360" w:lineRule="auto"/>
        <w:ind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投标人的姓名或者名称、地址、邮编、联系人及联系电话；</w:t>
      </w:r>
    </w:p>
    <w:p w14:paraId="0F00298D">
      <w:pPr>
        <w:keepNext w:val="0"/>
        <w:keepLines w:val="0"/>
        <w:widowControl/>
        <w:numPr>
          <w:ilvl w:val="0"/>
          <w:numId w:val="5"/>
        </w:numPr>
        <w:suppressLineNumbers w:val="0"/>
        <w:spacing w:line="360" w:lineRule="auto"/>
        <w:ind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质疑项目的名称、编号； </w:t>
      </w:r>
    </w:p>
    <w:p w14:paraId="646C1C74">
      <w:pPr>
        <w:keepNext w:val="0"/>
        <w:keepLines w:val="0"/>
        <w:widowControl/>
        <w:numPr>
          <w:ilvl w:val="0"/>
          <w:numId w:val="5"/>
        </w:numPr>
        <w:suppressLineNumbers w:val="0"/>
        <w:spacing w:line="360" w:lineRule="auto"/>
        <w:ind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具体、明确的质疑事项和与质疑事项相关的请求； </w:t>
      </w:r>
    </w:p>
    <w:p w14:paraId="5BAAF9CF">
      <w:pPr>
        <w:keepNext w:val="0"/>
        <w:keepLines w:val="0"/>
        <w:widowControl/>
        <w:numPr>
          <w:ilvl w:val="0"/>
          <w:numId w:val="5"/>
        </w:numPr>
        <w:suppressLineNumbers w:val="0"/>
        <w:spacing w:line="360" w:lineRule="auto"/>
        <w:ind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事实依据； </w:t>
      </w:r>
    </w:p>
    <w:p w14:paraId="33E8B59F">
      <w:pPr>
        <w:keepNext w:val="0"/>
        <w:keepLines w:val="0"/>
        <w:widowControl/>
        <w:numPr>
          <w:ilvl w:val="0"/>
          <w:numId w:val="5"/>
        </w:numPr>
        <w:suppressLineNumbers w:val="0"/>
        <w:spacing w:line="360" w:lineRule="auto"/>
        <w:ind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必要的法律依据；</w:t>
      </w:r>
    </w:p>
    <w:p w14:paraId="2092487F">
      <w:pPr>
        <w:keepNext w:val="0"/>
        <w:keepLines w:val="0"/>
        <w:widowControl/>
        <w:numPr>
          <w:ilvl w:val="0"/>
          <w:numId w:val="5"/>
        </w:numPr>
        <w:suppressLineNumbers w:val="0"/>
        <w:spacing w:line="360" w:lineRule="auto"/>
        <w:ind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提出质疑的日期。 </w:t>
      </w:r>
    </w:p>
    <w:p w14:paraId="2963979C">
      <w:pPr>
        <w:keepNext w:val="0"/>
        <w:keepLines w:val="0"/>
        <w:widowControl/>
        <w:numPr>
          <w:ilvl w:val="0"/>
          <w:numId w:val="0"/>
        </w:numPr>
        <w:suppressLineNumbers w:val="0"/>
        <w:spacing w:line="360" w:lineRule="auto"/>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备注：投标人须在法定质疑期内一次性提出针对同一采购程序环节的质疑。</w:t>
      </w:r>
    </w:p>
    <w:p w14:paraId="328ED60C">
      <w:pPr>
        <w:keepNext w:val="0"/>
        <w:keepLines w:val="0"/>
        <w:widowControl/>
        <w:numPr>
          <w:ilvl w:val="0"/>
          <w:numId w:val="0"/>
        </w:numPr>
        <w:suppressLineNumbers w:val="0"/>
        <w:spacing w:line="360" w:lineRule="auto"/>
        <w:ind w:leftChars="0"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3、质疑有以下情形之一的，采购代理机构不予受理： </w:t>
      </w:r>
    </w:p>
    <w:p w14:paraId="5FD16F4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（1）未按规定程序和渠道提出质疑的；</w:t>
      </w:r>
    </w:p>
    <w:p w14:paraId="6D79044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（2）超过法定质疑期限的； </w:t>
      </w:r>
    </w:p>
    <w:p w14:paraId="1F33EDE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（3）书面质疑的形式和内容不符合上述要求的；</w:t>
      </w:r>
    </w:p>
    <w:p w14:paraId="18D21B8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（4）提出的质疑事项已经明确答复的； </w:t>
      </w:r>
    </w:p>
    <w:p w14:paraId="439E35E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（5）法律法规规定的其他不予受理的条件。 </w:t>
      </w:r>
    </w:p>
    <w:p w14:paraId="5A9E5FC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en-US" w:eastAsia="zh-CN" w:bidi="ar-SA"/>
        </w:rPr>
        <w:t>（6）采购代理机构应当在收到质疑函后七个工作日内做出书面答复。答复内容同时通 知与处理结果有关的投标人，但答复内容不得涉及投标人 的商业秘密。</w:t>
      </w:r>
    </w:p>
    <w:p w14:paraId="364E9B35">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kern w:val="2"/>
          <w:sz w:val="24"/>
          <w:szCs w:val="24"/>
          <w:highlight w:val="none"/>
          <w:lang w:val="zh-CN" w:eastAsia="zh-CN" w:bidi="ar-SA"/>
        </w:rPr>
        <w:sectPr>
          <w:pgSz w:w="11900" w:h="16838"/>
          <w:pgMar w:top="1440" w:right="1349" w:bottom="1440" w:left="1349" w:header="0" w:footer="0" w:gutter="0"/>
          <w:pgBorders>
            <w:top w:val="none" w:sz="0" w:space="0"/>
            <w:left w:val="none" w:sz="0" w:space="0"/>
            <w:bottom w:val="none" w:sz="0" w:space="0"/>
            <w:right w:val="none" w:sz="0" w:space="0"/>
          </w:pgBorders>
          <w:pgNumType w:fmt="decimal"/>
          <w:cols w:equalWidth="0" w:num="1">
            <w:col w:w="9420"/>
          </w:cols>
        </w:sectPr>
      </w:pPr>
    </w:p>
    <w:p w14:paraId="239F3EBC">
      <w:pPr>
        <w:keepNext w:val="0"/>
        <w:keepLines w:val="0"/>
        <w:pageBreakBefore w:val="0"/>
        <w:widowControl w:val="0"/>
        <w:numPr>
          <w:ilvl w:val="0"/>
          <w:numId w:val="6"/>
        </w:numPr>
        <w:kinsoku/>
        <w:wordWrap/>
        <w:overflowPunct/>
        <w:topLinePunct w:val="0"/>
        <w:autoSpaceDE/>
        <w:autoSpaceDN/>
        <w:bidi w:val="0"/>
        <w:adjustRightInd/>
        <w:snapToGrid/>
        <w:spacing w:line="460" w:lineRule="exact"/>
        <w:jc w:val="center"/>
        <w:textAlignment w:val="auto"/>
        <w:outlineLvl w:val="0"/>
        <w:rPr>
          <w:rFonts w:hint="eastAsia" w:ascii="宋体" w:hAnsi="宋体" w:eastAsia="宋体" w:cs="宋体"/>
          <w:b/>
          <w:bCs/>
          <w:color w:val="auto"/>
          <w:sz w:val="28"/>
          <w:szCs w:val="32"/>
          <w:highlight w:val="none"/>
          <w:lang w:val="en-US" w:eastAsia="zh-CN"/>
        </w:rPr>
      </w:pPr>
      <w:bookmarkStart w:id="8" w:name="_Toc4190"/>
      <w:r>
        <w:rPr>
          <w:rFonts w:hint="eastAsia" w:ascii="宋体" w:hAnsi="宋体" w:eastAsia="宋体" w:cs="宋体"/>
          <w:b/>
          <w:bCs/>
          <w:color w:val="auto"/>
          <w:sz w:val="28"/>
          <w:szCs w:val="32"/>
          <w:highlight w:val="none"/>
          <w:lang w:val="en-US" w:eastAsia="zh-CN"/>
        </w:rPr>
        <w:t>采购内容及要求</w:t>
      </w:r>
      <w:bookmarkEnd w:id="8"/>
    </w:p>
    <w:p w14:paraId="6DE2665D">
      <w:pPr>
        <w:numPr>
          <w:ilvl w:val="0"/>
          <w:numId w:val="7"/>
        </w:numPr>
        <w:spacing w:line="360" w:lineRule="auto"/>
        <w:rPr>
          <w:rFonts w:hint="eastAsia" w:ascii="宋体" w:hAnsi="宋体" w:eastAsia="宋体" w:cs="宋体"/>
          <w:b/>
          <w:bCs/>
          <w:color w:val="auto"/>
          <w:sz w:val="24"/>
          <w:szCs w:val="24"/>
          <w:highlight w:val="none"/>
          <w:lang w:val="en-US" w:eastAsia="zh-CN"/>
        </w:rPr>
      </w:pPr>
      <w:bookmarkStart w:id="9" w:name="_Toc28609"/>
      <w:r>
        <w:rPr>
          <w:rFonts w:hint="eastAsia" w:ascii="宋体" w:hAnsi="宋体" w:eastAsia="宋体" w:cs="宋体"/>
          <w:b/>
          <w:bCs/>
          <w:color w:val="auto"/>
          <w:sz w:val="24"/>
          <w:szCs w:val="24"/>
          <w:highlight w:val="none"/>
          <w:lang w:val="en-US" w:eastAsia="zh-CN"/>
        </w:rPr>
        <w:t>采购清单</w:t>
      </w:r>
    </w:p>
    <w:p w14:paraId="38A2F0C4">
      <w:pPr>
        <w:spacing w:line="360" w:lineRule="auto"/>
        <w:jc w:val="center"/>
        <w:rPr>
          <w:rFonts w:hint="eastAsia" w:ascii="宋体" w:hAnsi="宋体" w:eastAsia="宋体" w:cs="宋体"/>
          <w:b/>
          <w:color w:val="auto"/>
          <w:sz w:val="28"/>
          <w:szCs w:val="24"/>
          <w:highlight w:val="none"/>
          <w:lang w:val="en-US" w:eastAsia="zh-CN"/>
        </w:rPr>
      </w:pPr>
      <w:r>
        <w:rPr>
          <w:rFonts w:hint="eastAsia" w:ascii="宋体" w:hAnsi="宋体" w:eastAsia="宋体" w:cs="宋体"/>
          <w:b/>
          <w:color w:val="auto"/>
          <w:sz w:val="28"/>
          <w:szCs w:val="24"/>
          <w:highlight w:val="none"/>
          <w:lang w:val="en-US" w:eastAsia="zh-CN"/>
        </w:rPr>
        <w:t>黄龙县人民医院提升老年病服务能力建设项目医疗设施设备（一标包：综合类医疗设施设备）</w:t>
      </w:r>
    </w:p>
    <w:p w14:paraId="46B29F14">
      <w:pPr>
        <w:spacing w:line="360" w:lineRule="auto"/>
        <w:jc w:val="center"/>
        <w:rPr>
          <w:rFonts w:hint="eastAsia" w:ascii="宋体" w:hAnsi="宋体" w:eastAsia="宋体" w:cs="宋体"/>
          <w:b/>
          <w:color w:val="auto"/>
          <w:sz w:val="28"/>
          <w:szCs w:val="24"/>
          <w:highlight w:val="none"/>
          <w:lang w:val="en-US" w:eastAsia="zh-CN"/>
        </w:rPr>
      </w:pPr>
      <w:r>
        <w:rPr>
          <w:rFonts w:hint="eastAsia" w:ascii="宋体" w:hAnsi="宋体" w:eastAsia="宋体" w:cs="宋体"/>
          <w:b/>
          <w:color w:val="auto"/>
          <w:sz w:val="28"/>
          <w:szCs w:val="24"/>
          <w:highlight w:val="none"/>
          <w:lang w:val="en-US" w:eastAsia="zh-CN"/>
        </w:rPr>
        <w:t>采购清单</w:t>
      </w:r>
    </w:p>
    <w:tbl>
      <w:tblPr>
        <w:tblStyle w:val="24"/>
        <w:tblW w:w="468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6"/>
        <w:gridCol w:w="6873"/>
        <w:gridCol w:w="485"/>
        <w:gridCol w:w="857"/>
      </w:tblGrid>
      <w:tr w14:paraId="4AEFF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2719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设备名称</w:t>
            </w:r>
          </w:p>
        </w:tc>
        <w:tc>
          <w:tcPr>
            <w:tcW w:w="3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89B1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详细参数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2E93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数量</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DE2AD">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备注</w:t>
            </w:r>
          </w:p>
        </w:tc>
      </w:tr>
      <w:tr w14:paraId="7CB52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6272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呼吸机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（设备参数表一）</w:t>
            </w:r>
          </w:p>
        </w:tc>
        <w:tc>
          <w:tcPr>
            <w:tcW w:w="3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D8A9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一、基本特征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1.1电动电控呼吸机（涡轮驱动产生空气气源），适用于对成人、小儿、新生儿患者进行通气辅助及呼吸支持的呼吸机，提供中文操作界面；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1.2设备自带≥15英寸彩色TFT电容触摸屏，分辨率1920*1080，屏幕与主机分离式设计，可实现屏机分离；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1.3主机内置一块锂电池使用时间不小于120分钟，可升级配置两块锂电池使用时间不小于280分钟；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1.4信息互联：呼吸机支持与监护仪互联，当呼吸机连接监护仪时，可传输呼吸机监测参数、设置参数及报警等数据至监护仪；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1.5本机具有USB接口，无需外接转接口，病人数据、报警日志、校准表格等数据可通过U盘导出；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1.6吸气安全阀组件和呼气安全阀组件可拆卸，并能高温高压蒸汽消毒（134℃），以防止交叉感染；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1.7支持一体式同步雾化，可配置电子雾化器供电接口功能；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1.8呼吸机自带屏幕录制功能；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1.9标配化学氧电池，可选配顺磁氧监测功能；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1.10本机具备HDMI扩展显示，无需外接转接口；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二、呼吸模式及功能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2.1配备通气模式：容量控制通气下的辅助控制通气A/C和同步间歇指令通气SIMV、压力控制通气下的A/C和SIMV、持续气道正压/压力支持通气（CPAP/PSV）、压力支持通气-自主/时控（PSV-S/T）、压力调整容量控制功能（如AUTOFLOW或者PRVC等）、压力释放通气APRV和压力调节容量控制-同步间歇指令模式（PRVC-SIMV）、双水平气道正压通气（DuoLevel或BiPAP）模式、容量支持通气VS；可选自适应性支持通气（AMV或ASV）、心肺复苏通气（CPRV）模式、高流量氧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 可选高级模式：比例压力支持通气（PPS/PAV）；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2.3可选配新生儿基础通气和高级通气模式，实现新生儿有创和无创通气；</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2.4 其他功能：手动呼吸、吸气保持、呼气保持、增氧、吸痰-、NIF、PEEPi及P0.1测定；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2.5具有低流速P-V工具，帮助确定最佳PEEP值；</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2.6具有自动插管阻力补偿（ATRC）功能，选择不同孔径的气管插管，呼吸机可以自动调节送气压力，使插管末端的压力与呼吸机压力设置值保持一致；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2.7具有智能同步技术，可以将吸气、呼气触发灵敏度和压力上升时间自动调节至最佳值，提高人机同步。呼气触发灵敏度可在5~85%范围内手动灵活调节；</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46BA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AFF1F">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无创+有创（各配备2个湿化罐）</w:t>
            </w:r>
          </w:p>
        </w:tc>
      </w:tr>
      <w:tr w14:paraId="4DE6F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84FB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呼吸机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（设备参数续表二）</w:t>
            </w:r>
          </w:p>
        </w:tc>
        <w:tc>
          <w:tcPr>
            <w:tcW w:w="3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682C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2.8具有自主呼吸试验（SBT）脱机功能，用户可定制脱机指征，提供信息全面的脱机功能看板，一键启动SBT自主呼吸试验脱机功能，脱机失败时自动退出、可实现规范化脱机流程；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2.9可配置肺复张功能，提供控制性肺膨胀法（SI）进行肺复张；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2.10具有单位理想体重输送的潮气量 （TVe/IBW）的设置及监测功能；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2.11流速类型可设置方波或递减波，递减波可调范围：0%～75%；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2.11支持同品牌高流量氧疗鼻氧管；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三、参数设置范围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3.1 潮气量范围：20mL～4000mL；</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3.2 呼吸频率：1-100次/min；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3.3 吸/呼比：4:1-1:10；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3.4 吸气压力：1-80 cmH2O；</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3.5 压力支持：0-80cmH2O；</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3.6 呼末正压：0 cmH2O～50 cmH2O；</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3.7 分钟通气量百分比 ：25 %～350 %；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3.8 压力触发灵敏度：-20.0cmH2O～-0.5cmH2O；</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3.9 流速触发灵敏度：0.5L/min～20.0L/min；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3.10氧疗流量：2-80L/min，氧疗流量精度：±1L/min；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3.11吸气时间：0.1-10s；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3.12 压力上升时间：0-2s；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3.13叹息压力：off, 1cmH2O～40 cmH2O；</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3.14吸气暂停：off,5-60%；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3.15 SIMV频率：1-60次/min；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3.16 吸气流速：5-180L/min；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四、监测参数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4.1气道压力：PEEP、气道峰压、平台压、平均压等监测；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4.2每分钟呼出通气量：呼气分钟通气量、吸气分钟通气量、自主呼吸分钟通气量、泄漏分钟通气量的监测；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4.3潮气量的监测：吸入潮气量、呼出潮气量、自主呼吸潮气量；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4.4呼吸频率监测：总的呼吸频率、自主呼吸频率、机控呼吸频率的监测；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4.5波形显示：压力/时间、流速/时间、容量/时间，可选二氧化碳/时间，脉搏波/时间监测；</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E54F8">
            <w:pPr>
              <w:jc w:val="center"/>
              <w:rPr>
                <w:rFonts w:hint="eastAsia" w:ascii="宋体" w:hAnsi="宋体" w:eastAsia="宋体" w:cs="宋体"/>
                <w:i w:val="0"/>
                <w:iCs w:val="0"/>
                <w:color w:val="auto"/>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053E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此行为设备参数续表，不重复显示数量、单价、总价等信息</w:t>
            </w:r>
          </w:p>
        </w:tc>
      </w:tr>
      <w:tr w14:paraId="1FD7D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2AB8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呼吸机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（设备参数续表三）</w:t>
            </w:r>
          </w:p>
        </w:tc>
        <w:tc>
          <w:tcPr>
            <w:tcW w:w="3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05BF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4.6吸入氧浓度的监测；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4.7肺的力学：吸气阻力、呼气阻力、静态顺应性、动态顺应性、时间常数、呼吸功的监测；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4.8实时监测压力-时间曲线形态，可量化为牵张指数Stress Index以提示肺损伤风险；</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4.9实时监测压力/容积环形态，可量化为肺过度膨胀系数C20/C以提示肺损伤风险；</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4.10 可配置主流二氧化碳及二氧化碳衍生功能，可得出呼出二氧化碳浓度，气道死腔、气道死腔与潮气量比率、肺泡潮气量、肺泡分钟通气量、肺泡平台斜率等之外，还可计算得出肺泡死腔、肺泡通气量、氧合指数等病人生理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4.11具有动态肺视图界面，图形化显示阻力、顺应性和自主呼吸等生理参数变化；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4.12可配置血氧监测功能，可监测血氧饱和度SPO2和PI数值，可计算得出ROX 、OSI、S/F、RSS数值；（提供产品说明书关键信息页扫描件证明）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4.13 可配置能量代谢计算工具，帮助医护人员对患者进行营养支持和营养治疗的参考；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4.14 分钟通气量：0-100L/min；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4.14 吸呼比：150：1-1：150；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4.15 气道压力-60-120cmH2O；</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4.16吸气峰值流速：成人/小儿：0-300L/min，呼气峰值流速：0-180L/min；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4.17 最大吸气负压（NIF）：-60-0cmH2O；</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4.18 口腔闭合压（P0.1）：-60-0cmH2O；</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4.19 报警静音计时：≤120 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五、其他功能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5.1呼吸机提供锁屏功能；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5.2主机提供截图功能，支持至少50张截屏图片存储；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5.3呼吸机应支持至少10个环图存储；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5.4趋势记录：本机自身可提供最多160小时的全部监测参数的趋势图、表分析；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5.5日志记录：本机自身可提供最多5000条历史事件信息的记录；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5.6具有顺应性补偿、泄漏补偿、海拔补偿、插管补偿功能；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5.7提供高压氧气气源和低压氧气气源两种方式；</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254AC">
            <w:pPr>
              <w:jc w:val="center"/>
              <w:rPr>
                <w:rFonts w:hint="eastAsia" w:ascii="宋体" w:hAnsi="宋体" w:eastAsia="宋体" w:cs="宋体"/>
                <w:i w:val="0"/>
                <w:iCs w:val="0"/>
                <w:color w:val="auto"/>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7838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此行为设备参数续表，不重复显示数量、单价、总价等信息</w:t>
            </w:r>
          </w:p>
        </w:tc>
      </w:tr>
      <w:tr w14:paraId="15DE3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E8F6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防褥疮床垫</w:t>
            </w:r>
          </w:p>
        </w:tc>
        <w:tc>
          <w:tcPr>
            <w:tcW w:w="3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7113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充气后尺寸：长2000*宽900*厚90MM</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9819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50CD4">
            <w:pPr>
              <w:jc w:val="center"/>
              <w:rPr>
                <w:rFonts w:hint="eastAsia" w:ascii="宋体" w:hAnsi="宋体" w:eastAsia="宋体" w:cs="宋体"/>
                <w:i w:val="0"/>
                <w:iCs w:val="0"/>
                <w:color w:val="auto"/>
                <w:sz w:val="20"/>
                <w:szCs w:val="20"/>
                <w:u w:val="none"/>
              </w:rPr>
            </w:pPr>
          </w:p>
        </w:tc>
      </w:tr>
      <w:tr w14:paraId="2AA79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0E9C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电动吸引器</w:t>
            </w:r>
          </w:p>
        </w:tc>
        <w:tc>
          <w:tcPr>
            <w:tcW w:w="3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7BEE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电源：AC220±22V,50Hz±1Hz，极限负压值：≥0.08MPa，噪音：≤65dB（A），输入功率：180VA，抽气速率：≥20L/min，贮液瓶2500ml/只，2只</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F81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1B739">
            <w:pPr>
              <w:jc w:val="center"/>
              <w:rPr>
                <w:rFonts w:hint="eastAsia" w:ascii="宋体" w:hAnsi="宋体" w:eastAsia="宋体" w:cs="宋体"/>
                <w:i w:val="0"/>
                <w:iCs w:val="0"/>
                <w:color w:val="auto"/>
                <w:sz w:val="20"/>
                <w:szCs w:val="20"/>
                <w:u w:val="none"/>
              </w:rPr>
            </w:pPr>
          </w:p>
        </w:tc>
      </w:tr>
      <w:tr w14:paraId="28E10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7B3F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内镜转运车</w:t>
            </w:r>
          </w:p>
        </w:tc>
        <w:tc>
          <w:tcPr>
            <w:tcW w:w="3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E2E6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1.材料为高分子复合材料独立开模制成,车体由钢管烤漆而成,具有 耐腐蚀、不沾水、车行顺畅、取放方便等优点。盆内的内镜存放导航隔 条使污染部位和非污染部位分离。二层、三层设计使客户在使用过程中 可将清洁和污染的内镜分层标明后置放,可达到高效周转,避免交叉感 染等功效。</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2.产品配置:车体、万向轮、托盘、PMMA透明盖、把手等。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3.特点:方便、高效、安全的运转内镜到检查现场或内镜储藏室,有 效防止内镜在运转过程中的二次污染和意外碰伤。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1.托盘可拿下,便于清理;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2.每个托盘配盖子,方便了解镜子的情况;</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3.带把手,人性化的高度设计使车体推行更流畅;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4.托盘表面光滑、一次成型没有死角。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转运车外尺寸:68*50*95cm托盘外径：62*45*12cm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托盘内尺寸:55*38.5*9cm</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B6B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8E344">
            <w:pPr>
              <w:jc w:val="center"/>
              <w:rPr>
                <w:rFonts w:hint="eastAsia" w:ascii="宋体" w:hAnsi="宋体" w:eastAsia="宋体" w:cs="宋体"/>
                <w:i w:val="0"/>
                <w:iCs w:val="0"/>
                <w:color w:val="auto"/>
                <w:sz w:val="20"/>
                <w:szCs w:val="20"/>
                <w:u w:val="none"/>
              </w:rPr>
            </w:pPr>
          </w:p>
        </w:tc>
      </w:tr>
      <w:tr w14:paraId="1345B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C74C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数字化摄影X射线机（DR）</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（设备参数表一）</w:t>
            </w:r>
          </w:p>
        </w:tc>
        <w:tc>
          <w:tcPr>
            <w:tcW w:w="3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FA1D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1、功能需求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1.1双板DR，用于头颅、脊柱、四肢、胸部、腹部等全身站立位和卧位的数字X线摄影系统，具有无线移动和固定平板探测器，可在摄影床及胸片架中便捷拍摄，并可作自由拍摄：具备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2主要技术规格和要求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2.1 X线高压发生器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2.1.1高频逆变式高压发生器频率≥100KHZ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2.1.2高压发生器功率≥55KW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2.1.3管电压可调范围≥40-150KV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2.1.4最大输出毫安秒≥800mAs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2.1.5最短曝光时间≤1ms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2.1.6具备AEC自动曝光控制功能：具备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2.1.7发生器的操作与控制系统完全与主机集成，在主机工作站上控制曝光：具备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2.1.8高压发生器和设备整机制造商同一品牌：具备（提供带有铭牌照片的检测报告证明）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 X线球管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2.2.1阳极热容量≥350kHU</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2.2.2阳极散热率≥95kHU/min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2.2.3管套热容量≥1.35MHU</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2.2.4球管焦点尺寸≤0.6/1.2mm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2.2.5小焦点功率≥34kW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2.2.6缩光器内具有皮尺测量床旁拍照的距离：具备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2.2.7缩光器可旋转角度≥±45度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2.2.8缩光器内置三级铜滤线器0.1/0.2/0.3mm：具备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2.2.9缩光器照野可自动调整：具备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2.2.10缩光器具有射野灯光定时控制开关：具备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2.2.11球管支架水平方向运动距离≥150厘米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2.2.12球管支架垂直方向运动距离≥145厘米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2.2.13 X线球管可沿垂直轴旋转≥±180度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2.2.14 X线球管可沿水平轴旋转≥±140度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2.2.15可视化摆位摄像头，检查过程实时可见，减少误拍、重拍风险：具备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2.2.16大焦点功率≥55kW</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57A2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E0E1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含内网接口费用、设备安装、调试及所需要的配电箱等配套设备。</w:t>
            </w:r>
            <w:r>
              <w:rPr>
                <w:rFonts w:hint="eastAsia" w:ascii="宋体" w:hAnsi="宋体" w:eastAsia="宋体" w:cs="宋体"/>
                <w:b/>
                <w:bCs/>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以及安装过程中对墙面、地面等原有建筑、设施破坏后的所有恢复工作</w:t>
            </w:r>
          </w:p>
        </w:tc>
      </w:tr>
      <w:tr w14:paraId="720AE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4A5D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数字化摄影X射线机（DR）</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（设备参数续表二）</w:t>
            </w:r>
          </w:p>
        </w:tc>
        <w:tc>
          <w:tcPr>
            <w:tcW w:w="3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D3D4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2.2.17限束器滤过率（非等效）≤1㎜ Al @ 70KV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2.2.18阳极靶面转速≥10600rpm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2.2.19球管和设备整机制造商同一品牌：具备（提供带有铭牌照片的检测报告证明）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2.2.20限束器和设备整机制造商同一品牌：具备（提供带有铭牌照片的检测报告证明）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2.2.21阳极靶面倾角≤12°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2.2.22 X线球管漏射线率（测试国际通用条件：150KV、距离1米）≤1mGy/h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2.3近台操作控制系统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2.3.1操控方式：电容式触摸屏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2.3.2屏幕尺寸≥10英寸</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2.3.3屏幕重力感应自动调整方向：具备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2.3.4可显示患者信息，如姓名、患者编号等：具备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2.3.5大小焦点快速切换：具备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2.3.6电离室可调整：具备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2.3.7曝光参数可实时调整（如kV、mA、mAs等）：具备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2.3.8可显示图形化摆位指导：具备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2.3.9可显示系统状态消息：具备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2.4无线移动平板探测器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2.4.1探测器结构：碘化铯/非晶体硅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2.4.2探测器有效尺寸≥42.5×42.5cm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2.4.3像素尺寸≤139um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2.4.4采集灰阶度≥16bits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2.4.5空间分辨率≥3.6Lp/mm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2.4.6量子捕获效率 (在0.05lp/mm，DQE)≥70%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2.4.7采集距阵≥3070×3070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2.4.8平板无须额外特殊冷却：具备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2.4.9无电缆无线传输所采集图像：具备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2.4.10图像预览时间≤3秒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2.4.11探测器最大承重≥150公斤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2.4.12探测器重量≤4.2kg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2.4.13移动探测器和固定探测器同一品牌：具备（提供带有铭牌照片的检测报告证明）</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34E27">
            <w:pPr>
              <w:jc w:val="center"/>
              <w:rPr>
                <w:rFonts w:hint="eastAsia" w:ascii="宋体" w:hAnsi="宋体" w:eastAsia="宋体" w:cs="宋体"/>
                <w:i w:val="0"/>
                <w:iCs w:val="0"/>
                <w:color w:val="auto"/>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3134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此行为设备参数续表，不重复显示数量、单价、总价等信息</w:t>
            </w:r>
          </w:p>
        </w:tc>
      </w:tr>
      <w:tr w14:paraId="7C1FB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B5BD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数字化摄影X射线机（DR）</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（设备参数续表三）</w:t>
            </w:r>
          </w:p>
        </w:tc>
        <w:tc>
          <w:tcPr>
            <w:tcW w:w="3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52B3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2.5固定平板探测器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2.5.1探测器结构：碘化铯/非晶体硅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2.5.2探测器有效尺寸≥42.5×42.5cm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2.5.3像素尺寸≤139um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2.5.4采集灰阶度≥16bits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2.5.5空间分辨率≥3.6Lp/mm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2.5.6量子捕获效率 (在0.05lp/mm，DQE)≥70%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2.5.7采集距阵≥3070×3070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2.5.8平板无须额外特殊冷却：具备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2.5.9无电缆无线传输所采集图像：具备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2.5.10图像预览时间≤3秒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2.5.11该探测器的数据传输是通过设备自身电缆线（非无线信号）：具备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2.6摄影床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2.6.1床面长度≥230cm×80cm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2.6.2床面纵向移动范围≥±44cm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2.6.3床面横向移动范围≥±14cm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2.6.4摄影床最低高度≤52cm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2.6.5床面板滤过率（在100KV的条件下）≤0.7㎜ Al（提供检测标准，不提供视为不响应）</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2.6.6垂直式脚触开关控制床面移动的锁定及释放：具备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2.6.7滤线栅栅比≥13:1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2.6.8滤线栅栅密度≥40Lp/cm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2.6.9滤线栅可方便移出，无需借助工具：具备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2.6.10具有AEC控制电离室：具备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2.6.11最大承重量≥300kg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2.6.12 X线球管与数字平板探测器在床上投照时可以做自动水平、垂直和倾斜追踪：具备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2.6.13探测器于床下的移动范围≥55cm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2.6.14探测器可放置于床面或床外做无滤线栅拍摄：具备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2.6.15物片距≤75㎜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2.6.16摄影床最高高度≥90cm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2.6.17在不移动患者的条件下最大纵向覆盖范围≥190㎝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BBDE5">
            <w:pPr>
              <w:jc w:val="center"/>
              <w:rPr>
                <w:rFonts w:hint="eastAsia" w:ascii="宋体" w:hAnsi="宋体" w:eastAsia="宋体" w:cs="宋体"/>
                <w:i w:val="0"/>
                <w:iCs w:val="0"/>
                <w:color w:val="auto"/>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77EB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此行为设备参数续表，不重复显示数量、单价、总价等信息</w:t>
            </w:r>
          </w:p>
        </w:tc>
      </w:tr>
      <w:tr w14:paraId="02E52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82D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数字化摄影X射线机（DR）</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（设备参数续表四）</w:t>
            </w:r>
          </w:p>
        </w:tc>
        <w:tc>
          <w:tcPr>
            <w:tcW w:w="3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8B44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2.7胸片架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2.7.1胸片架高度变化电机驱动：具备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2.7.2源像距SID≥120-180CM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2.7.3电离室≥3个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2.7.4无线遥控胸片架上下运动：具备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2.7.5球管投照胸片架平板时，可随胸片架上下自动跟踪运动：具备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2.7.6滤线栅栅比≥13:1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2.7.7滤线栅栅密度≥40Lp/cm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2.7.7物片距≤45㎜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2.7.8床面板滤过率（在100KV的条件下）≤0.7㎜ Al（提供检测标准，不提供视为不响应）</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2.7.9胸片架面板中心最低高度≤32㎝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2.7.10胸片架面板中心最高高度≥175㎝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2.7.11胸片架面板下缘距地面最小距离≤2㎝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2.8系统操作台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2.8.1主机控制台与高压发生器高度集成，可直接在主机工作站上进行曝光参数的设置：具备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2.8.2一体机图像采集工作站：具备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2.8.3主机工作站操作台内存≥8GB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2.8.4主机工作站可存储图像数量≥10,000幅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2.8.5主机操作系统≥Windows 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2.8.6显示器尺寸≥23英寸</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2.8.7显示器分辨率≥1920×1080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2.8.8支持与RIS和HIS系统的集成：具备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2.8.9图形化器官程序选择：具备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2.8.10窗宽窗位调整：具备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2.8.11水平和垂直图像镜像：具备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2.8.12图像旋转：具备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2.8.13 AP和PA定位标记：具备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2.8.14全屏图像文本标注：具备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2.8.15图像放大：具备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2.8.16胶片拍照的图像预览功能：具备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FC283">
            <w:pPr>
              <w:jc w:val="center"/>
              <w:rPr>
                <w:rFonts w:hint="eastAsia" w:ascii="宋体" w:hAnsi="宋体" w:eastAsia="宋体" w:cs="宋体"/>
                <w:i w:val="0"/>
                <w:iCs w:val="0"/>
                <w:color w:val="auto"/>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1455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此行为设备参数续表，不重复显示数量、单价、总价等信息</w:t>
            </w:r>
          </w:p>
        </w:tc>
      </w:tr>
      <w:tr w14:paraId="303B2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6491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数字化摄影X射线机（DR）</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（设备参数续表五）</w:t>
            </w:r>
          </w:p>
        </w:tc>
        <w:tc>
          <w:tcPr>
            <w:tcW w:w="3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E6C1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2.8.17图像基本后处理功能，如图像预览、缩放、窗宽/窗位调整、标注、反色、翻转、旋转、输入文本、长度测量及校正、裁剪功能、感兴趣区域及角度测量：具备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2.8.18 五图像风格一键快速切换：具备（提供证明材料，不提供视为不响应）</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2.8.19边缘增强：具备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2.8.20噪点抑制：具备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2.8.21 DICOM3.0：有DICOM存储、打印，worklist等功能：具备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2.9长骨拼接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2.9.1可实现站卧位长骨拼接：具备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2.9.2配备长骨拼接架：具备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2.9.3配备长骨拼接标尺：具备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2.9.4长骨拼接架最大承重≥200kg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2.9.5滤线栅栅比≥13:1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2.9.6滤线栅栅密度≥40Lp/cm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2.9.7长骨拼接为打角度的拼接：具备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04F0B">
            <w:pPr>
              <w:jc w:val="center"/>
              <w:rPr>
                <w:rFonts w:hint="eastAsia" w:ascii="宋体" w:hAnsi="宋体" w:eastAsia="宋体" w:cs="宋体"/>
                <w:i w:val="0"/>
                <w:iCs w:val="0"/>
                <w:color w:val="auto"/>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715C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此行为设备参数续表，不重复显示数量、单价、总价等信息</w:t>
            </w:r>
          </w:p>
        </w:tc>
      </w:tr>
      <w:tr w14:paraId="42545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E09E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防辐射智能自动跟踪防护帘</w:t>
            </w:r>
          </w:p>
        </w:tc>
        <w:tc>
          <w:tcPr>
            <w:tcW w:w="3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ED71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基本配置：上防护帘 1PCS，尺寸≥600x300mm；下防护帘 1PCS，尺寸≥600x400mm；防护帘铅当量 ≥0.5mmPb；限位防护误差≤±2.5mm。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防倒底座设计：六边形状底座设计，底座每个角配装一个移动脚轮，设备摆放更安全稳定。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智能跟踪防护：具备无线智能跟踪防护技术，无线激光自动跟踪定位。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智能控制平台：配备双屏幕无线智能控制平台，屏幕≥10.1英寸，双PAD交互操作方便使用，具备智能防护系统双屏无线交互控制软件，提供软著证明文件。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医患双向沟通：具有医患双向语音沟通系统，方便实时对话沟通，提供专利证明文件。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智能语音系统：内置智能语音系统，能够根据实际需要录播不同医院个性化提示语音，将医师需要重复讲的日常语音提前录入，需要时一键播放，提供智能防护设备智能语音专利。</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设备对接方式：无缝集成(对原设备不做任何改变和破坏)，无线对接交互控制，与原设备无任何信号线连接，保证数据安全，具备数据安全智能防护系统无线交互控制技术，提供软著文件。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模式预设：可自定义预设上下帘间隙高度，设需完成的模式可一键切换，并具备临时微调间距功能。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产品备案资质：产品具有一类医疗器械备案凭证，一类医疗器械备案生产备案凭证。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应用安全：电气绝缘、稳定性、机械强度、发热要求等设备安全使用条款经过第三方检验，符合 GB4943.1-2011 或 GB 9706.1-2007 要求标准的检验认证，提供第三方机构检验证书证明文件。</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6BD2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5E567">
            <w:pPr>
              <w:jc w:val="center"/>
              <w:rPr>
                <w:rFonts w:hint="eastAsia" w:ascii="宋体" w:hAnsi="宋体" w:eastAsia="宋体" w:cs="宋体"/>
                <w:i w:val="0"/>
                <w:iCs w:val="0"/>
                <w:color w:val="auto"/>
                <w:sz w:val="20"/>
                <w:szCs w:val="20"/>
                <w:u w:val="none"/>
              </w:rPr>
            </w:pPr>
          </w:p>
        </w:tc>
      </w:tr>
      <w:tr w14:paraId="2DFCA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722A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病历车</w:t>
            </w:r>
          </w:p>
        </w:tc>
        <w:tc>
          <w:tcPr>
            <w:tcW w:w="3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AAD5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1、规格：740*520*1340mm；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2、推车台面及底座采用ABS高级工程塑料一次性加工成型，台面左、右及后方带ABS突起围栏，整体外形更美观，强度好，实用性强；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3、柜体立柱采用高强度铝合金型材，侧板及背板采用厚度为4mm优质工业铝塑板，整体搭配合理，外型美观，充分提升医院形象；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4、台面下方配抽屉一只，抽屉面板和框架为钢制结构，抽屉拉手为ABS弧形拉手，抽屉推拉平稳、顺畅，方便使用；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5、该车能同时存放50位病历夹，分两列放置，病历夹侧滑道采用高级ABS材料注塑成型，外型美观，侧滑道配置小滚轮，有利于保护病历夹，抽拉更灵活轻便；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6、推车下部与地面的净空高度为150mm，病历夹推车配有安全锁，安全可靠；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7、整车配置4只4寸静音全塑胶脚轮，单只承载50KG,坚固耐用，外表美观，带对角刹车  </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90F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054EA">
            <w:pPr>
              <w:jc w:val="center"/>
              <w:rPr>
                <w:rFonts w:hint="eastAsia" w:ascii="宋体" w:hAnsi="宋体" w:eastAsia="宋体" w:cs="宋体"/>
                <w:i w:val="0"/>
                <w:iCs w:val="0"/>
                <w:color w:val="auto"/>
                <w:sz w:val="20"/>
                <w:szCs w:val="20"/>
                <w:u w:val="none"/>
              </w:rPr>
            </w:pPr>
          </w:p>
        </w:tc>
      </w:tr>
      <w:tr w14:paraId="33C26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26B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晨间护理车</w:t>
            </w:r>
          </w:p>
        </w:tc>
        <w:tc>
          <w:tcPr>
            <w:tcW w:w="3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68B8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1、规格：960×540×880mm。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2、推车主体采用1.0mm优质不锈钢冷轧板（磨砂）与Φ25*1.0优质不锈钢圆管整体焊接成型,表面光洁，强度好，具有耐酸、耐碱等腐蚀性物质作用。表面经过磨砂处理，能抗指纹；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3、配防水布护理袋，污物袋上带粘胶扣，可拆卸清洗，三层搁物台面，三面带Φ8*1.0不锈钢圆管围栏，整体协调美观；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4、配4只3寸高级人造橡胶静音脚轮，坚固耐用，外表美观；其中2只脚轮配置刹车，可在任意状态下使用刹车功能。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5.采用超激光焊机焊接。</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3E1C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1A3A0">
            <w:pPr>
              <w:jc w:val="center"/>
              <w:rPr>
                <w:rFonts w:hint="eastAsia" w:ascii="宋体" w:hAnsi="宋体" w:eastAsia="宋体" w:cs="宋体"/>
                <w:i w:val="0"/>
                <w:iCs w:val="0"/>
                <w:color w:val="auto"/>
                <w:sz w:val="20"/>
                <w:szCs w:val="20"/>
                <w:u w:val="none"/>
              </w:rPr>
            </w:pPr>
          </w:p>
        </w:tc>
      </w:tr>
      <w:tr w14:paraId="4451F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FC16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电动翻身床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（设备参数表一）</w:t>
            </w:r>
          </w:p>
        </w:tc>
        <w:tc>
          <w:tcPr>
            <w:tcW w:w="3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9F81B">
            <w:pPr>
              <w:keepNext w:val="0"/>
              <w:keepLines w:val="0"/>
              <w:widowControl/>
              <w:suppressLineNumbers w:val="0"/>
              <w:spacing w:after="200" w:afterAutospacing="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（一）规格尺寸：</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床体尺寸：2200mm×1050mm×(600-900)mm±10mm (不包括床头高度);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床面尺寸：1950mm×900mm±10mm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电源线长度≥3200mm;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（二）主要功能：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①　腿部升降功能(0-40°)；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②　背部升降功能(0 -75°)；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③　背腿联动功能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④　床体整体升降功能(600-900)mm±10mm；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⑤　床体前倾斜功能≥12°；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⑥　床体后倾斜功能≥12°；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⑦　床体左右侧翻功能≥15°；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⑧　电动CPR功能、手动背部CPR</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⑨　重量管理功能：可以实现精确称重（精确度≤300g）.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⑩　离床报警功能。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⑪　结合以上十种基础功能，还具备：一键式实现背与腿板的联动功能、一健式实现头高足底位（反特式位）、一健式实现头低足高位（特式位）、一键式半坐卧位、一键式中凹位、一键式医生检查体位、一键式复位功能、紧急制动功能、床头尾板的一键式锁定功能、端坐卧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（三）控制器：手持线性控制器、护栏控制器。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①手持线型控制器：符合IEC 60601-2-52标准的图标按键操作，能操作所有体位，并可悬挂在护栏上。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②护栏控制器：护栏内侧具有患者控制器，护栏外侧设有医护人员控制器。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A、患者控制器：可操作背部升降及膝部升降功能，并设有紧急停止按键。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B、医护人员控制器：可操作病床的所有功能。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C、具备锁定功能，无操作时，护栏遥控器可手动锁定，避免误操作</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072A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B9849">
            <w:pPr>
              <w:jc w:val="center"/>
              <w:rPr>
                <w:rFonts w:hint="eastAsia" w:ascii="宋体" w:hAnsi="宋体" w:eastAsia="宋体" w:cs="宋体"/>
                <w:i w:val="0"/>
                <w:iCs w:val="0"/>
                <w:color w:val="auto"/>
                <w:sz w:val="20"/>
                <w:szCs w:val="20"/>
                <w:u w:val="none"/>
              </w:rPr>
            </w:pPr>
          </w:p>
        </w:tc>
      </w:tr>
      <w:tr w14:paraId="315E2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B657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电动翻身床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（设备参数续表二）</w:t>
            </w:r>
          </w:p>
        </w:tc>
        <w:tc>
          <w:tcPr>
            <w:tcW w:w="3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4A32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（四）各部件基础参数: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①床头、床尾板采用医用无菌级 HDPE 材料（UL阻燃等级达到HB），一次性吹塑成型，床头尾板上沿距离床面≥490mm，有效避免病人坠床事故的发生；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②可快速拆卸式床头、床尾板具备隐形筋结构，隐形筋结构≥8条，且有高强度的金属部件隐藏式锁定机构，不仅在护理上实现了无卫生死角，容易清洗、 消毒，避免了病员的二次感染风险，同时也大幅提高了床头、床尾板的使用强度，床头、床尾板的固定安装结构是依靠三支高强度的优质304 材质的不锈钢管连接固定的，其中一组连接通过锥面配合采用中段中空过渡，从而实现床头、床尾板与床架连接紧密，推动时不晃动及产生异响，可承受水平推力或拉力≥750N防护安全性非常高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③床头、床尾板均有按人体工程学原理设计的把握结构，便于推行，可做应急CPR板使用，便于护理及临床急救操作。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④A、床面板采用优质冷轧板材一次性拉伸成型，带透气孔，四周采用滚圆工艺对拉深边的切口进行无损卷边工艺处理，从而达到避免在特定的极端条件下床面板的加工工艺锐边对人体伤害事件的发生。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B、床框采用优质30*60*1.2碳钢矩管；床板连接采用钢质铰链，单片厚度≥4mm。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C、床尾脚板设计有拆卸式床垫限位装置。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⑤背板具有双向腹部减压功能（Stress-Saver Raise），背板和腿板在升起过程中整体向后移动，提高患者舒适度，减少卧床患者背部和臀部压力，预防局部褥疮的发生和手术创口的开裂，避免造成夹伤。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⑥整体升降高度为600-900mm，升降立柱电机采用BL1三段式升降柱，该升降柱结构紧凑，电缆在BL1升降柱内集成，与升降柱  顶部或底部的手控器或脚踏开关进行连接，集成电缆的设计让升降柱可提升应用设计的美感，并且也易于清洁。升降三段式导轨使型材间保持部分重叠，以确保较高的稳定性，该升降柱采用螺杆式开放推杆，内有链传动装置， 运行安静，无噪音。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⑦左右侧翻角度≥15°，侧翻机构采用平面连杆机构设计，辅助气弹簧补偿电机等机构间隙。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⑧A、整体床架采用优质冷轧型材，通过自动化机器人焊接成型，确保整个床体结实、牢固；喷塑前采用悬链式抛丸机表面除锈处理工艺，工件不进行酸洗浸泡处理，产品在长期使用过程中不会因为返酸而导致生锈，然后采用自动化喷涂设备进行喷涂，涂层均匀，喷涂粉末具有抗菌性能、对大肠肝菌的抗菌活性值等于或优于5.5，对金黄色葡萄球菌的抗菌活性值等于或优于5.4 。</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1CA9B">
            <w:pPr>
              <w:jc w:val="center"/>
              <w:rPr>
                <w:rFonts w:hint="eastAsia" w:ascii="宋体" w:hAnsi="宋体" w:eastAsia="宋体" w:cs="宋体"/>
                <w:i w:val="0"/>
                <w:iCs w:val="0"/>
                <w:color w:val="auto"/>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14E6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此行为设备参数续表，不重复显示数量、单价、总价等信息</w:t>
            </w:r>
          </w:p>
        </w:tc>
      </w:tr>
      <w:tr w14:paraId="51A2D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448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电动翻身床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（设备参数续表三）</w:t>
            </w:r>
          </w:p>
        </w:tc>
        <w:tc>
          <w:tcPr>
            <w:tcW w:w="3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37A9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喷涂后喷塑件同样具备抗菌性能，抗菌率（大肠杆菌和金黄色葡萄球菌）≥99%，（提供喷塑件的省级及以上相关检测机构出具的检测报告复印件，送检单位和投标产品制造商一致，保证材料可以长期供应可溯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C、床面板通过连续≥90小时以上盐雾测试试验后面板无裂纹、无锈蚀、光滑无变化。（提供省级机构盐雾检测报告）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护栏采用HDPE材料（UL阻燃等级达到HB）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⑨A、四片式分体式升降护栏符合IEC 60601-2-52标准，安装在床面板上,可随床体的功能同时运动，保护病人，避免坠床事故的发生。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B、四片护栏均具备角度显示器，能清晰准确的显示病床倾斜及升降的角度，更利于护理人员对病人的监护， 阻尼护栏具备缓降阻尼功能，可确保护栏降落时不会因碰撞而导致异响。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C、护栏与护栏、护栏与床头尾板平放时间距≤45mm,背部护栏与床板保持同步升降且始终与腿部护栏保持间距≤45mm，护栏下沿据同侧床面外沿的距离≤45mm，护栏最上沿距离床面高度≥420mm，有效防止坠床事故的发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D、床尾段阻尼护栏采用拆卸式钢质固定安装机构，可以使得整床的功能模块的调整变化能适应不同医疗护理工 作的切实需求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E、 阻尼护栏具有防误开装置，护栏在受由内向外的压力时无法打开，需受外向内压力方可打开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F、采用触摸键盘取代传统机械按键，如“薄膜开关”、“按钮”等。解决了传统机械按键的有限使用寿命和力的 作用而使按键失效的问题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G、阻尼护栏的折叠传动支撑件均采用优质压铸铝合金ADC12 材料整体压铸成形,铝合金支撑件不仅在设计上充分考虑了操作安全性的要求，在护栏中间连接部位特别设计有防夹手结构。</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⑩防撞包角：包角采用ABS工程塑料一次性注塑成型，防撞轮直径≥85mm，输液杆插在包角上，包角采用专用工具才可拆卸，ABS塑胶件安全抗菌，抗菌率(金黄色葡萄球菌)＞95%；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⑪脚轮：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A、床脚采用30×50×1.2mm钢制框架，两端带ABS防护罩，其功能为防尘、防异物，外观整洁美观；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B、 病床脚轮为整体式中控125mm制动静音脚轮，在中央控制系统具备双向柔性控制系统，采用直径超过2mm的高强度的304不锈钢传动钢丝连接，操作体验非常柔和，本套系统的采用，不仅使得中控底座锁定可靠，解锁轻便、准确有力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C、底座防尘罩采用ABS 整体吸塑工艺制作，设计有储物空间、氧气瓶搁置架。 </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758CF">
            <w:pPr>
              <w:jc w:val="center"/>
              <w:rPr>
                <w:rFonts w:hint="eastAsia" w:ascii="宋体" w:hAnsi="宋体" w:eastAsia="宋体" w:cs="宋体"/>
                <w:i w:val="0"/>
                <w:iCs w:val="0"/>
                <w:color w:val="auto"/>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27BD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此行为设备参数续表，不重复显示数量、单价、总价等信息</w:t>
            </w:r>
          </w:p>
        </w:tc>
      </w:tr>
      <w:tr w14:paraId="70AED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E388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电动翻身床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（设备参数续表四）</w:t>
            </w:r>
          </w:p>
        </w:tc>
        <w:tc>
          <w:tcPr>
            <w:tcW w:w="3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49A4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⑫电机：电机系统，整体升降立柱电机：推力≥2000N,背板升降电机：推力≥6000N, 侧翻传动电机：推力≥6000N, 腿板升降电机：推力≥3000N,均带自锁螺母，具有自动断电、过载保护功能。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⑬多功能数码称重系统：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A.秤重型式：手持式数字显示称重操控器，避免了固定式显示器的位置限制。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B.称重模块组成：系统、四组称重传感器及称重控制器组成。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C.具备可连续测量并实时显示患者体重功能，满足临床护理中的监测，在任何体位变化的情形下，均能够精准量测病患体重。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D .具备病患离床之警示设定功能。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E .称重模块设计有平面微调机构，确保了称重传感器的测量精度。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F .称重传感器安装结构采用平面连板结构设计，整体置于中控底罩内部，避免了称重传感器外置影响外观效果的情况，也大幅简化了双层床面结构的不利影响，也降低了整床的最低使用高度尺寸。</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⑭整床基础配置：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1.背板折叠电机一组</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2.腿板折叠电机一组</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3.升降立柱电机二套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4.侧翻电机一套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5.手控制器一套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6.豪华中控脚轮及中央控制系统一套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7.约束带固定环6个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8.四组点滴架插座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9.床垫限位装置一个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10.移动ABS引流钩2个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11.床底照明灯一组</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12.称重模块一套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44008">
            <w:pPr>
              <w:jc w:val="center"/>
              <w:rPr>
                <w:rFonts w:hint="eastAsia" w:ascii="宋体" w:hAnsi="宋体" w:eastAsia="宋体" w:cs="宋体"/>
                <w:i w:val="0"/>
                <w:iCs w:val="0"/>
                <w:color w:val="auto"/>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8A55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此行为设备参数续表，不重复显示数量、单价、总价等信息</w:t>
            </w:r>
          </w:p>
        </w:tc>
      </w:tr>
      <w:tr w14:paraId="7BB8A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2E51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急救车</w:t>
            </w:r>
          </w:p>
        </w:tc>
        <w:tc>
          <w:tcPr>
            <w:tcW w:w="3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6E50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 规格：740mm*520mm*960mm;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2.推车立柱采用高强度铝合金型材，侧板与背板采用厚度为4mm优质工业铝塑板，整体搭配合理，外形美观，推行方便；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台面及底座采用ABS高级工程塑料一次性注塑成型，台面三方带ABS围栏，外表光洁、美观；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 抽屉主要由抽屉面板、抽屉框架、抽屉塑料药盘和活动分隔板组成，抽屉面板和框架为钢制结构，抽屉拉手为ABS弧形拉手；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 急救车后方输液架为可调式，根据需要自行调节高度。输液架材料采用Φ16不锈钢圆管，急救托盘采用优质冷轧板材加工而成，上方配置捆绑带四根，托盘可360°自由旋转；</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 抽屉采用优质三节静音阻尼滑槽，有效伸缩距离为40cm,确保抽屉能够完全拉出，便于使用，后方带自锁功能；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7.抽屉分为三种规格，内置三种不同规格的活动式塑料筐，塑料筐规格为（长×宽×高）： 400×600×200mm（大号）；400×600×100mm（中号）； 400×600×50mm（小号），每只塑料筐承重≥20Kg；三种规格的抽屉可以根据科室的要求进行多种组合</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抽屉内部塑料筐内部配置标准ABS塑料活动式隔条，用户可以根据需要进行自由组合（ABS塑料活动式隔条既能实现平均分隔，也能实现异形分隔），并配置标准的标识牌，可对每一分隔进行标识，实现物品放置分类明确、标识明确。充分提升药品存放量，改善医院形象。塑料筐采用注塑工艺制作而成符合ISO3394标准的外部尺寸（400×600mm）确保塑料筐可以用于所有同标准的储存和运输系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 整车配置五层抽屉，三只小号抽屉、一只中号抽屉、一只大号抽屉，抽屉整体带一次性安全锁控制；配置透明ABS文件盒一个、心肺复苏版一个、氧气瓶挂架一个、电源插座一个、锐器盒一个、两个塑料翻盖式污物桶；推车右侧面带侧抽板，有效扩大治疗时所需操作面积；推车左侧带铝合金扶手，便于推车推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 整车配置4只4寸高级全塑胶静音脚轮，坚固耐用，外表美观；其中2只脚轮配置刹车，可在任意状态下使用刹车功能。</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45B2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18F90">
            <w:pPr>
              <w:jc w:val="center"/>
              <w:rPr>
                <w:rFonts w:hint="eastAsia" w:ascii="宋体" w:hAnsi="宋体" w:eastAsia="宋体" w:cs="宋体"/>
                <w:i w:val="0"/>
                <w:iCs w:val="0"/>
                <w:color w:val="auto"/>
                <w:sz w:val="20"/>
                <w:szCs w:val="20"/>
                <w:u w:val="none"/>
              </w:rPr>
            </w:pPr>
          </w:p>
        </w:tc>
      </w:tr>
      <w:tr w14:paraId="08A5D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2316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治疗车</w:t>
            </w:r>
          </w:p>
        </w:tc>
        <w:tc>
          <w:tcPr>
            <w:tcW w:w="3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4C67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 规格：740*520*960mm；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推车立柱采用高强度铝合金型材，侧板与背板采用厚度为4mm优质工业铝塑板，整体搭配合理，外形美观，推行轻便；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3.台面及底座采用ABS高级工程塑料一次性注塑成型，台面三方带ABS围栏，外表光洁、美观；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  抽屉主要由抽屉面板、抽屉框架、抽屉塑料药盘和活动分隔板组成，抽屉面板和框架为钢制结构，抽屉拉手为ABS弧形拉手；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 抽屉采用优质三节静音阻尼滑槽，有效伸缩距离为40cm,确保抽屉能够完全拉出，便于使用，后方带自锁功能；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 抽屉分为三种规格，内置三种不同规格的活动式塑料筐，塑料筐规格为（长×宽×高）： 400×600×200mm（大号）；400×600×100mm（中号）； 400×600×50mm（小号），每只塑料筐承重≥20Kg；三种规格的抽屉可以根据科室的要求进行多种组合</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 抽屉内部配置标准ABS塑料活动式隔条，用户可以根据需要进行自由组合（ABS塑料活动式隔条既能实现平均分隔，也能实现异形分隔），并配置标准的标识牌，可对每一分隔进行标识，实现物品放置分类明确、标识明确。充分提升药品存放量，改善医院形象；塑料筐采用注塑工艺制作而成符合ISO3394标准的外部尺寸（400×600mm）确保塑料筐可以用于所有同标准的储存和运输系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 整车配置二个中号抽屉，抽屉下方设置放物平台，平台配置三方围栏，方便物品堆放；配置文件盒一个、锐器盒一个、两个塑料翻盖式污物桶，推车右侧面带侧抽板，有效扩大治疗时所需操作面积；推车左侧带铝合金扶手，便于推车推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 整车配置4只4寸高级全塑胶静音脚轮，坚固耐用，外表美观；其中2只脚轮配置刹车，可在任意状态下使用刹车功能。</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FE8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FCC7C">
            <w:pPr>
              <w:jc w:val="center"/>
              <w:rPr>
                <w:rFonts w:hint="eastAsia" w:ascii="宋体" w:hAnsi="宋体" w:eastAsia="宋体" w:cs="宋体"/>
                <w:i w:val="0"/>
                <w:iCs w:val="0"/>
                <w:color w:val="auto"/>
                <w:sz w:val="20"/>
                <w:szCs w:val="20"/>
                <w:u w:val="none"/>
              </w:rPr>
            </w:pPr>
          </w:p>
        </w:tc>
      </w:tr>
      <w:tr w14:paraId="4539E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3C86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ABS床头柜</w:t>
            </w:r>
          </w:p>
        </w:tc>
        <w:tc>
          <w:tcPr>
            <w:tcW w:w="3804" w:type="pct"/>
            <w:tcBorders>
              <w:top w:val="single" w:color="000000" w:sz="4" w:space="0"/>
              <w:left w:val="single" w:color="000000" w:sz="4" w:space="0"/>
              <w:bottom w:val="single" w:color="000000" w:sz="4" w:space="0"/>
              <w:right w:val="single" w:color="000000" w:sz="4" w:space="0"/>
            </w:tcBorders>
            <w:shd w:val="clear" w:color="auto" w:fill="auto"/>
            <w:vAlign w:val="top"/>
          </w:tcPr>
          <w:p w14:paraId="098AEF67">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 规格：480×470×750mm；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采用ABS高级工程塑料注塑成型，表面易清洗、擦拭，整体美观大方；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配餐桌、抽屉、单拉门，柜内带隔板，可放置水瓶；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 两侧配不锈钢伸缩式毛巾架、污物袋挂勾，实用方便。</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BC86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5F6B6">
            <w:pPr>
              <w:jc w:val="center"/>
              <w:rPr>
                <w:rFonts w:hint="eastAsia" w:ascii="宋体" w:hAnsi="宋体" w:eastAsia="宋体" w:cs="宋体"/>
                <w:i w:val="0"/>
                <w:iCs w:val="0"/>
                <w:color w:val="auto"/>
                <w:sz w:val="20"/>
                <w:szCs w:val="20"/>
                <w:u w:val="none"/>
              </w:rPr>
            </w:pPr>
          </w:p>
        </w:tc>
      </w:tr>
      <w:tr w14:paraId="351A5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B41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伸缩式餐桌</w:t>
            </w:r>
          </w:p>
        </w:tc>
        <w:tc>
          <w:tcPr>
            <w:tcW w:w="3804" w:type="pct"/>
            <w:tcBorders>
              <w:top w:val="single" w:color="000000" w:sz="4" w:space="0"/>
              <w:left w:val="single" w:color="000000" w:sz="4" w:space="0"/>
              <w:bottom w:val="single" w:color="000000" w:sz="4" w:space="0"/>
              <w:right w:val="single" w:color="000000" w:sz="4" w:space="0"/>
            </w:tcBorders>
            <w:shd w:val="clear" w:color="auto" w:fill="auto"/>
            <w:vAlign w:val="top"/>
          </w:tcPr>
          <w:p w14:paraId="76FFE2F9">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1.规格：855*350*28mm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2.ABS工程塑料一次成形，伸缩式，长度可调，颜色与床整体色调一致</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5E63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9A057">
            <w:pPr>
              <w:jc w:val="center"/>
              <w:rPr>
                <w:rFonts w:hint="eastAsia" w:ascii="宋体" w:hAnsi="宋体" w:eastAsia="宋体" w:cs="宋体"/>
                <w:i w:val="0"/>
                <w:iCs w:val="0"/>
                <w:color w:val="auto"/>
                <w:sz w:val="20"/>
                <w:szCs w:val="20"/>
                <w:u w:val="none"/>
              </w:rPr>
            </w:pPr>
          </w:p>
        </w:tc>
      </w:tr>
      <w:tr w14:paraId="3300B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FCB8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机械式体重秤</w:t>
            </w:r>
          </w:p>
        </w:tc>
        <w:tc>
          <w:tcPr>
            <w:tcW w:w="3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C174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承重范围0——160KG,带成人身高测量功能</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8A05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F6553">
            <w:pPr>
              <w:jc w:val="center"/>
              <w:rPr>
                <w:rFonts w:hint="eastAsia" w:ascii="宋体" w:hAnsi="宋体" w:eastAsia="宋体" w:cs="宋体"/>
                <w:i w:val="0"/>
                <w:iCs w:val="0"/>
                <w:color w:val="auto"/>
                <w:sz w:val="20"/>
                <w:szCs w:val="20"/>
                <w:u w:val="none"/>
              </w:rPr>
            </w:pPr>
          </w:p>
        </w:tc>
      </w:tr>
      <w:tr w14:paraId="006AE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34C3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电针灸</w:t>
            </w:r>
          </w:p>
        </w:tc>
        <w:tc>
          <w:tcPr>
            <w:tcW w:w="3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0E5F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1、电源：内部电源 DC9V(+5%-10%)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电源适配器（输入 AC200V±22V 50Hz±1Hz；输出 DC9V）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2、输入功率：10.0VA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3、输出脉冲波形：非对称双向脉冲波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4、输出脉冲路数：六路输出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5、最大输出功率：0.3VA(250Ω负载阻抗下)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6、输出脉冲频率：1~100Hz 可调，允差为±15%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7、工作模式：连续波工作模式：连续断续波工作模式：工作 9 秒，停 5 秒疏密波工作模式：疏波频率与密波频率之比为1:5，疏波工作 5 秒，密波工作 9 秒，（断续波、疏密波时间允差为±15%）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8、输出电流的限值：≤10mA(250Ω负载阻抗下)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9、输出直流分量：0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10、输出脉冲宽度：0.2ms±30% （EMC 检测基本性能）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11、体积：230mm×150mm×60mm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12、质量：0.5kg</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1C9B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416DB">
            <w:pPr>
              <w:jc w:val="center"/>
              <w:rPr>
                <w:rFonts w:hint="eastAsia" w:ascii="宋体" w:hAnsi="宋体" w:eastAsia="宋体" w:cs="宋体"/>
                <w:i w:val="0"/>
                <w:iCs w:val="0"/>
                <w:color w:val="auto"/>
                <w:sz w:val="20"/>
                <w:szCs w:val="20"/>
                <w:u w:val="none"/>
              </w:rPr>
            </w:pPr>
          </w:p>
        </w:tc>
      </w:tr>
      <w:tr w14:paraId="7521A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A187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超短波治疗仪</w:t>
            </w:r>
          </w:p>
        </w:tc>
        <w:tc>
          <w:tcPr>
            <w:tcW w:w="3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F36D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1、使用电源：AC220V±22V，50Hz±1Hz；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2、仪器类别：I类BF型；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3、工作频率：40.68MHz，误差±1.5%；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4、输入功率：≤1000VA；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5、输出功率：200W最大，误差±20%；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6、输出强度：50W、100W、150W、200W连续可调，三模式12档可选；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7、输出指示：液晶屏实时显示预热状态、治疗状态、治疗时间、结束状态等；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8、治疗时间：0～99min可调，液晶屏实时显示；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9、输出模式：≥3种模式，具有脉冲、连续、断续波输出；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10、连续波模式：持续输出，“频率”、“脉宽”参数显示和设定无效；</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11、断续波输出：以50%占空比的脉冲方式输出，输出频率10～200Hz，步进10Hz，误差±10%；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12、脉冲波输出：以设定的频率和设定的脉冲宽度输出，脉冲宽度200～1000us，步进50us，误差±10%；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13、显示装置：电容式高清真彩液晶屏，仪器治疗参数和设备状态全程实时显示；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14、液晶触控：液晶触摸控制，人机界面简洁大气，管理系统智能化；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15、智能一键：一键开机预热、治疗模式、输出强度，启用、暂停、停止等快捷键；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16、操作提示：液晶触摸屏按键操作提示音、输出提示音、结束提示音等；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17、输出电极：≥3种规格电极板，大、中、小各一对，适合不同治疗部位使用；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18、输出导线：特制铜质电缆线，绝缘强、耐高温、损耗小，安装方便可靠；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19、导线长度：长度不小于1.1米，最大化满足临床需求和方便使用；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20、导线性能：缆线外塑模厚达8mm，导线交叉不打火、绝缘和屏蔽优；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21、调谐方式：旋钮式输出回路谐振频率调谐；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22、场强指示：配置场强指示附件，指示电极板输出功率分布和强弱；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23、电流指示：最大量程为300mA，精度不低于2.5级；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24、产品样式：简约大气流线形设计具有科技感，落地推车式，移动方便；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25、存放装置：配置有电极板存放装置，人性设计方便临床使用。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743F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4D68B">
            <w:pPr>
              <w:jc w:val="center"/>
              <w:rPr>
                <w:rFonts w:hint="eastAsia" w:ascii="宋体" w:hAnsi="宋体" w:eastAsia="宋体" w:cs="宋体"/>
                <w:i w:val="0"/>
                <w:iCs w:val="0"/>
                <w:color w:val="auto"/>
                <w:sz w:val="20"/>
                <w:szCs w:val="20"/>
                <w:u w:val="none"/>
              </w:rPr>
            </w:pPr>
          </w:p>
        </w:tc>
      </w:tr>
      <w:tr w14:paraId="361BB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1932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中频脉冲气压治疗仪</w:t>
            </w:r>
          </w:p>
        </w:tc>
        <w:tc>
          <w:tcPr>
            <w:tcW w:w="3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EBBC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1.电源电压: AC220V； 50Hz。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2.输入功率：100VA。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3.治疗模式：脉冲加压模式，加热模式，中频脉冲电刺激模式。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4.脉冲压力调节范围：50mmHg-230mmHg，调节步进为 10mmHg。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5.脉冲压力智能识别绑缚松紧度，自动调节压力达到设定值，保证患者体验。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6.加热温度调节范围：40℃-50℃，调节步进为 5℃。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7.中频脉冲电刺激调节范围：0-30 档，调节步进为 1。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8.时间设定范围：10min-60min，步进可调节 10min。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9.压力保持时间：1～3s可调，步进1s。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10. 0.2s瞬时脉冲快速达到设定的脉冲压力值。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11.采用仿生学原理，足底静脉丛加压技术。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12.7寸可触屏操作，精确显示治疗时长、压强值、温度、电刺激数值。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13.配置10.1寸液晶显示大屏，内置疾病科普视频，具备WiFi连接功能，可通过 后台实时更新视频数据，配备蓝牙耳机，可自主选择外部或蓝牙播放。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14.具备左右单边控制功能，可单侧肢体使用。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15.肢体压力套（脉冲足套）只绑脚不绑腿，穿脱方便，舒适度高。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16.过压失压报警及保护、声视觉提示功能，提示后设备会立刻停止工作并释放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气囊内压力。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17.正常工作时噪音不大于 60dB(A)；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18.电气安全要求：应符合 GB 9706.1-2020、YY 0833-2020、YY9706.210-2021、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YY/T 0165-2016 的要求，电磁兼容性：应符合 YY 9706.102-2021 和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YY9706.210-2021 的要求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19.配备多功能推车一台，移动便捷，也可挂于床旁，便于临床治疗。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20.适应症：预防肺栓塞；用于临床辅助促进血液循环，防止深静脉血栓形成；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消除肢体水肿，镇痛，促进炎症消散。</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0776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02284">
            <w:pPr>
              <w:jc w:val="center"/>
              <w:rPr>
                <w:rFonts w:hint="eastAsia" w:ascii="宋体" w:hAnsi="宋体" w:eastAsia="宋体" w:cs="宋体"/>
                <w:i w:val="0"/>
                <w:iCs w:val="0"/>
                <w:color w:val="auto"/>
                <w:sz w:val="20"/>
                <w:szCs w:val="20"/>
                <w:u w:val="none"/>
              </w:rPr>
            </w:pPr>
          </w:p>
        </w:tc>
      </w:tr>
    </w:tbl>
    <w:p w14:paraId="5239AF57">
      <w:pPr>
        <w:keepNext w:val="0"/>
        <w:keepLines w:val="0"/>
        <w:pageBreakBefore w:val="0"/>
        <w:widowControl/>
        <w:tabs>
          <w:tab w:val="left" w:pos="283"/>
        </w:tabs>
        <w:kinsoku/>
        <w:wordWrap/>
        <w:overflowPunct/>
        <w:topLinePunct w:val="0"/>
        <w:autoSpaceDE/>
        <w:autoSpaceDN/>
        <w:bidi w:val="0"/>
        <w:adjustRightInd/>
        <w:snapToGrid/>
        <w:spacing w:line="520" w:lineRule="exact"/>
        <w:ind w:right="17"/>
        <w:jc w:val="center"/>
        <w:textAlignment w:val="auto"/>
        <w:rPr>
          <w:rFonts w:hint="eastAsia" w:ascii="宋体" w:hAnsi="宋体" w:eastAsia="宋体" w:cs="宋体"/>
          <w:b/>
          <w:bCs/>
          <w:color w:val="auto"/>
          <w:sz w:val="32"/>
          <w:szCs w:val="32"/>
          <w:lang w:val="en-US" w:eastAsia="zh-CN"/>
        </w:rPr>
        <w:sectPr>
          <w:footerReference r:id="rId12" w:type="default"/>
          <w:pgSz w:w="11900" w:h="16838"/>
          <w:pgMar w:top="1440" w:right="1046" w:bottom="430" w:left="1440" w:header="0" w:footer="1304" w:gutter="0"/>
          <w:pgBorders>
            <w:top w:val="none" w:sz="0" w:space="0"/>
            <w:left w:val="none" w:sz="0" w:space="0"/>
            <w:bottom w:val="none" w:sz="0" w:space="0"/>
            <w:right w:val="none" w:sz="0" w:space="0"/>
          </w:pgBorders>
          <w:pgNumType w:fmt="decimal"/>
          <w:cols w:equalWidth="0" w:num="1">
            <w:col w:w="9420"/>
          </w:cols>
        </w:sectPr>
      </w:pPr>
    </w:p>
    <w:p w14:paraId="5CCA89A1">
      <w:pPr>
        <w:keepNext w:val="0"/>
        <w:keepLines w:val="0"/>
        <w:pageBreakBefore w:val="0"/>
        <w:widowControl/>
        <w:tabs>
          <w:tab w:val="left" w:pos="283"/>
        </w:tabs>
        <w:kinsoku/>
        <w:wordWrap/>
        <w:overflowPunct/>
        <w:topLinePunct w:val="0"/>
        <w:autoSpaceDE/>
        <w:autoSpaceDN/>
        <w:bidi w:val="0"/>
        <w:adjustRightInd/>
        <w:snapToGrid/>
        <w:spacing w:line="520" w:lineRule="exact"/>
        <w:ind w:right="17"/>
        <w:jc w:val="center"/>
        <w:textAlignment w:val="auto"/>
        <w:rPr>
          <w:rFonts w:hint="default"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黄龙县人民医院提升老年病服务能力建设项目医疗设施设备（二标包：治疗类医疗设施设备）</w:t>
      </w:r>
      <w:r>
        <w:rPr>
          <w:rFonts w:hint="eastAsia" w:ascii="宋体" w:hAnsi="宋体" w:cs="宋体"/>
          <w:b/>
          <w:bCs/>
          <w:color w:val="auto"/>
          <w:sz w:val="32"/>
          <w:szCs w:val="32"/>
          <w:lang w:val="en-US" w:eastAsia="zh-CN"/>
        </w:rPr>
        <w:t>采购清单</w:t>
      </w:r>
    </w:p>
    <w:tbl>
      <w:tblPr>
        <w:tblStyle w:val="2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1"/>
        <w:gridCol w:w="7485"/>
        <w:gridCol w:w="599"/>
        <w:gridCol w:w="829"/>
      </w:tblGrid>
      <w:tr w14:paraId="3492D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3B816">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设备名称</w:t>
            </w:r>
          </w:p>
        </w:tc>
        <w:tc>
          <w:tcPr>
            <w:tcW w:w="3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64EC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详细参数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9764F">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数量</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0388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备注</w:t>
            </w:r>
          </w:p>
        </w:tc>
      </w:tr>
      <w:tr w14:paraId="7ED04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A20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体外碎石机</w:t>
            </w:r>
          </w:p>
        </w:tc>
        <w:tc>
          <w:tcPr>
            <w:tcW w:w="3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9B30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1、设备用途：主要用于粉碎人体肾结石、输尿管结石、膀胱结石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2、冲击波发生器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(1)冲击波波源：透镜式电磁式冲击波波源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电磁盘带有智能化负压装置：自动抽真空、真空度保持范围：-0.06MPa至-0.08Mpa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电磁盘带有自动水循环和自动排汽功能，延长电磁盘使用寿命＞150万次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(4)高压调节范围:10～18KV之间，高压工作时范围：14～17.5KV之间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(5)高压电容：容量：1.0uf； 总能量：98～180.5J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(6) 压缩声压峰值:26Mpa～29.6Mpa；膨胀声压峰值：1.8Mpa～2.7Mpa,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（7）冲击波脉宽  0.5</w:t>
            </w:r>
            <w:r>
              <w:rPr>
                <w:rFonts w:ascii="Calibri" w:hAnsi="Calibri" w:eastAsia="宋体" w:cs="Calibri"/>
                <w:i w:val="0"/>
                <w:iCs w:val="0"/>
                <w:color w:val="auto"/>
                <w:kern w:val="0"/>
                <w:sz w:val="20"/>
                <w:szCs w:val="20"/>
                <w:u w:val="none"/>
                <w:lang w:val="en-US" w:eastAsia="zh-CN" w:bidi="ar"/>
              </w:rPr>
              <w:t>μ</w:t>
            </w:r>
            <w:r>
              <w:rPr>
                <w:rFonts w:hint="eastAsia" w:ascii="宋体" w:hAnsi="宋体" w:eastAsia="宋体" w:cs="宋体"/>
                <w:i w:val="0"/>
                <w:iCs w:val="0"/>
                <w:color w:val="auto"/>
                <w:kern w:val="0"/>
                <w:sz w:val="20"/>
                <w:szCs w:val="20"/>
                <w:u w:val="none"/>
                <w:lang w:val="en-US" w:eastAsia="zh-CN" w:bidi="ar"/>
              </w:rPr>
              <w:t>s，冲击波压力脉冲上升时间 0.4</w:t>
            </w:r>
            <w:r>
              <w:rPr>
                <w:rFonts w:ascii="Calibri" w:hAnsi="Calibri" w:eastAsia="宋体" w:cs="Calibri"/>
                <w:i w:val="0"/>
                <w:iCs w:val="0"/>
                <w:color w:val="auto"/>
                <w:kern w:val="0"/>
                <w:sz w:val="20"/>
                <w:szCs w:val="20"/>
                <w:u w:val="none"/>
                <w:lang w:val="en-US" w:eastAsia="zh-CN" w:bidi="ar"/>
              </w:rPr>
              <w:t>μ</w:t>
            </w:r>
            <w:r>
              <w:rPr>
                <w:rFonts w:hint="eastAsia" w:ascii="宋体" w:hAnsi="宋体" w:eastAsia="宋体" w:cs="宋体"/>
                <w:i w:val="0"/>
                <w:iCs w:val="0"/>
                <w:color w:val="auto"/>
                <w:kern w:val="0"/>
                <w:sz w:val="20"/>
                <w:szCs w:val="20"/>
                <w:u w:val="none"/>
                <w:lang w:val="en-US" w:eastAsia="zh-CN" w:bidi="ar"/>
              </w:rPr>
              <w:t>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(8)冲击波聚焦范围：径向≤7.0mm，轴向≤80.0mm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(9)电磁盘、放电管、透镜、高压电容可以单独更换。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(10）电源220V±5%,功率2KV.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（11）使用高频高压电源，提高碎石效果，碎石颗粒≤1.8mm。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2、治疗定位系统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 采用发射杯焦点沿B超探头中轴线平行移动的“体外冲击波治疗设备的B超定位机构”  具备电子自动测距功能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治疗头采用上定位或下定位，智能化、灵活的机械手臂，多角度旋转，治疗病人无盲区、可以手动和自动定位，治疗头上下运动0-225mm、前后运动0-225mm.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摇杆操作、液晶显示操作面板，输入数据自动定位。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 治疗头左右摆动的角度≥37°，治疗头前后翻转的角度≥40°，治疗头上下翻转角度≥213°，治疗头沿探头中轴线直线运动的行程≥98mm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（5）冲击波治疗深度140mm，定位精度  ≤1mm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（6））B超定位装置可以和医院现有的超声连接用于碎石定位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3、治疗床技术要求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(1)治疗床承受患者的体重≥135Kg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(2)治疗系统：上下行程：0～300mm，左右行程：0～100 mm ，前后行程：250mm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（3））主机尺寸：长1200×宽560×高1400 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（4）床面尺寸：长2000×宽650×高800 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4、治疗床和主机均配置有滑轮，以便移机。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5、碎石机使用寿命为十年。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6、维修响应时间：≤2小时以内响应，24小时内到达现场</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D72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21606">
            <w:pPr>
              <w:jc w:val="center"/>
              <w:rPr>
                <w:rFonts w:hint="eastAsia" w:ascii="宋体" w:hAnsi="宋体" w:eastAsia="宋体" w:cs="宋体"/>
                <w:i w:val="0"/>
                <w:iCs w:val="0"/>
                <w:color w:val="auto"/>
                <w:sz w:val="20"/>
                <w:szCs w:val="20"/>
                <w:u w:val="none"/>
              </w:rPr>
            </w:pPr>
          </w:p>
        </w:tc>
      </w:tr>
      <w:tr w14:paraId="54743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5EE6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钬激光治疗机</w:t>
            </w:r>
          </w:p>
        </w:tc>
        <w:tc>
          <w:tcPr>
            <w:tcW w:w="3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3236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技术参数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1、适用范围：人体硬组织切割、软组织切割气化，泌尿系碎石。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2、激光模式：多模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3、工作激光输出波长：2100nm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4、激光器输出方式：多核输出技术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5、具有激光耦合保护系统：可以不拆机器更换激光器保护镜，用于保护激光器光路，能有效防止激光器功率衰减（以设备实际装配图为准）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6、具有智能光纤接头：设备自动检测光纤到位和光纤型号并自动设定该型号光纤的最大输出功率（以操控屏实际显示具有该功能为准）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7、具有控制能量稳定功能，使激光能量输出不稳定度：≤±5%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8、功率复现性：≤±5%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9、光纤末端最大单脉冲能量：≥ 4.5J 可调（以设备操控屏实际可设置最大单脉冲能量为准）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10、最大工作频率：≥45 Hz，可调（以设备操控屏实际可设置最大工作频率为准）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11、光纤末端输出平均功率：≥75W （输出功率以设备操控屏实际可设置最大功率为准）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12、窄脉宽≥300us碎石效果好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13、宽脉宽≤600us结石粉末化及止血效果好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14、激光传输系统：多种规格光纤可重复使用，光纤使用次数＞10次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15、控制方式：8英寸大屏幕彩色液晶显示，触摸屏控制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16、光纤工作温度显示：可显示光纤实时工作温度，光纤端面工作时温度升高具有报警提示功能（以操控屏实际显示具有该功能为准）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17、电源：220V/50Hz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18、显示功能：专家临床数据库（以操控屏实际显示具有该功能为准）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19、指示光：绿光（波长532nm±10nm）,指示光功率5mw，指示光亮度有10个档位可以调节（以操控屏实际显示为准）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20、冷却方式：密封循环水冷，压缩机制冷，无氟环保（以设备实际装配图为准）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21、产品设计使用寿命不小于10年</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14BB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F2C45">
            <w:pPr>
              <w:jc w:val="center"/>
              <w:rPr>
                <w:rFonts w:hint="eastAsia" w:ascii="宋体" w:hAnsi="宋体" w:eastAsia="宋体" w:cs="宋体"/>
                <w:i w:val="0"/>
                <w:iCs w:val="0"/>
                <w:color w:val="auto"/>
                <w:sz w:val="20"/>
                <w:szCs w:val="20"/>
                <w:u w:val="none"/>
              </w:rPr>
            </w:pPr>
          </w:p>
        </w:tc>
      </w:tr>
      <w:tr w14:paraId="1BFDD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3EFD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胃镜（治疗镜）</w:t>
            </w:r>
          </w:p>
        </w:tc>
        <w:tc>
          <w:tcPr>
            <w:tcW w:w="3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2A924">
            <w:pPr>
              <w:keepNext w:val="0"/>
              <w:keepLines w:val="0"/>
              <w:widowControl/>
              <w:suppressLineNumbers w:val="0"/>
              <w:jc w:val="left"/>
              <w:textAlignment w:val="center"/>
              <w:rPr>
                <w:rFonts w:hint="default" w:ascii="Calibri" w:hAnsi="Calibri" w:eastAsia="宋体" w:cs="Calibri"/>
                <w:i w:val="0"/>
                <w:iCs w:val="0"/>
                <w:color w:val="auto"/>
                <w:sz w:val="20"/>
                <w:szCs w:val="20"/>
                <w:u w:val="none"/>
              </w:rPr>
            </w:pPr>
            <w:r>
              <w:rPr>
                <w:rFonts w:ascii="Calibri" w:hAnsi="Calibri" w:eastAsia="宋体" w:cs="Calibri"/>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、视场角</w:t>
            </w:r>
            <w:r>
              <w:rPr>
                <w:rFonts w:ascii="Calibri" w:hAnsi="Calibri" w:eastAsia="宋体" w:cs="Calibri"/>
                <w:i w:val="0"/>
                <w:iCs w:val="0"/>
                <w:color w:val="auto"/>
                <w:kern w:val="0"/>
                <w:sz w:val="20"/>
                <w:szCs w:val="20"/>
                <w:u w:val="none"/>
                <w:lang w:val="en-US" w:eastAsia="zh-CN" w:bidi="ar"/>
              </w:rPr>
              <w:t>≥140°</w:t>
            </w:r>
            <w:r>
              <w:rPr>
                <w:rFonts w:hint="eastAsia" w:ascii="宋体" w:hAnsi="宋体" w:eastAsia="宋体" w:cs="宋体"/>
                <w:i w:val="0"/>
                <w:iCs w:val="0"/>
                <w:color w:val="auto"/>
                <w:kern w:val="0"/>
                <w:sz w:val="20"/>
                <w:szCs w:val="20"/>
                <w:u w:val="none"/>
                <w:lang w:val="en-US" w:eastAsia="zh-CN" w:bidi="ar"/>
              </w:rPr>
              <w:t>；</w:t>
            </w:r>
            <w:r>
              <w:rPr>
                <w:rFonts w:ascii="Calibri" w:hAnsi="Calibri" w:eastAsia="宋体" w:cs="Calibri"/>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、头端部外径</w:t>
            </w:r>
            <w:r>
              <w:rPr>
                <w:rFonts w:ascii="Calibri" w:hAnsi="Calibri" w:eastAsia="宋体" w:cs="Calibri"/>
                <w:i w:val="0"/>
                <w:iCs w:val="0"/>
                <w:color w:val="auto"/>
                <w:kern w:val="0"/>
                <w:sz w:val="20"/>
                <w:szCs w:val="20"/>
                <w:u w:val="none"/>
                <w:lang w:val="en-US" w:eastAsia="zh-CN" w:bidi="ar"/>
              </w:rPr>
              <w:t>≤10.5mm</w:t>
            </w:r>
            <w:r>
              <w:rPr>
                <w:rFonts w:hint="eastAsia" w:ascii="宋体" w:hAnsi="宋体" w:eastAsia="宋体" w:cs="宋体"/>
                <w:i w:val="0"/>
                <w:iCs w:val="0"/>
                <w:color w:val="auto"/>
                <w:kern w:val="0"/>
                <w:sz w:val="20"/>
                <w:szCs w:val="20"/>
                <w:u w:val="none"/>
                <w:lang w:val="en-US" w:eastAsia="zh-CN" w:bidi="ar"/>
              </w:rPr>
              <w:t>；</w:t>
            </w:r>
            <w:r>
              <w:rPr>
                <w:rFonts w:ascii="Calibri" w:hAnsi="Calibri" w:eastAsia="宋体" w:cs="Calibri"/>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、主软管外径</w:t>
            </w:r>
            <w:r>
              <w:rPr>
                <w:rFonts w:ascii="Calibri" w:hAnsi="Calibri" w:eastAsia="宋体" w:cs="Calibri"/>
                <w:i w:val="0"/>
                <w:iCs w:val="0"/>
                <w:color w:val="auto"/>
                <w:kern w:val="0"/>
                <w:sz w:val="20"/>
                <w:szCs w:val="20"/>
                <w:u w:val="none"/>
                <w:lang w:val="en-US" w:eastAsia="zh-CN" w:bidi="ar"/>
              </w:rPr>
              <w:t>≤10.5mm</w:t>
            </w:r>
            <w:r>
              <w:rPr>
                <w:rFonts w:hint="eastAsia" w:ascii="宋体" w:hAnsi="宋体" w:eastAsia="宋体" w:cs="宋体"/>
                <w:i w:val="0"/>
                <w:iCs w:val="0"/>
                <w:color w:val="auto"/>
                <w:kern w:val="0"/>
                <w:sz w:val="20"/>
                <w:szCs w:val="20"/>
                <w:u w:val="none"/>
                <w:lang w:val="en-US" w:eastAsia="zh-CN" w:bidi="ar"/>
              </w:rPr>
              <w:t>；</w:t>
            </w:r>
            <w:r>
              <w:rPr>
                <w:rFonts w:ascii="Calibri" w:hAnsi="Calibri" w:eastAsia="宋体" w:cs="Calibri"/>
                <w:i w:val="0"/>
                <w:iCs w:val="0"/>
                <w:color w:val="auto"/>
                <w:kern w:val="0"/>
                <w:sz w:val="20"/>
                <w:szCs w:val="20"/>
                <w:u w:val="none"/>
                <w:lang w:val="en-US" w:eastAsia="zh-CN" w:bidi="ar"/>
              </w:rPr>
              <w:t>4</w:t>
            </w:r>
            <w:r>
              <w:rPr>
                <w:rFonts w:hint="eastAsia" w:ascii="宋体" w:hAnsi="宋体" w:eastAsia="宋体" w:cs="宋体"/>
                <w:i w:val="0"/>
                <w:iCs w:val="0"/>
                <w:color w:val="auto"/>
                <w:kern w:val="0"/>
                <w:sz w:val="20"/>
                <w:szCs w:val="20"/>
                <w:u w:val="none"/>
                <w:lang w:val="en-US" w:eastAsia="zh-CN" w:bidi="ar"/>
              </w:rPr>
              <w:t>、景深：</w:t>
            </w:r>
            <w:r>
              <w:rPr>
                <w:rFonts w:ascii="Calibri" w:hAnsi="Calibri" w:eastAsia="宋体" w:cs="Calibri"/>
                <w:i w:val="0"/>
                <w:iCs w:val="0"/>
                <w:color w:val="auto"/>
                <w:kern w:val="0"/>
                <w:sz w:val="20"/>
                <w:szCs w:val="20"/>
                <w:u w:val="none"/>
                <w:lang w:val="en-US" w:eastAsia="zh-CN" w:bidi="ar"/>
              </w:rPr>
              <w:t>3-100 mm</w:t>
            </w:r>
            <w:r>
              <w:rPr>
                <w:rFonts w:hint="eastAsia" w:ascii="宋体" w:hAnsi="宋体" w:eastAsia="宋体" w:cs="宋体"/>
                <w:i w:val="0"/>
                <w:iCs w:val="0"/>
                <w:color w:val="auto"/>
                <w:kern w:val="0"/>
                <w:sz w:val="20"/>
                <w:szCs w:val="20"/>
                <w:u w:val="none"/>
                <w:lang w:val="en-US" w:eastAsia="zh-CN" w:bidi="ar"/>
              </w:rPr>
              <w:t>；</w:t>
            </w:r>
            <w:r>
              <w:rPr>
                <w:rFonts w:ascii="Calibri" w:hAnsi="Calibri" w:eastAsia="宋体" w:cs="Calibri"/>
                <w:i w:val="0"/>
                <w:iCs w:val="0"/>
                <w:color w:val="auto"/>
                <w:kern w:val="0"/>
                <w:sz w:val="20"/>
                <w:szCs w:val="20"/>
                <w:u w:val="none"/>
                <w:lang w:val="en-US" w:eastAsia="zh-CN" w:bidi="ar"/>
              </w:rPr>
              <w:t>5</w:t>
            </w:r>
            <w:r>
              <w:rPr>
                <w:rFonts w:hint="eastAsia" w:ascii="宋体" w:hAnsi="宋体" w:eastAsia="宋体" w:cs="宋体"/>
                <w:i w:val="0"/>
                <w:iCs w:val="0"/>
                <w:color w:val="auto"/>
                <w:kern w:val="0"/>
                <w:sz w:val="20"/>
                <w:szCs w:val="20"/>
                <w:u w:val="none"/>
                <w:lang w:val="en-US" w:eastAsia="zh-CN" w:bidi="ar"/>
              </w:rPr>
              <w:t>、弯曲角度上</w:t>
            </w:r>
            <w:r>
              <w:rPr>
                <w:rFonts w:ascii="Calibri" w:hAnsi="Calibri" w:eastAsia="宋体" w:cs="Calibri"/>
                <w:i w:val="0"/>
                <w:iCs w:val="0"/>
                <w:color w:val="auto"/>
                <w:kern w:val="0"/>
                <w:sz w:val="20"/>
                <w:szCs w:val="20"/>
                <w:u w:val="none"/>
                <w:lang w:val="en-US" w:eastAsia="zh-CN" w:bidi="ar"/>
              </w:rPr>
              <w:t>≥210°</w:t>
            </w:r>
            <w:r>
              <w:rPr>
                <w:rFonts w:hint="eastAsia" w:ascii="宋体" w:hAnsi="宋体" w:eastAsia="宋体" w:cs="宋体"/>
                <w:i w:val="0"/>
                <w:iCs w:val="0"/>
                <w:color w:val="auto"/>
                <w:kern w:val="0"/>
                <w:sz w:val="20"/>
                <w:szCs w:val="20"/>
                <w:u w:val="none"/>
                <w:lang w:val="en-US" w:eastAsia="zh-CN" w:bidi="ar"/>
              </w:rPr>
              <w:t>下</w:t>
            </w:r>
            <w:r>
              <w:rPr>
                <w:rFonts w:ascii="Calibri" w:hAnsi="Calibri" w:eastAsia="宋体" w:cs="Calibri"/>
                <w:i w:val="0"/>
                <w:iCs w:val="0"/>
                <w:color w:val="auto"/>
                <w:kern w:val="0"/>
                <w:sz w:val="20"/>
                <w:szCs w:val="20"/>
                <w:u w:val="none"/>
                <w:lang w:val="en-US" w:eastAsia="zh-CN" w:bidi="ar"/>
              </w:rPr>
              <w:t xml:space="preserve">≥90° </w:t>
            </w:r>
            <w:r>
              <w:rPr>
                <w:rFonts w:hint="eastAsia" w:ascii="宋体" w:hAnsi="宋体" w:eastAsia="宋体" w:cs="宋体"/>
                <w:i w:val="0"/>
                <w:iCs w:val="0"/>
                <w:color w:val="auto"/>
                <w:kern w:val="0"/>
                <w:sz w:val="20"/>
                <w:szCs w:val="20"/>
                <w:u w:val="none"/>
                <w:lang w:val="en-US" w:eastAsia="zh-CN" w:bidi="ar"/>
              </w:rPr>
              <w:t>左</w:t>
            </w:r>
            <w:r>
              <w:rPr>
                <w:rFonts w:ascii="Calibri" w:hAnsi="Calibri" w:eastAsia="宋体" w:cs="Calibri"/>
                <w:i w:val="0"/>
                <w:iCs w:val="0"/>
                <w:color w:val="auto"/>
                <w:kern w:val="0"/>
                <w:sz w:val="20"/>
                <w:szCs w:val="20"/>
                <w:u w:val="none"/>
                <w:lang w:val="en-US" w:eastAsia="zh-CN" w:bidi="ar"/>
              </w:rPr>
              <w:t xml:space="preserve">≥100° </w:t>
            </w:r>
            <w:r>
              <w:rPr>
                <w:rFonts w:hint="eastAsia" w:ascii="宋体" w:hAnsi="宋体" w:eastAsia="宋体" w:cs="宋体"/>
                <w:i w:val="0"/>
                <w:iCs w:val="0"/>
                <w:color w:val="auto"/>
                <w:kern w:val="0"/>
                <w:sz w:val="20"/>
                <w:szCs w:val="20"/>
                <w:u w:val="none"/>
                <w:lang w:val="en-US" w:eastAsia="zh-CN" w:bidi="ar"/>
              </w:rPr>
              <w:t>右</w:t>
            </w:r>
            <w:r>
              <w:rPr>
                <w:rFonts w:ascii="Calibri" w:hAnsi="Calibri" w:eastAsia="宋体" w:cs="Calibri"/>
                <w:i w:val="0"/>
                <w:iCs w:val="0"/>
                <w:color w:val="auto"/>
                <w:kern w:val="0"/>
                <w:sz w:val="20"/>
                <w:szCs w:val="20"/>
                <w:u w:val="none"/>
                <w:lang w:val="en-US" w:eastAsia="zh-CN" w:bidi="ar"/>
              </w:rPr>
              <w:t>≥100°</w:t>
            </w:r>
            <w:r>
              <w:rPr>
                <w:rFonts w:hint="eastAsia" w:ascii="宋体" w:hAnsi="宋体" w:eastAsia="宋体" w:cs="宋体"/>
                <w:i w:val="0"/>
                <w:iCs w:val="0"/>
                <w:color w:val="auto"/>
                <w:kern w:val="0"/>
                <w:sz w:val="20"/>
                <w:szCs w:val="20"/>
                <w:u w:val="none"/>
                <w:lang w:val="en-US" w:eastAsia="zh-CN" w:bidi="ar"/>
              </w:rPr>
              <w:t>；</w:t>
            </w:r>
            <w:r>
              <w:rPr>
                <w:rFonts w:ascii="Calibri" w:hAnsi="Calibri" w:eastAsia="宋体" w:cs="Calibri"/>
                <w:i w:val="0"/>
                <w:iCs w:val="0"/>
                <w:color w:val="auto"/>
                <w:kern w:val="0"/>
                <w:sz w:val="20"/>
                <w:szCs w:val="20"/>
                <w:u w:val="none"/>
                <w:lang w:val="en-US" w:eastAsia="zh-CN" w:bidi="ar"/>
              </w:rPr>
              <w:t>6</w:t>
            </w:r>
            <w:r>
              <w:rPr>
                <w:rFonts w:hint="eastAsia" w:ascii="宋体" w:hAnsi="宋体" w:eastAsia="宋体" w:cs="宋体"/>
                <w:i w:val="0"/>
                <w:iCs w:val="0"/>
                <w:color w:val="auto"/>
                <w:kern w:val="0"/>
                <w:sz w:val="20"/>
                <w:szCs w:val="20"/>
                <w:u w:val="none"/>
                <w:lang w:val="en-US" w:eastAsia="zh-CN" w:bidi="ar"/>
              </w:rPr>
              <w:t>、钳道孔径</w:t>
            </w:r>
            <w:r>
              <w:rPr>
                <w:rFonts w:ascii="Calibri" w:hAnsi="Calibri" w:eastAsia="宋体" w:cs="Calibri"/>
                <w:i w:val="0"/>
                <w:iCs w:val="0"/>
                <w:color w:val="auto"/>
                <w:kern w:val="0"/>
                <w:sz w:val="20"/>
                <w:szCs w:val="20"/>
                <w:u w:val="none"/>
                <w:lang w:val="en-US" w:eastAsia="zh-CN" w:bidi="ar"/>
              </w:rPr>
              <w:t>≥3.2mm</w:t>
            </w:r>
            <w:r>
              <w:rPr>
                <w:rFonts w:hint="eastAsia" w:ascii="宋体" w:hAnsi="宋体" w:eastAsia="宋体" w:cs="宋体"/>
                <w:i w:val="0"/>
                <w:iCs w:val="0"/>
                <w:color w:val="auto"/>
                <w:kern w:val="0"/>
                <w:sz w:val="20"/>
                <w:szCs w:val="20"/>
                <w:u w:val="none"/>
                <w:lang w:val="en-US" w:eastAsia="zh-CN" w:bidi="ar"/>
              </w:rPr>
              <w:t>；</w:t>
            </w:r>
            <w:r>
              <w:rPr>
                <w:rFonts w:ascii="Calibri" w:hAnsi="Calibri" w:eastAsia="宋体" w:cs="Calibri"/>
                <w:i w:val="0"/>
                <w:iCs w:val="0"/>
                <w:color w:val="auto"/>
                <w:kern w:val="0"/>
                <w:sz w:val="20"/>
                <w:szCs w:val="20"/>
                <w:u w:val="none"/>
                <w:lang w:val="en-US" w:eastAsia="zh-CN" w:bidi="ar"/>
              </w:rPr>
              <w:t>7</w:t>
            </w:r>
            <w:r>
              <w:rPr>
                <w:rFonts w:hint="eastAsia" w:ascii="宋体" w:hAnsi="宋体" w:eastAsia="宋体" w:cs="宋体"/>
                <w:i w:val="0"/>
                <w:iCs w:val="0"/>
                <w:color w:val="auto"/>
                <w:kern w:val="0"/>
                <w:sz w:val="20"/>
                <w:szCs w:val="20"/>
                <w:u w:val="none"/>
                <w:lang w:val="en-US" w:eastAsia="zh-CN" w:bidi="ar"/>
              </w:rPr>
              <w:t>、工作长度：</w:t>
            </w:r>
            <w:r>
              <w:rPr>
                <w:rFonts w:ascii="Calibri" w:hAnsi="Calibri" w:eastAsia="宋体" w:cs="Calibri"/>
                <w:i w:val="0"/>
                <w:iCs w:val="0"/>
                <w:color w:val="auto"/>
                <w:kern w:val="0"/>
                <w:sz w:val="20"/>
                <w:szCs w:val="20"/>
                <w:u w:val="none"/>
                <w:lang w:val="en-US" w:eastAsia="zh-CN" w:bidi="ar"/>
              </w:rPr>
              <w:t>1050 mm</w:t>
            </w:r>
            <w:r>
              <w:rPr>
                <w:rFonts w:hint="eastAsia" w:ascii="宋体" w:hAnsi="宋体" w:eastAsia="宋体" w:cs="宋体"/>
                <w:i w:val="0"/>
                <w:iCs w:val="0"/>
                <w:color w:val="auto"/>
                <w:kern w:val="0"/>
                <w:sz w:val="20"/>
                <w:szCs w:val="20"/>
                <w:u w:val="none"/>
                <w:lang w:val="en-US" w:eastAsia="zh-CN" w:bidi="ar"/>
              </w:rPr>
              <w:t>；</w:t>
            </w:r>
            <w:r>
              <w:rPr>
                <w:rFonts w:ascii="Calibri" w:hAnsi="Calibri" w:eastAsia="宋体" w:cs="Calibri"/>
                <w:i w:val="0"/>
                <w:iCs w:val="0"/>
                <w:color w:val="auto"/>
                <w:kern w:val="0"/>
                <w:sz w:val="20"/>
                <w:szCs w:val="20"/>
                <w:u w:val="none"/>
                <w:lang w:val="en-US" w:eastAsia="zh-CN" w:bidi="ar"/>
              </w:rPr>
              <w:t>8</w:t>
            </w:r>
            <w:r>
              <w:rPr>
                <w:rFonts w:hint="eastAsia" w:ascii="宋体" w:hAnsi="宋体" w:eastAsia="宋体" w:cs="宋体"/>
                <w:i w:val="0"/>
                <w:iCs w:val="0"/>
                <w:color w:val="auto"/>
                <w:kern w:val="0"/>
                <w:sz w:val="20"/>
                <w:szCs w:val="20"/>
                <w:u w:val="none"/>
                <w:lang w:val="en-US" w:eastAsia="zh-CN" w:bidi="ar"/>
              </w:rPr>
              <w:t>、具有副送水功能；</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0E52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6133D">
            <w:pPr>
              <w:jc w:val="center"/>
              <w:rPr>
                <w:rFonts w:hint="eastAsia" w:ascii="宋体" w:hAnsi="宋体" w:eastAsia="宋体" w:cs="宋体"/>
                <w:i w:val="0"/>
                <w:iCs w:val="0"/>
                <w:color w:val="auto"/>
                <w:sz w:val="20"/>
                <w:szCs w:val="20"/>
                <w:u w:val="none"/>
              </w:rPr>
            </w:pPr>
          </w:p>
        </w:tc>
      </w:tr>
      <w:tr w14:paraId="07A73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D353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肠镜（治疗镜）</w:t>
            </w:r>
          </w:p>
        </w:tc>
        <w:tc>
          <w:tcPr>
            <w:tcW w:w="3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A56B2">
            <w:pPr>
              <w:keepNext w:val="0"/>
              <w:keepLines w:val="0"/>
              <w:widowControl/>
              <w:suppressLineNumbers w:val="0"/>
              <w:jc w:val="left"/>
              <w:textAlignment w:val="center"/>
              <w:rPr>
                <w:rFonts w:hint="default" w:ascii="Calibri" w:hAnsi="Calibri" w:eastAsia="宋体" w:cs="Calibri"/>
                <w:i w:val="0"/>
                <w:iCs w:val="0"/>
                <w:color w:val="auto"/>
                <w:sz w:val="20"/>
                <w:szCs w:val="20"/>
                <w:u w:val="none"/>
              </w:rPr>
            </w:pPr>
            <w:r>
              <w:rPr>
                <w:rFonts w:ascii="Calibri" w:hAnsi="Calibri" w:eastAsia="宋体" w:cs="Calibri"/>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、视场角≥</w:t>
            </w:r>
            <w:r>
              <w:rPr>
                <w:rStyle w:val="89"/>
                <w:rFonts w:eastAsia="宋体"/>
                <w:color w:val="auto"/>
                <w:lang w:val="en-US" w:eastAsia="zh-CN" w:bidi="ar"/>
              </w:rPr>
              <w:t>140°</w:t>
            </w:r>
            <w:r>
              <w:rPr>
                <w:rFonts w:hint="eastAsia" w:ascii="宋体" w:hAnsi="宋体" w:eastAsia="宋体" w:cs="宋体"/>
                <w:i w:val="0"/>
                <w:iCs w:val="0"/>
                <w:color w:val="auto"/>
                <w:kern w:val="0"/>
                <w:sz w:val="20"/>
                <w:szCs w:val="20"/>
                <w:u w:val="none"/>
                <w:lang w:val="en-US" w:eastAsia="zh-CN" w:bidi="ar"/>
              </w:rPr>
              <w:t>；</w:t>
            </w:r>
            <w:r>
              <w:rPr>
                <w:rStyle w:val="89"/>
                <w:rFonts w:eastAsia="宋体"/>
                <w:color w:val="auto"/>
                <w:lang w:val="en-US" w:eastAsia="zh-CN" w:bidi="ar"/>
              </w:rPr>
              <w:t>2</w:t>
            </w:r>
            <w:r>
              <w:rPr>
                <w:rFonts w:hint="eastAsia" w:ascii="宋体" w:hAnsi="宋体" w:eastAsia="宋体" w:cs="宋体"/>
                <w:i w:val="0"/>
                <w:iCs w:val="0"/>
                <w:color w:val="auto"/>
                <w:kern w:val="0"/>
                <w:sz w:val="20"/>
                <w:szCs w:val="20"/>
                <w:u w:val="none"/>
                <w:lang w:val="en-US" w:eastAsia="zh-CN" w:bidi="ar"/>
              </w:rPr>
              <w:t>、头端部外径≤</w:t>
            </w:r>
            <w:r>
              <w:rPr>
                <w:rStyle w:val="89"/>
                <w:rFonts w:eastAsia="宋体"/>
                <w:color w:val="auto"/>
                <w:lang w:val="en-US" w:eastAsia="zh-CN" w:bidi="ar"/>
              </w:rPr>
              <w:t>12.8mm</w:t>
            </w:r>
            <w:r>
              <w:rPr>
                <w:rFonts w:hint="eastAsia" w:ascii="宋体" w:hAnsi="宋体" w:eastAsia="宋体" w:cs="宋体"/>
                <w:i w:val="0"/>
                <w:iCs w:val="0"/>
                <w:color w:val="auto"/>
                <w:kern w:val="0"/>
                <w:sz w:val="20"/>
                <w:szCs w:val="20"/>
                <w:u w:val="none"/>
                <w:lang w:val="en-US" w:eastAsia="zh-CN" w:bidi="ar"/>
              </w:rPr>
              <w:t>；</w:t>
            </w:r>
            <w:r>
              <w:rPr>
                <w:rStyle w:val="89"/>
                <w:rFonts w:eastAsia="宋体"/>
                <w:color w:val="auto"/>
                <w:lang w:val="en-US" w:eastAsia="zh-CN" w:bidi="ar"/>
              </w:rPr>
              <w:t>3</w:t>
            </w:r>
            <w:r>
              <w:rPr>
                <w:rFonts w:hint="eastAsia" w:ascii="宋体" w:hAnsi="宋体" w:eastAsia="宋体" w:cs="宋体"/>
                <w:i w:val="0"/>
                <w:iCs w:val="0"/>
                <w:color w:val="auto"/>
                <w:kern w:val="0"/>
                <w:sz w:val="20"/>
                <w:szCs w:val="20"/>
                <w:u w:val="none"/>
                <w:lang w:val="en-US" w:eastAsia="zh-CN" w:bidi="ar"/>
              </w:rPr>
              <w:t>、主软管外径≤</w:t>
            </w:r>
            <w:r>
              <w:rPr>
                <w:rStyle w:val="89"/>
                <w:rFonts w:eastAsia="宋体"/>
                <w:color w:val="auto"/>
                <w:lang w:val="en-US" w:eastAsia="zh-CN" w:bidi="ar"/>
              </w:rPr>
              <w:t>12.8mm</w:t>
            </w:r>
            <w:r>
              <w:rPr>
                <w:rFonts w:hint="eastAsia" w:ascii="宋体" w:hAnsi="宋体" w:eastAsia="宋体" w:cs="宋体"/>
                <w:i w:val="0"/>
                <w:iCs w:val="0"/>
                <w:color w:val="auto"/>
                <w:kern w:val="0"/>
                <w:sz w:val="20"/>
                <w:szCs w:val="20"/>
                <w:u w:val="none"/>
                <w:lang w:val="en-US" w:eastAsia="zh-CN" w:bidi="ar"/>
              </w:rPr>
              <w:t>；</w:t>
            </w:r>
            <w:r>
              <w:rPr>
                <w:rStyle w:val="89"/>
                <w:rFonts w:eastAsia="宋体"/>
                <w:color w:val="auto"/>
                <w:lang w:val="en-US" w:eastAsia="zh-CN" w:bidi="ar"/>
              </w:rPr>
              <w:t>4</w:t>
            </w:r>
            <w:r>
              <w:rPr>
                <w:rFonts w:hint="eastAsia" w:ascii="宋体" w:hAnsi="宋体" w:eastAsia="宋体" w:cs="宋体"/>
                <w:i w:val="0"/>
                <w:iCs w:val="0"/>
                <w:color w:val="auto"/>
                <w:kern w:val="0"/>
                <w:sz w:val="20"/>
                <w:szCs w:val="20"/>
                <w:u w:val="none"/>
                <w:lang w:val="en-US" w:eastAsia="zh-CN" w:bidi="ar"/>
              </w:rPr>
              <w:t>、景深：</w:t>
            </w:r>
            <w:r>
              <w:rPr>
                <w:rStyle w:val="89"/>
                <w:rFonts w:eastAsia="宋体"/>
                <w:color w:val="auto"/>
                <w:lang w:val="en-US" w:eastAsia="zh-CN" w:bidi="ar"/>
              </w:rPr>
              <w:t>3-100 mm</w:t>
            </w:r>
            <w:r>
              <w:rPr>
                <w:rFonts w:hint="eastAsia" w:ascii="宋体" w:hAnsi="宋体" w:eastAsia="宋体" w:cs="宋体"/>
                <w:i w:val="0"/>
                <w:iCs w:val="0"/>
                <w:color w:val="auto"/>
                <w:kern w:val="0"/>
                <w:sz w:val="20"/>
                <w:szCs w:val="20"/>
                <w:u w:val="none"/>
                <w:lang w:val="en-US" w:eastAsia="zh-CN" w:bidi="ar"/>
              </w:rPr>
              <w:t>；</w:t>
            </w:r>
            <w:r>
              <w:rPr>
                <w:rStyle w:val="89"/>
                <w:rFonts w:eastAsia="宋体"/>
                <w:color w:val="auto"/>
                <w:lang w:val="en-US" w:eastAsia="zh-CN" w:bidi="ar"/>
              </w:rPr>
              <w:t>5</w:t>
            </w:r>
            <w:r>
              <w:rPr>
                <w:rFonts w:hint="eastAsia" w:ascii="宋体" w:hAnsi="宋体" w:eastAsia="宋体" w:cs="宋体"/>
                <w:i w:val="0"/>
                <w:iCs w:val="0"/>
                <w:color w:val="auto"/>
                <w:kern w:val="0"/>
                <w:sz w:val="20"/>
                <w:szCs w:val="20"/>
                <w:u w:val="none"/>
                <w:lang w:val="en-US" w:eastAsia="zh-CN" w:bidi="ar"/>
              </w:rPr>
              <w:t>、弯曲角度上≥</w:t>
            </w:r>
            <w:r>
              <w:rPr>
                <w:rStyle w:val="89"/>
                <w:rFonts w:eastAsia="宋体"/>
                <w:color w:val="auto"/>
                <w:lang w:val="en-US" w:eastAsia="zh-CN" w:bidi="ar"/>
              </w:rPr>
              <w:t>180</w:t>
            </w:r>
            <w:r>
              <w:rPr>
                <w:rFonts w:hint="eastAsia" w:ascii="宋体" w:hAnsi="宋体" w:eastAsia="宋体" w:cs="宋体"/>
                <w:i w:val="0"/>
                <w:iCs w:val="0"/>
                <w:color w:val="auto"/>
                <w:kern w:val="0"/>
                <w:sz w:val="20"/>
                <w:szCs w:val="20"/>
                <w:u w:val="none"/>
                <w:lang w:val="en-US" w:eastAsia="zh-CN" w:bidi="ar"/>
              </w:rPr>
              <w:t>°下≥</w:t>
            </w:r>
            <w:r>
              <w:rPr>
                <w:rStyle w:val="89"/>
                <w:rFonts w:eastAsia="宋体"/>
                <w:color w:val="auto"/>
                <w:lang w:val="en-US" w:eastAsia="zh-CN" w:bidi="ar"/>
              </w:rPr>
              <w:t>180°</w:t>
            </w:r>
            <w:r>
              <w:rPr>
                <w:rFonts w:hint="eastAsia" w:ascii="宋体" w:hAnsi="宋体" w:eastAsia="宋体" w:cs="宋体"/>
                <w:i w:val="0"/>
                <w:iCs w:val="0"/>
                <w:color w:val="auto"/>
                <w:kern w:val="0"/>
                <w:sz w:val="20"/>
                <w:szCs w:val="20"/>
                <w:u w:val="none"/>
                <w:lang w:val="en-US" w:eastAsia="zh-CN" w:bidi="ar"/>
              </w:rPr>
              <w:t xml:space="preserve"> 左≥</w:t>
            </w:r>
            <w:r>
              <w:rPr>
                <w:rStyle w:val="89"/>
                <w:rFonts w:eastAsia="宋体"/>
                <w:color w:val="auto"/>
                <w:lang w:val="en-US" w:eastAsia="zh-CN" w:bidi="ar"/>
              </w:rPr>
              <w:t>160°</w:t>
            </w:r>
            <w:r>
              <w:rPr>
                <w:rFonts w:hint="eastAsia" w:ascii="宋体" w:hAnsi="宋体" w:eastAsia="宋体" w:cs="宋体"/>
                <w:i w:val="0"/>
                <w:iCs w:val="0"/>
                <w:color w:val="auto"/>
                <w:kern w:val="0"/>
                <w:sz w:val="20"/>
                <w:szCs w:val="20"/>
                <w:u w:val="none"/>
                <w:lang w:val="en-US" w:eastAsia="zh-CN" w:bidi="ar"/>
              </w:rPr>
              <w:t xml:space="preserve"> 右≥</w:t>
            </w:r>
            <w:r>
              <w:rPr>
                <w:rStyle w:val="89"/>
                <w:rFonts w:eastAsia="宋体"/>
                <w:color w:val="auto"/>
                <w:lang w:val="en-US" w:eastAsia="zh-CN" w:bidi="ar"/>
              </w:rPr>
              <w:t>160°</w:t>
            </w:r>
            <w:r>
              <w:rPr>
                <w:rFonts w:hint="eastAsia" w:ascii="宋体" w:hAnsi="宋体" w:eastAsia="宋体" w:cs="宋体"/>
                <w:i w:val="0"/>
                <w:iCs w:val="0"/>
                <w:color w:val="auto"/>
                <w:kern w:val="0"/>
                <w:sz w:val="20"/>
                <w:szCs w:val="20"/>
                <w:u w:val="none"/>
                <w:lang w:val="en-US" w:eastAsia="zh-CN" w:bidi="ar"/>
              </w:rPr>
              <w:t>；</w:t>
            </w:r>
            <w:r>
              <w:rPr>
                <w:rStyle w:val="89"/>
                <w:rFonts w:eastAsia="宋体"/>
                <w:color w:val="auto"/>
                <w:lang w:val="en-US" w:eastAsia="zh-CN" w:bidi="ar"/>
              </w:rPr>
              <w:t>6</w:t>
            </w:r>
            <w:r>
              <w:rPr>
                <w:rFonts w:hint="eastAsia" w:ascii="宋体" w:hAnsi="宋体" w:eastAsia="宋体" w:cs="宋体"/>
                <w:i w:val="0"/>
                <w:iCs w:val="0"/>
                <w:color w:val="auto"/>
                <w:kern w:val="0"/>
                <w:sz w:val="20"/>
                <w:szCs w:val="20"/>
                <w:u w:val="none"/>
                <w:lang w:val="en-US" w:eastAsia="zh-CN" w:bidi="ar"/>
              </w:rPr>
              <w:t>、钳道孔径≥</w:t>
            </w:r>
            <w:r>
              <w:rPr>
                <w:rStyle w:val="89"/>
                <w:rFonts w:eastAsia="宋体"/>
                <w:color w:val="auto"/>
                <w:lang w:val="en-US" w:eastAsia="zh-CN" w:bidi="ar"/>
              </w:rPr>
              <w:t>4.2mm</w:t>
            </w:r>
            <w:r>
              <w:rPr>
                <w:rFonts w:hint="eastAsia" w:ascii="宋体" w:hAnsi="宋体" w:eastAsia="宋体" w:cs="宋体"/>
                <w:i w:val="0"/>
                <w:iCs w:val="0"/>
                <w:color w:val="auto"/>
                <w:kern w:val="0"/>
                <w:sz w:val="20"/>
                <w:szCs w:val="20"/>
                <w:u w:val="none"/>
                <w:lang w:val="en-US" w:eastAsia="zh-CN" w:bidi="ar"/>
              </w:rPr>
              <w:t>；</w:t>
            </w:r>
            <w:r>
              <w:rPr>
                <w:rStyle w:val="89"/>
                <w:rFonts w:eastAsia="宋体"/>
                <w:color w:val="auto"/>
                <w:lang w:val="en-US" w:eastAsia="zh-CN" w:bidi="ar"/>
              </w:rPr>
              <w:t>7</w:t>
            </w:r>
            <w:r>
              <w:rPr>
                <w:rFonts w:hint="eastAsia" w:ascii="宋体" w:hAnsi="宋体" w:eastAsia="宋体" w:cs="宋体"/>
                <w:i w:val="0"/>
                <w:iCs w:val="0"/>
                <w:color w:val="auto"/>
                <w:kern w:val="0"/>
                <w:sz w:val="20"/>
                <w:szCs w:val="20"/>
                <w:u w:val="none"/>
                <w:lang w:val="en-US" w:eastAsia="zh-CN" w:bidi="ar"/>
              </w:rPr>
              <w:t>、工作长度：</w:t>
            </w:r>
            <w:r>
              <w:rPr>
                <w:rStyle w:val="89"/>
                <w:rFonts w:eastAsia="宋体"/>
                <w:color w:val="auto"/>
                <w:lang w:val="en-US" w:eastAsia="zh-CN" w:bidi="ar"/>
              </w:rPr>
              <w:t>1300mm</w:t>
            </w:r>
            <w:r>
              <w:rPr>
                <w:rFonts w:hint="eastAsia" w:ascii="宋体" w:hAnsi="宋体" w:eastAsia="宋体" w:cs="宋体"/>
                <w:i w:val="0"/>
                <w:iCs w:val="0"/>
                <w:color w:val="auto"/>
                <w:kern w:val="0"/>
                <w:sz w:val="20"/>
                <w:szCs w:val="20"/>
                <w:u w:val="none"/>
                <w:lang w:val="en-US" w:eastAsia="zh-CN" w:bidi="ar"/>
              </w:rPr>
              <w:t>；</w:t>
            </w:r>
            <w:r>
              <w:rPr>
                <w:rStyle w:val="89"/>
                <w:rFonts w:eastAsia="宋体"/>
                <w:color w:val="auto"/>
                <w:lang w:val="en-US" w:eastAsia="zh-CN" w:bidi="ar"/>
              </w:rPr>
              <w:t>8</w:t>
            </w:r>
            <w:r>
              <w:rPr>
                <w:rFonts w:hint="eastAsia" w:ascii="宋体" w:hAnsi="宋体" w:eastAsia="宋体" w:cs="宋体"/>
                <w:i w:val="0"/>
                <w:iCs w:val="0"/>
                <w:color w:val="auto"/>
                <w:kern w:val="0"/>
                <w:sz w:val="20"/>
                <w:szCs w:val="20"/>
                <w:u w:val="none"/>
                <w:lang w:val="en-US" w:eastAsia="zh-CN" w:bidi="ar"/>
              </w:rPr>
              <w:t>、具有副送水功能；</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D3EC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D02B2">
            <w:pPr>
              <w:jc w:val="center"/>
              <w:rPr>
                <w:rFonts w:hint="eastAsia" w:ascii="宋体" w:hAnsi="宋体" w:eastAsia="宋体" w:cs="宋体"/>
                <w:i w:val="0"/>
                <w:iCs w:val="0"/>
                <w:color w:val="auto"/>
                <w:sz w:val="20"/>
                <w:szCs w:val="20"/>
                <w:u w:val="none"/>
              </w:rPr>
            </w:pPr>
          </w:p>
        </w:tc>
      </w:tr>
      <w:tr w14:paraId="2CF64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0DB2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输尿管硬镜</w:t>
            </w:r>
          </w:p>
        </w:tc>
        <w:tc>
          <w:tcPr>
            <w:tcW w:w="3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0CDA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1.插入部直径≤10.4Fr.</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2.先端周长≤7.3Fr.</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3.最大工作长度≤430mm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4.器械通道≤6.4Fr.</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5.视野方向0°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6.视野范围95°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754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4DE8F">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允许进口</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（输尿管硬镜）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（密封帽）消毒盒。</w:t>
            </w:r>
          </w:p>
        </w:tc>
      </w:tr>
      <w:tr w14:paraId="11C2B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0F45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12度硬性膀胱镜</w:t>
            </w:r>
          </w:p>
        </w:tc>
        <w:tc>
          <w:tcPr>
            <w:tcW w:w="3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9C08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1.12度膀胱镜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2.原装进口。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3.适用于泌尿外科手术。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4.尿道膀胱镜，视向角≤12度，工作长度≥30cm， 直径≤4mm。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5.蓝宝石纯平面透镜透光均匀、清晰。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6.无鱼眼现象，水无划痕，实用、新颖、不失真。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7.金属外壳，海螺型卡口，操控性好。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8.可浸泡、蒸熏、高温高压消毒，耐134度高温3bar压力。</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9.镜鞘：外径≤17Fr。</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10.镜桥：带1个可锁器械通道，器械通道≥5Fr。</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8844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F3D49">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允许进口</w:t>
            </w:r>
          </w:p>
        </w:tc>
      </w:tr>
      <w:tr w14:paraId="4532E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C754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腔镜灌注泵</w:t>
            </w:r>
          </w:p>
        </w:tc>
        <w:tc>
          <w:tcPr>
            <w:tcW w:w="3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CF0E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腔镜灌注泵为开放式加压装置，在手术过程中液体介质及清洗液简单方便;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采用步进电机驱动运行，设备运行时平稳、噪声小;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压力及流量由电脑自动控制，过压时电脑将自动切断电源停止工作，当压力回复正常时仪器将自动进入正常工作状态，控制装置安全可靠:压力设定范围2-53Kpa，流量设定范围0.1-1L/min,数字显示连续可调，可根据实际工作需要任意改变设定值;腔镜灌注泵具有记忆能力，开机时显示上次设定的压力和流量值;</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7B85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64560">
            <w:pPr>
              <w:jc w:val="center"/>
              <w:rPr>
                <w:rFonts w:hint="eastAsia" w:ascii="宋体" w:hAnsi="宋体" w:eastAsia="宋体" w:cs="宋体"/>
                <w:i w:val="0"/>
                <w:iCs w:val="0"/>
                <w:color w:val="auto"/>
                <w:sz w:val="20"/>
                <w:szCs w:val="20"/>
                <w:u w:val="none"/>
              </w:rPr>
            </w:pPr>
          </w:p>
        </w:tc>
      </w:tr>
      <w:tr w14:paraId="1970B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C71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输尿管镜取石钳</w:t>
            </w:r>
          </w:p>
        </w:tc>
        <w:tc>
          <w:tcPr>
            <w:tcW w:w="3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764E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1、工作长度600mm，工作直径1.6mm；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2、除特殊设计外的产品表面粗糙度不大于0.8um，光滑圆平整，无锋棱、砂眼等缺陷；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3、耐腐蚀性能符合YY/T 0149-2006中沸水试验法b级的规定；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4、产品及各零部件可经高温高压、低温等离子、环氧乙烷等主流方式消毒灭菌；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5、外管为刚性硬管；手柄有超压限制设计，防止用力过大损坏钳头；</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6AD9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D0E11">
            <w:pPr>
              <w:jc w:val="center"/>
              <w:rPr>
                <w:rFonts w:hint="eastAsia" w:ascii="宋体" w:hAnsi="宋体" w:eastAsia="宋体" w:cs="宋体"/>
                <w:i w:val="0"/>
                <w:iCs w:val="0"/>
                <w:color w:val="auto"/>
                <w:sz w:val="20"/>
                <w:szCs w:val="20"/>
                <w:u w:val="none"/>
              </w:rPr>
            </w:pPr>
          </w:p>
        </w:tc>
      </w:tr>
      <w:tr w14:paraId="3051D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0102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输尿管镜活检钳</w:t>
            </w:r>
          </w:p>
        </w:tc>
        <w:tc>
          <w:tcPr>
            <w:tcW w:w="3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38C3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1、工作长度600mm，直径5Fr。</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2、外管为刚性硬管；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3、柄有超压限制设计，防止用力过大损坏钳头；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4、除特殊设计外的产品表面粗糙度不大于0.8um，光滑圆平整，无锋棱、砂眼等缺陷；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5、产品及各零部件可经高温高压、低温等离子、环氧乙烷等主流方式消毒灭菌；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6、耐腐蚀性能符合YY/T 0149-2006中沸水试验法b级的规定；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7、采用医用不锈钢精密加工；</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D479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50D11">
            <w:pPr>
              <w:jc w:val="center"/>
              <w:rPr>
                <w:rFonts w:hint="eastAsia" w:ascii="宋体" w:hAnsi="宋体" w:eastAsia="宋体" w:cs="宋体"/>
                <w:i w:val="0"/>
                <w:iCs w:val="0"/>
                <w:color w:val="auto"/>
                <w:sz w:val="20"/>
                <w:szCs w:val="20"/>
                <w:u w:val="none"/>
              </w:rPr>
            </w:pPr>
          </w:p>
        </w:tc>
      </w:tr>
    </w:tbl>
    <w:p w14:paraId="2D1615D3">
      <w:pPr>
        <w:keepNext w:val="0"/>
        <w:keepLines w:val="0"/>
        <w:pageBreakBefore w:val="0"/>
        <w:widowControl/>
        <w:tabs>
          <w:tab w:val="left" w:pos="283"/>
        </w:tabs>
        <w:kinsoku/>
        <w:wordWrap/>
        <w:overflowPunct/>
        <w:topLinePunct w:val="0"/>
        <w:autoSpaceDE/>
        <w:autoSpaceDN/>
        <w:bidi w:val="0"/>
        <w:adjustRightInd/>
        <w:snapToGrid/>
        <w:spacing w:line="520" w:lineRule="exact"/>
        <w:ind w:right="17"/>
        <w:jc w:val="center"/>
        <w:textAlignment w:val="auto"/>
        <w:rPr>
          <w:rFonts w:hint="eastAsia" w:ascii="宋体" w:hAnsi="宋体" w:eastAsia="宋体" w:cs="宋体"/>
          <w:b/>
          <w:bCs/>
          <w:color w:val="auto"/>
          <w:sz w:val="32"/>
          <w:szCs w:val="32"/>
          <w:lang w:val="en-US" w:eastAsia="zh-CN"/>
        </w:rPr>
      </w:pPr>
    </w:p>
    <w:p w14:paraId="5A109F08">
      <w:pPr>
        <w:spacing w:line="360" w:lineRule="auto"/>
        <w:jc w:val="center"/>
        <w:rPr>
          <w:rFonts w:hint="eastAsia" w:ascii="宋体" w:hAnsi="宋体" w:eastAsia="宋体" w:cs="宋体"/>
          <w:b/>
          <w:color w:val="auto"/>
          <w:sz w:val="28"/>
          <w:szCs w:val="24"/>
          <w:highlight w:val="none"/>
          <w:lang w:val="en-US" w:eastAsia="zh-CN"/>
        </w:rPr>
        <w:sectPr>
          <w:pgSz w:w="11900" w:h="16838"/>
          <w:pgMar w:top="1440" w:right="1046" w:bottom="430" w:left="1440" w:header="0" w:footer="1304" w:gutter="0"/>
          <w:pgBorders>
            <w:top w:val="none" w:sz="0" w:space="0"/>
            <w:left w:val="none" w:sz="0" w:space="0"/>
            <w:bottom w:val="none" w:sz="0" w:space="0"/>
            <w:right w:val="none" w:sz="0" w:space="0"/>
          </w:pgBorders>
          <w:pgNumType w:fmt="decimal"/>
          <w:cols w:equalWidth="0" w:num="1">
            <w:col w:w="9420"/>
          </w:cols>
        </w:sectPr>
      </w:pPr>
    </w:p>
    <w:p w14:paraId="721C7AAA">
      <w:pPr>
        <w:spacing w:line="360" w:lineRule="auto"/>
        <w:jc w:val="center"/>
        <w:rPr>
          <w:rFonts w:hint="default" w:ascii="宋体" w:hAnsi="宋体" w:eastAsia="宋体" w:cs="宋体"/>
          <w:b/>
          <w:color w:val="auto"/>
          <w:sz w:val="32"/>
          <w:szCs w:val="28"/>
          <w:highlight w:val="none"/>
          <w:lang w:val="en-US" w:eastAsia="zh-CN"/>
        </w:rPr>
      </w:pPr>
      <w:r>
        <w:rPr>
          <w:rFonts w:hint="eastAsia" w:ascii="宋体" w:hAnsi="宋体" w:eastAsia="宋体" w:cs="宋体"/>
          <w:b/>
          <w:color w:val="auto"/>
          <w:sz w:val="32"/>
          <w:szCs w:val="28"/>
          <w:highlight w:val="none"/>
          <w:lang w:val="en-US" w:eastAsia="zh-CN"/>
        </w:rPr>
        <w:t>黄龙县人民医院提升老年病服务能力建设项目医疗设施设备（三标包：监护类医疗设施设备）</w:t>
      </w:r>
      <w:r>
        <w:rPr>
          <w:rFonts w:hint="eastAsia" w:ascii="宋体" w:hAnsi="宋体" w:cs="宋体"/>
          <w:b/>
          <w:color w:val="auto"/>
          <w:sz w:val="32"/>
          <w:szCs w:val="28"/>
          <w:highlight w:val="none"/>
          <w:lang w:val="en-US" w:eastAsia="zh-CN"/>
        </w:rPr>
        <w:t>采购清单</w:t>
      </w:r>
    </w:p>
    <w:tbl>
      <w:tblPr>
        <w:tblStyle w:val="2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6"/>
        <w:gridCol w:w="7378"/>
        <w:gridCol w:w="522"/>
        <w:gridCol w:w="918"/>
      </w:tblGrid>
      <w:tr w14:paraId="6361E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A243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设备名称</w:t>
            </w:r>
          </w:p>
        </w:tc>
        <w:tc>
          <w:tcPr>
            <w:tcW w:w="38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E5472">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详细参数</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9411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数量</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134A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备注</w:t>
            </w:r>
          </w:p>
        </w:tc>
      </w:tr>
      <w:tr w14:paraId="2D00C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3212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心电图机</w:t>
            </w:r>
          </w:p>
        </w:tc>
        <w:tc>
          <w:tcPr>
            <w:tcW w:w="38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56A9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1.导联：12导联同步采集、显示、打印。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2.增益：2.5mm/mV、5mm/mV、10mm/mV、20mm/mV、10/5mm/mV 、20/10mm/mV、 AGC。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3.滤波类型：交流滤波:50Hz/60Hz，肌电滤波：25Hz/35Hz/45Hz，漂移滤波：0.05Hz/0.1Hz/0.2Hz/0.50Hz，低通滤波：70Hz/100Hz/150Hz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4.噪声电平：≤15uVp-p</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5.频率特性：0.05Hz-150Hz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6.时间常数：≥5S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7.输入回路电流：≤50nA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8.支持中文手写输入功能。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9.共模拟制比：≥105dB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10.记录速度：5mm/s、10mm/s、12.5mm/s、25mm/s、50mm/s。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11.≥12英寸TFT液晶屏，支持触摸屏操作和按键操作。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12.全电脑式键盘设计。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13.耐极化电压：±650mV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14.具有打印预览功能，诊断报告修改功能。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15.交直流两用,内置环保耐用型锂电电池,能连续工作2小时以上。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16.支持连接USB打印机，直接打印普通A4纸。</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17.具有Wilson（标准导联）和Cabrera导联两种导联模式。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18.可存储回放8000例病人数据。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19.具有导联连接示意图,能准确判定接触不良的电极，提示各个导联脱落的信息。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20.隐藏式提手，美观大方。</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7E63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7AC5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含内网接口费用</w:t>
            </w:r>
          </w:p>
        </w:tc>
      </w:tr>
      <w:tr w14:paraId="1FC58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0" w:hRule="atLeast"/>
        </w:trPr>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1FEE5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除颤仪</w:t>
            </w:r>
          </w:p>
        </w:tc>
        <w:tc>
          <w:tcPr>
            <w:tcW w:w="38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2784D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1.具备手动除颤、心电监护、自动体外除颤（AED）功能。除颤具备自动阻抗补偿功能；可选配升级体外起搏功能，起搏分为固定和按需两种模式。具备降速起搏功能。可选配专用体内除颤附件包。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2.具有旋钮式能量选择，可快速选择12档位能量，可调节4种模式。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3.支持AED除颤功能，电击能量：100～360J。</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4.除颤充电迅速，充电至200J&lt;3s，充电至360J&lt;7s。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 同步除颤和手动除颤中，能量分25档以上，可通过体外电极板进行能量选择最小为1J，最大为360J</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6.体外除颤电极板手柄支持充电、放电、能量选择，具备充电完成指示灯。成人、小儿一体化电极板。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7.病人阻抗范围：体外除颤：20~300Ω；体内除颤：15-300Ω。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8.监护功能：可选配升级SpO2、体温、NIBP监测功能。具有≥24种心律失常分析。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9.彩色TFT显示屏≥7英寸, 分辨率800×480，最多可显示4道监护参数波形，有高对比度显示界面。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10.具备生理报警和技术报警功能，并且具有双报警灯，分别显示生理报警和技术报警。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11.标配1块电池可支持360J除颤210次以上，电池体上带有五段LED 电池电量指示装置，用于快速评估电池电量。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12.体外除颤监护仪可升级配置50mm记录仪，实时记录时间有3秒、5秒、8秒、16秒、32秒、连续可供选择。</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13.主机具备录音功能，最大支持≥240min录音存储。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14.关机状态下设备可自动运行自检，支持大能量自检（不低于200J）、屏幕、按键检测。</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7675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2BE90">
            <w:pPr>
              <w:jc w:val="center"/>
              <w:rPr>
                <w:rFonts w:hint="eastAsia" w:ascii="宋体" w:hAnsi="宋体" w:eastAsia="宋体" w:cs="宋体"/>
                <w:i w:val="0"/>
                <w:iCs w:val="0"/>
                <w:color w:val="auto"/>
                <w:sz w:val="20"/>
                <w:szCs w:val="20"/>
                <w:u w:val="none"/>
              </w:rPr>
            </w:pPr>
          </w:p>
        </w:tc>
      </w:tr>
      <w:tr w14:paraId="3D2B0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A034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输液泵</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（设备参数表一）</w:t>
            </w:r>
          </w:p>
        </w:tc>
        <w:tc>
          <w:tcPr>
            <w:tcW w:w="38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0EAF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1.支持输血、输营养功能，并提供证明文件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2.输液速度范围：（0.1-2000）ml/h, 最小步进0.01ml/h。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3.输液精度应≤±4.5%。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4.预置输液总量范围：（0.1-9999.99）ml, 最小步进0.01ml/h。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5.快进速度范围：（0.1-2000）ml/h，, 最小步进0.01ml/h。具有自动和手动快进可选。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6.KVO：（0.1-5）ml/h, 最小步进0.01ml/h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7.可自动统计五种累积量：总累积量、24h累积量、最近累积量、自定义时间段累积量、定时间隔累积量。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8.10中输液模式：速度模式、时间模式、点滴模式、体重模式、序列模式、首剂量模式、间断给药模式、梯度模式、剂量时间模式、微量模式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9.锁屏功能：自动或手动加锁功能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10.体重设置范围：（0.1-500）kg，最小步进0.1kg。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11.单个气泡检测1～8档可设置， 单个气泡灵敏度为15ul。</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12.累积气泡：0.10～4.00mL/h或0.10~1.00mL/15min，可关闭。</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13.输液泵空瓶灵敏度具有高、中，低三档可调。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14.压力报警阈值最低可设置50mmHg，16档压力阈值可调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15.阻塞自动重启：阻塞报警触发后输液将停止，在暂停状态下若阻塞压力在1分钟内降低至小于阻塞压力阀值的一半且无其它高级报警时，泵会自动重新启动输液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16.阻塞报警时产生的丸剂量应≤0.2ml，单一故障状态下最大输液量应≤0.5mL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17.输液泵支持上阻塞、下阻塞报警功能。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18.动态压力检测（DPS）：输液过程中，实时显示病人端压力变化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19.压力自动释放( Anti-Bolus)，当管路阻塞报警时，应自动回撤管路压力，避免意外丸剂量伤害患者。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20.输液泵产生的最大压力应≤1350mmHg。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21.≥3英寸显示屏，电容触摸屏.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22.具有叠机功能，无需附件可实现多泵叠加，便于转运管理。具有夜间模式，音量和液晶屏亮度自动变暗。应具有排气和快进功能。具有待机功能。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23.在线滴定功能：安全不中断输液而更改速率。</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0113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DA539">
            <w:pPr>
              <w:jc w:val="center"/>
              <w:rPr>
                <w:rFonts w:hint="eastAsia" w:ascii="宋体" w:hAnsi="宋体" w:eastAsia="宋体" w:cs="宋体"/>
                <w:i w:val="0"/>
                <w:iCs w:val="0"/>
                <w:color w:val="auto"/>
                <w:sz w:val="20"/>
                <w:szCs w:val="20"/>
                <w:u w:val="none"/>
              </w:rPr>
            </w:pPr>
          </w:p>
        </w:tc>
      </w:tr>
      <w:tr w14:paraId="518F6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E6A0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输液泵</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（设备参数续表二）</w:t>
            </w:r>
          </w:p>
        </w:tc>
        <w:tc>
          <w:tcPr>
            <w:tcW w:w="38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3364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24.支持药物库，可储存5000种药物。（需提供检验报告证明）应具有日志记录功能，可存储至少2000条。可连接扫描枪进行条码扫描。可加装无线模块，实现无线联网监测。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25.标配内置电池工作时间≥9小时（25ml/h），可选配高容量电池，电池工作时间≥13小时（25ml/h）。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26.IP33，防直径不小于2.5mm的固体异物，防淋水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27.整机重量不超过2kg</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16AA6">
            <w:pPr>
              <w:jc w:val="center"/>
              <w:rPr>
                <w:rFonts w:hint="eastAsia" w:ascii="宋体" w:hAnsi="宋体" w:eastAsia="宋体" w:cs="宋体"/>
                <w:i w:val="0"/>
                <w:iCs w:val="0"/>
                <w:color w:val="auto"/>
                <w:sz w:val="20"/>
                <w:szCs w:val="20"/>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43FE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此行为设备参数续表，不重复显示数量、单价、总价等信息</w:t>
            </w:r>
          </w:p>
        </w:tc>
      </w:tr>
      <w:tr w14:paraId="634DB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6CFF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注射泵</w:t>
            </w:r>
          </w:p>
        </w:tc>
        <w:tc>
          <w:tcPr>
            <w:tcW w:w="38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1F39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双通道参数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1.屏幕≥6寸触摸屏，全中文显示。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2.双通道注射泵，两个通道独立电源控制，方便临床使用。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3.触摸屏、按键灵敏、响应快操作简单易用，具有锁屏功能。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4.有多种数据接口，支持数据交换，可与医院HIS 连接。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5.设备运行时可在无给药中断的情况下更改注射速度。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6.IP23防水防尘。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7.可存储2100种药物。</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8.自动识别注射器：规格为5ml、10ml、20 ml、30 ml、50（60） ml</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9.多种输液模式可选：速度模式、时量模式、体重模式、间断模式、梯度模式、序列模式、微量模式、首剂量模式、TIVA模式、级联模式等。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10.速率范围：0.1-2200ml/h（最小0.01 ml/h 递增）。（提供检测报告证明材料）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11.预置量范围：0.1–9999ml（最小0.01 ml/h 递增）。</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12.注射总量显示范围：0-9999.99ml。</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13.注射精度: ≤±2%，机械精度≤±1%。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14.KVO 速度：0.1-5ml/h 可调，默认0.5ml/h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15.阻塞级别：多级可选择，动态显示管路的压力状态。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16.具有快进功能，快进速率50.ml/h—2200ml/h（根据注射器范围可调）。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17.阻塞压力范围：150 mmHg ~1000mmHg。△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18.报警功能：无操作报警、电池电量低报警、接近排空报警、压力异常、接近完成报警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、堵塞报警、完成报警、KVO完成、排空报警、针筒脱落报警等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19.再报警功能：高级、中级报警时按静音键，报警静音2分钟，2min后自动恢复报警音，2分钟内如有新报警则静音自动取消；</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20.事件记录功能：能够存储、回放超过2000个事件。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21.电池工作时间：不小于5h。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22.声音音量0-10级可调。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23.具有夜间模式：可自动降低亮度和报警音量，时间段可调。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24.产品使用寿命：8年。</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7780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E3C5D">
            <w:pPr>
              <w:jc w:val="center"/>
              <w:rPr>
                <w:rFonts w:hint="eastAsia" w:ascii="宋体" w:hAnsi="宋体" w:eastAsia="宋体" w:cs="宋体"/>
                <w:b/>
                <w:bCs/>
                <w:i w:val="0"/>
                <w:iCs w:val="0"/>
                <w:color w:val="auto"/>
                <w:sz w:val="20"/>
                <w:szCs w:val="20"/>
                <w:u w:val="none"/>
              </w:rPr>
            </w:pPr>
          </w:p>
        </w:tc>
      </w:tr>
      <w:tr w14:paraId="0A8D0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C539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高流量呼吸湿化治疗仪</w:t>
            </w:r>
          </w:p>
        </w:tc>
        <w:tc>
          <w:tcPr>
            <w:tcW w:w="38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C4A8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1.适用人群：成人、小儿。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2.≥4英寸触摸显示屏，支持触摸、飞梭双重操作，简便快捷。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3.流量设置范围不小于：2～80L/Min。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4.内置电子空氧混合系统，氧浓度设置和监测范围：21%～100%，测量精度：设定值的±3%。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5.采用高性能涡轮驱动，无需压缩空气源。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6.温度设置范围：儿童模式：34℃，成人模式：31℃-37℃（七档调节）。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7.支持血氧饱和度监测，可选Masimo、Nellcor血氧，便于评估高流量氧疗的治疗效果，方便医生实时优化治疗方案。血流灌注指数PI测量范围：0.02%-20%。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8.具有待机界面、通气界面、配置界面三种不同的显示界面。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9.具有快氧通气功能，快速提升氧浓度，提高患者氧储备，便于吸痰、纤支镜、插管等护理操作。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10.具有计时功能。具有过滤棉更换提示和更换过滤棉剩余时间显示功能。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11.可选配辅助流量计，辅助氧流量输出范围：0～30L/Min；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12.可选配内置锂离子电池，满足转运供电需求。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13.可存储不少于150小时趋势图/趋势表数据回顾，2000条日志记录信息。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14.可配轻质、紧凑的医用推车，便于院内转运。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15.产品使用寿命不少于10年。</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74D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C85F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各配套2套管路</w:t>
            </w:r>
          </w:p>
        </w:tc>
      </w:tr>
      <w:tr w14:paraId="3D01A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3803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监护仪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（设备参数表一）</w:t>
            </w:r>
          </w:p>
        </w:tc>
        <w:tc>
          <w:tcPr>
            <w:tcW w:w="38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DC29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1.产品适用于手术室、ICU、CCU病房监护及床边监护的插件式监护仪，通过国家III类注册，主机内置≥2槽位插件槽。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2.≥10英寸彩色液晶电容触摸屏分辨率为1280×800），≥12通道波形显示。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3.具有光传感器，根据环境光自动调节屏幕亮度功能。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4.支持中文手写、拼音、英文3种输入法。（提供产品注册检测报告文件证明）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5.具有单独的电池仓，免螺丝刀拆卸更换电池。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6.可监测心电、血氧、脉博、无创血压、双有创、呼吸、体温等基础参数，可升级Masimo/Nellcor SPO2、顺泰血压、IBP、ETCO2、C.O.、AG、ICG、麻醉深度、氧浓度、窒息唤醒等参数模块。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7.标配3/5导心电，支持升级6/12导心电，具有智能导联脱落，多导同步分析功能；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8.具有强大的心电抗干扰能力，耐极化电压：±850mV，系统噪声≤25μv；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9.心电模式具有诊断、手术、监护、ST模式，其中手术、监护、ST模式共模抑制能力&gt;106db；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10.支持升级Glasgow12导静息心电分析，适用于成人、小儿和新生儿；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11.具备心拍类型识别功能，可区分正常心拍、异常心拍、起搏心拍；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12.≥25种心律失常分析，包括房颤、室颤、停搏等；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13.具有ST段分析和ST View功能，可实时监测ST段，评估心肌缺血，测量范围-2.5mV-+2.5mV;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14.具有QT/QTc测量功能，提供QT、QTc参数值，测量范围：200ms-800ms；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15.具有心率变异性分析功能，可测量RR间期的均值、全部窦性心博RR间期的标准差、全部相邻RR间期长度之差的均方根等，反映心脏自主神经系统情况；</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16.血氧测量范围为0%-100%；在70%-100%范围内，成人/儿童测量精度为±2%（非运动状态下），新生儿为±3%（非运动状态）；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17.支持升级Masimo血氧，可显示弱灌注指数（PI），PI弱灌注指数范围：0.02-20%；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18.无创血压测量范围：成人：收缩压25mmHg-290mmHg，舒张压10mmHg-250mmHg，平均压15mmHg-260mmHg；小儿：收缩压25mmHg-240mmHg，舒张压15mmHg-200mmHg，平均压15mmHg-215mmHg；新生儿：收缩压25mmHg-140mmHg，舒张压10 mmHg-115mmHg，平均压15mmHg-125mmHg；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19.血压测量模式：手动、自动、序列、整点和连续测量；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20.具有动态血压监测界面，分析界面下查看病人测量时间段的收缩压和舒张压的正常数据、低于正常数据以及高于正常数据的百分率，同时还可以看到收缩压和舒张压的平均值、最大值和最小值；</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21.体温：具有双通道体温监测，应支持CY和YSI两种体温探头类型；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22.软件功能：具有多种界面显示标准、大字体、动态趋势、呼吸氧合、它床观察、ECG全屏、ECG半屏、ECG12导、麻醉深度、PAWP、EWS、单血氧、CCHD界面（选配）等；</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222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D95A8">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带双有创</w:t>
            </w:r>
          </w:p>
        </w:tc>
      </w:tr>
      <w:tr w14:paraId="2DDE6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4DD7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监护仪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（设备参数续表二）</w:t>
            </w:r>
          </w:p>
        </w:tc>
        <w:tc>
          <w:tcPr>
            <w:tcW w:w="38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6FFA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23.用户可自定义调节界面布局波形和参数功能；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24.支持计时器功能，可以同时显示最多4个计时器，可以分别对每个计时器进行设置，计时器在设定的时间到达后会进行提示。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25.计算功能：具有药物计算、肾功能计算、氧合计算、通气计算、血流动力学计算和滴定表功能；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26.可支持≥200小时趋势图/表、≥3000组NIBP列表、≥2000组报警事件、≥45小时全息波形、≥45小时心律失常数据的存储和回顾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27.具备24小时心电概览报告，可查看心率统计、心律失常统计、QT/QTc统计、ST段统计、起搏统计等信息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28.临床辅助决策功能：SepsisSight脓毒症筛查、GCS格拉斯哥昏迷评分、EWS早期预警评分、CCHD筛查等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29.呼末二氧化碳测量方式：旁流式或主流式，适用于成人到新生儿全年龄段病人；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30.CO2测量范围：0-150mmHg，awRR范围：0-150rpm；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31.旁流采样率：≤50ml/min（微流）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32.旁流二氧化碳监测无需积水杯，采用自动排水管，减少感染风险；</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33.有创血压支持6通道有创血压测量，各通道具有压力校零功能；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34.可测量压力：ART、PA、CVP、RAP、LAP、ICP、LV、AO、UAP、BAP、FAP、UVP、IAP、CPP、自定义P1-P4等；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35.具有PPV、SPV测量功能，支持肺动脉楔压PAWP测量；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36.麻醉气体监测可监测CO2/O2/N2O/安氟醚（ENF）/异氟醚（Iso）/七氟醚（Sev）/氟烷(Hal)/地氟醚(DES) 八种气体；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37.自动识别麻醉气体，预热时间短，使用寿命长，提供MAC值（最低肺泡浓度）；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38.无创心输出量ICG：德国Medis无创血流动力学监测，采用阻抗心电描记术，实现了无创血流动力学监测；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39.有创心输出量C.O.采用金标准热稀释法测量，使用Swan-Ganz漂浮导管附件测量；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40.通过血液动力学计算可获得参数：C.I.、BAS、SV、SI、SVR、SVRI、PVR、PVRI、LCW、LCWI、LVSW、LVSWI、RCW、RCWI、RVSW、RVSWI、EF；</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64A71">
            <w:pPr>
              <w:jc w:val="center"/>
              <w:rPr>
                <w:rFonts w:hint="eastAsia" w:ascii="宋体" w:hAnsi="宋体" w:eastAsia="宋体" w:cs="宋体"/>
                <w:i w:val="0"/>
                <w:iCs w:val="0"/>
                <w:color w:val="auto"/>
                <w:sz w:val="20"/>
                <w:szCs w:val="20"/>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603A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此行为设备参数续表，不重复显示数量、单价、总价等信息</w:t>
            </w:r>
          </w:p>
        </w:tc>
      </w:tr>
      <w:tr w14:paraId="746BB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E1EB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监护仪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（设备参数表一）</w:t>
            </w:r>
          </w:p>
        </w:tc>
        <w:tc>
          <w:tcPr>
            <w:tcW w:w="38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6CC6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1.产品适用于手术室、ICU、CCU病房监护及床边监护的插件式监护仪，通过国家III类注册，主机内置≥2槽位插件槽。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2.≥10英寸彩色液晶电容触摸屏分辨率为1280×800），≥12通道波形显示。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3.具有光传感器，根据环境光自动调节屏幕亮度功能。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4.支持中文手写、拼音、英文3种输入法。（提供产品注册检测报告文件证明）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5.具有单独的电池仓，免螺丝刀拆卸更换电池。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6.可监测心电、血氧、脉博、无创血压、呼吸、体温等基础参数，可升级Masimo/Nellcor SPO2、顺泰血压、IBP、ETCO2、C.O.、AG、ICG、麻醉深度、氧浓度、窒息唤醒等参数模块。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7.标配3/5导心电，支持升级6/12导心电，具有智能导联脱落，多导同步分析功能；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8.具有强大的心电抗干扰能力，耐极化电压：±850mV，系统噪声≤25μv；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9.心电模式具有诊断、手术、监护、ST模式，其中手术、监护、ST模式共模抑制能力&gt;106db；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10.支持升级Glasgow12导静息心电分析，适用于成人、小儿和新生儿；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11.具备心拍类型识别功能，可区分正常心拍、异常心拍、起搏心拍；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12.≥25种心律失常分析，包括房颤、室颤、停搏等；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13.具有ST段分析和ST View功能，可实时监测ST段，评估心肌缺血，测量范围-2.5mV-+2.5mV;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14.具有QT/QTc测量功能，提供QT、QTc参数值，测量范围：200ms-800ms；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15.具有心率变异性分析功能，可测量RR间期的均值、全部窦性心博RR间期的标准差、全部相邻RR间期长度之差的均方根等，反映心脏自主神经系统情况；</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16.血氧测量范围为0%-100%；在70%-100%范围内，成人/儿童测量精度为±2%（非运动状态下），新生儿为±3%（非运动状态）；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17.支持升级Masimo血氧，可显示弱灌注指数（PI），PI弱灌注指数范围：0.02-20%；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18.无创血压测量范围：成人：收缩压25mmHg-290mmHg，舒张压10mmHg-250mmHg，平均压15mmHg-260mmHg；小儿：收缩压25mmHg-240mmHg，舒张压15mmHg-200mmHg，平均压15mmHg-215mmHg；新生儿：收缩压25mmHg-140mmHg，舒张压10 mmHg-115mmHg，平均压15mmHg-125mmHg；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19.血压测量模式：手动、自动、序列、整点和连续测量；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20.具有动态血压监测界面，分析界面下查看病人测量时间段的收缩压和舒张压的正常数据、低于正常数据以及高于正常数据的百分率，同时还可以看到收缩压和舒张压的平均值、最大值和最小值；</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21.体温：具有双通道体温监测，应支持CY和YSI两种体温探头类型；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22.软件功能：具有多种界面显示标准、大字体、动态趋势、呼吸氧合、它床观察、ECG全屏、ECG半屏、ECG12导、麻醉深度、PAWP、EWS、单血氧、CCHD界面（选配）等；</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088B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05A26">
            <w:pPr>
              <w:jc w:val="center"/>
              <w:rPr>
                <w:rFonts w:hint="eastAsia" w:ascii="宋体" w:hAnsi="宋体" w:eastAsia="宋体" w:cs="宋体"/>
                <w:i w:val="0"/>
                <w:iCs w:val="0"/>
                <w:color w:val="auto"/>
                <w:sz w:val="20"/>
                <w:szCs w:val="20"/>
                <w:u w:val="none"/>
              </w:rPr>
            </w:pPr>
          </w:p>
        </w:tc>
      </w:tr>
      <w:tr w14:paraId="70F83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CA80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监护仪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（设备参数续表二）</w:t>
            </w:r>
          </w:p>
        </w:tc>
        <w:tc>
          <w:tcPr>
            <w:tcW w:w="38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5E97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23.用户可自定义调节界面布局波形和参数功能；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24.支持计时器功能，可以同时显示最多4个计时器，可以分别对每个计时器进行设置，计时器在设定的时间到达后会进行提示。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25.计算功能：具有药物计算、肾功能计算、氧合计算、通气计算、血流动力学计算和滴定表功能；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26.可支持≥200小时趋势图/表、≥3000组NIBP列表、≥2000组报警事件、≥45小时全息波形、≥45小时心律失常数据的存储和回顾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27.具备24小时心电概览报告，可查看心率统计、心律失常统计、QT/QTc统计、ST段统计、起搏统计等信息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28.临床辅助决策功能：SepsisSight脓毒症筛查、GCS格拉斯哥昏迷评分、EWS早期预警评分、CCHD筛查等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29.呼末二氧化碳测量方式：旁流式或主流式，适用于成人到新生儿全年龄段病人；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30.CO2测量范围：0-150mmHg，awRR范围：0-150rpm；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31.旁流采样率：≤50ml/min（微流）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32.旁流二氧化碳监测无需积水杯，采用自动排水管，减少感染风险；</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33.有创血压支持6通道有创血压测量，各通道具有压力校零功能；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34.可测量压力：ART、PA、CVP、RAP、LAP、ICP、LV、AO、UAP、BAP、FAP、UVP、IAP、CPP、自定义P1-P4等；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35.具有PPV、SPV测量功能，支持肺动脉楔压PAWP测量；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36.麻醉气体监测可监测CO2/O2/N2O/安氟醚（ENF）/异氟醚（Iso）/七氟醚（Sev）/氟烷(Hal)/地氟醚(DES) 八种气体；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37.自动识别麻醉气体，预热时间短，使用寿命长，提供MAC值（最低肺泡浓度）；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38.无创心输出量ICG：德国Medis无创血流动力学监测，采用阻抗心电描记术，实现了无创血流动力学监测；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39.有创心输出量C.O.采用金标准热稀释法测量，使用Swan-Ganz漂浮导管附件测量；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40.通过血液动力学计算可获得参数：C.I.、BAS、SV、SI、SVR、SVRI、PVR、PVRI、LCW、LCWI、LVSW、LVSWI、RCW、RCWI、RVSW、RVSWI、EF；</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7DD2C">
            <w:pPr>
              <w:jc w:val="center"/>
              <w:rPr>
                <w:rFonts w:hint="eastAsia" w:ascii="宋体" w:hAnsi="宋体" w:eastAsia="宋体" w:cs="宋体"/>
                <w:i w:val="0"/>
                <w:iCs w:val="0"/>
                <w:color w:val="auto"/>
                <w:sz w:val="20"/>
                <w:szCs w:val="20"/>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8998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此行为设备参数续表，不重复显示数量、单价、总价等信息</w:t>
            </w:r>
          </w:p>
        </w:tc>
      </w:tr>
      <w:tr w14:paraId="17157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61D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中央监护系统</w:t>
            </w:r>
          </w:p>
        </w:tc>
        <w:tc>
          <w:tcPr>
            <w:tcW w:w="38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561C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中央监护系统可支持包括：心电（ECG），呼吸（RESP），无创血压（NIBP）,血氧(SPO2),脉率(PR)，体温(TEMP)，有创血压(IBP)，呼末二氧化碳（ETCO2），麻醉气体（AG）,无创心排（ICG），有创心输出量（C.O.），麻醉深度（BIS）、胎心率（FHR）、胎动（FM）、宫缩压（TOCO）等参数的显示和数据存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2.具有混合联网功能，支持同时连接病人监护仪、遥测监护仪、胎儿监护仪。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3.多屏显示：单屏、双屏可选，最多可支持四屏显示。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4.一套中央监护系统最多可同时连接128床，满足科室不同病床数量的集中监护需要。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5.中央监护系统与床旁机双向遥控，可实现病人信息、血压参数、心电参数以及参数报警范围等设置的双向控制，使操作更省时、更有效、更方便。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6.可显示床旁机的所有报警功能，并可根据报警优先级进行提示。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7.具有病人管理功能，支持查询、编辑、删除操作。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8.支持多条件查询，可通过病历号、病人姓名等信息进行查询。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9.支持病人数据回顾，包括：所有病人、病人信息、波形回顾、报警回顾、趋势回顾、C.O.回顾，支持数据的导入、导出。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10.海量数据存储，支持20,000 个历史病人监护数据的存储与回顾。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11.具有五种计算功能：药物计算、血液动力学计算、通气计算、氧合计算、肾功能计算。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12.使用权限管理，数据的导入导出、报警静音设置、用户设置、系统修改设置等敏感问题需得到密码授权才能操作，充分保证数据安全。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13.支持HL7协议，支持连接医院HIS等临床系统。</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F9A2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BBFC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无线单屏</w:t>
            </w:r>
          </w:p>
        </w:tc>
      </w:tr>
      <w:tr w14:paraId="52D81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ECD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排痰仪</w:t>
            </w:r>
          </w:p>
        </w:tc>
        <w:tc>
          <w:tcPr>
            <w:tcW w:w="38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5335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1.整机外观轻便小巧，主机重量≤10kg，标配移动台车。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2.屏幕尺寸≥7英寸TFT屏，电容触摸屏技术，分辨率：800×480,屏幕亮度1-8级可调。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3.设备启动治疗后，屏幕有锁屏功能，防止误操作。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4.传动软轴的长度1.8m±0.2m，传动软轴可围绕传动动力头手柄进行360°自由转动，可快速拆卸。</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5.具有治疗频率实时数值和波形显示功能。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6.治疗模式：手动模式、自动模式（4种）和自定义模式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7.用户界面有两种显示，具有标准界面（应能同时显示两个病人的治疗参数，可显示治疗模式、治疗时间、治疗频率）、大字体界面（可通过屏幕上的按键切换病人通道）。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8.手动模式、自定义模式下，叩击排痰治疗频率可设置。成人：10～60Hz，调节步长为1Hz，误差不超过±10%或±2Hz，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9.具有定时设置功能，未启动治疗时可显示设置治疗时间，启动治疗后可显示剩余治疗时间。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10.具有振动叩击排痰功能，支持双人通道使用，配备2路C型（成人）动力装置，可选配雾化功能，雾化速率≥0.18mL/min，气体流量≥9L/min，等效体积粒径分布在1.0μm -5.0μm范围内的比例≥70%，中位粒径为3.5μm±25％。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11.C型（成人）叩击头，径向振幅6mm，误差不超过±15％。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12.配置叩击头尺寸-C型有5种。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13.叩击排痰治疗时间应可设置：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手动模式（治疗时间设置范围为1min-99min，步长1min），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自动模式（治疗时间设置时间为5min-20min，步长为5min），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自定义模式（总治疗时间设置范围为5min～20min，步长为5min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14.工作噪音低，叩击排痰正常工作：≤65dB(A)，雾化功能≤65dB(A)。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15.具有电源开关之外的功能开关（启动/暂停按键），可随时中止治疗程序。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16.具有故障提示功能。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17.音量1-8级可调。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18.机器使用寿命10年。</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30F2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56FB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叩击式</w:t>
            </w:r>
          </w:p>
        </w:tc>
      </w:tr>
      <w:tr w14:paraId="13123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9559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全自动电子血压计</w:t>
            </w:r>
          </w:p>
        </w:tc>
        <w:tc>
          <w:tcPr>
            <w:tcW w:w="38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081BC">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   测量原理​      示波法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显示屏​  7英寸彩色LCD</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测量位置​      左右臂均可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   适应臂周范围      17～42cm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   测量范围​      血压量程：0～299mmHg； 脉博数：40～180次/分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   手臂伸入检测功能  手臂伸入臂筒时，感知测量开始，启动语音及画面的引导</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  测量精度。压力显示精度：  ±3mmHg（±0.4KPa）；脉搏测量精度：  ±2%或±2次/分（取最大者）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8肘部位置传感器   电子肘部位置传感器’, 动态画面提示用户采用正确测量姿态自动上下浮动式臂筒（臂筒可根据测量者的坐姿高度自动上下调节≥10度）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  连续测量功能   可以显示并打印连续2次或3次的单次测量值及平均值</w:t>
            </w:r>
          </w:p>
          <w:p w14:paraId="5F5DD3E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 超压保护         压力超过300mmHg时,急速排气保护。急速排气时间不大于10秒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 二维码打印​    测量结果可以二维码形式打印出来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 打印装置       热敏式打印机、多种打印模式可选并打印显示干扰波形图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13二维码打印​    测量结果可以二维码形式打印出来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 ID功能​   可连接扫描枪或身份证读卡器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 抗菌设计对应    外壳：抗菌树脂  袖带：抗菌布套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  臂筒组件交换功能 臂筒可自主拆卸更换，并具备自检自校功能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17 语音功能        测量全程语音提示，测量结束播报测量结果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19 通信数据输出  同时具备USB、蓝牙、WIFI、有线LAN四种输出方式</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A6D9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FD711">
            <w:pPr>
              <w:jc w:val="center"/>
              <w:rPr>
                <w:rFonts w:hint="eastAsia" w:ascii="宋体" w:hAnsi="宋体" w:eastAsia="宋体" w:cs="宋体"/>
                <w:i w:val="0"/>
                <w:iCs w:val="0"/>
                <w:color w:val="auto"/>
                <w:sz w:val="20"/>
                <w:szCs w:val="20"/>
                <w:u w:val="none"/>
              </w:rPr>
            </w:pPr>
          </w:p>
        </w:tc>
      </w:tr>
      <w:tr w14:paraId="1D6D2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03E3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查房机</w:t>
            </w:r>
          </w:p>
        </w:tc>
        <w:tc>
          <w:tcPr>
            <w:tcW w:w="38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B1CD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1.1适合成人、小儿、新生儿全年龄段患者生命体征监测，支持点测或连续监测模式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1.210.1英寸TFT彩色触摸显示屏，1280×800分辨率；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1.3支持监测无创血压、血氧、脉搏、体温等参数，支持多达30个可定制的手动输入参数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1.4无创血压支持充气测量，15秒即可出值，支持血压平均值测量与直立性血压测量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1.5血氧测量支持两种配置，显示PI血流灌注指数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1.6支持自定义工作模式，应用科室、界面布局与参数设置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1.7内置可充电锂电池，无需工具快速拆装，最高可支持不少于8小时供电，支持关机延迟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1.8可选内置热敏双通道记录仪，支持多种记录类型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1.9支持一维和二维扫描枪，通过USB 接口与监测仪相连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1.10具有EWS早期预警评分与图形化疼痛评分模板，同时支持自定义评分方法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1.11最多支持200个事件回顾，点测模式最多支持5000组数据回顾，连续监测模式最多支持240小时数据回顾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1.12可通过有线网络和无线网络无缝集成医院信息系统，通过HL7连接医院EMR系统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1.13能够与中央监护站集成，同时查看连续监测与点测数据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1.14支持设备在线维护，直观查看设备利用情况，最大限度地提高设备利用率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1.16主机外壳采用无缝设计与优质选材，IPX2级防水，支持多达51种清洁消毒剂，易于清洁消毒 </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22D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587BA">
            <w:pPr>
              <w:jc w:val="center"/>
              <w:rPr>
                <w:rFonts w:hint="eastAsia" w:ascii="宋体" w:hAnsi="宋体" w:eastAsia="宋体" w:cs="宋体"/>
                <w:i w:val="0"/>
                <w:iCs w:val="0"/>
                <w:color w:val="auto"/>
                <w:sz w:val="20"/>
                <w:szCs w:val="20"/>
                <w:u w:val="none"/>
              </w:rPr>
            </w:pPr>
          </w:p>
        </w:tc>
      </w:tr>
    </w:tbl>
    <w:p w14:paraId="5C9F0124">
      <w:pPr>
        <w:keepNext w:val="0"/>
        <w:keepLines w:val="0"/>
        <w:pageBreakBefore w:val="0"/>
        <w:widowControl/>
        <w:tabs>
          <w:tab w:val="left" w:pos="283"/>
        </w:tabs>
        <w:kinsoku/>
        <w:wordWrap/>
        <w:overflowPunct/>
        <w:topLinePunct w:val="0"/>
        <w:autoSpaceDE/>
        <w:autoSpaceDN/>
        <w:bidi w:val="0"/>
        <w:adjustRightInd/>
        <w:snapToGrid/>
        <w:spacing w:line="520" w:lineRule="exact"/>
        <w:ind w:right="17"/>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注：医疗器械产品需提供医疗器械注册证。</w:t>
      </w:r>
    </w:p>
    <w:p w14:paraId="61F5D83F">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rPr>
        <w:t>要求</w:t>
      </w:r>
    </w:p>
    <w:p w14:paraId="5229EE1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1、交货期：自合同签订之日起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日历天。</w:t>
      </w:r>
    </w:p>
    <w:p w14:paraId="79AE799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2、交货地点：采购人指定地点</w:t>
      </w:r>
    </w:p>
    <w:p w14:paraId="36151D1C">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、质量标准：</w:t>
      </w:r>
      <w:r>
        <w:rPr>
          <w:rFonts w:hint="eastAsia" w:ascii="宋体" w:hAnsi="宋体" w:eastAsia="宋体" w:cs="宋体"/>
          <w:color w:val="auto"/>
          <w:sz w:val="24"/>
          <w:szCs w:val="24"/>
          <w:highlight w:val="none"/>
          <w:lang w:val="en-US" w:eastAsia="zh-CN"/>
        </w:rPr>
        <w:t>合格，且符合国家及行业相关标准。</w:t>
      </w:r>
    </w:p>
    <w:p w14:paraId="455BB9A6">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4、质保期：1年。</w:t>
      </w:r>
    </w:p>
    <w:p w14:paraId="289B96C1">
      <w:pPr>
        <w:spacing w:line="360" w:lineRule="auto"/>
        <w:rPr>
          <w:rFonts w:hint="eastAsia" w:ascii="宋体" w:hAnsi="宋体" w:eastAsia="宋体" w:cs="宋体"/>
          <w:color w:val="auto"/>
          <w:sz w:val="24"/>
          <w:szCs w:val="24"/>
          <w:highlight w:val="none"/>
          <w:lang w:val="en-US" w:eastAsia="zh-CN"/>
        </w:rPr>
      </w:pPr>
    </w:p>
    <w:p w14:paraId="6137F3B1">
      <w:pPr>
        <w:pStyle w:val="7"/>
        <w:ind w:left="0" w:leftChars="0" w:firstLine="0" w:firstLineChars="0"/>
        <w:rPr>
          <w:rFonts w:hint="eastAsia" w:ascii="宋体" w:hAnsi="宋体" w:eastAsia="宋体" w:cs="宋体"/>
          <w:color w:val="auto"/>
          <w:highlight w:val="none"/>
          <w:lang w:val="en-US" w:eastAsia="zh-CN"/>
        </w:rPr>
      </w:pPr>
    </w:p>
    <w:p w14:paraId="69BD4F14">
      <w:pPr>
        <w:pStyle w:val="7"/>
        <w:ind w:left="0" w:leftChars="0" w:firstLine="0" w:firstLineChars="0"/>
        <w:rPr>
          <w:rFonts w:hint="eastAsia" w:ascii="宋体" w:hAnsi="宋体" w:eastAsia="宋体" w:cs="宋体"/>
          <w:color w:val="auto"/>
          <w:highlight w:val="none"/>
          <w:lang w:val="en-US" w:eastAsia="zh-CN"/>
        </w:rPr>
      </w:pPr>
    </w:p>
    <w:p w14:paraId="3472254D">
      <w:pPr>
        <w:spacing w:line="200" w:lineRule="exact"/>
        <w:rPr>
          <w:rFonts w:hint="eastAsia" w:ascii="宋体" w:hAnsi="宋体" w:eastAsia="宋体" w:cs="宋体"/>
          <w:color w:val="auto"/>
          <w:sz w:val="20"/>
          <w:szCs w:val="20"/>
          <w:highlight w:val="none"/>
        </w:rPr>
      </w:pPr>
    </w:p>
    <w:p w14:paraId="5EDDD579">
      <w:pPr>
        <w:spacing w:line="460" w:lineRule="exact"/>
        <w:rPr>
          <w:rFonts w:hint="eastAsia" w:ascii="宋体" w:hAnsi="宋体" w:eastAsia="宋体" w:cs="宋体"/>
          <w:color w:val="auto"/>
          <w:sz w:val="32"/>
          <w:szCs w:val="32"/>
          <w:highlight w:val="none"/>
        </w:rPr>
        <w:sectPr>
          <w:pgSz w:w="11900" w:h="16838"/>
          <w:pgMar w:top="1440" w:right="1046" w:bottom="430" w:left="1440" w:header="0" w:footer="1304" w:gutter="0"/>
          <w:pgBorders>
            <w:top w:val="none" w:sz="0" w:space="0"/>
            <w:left w:val="none" w:sz="0" w:space="0"/>
            <w:bottom w:val="none" w:sz="0" w:space="0"/>
            <w:right w:val="none" w:sz="0" w:space="0"/>
          </w:pgBorders>
          <w:pgNumType w:fmt="decimal"/>
          <w:cols w:equalWidth="0" w:num="1">
            <w:col w:w="9420"/>
          </w:cols>
        </w:sectPr>
      </w:pPr>
    </w:p>
    <w:p w14:paraId="4625D645">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0"/>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第四部分</w:t>
      </w:r>
      <w:r>
        <w:rPr>
          <w:rFonts w:hint="eastAsia" w:ascii="宋体" w:hAnsi="宋体" w:eastAsia="宋体" w:cs="宋体"/>
          <w:color w:val="auto"/>
          <w:highlight w:val="none"/>
        </w:rPr>
        <w:t xml:space="preserve">  </w:t>
      </w:r>
      <w:r>
        <w:rPr>
          <w:rFonts w:hint="eastAsia" w:ascii="宋体" w:hAnsi="宋体" w:eastAsia="宋体" w:cs="宋体"/>
          <w:b/>
          <w:color w:val="auto"/>
          <w:sz w:val="32"/>
          <w:szCs w:val="32"/>
          <w:highlight w:val="none"/>
        </w:rPr>
        <w:t>采购合同</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仅供参考</w:t>
      </w:r>
      <w:r>
        <w:rPr>
          <w:rFonts w:hint="eastAsia" w:ascii="宋体" w:hAnsi="宋体" w:eastAsia="宋体" w:cs="宋体"/>
          <w:b/>
          <w:color w:val="auto"/>
          <w:sz w:val="32"/>
          <w:szCs w:val="32"/>
          <w:highlight w:val="none"/>
          <w:lang w:eastAsia="zh-CN"/>
        </w:rPr>
        <w:t>）</w:t>
      </w:r>
      <w:bookmarkEnd w:id="9"/>
    </w:p>
    <w:p w14:paraId="4160B4E6">
      <w:pPr>
        <w:spacing w:line="360" w:lineRule="auto"/>
        <w:outlineLvl w:val="0"/>
        <w:rPr>
          <w:rFonts w:hint="eastAsia" w:ascii="宋体" w:hAnsi="宋体" w:eastAsia="宋体" w:cs="宋体"/>
          <w:b/>
          <w:color w:val="auto"/>
          <w:sz w:val="32"/>
          <w:szCs w:val="32"/>
          <w:highlight w:val="none"/>
        </w:rPr>
      </w:pPr>
    </w:p>
    <w:p w14:paraId="0A5665E6">
      <w:pPr>
        <w:widowControl/>
        <w:adjustRightInd w:val="0"/>
        <w:snapToGrid w:val="0"/>
        <w:spacing w:line="320" w:lineRule="exact"/>
        <w:ind w:firstLine="480" w:firstLineChars="200"/>
        <w:jc w:val="left"/>
        <w:rPr>
          <w:rFonts w:hint="eastAsia" w:ascii="宋体" w:hAnsi="宋体" w:eastAsia="宋体" w:cs="宋体"/>
          <w:color w:val="auto"/>
          <w:spacing w:val="-6"/>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pacing w:val="-6"/>
          <w:sz w:val="24"/>
          <w:highlight w:val="none"/>
          <w:u w:val="single"/>
        </w:rPr>
        <w:t xml:space="preserve">                             </w:t>
      </w:r>
    </w:p>
    <w:p w14:paraId="20CC561E">
      <w:pPr>
        <w:widowControl/>
        <w:adjustRightInd w:val="0"/>
        <w:snapToGrid w:val="0"/>
        <w:spacing w:line="320" w:lineRule="exact"/>
        <w:ind w:firstLine="480" w:firstLineChars="200"/>
        <w:jc w:val="left"/>
        <w:rPr>
          <w:rFonts w:hint="eastAsia" w:ascii="宋体" w:hAnsi="宋体" w:eastAsia="宋体" w:cs="宋体"/>
          <w:color w:val="auto"/>
          <w:sz w:val="24"/>
          <w:highlight w:val="none"/>
        </w:rPr>
      </w:pPr>
    </w:p>
    <w:p w14:paraId="1E55A9E1">
      <w:pPr>
        <w:widowControl/>
        <w:adjustRightInd w:val="0"/>
        <w:snapToGrid w:val="0"/>
        <w:spacing w:line="320" w:lineRule="exact"/>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4CE6A0E6">
      <w:pPr>
        <w:numPr>
          <w:ilvl w:val="0"/>
          <w:numId w:val="8"/>
        </w:num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根据《中华人民国共和国政府采购法》、《</w:t>
      </w:r>
      <w:r>
        <w:rPr>
          <w:rFonts w:hint="eastAsia" w:ascii="宋体" w:hAnsi="宋体" w:eastAsia="宋体" w:cs="宋体"/>
          <w:color w:val="auto"/>
          <w:sz w:val="24"/>
          <w:highlight w:val="none"/>
          <w:lang w:val="en-US" w:eastAsia="zh-CN"/>
        </w:rPr>
        <w:t>中华人民共和国民法典</w:t>
      </w:r>
      <w:r>
        <w:rPr>
          <w:rFonts w:hint="eastAsia" w:ascii="宋体" w:hAnsi="宋体" w:eastAsia="宋体" w:cs="宋体"/>
          <w:color w:val="auto"/>
          <w:sz w:val="24"/>
          <w:highlight w:val="none"/>
        </w:rPr>
        <w:t>》的相关规定，经甲乙双方协商，就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pacing w:val="-6"/>
          <w:sz w:val="24"/>
          <w:highlight w:val="none"/>
        </w:rPr>
        <w:t>（项目名称）</w:t>
      </w:r>
      <w:r>
        <w:rPr>
          <w:rFonts w:hint="eastAsia" w:ascii="宋体" w:hAnsi="宋体" w:eastAsia="宋体" w:cs="宋体"/>
          <w:color w:val="auto"/>
          <w:sz w:val="24"/>
          <w:highlight w:val="none"/>
        </w:rPr>
        <w:t>达成协议如下：</w:t>
      </w:r>
    </w:p>
    <w:p w14:paraId="5CAE0945">
      <w:pPr>
        <w:spacing w:line="5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1、合同概况：</w:t>
      </w:r>
    </w:p>
    <w:p w14:paraId="18143DD9">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1.1合同项目名称：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7DB7983">
      <w:pPr>
        <w:spacing w:line="500" w:lineRule="exact"/>
        <w:ind w:left="240" w:hanging="240" w:hangingChars="1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1.2合同总价款：</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7682014">
      <w:pPr>
        <w:spacing w:line="5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2、供货内容及交货地点：</w:t>
      </w:r>
    </w:p>
    <w:p w14:paraId="19D3D256">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2.1供货内容：</w:t>
      </w:r>
      <w:r>
        <w:rPr>
          <w:rFonts w:hint="eastAsia" w:ascii="宋体" w:hAnsi="宋体" w:eastAsia="宋体" w:cs="宋体"/>
          <w:color w:val="auto"/>
          <w:spacing w:val="-6"/>
          <w:sz w:val="24"/>
          <w:highlight w:val="none"/>
          <w:u w:val="single"/>
        </w:rPr>
        <w:t xml:space="preserve">              </w:t>
      </w:r>
    </w:p>
    <w:p w14:paraId="76205F07">
      <w:pPr>
        <w:spacing w:line="50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2.2供货地点：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p w14:paraId="3A5090E9">
      <w:pPr>
        <w:spacing w:line="500" w:lineRule="exact"/>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 xml:space="preserve">    3、</w:t>
      </w:r>
      <w:r>
        <w:rPr>
          <w:rFonts w:hint="eastAsia" w:ascii="宋体" w:hAnsi="宋体" w:eastAsia="宋体" w:cs="宋体"/>
          <w:b/>
          <w:color w:val="auto"/>
          <w:sz w:val="24"/>
          <w:highlight w:val="none"/>
          <w:lang w:val="en-US" w:eastAsia="zh-CN"/>
        </w:rPr>
        <w:t>交货</w:t>
      </w:r>
      <w:r>
        <w:rPr>
          <w:rFonts w:hint="eastAsia" w:ascii="宋体" w:hAnsi="宋体" w:eastAsia="宋体" w:cs="宋体"/>
          <w:b/>
          <w:color w:val="auto"/>
          <w:sz w:val="24"/>
          <w:highlight w:val="none"/>
        </w:rPr>
        <w:t>期</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质保期、质量标准</w:t>
      </w:r>
    </w:p>
    <w:p w14:paraId="78C8FD7A">
      <w:pPr>
        <w:spacing w:line="360" w:lineRule="auto"/>
        <w:ind w:firstLine="480" w:firstLineChars="200"/>
        <w:rPr>
          <w:rFonts w:hint="eastAsia" w:ascii="宋体" w:hAnsi="宋体" w:eastAsia="宋体" w:cs="宋体"/>
          <w:color w:val="auto"/>
          <w:sz w:val="24"/>
          <w:highlight w:val="none"/>
        </w:rPr>
      </w:pPr>
      <w:bookmarkStart w:id="10" w:name="OLE_LINK6"/>
      <w:r>
        <w:rPr>
          <w:rFonts w:hint="eastAsia" w:ascii="宋体" w:hAnsi="宋体" w:eastAsia="宋体" w:cs="宋体"/>
          <w:color w:val="auto"/>
          <w:sz w:val="24"/>
          <w:highlight w:val="none"/>
          <w:lang w:val="en-US" w:eastAsia="zh-CN"/>
        </w:rPr>
        <w:t>交货</w:t>
      </w:r>
      <w:r>
        <w:rPr>
          <w:rFonts w:hint="eastAsia" w:ascii="宋体" w:hAnsi="宋体" w:eastAsia="宋体" w:cs="宋体"/>
          <w:color w:val="auto"/>
          <w:sz w:val="24"/>
          <w:highlight w:val="none"/>
        </w:rPr>
        <w:t>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bookmarkEnd w:id="10"/>
    <w:p w14:paraId="75F657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质保</w:t>
      </w:r>
      <w:r>
        <w:rPr>
          <w:rFonts w:hint="eastAsia" w:ascii="宋体" w:hAnsi="宋体" w:eastAsia="宋体" w:cs="宋体"/>
          <w:color w:val="auto"/>
          <w:sz w:val="24"/>
          <w:highlight w:val="none"/>
        </w:rPr>
        <w:t>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1984FFF4">
      <w:pPr>
        <w:pStyle w:val="14"/>
        <w:ind w:left="0" w:leftChars="0" w:firstLine="480" w:firstLineChars="200"/>
        <w:rPr>
          <w:rFonts w:hint="eastAsia" w:ascii="宋体" w:hAnsi="宋体" w:eastAsia="宋体" w:cs="宋体"/>
          <w:color w:val="auto"/>
          <w:highlight w:val="none"/>
          <w:lang w:eastAsia="zh-CN"/>
        </w:rPr>
      </w:pPr>
      <w:r>
        <w:rPr>
          <w:rFonts w:hint="eastAsia" w:ascii="宋体" w:hAnsi="宋体" w:eastAsia="宋体" w:cs="宋体"/>
          <w:bCs/>
          <w:color w:val="auto"/>
          <w:sz w:val="24"/>
          <w:highlight w:val="none"/>
          <w:lang w:val="en-US" w:eastAsia="zh-CN"/>
        </w:rPr>
        <w:t>质量标准</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lang w:eastAsia="zh-CN"/>
        </w:rPr>
        <w:t>。</w:t>
      </w:r>
    </w:p>
    <w:p w14:paraId="4B616F7E">
      <w:pPr>
        <w:spacing w:line="5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4、甲方的责任和义务</w:t>
      </w:r>
    </w:p>
    <w:p w14:paraId="2BF4087D">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 甲方在采购内容到达指定地点后，甲方应在安装完后组织有关人员进行验收，并签署验收单。</w:t>
      </w:r>
    </w:p>
    <w:p w14:paraId="5A518DE8">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 甲方按合同规定向乙方支付应付合同价款。</w:t>
      </w:r>
    </w:p>
    <w:p w14:paraId="4D45700F">
      <w:pPr>
        <w:spacing w:line="500" w:lineRule="exact"/>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5、乙方的责任和义务</w:t>
      </w:r>
    </w:p>
    <w:p w14:paraId="67993AA5">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 乙方提供货物必须符合国家相关产品质量标准要求，且应达到乙方</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文件中的标准。</w:t>
      </w:r>
    </w:p>
    <w:p w14:paraId="726F574C">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5.2乙方负责在货物验收时</w:t>
      </w:r>
      <w:r>
        <w:rPr>
          <w:rFonts w:hint="eastAsia" w:ascii="宋体" w:hAnsi="宋体" w:eastAsia="宋体" w:cs="宋体"/>
          <w:color w:val="auto"/>
          <w:sz w:val="24"/>
          <w:highlight w:val="none"/>
          <w:lang w:eastAsia="zh-CN"/>
        </w:rPr>
        <w:t>保证</w:t>
      </w:r>
      <w:r>
        <w:rPr>
          <w:rFonts w:hint="eastAsia" w:ascii="宋体" w:hAnsi="宋体" w:eastAsia="宋体" w:cs="宋体"/>
          <w:color w:val="auto"/>
          <w:sz w:val="24"/>
          <w:highlight w:val="none"/>
          <w:lang w:val="en-US" w:eastAsia="zh-CN"/>
        </w:rPr>
        <w:t>质量符合甲方要求</w:t>
      </w:r>
      <w:r>
        <w:rPr>
          <w:rFonts w:hint="eastAsia" w:ascii="宋体" w:hAnsi="宋体" w:eastAsia="宋体" w:cs="宋体"/>
          <w:color w:val="auto"/>
          <w:sz w:val="24"/>
          <w:highlight w:val="none"/>
        </w:rPr>
        <w:t>；</w:t>
      </w:r>
    </w:p>
    <w:p w14:paraId="452B6BDC">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5.3供货期间产生的所有费用由乙方负责；</w:t>
      </w:r>
    </w:p>
    <w:p w14:paraId="64DC8049">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5.4 经甲方验收合格后，乙方向甲方移交相关的产品承诺书；</w:t>
      </w:r>
    </w:p>
    <w:p w14:paraId="7DAF3300">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乙方有权按合同规定向甲方收取应收合同价款；</w:t>
      </w:r>
    </w:p>
    <w:p w14:paraId="660C316B">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该项目所提供的货物，乙方必须保证在质保期内提供免费更换服务。</w:t>
      </w:r>
    </w:p>
    <w:p w14:paraId="23712BE7">
      <w:pPr>
        <w:spacing w:line="5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6、付款方式</w:t>
      </w:r>
    </w:p>
    <w:p w14:paraId="247971B0">
      <w:pPr>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本项目预付款为合同总价款的</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0%，验收合格后60日内支付剩余</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0%。</w:t>
      </w:r>
    </w:p>
    <w:p w14:paraId="1A0B72C7">
      <w:pPr>
        <w:spacing w:line="5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7、合同变更</w:t>
      </w:r>
      <w:r>
        <w:rPr>
          <w:rFonts w:hint="eastAsia" w:ascii="宋体" w:hAnsi="宋体" w:eastAsia="宋体" w:cs="宋体"/>
          <w:color w:val="auto"/>
          <w:sz w:val="24"/>
          <w:highlight w:val="none"/>
        </w:rPr>
        <w:t xml:space="preserve">                    </w:t>
      </w:r>
    </w:p>
    <w:p w14:paraId="7A55603C">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本合同在双方协商同意的情况下可以变更，具体事宜双方协商确定后签订书面变更、补充协议，本合同和变更、补充协议应当和招标文件的实质性内容保持一致。</w:t>
      </w:r>
    </w:p>
    <w:p w14:paraId="5C7F7456">
      <w:pPr>
        <w:tabs>
          <w:tab w:val="center" w:pos="4707"/>
        </w:tabs>
        <w:spacing w:line="500" w:lineRule="exac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 xml:space="preserve">    8、违约责任</w:t>
      </w:r>
      <w:r>
        <w:rPr>
          <w:rFonts w:hint="eastAsia" w:ascii="宋体" w:hAnsi="宋体" w:eastAsia="宋体" w:cs="宋体"/>
          <w:b/>
          <w:color w:val="auto"/>
          <w:sz w:val="24"/>
          <w:highlight w:val="none"/>
          <w:lang w:eastAsia="zh-CN"/>
        </w:rPr>
        <w:tab/>
      </w:r>
    </w:p>
    <w:p w14:paraId="3C13681F">
      <w:pPr>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8.1乙方未按期交付货物的，每迟延一日减少合同总价款1‰，迟延违约金总额不超过合同总价的10%；迟延超过三十日的，甲方有权解除合同。</w:t>
      </w:r>
    </w:p>
    <w:p w14:paraId="621EA9DA">
      <w:pPr>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8.2乙方所交货物的品种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质量不符合合同规定标准的，甲方有权拒收。</w:t>
      </w:r>
    </w:p>
    <w:p w14:paraId="6271DAA9">
      <w:pPr>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8.3 质保期内乙方货物出现任何质量问题，乙方不及时解决的，甲方有权拒付质保金。</w:t>
      </w:r>
    </w:p>
    <w:p w14:paraId="6686DBE7">
      <w:pPr>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8.4 甲方未按合同约定付余款，逾期按未付部分应按日向乙方支付0.5‰的违约金。</w:t>
      </w:r>
    </w:p>
    <w:p w14:paraId="0451589D">
      <w:pPr>
        <w:spacing w:line="5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9、质量保证</w:t>
      </w:r>
    </w:p>
    <w:p w14:paraId="363561C9">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9.1乙方保证按合同规定的品种、数量、参数提供货物；</w:t>
      </w:r>
    </w:p>
    <w:p w14:paraId="34A9C46E">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9.2本合同规定货物质量标准以及售后服务均按原厂标准执行。质保期内，乙方承担免费更换义务，但因甲方人为因素损坏除外 ；质保期内经确定，因质量问题给甲方造成的损失，由乙方承担。 质保期后，乙方提供售后服务，费用由甲方支付。</w:t>
      </w:r>
    </w:p>
    <w:p w14:paraId="5819DB92">
      <w:pPr>
        <w:spacing w:line="5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10、不可抗力、意外变故</w:t>
      </w:r>
    </w:p>
    <w:p w14:paraId="4492210E">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如果合同双方因不可抗力意外而被阻不能履行其职责，合同期的时间按照不可抗力变故的时间而顺延，或根据实际情况双方友好协商解决。</w:t>
      </w:r>
    </w:p>
    <w:p w14:paraId="3CF247C4">
      <w:pPr>
        <w:spacing w:line="5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11、解决合同纠纷方式</w:t>
      </w:r>
    </w:p>
    <w:p w14:paraId="0B6D2EC7">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如甲乙双方在合同履行过程中发生争议，应协商解决，协商不成，可向延安仲裁委员会申请仲裁。</w:t>
      </w:r>
    </w:p>
    <w:p w14:paraId="2F0C9CE8">
      <w:pPr>
        <w:spacing w:line="500" w:lineRule="exac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    12、</w:t>
      </w:r>
      <w:r>
        <w:rPr>
          <w:rFonts w:hint="eastAsia" w:ascii="宋体" w:hAnsi="宋体" w:eastAsia="宋体" w:cs="宋体"/>
          <w:color w:val="auto"/>
          <w:sz w:val="24"/>
          <w:highlight w:val="none"/>
        </w:rPr>
        <w:t>未尽事宜，双方协商，达成补充协议，补充协议与本合同具有同等法律效力。</w:t>
      </w:r>
    </w:p>
    <w:p w14:paraId="3E491920">
      <w:pPr>
        <w:spacing w:line="500" w:lineRule="exact"/>
        <w:ind w:firstLine="48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13</w:t>
      </w:r>
      <w:r>
        <w:rPr>
          <w:rFonts w:hint="eastAsia" w:ascii="宋体" w:hAnsi="宋体" w:eastAsia="宋体" w:cs="宋体"/>
          <w:color w:val="auto"/>
          <w:sz w:val="24"/>
          <w:highlight w:val="none"/>
        </w:rPr>
        <w:t>、本合同一式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份，甲方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份，乙方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w:t>
      </w:r>
    </w:p>
    <w:p w14:paraId="08B58A2E">
      <w:pPr>
        <w:spacing w:line="360" w:lineRule="auto"/>
        <w:ind w:left="4665" w:leftChars="50" w:hanging="4560" w:hangingChars="1900"/>
        <w:rPr>
          <w:rFonts w:hint="eastAsia" w:ascii="宋体" w:hAnsi="宋体" w:eastAsia="宋体" w:cs="宋体"/>
          <w:color w:val="auto"/>
          <w:sz w:val="24"/>
          <w:highlight w:val="none"/>
        </w:rPr>
      </w:pPr>
    </w:p>
    <w:p w14:paraId="285E4D47">
      <w:pPr>
        <w:spacing w:line="500" w:lineRule="exact"/>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甲方：                           乙方：  </w:t>
      </w:r>
    </w:p>
    <w:p w14:paraId="1F239139">
      <w:pPr>
        <w:spacing w:line="500" w:lineRule="exact"/>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法定代表人：                     法定代表人： </w:t>
      </w:r>
    </w:p>
    <w:p w14:paraId="5A347BE4">
      <w:pPr>
        <w:spacing w:line="500" w:lineRule="exact"/>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或授权代表：                     或授权代表： </w:t>
      </w:r>
    </w:p>
    <w:p w14:paraId="2555C992">
      <w:pPr>
        <w:spacing w:line="500" w:lineRule="exact"/>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地址：                           地址：  </w:t>
      </w:r>
    </w:p>
    <w:p w14:paraId="4F890CBC">
      <w:pPr>
        <w:spacing w:line="500" w:lineRule="exact"/>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电话：                           电话： </w:t>
      </w:r>
    </w:p>
    <w:p w14:paraId="4838BB2F">
      <w:pPr>
        <w:spacing w:line="500" w:lineRule="exact"/>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传真：                           传真：  </w:t>
      </w:r>
    </w:p>
    <w:p w14:paraId="1E7C8595">
      <w:pPr>
        <w:spacing w:line="72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日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1D59A9FF">
      <w:pPr>
        <w:pStyle w:val="41"/>
        <w:rPr>
          <w:rFonts w:hint="eastAsia" w:ascii="宋体" w:hAnsi="宋体" w:eastAsia="宋体" w:cs="宋体"/>
          <w:color w:val="auto"/>
          <w:sz w:val="24"/>
          <w:highlight w:val="none"/>
        </w:rPr>
      </w:pPr>
    </w:p>
    <w:p w14:paraId="709BF5EA">
      <w:pPr>
        <w:pStyle w:val="4"/>
        <w:rPr>
          <w:rFonts w:hint="eastAsia" w:ascii="宋体" w:hAnsi="宋体" w:eastAsia="宋体" w:cs="宋体"/>
          <w:color w:val="auto"/>
          <w:sz w:val="24"/>
          <w:highlight w:val="none"/>
        </w:rPr>
      </w:pPr>
    </w:p>
    <w:p w14:paraId="3F6CF8B8">
      <w:pPr>
        <w:pageBreakBefore w:val="0"/>
        <w:bidi w:val="0"/>
        <w:spacing w:line="274" w:lineRule="exact"/>
        <w:ind w:left="60"/>
        <w:outlineLvl w:val="9"/>
        <w:rPr>
          <w:rFonts w:hint="eastAsia" w:ascii="宋体" w:hAnsi="宋体" w:eastAsia="宋体" w:cs="宋体"/>
          <w:b/>
          <w:bCs/>
          <w:color w:val="auto"/>
          <w:sz w:val="24"/>
          <w:szCs w:val="24"/>
          <w:highlight w:val="none"/>
        </w:rPr>
      </w:pPr>
    </w:p>
    <w:p w14:paraId="616500F1">
      <w:pPr>
        <w:pageBreakBefore w:val="0"/>
        <w:bidi w:val="0"/>
        <w:spacing w:line="274" w:lineRule="exact"/>
        <w:ind w:left="60"/>
        <w:outlineLvl w:val="9"/>
        <w:rPr>
          <w:rFonts w:hint="eastAsia" w:ascii="宋体" w:hAnsi="宋体" w:eastAsia="宋体" w:cs="宋体"/>
          <w:color w:val="auto"/>
          <w:sz w:val="20"/>
          <w:szCs w:val="20"/>
          <w:highlight w:val="none"/>
        </w:rPr>
      </w:pPr>
      <w:r>
        <w:rPr>
          <w:rFonts w:hint="eastAsia" w:ascii="宋体" w:hAnsi="宋体" w:eastAsia="宋体" w:cs="宋体"/>
          <w:b/>
          <w:bCs/>
          <w:color w:val="auto"/>
          <w:sz w:val="24"/>
          <w:szCs w:val="24"/>
          <w:highlight w:val="none"/>
        </w:rPr>
        <w:t>备注：本合同条款仅供参考，具体事宜</w:t>
      </w:r>
      <w:r>
        <w:rPr>
          <w:rFonts w:hint="eastAsia" w:ascii="宋体" w:hAnsi="宋体" w:eastAsia="宋体" w:cs="宋体"/>
          <w:b/>
          <w:bCs/>
          <w:color w:val="auto"/>
          <w:sz w:val="24"/>
          <w:szCs w:val="24"/>
          <w:highlight w:val="none"/>
          <w:lang w:val="en-US" w:eastAsia="zh-CN"/>
        </w:rPr>
        <w:t>中标</w:t>
      </w:r>
      <w:r>
        <w:rPr>
          <w:rFonts w:hint="eastAsia" w:ascii="宋体" w:hAnsi="宋体" w:eastAsia="宋体" w:cs="宋体"/>
          <w:b/>
          <w:bCs/>
          <w:color w:val="auto"/>
          <w:sz w:val="24"/>
          <w:szCs w:val="24"/>
          <w:highlight w:val="none"/>
        </w:rPr>
        <w:t>后双方友好协商确定。</w:t>
      </w:r>
    </w:p>
    <w:p w14:paraId="3FF6E193">
      <w:pPr>
        <w:pageBreakBefore w:val="0"/>
        <w:bidi w:val="0"/>
        <w:outlineLvl w:val="9"/>
        <w:rPr>
          <w:rFonts w:hint="eastAsia" w:ascii="宋体" w:hAnsi="宋体" w:eastAsia="宋体" w:cs="宋体"/>
          <w:color w:val="auto"/>
          <w:highlight w:val="none"/>
        </w:rPr>
        <w:sectPr>
          <w:pgSz w:w="11900" w:h="16838"/>
          <w:pgMar w:top="1440" w:right="1046" w:bottom="1134" w:left="1440" w:header="0" w:footer="0" w:gutter="0"/>
          <w:pgBorders>
            <w:top w:val="none" w:sz="0" w:space="0"/>
            <w:left w:val="none" w:sz="0" w:space="0"/>
            <w:bottom w:val="none" w:sz="0" w:space="0"/>
            <w:right w:val="none" w:sz="0" w:space="0"/>
          </w:pgBorders>
          <w:pgNumType w:fmt="decimal"/>
          <w:cols w:equalWidth="0" w:num="1">
            <w:col w:w="9420"/>
          </w:cols>
          <w:rtlGutter w:val="0"/>
          <w:docGrid w:linePitch="0" w:charSpace="0"/>
        </w:sectPr>
      </w:pPr>
    </w:p>
    <w:p w14:paraId="33AF7E9A">
      <w:pPr>
        <w:pageBreakBefore w:val="0"/>
        <w:bidi w:val="0"/>
        <w:spacing w:line="274" w:lineRule="exact"/>
        <w:ind w:left="60"/>
        <w:outlineLvl w:val="9"/>
        <w:rPr>
          <w:rFonts w:hint="eastAsia" w:ascii="宋体" w:hAnsi="宋体" w:eastAsia="宋体" w:cs="宋体"/>
          <w:b/>
          <w:bCs/>
          <w:color w:val="auto"/>
          <w:sz w:val="24"/>
          <w:szCs w:val="24"/>
          <w:highlight w:val="none"/>
        </w:rPr>
      </w:pPr>
    </w:p>
    <w:p w14:paraId="4B8C352C">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0"/>
        <w:rPr>
          <w:rFonts w:hint="eastAsia" w:ascii="宋体" w:hAnsi="宋体" w:eastAsia="宋体" w:cs="宋体"/>
          <w:b/>
          <w:bCs/>
          <w:color w:val="auto"/>
          <w:sz w:val="28"/>
          <w:szCs w:val="32"/>
          <w:highlight w:val="none"/>
        </w:rPr>
      </w:pPr>
      <w:bookmarkStart w:id="11" w:name="_Toc13042"/>
      <w:r>
        <w:rPr>
          <w:rFonts w:hint="eastAsia" w:ascii="宋体" w:hAnsi="宋体" w:eastAsia="宋体" w:cs="宋体"/>
          <w:b/>
          <w:bCs/>
          <w:color w:val="auto"/>
          <w:sz w:val="28"/>
          <w:szCs w:val="32"/>
          <w:highlight w:val="none"/>
        </w:rPr>
        <w:t>第</w:t>
      </w:r>
      <w:r>
        <w:rPr>
          <w:rFonts w:hint="eastAsia" w:ascii="宋体" w:hAnsi="宋体" w:eastAsia="宋体" w:cs="宋体"/>
          <w:b/>
          <w:bCs/>
          <w:color w:val="auto"/>
          <w:sz w:val="28"/>
          <w:szCs w:val="32"/>
          <w:highlight w:val="none"/>
          <w:lang w:val="en-US" w:eastAsia="zh-CN"/>
        </w:rPr>
        <w:t>五</w:t>
      </w:r>
      <w:r>
        <w:rPr>
          <w:rFonts w:hint="eastAsia" w:ascii="宋体" w:hAnsi="宋体" w:eastAsia="宋体" w:cs="宋体"/>
          <w:b/>
          <w:bCs/>
          <w:color w:val="auto"/>
          <w:sz w:val="28"/>
          <w:szCs w:val="32"/>
          <w:highlight w:val="none"/>
        </w:rPr>
        <w:t>部分  投标文件格式</w:t>
      </w:r>
      <w:bookmarkEnd w:id="11"/>
    </w:p>
    <w:p w14:paraId="34612881">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1、提供的投标文件格式，起到样式作用，编制投标文件前，请详细阅读招标文件，理解文件中的每一项要求。</w:t>
      </w:r>
    </w:p>
    <w:p w14:paraId="0FF50835">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2、投标文件的编制应按照样本格式提供的内容，做出逐一明确的答复；供应商认为有必要，还可以做其它补充说明。</w:t>
      </w:r>
    </w:p>
    <w:p w14:paraId="1227CC1E">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3、全部编制完成，并加盖印章后，按规定分别装订成册。</w:t>
      </w:r>
    </w:p>
    <w:p w14:paraId="15A0F65B">
      <w:pPr>
        <w:pageBreakBefore w:val="0"/>
        <w:widowControl/>
        <w:bidi w:val="0"/>
        <w:spacing w:line="460" w:lineRule="exact"/>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30CAAA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lang w:val="en-US" w:eastAsia="zh-CN"/>
        </w:rPr>
      </w:pPr>
      <w:r>
        <w:rPr>
          <w:rFonts w:hint="eastAsia" w:ascii="宋体" w:hAnsi="宋体" w:eastAsia="宋体" w:cs="宋体"/>
          <w:b/>
          <w:bCs/>
          <w:color w:val="auto"/>
          <w:sz w:val="28"/>
          <w:szCs w:val="28"/>
          <w:highlight w:val="none"/>
        </w:rPr>
        <w:t>项目编号:HDXGDL-ZC2024-00</w:t>
      </w:r>
      <w:r>
        <w:rPr>
          <w:rFonts w:hint="eastAsia" w:cs="宋体"/>
          <w:b/>
          <w:bCs/>
          <w:color w:val="auto"/>
          <w:sz w:val="28"/>
          <w:szCs w:val="28"/>
          <w:highlight w:val="none"/>
          <w:lang w:val="en-US" w:eastAsia="zh-CN"/>
        </w:rPr>
        <w:t>9</w:t>
      </w:r>
    </w:p>
    <w:p w14:paraId="0F09887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bCs/>
          <w:color w:val="auto"/>
          <w:sz w:val="28"/>
          <w:szCs w:val="28"/>
          <w:highlight w:val="none"/>
          <w:lang w:val="en-US" w:eastAsia="zh-CN"/>
        </w:rPr>
      </w:pPr>
    </w:p>
    <w:p w14:paraId="7647F485">
      <w:pPr>
        <w:pageBreakBefore w:val="0"/>
        <w:bidi w:val="0"/>
        <w:spacing w:line="360" w:lineRule="atLeast"/>
        <w:ind w:firstLine="6746" w:firstLineChars="2400"/>
        <w:outlineLvl w:val="9"/>
        <w:rPr>
          <w:rFonts w:hint="eastAsia" w:ascii="宋体" w:hAnsi="宋体" w:eastAsia="宋体" w:cs="宋体"/>
          <w:color w:val="auto"/>
          <w:szCs w:val="21"/>
          <w:highlight w:val="none"/>
        </w:rPr>
      </w:pPr>
      <w:r>
        <w:rPr>
          <w:rFonts w:hint="eastAsia" w:ascii="宋体" w:hAnsi="宋体" w:eastAsia="宋体" w:cs="宋体"/>
          <w:b/>
          <w:color w:val="auto"/>
          <w:sz w:val="28"/>
          <w:szCs w:val="28"/>
          <w:highlight w:val="none"/>
        </w:rPr>
        <w:t>（正本或副本）</w:t>
      </w:r>
    </w:p>
    <w:p w14:paraId="55085A7E">
      <w:pPr>
        <w:pageBreakBefore w:val="0"/>
        <w:bidi w:val="0"/>
        <w:spacing w:line="880" w:lineRule="exact"/>
        <w:jc w:val="center"/>
        <w:outlineLvl w:val="9"/>
        <w:rPr>
          <w:rFonts w:hint="eastAsia" w:ascii="宋体" w:hAnsi="宋体" w:eastAsia="宋体" w:cs="宋体"/>
          <w:b/>
          <w:color w:val="auto"/>
          <w:spacing w:val="4"/>
          <w:sz w:val="72"/>
          <w:szCs w:val="72"/>
          <w:highlight w:val="none"/>
        </w:rPr>
      </w:pPr>
      <w:r>
        <w:rPr>
          <w:rFonts w:hint="eastAsia" w:ascii="宋体" w:hAnsi="宋体" w:eastAsia="宋体" w:cs="宋体"/>
          <w:b/>
          <w:bCs/>
          <w:i w:val="0"/>
          <w:iCs w:val="0"/>
          <w:caps w:val="0"/>
          <w:color w:val="auto"/>
          <w:spacing w:val="0"/>
          <w:kern w:val="0"/>
          <w:sz w:val="28"/>
          <w:szCs w:val="28"/>
          <w:highlight w:val="none"/>
          <w:shd w:val="clear" w:color="auto" w:fill="FFFFFF"/>
          <w:lang w:val="en-US" w:eastAsia="zh-CN" w:bidi="ar"/>
        </w:rPr>
        <w:t>黄龙县人民医院提升老年病服务能力建设项目医疗设施设备（</w:t>
      </w:r>
      <w:r>
        <w:rPr>
          <w:rFonts w:hint="eastAsia" w:ascii="宋体" w:hAnsi="宋体" w:eastAsia="宋体" w:cs="宋体"/>
          <w:b/>
          <w:bCs/>
          <w:i w:val="0"/>
          <w:iCs w:val="0"/>
          <w:caps w:val="0"/>
          <w:color w:val="auto"/>
          <w:spacing w:val="0"/>
          <w:kern w:val="0"/>
          <w:sz w:val="28"/>
          <w:szCs w:val="28"/>
          <w:highlight w:val="none"/>
          <w:u w:val="single"/>
          <w:shd w:val="clear" w:color="auto" w:fill="FFFFFF"/>
          <w:lang w:val="en-US" w:eastAsia="zh-CN" w:bidi="ar"/>
        </w:rPr>
        <w:t xml:space="preserve"> </w:t>
      </w:r>
      <w:r>
        <w:rPr>
          <w:rFonts w:hint="eastAsia" w:ascii="宋体" w:hAnsi="宋体" w:cs="宋体"/>
          <w:b/>
          <w:bCs/>
          <w:i w:val="0"/>
          <w:iCs w:val="0"/>
          <w:caps w:val="0"/>
          <w:color w:val="auto"/>
          <w:spacing w:val="0"/>
          <w:kern w:val="0"/>
          <w:sz w:val="28"/>
          <w:szCs w:val="28"/>
          <w:highlight w:val="none"/>
          <w:u w:val="single"/>
          <w:shd w:val="clear" w:color="auto" w:fill="FFFFFF"/>
          <w:lang w:val="en-US" w:eastAsia="zh-CN" w:bidi="ar"/>
        </w:rPr>
        <w:t xml:space="preserve">标包名称 </w:t>
      </w:r>
      <w:r>
        <w:rPr>
          <w:rFonts w:hint="eastAsia" w:ascii="宋体" w:hAnsi="宋体" w:eastAsia="宋体" w:cs="宋体"/>
          <w:b/>
          <w:bCs/>
          <w:i w:val="0"/>
          <w:iCs w:val="0"/>
          <w:caps w:val="0"/>
          <w:color w:val="auto"/>
          <w:spacing w:val="0"/>
          <w:kern w:val="0"/>
          <w:sz w:val="28"/>
          <w:szCs w:val="28"/>
          <w:highlight w:val="none"/>
          <w:shd w:val="clear" w:color="auto" w:fill="FFFFFF"/>
          <w:lang w:val="en-US" w:eastAsia="zh-CN" w:bidi="ar"/>
        </w:rPr>
        <w:t>）</w:t>
      </w:r>
    </w:p>
    <w:p w14:paraId="0A3EFB7B">
      <w:pPr>
        <w:pageBreakBefore w:val="0"/>
        <w:bidi w:val="0"/>
        <w:spacing w:line="880" w:lineRule="exact"/>
        <w:jc w:val="center"/>
        <w:outlineLvl w:val="9"/>
        <w:rPr>
          <w:rFonts w:hint="eastAsia" w:ascii="宋体" w:hAnsi="宋体" w:eastAsia="宋体" w:cs="宋体"/>
          <w:b/>
          <w:color w:val="auto"/>
          <w:spacing w:val="4"/>
          <w:sz w:val="72"/>
          <w:szCs w:val="72"/>
          <w:highlight w:val="none"/>
        </w:rPr>
      </w:pPr>
    </w:p>
    <w:p w14:paraId="7195C578">
      <w:pPr>
        <w:pageBreakBefore w:val="0"/>
        <w:bidi w:val="0"/>
        <w:spacing w:line="880" w:lineRule="exact"/>
        <w:jc w:val="center"/>
        <w:outlineLvl w:val="9"/>
        <w:rPr>
          <w:rFonts w:hint="eastAsia" w:ascii="宋体" w:hAnsi="宋体" w:eastAsia="宋体" w:cs="宋体"/>
          <w:b/>
          <w:color w:val="auto"/>
          <w:spacing w:val="4"/>
          <w:sz w:val="72"/>
          <w:szCs w:val="72"/>
          <w:highlight w:val="none"/>
        </w:rPr>
      </w:pPr>
      <w:r>
        <w:rPr>
          <w:rFonts w:hint="eastAsia" w:ascii="宋体" w:hAnsi="宋体" w:eastAsia="宋体" w:cs="宋体"/>
          <w:b/>
          <w:color w:val="auto"/>
          <w:spacing w:val="4"/>
          <w:sz w:val="72"/>
          <w:szCs w:val="72"/>
          <w:highlight w:val="none"/>
        </w:rPr>
        <w:t>投 标 文 件</w:t>
      </w:r>
    </w:p>
    <w:p w14:paraId="3F095854">
      <w:pPr>
        <w:pStyle w:val="7"/>
        <w:rPr>
          <w:rFonts w:hint="eastAsia" w:ascii="宋体" w:hAnsi="宋体" w:eastAsia="宋体" w:cs="宋体"/>
          <w:color w:val="auto"/>
          <w:highlight w:val="none"/>
        </w:rPr>
      </w:pPr>
    </w:p>
    <w:p w14:paraId="459FCA55">
      <w:pPr>
        <w:pageBreakBefore w:val="0"/>
        <w:bidi w:val="0"/>
        <w:spacing w:line="240" w:lineRule="auto"/>
        <w:ind w:firstLine="2811" w:firstLineChars="1000"/>
        <w:outlineLvl w:val="9"/>
        <w:rPr>
          <w:rFonts w:hint="eastAsia" w:ascii="宋体" w:hAnsi="宋体" w:eastAsia="宋体" w:cs="宋体"/>
          <w:b/>
          <w:bCs/>
          <w:color w:val="auto"/>
          <w:sz w:val="28"/>
          <w:szCs w:val="28"/>
          <w:highlight w:val="none"/>
        </w:rPr>
      </w:pPr>
    </w:p>
    <w:p w14:paraId="7ABF1A8A">
      <w:pPr>
        <w:pageBreakBefore w:val="0"/>
        <w:bidi w:val="0"/>
        <w:spacing w:line="540" w:lineRule="exact"/>
        <w:outlineLvl w:val="9"/>
        <w:rPr>
          <w:rFonts w:hint="eastAsia" w:ascii="宋体" w:hAnsi="宋体" w:eastAsia="宋体" w:cs="宋体"/>
          <w:b/>
          <w:bCs/>
          <w:color w:val="auto"/>
          <w:spacing w:val="20"/>
          <w:sz w:val="32"/>
          <w:szCs w:val="32"/>
          <w:highlight w:val="none"/>
        </w:rPr>
      </w:pPr>
    </w:p>
    <w:p w14:paraId="6056A832">
      <w:pPr>
        <w:pStyle w:val="22"/>
        <w:pageBreakBefore w:val="0"/>
        <w:bidi w:val="0"/>
        <w:outlineLvl w:val="9"/>
        <w:rPr>
          <w:rFonts w:hint="eastAsia" w:ascii="宋体" w:hAnsi="宋体" w:eastAsia="宋体" w:cs="宋体"/>
          <w:color w:val="auto"/>
          <w:highlight w:val="none"/>
        </w:rPr>
      </w:pPr>
    </w:p>
    <w:p w14:paraId="71FADABA">
      <w:pPr>
        <w:pStyle w:val="22"/>
        <w:pageBreakBefore w:val="0"/>
        <w:bidi w:val="0"/>
        <w:outlineLvl w:val="9"/>
        <w:rPr>
          <w:rFonts w:hint="eastAsia" w:ascii="宋体" w:hAnsi="宋体" w:eastAsia="宋体" w:cs="宋体"/>
          <w:color w:val="auto"/>
          <w:highlight w:val="none"/>
        </w:rPr>
      </w:pPr>
    </w:p>
    <w:p w14:paraId="5320A8F3">
      <w:pPr>
        <w:pStyle w:val="23"/>
        <w:pageBreakBefore w:val="0"/>
        <w:bidi w:val="0"/>
        <w:outlineLvl w:val="9"/>
        <w:rPr>
          <w:rFonts w:hint="eastAsia" w:ascii="宋体" w:hAnsi="宋体" w:eastAsia="宋体" w:cs="宋体"/>
          <w:color w:val="auto"/>
          <w:highlight w:val="none"/>
        </w:rPr>
      </w:pPr>
    </w:p>
    <w:p w14:paraId="11D54C78">
      <w:pPr>
        <w:pageBreakBefore w:val="0"/>
        <w:bidi w:val="0"/>
        <w:outlineLvl w:val="9"/>
        <w:rPr>
          <w:rFonts w:hint="eastAsia" w:ascii="宋体" w:hAnsi="宋体" w:eastAsia="宋体" w:cs="宋体"/>
          <w:color w:val="auto"/>
          <w:highlight w:val="none"/>
        </w:rPr>
      </w:pPr>
    </w:p>
    <w:p w14:paraId="78B99048">
      <w:pPr>
        <w:pStyle w:val="9"/>
        <w:pageBreakBefore w:val="0"/>
        <w:bidi w:val="0"/>
        <w:outlineLvl w:val="9"/>
        <w:rPr>
          <w:rFonts w:hint="eastAsia" w:ascii="宋体" w:hAnsi="宋体" w:eastAsia="宋体" w:cs="宋体"/>
          <w:color w:val="auto"/>
          <w:highlight w:val="none"/>
        </w:rPr>
      </w:pPr>
    </w:p>
    <w:p w14:paraId="38E5EFD6">
      <w:pPr>
        <w:pStyle w:val="22"/>
        <w:pageBreakBefore w:val="0"/>
        <w:bidi w:val="0"/>
        <w:ind w:firstLine="0"/>
        <w:outlineLvl w:val="9"/>
        <w:rPr>
          <w:rFonts w:hint="eastAsia" w:ascii="宋体" w:hAnsi="宋体" w:eastAsia="宋体" w:cs="宋体"/>
          <w:color w:val="auto"/>
          <w:highlight w:val="none"/>
        </w:rPr>
      </w:pPr>
    </w:p>
    <w:p w14:paraId="03E45EDA">
      <w:pPr>
        <w:pageBreakBefore w:val="0"/>
        <w:bidi w:val="0"/>
        <w:spacing w:line="540" w:lineRule="exact"/>
        <w:ind w:firstLine="167" w:firstLineChars="49"/>
        <w:outlineLvl w:val="9"/>
        <w:rPr>
          <w:rFonts w:hint="eastAsia" w:ascii="宋体" w:hAnsi="宋体" w:eastAsia="宋体" w:cs="宋体"/>
          <w:b/>
          <w:bCs/>
          <w:color w:val="auto"/>
          <w:spacing w:val="20"/>
          <w:sz w:val="30"/>
          <w:szCs w:val="30"/>
          <w:highlight w:val="none"/>
        </w:rPr>
      </w:pPr>
      <w:r>
        <w:rPr>
          <w:rFonts w:hint="eastAsia" w:ascii="宋体" w:hAnsi="宋体" w:eastAsia="宋体" w:cs="宋体"/>
          <w:b/>
          <w:bCs/>
          <w:color w:val="auto"/>
          <w:spacing w:val="20"/>
          <w:sz w:val="30"/>
          <w:szCs w:val="30"/>
          <w:highlight w:val="none"/>
        </w:rPr>
        <w:t>投   标  人：</w:t>
      </w:r>
      <w:r>
        <w:rPr>
          <w:rFonts w:hint="eastAsia" w:ascii="宋体" w:hAnsi="宋体" w:eastAsia="宋体" w:cs="宋体"/>
          <w:b/>
          <w:bCs/>
          <w:color w:val="auto"/>
          <w:spacing w:val="20"/>
          <w:sz w:val="30"/>
          <w:szCs w:val="30"/>
          <w:highlight w:val="none"/>
          <w:u w:val="single"/>
        </w:rPr>
        <w:t xml:space="preserve">                     </w:t>
      </w:r>
      <w:r>
        <w:rPr>
          <w:rFonts w:hint="eastAsia" w:ascii="宋体" w:hAnsi="宋体" w:eastAsia="宋体" w:cs="宋体"/>
          <w:b/>
          <w:bCs/>
          <w:color w:val="auto"/>
          <w:spacing w:val="20"/>
          <w:sz w:val="30"/>
          <w:szCs w:val="30"/>
          <w:highlight w:val="none"/>
        </w:rPr>
        <w:t>（盖单位公章）</w:t>
      </w:r>
    </w:p>
    <w:p w14:paraId="3771824D">
      <w:pPr>
        <w:pageBreakBefore w:val="0"/>
        <w:bidi w:val="0"/>
        <w:spacing w:line="540" w:lineRule="exact"/>
        <w:ind w:firstLine="167" w:firstLineChars="49"/>
        <w:outlineLvl w:val="9"/>
        <w:rPr>
          <w:rFonts w:hint="eastAsia" w:ascii="宋体" w:hAnsi="宋体" w:eastAsia="宋体" w:cs="宋体"/>
          <w:b/>
          <w:bCs/>
          <w:color w:val="auto"/>
          <w:spacing w:val="20"/>
          <w:sz w:val="30"/>
          <w:szCs w:val="30"/>
          <w:highlight w:val="none"/>
        </w:rPr>
      </w:pPr>
      <w:r>
        <w:rPr>
          <w:rFonts w:hint="eastAsia" w:ascii="宋体" w:hAnsi="宋体" w:eastAsia="宋体" w:cs="宋体"/>
          <w:b/>
          <w:bCs/>
          <w:color w:val="auto"/>
          <w:spacing w:val="20"/>
          <w:sz w:val="30"/>
          <w:szCs w:val="30"/>
          <w:highlight w:val="none"/>
        </w:rPr>
        <w:t>法定代表人或</w:t>
      </w:r>
    </w:p>
    <w:p w14:paraId="42F86939">
      <w:pPr>
        <w:pageBreakBefore w:val="0"/>
        <w:bidi w:val="0"/>
        <w:spacing w:line="540" w:lineRule="exact"/>
        <w:ind w:firstLine="167" w:firstLineChars="49"/>
        <w:outlineLvl w:val="9"/>
        <w:rPr>
          <w:rFonts w:hint="eastAsia" w:ascii="宋体" w:hAnsi="宋体" w:eastAsia="宋体" w:cs="宋体"/>
          <w:b/>
          <w:bCs/>
          <w:color w:val="auto"/>
          <w:spacing w:val="20"/>
          <w:sz w:val="30"/>
          <w:szCs w:val="30"/>
          <w:highlight w:val="none"/>
        </w:rPr>
      </w:pPr>
      <w:r>
        <w:rPr>
          <w:rFonts w:hint="eastAsia" w:ascii="宋体" w:hAnsi="宋体" w:eastAsia="宋体" w:cs="宋体"/>
          <w:b/>
          <w:bCs/>
          <w:color w:val="auto"/>
          <w:spacing w:val="20"/>
          <w:sz w:val="30"/>
          <w:szCs w:val="30"/>
          <w:highlight w:val="none"/>
        </w:rPr>
        <w:t>其委托代理人：</w:t>
      </w:r>
      <w:r>
        <w:rPr>
          <w:rFonts w:hint="eastAsia" w:ascii="宋体" w:hAnsi="宋体" w:eastAsia="宋体" w:cs="宋体"/>
          <w:b/>
          <w:bCs/>
          <w:color w:val="auto"/>
          <w:spacing w:val="20"/>
          <w:sz w:val="30"/>
          <w:szCs w:val="30"/>
          <w:highlight w:val="none"/>
          <w:u w:val="single"/>
        </w:rPr>
        <w:t xml:space="preserve">                    </w:t>
      </w:r>
      <w:r>
        <w:rPr>
          <w:rFonts w:hint="eastAsia" w:ascii="宋体" w:hAnsi="宋体" w:eastAsia="宋体" w:cs="宋体"/>
          <w:b/>
          <w:bCs/>
          <w:color w:val="auto"/>
          <w:spacing w:val="20"/>
          <w:sz w:val="30"/>
          <w:szCs w:val="30"/>
          <w:highlight w:val="none"/>
        </w:rPr>
        <w:t xml:space="preserve"> （签字或盖章）</w:t>
      </w:r>
    </w:p>
    <w:p w14:paraId="5E61D8A9">
      <w:pPr>
        <w:pageBreakBefore w:val="0"/>
        <w:bidi w:val="0"/>
        <w:spacing w:line="540" w:lineRule="exact"/>
        <w:ind w:firstLine="167" w:firstLineChars="49"/>
        <w:outlineLvl w:val="9"/>
        <w:rPr>
          <w:rFonts w:hint="eastAsia" w:ascii="宋体" w:hAnsi="宋体" w:eastAsia="宋体" w:cs="宋体"/>
          <w:b/>
          <w:color w:val="auto"/>
          <w:sz w:val="44"/>
          <w:szCs w:val="44"/>
          <w:highlight w:val="none"/>
        </w:rPr>
      </w:pPr>
      <w:r>
        <w:rPr>
          <w:rFonts w:hint="eastAsia" w:ascii="宋体" w:hAnsi="宋体" w:eastAsia="宋体" w:cs="宋体"/>
          <w:b/>
          <w:bCs/>
          <w:color w:val="auto"/>
          <w:spacing w:val="20"/>
          <w:sz w:val="30"/>
          <w:szCs w:val="30"/>
          <w:highlight w:val="none"/>
        </w:rPr>
        <w:t>日       期：</w:t>
      </w:r>
      <w:r>
        <w:rPr>
          <w:rFonts w:hint="eastAsia" w:ascii="宋体" w:hAnsi="宋体" w:eastAsia="宋体" w:cs="宋体"/>
          <w:b/>
          <w:bCs/>
          <w:color w:val="auto"/>
          <w:spacing w:val="20"/>
          <w:sz w:val="30"/>
          <w:szCs w:val="30"/>
          <w:highlight w:val="none"/>
          <w:u w:val="single"/>
        </w:rPr>
        <w:t xml:space="preserve">      </w:t>
      </w:r>
      <w:r>
        <w:rPr>
          <w:rFonts w:hint="eastAsia" w:ascii="宋体" w:hAnsi="宋体" w:eastAsia="宋体" w:cs="宋体"/>
          <w:b/>
          <w:bCs/>
          <w:color w:val="auto"/>
          <w:spacing w:val="20"/>
          <w:sz w:val="30"/>
          <w:szCs w:val="30"/>
          <w:highlight w:val="none"/>
        </w:rPr>
        <w:t>年</w:t>
      </w:r>
      <w:r>
        <w:rPr>
          <w:rFonts w:hint="eastAsia" w:ascii="宋体" w:hAnsi="宋体" w:eastAsia="宋体" w:cs="宋体"/>
          <w:b/>
          <w:bCs/>
          <w:color w:val="auto"/>
          <w:spacing w:val="20"/>
          <w:sz w:val="30"/>
          <w:szCs w:val="30"/>
          <w:highlight w:val="none"/>
          <w:u w:val="single"/>
        </w:rPr>
        <w:t xml:space="preserve">     </w:t>
      </w:r>
      <w:r>
        <w:rPr>
          <w:rFonts w:hint="eastAsia" w:ascii="宋体" w:hAnsi="宋体" w:eastAsia="宋体" w:cs="宋体"/>
          <w:b/>
          <w:bCs/>
          <w:color w:val="auto"/>
          <w:spacing w:val="20"/>
          <w:sz w:val="30"/>
          <w:szCs w:val="30"/>
          <w:highlight w:val="none"/>
        </w:rPr>
        <w:t>月</w:t>
      </w:r>
      <w:r>
        <w:rPr>
          <w:rFonts w:hint="eastAsia" w:ascii="宋体" w:hAnsi="宋体" w:eastAsia="宋体" w:cs="宋体"/>
          <w:b/>
          <w:bCs/>
          <w:color w:val="auto"/>
          <w:spacing w:val="20"/>
          <w:sz w:val="30"/>
          <w:szCs w:val="30"/>
          <w:highlight w:val="none"/>
          <w:u w:val="single"/>
        </w:rPr>
        <w:t xml:space="preserve">     </w:t>
      </w:r>
      <w:r>
        <w:rPr>
          <w:rFonts w:hint="eastAsia" w:ascii="宋体" w:hAnsi="宋体" w:eastAsia="宋体" w:cs="宋体"/>
          <w:b/>
          <w:bCs/>
          <w:color w:val="auto"/>
          <w:spacing w:val="20"/>
          <w:sz w:val="30"/>
          <w:szCs w:val="30"/>
          <w:highlight w:val="none"/>
        </w:rPr>
        <w:t>日</w:t>
      </w:r>
    </w:p>
    <w:p w14:paraId="06AF6F7F">
      <w:pPr>
        <w:pageBreakBefore w:val="0"/>
        <w:bidi w:val="0"/>
        <w:outlineLvl w:val="9"/>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br w:type="page"/>
      </w:r>
    </w:p>
    <w:p w14:paraId="0288A1AB">
      <w:pPr>
        <w:pageBreakBefore w:val="0"/>
        <w:bidi w:val="0"/>
        <w:spacing w:line="360" w:lineRule="atLeast"/>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44"/>
          <w:szCs w:val="44"/>
          <w:highlight w:val="none"/>
        </w:rPr>
        <w:t>目     录</w:t>
      </w:r>
    </w:p>
    <w:p w14:paraId="120DAD9C">
      <w:pPr>
        <w:pStyle w:val="12"/>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outlineLvl w:val="9"/>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一、</w:t>
      </w:r>
      <w:r>
        <w:rPr>
          <w:rFonts w:hint="eastAsia" w:ascii="宋体" w:hAnsi="宋体" w:eastAsia="宋体" w:cs="宋体"/>
          <w:b/>
          <w:bCs/>
          <w:color w:val="auto"/>
          <w:sz w:val="30"/>
          <w:szCs w:val="30"/>
          <w:highlight w:val="none"/>
        </w:rPr>
        <w:t>投标函</w:t>
      </w:r>
    </w:p>
    <w:p w14:paraId="088F12B4">
      <w:pPr>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二、</w:t>
      </w:r>
      <w:r>
        <w:rPr>
          <w:rFonts w:hint="eastAsia" w:ascii="宋体" w:hAnsi="宋体" w:eastAsia="宋体" w:cs="宋体"/>
          <w:b/>
          <w:color w:val="auto"/>
          <w:sz w:val="30"/>
          <w:szCs w:val="30"/>
          <w:highlight w:val="none"/>
        </w:rPr>
        <w:t>开标一览表</w:t>
      </w:r>
    </w:p>
    <w:p w14:paraId="0FEBE746">
      <w:pPr>
        <w:pStyle w:val="12"/>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三、</w:t>
      </w:r>
      <w:r>
        <w:rPr>
          <w:rFonts w:hint="eastAsia" w:ascii="宋体" w:hAnsi="宋体" w:eastAsia="宋体" w:cs="宋体"/>
          <w:b/>
          <w:color w:val="auto"/>
          <w:sz w:val="30"/>
          <w:szCs w:val="30"/>
          <w:highlight w:val="none"/>
        </w:rPr>
        <w:t>分项报价表</w:t>
      </w:r>
    </w:p>
    <w:p w14:paraId="1C41DB35">
      <w:pPr>
        <w:keepNext w:val="0"/>
        <w:keepLines w:val="0"/>
        <w:pageBreakBefore w:val="0"/>
        <w:widowControl w:val="0"/>
        <w:kinsoku/>
        <w:wordWrap/>
        <w:overflowPunct/>
        <w:topLinePunct w:val="0"/>
        <w:autoSpaceDE/>
        <w:autoSpaceDN/>
        <w:bidi w:val="0"/>
        <w:adjustRightInd/>
        <w:snapToGrid/>
        <w:spacing w:line="360" w:lineRule="auto"/>
        <w:ind w:right="0" w:firstLine="602" w:firstLineChars="200"/>
        <w:jc w:val="both"/>
        <w:textAlignment w:val="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四、投标保证金交纳凭证</w:t>
      </w:r>
    </w:p>
    <w:p w14:paraId="5F9917C3">
      <w:pPr>
        <w:pStyle w:val="12"/>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五、</w:t>
      </w:r>
      <w:r>
        <w:rPr>
          <w:rFonts w:hint="eastAsia" w:ascii="宋体" w:hAnsi="宋体" w:eastAsia="宋体" w:cs="宋体"/>
          <w:b/>
          <w:color w:val="auto"/>
          <w:sz w:val="30"/>
          <w:szCs w:val="30"/>
          <w:highlight w:val="none"/>
        </w:rPr>
        <w:t>技术</w:t>
      </w:r>
      <w:r>
        <w:rPr>
          <w:rFonts w:hint="eastAsia" w:ascii="宋体" w:hAnsi="宋体" w:eastAsia="宋体" w:cs="宋体"/>
          <w:b/>
          <w:color w:val="auto"/>
          <w:sz w:val="30"/>
          <w:szCs w:val="30"/>
          <w:highlight w:val="none"/>
          <w:lang w:eastAsia="zh-CN"/>
        </w:rPr>
        <w:t>参数</w:t>
      </w:r>
      <w:r>
        <w:rPr>
          <w:rFonts w:hint="eastAsia" w:ascii="宋体" w:hAnsi="宋体" w:eastAsia="宋体" w:cs="宋体"/>
          <w:b/>
          <w:color w:val="auto"/>
          <w:sz w:val="30"/>
          <w:szCs w:val="30"/>
          <w:highlight w:val="none"/>
        </w:rPr>
        <w:t>响应偏离表</w:t>
      </w:r>
    </w:p>
    <w:p w14:paraId="23DD7499">
      <w:pPr>
        <w:keepNext w:val="0"/>
        <w:keepLines w:val="0"/>
        <w:pageBreakBefore w:val="0"/>
        <w:widowControl w:val="0"/>
        <w:kinsoku/>
        <w:wordWrap/>
        <w:overflowPunct/>
        <w:topLinePunct w:val="0"/>
        <w:autoSpaceDE/>
        <w:autoSpaceDN/>
        <w:bidi w:val="0"/>
        <w:adjustRightInd/>
        <w:snapToGrid/>
        <w:spacing w:line="360" w:lineRule="auto"/>
        <w:ind w:left="0" w:leftChars="0" w:right="0" w:firstLine="601" w:firstLineChars="187"/>
        <w:jc w:val="both"/>
        <w:textAlignment w:val="auto"/>
        <w:outlineLvl w:val="9"/>
        <w:rPr>
          <w:rFonts w:hint="eastAsia" w:ascii="宋体" w:hAnsi="宋体" w:eastAsia="宋体" w:cs="宋体"/>
          <w:b/>
          <w:color w:val="auto"/>
          <w:sz w:val="32"/>
          <w:szCs w:val="21"/>
          <w:highlight w:val="none"/>
        </w:rPr>
      </w:pPr>
      <w:r>
        <w:rPr>
          <w:rFonts w:hint="eastAsia" w:ascii="宋体" w:hAnsi="宋体" w:eastAsia="宋体" w:cs="宋体"/>
          <w:b/>
          <w:color w:val="auto"/>
          <w:sz w:val="32"/>
          <w:szCs w:val="21"/>
          <w:highlight w:val="none"/>
          <w:lang w:val="en-US" w:eastAsia="zh-CN"/>
        </w:rPr>
        <w:t>六、</w:t>
      </w:r>
      <w:r>
        <w:rPr>
          <w:rFonts w:hint="eastAsia" w:ascii="宋体" w:hAnsi="宋体" w:eastAsia="宋体" w:cs="宋体"/>
          <w:b/>
          <w:color w:val="auto"/>
          <w:sz w:val="32"/>
          <w:szCs w:val="21"/>
          <w:highlight w:val="none"/>
        </w:rPr>
        <w:t>商务及合同主要条款响应说明</w:t>
      </w:r>
    </w:p>
    <w:p w14:paraId="3F576C42">
      <w:pPr>
        <w:pStyle w:val="12"/>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outlineLvl w:val="9"/>
        <w:rPr>
          <w:rFonts w:hint="eastAsia" w:ascii="宋体" w:hAnsi="宋体" w:eastAsia="宋体" w:cs="宋体"/>
          <w:b/>
          <w:bCs/>
          <w:color w:val="auto"/>
          <w:sz w:val="30"/>
          <w:szCs w:val="30"/>
          <w:highlight w:val="none"/>
        </w:rPr>
      </w:pPr>
      <w:r>
        <w:rPr>
          <w:rFonts w:hint="eastAsia" w:ascii="宋体" w:hAnsi="宋体" w:eastAsia="宋体" w:cs="宋体"/>
          <w:b/>
          <w:color w:val="auto"/>
          <w:kern w:val="0"/>
          <w:sz w:val="30"/>
          <w:szCs w:val="30"/>
          <w:highlight w:val="none"/>
          <w:lang w:val="en-US" w:eastAsia="zh-CN"/>
        </w:rPr>
        <w:t>七、</w:t>
      </w:r>
      <w:r>
        <w:rPr>
          <w:rFonts w:hint="eastAsia" w:ascii="宋体" w:hAnsi="宋体" w:eastAsia="宋体" w:cs="宋体"/>
          <w:b/>
          <w:color w:val="auto"/>
          <w:kern w:val="0"/>
          <w:sz w:val="30"/>
          <w:szCs w:val="30"/>
          <w:highlight w:val="none"/>
        </w:rPr>
        <w:t>法定代表人证明书与授权书</w:t>
      </w:r>
    </w:p>
    <w:p w14:paraId="7F2668BE">
      <w:pPr>
        <w:pStyle w:val="12"/>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outlineLvl w:val="9"/>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八、</w:t>
      </w:r>
      <w:r>
        <w:rPr>
          <w:rFonts w:hint="eastAsia" w:ascii="宋体" w:hAnsi="宋体" w:eastAsia="宋体" w:cs="宋体"/>
          <w:b/>
          <w:bCs/>
          <w:color w:val="auto"/>
          <w:sz w:val="30"/>
          <w:szCs w:val="30"/>
          <w:highlight w:val="none"/>
        </w:rPr>
        <w:t>投标人</w:t>
      </w:r>
      <w:r>
        <w:rPr>
          <w:rFonts w:hint="eastAsia" w:ascii="宋体" w:hAnsi="宋体" w:eastAsia="宋体" w:cs="宋体"/>
          <w:b/>
          <w:bCs/>
          <w:color w:val="auto"/>
          <w:sz w:val="30"/>
          <w:szCs w:val="30"/>
          <w:highlight w:val="none"/>
          <w:lang w:val="en-US" w:eastAsia="zh-CN"/>
        </w:rPr>
        <w:t>资格证明资料</w:t>
      </w:r>
    </w:p>
    <w:p w14:paraId="2CB1728E">
      <w:pPr>
        <w:pStyle w:val="12"/>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outlineLvl w:val="9"/>
        <w:rPr>
          <w:rFonts w:hint="eastAsia" w:ascii="宋体" w:hAnsi="宋体" w:eastAsia="宋体" w:cs="宋体"/>
          <w:b/>
          <w:bCs/>
          <w:color w:val="auto"/>
          <w:sz w:val="30"/>
          <w:szCs w:val="30"/>
          <w:highlight w:val="none"/>
        </w:rPr>
      </w:pPr>
      <w:r>
        <w:rPr>
          <w:rFonts w:hint="eastAsia" w:ascii="宋体" w:hAnsi="宋体" w:eastAsia="宋体" w:cs="宋体"/>
          <w:b/>
          <w:color w:val="auto"/>
          <w:sz w:val="30"/>
          <w:szCs w:val="30"/>
          <w:highlight w:val="none"/>
          <w:lang w:val="en-US" w:eastAsia="zh-CN"/>
        </w:rPr>
        <w:t>九、</w:t>
      </w:r>
      <w:r>
        <w:rPr>
          <w:rFonts w:hint="eastAsia" w:ascii="宋体" w:hAnsi="宋体" w:eastAsia="宋体" w:cs="宋体"/>
          <w:b/>
          <w:color w:val="auto"/>
          <w:sz w:val="30"/>
          <w:szCs w:val="30"/>
          <w:highlight w:val="none"/>
        </w:rPr>
        <w:t>技术方案</w:t>
      </w:r>
    </w:p>
    <w:p w14:paraId="368B7C44">
      <w:pPr>
        <w:pStyle w:val="12"/>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outlineLvl w:val="9"/>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十、</w:t>
      </w:r>
      <w:r>
        <w:rPr>
          <w:rFonts w:hint="eastAsia" w:ascii="宋体" w:hAnsi="宋体" w:eastAsia="宋体" w:cs="宋体"/>
          <w:b/>
          <w:bCs/>
          <w:color w:val="auto"/>
          <w:sz w:val="30"/>
          <w:szCs w:val="30"/>
          <w:highlight w:val="none"/>
        </w:rPr>
        <w:t>商务方案</w:t>
      </w:r>
    </w:p>
    <w:p w14:paraId="357569B5">
      <w:pPr>
        <w:pStyle w:val="12"/>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outlineLvl w:val="9"/>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十一、其他资料</w:t>
      </w:r>
    </w:p>
    <w:p w14:paraId="6702E218">
      <w:pPr>
        <w:pageBreakBefore w:val="0"/>
        <w:bidi w:val="0"/>
        <w:outlineLvl w:val="9"/>
        <w:rPr>
          <w:rFonts w:hint="eastAsia" w:ascii="宋体" w:hAnsi="宋体" w:eastAsia="宋体" w:cs="宋体"/>
          <w:b/>
          <w:color w:val="auto"/>
          <w:sz w:val="32"/>
          <w:szCs w:val="32"/>
          <w:highlight w:val="none"/>
        </w:rPr>
      </w:pPr>
    </w:p>
    <w:p w14:paraId="38AEA582">
      <w:pPr>
        <w:pageBreakBefore w:val="0"/>
        <w:bidi w:val="0"/>
        <w:spacing w:line="440" w:lineRule="exact"/>
        <w:jc w:val="center"/>
        <w:outlineLvl w:val="9"/>
        <w:rPr>
          <w:rFonts w:hint="eastAsia" w:ascii="宋体" w:hAnsi="宋体" w:eastAsia="宋体" w:cs="宋体"/>
          <w:b/>
          <w:color w:val="auto"/>
          <w:sz w:val="32"/>
          <w:szCs w:val="32"/>
          <w:highlight w:val="none"/>
        </w:rPr>
        <w:sectPr>
          <w:pgSz w:w="11906" w:h="16838"/>
          <w:pgMar w:top="1559" w:right="1134" w:bottom="1020" w:left="1321" w:header="851" w:footer="992" w:gutter="0"/>
          <w:pgBorders>
            <w:top w:val="none" w:sz="0" w:space="0"/>
            <w:left w:val="none" w:sz="0" w:space="0"/>
            <w:bottom w:val="none" w:sz="0" w:space="0"/>
            <w:right w:val="none" w:sz="0" w:space="0"/>
          </w:pgBorders>
          <w:pgNumType w:fmt="decimal"/>
          <w:cols w:space="0" w:num="1"/>
          <w:docGrid w:type="lines" w:linePitch="315" w:charSpace="0"/>
        </w:sectPr>
      </w:pPr>
    </w:p>
    <w:p w14:paraId="28D67FAA">
      <w:pPr>
        <w:pageBreakBefore w:val="0"/>
        <w:bidi w:val="0"/>
        <w:spacing w:line="440" w:lineRule="exact"/>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一、</w:t>
      </w:r>
      <w:r>
        <w:rPr>
          <w:rFonts w:hint="eastAsia" w:ascii="宋体" w:hAnsi="宋体" w:eastAsia="宋体" w:cs="宋体"/>
          <w:b/>
          <w:color w:val="auto"/>
          <w:sz w:val="32"/>
          <w:szCs w:val="32"/>
          <w:highlight w:val="none"/>
        </w:rPr>
        <w:t>投标函</w:t>
      </w:r>
    </w:p>
    <w:p w14:paraId="3D8CBC83">
      <w:pPr>
        <w:pageBreakBefore w:val="0"/>
        <w:bidi w:val="0"/>
        <w:spacing w:line="440" w:lineRule="exact"/>
        <w:jc w:val="center"/>
        <w:outlineLvl w:val="9"/>
        <w:rPr>
          <w:rFonts w:hint="eastAsia" w:ascii="宋体" w:hAnsi="宋体" w:eastAsia="宋体" w:cs="宋体"/>
          <w:b/>
          <w:color w:val="auto"/>
          <w:sz w:val="2"/>
          <w:szCs w:val="32"/>
          <w:highlight w:val="none"/>
        </w:rPr>
      </w:pPr>
    </w:p>
    <w:p w14:paraId="55DF31F7">
      <w:pPr>
        <w:pageBreakBefore w:val="0"/>
        <w:kinsoku w:val="0"/>
        <w:bidi w:val="0"/>
        <w:spacing w:line="440" w:lineRule="exact"/>
        <w:outlineLvl w:val="9"/>
        <w:rPr>
          <w:rFonts w:hint="eastAsia" w:ascii="宋体" w:hAnsi="宋体" w:eastAsia="宋体" w:cs="宋体"/>
          <w:color w:val="auto"/>
          <w:sz w:val="24"/>
          <w:highlight w:val="none"/>
        </w:rPr>
      </w:pPr>
      <w:r>
        <w:rPr>
          <w:rFonts w:hint="eastAsia" w:ascii="宋体" w:hAnsi="宋体" w:cs="宋体"/>
          <w:color w:val="auto"/>
          <w:sz w:val="24"/>
          <w:highlight w:val="none"/>
          <w:lang w:eastAsia="zh-CN"/>
        </w:rPr>
        <w:t>黄龙县人民医院</w:t>
      </w:r>
      <w:r>
        <w:rPr>
          <w:rFonts w:hint="eastAsia" w:ascii="宋体" w:hAnsi="宋体" w:eastAsia="宋体" w:cs="宋体"/>
          <w:color w:val="auto"/>
          <w:sz w:val="24"/>
          <w:highlight w:val="none"/>
        </w:rPr>
        <w:t>：</w:t>
      </w:r>
    </w:p>
    <w:p w14:paraId="69AB75B2">
      <w:pPr>
        <w:pageBreakBefore w:val="0"/>
        <w:kinsoku w:val="0"/>
        <w:bidi w:val="0"/>
        <w:spacing w:line="440" w:lineRule="exact"/>
        <w:ind w:firstLine="480" w:firstLineChars="200"/>
        <w:outlineLvl w:val="9"/>
        <w:rPr>
          <w:rFonts w:hint="eastAsia" w:ascii="宋体" w:hAnsi="宋体" w:eastAsia="宋体" w:cs="宋体"/>
          <w:color w:val="auto"/>
          <w:sz w:val="24"/>
          <w:highlight w:val="none"/>
        </w:rPr>
      </w:pPr>
    </w:p>
    <w:p w14:paraId="7D81106E">
      <w:pPr>
        <w:pageBreakBefore w:val="0"/>
        <w:kinsoku w:val="0"/>
        <w:bidi w:val="0"/>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我公司收到</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项目名称及标包</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招标文件，经详细研究，决定参加本次投标活动为此，我方郑重声明以下几点，并愿负法律责任。</w:t>
      </w:r>
    </w:p>
    <w:p w14:paraId="07ED1961">
      <w:pPr>
        <w:pageBreakBefore w:val="0"/>
        <w:kinsoku w:val="0"/>
        <w:bidi w:val="0"/>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1.按照招标文件中的一切要求，提供完全满足采购需求的</w:t>
      </w:r>
      <w:r>
        <w:rPr>
          <w:rFonts w:hint="eastAsia" w:ascii="宋体" w:hAnsi="宋体" w:eastAsia="宋体" w:cs="宋体"/>
          <w:color w:val="auto"/>
          <w:sz w:val="24"/>
          <w:highlight w:val="none"/>
          <w:lang w:val="en-US" w:eastAsia="zh-CN"/>
        </w:rPr>
        <w:t>货物</w:t>
      </w:r>
      <w:r>
        <w:rPr>
          <w:rFonts w:hint="eastAsia" w:ascii="宋体" w:hAnsi="宋体" w:eastAsia="宋体" w:cs="宋体"/>
          <w:color w:val="auto"/>
          <w:sz w:val="24"/>
          <w:highlight w:val="none"/>
        </w:rPr>
        <w:t>和全面技术、售后服务保障；</w:t>
      </w:r>
    </w:p>
    <w:p w14:paraId="4155F75D">
      <w:pPr>
        <w:pageBreakBefore w:val="0"/>
        <w:kinsoku w:val="0"/>
        <w:bidi w:val="0"/>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2.如若中标，将根据招标文件的要求、投标文件及承诺条件，全面签约并履行合同规定的责任和义务；</w:t>
      </w:r>
    </w:p>
    <w:p w14:paraId="79020BA9">
      <w:pPr>
        <w:pageBreakBefore w:val="0"/>
        <w:bidi w:val="0"/>
        <w:spacing w:line="500" w:lineRule="exact"/>
        <w:ind w:firstLine="480" w:firstLineChars="200"/>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3.我方提交的投标文件共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份，其中正本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份，副本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份，及电子版投标文件（U盘）</w:t>
      </w:r>
      <w:r>
        <w:rPr>
          <w:rFonts w:hint="eastAsia" w:ascii="宋体" w:hAnsi="宋体" w:eastAsia="宋体" w:cs="宋体"/>
          <w:color w:val="auto"/>
          <w:sz w:val="24"/>
          <w:highlight w:val="none"/>
          <w:u w:val="single"/>
        </w:rPr>
        <w:t xml:space="preserve">  </w:t>
      </w:r>
    </w:p>
    <w:p w14:paraId="0D0BFE4C">
      <w:pPr>
        <w:pageBreakBefore w:val="0"/>
        <w:bidi w:val="0"/>
        <w:spacing w:line="50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en-US" w:eastAsia="zh-CN"/>
        </w:rPr>
        <w:t>叁</w:t>
      </w:r>
      <w:r>
        <w:rPr>
          <w:rFonts w:hint="eastAsia" w:ascii="宋体" w:hAnsi="宋体" w:eastAsia="宋体" w:cs="宋体"/>
          <w:color w:val="auto"/>
          <w:sz w:val="24"/>
          <w:highlight w:val="none"/>
        </w:rPr>
        <w:t>份；</w:t>
      </w:r>
    </w:p>
    <w:p w14:paraId="058A88D4">
      <w:pPr>
        <w:pageBreakBefore w:val="0"/>
        <w:kinsoku w:val="0"/>
        <w:bidi w:val="0"/>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.我方已详细阅读和核实全部招标文件内容，完全理解并同意放弃提出含糊不清和误解问题的权力；</w:t>
      </w:r>
    </w:p>
    <w:p w14:paraId="77134ABE">
      <w:pPr>
        <w:pageBreakBefore w:val="0"/>
        <w:kinsoku w:val="0"/>
        <w:bidi w:val="0"/>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.同意提供贵方要求的与本次招标有关的任何证明资料；</w:t>
      </w:r>
    </w:p>
    <w:p w14:paraId="579ECEA5">
      <w:pPr>
        <w:pageBreakBefore w:val="0"/>
        <w:kinsoku w:val="0"/>
        <w:bidi w:val="0"/>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.我方的投标文件在</w:t>
      </w:r>
      <w:r>
        <w:rPr>
          <w:rFonts w:hint="eastAsia" w:ascii="宋体" w:hAnsi="宋体" w:eastAsia="宋体" w:cs="宋体"/>
          <w:color w:val="auto"/>
          <w:sz w:val="24"/>
          <w:highlight w:val="none"/>
          <w:lang w:eastAsia="zh-CN"/>
        </w:rPr>
        <w:t>递交投标文件截止之日起</w:t>
      </w:r>
      <w:r>
        <w:rPr>
          <w:rFonts w:hint="eastAsia" w:ascii="宋体" w:hAnsi="宋体" w:eastAsia="宋体" w:cs="宋体"/>
          <w:color w:val="auto"/>
          <w:sz w:val="24"/>
          <w:highlight w:val="none"/>
        </w:rPr>
        <w:t>计算有效</w:t>
      </w:r>
      <w:r>
        <w:rPr>
          <w:rFonts w:hint="eastAsia" w:ascii="宋体" w:hAnsi="宋体" w:eastAsia="宋体" w:cs="宋体"/>
          <w:color w:val="auto"/>
          <w:sz w:val="24"/>
          <w:highlight w:val="none"/>
          <w:lang w:val="en-US" w:eastAsia="zh-CN"/>
        </w:rPr>
        <w:t>期</w:t>
      </w:r>
      <w:r>
        <w:rPr>
          <w:rFonts w:hint="eastAsia" w:ascii="宋体" w:hAnsi="宋体" w:eastAsia="宋体" w:cs="宋体"/>
          <w:color w:val="auto"/>
          <w:sz w:val="24"/>
          <w:highlight w:val="none"/>
        </w:rPr>
        <w:t>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日历</w:t>
      </w:r>
      <w:r>
        <w:rPr>
          <w:rFonts w:hint="eastAsia" w:ascii="宋体" w:hAnsi="宋体" w:eastAsia="宋体" w:cs="宋体"/>
          <w:color w:val="auto"/>
          <w:sz w:val="24"/>
          <w:highlight w:val="none"/>
        </w:rPr>
        <w:t>天；</w:t>
      </w:r>
    </w:p>
    <w:p w14:paraId="31BA4517">
      <w:pPr>
        <w:pageBreakBefore w:val="0"/>
        <w:kinsoku w:val="0"/>
        <w:bidi w:val="0"/>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.所有关于本次投标的函电，请按下列地址、方式联系：</w:t>
      </w:r>
    </w:p>
    <w:p w14:paraId="69C45A46">
      <w:pPr>
        <w:pageBreakBefore w:val="0"/>
        <w:kinsoku w:val="0"/>
        <w:bidi w:val="0"/>
        <w:spacing w:line="440" w:lineRule="exact"/>
        <w:ind w:firstLine="840"/>
        <w:outlineLvl w:val="9"/>
        <w:rPr>
          <w:rFonts w:hint="eastAsia" w:ascii="宋体" w:hAnsi="宋体" w:eastAsia="宋体" w:cs="宋体"/>
          <w:color w:val="auto"/>
          <w:sz w:val="24"/>
          <w:highlight w:val="none"/>
        </w:rPr>
      </w:pPr>
    </w:p>
    <w:p w14:paraId="2D4D54C5">
      <w:pPr>
        <w:pageBreakBefore w:val="0"/>
        <w:kinsoku w:val="0"/>
        <w:bidi w:val="0"/>
        <w:spacing w:line="440" w:lineRule="exact"/>
        <w:ind w:firstLine="84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1910F7D1">
      <w:pPr>
        <w:pageBreakBefore w:val="0"/>
        <w:kinsoku w:val="0"/>
        <w:bidi w:val="0"/>
        <w:spacing w:line="440" w:lineRule="exact"/>
        <w:ind w:firstLine="840"/>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u w:val="single"/>
        </w:rPr>
        <w:t xml:space="preserve">                        </w:t>
      </w:r>
    </w:p>
    <w:p w14:paraId="0FDEAE47">
      <w:pPr>
        <w:pageBreakBefore w:val="0"/>
        <w:kinsoku w:val="0"/>
        <w:bidi w:val="0"/>
        <w:spacing w:line="440" w:lineRule="exact"/>
        <w:ind w:firstLine="840"/>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u w:val="single"/>
        </w:rPr>
        <w:t xml:space="preserve">                        </w:t>
      </w:r>
    </w:p>
    <w:p w14:paraId="4A03317A">
      <w:pPr>
        <w:pageBreakBefore w:val="0"/>
        <w:kinsoku w:val="0"/>
        <w:bidi w:val="0"/>
        <w:spacing w:line="440" w:lineRule="exact"/>
        <w:ind w:firstLine="840"/>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邮    编：</w:t>
      </w:r>
      <w:r>
        <w:rPr>
          <w:rFonts w:hint="eastAsia" w:ascii="宋体" w:hAnsi="宋体" w:eastAsia="宋体" w:cs="宋体"/>
          <w:color w:val="auto"/>
          <w:sz w:val="24"/>
          <w:highlight w:val="none"/>
          <w:u w:val="single"/>
        </w:rPr>
        <w:t xml:space="preserve">                        </w:t>
      </w:r>
    </w:p>
    <w:p w14:paraId="741C6AAF">
      <w:pPr>
        <w:pageBreakBefore w:val="0"/>
        <w:kinsoku w:val="0"/>
        <w:bidi w:val="0"/>
        <w:spacing w:line="440" w:lineRule="exact"/>
        <w:ind w:firstLine="570"/>
        <w:outlineLvl w:val="9"/>
        <w:rPr>
          <w:rFonts w:hint="eastAsia" w:ascii="宋体" w:hAnsi="宋体" w:eastAsia="宋体" w:cs="宋体"/>
          <w:color w:val="auto"/>
          <w:sz w:val="24"/>
          <w:highlight w:val="none"/>
        </w:rPr>
      </w:pPr>
    </w:p>
    <w:p w14:paraId="5490F935">
      <w:pPr>
        <w:pageBreakBefore w:val="0"/>
        <w:kinsoku w:val="0"/>
        <w:bidi w:val="0"/>
        <w:spacing w:line="440" w:lineRule="exact"/>
        <w:ind w:firstLine="808" w:firstLineChars="337"/>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（公章）</w:t>
      </w:r>
    </w:p>
    <w:p w14:paraId="3EA1E23F">
      <w:pPr>
        <w:pageBreakBefore w:val="0"/>
        <w:kinsoku w:val="0"/>
        <w:bidi w:val="0"/>
        <w:spacing w:line="440" w:lineRule="exact"/>
        <w:ind w:firstLine="570"/>
        <w:outlineLvl w:val="9"/>
        <w:rPr>
          <w:rFonts w:hint="eastAsia" w:ascii="宋体" w:hAnsi="宋体" w:eastAsia="宋体" w:cs="宋体"/>
          <w:color w:val="auto"/>
          <w:sz w:val="24"/>
          <w:highlight w:val="none"/>
        </w:rPr>
      </w:pPr>
    </w:p>
    <w:p w14:paraId="6A23B7AA">
      <w:pPr>
        <w:pageBreakBefore w:val="0"/>
        <w:kinsoku w:val="0"/>
        <w:bidi w:val="0"/>
        <w:spacing w:line="440" w:lineRule="exact"/>
        <w:ind w:firstLine="808" w:firstLineChars="337"/>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法定代表人/被授权人（签字或盖章）：</w:t>
      </w:r>
      <w:r>
        <w:rPr>
          <w:rFonts w:hint="eastAsia" w:ascii="宋体" w:hAnsi="宋体" w:eastAsia="宋体" w:cs="宋体"/>
          <w:color w:val="auto"/>
          <w:sz w:val="24"/>
          <w:highlight w:val="none"/>
          <w:u w:val="single"/>
        </w:rPr>
        <w:t xml:space="preserve">                </w:t>
      </w:r>
    </w:p>
    <w:p w14:paraId="187D9814">
      <w:pPr>
        <w:pageBreakBefore w:val="0"/>
        <w:kinsoku w:val="0"/>
        <w:bidi w:val="0"/>
        <w:spacing w:line="440" w:lineRule="exact"/>
        <w:outlineLvl w:val="9"/>
        <w:rPr>
          <w:rFonts w:hint="eastAsia" w:ascii="宋体" w:hAnsi="宋体" w:eastAsia="宋体" w:cs="宋体"/>
          <w:color w:val="auto"/>
          <w:sz w:val="24"/>
          <w:highlight w:val="none"/>
          <w:u w:val="single"/>
        </w:rPr>
      </w:pPr>
    </w:p>
    <w:p w14:paraId="0F3E5F19">
      <w:pPr>
        <w:pageBreakBefore w:val="0"/>
        <w:kinsoku w:val="0"/>
        <w:bidi w:val="0"/>
        <w:spacing w:line="440" w:lineRule="exact"/>
        <w:ind w:firstLine="57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233AC976">
      <w:pPr>
        <w:pageBreakBefore w:val="0"/>
        <w:bidi w:val="0"/>
        <w:spacing w:line="360" w:lineRule="atLeast"/>
        <w:outlineLvl w:val="9"/>
        <w:rPr>
          <w:rFonts w:hint="eastAsia" w:ascii="宋体" w:hAnsi="宋体" w:eastAsia="宋体" w:cs="宋体"/>
          <w:color w:val="auto"/>
          <w:sz w:val="24"/>
          <w:highlight w:val="none"/>
        </w:rPr>
        <w:sectPr>
          <w:pgSz w:w="11906" w:h="16838"/>
          <w:pgMar w:top="1559" w:right="1134" w:bottom="1020" w:left="1321" w:header="851" w:footer="992" w:gutter="0"/>
          <w:pgBorders>
            <w:top w:val="none" w:sz="0" w:space="0"/>
            <w:left w:val="none" w:sz="0" w:space="0"/>
            <w:bottom w:val="none" w:sz="0" w:space="0"/>
            <w:right w:val="none" w:sz="0" w:space="0"/>
          </w:pgBorders>
          <w:pgNumType w:fmt="decimal"/>
          <w:cols w:space="0" w:num="1"/>
          <w:docGrid w:type="lines" w:linePitch="315" w:charSpace="0"/>
        </w:sectPr>
      </w:pPr>
    </w:p>
    <w:p w14:paraId="6B95ED0D">
      <w:pPr>
        <w:pageBreakBefore w:val="0"/>
        <w:bidi w:val="0"/>
        <w:spacing w:line="360" w:lineRule="atLeast"/>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二、</w:t>
      </w:r>
      <w:r>
        <w:rPr>
          <w:rFonts w:hint="eastAsia" w:ascii="宋体" w:hAnsi="宋体" w:eastAsia="宋体" w:cs="宋体"/>
          <w:b/>
          <w:color w:val="auto"/>
          <w:sz w:val="32"/>
          <w:szCs w:val="32"/>
          <w:highlight w:val="none"/>
        </w:rPr>
        <w:t>开标一览表</w:t>
      </w:r>
    </w:p>
    <w:p w14:paraId="18F39F85">
      <w:pPr>
        <w:pageBreakBefore w:val="0"/>
        <w:kinsoku w:val="0"/>
        <w:bidi w:val="0"/>
        <w:spacing w:line="500" w:lineRule="exact"/>
        <w:outlineLvl w:val="9"/>
        <w:rPr>
          <w:rFonts w:hint="eastAsia" w:ascii="宋体" w:hAnsi="宋体" w:eastAsia="宋体" w:cs="宋体"/>
          <w:color w:val="auto"/>
          <w:highlight w:val="none"/>
        </w:rPr>
      </w:pPr>
    </w:p>
    <w:p w14:paraId="36E8FDBE">
      <w:pPr>
        <w:pageBreakBefore w:val="0"/>
        <w:kinsoku w:val="0"/>
        <w:bidi w:val="0"/>
        <w:spacing w:line="500" w:lineRule="exact"/>
        <w:ind w:firstLine="120" w:firstLineChars="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val="en-US" w:eastAsia="zh-CN"/>
        </w:rPr>
        <w:t>及标包</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6138AF0B">
      <w:pPr>
        <w:pageBreakBefore w:val="0"/>
        <w:kinsoku w:val="0"/>
        <w:bidi w:val="0"/>
        <w:spacing w:line="500" w:lineRule="exact"/>
        <w:ind w:firstLine="120" w:firstLineChars="50"/>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14:paraId="5AEE811A">
      <w:pPr>
        <w:pageBreakBefore w:val="0"/>
        <w:kinsoku w:val="0"/>
        <w:bidi w:val="0"/>
        <w:spacing w:line="500" w:lineRule="exact"/>
        <w:ind w:firstLine="120" w:firstLineChars="50"/>
        <w:jc w:val="righ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单位：元</w:t>
      </w:r>
    </w:p>
    <w:tbl>
      <w:tblPr>
        <w:tblStyle w:val="24"/>
        <w:tblW w:w="9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2505"/>
        <w:gridCol w:w="1975"/>
        <w:gridCol w:w="1548"/>
        <w:gridCol w:w="1292"/>
      </w:tblGrid>
      <w:tr w14:paraId="12A31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2643" w:type="dxa"/>
            <w:tcBorders>
              <w:tl2br w:val="single" w:color="auto" w:sz="4" w:space="0"/>
            </w:tcBorders>
          </w:tcPr>
          <w:p w14:paraId="76FB83AF">
            <w:pPr>
              <w:pageBreakBefore w:val="0"/>
              <w:kinsoku w:val="0"/>
              <w:bidi w:val="0"/>
              <w:spacing w:line="500" w:lineRule="exact"/>
              <w:ind w:firstLine="1200" w:firstLineChars="5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报价内容</w:t>
            </w:r>
          </w:p>
          <w:p w14:paraId="001BF932">
            <w:pPr>
              <w:pageBreakBefore w:val="0"/>
              <w:kinsoku w:val="0"/>
              <w:bidi w:val="0"/>
              <w:spacing w:line="500" w:lineRule="exact"/>
              <w:outlineLvl w:val="9"/>
              <w:rPr>
                <w:rFonts w:hint="eastAsia" w:ascii="宋体" w:hAnsi="宋体" w:eastAsia="宋体" w:cs="宋体"/>
                <w:color w:val="auto"/>
                <w:sz w:val="24"/>
                <w:highlight w:val="none"/>
              </w:rPr>
            </w:pPr>
          </w:p>
          <w:p w14:paraId="23931BCB">
            <w:pPr>
              <w:pageBreakBefore w:val="0"/>
              <w:kinsoku w:val="0"/>
              <w:bidi w:val="0"/>
              <w:spacing w:line="500" w:lineRule="exact"/>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供应商名称</w:t>
            </w:r>
          </w:p>
        </w:tc>
        <w:tc>
          <w:tcPr>
            <w:tcW w:w="2505" w:type="dxa"/>
            <w:vAlign w:val="center"/>
          </w:tcPr>
          <w:p w14:paraId="1CC4140F">
            <w:pPr>
              <w:pageBreakBefore w:val="0"/>
              <w:kinsoku w:val="0"/>
              <w:bidi w:val="0"/>
              <w:spacing w:line="500" w:lineRule="exact"/>
              <w:jc w:val="center"/>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投标总</w:t>
            </w:r>
            <w:r>
              <w:rPr>
                <w:rFonts w:hint="eastAsia" w:ascii="宋体" w:hAnsi="宋体" w:eastAsia="宋体" w:cs="宋体"/>
                <w:color w:val="auto"/>
                <w:sz w:val="24"/>
                <w:highlight w:val="none"/>
              </w:rPr>
              <w:t>报价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元</w:t>
            </w:r>
            <w:r>
              <w:rPr>
                <w:rFonts w:hint="eastAsia" w:ascii="宋体" w:hAnsi="宋体" w:cs="宋体"/>
                <w:color w:val="auto"/>
                <w:sz w:val="24"/>
                <w:highlight w:val="none"/>
                <w:lang w:eastAsia="zh-CN"/>
              </w:rPr>
              <w:t>）</w:t>
            </w:r>
          </w:p>
        </w:tc>
        <w:tc>
          <w:tcPr>
            <w:tcW w:w="1975" w:type="dxa"/>
            <w:vAlign w:val="center"/>
          </w:tcPr>
          <w:p w14:paraId="6E8B003E">
            <w:pPr>
              <w:pageBreakBefore w:val="0"/>
              <w:kinsoku w:val="0"/>
              <w:bidi w:val="0"/>
              <w:spacing w:line="50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交货</w:t>
            </w:r>
            <w:r>
              <w:rPr>
                <w:rFonts w:hint="eastAsia" w:ascii="宋体" w:hAnsi="宋体" w:eastAsia="宋体" w:cs="宋体"/>
                <w:color w:val="auto"/>
                <w:sz w:val="24"/>
                <w:highlight w:val="none"/>
              </w:rPr>
              <w:t>期</w:t>
            </w:r>
          </w:p>
        </w:tc>
        <w:tc>
          <w:tcPr>
            <w:tcW w:w="1548" w:type="dxa"/>
            <w:vAlign w:val="center"/>
          </w:tcPr>
          <w:p w14:paraId="1235EDDA">
            <w:pPr>
              <w:pageBreakBefore w:val="0"/>
              <w:kinsoku w:val="0"/>
              <w:bidi w:val="0"/>
              <w:spacing w:line="500" w:lineRule="exact"/>
              <w:jc w:val="center"/>
              <w:outlineLvl w:val="9"/>
              <w:rPr>
                <w:rFonts w:hint="eastAsia" w:ascii="宋体" w:hAnsi="宋体" w:eastAsia="宋体" w:cs="宋体"/>
                <w:color w:val="auto"/>
                <w:highlight w:val="none"/>
              </w:rPr>
            </w:pPr>
            <w:r>
              <w:rPr>
                <w:rFonts w:hint="eastAsia" w:ascii="宋体" w:hAnsi="宋体" w:eastAsia="宋体" w:cs="宋体"/>
                <w:color w:val="auto"/>
                <w:sz w:val="24"/>
                <w:highlight w:val="none"/>
              </w:rPr>
              <w:t>质保期</w:t>
            </w:r>
          </w:p>
        </w:tc>
        <w:tc>
          <w:tcPr>
            <w:tcW w:w="1292" w:type="dxa"/>
            <w:vAlign w:val="center"/>
          </w:tcPr>
          <w:p w14:paraId="18C7636F">
            <w:pPr>
              <w:pageBreakBefore w:val="0"/>
              <w:kinsoku w:val="0"/>
              <w:bidi w:val="0"/>
              <w:spacing w:line="500" w:lineRule="exact"/>
              <w:jc w:val="center"/>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质量标准</w:t>
            </w:r>
          </w:p>
        </w:tc>
      </w:tr>
      <w:tr w14:paraId="1B88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643" w:type="dxa"/>
            <w:vAlign w:val="center"/>
          </w:tcPr>
          <w:p w14:paraId="64E7B99B">
            <w:pPr>
              <w:pageBreakBefore w:val="0"/>
              <w:kinsoku w:val="0"/>
              <w:bidi w:val="0"/>
              <w:spacing w:line="500" w:lineRule="exact"/>
              <w:jc w:val="center"/>
              <w:outlineLvl w:val="9"/>
              <w:rPr>
                <w:rFonts w:hint="eastAsia" w:ascii="宋体" w:hAnsi="宋体" w:eastAsia="宋体" w:cs="宋体"/>
                <w:color w:val="auto"/>
                <w:sz w:val="24"/>
                <w:highlight w:val="none"/>
              </w:rPr>
            </w:pPr>
          </w:p>
        </w:tc>
        <w:tc>
          <w:tcPr>
            <w:tcW w:w="2505" w:type="dxa"/>
            <w:vAlign w:val="center"/>
          </w:tcPr>
          <w:p w14:paraId="301D57B4">
            <w:pPr>
              <w:pageBreakBefore w:val="0"/>
              <w:kinsoku w:val="0"/>
              <w:bidi w:val="0"/>
              <w:spacing w:line="500" w:lineRule="exact"/>
              <w:jc w:val="center"/>
              <w:outlineLvl w:val="9"/>
              <w:rPr>
                <w:rFonts w:hint="eastAsia" w:ascii="宋体" w:hAnsi="宋体" w:eastAsia="宋体" w:cs="宋体"/>
                <w:color w:val="auto"/>
                <w:sz w:val="24"/>
                <w:highlight w:val="none"/>
              </w:rPr>
            </w:pPr>
          </w:p>
        </w:tc>
        <w:tc>
          <w:tcPr>
            <w:tcW w:w="1975" w:type="dxa"/>
            <w:vAlign w:val="center"/>
          </w:tcPr>
          <w:p w14:paraId="51289A5A">
            <w:pPr>
              <w:pageBreakBefore w:val="0"/>
              <w:kinsoku w:val="0"/>
              <w:bidi w:val="0"/>
              <w:spacing w:line="50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自合同签订之日起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日历天</w:t>
            </w:r>
          </w:p>
        </w:tc>
        <w:tc>
          <w:tcPr>
            <w:tcW w:w="1548" w:type="dxa"/>
            <w:vAlign w:val="center"/>
          </w:tcPr>
          <w:p w14:paraId="52ADFA36">
            <w:pPr>
              <w:pageBreakBefore w:val="0"/>
              <w:kinsoku w:val="0"/>
              <w:bidi w:val="0"/>
              <w:spacing w:line="500" w:lineRule="exact"/>
              <w:jc w:val="center"/>
              <w:outlineLvl w:val="9"/>
              <w:rPr>
                <w:rFonts w:hint="eastAsia" w:ascii="宋体" w:hAnsi="宋体" w:eastAsia="宋体" w:cs="宋体"/>
                <w:color w:val="auto"/>
                <w:sz w:val="24"/>
                <w:highlight w:val="none"/>
                <w:lang w:val="en-US" w:eastAsia="zh-CN"/>
              </w:rPr>
            </w:pPr>
          </w:p>
        </w:tc>
        <w:tc>
          <w:tcPr>
            <w:tcW w:w="1292" w:type="dxa"/>
            <w:vAlign w:val="center"/>
          </w:tcPr>
          <w:p w14:paraId="17A941DA">
            <w:pPr>
              <w:pageBreakBefore w:val="0"/>
              <w:kinsoku w:val="0"/>
              <w:bidi w:val="0"/>
              <w:spacing w:line="500" w:lineRule="exact"/>
              <w:jc w:val="center"/>
              <w:outlineLvl w:val="9"/>
              <w:rPr>
                <w:rFonts w:hint="eastAsia" w:ascii="宋体" w:hAnsi="宋体" w:eastAsia="宋体" w:cs="宋体"/>
                <w:color w:val="auto"/>
                <w:sz w:val="24"/>
                <w:highlight w:val="none"/>
              </w:rPr>
            </w:pPr>
          </w:p>
        </w:tc>
      </w:tr>
    </w:tbl>
    <w:p w14:paraId="2E4584FF">
      <w:pPr>
        <w:pageBreakBefore w:val="0"/>
        <w:kinsoku w:val="0"/>
        <w:bidi w:val="0"/>
        <w:spacing w:line="500" w:lineRule="exact"/>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注：报价包含完成本项目的所有费用。</w:t>
      </w:r>
    </w:p>
    <w:p w14:paraId="007A773E">
      <w:pPr>
        <w:pageBreakBefore w:val="0"/>
        <w:kinsoku w:val="0"/>
        <w:bidi w:val="0"/>
        <w:spacing w:line="500" w:lineRule="exact"/>
        <w:outlineLvl w:val="9"/>
        <w:rPr>
          <w:rFonts w:hint="eastAsia" w:ascii="宋体" w:hAnsi="宋体" w:eastAsia="宋体" w:cs="宋体"/>
          <w:color w:val="auto"/>
          <w:sz w:val="24"/>
          <w:highlight w:val="none"/>
        </w:rPr>
      </w:pPr>
    </w:p>
    <w:p w14:paraId="4D93B6E8">
      <w:pPr>
        <w:pageBreakBefore w:val="0"/>
        <w:kinsoku w:val="0"/>
        <w:bidi w:val="0"/>
        <w:spacing w:line="500" w:lineRule="exact"/>
        <w:ind w:firstLine="3120" w:firstLineChars="13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64FA6243">
      <w:pPr>
        <w:pageBreakBefore w:val="0"/>
        <w:kinsoku w:val="0"/>
        <w:bidi w:val="0"/>
        <w:spacing w:line="500" w:lineRule="exact"/>
        <w:ind w:firstLine="3120" w:firstLineChars="1300"/>
        <w:outlineLvl w:val="9"/>
        <w:rPr>
          <w:rFonts w:hint="eastAsia" w:ascii="宋体" w:hAnsi="宋体" w:eastAsia="宋体" w:cs="宋体"/>
          <w:color w:val="auto"/>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lang w:val="en-US" w:eastAsia="zh-CN"/>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lang w:val="en-US" w:eastAsia="zh-CN"/>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lang w:val="en-US" w:eastAsia="zh-CN"/>
        </w:rPr>
        <w:t>日</w:t>
      </w:r>
      <w:r>
        <w:rPr>
          <w:rFonts w:hint="eastAsia" w:ascii="宋体" w:hAnsi="宋体" w:eastAsia="宋体" w:cs="宋体"/>
          <w:color w:val="auto"/>
          <w:sz w:val="24"/>
          <w:highlight w:val="none"/>
        </w:rPr>
        <w:br w:type="page"/>
      </w:r>
    </w:p>
    <w:p w14:paraId="59A1735E">
      <w:pPr>
        <w:pStyle w:val="12"/>
        <w:pageBreakBefore w:val="0"/>
        <w:bidi w:val="0"/>
        <w:jc w:val="center"/>
        <w:outlineLvl w:val="9"/>
        <w:rPr>
          <w:rFonts w:hint="eastAsia" w:ascii="宋体" w:hAnsi="宋体" w:eastAsia="宋体" w:cs="宋体"/>
          <w:b/>
          <w:color w:val="auto"/>
          <w:sz w:val="32"/>
          <w:highlight w:val="none"/>
        </w:rPr>
      </w:pPr>
      <w:r>
        <w:rPr>
          <w:rFonts w:hint="eastAsia" w:ascii="宋体" w:hAnsi="宋体" w:eastAsia="宋体" w:cs="宋体"/>
          <w:b/>
          <w:color w:val="auto"/>
          <w:sz w:val="32"/>
          <w:highlight w:val="none"/>
          <w:lang w:val="en-US" w:eastAsia="zh-CN"/>
        </w:rPr>
        <w:t>三、</w:t>
      </w:r>
      <w:r>
        <w:rPr>
          <w:rFonts w:hint="eastAsia" w:ascii="宋体" w:hAnsi="宋体" w:eastAsia="宋体" w:cs="宋体"/>
          <w:b/>
          <w:color w:val="auto"/>
          <w:sz w:val="32"/>
          <w:highlight w:val="none"/>
        </w:rPr>
        <w:t>分项报价表</w:t>
      </w:r>
    </w:p>
    <w:p w14:paraId="6D5B684C">
      <w:pPr>
        <w:pageBreakBefore w:val="0"/>
        <w:kinsoku w:val="0"/>
        <w:bidi w:val="0"/>
        <w:spacing w:line="50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val="en-US" w:eastAsia="zh-CN"/>
        </w:rPr>
        <w:t>及标包</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7BFA2384">
      <w:pPr>
        <w:pageBreakBefore w:val="0"/>
        <w:kinsoku w:val="0"/>
        <w:bidi w:val="0"/>
        <w:spacing w:line="50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14:paraId="4CF5E4F4">
      <w:pPr>
        <w:pageBreakBefore w:val="0"/>
        <w:kinsoku w:val="0"/>
        <w:bidi w:val="0"/>
        <w:spacing w:line="50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03DB5BDC">
      <w:pPr>
        <w:pageBreakBefore w:val="0"/>
        <w:kinsoku w:val="0"/>
        <w:bidi w:val="0"/>
        <w:spacing w:line="500" w:lineRule="exact"/>
        <w:outlineLvl w:val="9"/>
        <w:rPr>
          <w:rFonts w:hint="eastAsia" w:ascii="宋体" w:hAnsi="宋体" w:eastAsia="宋体" w:cs="宋体"/>
          <w:color w:val="auto"/>
          <w:sz w:val="24"/>
          <w:highlight w:val="none"/>
        </w:rPr>
      </w:pPr>
    </w:p>
    <w:tbl>
      <w:tblPr>
        <w:tblStyle w:val="24"/>
        <w:tblpPr w:vertAnchor="text" w:horzAnchor="margin" w:tblpX="1" w:tblpY="26"/>
        <w:tblW w:w="51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34"/>
        <w:gridCol w:w="1230"/>
        <w:gridCol w:w="1370"/>
        <w:gridCol w:w="1362"/>
        <w:gridCol w:w="1714"/>
        <w:gridCol w:w="716"/>
        <w:gridCol w:w="841"/>
        <w:gridCol w:w="1292"/>
        <w:gridCol w:w="507"/>
        <w:gridCol w:w="407"/>
      </w:tblGrid>
      <w:tr w14:paraId="64D19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1" w:type="pct"/>
            <w:tcMar>
              <w:top w:w="28" w:type="dxa"/>
              <w:left w:w="28" w:type="dxa"/>
              <w:bottom w:w="28" w:type="dxa"/>
              <w:right w:w="28" w:type="dxa"/>
            </w:tcMar>
            <w:vAlign w:val="center"/>
          </w:tcPr>
          <w:p w14:paraId="41FDB5CD">
            <w:pPr>
              <w:pageBreakBefore w:val="0"/>
              <w:widowControl/>
              <w:bidi w:val="0"/>
              <w:jc w:val="center"/>
              <w:outlineLvl w:val="9"/>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highlight w:val="none"/>
              </w:rPr>
              <w:t>序号</w:t>
            </w:r>
          </w:p>
        </w:tc>
        <w:tc>
          <w:tcPr>
            <w:tcW w:w="605" w:type="pct"/>
            <w:tcMar>
              <w:top w:w="28" w:type="dxa"/>
              <w:left w:w="28" w:type="dxa"/>
              <w:bottom w:w="28" w:type="dxa"/>
              <w:right w:w="28" w:type="dxa"/>
            </w:tcMar>
            <w:vAlign w:val="center"/>
          </w:tcPr>
          <w:p w14:paraId="1FD05BE9">
            <w:pPr>
              <w:keepNext w:val="0"/>
              <w:keepLines w:val="0"/>
              <w:widowControl/>
              <w:suppressLineNumbers w:val="0"/>
              <w:jc w:val="center"/>
              <w:textAlignment w:val="center"/>
              <w:rPr>
                <w:rFonts w:hint="eastAsia" w:ascii="宋体" w:hAnsi="宋体" w:eastAsia="宋体" w:cs="宋体"/>
                <w:b/>
                <w:bCs/>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产品名称</w:t>
            </w:r>
          </w:p>
        </w:tc>
        <w:tc>
          <w:tcPr>
            <w:tcW w:w="673" w:type="pct"/>
            <w:tcMar>
              <w:top w:w="28" w:type="dxa"/>
              <w:left w:w="28" w:type="dxa"/>
              <w:bottom w:w="28" w:type="dxa"/>
              <w:right w:w="28" w:type="dxa"/>
            </w:tcMar>
            <w:vAlign w:val="center"/>
          </w:tcPr>
          <w:p w14:paraId="3010849D">
            <w:pPr>
              <w:keepNext w:val="0"/>
              <w:keepLines w:val="0"/>
              <w:widowControl/>
              <w:suppressLineNumbers w:val="0"/>
              <w:jc w:val="center"/>
              <w:textAlignment w:val="center"/>
              <w:rPr>
                <w:rFonts w:hint="eastAsia" w:ascii="宋体" w:hAnsi="宋体" w:eastAsia="宋体" w:cs="宋体"/>
                <w:b/>
                <w:bCs/>
                <w:color w:val="auto"/>
                <w:kern w:val="0"/>
                <w:sz w:val="22"/>
                <w:szCs w:val="22"/>
                <w:highlight w:val="none"/>
                <w:lang w:val="en-US" w:eastAsia="zh-CN" w:bidi="ar-SA"/>
              </w:rPr>
            </w:pPr>
            <w:bookmarkStart w:id="12" w:name="OLE_LINK7"/>
            <w:r>
              <w:rPr>
                <w:rFonts w:hint="eastAsia" w:ascii="宋体" w:hAnsi="宋体" w:eastAsia="宋体" w:cs="宋体"/>
                <w:b w:val="0"/>
                <w:bCs w:val="0"/>
                <w:color w:val="auto"/>
                <w:kern w:val="0"/>
                <w:sz w:val="22"/>
                <w:szCs w:val="22"/>
                <w:highlight w:val="none"/>
                <w:lang w:val="en-US" w:eastAsia="zh-CN" w:bidi="ar-SA"/>
              </w:rPr>
              <w:t>型号</w:t>
            </w:r>
            <w:bookmarkEnd w:id="12"/>
          </w:p>
        </w:tc>
        <w:tc>
          <w:tcPr>
            <w:tcW w:w="669" w:type="pct"/>
            <w:vAlign w:val="center"/>
          </w:tcPr>
          <w:p w14:paraId="60EBD4DC">
            <w:pPr>
              <w:keepNext w:val="0"/>
              <w:keepLines w:val="0"/>
              <w:widowControl/>
              <w:suppressLineNumbers w:val="0"/>
              <w:jc w:val="center"/>
              <w:textAlignment w:val="center"/>
              <w:rPr>
                <w:rFonts w:hint="eastAsia" w:ascii="宋体" w:hAnsi="宋体" w:eastAsia="宋体" w:cs="宋体"/>
                <w:b/>
                <w:bCs/>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单位</w:t>
            </w:r>
          </w:p>
        </w:tc>
        <w:tc>
          <w:tcPr>
            <w:tcW w:w="840" w:type="pct"/>
            <w:tcMar>
              <w:top w:w="28" w:type="dxa"/>
              <w:left w:w="28" w:type="dxa"/>
              <w:bottom w:w="28" w:type="dxa"/>
              <w:right w:w="28" w:type="dxa"/>
            </w:tcMar>
            <w:vAlign w:val="center"/>
          </w:tcPr>
          <w:p w14:paraId="37DA3E2A">
            <w:pPr>
              <w:keepNext w:val="0"/>
              <w:keepLines w:val="0"/>
              <w:widowControl/>
              <w:suppressLineNumbers w:val="0"/>
              <w:jc w:val="center"/>
              <w:textAlignment w:val="center"/>
              <w:rPr>
                <w:rFonts w:hint="eastAsia" w:ascii="宋体" w:hAnsi="宋体" w:eastAsia="宋体" w:cs="宋体"/>
                <w:b/>
                <w:bCs/>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数量</w:t>
            </w:r>
          </w:p>
        </w:tc>
        <w:tc>
          <w:tcPr>
            <w:tcW w:w="351" w:type="pct"/>
            <w:tcMar>
              <w:top w:w="28" w:type="dxa"/>
              <w:left w:w="28" w:type="dxa"/>
              <w:bottom w:w="28" w:type="dxa"/>
              <w:right w:w="28" w:type="dxa"/>
            </w:tcMar>
            <w:vAlign w:val="center"/>
          </w:tcPr>
          <w:p w14:paraId="7C5D629C">
            <w:pPr>
              <w:pageBreakBefore w:val="0"/>
              <w:widowControl/>
              <w:bidi w:val="0"/>
              <w:jc w:val="center"/>
              <w:outlineLvl w:val="9"/>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单价（元）</w:t>
            </w:r>
          </w:p>
        </w:tc>
        <w:tc>
          <w:tcPr>
            <w:tcW w:w="413" w:type="pct"/>
            <w:tcMar>
              <w:top w:w="28" w:type="dxa"/>
              <w:left w:w="28" w:type="dxa"/>
              <w:bottom w:w="28" w:type="dxa"/>
              <w:right w:w="28" w:type="dxa"/>
            </w:tcMar>
            <w:vAlign w:val="center"/>
          </w:tcPr>
          <w:p w14:paraId="6F6B2617">
            <w:pPr>
              <w:pageBreakBefore w:val="0"/>
              <w:bidi w:val="0"/>
              <w:jc w:val="center"/>
              <w:outlineLvl w:val="9"/>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合计</w:t>
            </w:r>
          </w:p>
          <w:p w14:paraId="44BD3846">
            <w:pPr>
              <w:pageBreakBefore w:val="0"/>
              <w:bidi w:val="0"/>
              <w:jc w:val="center"/>
              <w:outlineLvl w:val="9"/>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（元）</w:t>
            </w:r>
          </w:p>
        </w:tc>
        <w:tc>
          <w:tcPr>
            <w:tcW w:w="635" w:type="pct"/>
            <w:tcMar>
              <w:top w:w="28" w:type="dxa"/>
              <w:left w:w="28" w:type="dxa"/>
              <w:bottom w:w="28" w:type="dxa"/>
              <w:right w:w="28" w:type="dxa"/>
            </w:tcMar>
            <w:vAlign w:val="center"/>
          </w:tcPr>
          <w:p w14:paraId="70309FD5">
            <w:pPr>
              <w:pageBreakBefore w:val="0"/>
              <w:bidi w:val="0"/>
              <w:jc w:val="center"/>
              <w:outlineLvl w:val="9"/>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品牌（如有）</w:t>
            </w:r>
          </w:p>
        </w:tc>
        <w:tc>
          <w:tcPr>
            <w:tcW w:w="249" w:type="pct"/>
            <w:tcMar>
              <w:top w:w="28" w:type="dxa"/>
              <w:left w:w="28" w:type="dxa"/>
              <w:bottom w:w="28" w:type="dxa"/>
              <w:right w:w="28" w:type="dxa"/>
            </w:tcMar>
            <w:vAlign w:val="center"/>
          </w:tcPr>
          <w:p w14:paraId="32BD813A">
            <w:pPr>
              <w:pageBreakBefore w:val="0"/>
              <w:bidi w:val="0"/>
              <w:jc w:val="center"/>
              <w:outlineLvl w:val="9"/>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厂家</w:t>
            </w:r>
          </w:p>
        </w:tc>
        <w:tc>
          <w:tcPr>
            <w:tcW w:w="199" w:type="pct"/>
            <w:tcBorders>
              <w:left w:val="single" w:color="auto" w:sz="4" w:space="0"/>
            </w:tcBorders>
            <w:tcMar>
              <w:top w:w="28" w:type="dxa"/>
              <w:left w:w="28" w:type="dxa"/>
              <w:bottom w:w="28" w:type="dxa"/>
              <w:right w:w="28" w:type="dxa"/>
            </w:tcMar>
            <w:vAlign w:val="center"/>
          </w:tcPr>
          <w:p w14:paraId="05B0228F">
            <w:pPr>
              <w:pageBreakBefore w:val="0"/>
              <w:bidi w:val="0"/>
              <w:jc w:val="center"/>
              <w:outlineLvl w:val="9"/>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备注</w:t>
            </w:r>
          </w:p>
        </w:tc>
      </w:tr>
      <w:tr w14:paraId="0A00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1" w:type="pct"/>
            <w:tcMar>
              <w:top w:w="28" w:type="dxa"/>
              <w:left w:w="28" w:type="dxa"/>
              <w:bottom w:w="28" w:type="dxa"/>
              <w:right w:w="28" w:type="dxa"/>
            </w:tcMar>
            <w:vAlign w:val="center"/>
          </w:tcPr>
          <w:p w14:paraId="61260953">
            <w:pPr>
              <w:pageBreakBefore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05" w:type="pct"/>
            <w:tcMar>
              <w:top w:w="28" w:type="dxa"/>
              <w:left w:w="28" w:type="dxa"/>
              <w:bottom w:w="28" w:type="dxa"/>
              <w:right w:w="28" w:type="dxa"/>
            </w:tcMar>
            <w:vAlign w:val="center"/>
          </w:tcPr>
          <w:p w14:paraId="4141CF14">
            <w:pPr>
              <w:pageBreakBefore w:val="0"/>
              <w:bidi w:val="0"/>
              <w:jc w:val="center"/>
              <w:outlineLvl w:val="9"/>
              <w:rPr>
                <w:rFonts w:hint="eastAsia" w:ascii="宋体" w:hAnsi="宋体" w:eastAsia="宋体" w:cs="宋体"/>
                <w:color w:val="auto"/>
                <w:szCs w:val="21"/>
                <w:highlight w:val="none"/>
              </w:rPr>
            </w:pPr>
          </w:p>
        </w:tc>
        <w:tc>
          <w:tcPr>
            <w:tcW w:w="673" w:type="pct"/>
            <w:tcMar>
              <w:top w:w="28" w:type="dxa"/>
              <w:left w:w="28" w:type="dxa"/>
              <w:bottom w:w="28" w:type="dxa"/>
              <w:right w:w="28" w:type="dxa"/>
            </w:tcMar>
            <w:vAlign w:val="center"/>
          </w:tcPr>
          <w:p w14:paraId="7B26D7D2">
            <w:pPr>
              <w:pageBreakBefore w:val="0"/>
              <w:bidi w:val="0"/>
              <w:jc w:val="center"/>
              <w:outlineLvl w:val="9"/>
              <w:rPr>
                <w:rFonts w:hint="eastAsia" w:ascii="宋体" w:hAnsi="宋体" w:eastAsia="宋体" w:cs="宋体"/>
                <w:color w:val="auto"/>
                <w:szCs w:val="21"/>
                <w:highlight w:val="none"/>
              </w:rPr>
            </w:pPr>
          </w:p>
        </w:tc>
        <w:tc>
          <w:tcPr>
            <w:tcW w:w="669" w:type="pct"/>
            <w:vAlign w:val="center"/>
          </w:tcPr>
          <w:p w14:paraId="1020F22B">
            <w:pPr>
              <w:pageBreakBefore w:val="0"/>
              <w:bidi w:val="0"/>
              <w:jc w:val="center"/>
              <w:outlineLvl w:val="9"/>
              <w:rPr>
                <w:rFonts w:hint="eastAsia" w:ascii="宋体" w:hAnsi="宋体" w:eastAsia="宋体" w:cs="宋体"/>
                <w:color w:val="auto"/>
                <w:szCs w:val="21"/>
                <w:highlight w:val="none"/>
              </w:rPr>
            </w:pPr>
          </w:p>
        </w:tc>
        <w:tc>
          <w:tcPr>
            <w:tcW w:w="840" w:type="pct"/>
            <w:tcMar>
              <w:top w:w="28" w:type="dxa"/>
              <w:left w:w="28" w:type="dxa"/>
              <w:bottom w:w="28" w:type="dxa"/>
              <w:right w:w="28" w:type="dxa"/>
            </w:tcMar>
            <w:vAlign w:val="center"/>
          </w:tcPr>
          <w:p w14:paraId="579BC7C8">
            <w:pPr>
              <w:pageBreakBefore w:val="0"/>
              <w:bidi w:val="0"/>
              <w:jc w:val="center"/>
              <w:outlineLvl w:val="9"/>
              <w:rPr>
                <w:rFonts w:hint="eastAsia" w:ascii="宋体" w:hAnsi="宋体" w:eastAsia="宋体" w:cs="宋体"/>
                <w:color w:val="auto"/>
                <w:szCs w:val="21"/>
                <w:highlight w:val="none"/>
              </w:rPr>
            </w:pPr>
          </w:p>
        </w:tc>
        <w:tc>
          <w:tcPr>
            <w:tcW w:w="351" w:type="pct"/>
            <w:tcMar>
              <w:top w:w="28" w:type="dxa"/>
              <w:left w:w="28" w:type="dxa"/>
              <w:bottom w:w="28" w:type="dxa"/>
              <w:right w:w="28" w:type="dxa"/>
            </w:tcMar>
            <w:vAlign w:val="center"/>
          </w:tcPr>
          <w:p w14:paraId="5869ECE3">
            <w:pPr>
              <w:pageBreakBefore w:val="0"/>
              <w:bidi w:val="0"/>
              <w:jc w:val="center"/>
              <w:outlineLvl w:val="9"/>
              <w:rPr>
                <w:rFonts w:hint="eastAsia" w:ascii="宋体" w:hAnsi="宋体" w:eastAsia="宋体" w:cs="宋体"/>
                <w:color w:val="auto"/>
                <w:szCs w:val="21"/>
                <w:highlight w:val="none"/>
              </w:rPr>
            </w:pPr>
          </w:p>
        </w:tc>
        <w:tc>
          <w:tcPr>
            <w:tcW w:w="413" w:type="pct"/>
            <w:tcMar>
              <w:top w:w="28" w:type="dxa"/>
              <w:left w:w="28" w:type="dxa"/>
              <w:bottom w:w="28" w:type="dxa"/>
              <w:right w:w="28" w:type="dxa"/>
            </w:tcMar>
            <w:vAlign w:val="center"/>
          </w:tcPr>
          <w:p w14:paraId="596150E9">
            <w:pPr>
              <w:pageBreakBefore w:val="0"/>
              <w:bidi w:val="0"/>
              <w:jc w:val="center"/>
              <w:outlineLvl w:val="9"/>
              <w:rPr>
                <w:rFonts w:hint="eastAsia" w:ascii="宋体" w:hAnsi="宋体" w:eastAsia="宋体" w:cs="宋体"/>
                <w:color w:val="auto"/>
                <w:szCs w:val="21"/>
                <w:highlight w:val="none"/>
              </w:rPr>
            </w:pPr>
          </w:p>
        </w:tc>
        <w:tc>
          <w:tcPr>
            <w:tcW w:w="635" w:type="pct"/>
            <w:tcMar>
              <w:top w:w="28" w:type="dxa"/>
              <w:left w:w="28" w:type="dxa"/>
              <w:bottom w:w="28" w:type="dxa"/>
              <w:right w:w="28" w:type="dxa"/>
            </w:tcMar>
            <w:vAlign w:val="center"/>
          </w:tcPr>
          <w:p w14:paraId="4B75712A">
            <w:pPr>
              <w:pageBreakBefore w:val="0"/>
              <w:bidi w:val="0"/>
              <w:jc w:val="center"/>
              <w:outlineLvl w:val="9"/>
              <w:rPr>
                <w:rFonts w:hint="eastAsia" w:ascii="宋体" w:hAnsi="宋体" w:eastAsia="宋体" w:cs="宋体"/>
                <w:color w:val="auto"/>
                <w:szCs w:val="21"/>
                <w:highlight w:val="none"/>
              </w:rPr>
            </w:pPr>
          </w:p>
        </w:tc>
        <w:tc>
          <w:tcPr>
            <w:tcW w:w="249" w:type="pct"/>
            <w:tcMar>
              <w:top w:w="28" w:type="dxa"/>
              <w:left w:w="28" w:type="dxa"/>
              <w:bottom w:w="28" w:type="dxa"/>
              <w:right w:w="28" w:type="dxa"/>
            </w:tcMar>
            <w:vAlign w:val="center"/>
          </w:tcPr>
          <w:p w14:paraId="02D9A9AF">
            <w:pPr>
              <w:pageBreakBefore w:val="0"/>
              <w:bidi w:val="0"/>
              <w:jc w:val="center"/>
              <w:outlineLvl w:val="9"/>
              <w:rPr>
                <w:rFonts w:hint="eastAsia" w:ascii="宋体" w:hAnsi="宋体" w:eastAsia="宋体" w:cs="宋体"/>
                <w:color w:val="auto"/>
                <w:szCs w:val="21"/>
                <w:highlight w:val="none"/>
              </w:rPr>
            </w:pPr>
          </w:p>
        </w:tc>
        <w:tc>
          <w:tcPr>
            <w:tcW w:w="199" w:type="pct"/>
            <w:tcBorders>
              <w:left w:val="single" w:color="auto" w:sz="4" w:space="0"/>
            </w:tcBorders>
            <w:tcMar>
              <w:top w:w="28" w:type="dxa"/>
              <w:left w:w="28" w:type="dxa"/>
              <w:bottom w:w="28" w:type="dxa"/>
              <w:right w:w="28" w:type="dxa"/>
            </w:tcMar>
            <w:vAlign w:val="center"/>
          </w:tcPr>
          <w:p w14:paraId="10FAAD46">
            <w:pPr>
              <w:pageBreakBefore w:val="0"/>
              <w:bidi w:val="0"/>
              <w:jc w:val="center"/>
              <w:outlineLvl w:val="9"/>
              <w:rPr>
                <w:rFonts w:hint="eastAsia" w:ascii="宋体" w:hAnsi="宋体" w:eastAsia="宋体" w:cs="宋体"/>
                <w:color w:val="auto"/>
                <w:szCs w:val="21"/>
                <w:highlight w:val="none"/>
              </w:rPr>
            </w:pPr>
          </w:p>
        </w:tc>
      </w:tr>
      <w:tr w14:paraId="7148A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1" w:type="pct"/>
            <w:tcMar>
              <w:top w:w="28" w:type="dxa"/>
              <w:left w:w="28" w:type="dxa"/>
              <w:bottom w:w="28" w:type="dxa"/>
              <w:right w:w="28" w:type="dxa"/>
            </w:tcMar>
            <w:vAlign w:val="center"/>
          </w:tcPr>
          <w:p w14:paraId="2309F7E5">
            <w:pPr>
              <w:pageBreakBefore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605" w:type="pct"/>
            <w:tcMar>
              <w:top w:w="28" w:type="dxa"/>
              <w:left w:w="28" w:type="dxa"/>
              <w:bottom w:w="28" w:type="dxa"/>
              <w:right w:w="28" w:type="dxa"/>
            </w:tcMar>
            <w:vAlign w:val="center"/>
          </w:tcPr>
          <w:p w14:paraId="63AD35EB">
            <w:pPr>
              <w:pageBreakBefore w:val="0"/>
              <w:tabs>
                <w:tab w:val="center" w:pos="1694"/>
              </w:tabs>
              <w:bidi w:val="0"/>
              <w:jc w:val="center"/>
              <w:outlineLvl w:val="9"/>
              <w:rPr>
                <w:rFonts w:hint="eastAsia" w:ascii="宋体" w:hAnsi="宋体" w:eastAsia="宋体" w:cs="宋体"/>
                <w:color w:val="auto"/>
                <w:szCs w:val="21"/>
                <w:highlight w:val="none"/>
              </w:rPr>
            </w:pPr>
          </w:p>
        </w:tc>
        <w:tc>
          <w:tcPr>
            <w:tcW w:w="673" w:type="pct"/>
            <w:tcMar>
              <w:top w:w="28" w:type="dxa"/>
              <w:left w:w="28" w:type="dxa"/>
              <w:bottom w:w="28" w:type="dxa"/>
              <w:right w:w="28" w:type="dxa"/>
            </w:tcMar>
            <w:vAlign w:val="center"/>
          </w:tcPr>
          <w:p w14:paraId="2D24FC5E">
            <w:pPr>
              <w:pageBreakBefore w:val="0"/>
              <w:bidi w:val="0"/>
              <w:jc w:val="center"/>
              <w:outlineLvl w:val="9"/>
              <w:rPr>
                <w:rFonts w:hint="eastAsia" w:ascii="宋体" w:hAnsi="宋体" w:eastAsia="宋体" w:cs="宋体"/>
                <w:color w:val="auto"/>
                <w:szCs w:val="21"/>
                <w:highlight w:val="none"/>
              </w:rPr>
            </w:pPr>
          </w:p>
        </w:tc>
        <w:tc>
          <w:tcPr>
            <w:tcW w:w="669" w:type="pct"/>
            <w:vAlign w:val="center"/>
          </w:tcPr>
          <w:p w14:paraId="3E8641E2">
            <w:pPr>
              <w:pageBreakBefore w:val="0"/>
              <w:bidi w:val="0"/>
              <w:jc w:val="center"/>
              <w:outlineLvl w:val="9"/>
              <w:rPr>
                <w:rFonts w:hint="eastAsia" w:ascii="宋体" w:hAnsi="宋体" w:eastAsia="宋体" w:cs="宋体"/>
                <w:color w:val="auto"/>
                <w:szCs w:val="21"/>
                <w:highlight w:val="none"/>
              </w:rPr>
            </w:pPr>
          </w:p>
        </w:tc>
        <w:tc>
          <w:tcPr>
            <w:tcW w:w="840" w:type="pct"/>
            <w:tcMar>
              <w:top w:w="28" w:type="dxa"/>
              <w:left w:w="28" w:type="dxa"/>
              <w:bottom w:w="28" w:type="dxa"/>
              <w:right w:w="28" w:type="dxa"/>
            </w:tcMar>
            <w:vAlign w:val="center"/>
          </w:tcPr>
          <w:p w14:paraId="2D48DBEE">
            <w:pPr>
              <w:pageBreakBefore w:val="0"/>
              <w:bidi w:val="0"/>
              <w:jc w:val="center"/>
              <w:outlineLvl w:val="9"/>
              <w:rPr>
                <w:rFonts w:hint="eastAsia" w:ascii="宋体" w:hAnsi="宋体" w:eastAsia="宋体" w:cs="宋体"/>
                <w:color w:val="auto"/>
                <w:szCs w:val="21"/>
                <w:highlight w:val="none"/>
              </w:rPr>
            </w:pPr>
          </w:p>
        </w:tc>
        <w:tc>
          <w:tcPr>
            <w:tcW w:w="351" w:type="pct"/>
            <w:tcMar>
              <w:top w:w="28" w:type="dxa"/>
              <w:left w:w="28" w:type="dxa"/>
              <w:bottom w:w="28" w:type="dxa"/>
              <w:right w:w="28" w:type="dxa"/>
            </w:tcMar>
            <w:vAlign w:val="center"/>
          </w:tcPr>
          <w:p w14:paraId="7A642311">
            <w:pPr>
              <w:pageBreakBefore w:val="0"/>
              <w:bidi w:val="0"/>
              <w:jc w:val="center"/>
              <w:outlineLvl w:val="9"/>
              <w:rPr>
                <w:rFonts w:hint="eastAsia" w:ascii="宋体" w:hAnsi="宋体" w:eastAsia="宋体" w:cs="宋体"/>
                <w:color w:val="auto"/>
                <w:szCs w:val="21"/>
                <w:highlight w:val="none"/>
              </w:rPr>
            </w:pPr>
          </w:p>
        </w:tc>
        <w:tc>
          <w:tcPr>
            <w:tcW w:w="413" w:type="pct"/>
            <w:tcMar>
              <w:top w:w="28" w:type="dxa"/>
              <w:left w:w="28" w:type="dxa"/>
              <w:bottom w:w="28" w:type="dxa"/>
              <w:right w:w="28" w:type="dxa"/>
            </w:tcMar>
            <w:vAlign w:val="center"/>
          </w:tcPr>
          <w:p w14:paraId="7EA35D69">
            <w:pPr>
              <w:pageBreakBefore w:val="0"/>
              <w:bidi w:val="0"/>
              <w:jc w:val="center"/>
              <w:outlineLvl w:val="9"/>
              <w:rPr>
                <w:rFonts w:hint="eastAsia" w:ascii="宋体" w:hAnsi="宋体" w:eastAsia="宋体" w:cs="宋体"/>
                <w:color w:val="auto"/>
                <w:szCs w:val="21"/>
                <w:highlight w:val="none"/>
              </w:rPr>
            </w:pPr>
          </w:p>
        </w:tc>
        <w:tc>
          <w:tcPr>
            <w:tcW w:w="635" w:type="pct"/>
            <w:tcMar>
              <w:top w:w="28" w:type="dxa"/>
              <w:left w:w="28" w:type="dxa"/>
              <w:bottom w:w="28" w:type="dxa"/>
              <w:right w:w="28" w:type="dxa"/>
            </w:tcMar>
            <w:vAlign w:val="center"/>
          </w:tcPr>
          <w:p w14:paraId="4DEE4F6B">
            <w:pPr>
              <w:pageBreakBefore w:val="0"/>
              <w:bidi w:val="0"/>
              <w:jc w:val="center"/>
              <w:outlineLvl w:val="9"/>
              <w:rPr>
                <w:rFonts w:hint="eastAsia" w:ascii="宋体" w:hAnsi="宋体" w:eastAsia="宋体" w:cs="宋体"/>
                <w:color w:val="auto"/>
                <w:szCs w:val="21"/>
                <w:highlight w:val="none"/>
              </w:rPr>
            </w:pPr>
          </w:p>
        </w:tc>
        <w:tc>
          <w:tcPr>
            <w:tcW w:w="249" w:type="pct"/>
            <w:tcMar>
              <w:top w:w="28" w:type="dxa"/>
              <w:left w:w="28" w:type="dxa"/>
              <w:bottom w:w="28" w:type="dxa"/>
              <w:right w:w="28" w:type="dxa"/>
            </w:tcMar>
            <w:vAlign w:val="center"/>
          </w:tcPr>
          <w:p w14:paraId="7EA267B9">
            <w:pPr>
              <w:pageBreakBefore w:val="0"/>
              <w:bidi w:val="0"/>
              <w:jc w:val="center"/>
              <w:outlineLvl w:val="9"/>
              <w:rPr>
                <w:rFonts w:hint="eastAsia" w:ascii="宋体" w:hAnsi="宋体" w:eastAsia="宋体" w:cs="宋体"/>
                <w:color w:val="auto"/>
                <w:szCs w:val="21"/>
                <w:highlight w:val="none"/>
              </w:rPr>
            </w:pPr>
          </w:p>
        </w:tc>
        <w:tc>
          <w:tcPr>
            <w:tcW w:w="199" w:type="pct"/>
            <w:tcBorders>
              <w:left w:val="single" w:color="auto" w:sz="4" w:space="0"/>
            </w:tcBorders>
            <w:tcMar>
              <w:top w:w="28" w:type="dxa"/>
              <w:left w:w="28" w:type="dxa"/>
              <w:bottom w:w="28" w:type="dxa"/>
              <w:right w:w="28" w:type="dxa"/>
            </w:tcMar>
            <w:vAlign w:val="center"/>
          </w:tcPr>
          <w:p w14:paraId="28973756">
            <w:pPr>
              <w:pageBreakBefore w:val="0"/>
              <w:bidi w:val="0"/>
              <w:jc w:val="center"/>
              <w:outlineLvl w:val="9"/>
              <w:rPr>
                <w:rFonts w:hint="eastAsia" w:ascii="宋体" w:hAnsi="宋体" w:eastAsia="宋体" w:cs="宋体"/>
                <w:color w:val="auto"/>
                <w:szCs w:val="21"/>
                <w:highlight w:val="none"/>
              </w:rPr>
            </w:pPr>
          </w:p>
        </w:tc>
      </w:tr>
      <w:tr w14:paraId="723F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1" w:type="pct"/>
            <w:tcMar>
              <w:top w:w="28" w:type="dxa"/>
              <w:left w:w="28" w:type="dxa"/>
              <w:bottom w:w="28" w:type="dxa"/>
              <w:right w:w="28" w:type="dxa"/>
            </w:tcMar>
            <w:vAlign w:val="center"/>
          </w:tcPr>
          <w:p w14:paraId="16CDB2D3">
            <w:pPr>
              <w:pageBreakBefore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605" w:type="pct"/>
            <w:tcMar>
              <w:top w:w="28" w:type="dxa"/>
              <w:left w:w="28" w:type="dxa"/>
              <w:bottom w:w="28" w:type="dxa"/>
              <w:right w:w="28" w:type="dxa"/>
            </w:tcMar>
            <w:vAlign w:val="center"/>
          </w:tcPr>
          <w:p w14:paraId="16C8DFE2">
            <w:pPr>
              <w:pageBreakBefore w:val="0"/>
              <w:bidi w:val="0"/>
              <w:jc w:val="center"/>
              <w:outlineLvl w:val="9"/>
              <w:rPr>
                <w:rFonts w:hint="eastAsia" w:ascii="宋体" w:hAnsi="宋体" w:eastAsia="宋体" w:cs="宋体"/>
                <w:color w:val="auto"/>
                <w:szCs w:val="21"/>
                <w:highlight w:val="none"/>
              </w:rPr>
            </w:pPr>
          </w:p>
        </w:tc>
        <w:tc>
          <w:tcPr>
            <w:tcW w:w="673" w:type="pct"/>
            <w:tcMar>
              <w:top w:w="28" w:type="dxa"/>
              <w:left w:w="28" w:type="dxa"/>
              <w:bottom w:w="28" w:type="dxa"/>
              <w:right w:w="28" w:type="dxa"/>
            </w:tcMar>
            <w:vAlign w:val="center"/>
          </w:tcPr>
          <w:p w14:paraId="7A70D8D0">
            <w:pPr>
              <w:pageBreakBefore w:val="0"/>
              <w:bidi w:val="0"/>
              <w:jc w:val="center"/>
              <w:outlineLvl w:val="9"/>
              <w:rPr>
                <w:rFonts w:hint="eastAsia" w:ascii="宋体" w:hAnsi="宋体" w:eastAsia="宋体" w:cs="宋体"/>
                <w:color w:val="auto"/>
                <w:szCs w:val="21"/>
                <w:highlight w:val="none"/>
              </w:rPr>
            </w:pPr>
          </w:p>
        </w:tc>
        <w:tc>
          <w:tcPr>
            <w:tcW w:w="669" w:type="pct"/>
            <w:vAlign w:val="center"/>
          </w:tcPr>
          <w:p w14:paraId="65609EBA">
            <w:pPr>
              <w:pageBreakBefore w:val="0"/>
              <w:bidi w:val="0"/>
              <w:jc w:val="center"/>
              <w:outlineLvl w:val="9"/>
              <w:rPr>
                <w:rFonts w:hint="eastAsia" w:ascii="宋体" w:hAnsi="宋体" w:eastAsia="宋体" w:cs="宋体"/>
                <w:color w:val="auto"/>
                <w:szCs w:val="21"/>
                <w:highlight w:val="none"/>
              </w:rPr>
            </w:pPr>
          </w:p>
        </w:tc>
        <w:tc>
          <w:tcPr>
            <w:tcW w:w="840" w:type="pct"/>
            <w:tcMar>
              <w:top w:w="28" w:type="dxa"/>
              <w:left w:w="28" w:type="dxa"/>
              <w:bottom w:w="28" w:type="dxa"/>
              <w:right w:w="28" w:type="dxa"/>
            </w:tcMar>
            <w:vAlign w:val="center"/>
          </w:tcPr>
          <w:p w14:paraId="360628BB">
            <w:pPr>
              <w:pageBreakBefore w:val="0"/>
              <w:bidi w:val="0"/>
              <w:jc w:val="center"/>
              <w:outlineLvl w:val="9"/>
              <w:rPr>
                <w:rFonts w:hint="eastAsia" w:ascii="宋体" w:hAnsi="宋体" w:eastAsia="宋体" w:cs="宋体"/>
                <w:color w:val="auto"/>
                <w:szCs w:val="21"/>
                <w:highlight w:val="none"/>
              </w:rPr>
            </w:pPr>
          </w:p>
        </w:tc>
        <w:tc>
          <w:tcPr>
            <w:tcW w:w="351" w:type="pct"/>
            <w:tcMar>
              <w:top w:w="28" w:type="dxa"/>
              <w:left w:w="28" w:type="dxa"/>
              <w:bottom w:w="28" w:type="dxa"/>
              <w:right w:w="28" w:type="dxa"/>
            </w:tcMar>
            <w:vAlign w:val="center"/>
          </w:tcPr>
          <w:p w14:paraId="6C699E68">
            <w:pPr>
              <w:pageBreakBefore w:val="0"/>
              <w:bidi w:val="0"/>
              <w:jc w:val="center"/>
              <w:outlineLvl w:val="9"/>
              <w:rPr>
                <w:rFonts w:hint="eastAsia" w:ascii="宋体" w:hAnsi="宋体" w:eastAsia="宋体" w:cs="宋体"/>
                <w:color w:val="auto"/>
                <w:szCs w:val="21"/>
                <w:highlight w:val="none"/>
              </w:rPr>
            </w:pPr>
          </w:p>
        </w:tc>
        <w:tc>
          <w:tcPr>
            <w:tcW w:w="413" w:type="pct"/>
            <w:tcMar>
              <w:top w:w="28" w:type="dxa"/>
              <w:left w:w="28" w:type="dxa"/>
              <w:bottom w:w="28" w:type="dxa"/>
              <w:right w:w="28" w:type="dxa"/>
            </w:tcMar>
            <w:vAlign w:val="center"/>
          </w:tcPr>
          <w:p w14:paraId="187A1999">
            <w:pPr>
              <w:pageBreakBefore w:val="0"/>
              <w:bidi w:val="0"/>
              <w:jc w:val="center"/>
              <w:outlineLvl w:val="9"/>
              <w:rPr>
                <w:rFonts w:hint="eastAsia" w:ascii="宋体" w:hAnsi="宋体" w:eastAsia="宋体" w:cs="宋体"/>
                <w:color w:val="auto"/>
                <w:szCs w:val="21"/>
                <w:highlight w:val="none"/>
              </w:rPr>
            </w:pPr>
          </w:p>
        </w:tc>
        <w:tc>
          <w:tcPr>
            <w:tcW w:w="635" w:type="pct"/>
            <w:tcMar>
              <w:top w:w="28" w:type="dxa"/>
              <w:left w:w="28" w:type="dxa"/>
              <w:bottom w:w="28" w:type="dxa"/>
              <w:right w:w="28" w:type="dxa"/>
            </w:tcMar>
            <w:vAlign w:val="center"/>
          </w:tcPr>
          <w:p w14:paraId="0332A43E">
            <w:pPr>
              <w:pageBreakBefore w:val="0"/>
              <w:bidi w:val="0"/>
              <w:jc w:val="center"/>
              <w:outlineLvl w:val="9"/>
              <w:rPr>
                <w:rFonts w:hint="eastAsia" w:ascii="宋体" w:hAnsi="宋体" w:eastAsia="宋体" w:cs="宋体"/>
                <w:color w:val="auto"/>
                <w:szCs w:val="21"/>
                <w:highlight w:val="none"/>
              </w:rPr>
            </w:pPr>
          </w:p>
        </w:tc>
        <w:tc>
          <w:tcPr>
            <w:tcW w:w="249" w:type="pct"/>
            <w:tcMar>
              <w:top w:w="28" w:type="dxa"/>
              <w:left w:w="28" w:type="dxa"/>
              <w:bottom w:w="28" w:type="dxa"/>
              <w:right w:w="28" w:type="dxa"/>
            </w:tcMar>
            <w:vAlign w:val="center"/>
          </w:tcPr>
          <w:p w14:paraId="080EC20B">
            <w:pPr>
              <w:pageBreakBefore w:val="0"/>
              <w:bidi w:val="0"/>
              <w:jc w:val="center"/>
              <w:outlineLvl w:val="9"/>
              <w:rPr>
                <w:rFonts w:hint="eastAsia" w:ascii="宋体" w:hAnsi="宋体" w:eastAsia="宋体" w:cs="宋体"/>
                <w:color w:val="auto"/>
                <w:szCs w:val="21"/>
                <w:highlight w:val="none"/>
              </w:rPr>
            </w:pPr>
          </w:p>
        </w:tc>
        <w:tc>
          <w:tcPr>
            <w:tcW w:w="199" w:type="pct"/>
            <w:tcBorders>
              <w:left w:val="single" w:color="auto" w:sz="4" w:space="0"/>
            </w:tcBorders>
            <w:tcMar>
              <w:top w:w="28" w:type="dxa"/>
              <w:left w:w="28" w:type="dxa"/>
              <w:bottom w:w="28" w:type="dxa"/>
              <w:right w:w="28" w:type="dxa"/>
            </w:tcMar>
            <w:vAlign w:val="center"/>
          </w:tcPr>
          <w:p w14:paraId="07541D14">
            <w:pPr>
              <w:pageBreakBefore w:val="0"/>
              <w:bidi w:val="0"/>
              <w:jc w:val="center"/>
              <w:outlineLvl w:val="9"/>
              <w:rPr>
                <w:rFonts w:hint="eastAsia" w:ascii="宋体" w:hAnsi="宋体" w:eastAsia="宋体" w:cs="宋体"/>
                <w:color w:val="auto"/>
                <w:szCs w:val="21"/>
                <w:highlight w:val="none"/>
              </w:rPr>
            </w:pPr>
          </w:p>
        </w:tc>
      </w:tr>
      <w:tr w14:paraId="57003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1" w:type="pct"/>
            <w:tcMar>
              <w:top w:w="28" w:type="dxa"/>
              <w:left w:w="28" w:type="dxa"/>
              <w:bottom w:w="28" w:type="dxa"/>
              <w:right w:w="28" w:type="dxa"/>
            </w:tcMar>
            <w:vAlign w:val="center"/>
          </w:tcPr>
          <w:p w14:paraId="0906D8EC">
            <w:pPr>
              <w:pageBreakBefore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605" w:type="pct"/>
            <w:tcMar>
              <w:top w:w="28" w:type="dxa"/>
              <w:left w:w="28" w:type="dxa"/>
              <w:bottom w:w="28" w:type="dxa"/>
              <w:right w:w="28" w:type="dxa"/>
            </w:tcMar>
            <w:vAlign w:val="center"/>
          </w:tcPr>
          <w:p w14:paraId="185C2B39">
            <w:pPr>
              <w:pageBreakBefore w:val="0"/>
              <w:bidi w:val="0"/>
              <w:jc w:val="center"/>
              <w:outlineLvl w:val="9"/>
              <w:rPr>
                <w:rFonts w:hint="eastAsia" w:ascii="宋体" w:hAnsi="宋体" w:eastAsia="宋体" w:cs="宋体"/>
                <w:color w:val="auto"/>
                <w:szCs w:val="21"/>
                <w:highlight w:val="none"/>
              </w:rPr>
            </w:pPr>
          </w:p>
        </w:tc>
        <w:tc>
          <w:tcPr>
            <w:tcW w:w="673" w:type="pct"/>
            <w:tcMar>
              <w:top w:w="28" w:type="dxa"/>
              <w:left w:w="28" w:type="dxa"/>
              <w:bottom w:w="28" w:type="dxa"/>
              <w:right w:w="28" w:type="dxa"/>
            </w:tcMar>
            <w:vAlign w:val="center"/>
          </w:tcPr>
          <w:p w14:paraId="49F992A2">
            <w:pPr>
              <w:pageBreakBefore w:val="0"/>
              <w:bidi w:val="0"/>
              <w:jc w:val="center"/>
              <w:outlineLvl w:val="9"/>
              <w:rPr>
                <w:rFonts w:hint="eastAsia" w:ascii="宋体" w:hAnsi="宋体" w:eastAsia="宋体" w:cs="宋体"/>
                <w:color w:val="auto"/>
                <w:szCs w:val="21"/>
                <w:highlight w:val="none"/>
              </w:rPr>
            </w:pPr>
          </w:p>
        </w:tc>
        <w:tc>
          <w:tcPr>
            <w:tcW w:w="669" w:type="pct"/>
            <w:vAlign w:val="center"/>
          </w:tcPr>
          <w:p w14:paraId="49374DE7">
            <w:pPr>
              <w:pageBreakBefore w:val="0"/>
              <w:bidi w:val="0"/>
              <w:jc w:val="center"/>
              <w:outlineLvl w:val="9"/>
              <w:rPr>
                <w:rFonts w:hint="eastAsia" w:ascii="宋体" w:hAnsi="宋体" w:eastAsia="宋体" w:cs="宋体"/>
                <w:color w:val="auto"/>
                <w:szCs w:val="21"/>
                <w:highlight w:val="none"/>
              </w:rPr>
            </w:pPr>
          </w:p>
        </w:tc>
        <w:tc>
          <w:tcPr>
            <w:tcW w:w="840" w:type="pct"/>
            <w:tcMar>
              <w:top w:w="28" w:type="dxa"/>
              <w:left w:w="28" w:type="dxa"/>
              <w:bottom w:w="28" w:type="dxa"/>
              <w:right w:w="28" w:type="dxa"/>
            </w:tcMar>
            <w:vAlign w:val="center"/>
          </w:tcPr>
          <w:p w14:paraId="791B56C5">
            <w:pPr>
              <w:pageBreakBefore w:val="0"/>
              <w:bidi w:val="0"/>
              <w:jc w:val="center"/>
              <w:outlineLvl w:val="9"/>
              <w:rPr>
                <w:rFonts w:hint="eastAsia" w:ascii="宋体" w:hAnsi="宋体" w:eastAsia="宋体" w:cs="宋体"/>
                <w:color w:val="auto"/>
                <w:szCs w:val="21"/>
                <w:highlight w:val="none"/>
              </w:rPr>
            </w:pPr>
          </w:p>
        </w:tc>
        <w:tc>
          <w:tcPr>
            <w:tcW w:w="351" w:type="pct"/>
            <w:tcMar>
              <w:top w:w="28" w:type="dxa"/>
              <w:left w:w="28" w:type="dxa"/>
              <w:bottom w:w="28" w:type="dxa"/>
              <w:right w:w="28" w:type="dxa"/>
            </w:tcMar>
            <w:vAlign w:val="center"/>
          </w:tcPr>
          <w:p w14:paraId="42C13F02">
            <w:pPr>
              <w:pageBreakBefore w:val="0"/>
              <w:bidi w:val="0"/>
              <w:jc w:val="center"/>
              <w:outlineLvl w:val="9"/>
              <w:rPr>
                <w:rFonts w:hint="eastAsia" w:ascii="宋体" w:hAnsi="宋体" w:eastAsia="宋体" w:cs="宋体"/>
                <w:color w:val="auto"/>
                <w:szCs w:val="21"/>
                <w:highlight w:val="none"/>
              </w:rPr>
            </w:pPr>
          </w:p>
        </w:tc>
        <w:tc>
          <w:tcPr>
            <w:tcW w:w="413" w:type="pct"/>
            <w:tcMar>
              <w:top w:w="28" w:type="dxa"/>
              <w:left w:w="28" w:type="dxa"/>
              <w:bottom w:w="28" w:type="dxa"/>
              <w:right w:w="28" w:type="dxa"/>
            </w:tcMar>
            <w:vAlign w:val="center"/>
          </w:tcPr>
          <w:p w14:paraId="375771F8">
            <w:pPr>
              <w:pageBreakBefore w:val="0"/>
              <w:bidi w:val="0"/>
              <w:jc w:val="center"/>
              <w:outlineLvl w:val="9"/>
              <w:rPr>
                <w:rFonts w:hint="eastAsia" w:ascii="宋体" w:hAnsi="宋体" w:eastAsia="宋体" w:cs="宋体"/>
                <w:color w:val="auto"/>
                <w:szCs w:val="21"/>
                <w:highlight w:val="none"/>
              </w:rPr>
            </w:pPr>
          </w:p>
        </w:tc>
        <w:tc>
          <w:tcPr>
            <w:tcW w:w="635" w:type="pct"/>
            <w:tcMar>
              <w:top w:w="28" w:type="dxa"/>
              <w:left w:w="28" w:type="dxa"/>
              <w:bottom w:w="28" w:type="dxa"/>
              <w:right w:w="28" w:type="dxa"/>
            </w:tcMar>
            <w:vAlign w:val="center"/>
          </w:tcPr>
          <w:p w14:paraId="243E071F">
            <w:pPr>
              <w:pageBreakBefore w:val="0"/>
              <w:bidi w:val="0"/>
              <w:jc w:val="center"/>
              <w:outlineLvl w:val="9"/>
              <w:rPr>
                <w:rFonts w:hint="eastAsia" w:ascii="宋体" w:hAnsi="宋体" w:eastAsia="宋体" w:cs="宋体"/>
                <w:color w:val="auto"/>
                <w:szCs w:val="21"/>
                <w:highlight w:val="none"/>
              </w:rPr>
            </w:pPr>
          </w:p>
        </w:tc>
        <w:tc>
          <w:tcPr>
            <w:tcW w:w="249" w:type="pct"/>
            <w:tcMar>
              <w:top w:w="28" w:type="dxa"/>
              <w:left w:w="28" w:type="dxa"/>
              <w:bottom w:w="28" w:type="dxa"/>
              <w:right w:w="28" w:type="dxa"/>
            </w:tcMar>
            <w:vAlign w:val="center"/>
          </w:tcPr>
          <w:p w14:paraId="480A8987">
            <w:pPr>
              <w:pageBreakBefore w:val="0"/>
              <w:bidi w:val="0"/>
              <w:jc w:val="center"/>
              <w:outlineLvl w:val="9"/>
              <w:rPr>
                <w:rFonts w:hint="eastAsia" w:ascii="宋体" w:hAnsi="宋体" w:eastAsia="宋体" w:cs="宋体"/>
                <w:color w:val="auto"/>
                <w:szCs w:val="21"/>
                <w:highlight w:val="none"/>
              </w:rPr>
            </w:pPr>
          </w:p>
        </w:tc>
        <w:tc>
          <w:tcPr>
            <w:tcW w:w="199" w:type="pct"/>
            <w:tcBorders>
              <w:left w:val="single" w:color="auto" w:sz="4" w:space="0"/>
            </w:tcBorders>
            <w:tcMar>
              <w:top w:w="28" w:type="dxa"/>
              <w:left w:w="28" w:type="dxa"/>
              <w:bottom w:w="28" w:type="dxa"/>
              <w:right w:w="28" w:type="dxa"/>
            </w:tcMar>
            <w:vAlign w:val="center"/>
          </w:tcPr>
          <w:p w14:paraId="73CBB286">
            <w:pPr>
              <w:pageBreakBefore w:val="0"/>
              <w:bidi w:val="0"/>
              <w:jc w:val="center"/>
              <w:outlineLvl w:val="9"/>
              <w:rPr>
                <w:rFonts w:hint="eastAsia" w:ascii="宋体" w:hAnsi="宋体" w:eastAsia="宋体" w:cs="宋体"/>
                <w:color w:val="auto"/>
                <w:szCs w:val="21"/>
                <w:highlight w:val="none"/>
              </w:rPr>
            </w:pPr>
          </w:p>
        </w:tc>
      </w:tr>
      <w:tr w14:paraId="1F99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1" w:type="pct"/>
            <w:tcMar>
              <w:top w:w="28" w:type="dxa"/>
              <w:left w:w="28" w:type="dxa"/>
              <w:bottom w:w="28" w:type="dxa"/>
              <w:right w:w="28" w:type="dxa"/>
            </w:tcMar>
            <w:vAlign w:val="center"/>
          </w:tcPr>
          <w:p w14:paraId="39210915">
            <w:pPr>
              <w:pageBreakBefore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605" w:type="pct"/>
            <w:tcMar>
              <w:top w:w="28" w:type="dxa"/>
              <w:left w:w="28" w:type="dxa"/>
              <w:bottom w:w="28" w:type="dxa"/>
              <w:right w:w="28" w:type="dxa"/>
            </w:tcMar>
            <w:vAlign w:val="center"/>
          </w:tcPr>
          <w:p w14:paraId="3B154EC4">
            <w:pPr>
              <w:pageBreakBefore w:val="0"/>
              <w:bidi w:val="0"/>
              <w:jc w:val="center"/>
              <w:outlineLvl w:val="9"/>
              <w:rPr>
                <w:rFonts w:hint="eastAsia" w:ascii="宋体" w:hAnsi="宋体" w:eastAsia="宋体" w:cs="宋体"/>
                <w:color w:val="auto"/>
                <w:szCs w:val="21"/>
                <w:highlight w:val="none"/>
              </w:rPr>
            </w:pPr>
          </w:p>
        </w:tc>
        <w:tc>
          <w:tcPr>
            <w:tcW w:w="673" w:type="pct"/>
            <w:tcMar>
              <w:top w:w="28" w:type="dxa"/>
              <w:left w:w="28" w:type="dxa"/>
              <w:bottom w:w="28" w:type="dxa"/>
              <w:right w:w="28" w:type="dxa"/>
            </w:tcMar>
            <w:vAlign w:val="center"/>
          </w:tcPr>
          <w:p w14:paraId="55963FEA">
            <w:pPr>
              <w:pageBreakBefore w:val="0"/>
              <w:bidi w:val="0"/>
              <w:jc w:val="center"/>
              <w:outlineLvl w:val="9"/>
              <w:rPr>
                <w:rFonts w:hint="eastAsia" w:ascii="宋体" w:hAnsi="宋体" w:eastAsia="宋体" w:cs="宋体"/>
                <w:color w:val="auto"/>
                <w:szCs w:val="21"/>
                <w:highlight w:val="none"/>
              </w:rPr>
            </w:pPr>
          </w:p>
        </w:tc>
        <w:tc>
          <w:tcPr>
            <w:tcW w:w="669" w:type="pct"/>
            <w:vAlign w:val="center"/>
          </w:tcPr>
          <w:p w14:paraId="4E5B6EF6">
            <w:pPr>
              <w:pageBreakBefore w:val="0"/>
              <w:bidi w:val="0"/>
              <w:jc w:val="center"/>
              <w:outlineLvl w:val="9"/>
              <w:rPr>
                <w:rFonts w:hint="eastAsia" w:ascii="宋体" w:hAnsi="宋体" w:eastAsia="宋体" w:cs="宋体"/>
                <w:color w:val="auto"/>
                <w:szCs w:val="21"/>
                <w:highlight w:val="none"/>
              </w:rPr>
            </w:pPr>
          </w:p>
        </w:tc>
        <w:tc>
          <w:tcPr>
            <w:tcW w:w="840" w:type="pct"/>
            <w:tcMar>
              <w:top w:w="28" w:type="dxa"/>
              <w:left w:w="28" w:type="dxa"/>
              <w:bottom w:w="28" w:type="dxa"/>
              <w:right w:w="28" w:type="dxa"/>
            </w:tcMar>
            <w:vAlign w:val="center"/>
          </w:tcPr>
          <w:p w14:paraId="25D311AE">
            <w:pPr>
              <w:pageBreakBefore w:val="0"/>
              <w:bidi w:val="0"/>
              <w:jc w:val="center"/>
              <w:outlineLvl w:val="9"/>
              <w:rPr>
                <w:rFonts w:hint="eastAsia" w:ascii="宋体" w:hAnsi="宋体" w:eastAsia="宋体" w:cs="宋体"/>
                <w:color w:val="auto"/>
                <w:szCs w:val="21"/>
                <w:highlight w:val="none"/>
              </w:rPr>
            </w:pPr>
          </w:p>
        </w:tc>
        <w:tc>
          <w:tcPr>
            <w:tcW w:w="351" w:type="pct"/>
            <w:tcMar>
              <w:top w:w="28" w:type="dxa"/>
              <w:left w:w="28" w:type="dxa"/>
              <w:bottom w:w="28" w:type="dxa"/>
              <w:right w:w="28" w:type="dxa"/>
            </w:tcMar>
            <w:vAlign w:val="center"/>
          </w:tcPr>
          <w:p w14:paraId="6416FCF9">
            <w:pPr>
              <w:pageBreakBefore w:val="0"/>
              <w:bidi w:val="0"/>
              <w:jc w:val="center"/>
              <w:outlineLvl w:val="9"/>
              <w:rPr>
                <w:rFonts w:hint="eastAsia" w:ascii="宋体" w:hAnsi="宋体" w:eastAsia="宋体" w:cs="宋体"/>
                <w:color w:val="auto"/>
                <w:szCs w:val="21"/>
                <w:highlight w:val="none"/>
              </w:rPr>
            </w:pPr>
          </w:p>
        </w:tc>
        <w:tc>
          <w:tcPr>
            <w:tcW w:w="413" w:type="pct"/>
            <w:tcMar>
              <w:top w:w="28" w:type="dxa"/>
              <w:left w:w="28" w:type="dxa"/>
              <w:bottom w:w="28" w:type="dxa"/>
              <w:right w:w="28" w:type="dxa"/>
            </w:tcMar>
            <w:vAlign w:val="center"/>
          </w:tcPr>
          <w:p w14:paraId="0691E49D">
            <w:pPr>
              <w:pageBreakBefore w:val="0"/>
              <w:bidi w:val="0"/>
              <w:jc w:val="center"/>
              <w:outlineLvl w:val="9"/>
              <w:rPr>
                <w:rFonts w:hint="eastAsia" w:ascii="宋体" w:hAnsi="宋体" w:eastAsia="宋体" w:cs="宋体"/>
                <w:color w:val="auto"/>
                <w:szCs w:val="21"/>
                <w:highlight w:val="none"/>
              </w:rPr>
            </w:pPr>
          </w:p>
        </w:tc>
        <w:tc>
          <w:tcPr>
            <w:tcW w:w="635" w:type="pct"/>
            <w:tcMar>
              <w:top w:w="28" w:type="dxa"/>
              <w:left w:w="28" w:type="dxa"/>
              <w:bottom w:w="28" w:type="dxa"/>
              <w:right w:w="28" w:type="dxa"/>
            </w:tcMar>
            <w:vAlign w:val="center"/>
          </w:tcPr>
          <w:p w14:paraId="08DA17B7">
            <w:pPr>
              <w:pageBreakBefore w:val="0"/>
              <w:bidi w:val="0"/>
              <w:jc w:val="center"/>
              <w:outlineLvl w:val="9"/>
              <w:rPr>
                <w:rFonts w:hint="eastAsia" w:ascii="宋体" w:hAnsi="宋体" w:eastAsia="宋体" w:cs="宋体"/>
                <w:color w:val="auto"/>
                <w:szCs w:val="21"/>
                <w:highlight w:val="none"/>
              </w:rPr>
            </w:pPr>
          </w:p>
        </w:tc>
        <w:tc>
          <w:tcPr>
            <w:tcW w:w="249" w:type="pct"/>
            <w:tcMar>
              <w:top w:w="28" w:type="dxa"/>
              <w:left w:w="28" w:type="dxa"/>
              <w:bottom w:w="28" w:type="dxa"/>
              <w:right w:w="28" w:type="dxa"/>
            </w:tcMar>
            <w:vAlign w:val="center"/>
          </w:tcPr>
          <w:p w14:paraId="7E29FD84">
            <w:pPr>
              <w:pageBreakBefore w:val="0"/>
              <w:bidi w:val="0"/>
              <w:jc w:val="center"/>
              <w:outlineLvl w:val="9"/>
              <w:rPr>
                <w:rFonts w:hint="eastAsia" w:ascii="宋体" w:hAnsi="宋体" w:eastAsia="宋体" w:cs="宋体"/>
                <w:color w:val="auto"/>
                <w:szCs w:val="21"/>
                <w:highlight w:val="none"/>
              </w:rPr>
            </w:pPr>
          </w:p>
        </w:tc>
        <w:tc>
          <w:tcPr>
            <w:tcW w:w="199" w:type="pct"/>
            <w:tcBorders>
              <w:left w:val="single" w:color="auto" w:sz="4" w:space="0"/>
            </w:tcBorders>
            <w:tcMar>
              <w:top w:w="28" w:type="dxa"/>
              <w:left w:w="28" w:type="dxa"/>
              <w:bottom w:w="28" w:type="dxa"/>
              <w:right w:w="28" w:type="dxa"/>
            </w:tcMar>
            <w:vAlign w:val="center"/>
          </w:tcPr>
          <w:p w14:paraId="0C2670C2">
            <w:pPr>
              <w:pageBreakBefore w:val="0"/>
              <w:bidi w:val="0"/>
              <w:jc w:val="center"/>
              <w:outlineLvl w:val="9"/>
              <w:rPr>
                <w:rFonts w:hint="eastAsia" w:ascii="宋体" w:hAnsi="宋体" w:eastAsia="宋体" w:cs="宋体"/>
                <w:color w:val="auto"/>
                <w:szCs w:val="21"/>
                <w:highlight w:val="none"/>
              </w:rPr>
            </w:pPr>
          </w:p>
        </w:tc>
      </w:tr>
      <w:tr w14:paraId="6388C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1" w:type="pct"/>
            <w:tcMar>
              <w:top w:w="28" w:type="dxa"/>
              <w:left w:w="28" w:type="dxa"/>
              <w:bottom w:w="28" w:type="dxa"/>
              <w:right w:w="28" w:type="dxa"/>
            </w:tcMar>
            <w:vAlign w:val="center"/>
          </w:tcPr>
          <w:p w14:paraId="6C26CE8F">
            <w:pPr>
              <w:pageBreakBefore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605" w:type="pct"/>
            <w:tcMar>
              <w:top w:w="28" w:type="dxa"/>
              <w:left w:w="28" w:type="dxa"/>
              <w:bottom w:w="28" w:type="dxa"/>
              <w:right w:w="28" w:type="dxa"/>
            </w:tcMar>
            <w:vAlign w:val="center"/>
          </w:tcPr>
          <w:p w14:paraId="4511136D">
            <w:pPr>
              <w:pageBreakBefore w:val="0"/>
              <w:bidi w:val="0"/>
              <w:jc w:val="center"/>
              <w:outlineLvl w:val="9"/>
              <w:rPr>
                <w:rFonts w:hint="eastAsia" w:ascii="宋体" w:hAnsi="宋体" w:eastAsia="宋体" w:cs="宋体"/>
                <w:color w:val="auto"/>
                <w:szCs w:val="21"/>
                <w:highlight w:val="none"/>
              </w:rPr>
            </w:pPr>
          </w:p>
        </w:tc>
        <w:tc>
          <w:tcPr>
            <w:tcW w:w="673" w:type="pct"/>
            <w:tcMar>
              <w:top w:w="28" w:type="dxa"/>
              <w:left w:w="28" w:type="dxa"/>
              <w:bottom w:w="28" w:type="dxa"/>
              <w:right w:w="28" w:type="dxa"/>
            </w:tcMar>
            <w:vAlign w:val="center"/>
          </w:tcPr>
          <w:p w14:paraId="2D2BDFAA">
            <w:pPr>
              <w:pageBreakBefore w:val="0"/>
              <w:bidi w:val="0"/>
              <w:jc w:val="center"/>
              <w:outlineLvl w:val="9"/>
              <w:rPr>
                <w:rFonts w:hint="eastAsia" w:ascii="宋体" w:hAnsi="宋体" w:eastAsia="宋体" w:cs="宋体"/>
                <w:color w:val="auto"/>
                <w:szCs w:val="21"/>
                <w:highlight w:val="none"/>
              </w:rPr>
            </w:pPr>
          </w:p>
        </w:tc>
        <w:tc>
          <w:tcPr>
            <w:tcW w:w="669" w:type="pct"/>
            <w:vAlign w:val="center"/>
          </w:tcPr>
          <w:p w14:paraId="3E36EDFF">
            <w:pPr>
              <w:pageBreakBefore w:val="0"/>
              <w:bidi w:val="0"/>
              <w:jc w:val="center"/>
              <w:outlineLvl w:val="9"/>
              <w:rPr>
                <w:rFonts w:hint="eastAsia" w:ascii="宋体" w:hAnsi="宋体" w:eastAsia="宋体" w:cs="宋体"/>
                <w:color w:val="auto"/>
                <w:szCs w:val="21"/>
                <w:highlight w:val="none"/>
              </w:rPr>
            </w:pPr>
          </w:p>
        </w:tc>
        <w:tc>
          <w:tcPr>
            <w:tcW w:w="840" w:type="pct"/>
            <w:tcMar>
              <w:top w:w="28" w:type="dxa"/>
              <w:left w:w="28" w:type="dxa"/>
              <w:bottom w:w="28" w:type="dxa"/>
              <w:right w:w="28" w:type="dxa"/>
            </w:tcMar>
            <w:vAlign w:val="center"/>
          </w:tcPr>
          <w:p w14:paraId="05B71BDC">
            <w:pPr>
              <w:pageBreakBefore w:val="0"/>
              <w:bidi w:val="0"/>
              <w:jc w:val="center"/>
              <w:outlineLvl w:val="9"/>
              <w:rPr>
                <w:rFonts w:hint="eastAsia" w:ascii="宋体" w:hAnsi="宋体" w:eastAsia="宋体" w:cs="宋体"/>
                <w:color w:val="auto"/>
                <w:szCs w:val="21"/>
                <w:highlight w:val="none"/>
              </w:rPr>
            </w:pPr>
          </w:p>
        </w:tc>
        <w:tc>
          <w:tcPr>
            <w:tcW w:w="351" w:type="pct"/>
            <w:tcMar>
              <w:top w:w="28" w:type="dxa"/>
              <w:left w:w="28" w:type="dxa"/>
              <w:bottom w:w="28" w:type="dxa"/>
              <w:right w:w="28" w:type="dxa"/>
            </w:tcMar>
            <w:vAlign w:val="center"/>
          </w:tcPr>
          <w:p w14:paraId="6F23347E">
            <w:pPr>
              <w:pageBreakBefore w:val="0"/>
              <w:bidi w:val="0"/>
              <w:jc w:val="center"/>
              <w:outlineLvl w:val="9"/>
              <w:rPr>
                <w:rFonts w:hint="eastAsia" w:ascii="宋体" w:hAnsi="宋体" w:eastAsia="宋体" w:cs="宋体"/>
                <w:color w:val="auto"/>
                <w:szCs w:val="21"/>
                <w:highlight w:val="none"/>
              </w:rPr>
            </w:pPr>
          </w:p>
        </w:tc>
        <w:tc>
          <w:tcPr>
            <w:tcW w:w="413" w:type="pct"/>
            <w:tcMar>
              <w:top w:w="28" w:type="dxa"/>
              <w:left w:w="28" w:type="dxa"/>
              <w:bottom w:w="28" w:type="dxa"/>
              <w:right w:w="28" w:type="dxa"/>
            </w:tcMar>
            <w:vAlign w:val="center"/>
          </w:tcPr>
          <w:p w14:paraId="4FB97980">
            <w:pPr>
              <w:pageBreakBefore w:val="0"/>
              <w:bidi w:val="0"/>
              <w:jc w:val="center"/>
              <w:outlineLvl w:val="9"/>
              <w:rPr>
                <w:rFonts w:hint="eastAsia" w:ascii="宋体" w:hAnsi="宋体" w:eastAsia="宋体" w:cs="宋体"/>
                <w:color w:val="auto"/>
                <w:szCs w:val="21"/>
                <w:highlight w:val="none"/>
              </w:rPr>
            </w:pPr>
          </w:p>
        </w:tc>
        <w:tc>
          <w:tcPr>
            <w:tcW w:w="635" w:type="pct"/>
            <w:tcMar>
              <w:top w:w="28" w:type="dxa"/>
              <w:left w:w="28" w:type="dxa"/>
              <w:bottom w:w="28" w:type="dxa"/>
              <w:right w:w="28" w:type="dxa"/>
            </w:tcMar>
            <w:vAlign w:val="center"/>
          </w:tcPr>
          <w:p w14:paraId="3E21E3B7">
            <w:pPr>
              <w:pageBreakBefore w:val="0"/>
              <w:bidi w:val="0"/>
              <w:jc w:val="center"/>
              <w:outlineLvl w:val="9"/>
              <w:rPr>
                <w:rFonts w:hint="eastAsia" w:ascii="宋体" w:hAnsi="宋体" w:eastAsia="宋体" w:cs="宋体"/>
                <w:color w:val="auto"/>
                <w:szCs w:val="21"/>
                <w:highlight w:val="none"/>
              </w:rPr>
            </w:pPr>
          </w:p>
        </w:tc>
        <w:tc>
          <w:tcPr>
            <w:tcW w:w="249" w:type="pct"/>
            <w:tcMar>
              <w:top w:w="28" w:type="dxa"/>
              <w:left w:w="28" w:type="dxa"/>
              <w:bottom w:w="28" w:type="dxa"/>
              <w:right w:w="28" w:type="dxa"/>
            </w:tcMar>
            <w:vAlign w:val="center"/>
          </w:tcPr>
          <w:p w14:paraId="7BDEF631">
            <w:pPr>
              <w:pageBreakBefore w:val="0"/>
              <w:bidi w:val="0"/>
              <w:jc w:val="center"/>
              <w:outlineLvl w:val="9"/>
              <w:rPr>
                <w:rFonts w:hint="eastAsia" w:ascii="宋体" w:hAnsi="宋体" w:eastAsia="宋体" w:cs="宋体"/>
                <w:color w:val="auto"/>
                <w:szCs w:val="21"/>
                <w:highlight w:val="none"/>
              </w:rPr>
            </w:pPr>
          </w:p>
        </w:tc>
        <w:tc>
          <w:tcPr>
            <w:tcW w:w="199" w:type="pct"/>
            <w:tcBorders>
              <w:left w:val="single" w:color="auto" w:sz="4" w:space="0"/>
            </w:tcBorders>
            <w:tcMar>
              <w:top w:w="28" w:type="dxa"/>
              <w:left w:w="28" w:type="dxa"/>
              <w:bottom w:w="28" w:type="dxa"/>
              <w:right w:w="28" w:type="dxa"/>
            </w:tcMar>
            <w:vAlign w:val="center"/>
          </w:tcPr>
          <w:p w14:paraId="7208F7E0">
            <w:pPr>
              <w:pageBreakBefore w:val="0"/>
              <w:bidi w:val="0"/>
              <w:jc w:val="center"/>
              <w:outlineLvl w:val="9"/>
              <w:rPr>
                <w:rFonts w:hint="eastAsia" w:ascii="宋体" w:hAnsi="宋体" w:eastAsia="宋体" w:cs="宋体"/>
                <w:color w:val="auto"/>
                <w:szCs w:val="21"/>
                <w:highlight w:val="none"/>
              </w:rPr>
            </w:pPr>
          </w:p>
        </w:tc>
      </w:tr>
      <w:tr w14:paraId="5C213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1" w:type="pct"/>
            <w:tcMar>
              <w:top w:w="28" w:type="dxa"/>
              <w:left w:w="28" w:type="dxa"/>
              <w:bottom w:w="28" w:type="dxa"/>
              <w:right w:w="28" w:type="dxa"/>
            </w:tcMar>
            <w:vAlign w:val="center"/>
          </w:tcPr>
          <w:p w14:paraId="00CBDA77">
            <w:pPr>
              <w:pageBreakBefore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05" w:type="pct"/>
            <w:tcMar>
              <w:top w:w="28" w:type="dxa"/>
              <w:left w:w="28" w:type="dxa"/>
              <w:bottom w:w="28" w:type="dxa"/>
              <w:right w:w="28" w:type="dxa"/>
            </w:tcMar>
            <w:vAlign w:val="center"/>
          </w:tcPr>
          <w:p w14:paraId="0ABA4082">
            <w:pPr>
              <w:pageBreakBefore w:val="0"/>
              <w:bidi w:val="0"/>
              <w:jc w:val="center"/>
              <w:outlineLvl w:val="9"/>
              <w:rPr>
                <w:rFonts w:hint="eastAsia" w:ascii="宋体" w:hAnsi="宋体" w:eastAsia="宋体" w:cs="宋体"/>
                <w:color w:val="auto"/>
                <w:szCs w:val="21"/>
                <w:highlight w:val="none"/>
              </w:rPr>
            </w:pPr>
          </w:p>
        </w:tc>
        <w:tc>
          <w:tcPr>
            <w:tcW w:w="673" w:type="pct"/>
            <w:tcMar>
              <w:top w:w="28" w:type="dxa"/>
              <w:left w:w="28" w:type="dxa"/>
              <w:bottom w:w="28" w:type="dxa"/>
              <w:right w:w="28" w:type="dxa"/>
            </w:tcMar>
            <w:vAlign w:val="center"/>
          </w:tcPr>
          <w:p w14:paraId="0F72F4B6">
            <w:pPr>
              <w:pageBreakBefore w:val="0"/>
              <w:bidi w:val="0"/>
              <w:jc w:val="center"/>
              <w:outlineLvl w:val="9"/>
              <w:rPr>
                <w:rFonts w:hint="eastAsia" w:ascii="宋体" w:hAnsi="宋体" w:eastAsia="宋体" w:cs="宋体"/>
                <w:color w:val="auto"/>
                <w:szCs w:val="21"/>
                <w:highlight w:val="none"/>
              </w:rPr>
            </w:pPr>
          </w:p>
        </w:tc>
        <w:tc>
          <w:tcPr>
            <w:tcW w:w="669" w:type="pct"/>
            <w:vAlign w:val="center"/>
          </w:tcPr>
          <w:p w14:paraId="5391A42E">
            <w:pPr>
              <w:pageBreakBefore w:val="0"/>
              <w:bidi w:val="0"/>
              <w:jc w:val="center"/>
              <w:outlineLvl w:val="9"/>
              <w:rPr>
                <w:rFonts w:hint="eastAsia" w:ascii="宋体" w:hAnsi="宋体" w:eastAsia="宋体" w:cs="宋体"/>
                <w:color w:val="auto"/>
                <w:szCs w:val="21"/>
                <w:highlight w:val="none"/>
              </w:rPr>
            </w:pPr>
          </w:p>
        </w:tc>
        <w:tc>
          <w:tcPr>
            <w:tcW w:w="840" w:type="pct"/>
            <w:tcMar>
              <w:top w:w="28" w:type="dxa"/>
              <w:left w:w="28" w:type="dxa"/>
              <w:bottom w:w="28" w:type="dxa"/>
              <w:right w:w="28" w:type="dxa"/>
            </w:tcMar>
            <w:vAlign w:val="center"/>
          </w:tcPr>
          <w:p w14:paraId="0A937C59">
            <w:pPr>
              <w:pageBreakBefore w:val="0"/>
              <w:bidi w:val="0"/>
              <w:jc w:val="center"/>
              <w:outlineLvl w:val="9"/>
              <w:rPr>
                <w:rFonts w:hint="eastAsia" w:ascii="宋体" w:hAnsi="宋体" w:eastAsia="宋体" w:cs="宋体"/>
                <w:color w:val="auto"/>
                <w:szCs w:val="21"/>
                <w:highlight w:val="none"/>
              </w:rPr>
            </w:pPr>
          </w:p>
        </w:tc>
        <w:tc>
          <w:tcPr>
            <w:tcW w:w="351" w:type="pct"/>
            <w:tcMar>
              <w:top w:w="28" w:type="dxa"/>
              <w:left w:w="28" w:type="dxa"/>
              <w:bottom w:w="28" w:type="dxa"/>
              <w:right w:w="28" w:type="dxa"/>
            </w:tcMar>
            <w:vAlign w:val="center"/>
          </w:tcPr>
          <w:p w14:paraId="06E49201">
            <w:pPr>
              <w:pageBreakBefore w:val="0"/>
              <w:bidi w:val="0"/>
              <w:jc w:val="center"/>
              <w:outlineLvl w:val="9"/>
              <w:rPr>
                <w:rFonts w:hint="eastAsia" w:ascii="宋体" w:hAnsi="宋体" w:eastAsia="宋体" w:cs="宋体"/>
                <w:color w:val="auto"/>
                <w:szCs w:val="21"/>
                <w:highlight w:val="none"/>
              </w:rPr>
            </w:pPr>
          </w:p>
        </w:tc>
        <w:tc>
          <w:tcPr>
            <w:tcW w:w="413" w:type="pct"/>
            <w:tcMar>
              <w:top w:w="28" w:type="dxa"/>
              <w:left w:w="28" w:type="dxa"/>
              <w:bottom w:w="28" w:type="dxa"/>
              <w:right w:w="28" w:type="dxa"/>
            </w:tcMar>
            <w:vAlign w:val="center"/>
          </w:tcPr>
          <w:p w14:paraId="33E2095E">
            <w:pPr>
              <w:pageBreakBefore w:val="0"/>
              <w:bidi w:val="0"/>
              <w:jc w:val="center"/>
              <w:outlineLvl w:val="9"/>
              <w:rPr>
                <w:rFonts w:hint="eastAsia" w:ascii="宋体" w:hAnsi="宋体" w:eastAsia="宋体" w:cs="宋体"/>
                <w:color w:val="auto"/>
                <w:szCs w:val="21"/>
                <w:highlight w:val="none"/>
              </w:rPr>
            </w:pPr>
          </w:p>
        </w:tc>
        <w:tc>
          <w:tcPr>
            <w:tcW w:w="635" w:type="pct"/>
            <w:tcMar>
              <w:top w:w="28" w:type="dxa"/>
              <w:left w:w="28" w:type="dxa"/>
              <w:bottom w:w="28" w:type="dxa"/>
              <w:right w:w="28" w:type="dxa"/>
            </w:tcMar>
            <w:vAlign w:val="center"/>
          </w:tcPr>
          <w:p w14:paraId="018FCDFF">
            <w:pPr>
              <w:pageBreakBefore w:val="0"/>
              <w:bidi w:val="0"/>
              <w:jc w:val="center"/>
              <w:outlineLvl w:val="9"/>
              <w:rPr>
                <w:rFonts w:hint="eastAsia" w:ascii="宋体" w:hAnsi="宋体" w:eastAsia="宋体" w:cs="宋体"/>
                <w:color w:val="auto"/>
                <w:szCs w:val="21"/>
                <w:highlight w:val="none"/>
              </w:rPr>
            </w:pPr>
          </w:p>
        </w:tc>
        <w:tc>
          <w:tcPr>
            <w:tcW w:w="249" w:type="pct"/>
            <w:tcMar>
              <w:top w:w="28" w:type="dxa"/>
              <w:left w:w="28" w:type="dxa"/>
              <w:bottom w:w="28" w:type="dxa"/>
              <w:right w:w="28" w:type="dxa"/>
            </w:tcMar>
            <w:vAlign w:val="center"/>
          </w:tcPr>
          <w:p w14:paraId="6AFB3F9C">
            <w:pPr>
              <w:pageBreakBefore w:val="0"/>
              <w:bidi w:val="0"/>
              <w:jc w:val="center"/>
              <w:outlineLvl w:val="9"/>
              <w:rPr>
                <w:rFonts w:hint="eastAsia" w:ascii="宋体" w:hAnsi="宋体" w:eastAsia="宋体" w:cs="宋体"/>
                <w:color w:val="auto"/>
                <w:szCs w:val="21"/>
                <w:highlight w:val="none"/>
              </w:rPr>
            </w:pPr>
          </w:p>
        </w:tc>
        <w:tc>
          <w:tcPr>
            <w:tcW w:w="199" w:type="pct"/>
            <w:tcBorders>
              <w:left w:val="single" w:color="auto" w:sz="4" w:space="0"/>
            </w:tcBorders>
            <w:tcMar>
              <w:top w:w="28" w:type="dxa"/>
              <w:left w:w="28" w:type="dxa"/>
              <w:bottom w:w="28" w:type="dxa"/>
              <w:right w:w="28" w:type="dxa"/>
            </w:tcMar>
            <w:vAlign w:val="center"/>
          </w:tcPr>
          <w:p w14:paraId="57B9827A">
            <w:pPr>
              <w:pageBreakBefore w:val="0"/>
              <w:bidi w:val="0"/>
              <w:jc w:val="center"/>
              <w:outlineLvl w:val="9"/>
              <w:rPr>
                <w:rFonts w:hint="eastAsia" w:ascii="宋体" w:hAnsi="宋体" w:eastAsia="宋体" w:cs="宋体"/>
                <w:color w:val="auto"/>
                <w:szCs w:val="21"/>
                <w:highlight w:val="none"/>
              </w:rPr>
            </w:pPr>
          </w:p>
        </w:tc>
      </w:tr>
      <w:tr w14:paraId="36850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150" w:type="pct"/>
            <w:gridSpan w:val="5"/>
            <w:tcMar>
              <w:top w:w="28" w:type="dxa"/>
              <w:left w:w="28" w:type="dxa"/>
              <w:bottom w:w="28" w:type="dxa"/>
              <w:right w:w="28" w:type="dxa"/>
            </w:tcMar>
            <w:vAlign w:val="center"/>
          </w:tcPr>
          <w:p w14:paraId="773CBC8B">
            <w:pPr>
              <w:pageBreakBefore w:val="0"/>
              <w:bidi w:val="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总计：（大写）</w:t>
            </w:r>
          </w:p>
        </w:tc>
        <w:tc>
          <w:tcPr>
            <w:tcW w:w="351" w:type="pct"/>
            <w:tcMar>
              <w:top w:w="28" w:type="dxa"/>
              <w:left w:w="28" w:type="dxa"/>
              <w:bottom w:w="28" w:type="dxa"/>
              <w:right w:w="28" w:type="dxa"/>
            </w:tcMar>
            <w:vAlign w:val="center"/>
          </w:tcPr>
          <w:p w14:paraId="5192FCCF">
            <w:pPr>
              <w:pageBreakBefore w:val="0"/>
              <w:bidi w:val="0"/>
              <w:jc w:val="left"/>
              <w:outlineLvl w:val="9"/>
              <w:rPr>
                <w:rFonts w:hint="eastAsia" w:ascii="宋体" w:hAnsi="宋体" w:eastAsia="宋体" w:cs="宋体"/>
                <w:color w:val="auto"/>
                <w:szCs w:val="21"/>
                <w:highlight w:val="none"/>
              </w:rPr>
            </w:pPr>
          </w:p>
        </w:tc>
        <w:tc>
          <w:tcPr>
            <w:tcW w:w="1497" w:type="pct"/>
            <w:gridSpan w:val="4"/>
            <w:tcMar>
              <w:top w:w="28" w:type="dxa"/>
              <w:left w:w="28" w:type="dxa"/>
              <w:bottom w:w="28" w:type="dxa"/>
              <w:right w:w="28" w:type="dxa"/>
            </w:tcMar>
            <w:vAlign w:val="center"/>
          </w:tcPr>
          <w:p w14:paraId="6827479D">
            <w:pPr>
              <w:pageBreakBefore w:val="0"/>
              <w:bidi w:val="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r>
    </w:tbl>
    <w:p w14:paraId="2CDDC3B7">
      <w:pPr>
        <w:pStyle w:val="12"/>
        <w:pageBreakBefore w:val="0"/>
        <w:bidi w:val="0"/>
        <w:outlineLvl w:val="9"/>
        <w:rPr>
          <w:rFonts w:hint="eastAsia" w:ascii="宋体" w:hAnsi="宋体" w:eastAsia="宋体" w:cs="宋体"/>
          <w:color w:val="auto"/>
          <w:sz w:val="24"/>
          <w:szCs w:val="24"/>
          <w:highlight w:val="none"/>
        </w:rPr>
      </w:pPr>
    </w:p>
    <w:p w14:paraId="03D40CB1">
      <w:pPr>
        <w:pageBreakBefore w:val="0"/>
        <w:kinsoku w:val="0"/>
        <w:bidi w:val="0"/>
        <w:spacing w:line="500" w:lineRule="exact"/>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此表仅供参考，</w:t>
      </w:r>
      <w:r>
        <w:rPr>
          <w:rFonts w:hint="eastAsia" w:ascii="宋体" w:hAnsi="宋体" w:eastAsia="宋体" w:cs="宋体"/>
          <w:color w:val="auto"/>
          <w:sz w:val="24"/>
          <w:highlight w:val="none"/>
        </w:rPr>
        <w:t>表中的“总价”</w:t>
      </w:r>
      <w:r>
        <w:rPr>
          <w:rFonts w:hint="eastAsia" w:ascii="宋体" w:hAnsi="宋体" w:eastAsia="宋体" w:cs="宋体"/>
          <w:color w:val="auto"/>
          <w:sz w:val="24"/>
          <w:highlight w:val="none"/>
          <w:lang w:val="en-US" w:eastAsia="zh-CN"/>
        </w:rPr>
        <w:t>应</w:t>
      </w:r>
      <w:r>
        <w:rPr>
          <w:rFonts w:hint="eastAsia" w:ascii="宋体" w:hAnsi="宋体" w:eastAsia="宋体" w:cs="宋体"/>
          <w:color w:val="auto"/>
          <w:sz w:val="24"/>
          <w:highlight w:val="none"/>
        </w:rPr>
        <w:t>与“开标一览表”中的“投标总报价”一致,各子项分别报价</w:t>
      </w:r>
      <w:r>
        <w:rPr>
          <w:rFonts w:hint="eastAsia" w:ascii="宋体" w:hAnsi="宋体" w:eastAsia="宋体" w:cs="宋体"/>
          <w:color w:val="auto"/>
          <w:sz w:val="24"/>
          <w:highlight w:val="none"/>
          <w:lang w:val="en-US" w:eastAsia="zh-CN"/>
        </w:rPr>
        <w:t>。</w:t>
      </w:r>
    </w:p>
    <w:p w14:paraId="66C56AEE">
      <w:pPr>
        <w:pageBreakBefore w:val="0"/>
        <w:bidi w:val="0"/>
        <w:outlineLvl w:val="9"/>
        <w:rPr>
          <w:rFonts w:hint="eastAsia" w:ascii="宋体" w:hAnsi="宋体" w:eastAsia="宋体" w:cs="宋体"/>
          <w:color w:val="auto"/>
          <w:sz w:val="24"/>
          <w:highlight w:val="none"/>
        </w:rPr>
      </w:pPr>
    </w:p>
    <w:p w14:paraId="75540117">
      <w:pPr>
        <w:pageBreakBefore w:val="0"/>
        <w:bidi w:val="0"/>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法定代表人/被授权人（签字或盖章）： </w:t>
      </w:r>
      <w:r>
        <w:rPr>
          <w:rFonts w:hint="eastAsia" w:ascii="宋体" w:hAnsi="宋体" w:eastAsia="宋体" w:cs="宋体"/>
          <w:color w:val="auto"/>
          <w:sz w:val="24"/>
          <w:highlight w:val="none"/>
          <w:u w:val="single"/>
        </w:rPr>
        <w:t xml:space="preserve">         </w:t>
      </w:r>
    </w:p>
    <w:p w14:paraId="32289D5F">
      <w:pPr>
        <w:pageBreakBefore w:val="0"/>
        <w:bidi w:val="0"/>
        <w:outlineLvl w:val="9"/>
        <w:rPr>
          <w:rFonts w:hint="eastAsia" w:ascii="宋体" w:hAnsi="宋体" w:eastAsia="宋体" w:cs="宋体"/>
          <w:color w:val="auto"/>
          <w:sz w:val="24"/>
          <w:highlight w:val="none"/>
        </w:rPr>
      </w:pPr>
    </w:p>
    <w:p w14:paraId="110EDEB6">
      <w:pPr>
        <w:pageBreakBefore w:val="0"/>
        <w:bidi w:val="0"/>
        <w:outlineLvl w:val="9"/>
        <w:rPr>
          <w:rFonts w:hint="eastAsia" w:ascii="宋体" w:hAnsi="宋体" w:eastAsia="宋体" w:cs="宋体"/>
          <w:b/>
          <w:color w:val="auto"/>
          <w:sz w:val="44"/>
          <w:highlight w:val="none"/>
        </w:rPr>
      </w:pPr>
    </w:p>
    <w:p w14:paraId="3EAD4046">
      <w:pPr>
        <w:pStyle w:val="12"/>
        <w:pageBreakBefore w:val="0"/>
        <w:bidi w:val="0"/>
        <w:outlineLvl w:val="9"/>
        <w:rPr>
          <w:rFonts w:hint="eastAsia" w:ascii="宋体" w:hAnsi="宋体" w:eastAsia="宋体" w:cs="宋体"/>
          <w:b/>
          <w:color w:val="auto"/>
          <w:sz w:val="24"/>
          <w:szCs w:val="24"/>
          <w:highlight w:val="none"/>
        </w:rPr>
      </w:pPr>
      <w:r>
        <w:rPr>
          <w:rFonts w:hint="eastAsia" w:ascii="宋体" w:hAnsi="宋体" w:eastAsia="宋体" w:cs="宋体"/>
          <w:b/>
          <w:bCs/>
          <w:color w:val="auto"/>
          <w:highlight w:val="none"/>
        </w:rPr>
        <w:br w:type="page"/>
      </w:r>
    </w:p>
    <w:p w14:paraId="6B295884">
      <w:pPr>
        <w:pageBreakBefore w:val="0"/>
        <w:bidi w:val="0"/>
        <w:spacing w:line="360" w:lineRule="atLeast"/>
        <w:jc w:val="center"/>
        <w:outlineLvl w:val="9"/>
        <w:rPr>
          <w:rFonts w:hint="eastAsia" w:ascii="宋体" w:hAnsi="宋体" w:eastAsia="宋体" w:cs="宋体"/>
          <w:b/>
          <w:color w:val="auto"/>
          <w:sz w:val="32"/>
          <w:szCs w:val="32"/>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宋体" w:hAnsi="宋体" w:eastAsia="宋体" w:cs="宋体"/>
          <w:b/>
          <w:color w:val="auto"/>
          <w:sz w:val="32"/>
          <w:szCs w:val="21"/>
          <w:highlight w:val="none"/>
          <w:lang w:val="en-US" w:eastAsia="zh-CN"/>
        </w:rPr>
        <w:t>四、投标保证金交纳凭证</w:t>
      </w:r>
    </w:p>
    <w:p w14:paraId="16CC5FD8">
      <w:pPr>
        <w:pStyle w:val="12"/>
        <w:pageBreakBefore w:val="0"/>
        <w:bidi w:val="0"/>
        <w:jc w:val="center"/>
        <w:outlineLvl w:val="9"/>
        <w:rPr>
          <w:rFonts w:hint="eastAsia" w:ascii="宋体" w:hAnsi="宋体" w:eastAsia="宋体" w:cs="宋体"/>
          <w:b/>
          <w:color w:val="auto"/>
          <w:sz w:val="32"/>
          <w:highlight w:val="none"/>
        </w:rPr>
      </w:pPr>
      <w:r>
        <w:rPr>
          <w:rFonts w:hint="eastAsia" w:ascii="宋体" w:hAnsi="宋体" w:eastAsia="宋体" w:cs="宋体"/>
          <w:b/>
          <w:color w:val="auto"/>
          <w:sz w:val="32"/>
          <w:highlight w:val="none"/>
          <w:lang w:val="en-US" w:eastAsia="zh-CN"/>
        </w:rPr>
        <w:t>五、</w:t>
      </w:r>
      <w:r>
        <w:rPr>
          <w:rFonts w:hint="eastAsia" w:ascii="宋体" w:hAnsi="宋体" w:eastAsia="宋体" w:cs="宋体"/>
          <w:b/>
          <w:color w:val="auto"/>
          <w:sz w:val="32"/>
          <w:highlight w:val="none"/>
        </w:rPr>
        <w:t>技术</w:t>
      </w:r>
      <w:r>
        <w:rPr>
          <w:rFonts w:hint="eastAsia" w:ascii="宋体" w:hAnsi="宋体" w:eastAsia="宋体" w:cs="宋体"/>
          <w:b/>
          <w:color w:val="auto"/>
          <w:sz w:val="32"/>
          <w:highlight w:val="none"/>
          <w:lang w:eastAsia="zh-CN"/>
        </w:rPr>
        <w:t>参数</w:t>
      </w:r>
      <w:r>
        <w:rPr>
          <w:rFonts w:hint="eastAsia" w:ascii="宋体" w:hAnsi="宋体" w:eastAsia="宋体" w:cs="宋体"/>
          <w:b/>
          <w:color w:val="auto"/>
          <w:sz w:val="32"/>
          <w:highlight w:val="none"/>
        </w:rPr>
        <w:t>响应偏离表</w:t>
      </w:r>
    </w:p>
    <w:p w14:paraId="4B6E0C45">
      <w:pPr>
        <w:pageBreakBefore w:val="0"/>
        <w:kinsoku w:val="0"/>
        <w:bidi w:val="0"/>
        <w:spacing w:line="50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val="en-US" w:eastAsia="zh-CN"/>
        </w:rPr>
        <w:t>及标包</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52C62190">
      <w:pPr>
        <w:pageBreakBefore w:val="0"/>
        <w:kinsoku w:val="0"/>
        <w:bidi w:val="0"/>
        <w:spacing w:line="50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14:paraId="6C5E4925">
      <w:pPr>
        <w:pageBreakBefore w:val="0"/>
        <w:kinsoku w:val="0"/>
        <w:bidi w:val="0"/>
        <w:spacing w:line="50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24"/>
        <w:tblpPr w:leftFromText="180" w:rightFromText="180" w:vertAnchor="text" w:horzAnchor="page" w:tblpXSpec="center" w:tblpY="204"/>
        <w:tblOverlap w:val="never"/>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86"/>
        <w:gridCol w:w="1897"/>
        <w:gridCol w:w="2659"/>
        <w:gridCol w:w="1689"/>
        <w:gridCol w:w="1319"/>
      </w:tblGrid>
      <w:tr w14:paraId="7C69B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3374EFDE">
            <w:pPr>
              <w:pageBreakBefore w:val="0"/>
              <w:bidi w:val="0"/>
              <w:spacing w:line="360" w:lineRule="exact"/>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986" w:type="dxa"/>
            <w:tcMar>
              <w:top w:w="57" w:type="dxa"/>
              <w:left w:w="28" w:type="dxa"/>
              <w:bottom w:w="57" w:type="dxa"/>
              <w:right w:w="28" w:type="dxa"/>
            </w:tcMar>
            <w:vAlign w:val="center"/>
          </w:tcPr>
          <w:p w14:paraId="6AF3B8D5">
            <w:pPr>
              <w:pageBreakBefore w:val="0"/>
              <w:bidi w:val="0"/>
              <w:spacing w:line="360" w:lineRule="exact"/>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名称</w:t>
            </w:r>
          </w:p>
        </w:tc>
        <w:tc>
          <w:tcPr>
            <w:tcW w:w="1897" w:type="dxa"/>
            <w:vAlign w:val="center"/>
          </w:tcPr>
          <w:p w14:paraId="074E0B04">
            <w:pPr>
              <w:pageBreakBefore w:val="0"/>
              <w:bidi w:val="0"/>
              <w:spacing w:line="360" w:lineRule="exact"/>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招标文件</w:t>
            </w:r>
          </w:p>
          <w:p w14:paraId="6E04DDB5">
            <w:pPr>
              <w:pageBreakBefore w:val="0"/>
              <w:bidi w:val="0"/>
              <w:spacing w:line="360" w:lineRule="exact"/>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技术需求</w:t>
            </w:r>
          </w:p>
        </w:tc>
        <w:tc>
          <w:tcPr>
            <w:tcW w:w="2659" w:type="dxa"/>
            <w:tcMar>
              <w:top w:w="57" w:type="dxa"/>
              <w:left w:w="28" w:type="dxa"/>
              <w:bottom w:w="57" w:type="dxa"/>
              <w:right w:w="28" w:type="dxa"/>
            </w:tcMar>
            <w:vAlign w:val="center"/>
          </w:tcPr>
          <w:p w14:paraId="4AD9CA6C">
            <w:pPr>
              <w:pageBreakBefore w:val="0"/>
              <w:bidi w:val="0"/>
              <w:spacing w:line="360" w:lineRule="exact"/>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投标文件响应技术指标</w:t>
            </w:r>
          </w:p>
        </w:tc>
        <w:tc>
          <w:tcPr>
            <w:tcW w:w="1689" w:type="dxa"/>
            <w:tcMar>
              <w:top w:w="57" w:type="dxa"/>
              <w:left w:w="28" w:type="dxa"/>
              <w:bottom w:w="57" w:type="dxa"/>
              <w:right w:w="28" w:type="dxa"/>
            </w:tcMar>
            <w:vAlign w:val="center"/>
          </w:tcPr>
          <w:p w14:paraId="3856FDFC">
            <w:pPr>
              <w:pageBreakBefore w:val="0"/>
              <w:bidi w:val="0"/>
              <w:spacing w:line="360" w:lineRule="exact"/>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偏离情况</w:t>
            </w:r>
          </w:p>
        </w:tc>
        <w:tc>
          <w:tcPr>
            <w:tcW w:w="1319" w:type="dxa"/>
            <w:tcMar>
              <w:top w:w="57" w:type="dxa"/>
              <w:left w:w="28" w:type="dxa"/>
              <w:bottom w:w="57" w:type="dxa"/>
              <w:right w:w="28" w:type="dxa"/>
            </w:tcMar>
            <w:vAlign w:val="center"/>
          </w:tcPr>
          <w:p w14:paraId="78854067">
            <w:pPr>
              <w:pageBreakBefore w:val="0"/>
              <w:bidi w:val="0"/>
              <w:spacing w:line="360" w:lineRule="exact"/>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偏离说明</w:t>
            </w:r>
          </w:p>
        </w:tc>
      </w:tr>
      <w:tr w14:paraId="62997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48" w:type="dxa"/>
            <w:tcMar>
              <w:top w:w="57" w:type="dxa"/>
              <w:left w:w="28" w:type="dxa"/>
              <w:bottom w:w="57" w:type="dxa"/>
              <w:right w:w="28" w:type="dxa"/>
            </w:tcMar>
            <w:vAlign w:val="center"/>
          </w:tcPr>
          <w:p w14:paraId="7453C030">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986" w:type="dxa"/>
            <w:tcMar>
              <w:top w:w="57" w:type="dxa"/>
              <w:left w:w="28" w:type="dxa"/>
              <w:bottom w:w="57" w:type="dxa"/>
              <w:right w:w="28" w:type="dxa"/>
            </w:tcMar>
            <w:vAlign w:val="center"/>
          </w:tcPr>
          <w:p w14:paraId="129CEB7A">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1897" w:type="dxa"/>
            <w:vAlign w:val="center"/>
          </w:tcPr>
          <w:p w14:paraId="031145D2">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2659" w:type="dxa"/>
            <w:tcMar>
              <w:top w:w="57" w:type="dxa"/>
              <w:left w:w="28" w:type="dxa"/>
              <w:bottom w:w="57" w:type="dxa"/>
              <w:right w:w="28" w:type="dxa"/>
            </w:tcMar>
            <w:vAlign w:val="center"/>
          </w:tcPr>
          <w:p w14:paraId="0260B190">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1689" w:type="dxa"/>
            <w:tcMar>
              <w:top w:w="57" w:type="dxa"/>
              <w:left w:w="28" w:type="dxa"/>
              <w:bottom w:w="57" w:type="dxa"/>
              <w:right w:w="28" w:type="dxa"/>
            </w:tcMar>
            <w:vAlign w:val="center"/>
          </w:tcPr>
          <w:p w14:paraId="02210176">
            <w:pPr>
              <w:pageBreakBefore w:val="0"/>
              <w:bidi w:val="0"/>
              <w:spacing w:line="480" w:lineRule="exact"/>
              <w:outlineLvl w:val="9"/>
              <w:rPr>
                <w:rFonts w:hint="eastAsia" w:ascii="宋体" w:hAnsi="宋体" w:eastAsia="宋体" w:cs="宋体"/>
                <w:color w:val="auto"/>
                <w:sz w:val="28"/>
                <w:szCs w:val="28"/>
                <w:highlight w:val="none"/>
              </w:rPr>
            </w:pPr>
          </w:p>
        </w:tc>
        <w:tc>
          <w:tcPr>
            <w:tcW w:w="1319" w:type="dxa"/>
            <w:tcMar>
              <w:top w:w="57" w:type="dxa"/>
              <w:left w:w="28" w:type="dxa"/>
              <w:bottom w:w="57" w:type="dxa"/>
              <w:right w:w="28" w:type="dxa"/>
            </w:tcMar>
            <w:vAlign w:val="center"/>
          </w:tcPr>
          <w:p w14:paraId="728B2232">
            <w:pPr>
              <w:pageBreakBefore w:val="0"/>
              <w:bidi w:val="0"/>
              <w:spacing w:line="480" w:lineRule="exact"/>
              <w:ind w:left="210" w:leftChars="100"/>
              <w:outlineLvl w:val="9"/>
              <w:rPr>
                <w:rFonts w:hint="eastAsia" w:ascii="宋体" w:hAnsi="宋体" w:eastAsia="宋体" w:cs="宋体"/>
                <w:color w:val="auto"/>
                <w:sz w:val="28"/>
                <w:szCs w:val="28"/>
                <w:highlight w:val="none"/>
              </w:rPr>
            </w:pPr>
          </w:p>
        </w:tc>
      </w:tr>
      <w:tr w14:paraId="520D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00E0525B">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986" w:type="dxa"/>
            <w:tcMar>
              <w:top w:w="57" w:type="dxa"/>
              <w:left w:w="28" w:type="dxa"/>
              <w:bottom w:w="57" w:type="dxa"/>
              <w:right w:w="28" w:type="dxa"/>
            </w:tcMar>
            <w:vAlign w:val="center"/>
          </w:tcPr>
          <w:p w14:paraId="4C4FD8E5">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1897" w:type="dxa"/>
            <w:vAlign w:val="center"/>
          </w:tcPr>
          <w:p w14:paraId="1398682D">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2659" w:type="dxa"/>
            <w:tcMar>
              <w:top w:w="57" w:type="dxa"/>
              <w:left w:w="28" w:type="dxa"/>
              <w:bottom w:w="57" w:type="dxa"/>
              <w:right w:w="28" w:type="dxa"/>
            </w:tcMar>
            <w:vAlign w:val="center"/>
          </w:tcPr>
          <w:p w14:paraId="155448DD">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1689" w:type="dxa"/>
            <w:tcMar>
              <w:top w:w="57" w:type="dxa"/>
              <w:left w:w="28" w:type="dxa"/>
              <w:bottom w:w="57" w:type="dxa"/>
              <w:right w:w="28" w:type="dxa"/>
            </w:tcMar>
            <w:vAlign w:val="center"/>
          </w:tcPr>
          <w:p w14:paraId="3E998A0F">
            <w:pPr>
              <w:pageBreakBefore w:val="0"/>
              <w:bidi w:val="0"/>
              <w:spacing w:line="480" w:lineRule="exact"/>
              <w:outlineLvl w:val="9"/>
              <w:rPr>
                <w:rFonts w:hint="eastAsia" w:ascii="宋体" w:hAnsi="宋体" w:eastAsia="宋体" w:cs="宋体"/>
                <w:color w:val="auto"/>
                <w:sz w:val="28"/>
                <w:szCs w:val="28"/>
                <w:highlight w:val="none"/>
              </w:rPr>
            </w:pPr>
          </w:p>
        </w:tc>
        <w:tc>
          <w:tcPr>
            <w:tcW w:w="1319" w:type="dxa"/>
            <w:tcMar>
              <w:top w:w="57" w:type="dxa"/>
              <w:left w:w="28" w:type="dxa"/>
              <w:bottom w:w="57" w:type="dxa"/>
              <w:right w:w="28" w:type="dxa"/>
            </w:tcMar>
            <w:vAlign w:val="center"/>
          </w:tcPr>
          <w:p w14:paraId="40E66B6E">
            <w:pPr>
              <w:pageBreakBefore w:val="0"/>
              <w:bidi w:val="0"/>
              <w:spacing w:line="480" w:lineRule="exact"/>
              <w:ind w:left="210" w:leftChars="100"/>
              <w:outlineLvl w:val="9"/>
              <w:rPr>
                <w:rFonts w:hint="eastAsia" w:ascii="宋体" w:hAnsi="宋体" w:eastAsia="宋体" w:cs="宋体"/>
                <w:color w:val="auto"/>
                <w:sz w:val="28"/>
                <w:szCs w:val="28"/>
                <w:highlight w:val="none"/>
              </w:rPr>
            </w:pPr>
          </w:p>
        </w:tc>
      </w:tr>
      <w:tr w14:paraId="7A0EA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58D706E2">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986" w:type="dxa"/>
            <w:tcMar>
              <w:top w:w="57" w:type="dxa"/>
              <w:left w:w="28" w:type="dxa"/>
              <w:bottom w:w="57" w:type="dxa"/>
              <w:right w:w="28" w:type="dxa"/>
            </w:tcMar>
            <w:vAlign w:val="center"/>
          </w:tcPr>
          <w:p w14:paraId="17D50304">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1897" w:type="dxa"/>
            <w:vAlign w:val="center"/>
          </w:tcPr>
          <w:p w14:paraId="6084BBE6">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2659" w:type="dxa"/>
            <w:tcMar>
              <w:top w:w="57" w:type="dxa"/>
              <w:left w:w="28" w:type="dxa"/>
              <w:bottom w:w="57" w:type="dxa"/>
              <w:right w:w="28" w:type="dxa"/>
            </w:tcMar>
            <w:vAlign w:val="center"/>
          </w:tcPr>
          <w:p w14:paraId="76C3345F">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1689" w:type="dxa"/>
            <w:tcMar>
              <w:top w:w="57" w:type="dxa"/>
              <w:left w:w="28" w:type="dxa"/>
              <w:bottom w:w="57" w:type="dxa"/>
              <w:right w:w="28" w:type="dxa"/>
            </w:tcMar>
            <w:vAlign w:val="center"/>
          </w:tcPr>
          <w:p w14:paraId="47A05395">
            <w:pPr>
              <w:pageBreakBefore w:val="0"/>
              <w:bidi w:val="0"/>
              <w:spacing w:line="480" w:lineRule="exact"/>
              <w:outlineLvl w:val="9"/>
              <w:rPr>
                <w:rFonts w:hint="eastAsia" w:ascii="宋体" w:hAnsi="宋体" w:eastAsia="宋体" w:cs="宋体"/>
                <w:color w:val="auto"/>
                <w:sz w:val="28"/>
                <w:szCs w:val="28"/>
                <w:highlight w:val="none"/>
              </w:rPr>
            </w:pPr>
          </w:p>
        </w:tc>
        <w:tc>
          <w:tcPr>
            <w:tcW w:w="1319" w:type="dxa"/>
            <w:tcMar>
              <w:top w:w="57" w:type="dxa"/>
              <w:left w:w="28" w:type="dxa"/>
              <w:bottom w:w="57" w:type="dxa"/>
              <w:right w:w="28" w:type="dxa"/>
            </w:tcMar>
            <w:vAlign w:val="center"/>
          </w:tcPr>
          <w:p w14:paraId="66F5C4D1">
            <w:pPr>
              <w:pageBreakBefore w:val="0"/>
              <w:bidi w:val="0"/>
              <w:spacing w:line="480" w:lineRule="exact"/>
              <w:ind w:left="210" w:leftChars="100"/>
              <w:outlineLvl w:val="9"/>
              <w:rPr>
                <w:rFonts w:hint="eastAsia" w:ascii="宋体" w:hAnsi="宋体" w:eastAsia="宋体" w:cs="宋体"/>
                <w:color w:val="auto"/>
                <w:sz w:val="28"/>
                <w:szCs w:val="28"/>
                <w:highlight w:val="none"/>
              </w:rPr>
            </w:pPr>
          </w:p>
        </w:tc>
      </w:tr>
      <w:tr w14:paraId="29DA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1AABFD58">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986" w:type="dxa"/>
            <w:tcMar>
              <w:top w:w="57" w:type="dxa"/>
              <w:left w:w="28" w:type="dxa"/>
              <w:bottom w:w="57" w:type="dxa"/>
              <w:right w:w="28" w:type="dxa"/>
            </w:tcMar>
            <w:vAlign w:val="center"/>
          </w:tcPr>
          <w:p w14:paraId="3FB26D0B">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1897" w:type="dxa"/>
            <w:vAlign w:val="center"/>
          </w:tcPr>
          <w:p w14:paraId="609F2E70">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2659" w:type="dxa"/>
            <w:tcMar>
              <w:top w:w="57" w:type="dxa"/>
              <w:left w:w="28" w:type="dxa"/>
              <w:bottom w:w="57" w:type="dxa"/>
              <w:right w:w="28" w:type="dxa"/>
            </w:tcMar>
            <w:vAlign w:val="center"/>
          </w:tcPr>
          <w:p w14:paraId="774BFC0B">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1689" w:type="dxa"/>
            <w:tcMar>
              <w:top w:w="57" w:type="dxa"/>
              <w:left w:w="28" w:type="dxa"/>
              <w:bottom w:w="57" w:type="dxa"/>
              <w:right w:w="28" w:type="dxa"/>
            </w:tcMar>
            <w:vAlign w:val="center"/>
          </w:tcPr>
          <w:p w14:paraId="3166DD8E">
            <w:pPr>
              <w:pageBreakBefore w:val="0"/>
              <w:bidi w:val="0"/>
              <w:spacing w:line="480" w:lineRule="exact"/>
              <w:outlineLvl w:val="9"/>
              <w:rPr>
                <w:rFonts w:hint="eastAsia" w:ascii="宋体" w:hAnsi="宋体" w:eastAsia="宋体" w:cs="宋体"/>
                <w:color w:val="auto"/>
                <w:sz w:val="28"/>
                <w:szCs w:val="28"/>
                <w:highlight w:val="none"/>
              </w:rPr>
            </w:pPr>
          </w:p>
        </w:tc>
        <w:tc>
          <w:tcPr>
            <w:tcW w:w="1319" w:type="dxa"/>
            <w:tcMar>
              <w:top w:w="57" w:type="dxa"/>
              <w:left w:w="28" w:type="dxa"/>
              <w:bottom w:w="57" w:type="dxa"/>
              <w:right w:w="28" w:type="dxa"/>
            </w:tcMar>
            <w:vAlign w:val="center"/>
          </w:tcPr>
          <w:p w14:paraId="19D9538E">
            <w:pPr>
              <w:pageBreakBefore w:val="0"/>
              <w:bidi w:val="0"/>
              <w:spacing w:line="480" w:lineRule="exact"/>
              <w:ind w:left="210" w:leftChars="100"/>
              <w:outlineLvl w:val="9"/>
              <w:rPr>
                <w:rFonts w:hint="eastAsia" w:ascii="宋体" w:hAnsi="宋体" w:eastAsia="宋体" w:cs="宋体"/>
                <w:color w:val="auto"/>
                <w:sz w:val="28"/>
                <w:szCs w:val="28"/>
                <w:highlight w:val="none"/>
              </w:rPr>
            </w:pPr>
          </w:p>
        </w:tc>
      </w:tr>
      <w:tr w14:paraId="66B13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14:paraId="0ACD4DEC">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986" w:type="dxa"/>
            <w:tcMar>
              <w:top w:w="57" w:type="dxa"/>
              <w:left w:w="28" w:type="dxa"/>
              <w:bottom w:w="57" w:type="dxa"/>
              <w:right w:w="28" w:type="dxa"/>
            </w:tcMar>
            <w:vAlign w:val="center"/>
          </w:tcPr>
          <w:p w14:paraId="4051200F">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1897" w:type="dxa"/>
            <w:vAlign w:val="center"/>
          </w:tcPr>
          <w:p w14:paraId="538F8EBA">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2659" w:type="dxa"/>
            <w:tcMar>
              <w:top w:w="57" w:type="dxa"/>
              <w:left w:w="28" w:type="dxa"/>
              <w:bottom w:w="57" w:type="dxa"/>
              <w:right w:w="28" w:type="dxa"/>
            </w:tcMar>
            <w:vAlign w:val="center"/>
          </w:tcPr>
          <w:p w14:paraId="5B9A0B70">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1689" w:type="dxa"/>
            <w:tcMar>
              <w:top w:w="57" w:type="dxa"/>
              <w:left w:w="28" w:type="dxa"/>
              <w:bottom w:w="57" w:type="dxa"/>
              <w:right w:w="28" w:type="dxa"/>
            </w:tcMar>
            <w:vAlign w:val="center"/>
          </w:tcPr>
          <w:p w14:paraId="1E722FF6">
            <w:pPr>
              <w:pageBreakBefore w:val="0"/>
              <w:bidi w:val="0"/>
              <w:spacing w:line="480" w:lineRule="exact"/>
              <w:outlineLvl w:val="9"/>
              <w:rPr>
                <w:rFonts w:hint="eastAsia" w:ascii="宋体" w:hAnsi="宋体" w:eastAsia="宋体" w:cs="宋体"/>
                <w:color w:val="auto"/>
                <w:sz w:val="28"/>
                <w:szCs w:val="28"/>
                <w:highlight w:val="none"/>
              </w:rPr>
            </w:pPr>
          </w:p>
        </w:tc>
        <w:tc>
          <w:tcPr>
            <w:tcW w:w="1319" w:type="dxa"/>
            <w:tcMar>
              <w:top w:w="57" w:type="dxa"/>
              <w:left w:w="28" w:type="dxa"/>
              <w:bottom w:w="57" w:type="dxa"/>
              <w:right w:w="28" w:type="dxa"/>
            </w:tcMar>
            <w:vAlign w:val="center"/>
          </w:tcPr>
          <w:p w14:paraId="0295EB3B">
            <w:pPr>
              <w:pageBreakBefore w:val="0"/>
              <w:bidi w:val="0"/>
              <w:spacing w:line="480" w:lineRule="exact"/>
              <w:ind w:left="210" w:leftChars="100"/>
              <w:outlineLvl w:val="9"/>
              <w:rPr>
                <w:rFonts w:hint="eastAsia" w:ascii="宋体" w:hAnsi="宋体" w:eastAsia="宋体" w:cs="宋体"/>
                <w:color w:val="auto"/>
                <w:sz w:val="28"/>
                <w:szCs w:val="28"/>
                <w:highlight w:val="none"/>
              </w:rPr>
            </w:pPr>
          </w:p>
        </w:tc>
      </w:tr>
    </w:tbl>
    <w:p w14:paraId="093575D4">
      <w:pPr>
        <w:pageBreakBefore w:val="0"/>
        <w:autoSpaceDE w:val="0"/>
        <w:autoSpaceDN w:val="0"/>
        <w:bidi w:val="0"/>
        <w:adjustRightInd w:val="0"/>
        <w:spacing w:line="360" w:lineRule="auto"/>
        <w:ind w:firstLine="420" w:firstLineChars="20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Cs w:val="21"/>
          <w:highlight w:val="none"/>
        </w:rPr>
        <w:t>注：</w:t>
      </w:r>
      <w:r>
        <w:rPr>
          <w:rFonts w:hint="eastAsia" w:ascii="宋体" w:hAnsi="宋体" w:eastAsia="宋体" w:cs="宋体"/>
          <w:color w:val="auto"/>
          <w:sz w:val="24"/>
          <w:highlight w:val="none"/>
        </w:rPr>
        <w:t>请按项目的实际技术参数，逐条对应招标文件的“招标内容及技术要求”，认真填写本表。偏离情况填写：</w:t>
      </w:r>
      <w:r>
        <w:rPr>
          <w:rFonts w:hint="eastAsia" w:ascii="宋体" w:hAnsi="宋体" w:eastAsia="宋体" w:cs="宋体"/>
          <w:color w:val="auto"/>
          <w:sz w:val="24"/>
          <w:highlight w:val="none"/>
          <w:lang w:val="en-US" w:eastAsia="zh-CN"/>
        </w:rPr>
        <w:t>正偏离</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负偏离、无偏离</w:t>
      </w:r>
      <w:r>
        <w:rPr>
          <w:rFonts w:hint="eastAsia" w:ascii="宋体" w:hAnsi="宋体" w:eastAsia="宋体" w:cs="宋体"/>
          <w:color w:val="auto"/>
          <w:sz w:val="24"/>
          <w:highlight w:val="none"/>
        </w:rPr>
        <w:t>，偏离说明对偏离情况做出详细说明</w:t>
      </w:r>
      <w:r>
        <w:rPr>
          <w:rFonts w:hint="eastAsia" w:ascii="宋体" w:hAnsi="宋体" w:eastAsia="宋体" w:cs="宋体"/>
          <w:color w:val="auto"/>
          <w:sz w:val="24"/>
          <w:highlight w:val="none"/>
          <w:lang w:val="en-US" w:eastAsia="zh-CN"/>
        </w:rPr>
        <w:t>。</w:t>
      </w:r>
    </w:p>
    <w:p w14:paraId="0C219EBB">
      <w:pPr>
        <w:pageBreakBefore w:val="0"/>
        <w:bidi w:val="0"/>
        <w:spacing w:line="480" w:lineRule="exact"/>
        <w:outlineLvl w:val="9"/>
        <w:rPr>
          <w:rFonts w:hint="eastAsia" w:ascii="宋体" w:hAnsi="宋体" w:eastAsia="宋体" w:cs="宋体"/>
          <w:color w:val="auto"/>
          <w:szCs w:val="21"/>
          <w:highlight w:val="none"/>
        </w:rPr>
      </w:pPr>
    </w:p>
    <w:p w14:paraId="755E8F19">
      <w:pPr>
        <w:pageBreakBefore w:val="0"/>
        <w:bidi w:val="0"/>
        <w:spacing w:line="480" w:lineRule="exact"/>
        <w:outlineLvl w:val="9"/>
        <w:rPr>
          <w:rFonts w:hint="eastAsia" w:ascii="宋体" w:hAnsi="宋体" w:eastAsia="宋体" w:cs="宋体"/>
          <w:color w:val="auto"/>
          <w:szCs w:val="21"/>
          <w:highlight w:val="none"/>
        </w:rPr>
      </w:pPr>
    </w:p>
    <w:p w14:paraId="0F964E17">
      <w:pPr>
        <w:pStyle w:val="12"/>
        <w:pageBreakBefore w:val="0"/>
        <w:bidi w:val="0"/>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ECF3BEA">
      <w:pPr>
        <w:pStyle w:val="12"/>
        <w:pageBreakBefore w:val="0"/>
        <w:bidi w:val="0"/>
        <w:ind w:firstLine="480"/>
        <w:outlineLvl w:val="9"/>
        <w:rPr>
          <w:rFonts w:hint="eastAsia" w:ascii="宋体" w:hAnsi="宋体" w:eastAsia="宋体" w:cs="宋体"/>
          <w:color w:val="auto"/>
          <w:sz w:val="24"/>
          <w:szCs w:val="24"/>
          <w:highlight w:val="none"/>
        </w:rPr>
      </w:pPr>
    </w:p>
    <w:p w14:paraId="18BF1EE7">
      <w:pPr>
        <w:pStyle w:val="12"/>
        <w:pageBreakBefore w:val="0"/>
        <w:bidi w:val="0"/>
        <w:ind w:firstLine="48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法定代表人/被授权人（</w:t>
      </w:r>
      <w:r>
        <w:rPr>
          <w:rFonts w:hint="eastAsia" w:ascii="宋体" w:hAnsi="宋体" w:eastAsia="宋体" w:cs="宋体"/>
          <w:color w:val="auto"/>
          <w:sz w:val="24"/>
          <w:highlight w:val="none"/>
        </w:rPr>
        <w:t>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 xml:space="preserve">                                                        </w:t>
      </w:r>
    </w:p>
    <w:p w14:paraId="1EE85497">
      <w:pPr>
        <w:pStyle w:val="22"/>
        <w:pageBreakBefore w:val="0"/>
        <w:bidi w:val="0"/>
        <w:outlineLvl w:val="9"/>
        <w:rPr>
          <w:rFonts w:hint="eastAsia" w:ascii="宋体" w:hAnsi="宋体" w:eastAsia="宋体" w:cs="宋体"/>
          <w:color w:val="auto"/>
          <w:highlight w:val="none"/>
        </w:rPr>
      </w:pPr>
    </w:p>
    <w:p w14:paraId="3A872503">
      <w:pPr>
        <w:pageBreakBefore w:val="0"/>
        <w:bidi w:val="0"/>
        <w:spacing w:line="360" w:lineRule="atLeast"/>
        <w:jc w:val="center"/>
        <w:outlineLvl w:val="9"/>
        <w:rPr>
          <w:rFonts w:hint="eastAsia" w:ascii="宋体" w:hAnsi="宋体" w:eastAsia="宋体" w:cs="宋体"/>
          <w:b/>
          <w:color w:val="auto"/>
          <w:sz w:val="32"/>
          <w:szCs w:val="32"/>
          <w:highlight w:val="none"/>
        </w:rPr>
      </w:pPr>
    </w:p>
    <w:p w14:paraId="5F38578E">
      <w:pPr>
        <w:pageBreakBefore w:val="0"/>
        <w:bidi w:val="0"/>
        <w:spacing w:line="360" w:lineRule="atLeast"/>
        <w:jc w:val="center"/>
        <w:outlineLvl w:val="9"/>
        <w:rPr>
          <w:rFonts w:hint="eastAsia" w:ascii="宋体" w:hAnsi="宋体" w:eastAsia="宋体" w:cs="宋体"/>
          <w:b/>
          <w:color w:val="auto"/>
          <w:sz w:val="32"/>
          <w:szCs w:val="32"/>
          <w:highlight w:val="none"/>
        </w:rPr>
      </w:pPr>
    </w:p>
    <w:p w14:paraId="2F4960B1">
      <w:pPr>
        <w:pageBreakBefore w:val="0"/>
        <w:bidi w:val="0"/>
        <w:spacing w:line="360" w:lineRule="atLeast"/>
        <w:jc w:val="center"/>
        <w:outlineLvl w:val="9"/>
        <w:rPr>
          <w:rFonts w:hint="eastAsia" w:ascii="宋体" w:hAnsi="宋体" w:eastAsia="宋体" w:cs="宋体"/>
          <w:b/>
          <w:color w:val="auto"/>
          <w:sz w:val="32"/>
          <w:szCs w:val="32"/>
          <w:highlight w:val="none"/>
        </w:rPr>
      </w:pPr>
    </w:p>
    <w:p w14:paraId="54B9A2E8">
      <w:pPr>
        <w:pageBreakBefore w:val="0"/>
        <w:bidi w:val="0"/>
        <w:spacing w:line="360" w:lineRule="atLeast"/>
        <w:jc w:val="center"/>
        <w:outlineLvl w:val="9"/>
        <w:rPr>
          <w:rFonts w:hint="eastAsia" w:ascii="宋体" w:hAnsi="宋体" w:eastAsia="宋体" w:cs="宋体"/>
          <w:b/>
          <w:color w:val="auto"/>
          <w:sz w:val="32"/>
          <w:szCs w:val="32"/>
          <w:highlight w:val="none"/>
        </w:rPr>
      </w:pPr>
    </w:p>
    <w:p w14:paraId="28D94DB6">
      <w:pPr>
        <w:pStyle w:val="14"/>
        <w:pageBreakBefore w:val="0"/>
        <w:bidi w:val="0"/>
        <w:outlineLvl w:val="9"/>
        <w:rPr>
          <w:rFonts w:hint="eastAsia" w:ascii="宋体" w:hAnsi="宋体" w:eastAsia="宋体" w:cs="宋体"/>
          <w:color w:val="auto"/>
          <w:highlight w:val="none"/>
        </w:rPr>
        <w:sectPr>
          <w:headerReference r:id="rId14" w:type="first"/>
          <w:footerReference r:id="rId16" w:type="first"/>
          <w:headerReference r:id="rId13" w:type="default"/>
          <w:footerReference r:id="rId15"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14:paraId="5D9E8D09">
      <w:pPr>
        <w:pageBreakBefore w:val="0"/>
        <w:bidi w:val="0"/>
        <w:adjustRightInd w:val="0"/>
        <w:snapToGrid w:val="0"/>
        <w:spacing w:line="360" w:lineRule="auto"/>
        <w:jc w:val="center"/>
        <w:outlineLvl w:val="9"/>
        <w:rPr>
          <w:rFonts w:hint="eastAsia" w:ascii="宋体" w:hAnsi="宋体" w:eastAsia="宋体" w:cs="宋体"/>
          <w:b/>
          <w:color w:val="auto"/>
          <w:sz w:val="32"/>
          <w:szCs w:val="21"/>
          <w:highlight w:val="none"/>
        </w:rPr>
      </w:pPr>
      <w:r>
        <w:rPr>
          <w:rFonts w:hint="eastAsia" w:ascii="宋体" w:hAnsi="宋体" w:eastAsia="宋体" w:cs="宋体"/>
          <w:b/>
          <w:color w:val="auto"/>
          <w:sz w:val="32"/>
          <w:szCs w:val="21"/>
          <w:highlight w:val="none"/>
          <w:lang w:val="en-US" w:eastAsia="zh-CN"/>
        </w:rPr>
        <w:t>六、</w:t>
      </w:r>
      <w:r>
        <w:rPr>
          <w:rFonts w:hint="eastAsia" w:ascii="宋体" w:hAnsi="宋体" w:eastAsia="宋体" w:cs="宋体"/>
          <w:b/>
          <w:color w:val="auto"/>
          <w:sz w:val="32"/>
          <w:szCs w:val="21"/>
          <w:highlight w:val="none"/>
        </w:rPr>
        <w:t>商务及合同主要条款响应说明</w:t>
      </w:r>
    </w:p>
    <w:p w14:paraId="439A635D">
      <w:pPr>
        <w:pageBreakBefore w:val="0"/>
        <w:kinsoku w:val="0"/>
        <w:bidi w:val="0"/>
        <w:spacing w:line="50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val="en-US" w:eastAsia="zh-CN"/>
        </w:rPr>
        <w:t>及标包</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5236E948">
      <w:pPr>
        <w:pageBreakBefore w:val="0"/>
        <w:kinsoku w:val="0"/>
        <w:bidi w:val="0"/>
        <w:spacing w:line="50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14:paraId="360F6924">
      <w:pPr>
        <w:pageBreakBefore w:val="0"/>
        <w:kinsoku w:val="0"/>
        <w:bidi w:val="0"/>
        <w:spacing w:line="540" w:lineRule="exact"/>
        <w:outlineLvl w:val="9"/>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投标人: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32"/>
          <w:szCs w:val="32"/>
          <w:highlight w:val="none"/>
        </w:rPr>
        <w:t xml:space="preserve">                         </w:t>
      </w:r>
    </w:p>
    <w:tbl>
      <w:tblPr>
        <w:tblStyle w:val="24"/>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3451"/>
        <w:gridCol w:w="3015"/>
        <w:gridCol w:w="1881"/>
      </w:tblGrid>
      <w:tr w14:paraId="7B80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227E1A7D">
            <w:pPr>
              <w:pageBreakBefore w:val="0"/>
              <w:bidi w:val="0"/>
              <w:spacing w:line="560" w:lineRule="exact"/>
              <w:ind w:right="-168" w:rightChars="-80" w:firstLine="120" w:firstLineChars="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451" w:type="dxa"/>
            <w:vAlign w:val="center"/>
          </w:tcPr>
          <w:p w14:paraId="4E2A7DBE">
            <w:pPr>
              <w:pageBreakBefore w:val="0"/>
              <w:bidi w:val="0"/>
              <w:spacing w:line="560" w:lineRule="exact"/>
              <w:ind w:right="-168" w:rightChars="-80"/>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招标文件要求</w:t>
            </w:r>
          </w:p>
        </w:tc>
        <w:tc>
          <w:tcPr>
            <w:tcW w:w="3015" w:type="dxa"/>
            <w:vAlign w:val="center"/>
          </w:tcPr>
          <w:p w14:paraId="0FC56346">
            <w:pPr>
              <w:pageBreakBefore w:val="0"/>
              <w:bidi w:val="0"/>
              <w:spacing w:line="560" w:lineRule="exact"/>
              <w:ind w:right="-168" w:rightChars="-80" w:firstLine="360" w:firstLineChars="1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投标文件实际数据</w:t>
            </w:r>
          </w:p>
        </w:tc>
        <w:tc>
          <w:tcPr>
            <w:tcW w:w="1881" w:type="dxa"/>
            <w:vAlign w:val="center"/>
          </w:tcPr>
          <w:p w14:paraId="2BC87EF9">
            <w:pPr>
              <w:pageBreakBefore w:val="0"/>
              <w:bidi w:val="0"/>
              <w:spacing w:line="560" w:lineRule="exact"/>
              <w:ind w:right="-168" w:rightChars="-80" w:firstLine="360" w:firstLineChars="1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响应说明</w:t>
            </w:r>
          </w:p>
        </w:tc>
      </w:tr>
      <w:tr w14:paraId="4ADF9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483D3BA4">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5E1A23DE">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43EC718A">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6D2CAF86">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60937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6B952423">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67E18584">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648744F0">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16BD8471">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1239C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097D1394">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35FF6911">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5DCE960A">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23BDA9E1">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30BE8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46A0E9A8">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3A4F6E62">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0EF06527">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3B1EEE65">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59534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18FD4742">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1D313726">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6C34333B">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205010D0">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737E0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3C6D220A">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765F1D5D">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32A911A2">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38790A08">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7870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4FF47322">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3784E402">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228408B6">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583D55A1">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3C185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02AB5476">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05552108">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3DABE1EB">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7FB1DAE3">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43E56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049FF5BA">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06989075">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729248E3">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23382004">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12A0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24EB0253">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4892C7AD">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0F2667A1">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5D44B74A">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21DB5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7A1E7B3D">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4F8E880F">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10095AE0">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064C6CB9">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5350C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2CABA535">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556944E1">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62204376">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4221D8D8">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bl>
    <w:p w14:paraId="5F448572">
      <w:pPr>
        <w:pageBreakBefore w:val="0"/>
        <w:autoSpaceDE w:val="0"/>
        <w:autoSpaceDN w:val="0"/>
        <w:bidi w:val="0"/>
        <w:adjustRightInd w:val="0"/>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p w14:paraId="140615F4">
      <w:pPr>
        <w:pageBreakBefore w:val="0"/>
        <w:autoSpaceDE w:val="0"/>
        <w:autoSpaceDN w:val="0"/>
        <w:bidi w:val="0"/>
        <w:adjustRightIn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投标文件根据</w:t>
      </w:r>
      <w:r>
        <w:rPr>
          <w:rFonts w:hint="eastAsia" w:ascii="宋体" w:hAnsi="宋体" w:cs="宋体"/>
          <w:color w:val="auto"/>
          <w:sz w:val="24"/>
          <w:highlight w:val="none"/>
          <w:lang w:val="en-US" w:eastAsia="zh-CN"/>
        </w:rPr>
        <w:t>招标文件</w:t>
      </w:r>
      <w:r>
        <w:rPr>
          <w:rFonts w:hint="eastAsia" w:ascii="宋体" w:hAnsi="宋体" w:eastAsia="宋体" w:cs="宋体"/>
          <w:color w:val="auto"/>
          <w:sz w:val="24"/>
          <w:highlight w:val="none"/>
        </w:rPr>
        <w:t>第四部分商务及合同主要条款须如实填写（实际数据不得复制招标文件商务条款）。偏离情况填写：</w:t>
      </w:r>
      <w:r>
        <w:rPr>
          <w:rFonts w:hint="eastAsia" w:ascii="宋体" w:hAnsi="宋体" w:eastAsia="宋体" w:cs="宋体"/>
          <w:color w:val="auto"/>
          <w:sz w:val="24"/>
          <w:highlight w:val="none"/>
          <w:lang w:val="en-US" w:eastAsia="zh-CN"/>
        </w:rPr>
        <w:t>正偏离</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负偏离、无偏离</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如果不填写，则默认为无偏离</w:t>
      </w:r>
      <w:r>
        <w:rPr>
          <w:rFonts w:hint="eastAsia" w:ascii="宋体" w:hAnsi="宋体" w:eastAsia="宋体" w:cs="宋体"/>
          <w:color w:val="auto"/>
          <w:sz w:val="24"/>
          <w:highlight w:val="none"/>
        </w:rPr>
        <w:t>。</w:t>
      </w:r>
    </w:p>
    <w:p w14:paraId="6C4565F7">
      <w:pPr>
        <w:pStyle w:val="12"/>
        <w:pageBreakBefore w:val="0"/>
        <w:bidi w:val="0"/>
        <w:ind w:firstLine="480"/>
        <w:outlineLvl w:val="9"/>
        <w:rPr>
          <w:rFonts w:hint="eastAsia" w:ascii="宋体" w:hAnsi="宋体" w:eastAsia="宋体" w:cs="宋体"/>
          <w:color w:val="auto"/>
          <w:sz w:val="24"/>
          <w:szCs w:val="24"/>
          <w:highlight w:val="none"/>
        </w:rPr>
      </w:pPr>
    </w:p>
    <w:p w14:paraId="2DB26BED">
      <w:pPr>
        <w:pStyle w:val="12"/>
        <w:pageBreakBefore w:val="0"/>
        <w:bidi w:val="0"/>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C4741C1">
      <w:pPr>
        <w:pStyle w:val="12"/>
        <w:pageBreakBefore w:val="0"/>
        <w:bidi w:val="0"/>
        <w:ind w:firstLine="480"/>
        <w:outlineLvl w:val="9"/>
        <w:rPr>
          <w:rFonts w:hint="eastAsia" w:ascii="宋体" w:hAnsi="宋体" w:eastAsia="宋体" w:cs="宋体"/>
          <w:color w:val="auto"/>
          <w:sz w:val="24"/>
          <w:szCs w:val="24"/>
          <w:highlight w:val="none"/>
        </w:rPr>
      </w:pPr>
    </w:p>
    <w:p w14:paraId="6F4F673D">
      <w:pPr>
        <w:pStyle w:val="12"/>
        <w:pageBreakBefore w:val="0"/>
        <w:bidi w:val="0"/>
        <w:ind w:firstLine="48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法定代表人/被授权人（</w:t>
      </w:r>
      <w:r>
        <w:rPr>
          <w:rFonts w:hint="eastAsia" w:ascii="宋体" w:hAnsi="宋体" w:eastAsia="宋体" w:cs="宋体"/>
          <w:color w:val="auto"/>
          <w:sz w:val="24"/>
          <w:highlight w:val="none"/>
        </w:rPr>
        <w:t>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 xml:space="preserve">                                                        </w:t>
      </w:r>
    </w:p>
    <w:p w14:paraId="5C4110C1">
      <w:pPr>
        <w:pStyle w:val="22"/>
        <w:pageBreakBefore w:val="0"/>
        <w:bidi w:val="0"/>
        <w:outlineLvl w:val="9"/>
        <w:rPr>
          <w:rFonts w:hint="eastAsia" w:ascii="宋体" w:hAnsi="宋体" w:eastAsia="宋体" w:cs="宋体"/>
          <w:color w:val="auto"/>
          <w:highlight w:val="none"/>
        </w:rPr>
      </w:pPr>
    </w:p>
    <w:p w14:paraId="37834E79">
      <w:pPr>
        <w:pageBreakBefore w:val="0"/>
        <w:bidi w:val="0"/>
        <w:spacing w:line="360" w:lineRule="atLeast"/>
        <w:jc w:val="center"/>
        <w:outlineLvl w:val="9"/>
        <w:rPr>
          <w:rFonts w:hint="eastAsia" w:ascii="宋体" w:hAnsi="宋体" w:eastAsia="宋体" w:cs="宋体"/>
          <w:b/>
          <w:color w:val="auto"/>
          <w:sz w:val="32"/>
          <w:szCs w:val="32"/>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14:paraId="29F7EED9">
      <w:pPr>
        <w:pageBreakBefore w:val="0"/>
        <w:bidi w:val="0"/>
        <w:spacing w:line="360" w:lineRule="atLeast"/>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rPr>
        <w:t>法定代表人</w:t>
      </w:r>
      <w:r>
        <w:rPr>
          <w:rFonts w:hint="eastAsia" w:ascii="宋体" w:hAnsi="宋体" w:eastAsia="宋体" w:cs="宋体"/>
          <w:b/>
          <w:color w:val="auto"/>
          <w:sz w:val="32"/>
          <w:szCs w:val="32"/>
          <w:highlight w:val="none"/>
          <w:lang w:val="en-US" w:eastAsia="zh-CN"/>
        </w:rPr>
        <w:t>身份</w:t>
      </w:r>
      <w:r>
        <w:rPr>
          <w:rFonts w:hint="eastAsia" w:ascii="宋体" w:hAnsi="宋体" w:eastAsia="宋体" w:cs="宋体"/>
          <w:b/>
          <w:color w:val="auto"/>
          <w:sz w:val="32"/>
          <w:szCs w:val="32"/>
          <w:highlight w:val="none"/>
        </w:rPr>
        <w:t>证明与授权</w:t>
      </w:r>
      <w:r>
        <w:rPr>
          <w:rFonts w:hint="eastAsia" w:ascii="宋体" w:hAnsi="宋体" w:eastAsia="宋体" w:cs="宋体"/>
          <w:b/>
          <w:color w:val="auto"/>
          <w:sz w:val="32"/>
          <w:szCs w:val="32"/>
          <w:highlight w:val="none"/>
          <w:lang w:val="en-US" w:eastAsia="zh-CN"/>
        </w:rPr>
        <w:t>委托</w:t>
      </w:r>
      <w:r>
        <w:rPr>
          <w:rFonts w:hint="eastAsia" w:ascii="宋体" w:hAnsi="宋体" w:eastAsia="宋体" w:cs="宋体"/>
          <w:b/>
          <w:color w:val="auto"/>
          <w:sz w:val="32"/>
          <w:szCs w:val="32"/>
          <w:highlight w:val="none"/>
        </w:rPr>
        <w:t>书</w:t>
      </w:r>
    </w:p>
    <w:p w14:paraId="610D60E5">
      <w:pPr>
        <w:pageBreakBefore w:val="0"/>
        <w:tabs>
          <w:tab w:val="left" w:pos="210"/>
        </w:tabs>
        <w:bidi w:val="0"/>
        <w:spacing w:line="320" w:lineRule="exact"/>
        <w:jc w:val="center"/>
        <w:outlineLvl w:val="9"/>
        <w:rPr>
          <w:rFonts w:hint="eastAsia" w:ascii="宋体" w:hAnsi="宋体" w:eastAsia="宋体" w:cs="宋体"/>
          <w:b/>
          <w:color w:val="auto"/>
          <w:kern w:val="0"/>
          <w:sz w:val="32"/>
          <w:szCs w:val="32"/>
          <w:highlight w:val="none"/>
        </w:rPr>
      </w:pPr>
    </w:p>
    <w:p w14:paraId="730EB7E9">
      <w:pPr>
        <w:pageBreakBefore w:val="0"/>
        <w:tabs>
          <w:tab w:val="left" w:pos="210"/>
        </w:tabs>
        <w:bidi w:val="0"/>
        <w:spacing w:line="320" w:lineRule="exact"/>
        <w:jc w:val="center"/>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法定代表人</w:t>
      </w:r>
      <w:r>
        <w:rPr>
          <w:rFonts w:hint="eastAsia" w:ascii="宋体" w:hAnsi="宋体" w:eastAsia="宋体" w:cs="宋体"/>
          <w:b/>
          <w:color w:val="auto"/>
          <w:kern w:val="0"/>
          <w:sz w:val="32"/>
          <w:szCs w:val="32"/>
          <w:highlight w:val="none"/>
          <w:lang w:val="en-US" w:eastAsia="zh-CN"/>
        </w:rPr>
        <w:t>身份</w:t>
      </w:r>
      <w:r>
        <w:rPr>
          <w:rFonts w:hint="eastAsia" w:ascii="宋体" w:hAnsi="宋体" w:eastAsia="宋体" w:cs="宋体"/>
          <w:b/>
          <w:color w:val="auto"/>
          <w:kern w:val="0"/>
          <w:sz w:val="32"/>
          <w:szCs w:val="32"/>
          <w:highlight w:val="none"/>
        </w:rPr>
        <w:t>证明</w:t>
      </w:r>
    </w:p>
    <w:p w14:paraId="12639DD5">
      <w:pPr>
        <w:pageBreakBefore w:val="0"/>
        <w:bidi w:val="0"/>
        <w:spacing w:line="560" w:lineRule="exact"/>
        <w:ind w:firstLine="307" w:firstLineChars="128"/>
        <w:outlineLvl w:val="9"/>
        <w:rPr>
          <w:rFonts w:hint="eastAsia" w:ascii="宋体" w:hAnsi="宋体" w:eastAsia="宋体" w:cs="宋体"/>
          <w:color w:val="auto"/>
          <w:sz w:val="24"/>
          <w:highlight w:val="none"/>
          <w:u w:val="thick"/>
        </w:rPr>
      </w:pPr>
      <w:r>
        <w:rPr>
          <w:rFonts w:hint="eastAsia" w:ascii="宋体" w:hAnsi="宋体" w:eastAsia="宋体" w:cs="宋体"/>
          <w:color w:val="auto"/>
          <w:sz w:val="24"/>
          <w:highlight w:val="none"/>
        </w:rPr>
        <w:t>单位名称：</w:t>
      </w:r>
      <w:r>
        <w:rPr>
          <w:rFonts w:hint="eastAsia" w:ascii="宋体" w:hAnsi="宋体" w:eastAsia="宋体" w:cs="宋体"/>
          <w:color w:val="auto"/>
          <w:sz w:val="24"/>
          <w:highlight w:val="none"/>
          <w:u w:val="single"/>
        </w:rPr>
        <w:t xml:space="preserve">                                                   .</w:t>
      </w:r>
    </w:p>
    <w:p w14:paraId="1B0D4013">
      <w:pPr>
        <w:pageBreakBefore w:val="0"/>
        <w:bidi w:val="0"/>
        <w:spacing w:line="560" w:lineRule="exact"/>
        <w:ind w:firstLine="307" w:firstLineChars="128"/>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单位性质：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thick"/>
        </w:rPr>
        <w:t>.</w:t>
      </w:r>
    </w:p>
    <w:p w14:paraId="6397B75E">
      <w:pPr>
        <w:pageBreakBefore w:val="0"/>
        <w:bidi w:val="0"/>
        <w:spacing w:line="560" w:lineRule="exact"/>
        <w:ind w:firstLine="307" w:firstLineChars="128"/>
        <w:outlineLvl w:val="9"/>
        <w:rPr>
          <w:rFonts w:hint="eastAsia" w:ascii="宋体" w:hAnsi="宋体" w:eastAsia="宋体" w:cs="宋体"/>
          <w:color w:val="auto"/>
          <w:sz w:val="24"/>
          <w:highlight w:val="none"/>
          <w:u w:val="thick"/>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thick"/>
        </w:rPr>
        <w:t>.</w:t>
      </w:r>
    </w:p>
    <w:p w14:paraId="290D635C">
      <w:pPr>
        <w:pageBreakBefore w:val="0"/>
        <w:bidi w:val="0"/>
        <w:spacing w:line="560" w:lineRule="exact"/>
        <w:ind w:firstLine="307" w:firstLineChars="128"/>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71CEADBD">
      <w:pPr>
        <w:pageBreakBefore w:val="0"/>
        <w:bidi w:val="0"/>
        <w:spacing w:line="560" w:lineRule="exact"/>
        <w:ind w:firstLine="307" w:firstLineChars="128"/>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经营期限：</w:t>
      </w:r>
      <w:r>
        <w:rPr>
          <w:rFonts w:hint="eastAsia" w:ascii="宋体" w:hAnsi="宋体" w:eastAsia="宋体" w:cs="宋体"/>
          <w:color w:val="auto"/>
          <w:sz w:val="24"/>
          <w:highlight w:val="none"/>
          <w:u w:val="single"/>
        </w:rPr>
        <w:t xml:space="preserve">                                                   .</w:t>
      </w:r>
    </w:p>
    <w:p w14:paraId="607B773C">
      <w:pPr>
        <w:pageBreakBefore w:val="0"/>
        <w:bidi w:val="0"/>
        <w:spacing w:line="560" w:lineRule="exact"/>
        <w:ind w:firstLine="307" w:firstLineChars="128"/>
        <w:outlineLvl w:val="9"/>
        <w:rPr>
          <w:rFonts w:hint="eastAsia" w:ascii="宋体" w:hAnsi="宋体" w:eastAsia="宋体" w:cs="宋体"/>
          <w:color w:val="auto"/>
          <w:sz w:val="24"/>
          <w:highlight w:val="none"/>
          <w:u w:val="thick"/>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性别：</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 xml:space="preserve">        .</w:t>
      </w:r>
    </w:p>
    <w:p w14:paraId="4F1E53E4">
      <w:pPr>
        <w:pageBreakBefore w:val="0"/>
        <w:bidi w:val="0"/>
        <w:spacing w:line="56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14:paraId="4C54EE41">
      <w:pPr>
        <w:pageBreakBefore w:val="0"/>
        <w:bidi w:val="0"/>
        <w:spacing w:line="560" w:lineRule="exact"/>
        <w:ind w:firstLine="307" w:firstLineChars="128"/>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380B5062">
      <w:pPr>
        <w:pageBreakBefore w:val="0"/>
        <w:bidi w:val="0"/>
        <w:spacing w:line="56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（后附法定代表人身份证正反面）</w:t>
      </w:r>
    </w:p>
    <w:p w14:paraId="6A816DC6">
      <w:pPr>
        <w:pStyle w:val="22"/>
        <w:pageBreakBefore w:val="0"/>
        <w:bidi w:val="0"/>
        <w:outlineLvl w:val="9"/>
        <w:rPr>
          <w:rFonts w:hint="eastAsia" w:ascii="宋体" w:hAnsi="宋体" w:eastAsia="宋体" w:cs="宋体"/>
          <w:color w:val="auto"/>
          <w:highlight w:val="none"/>
        </w:rPr>
      </w:pPr>
    </w:p>
    <w:tbl>
      <w:tblPr>
        <w:tblStyle w:val="24"/>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834"/>
        <w:gridCol w:w="4130"/>
      </w:tblGrid>
      <w:tr w14:paraId="149A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854" w:hRule="atLeast"/>
          <w:jc w:val="center"/>
        </w:trPr>
        <w:tc>
          <w:tcPr>
            <w:tcW w:w="4834" w:type="dxa"/>
            <w:shd w:val="clear" w:color="auto" w:fill="E0E0E0"/>
            <w:vAlign w:val="center"/>
          </w:tcPr>
          <w:p w14:paraId="5B345047">
            <w:pPr>
              <w:pStyle w:val="12"/>
              <w:pageBreakBefore w:val="0"/>
              <w:bidi w:val="0"/>
              <w:snapToGrid w:val="0"/>
              <w:spacing w:line="500" w:lineRule="exact"/>
              <w:jc w:val="center"/>
              <w:outlineLvl w:val="9"/>
              <w:rPr>
                <w:rFonts w:hint="eastAsia" w:ascii="宋体" w:hAnsi="宋体" w:eastAsia="宋体" w:cs="宋体"/>
                <w:color w:val="auto"/>
                <w:sz w:val="24"/>
                <w:szCs w:val="24"/>
                <w:highlight w:val="none"/>
                <w:shd w:val="pct10" w:color="auto" w:fill="FFFFFF"/>
              </w:rPr>
            </w:pPr>
            <w:r>
              <w:rPr>
                <w:rFonts w:hint="eastAsia" w:ascii="宋体" w:hAnsi="宋体" w:eastAsia="宋体" w:cs="宋体"/>
                <w:color w:val="auto"/>
                <w:sz w:val="24"/>
                <w:szCs w:val="24"/>
                <w:highlight w:val="none"/>
                <w:shd w:val="pct10" w:color="auto" w:fill="FFFFFF"/>
              </w:rPr>
              <w:t>法定代表人身份证复印件</w:t>
            </w:r>
          </w:p>
        </w:tc>
        <w:tc>
          <w:tcPr>
            <w:tcW w:w="4130" w:type="dxa"/>
            <w:shd w:val="clear" w:color="auto" w:fill="E0E0E0"/>
            <w:vAlign w:val="center"/>
          </w:tcPr>
          <w:p w14:paraId="413ECEB0">
            <w:pPr>
              <w:pStyle w:val="12"/>
              <w:pageBreakBefore w:val="0"/>
              <w:bidi w:val="0"/>
              <w:snapToGrid w:val="0"/>
              <w:spacing w:line="500" w:lineRule="exact"/>
              <w:jc w:val="center"/>
              <w:outlineLvl w:val="9"/>
              <w:rPr>
                <w:rFonts w:hint="eastAsia" w:ascii="宋体" w:hAnsi="宋体" w:eastAsia="宋体" w:cs="宋体"/>
                <w:color w:val="auto"/>
                <w:sz w:val="24"/>
                <w:szCs w:val="24"/>
                <w:highlight w:val="none"/>
                <w:shd w:val="pct10" w:color="auto" w:fill="FFFFFF"/>
              </w:rPr>
            </w:pPr>
            <w:r>
              <w:rPr>
                <w:rFonts w:hint="eastAsia" w:ascii="宋体" w:hAnsi="宋体" w:eastAsia="宋体" w:cs="宋体"/>
                <w:color w:val="auto"/>
                <w:sz w:val="24"/>
                <w:szCs w:val="24"/>
                <w:highlight w:val="none"/>
                <w:shd w:val="pct10" w:color="auto" w:fill="FFFFFF"/>
              </w:rPr>
              <w:t>法定代表人身份证复印件</w:t>
            </w:r>
          </w:p>
        </w:tc>
      </w:tr>
    </w:tbl>
    <w:p w14:paraId="17E8DA00">
      <w:pPr>
        <w:pageBreakBefore w:val="0"/>
        <w:autoSpaceDE w:val="0"/>
        <w:autoSpaceDN w:val="0"/>
        <w:bidi w:val="0"/>
        <w:adjustRightInd w:val="0"/>
        <w:jc w:val="center"/>
        <w:outlineLvl w:val="9"/>
        <w:rPr>
          <w:rFonts w:hint="eastAsia" w:ascii="宋体" w:hAnsi="宋体" w:eastAsia="宋体" w:cs="宋体"/>
          <w:color w:val="auto"/>
          <w:sz w:val="24"/>
          <w:highlight w:val="none"/>
        </w:rPr>
      </w:pPr>
    </w:p>
    <w:p w14:paraId="32A3F7A0">
      <w:pPr>
        <w:pageBreakBefore w:val="0"/>
        <w:autoSpaceDE w:val="0"/>
        <w:autoSpaceDN w:val="0"/>
        <w:bidi w:val="0"/>
        <w:adjustRightInd w:val="0"/>
        <w:jc w:val="center"/>
        <w:outlineLvl w:val="9"/>
        <w:rPr>
          <w:rFonts w:hint="eastAsia" w:ascii="宋体" w:hAnsi="宋体" w:eastAsia="宋体" w:cs="宋体"/>
          <w:color w:val="auto"/>
          <w:sz w:val="24"/>
          <w:highlight w:val="none"/>
          <w:u w:val="single"/>
          <w:lang w:val="zh-CN"/>
        </w:rPr>
      </w:pPr>
      <w:r>
        <w:rPr>
          <w:rFonts w:hint="eastAsia" w:ascii="宋体" w:hAnsi="宋体" w:eastAsia="宋体" w:cs="宋体"/>
          <w:color w:val="auto"/>
          <w:sz w:val="24"/>
          <w:highlight w:val="none"/>
        </w:rPr>
        <w:t xml:space="preserve">                   投    标    人</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（盖单位公章）</w:t>
      </w:r>
    </w:p>
    <w:p w14:paraId="7A1FBAD6">
      <w:pPr>
        <w:pageBreakBefore w:val="0"/>
        <w:autoSpaceDE w:val="0"/>
        <w:autoSpaceDN w:val="0"/>
        <w:bidi w:val="0"/>
        <w:adjustRightInd w:val="0"/>
        <w:outlineLvl w:val="9"/>
        <w:rPr>
          <w:rFonts w:hint="eastAsia" w:ascii="宋体" w:hAnsi="宋体" w:eastAsia="宋体" w:cs="宋体"/>
          <w:color w:val="auto"/>
          <w:sz w:val="24"/>
          <w:highlight w:val="none"/>
          <w:lang w:val="zh-CN"/>
        </w:rPr>
      </w:pPr>
    </w:p>
    <w:p w14:paraId="3AC8D644">
      <w:pPr>
        <w:pageBreakBefore w:val="0"/>
        <w:autoSpaceDE w:val="0"/>
        <w:autoSpaceDN w:val="0"/>
        <w:bidi w:val="0"/>
        <w:adjustRightInd w:val="0"/>
        <w:ind w:firstLine="2400" w:firstLineChars="1000"/>
        <w:outlineLvl w:val="9"/>
        <w:rPr>
          <w:rFonts w:hint="eastAsia" w:ascii="宋体" w:hAnsi="宋体" w:eastAsia="宋体" w:cs="宋体"/>
          <w:color w:val="auto"/>
          <w:sz w:val="24"/>
          <w:highlight w:val="none"/>
          <w:u w:val="single"/>
          <w:lang w:val="zh-CN"/>
        </w:rPr>
      </w:pPr>
      <w:r>
        <w:rPr>
          <w:rFonts w:hint="eastAsia" w:ascii="宋体" w:hAnsi="宋体" w:eastAsia="宋体" w:cs="宋体"/>
          <w:color w:val="auto"/>
          <w:sz w:val="24"/>
          <w:highlight w:val="none"/>
          <w:lang w:val="zh-CN"/>
        </w:rPr>
        <w:t>法定代表人或其委托代理人：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签字或盖章</w:t>
      </w:r>
      <w:r>
        <w:rPr>
          <w:rFonts w:hint="eastAsia" w:ascii="宋体" w:hAnsi="宋体" w:eastAsia="宋体" w:cs="宋体"/>
          <w:color w:val="auto"/>
          <w:sz w:val="24"/>
          <w:highlight w:val="none"/>
          <w:lang w:val="zh-CN"/>
        </w:rPr>
        <w:t>）</w:t>
      </w:r>
    </w:p>
    <w:p w14:paraId="5B0D0925">
      <w:pPr>
        <w:pageBreakBefore w:val="0"/>
        <w:autoSpaceDE w:val="0"/>
        <w:autoSpaceDN w:val="0"/>
        <w:bidi w:val="0"/>
        <w:adjustRightInd w:val="0"/>
        <w:jc w:val="right"/>
        <w:outlineLvl w:val="9"/>
        <w:rPr>
          <w:rFonts w:hint="eastAsia" w:ascii="宋体" w:hAnsi="宋体" w:eastAsia="宋体" w:cs="宋体"/>
          <w:color w:val="auto"/>
          <w:sz w:val="24"/>
          <w:highlight w:val="none"/>
        </w:rPr>
      </w:pPr>
    </w:p>
    <w:p w14:paraId="0D11C0D2">
      <w:pPr>
        <w:pageBreakBefore w:val="0"/>
        <w:bidi w:val="0"/>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 xml:space="preserve">日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 xml:space="preserve"> 期：</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p>
    <w:p w14:paraId="216591D8">
      <w:pPr>
        <w:pageBreakBefore w:val="0"/>
        <w:tabs>
          <w:tab w:val="left" w:pos="210"/>
        </w:tabs>
        <w:bidi w:val="0"/>
        <w:spacing w:line="320" w:lineRule="exact"/>
        <w:jc w:val="center"/>
        <w:outlineLvl w:val="9"/>
        <w:rPr>
          <w:rFonts w:hint="eastAsia" w:ascii="宋体" w:hAnsi="宋体" w:eastAsia="宋体" w:cs="宋体"/>
          <w:b/>
          <w:color w:val="auto"/>
          <w:kern w:val="0"/>
          <w:sz w:val="32"/>
          <w:szCs w:val="32"/>
          <w:highlight w:val="none"/>
        </w:rPr>
      </w:pPr>
    </w:p>
    <w:p w14:paraId="48642187">
      <w:pPr>
        <w:pageBreakBefore w:val="0"/>
        <w:tabs>
          <w:tab w:val="left" w:pos="210"/>
        </w:tabs>
        <w:bidi w:val="0"/>
        <w:spacing w:line="320" w:lineRule="exact"/>
        <w:jc w:val="center"/>
        <w:outlineLvl w:val="9"/>
        <w:rPr>
          <w:rFonts w:hint="eastAsia" w:ascii="宋体" w:hAnsi="宋体" w:eastAsia="宋体" w:cs="宋体"/>
          <w:b/>
          <w:color w:val="auto"/>
          <w:kern w:val="0"/>
          <w:sz w:val="32"/>
          <w:szCs w:val="32"/>
          <w:highlight w:val="none"/>
        </w:rPr>
      </w:pPr>
    </w:p>
    <w:p w14:paraId="2387018D">
      <w:pPr>
        <w:pageBreakBefore w:val="0"/>
        <w:tabs>
          <w:tab w:val="left" w:pos="210"/>
        </w:tabs>
        <w:bidi w:val="0"/>
        <w:spacing w:line="320" w:lineRule="exact"/>
        <w:jc w:val="center"/>
        <w:outlineLvl w:val="9"/>
        <w:rPr>
          <w:rFonts w:hint="eastAsia" w:ascii="宋体" w:hAnsi="宋体" w:eastAsia="宋体" w:cs="宋体"/>
          <w:b/>
          <w:color w:val="auto"/>
          <w:kern w:val="0"/>
          <w:sz w:val="32"/>
          <w:szCs w:val="32"/>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14:paraId="73669A57">
      <w:pPr>
        <w:pageBreakBefore w:val="0"/>
        <w:tabs>
          <w:tab w:val="left" w:pos="210"/>
        </w:tabs>
        <w:bidi w:val="0"/>
        <w:spacing w:line="320" w:lineRule="exact"/>
        <w:jc w:val="center"/>
        <w:outlineLvl w:val="9"/>
        <w:rPr>
          <w:rFonts w:hint="eastAsia" w:ascii="宋体" w:hAnsi="宋体" w:eastAsia="宋体" w:cs="宋体"/>
          <w:b/>
          <w:color w:val="auto"/>
          <w:kern w:val="0"/>
          <w:sz w:val="32"/>
          <w:szCs w:val="32"/>
          <w:highlight w:val="none"/>
        </w:rPr>
      </w:pPr>
    </w:p>
    <w:p w14:paraId="302BEC6D">
      <w:pPr>
        <w:pageBreakBefore w:val="0"/>
        <w:tabs>
          <w:tab w:val="left" w:pos="210"/>
        </w:tabs>
        <w:bidi w:val="0"/>
        <w:spacing w:line="240" w:lineRule="auto"/>
        <w:jc w:val="center"/>
        <w:outlineLvl w:val="9"/>
        <w:rPr>
          <w:rFonts w:hint="eastAsia" w:ascii="宋体" w:hAnsi="宋体" w:eastAsia="宋体" w:cs="宋体"/>
          <w:color w:val="auto"/>
          <w:spacing w:val="-6"/>
          <w:sz w:val="24"/>
          <w:highlight w:val="none"/>
        </w:rPr>
      </w:pPr>
      <w:r>
        <w:rPr>
          <w:rFonts w:hint="eastAsia" w:ascii="宋体" w:hAnsi="宋体" w:eastAsia="宋体" w:cs="宋体"/>
          <w:b/>
          <w:color w:val="auto"/>
          <w:kern w:val="0"/>
          <w:sz w:val="32"/>
          <w:szCs w:val="32"/>
          <w:highlight w:val="none"/>
        </w:rPr>
        <w:t>法定代表人授权委托书</w:t>
      </w:r>
    </w:p>
    <w:p w14:paraId="69C2A70D">
      <w:pPr>
        <w:pStyle w:val="12"/>
        <w:pageBreakBefore w:val="0"/>
        <w:bidi w:val="0"/>
        <w:spacing w:line="500" w:lineRule="exact"/>
        <w:jc w:val="left"/>
        <w:outlineLvl w:val="9"/>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黄龙县人民医院</w:t>
      </w:r>
      <w:r>
        <w:rPr>
          <w:rFonts w:hint="eastAsia" w:ascii="宋体" w:hAnsi="宋体" w:eastAsia="宋体" w:cs="宋体"/>
          <w:color w:val="auto"/>
          <w:sz w:val="24"/>
          <w:szCs w:val="24"/>
          <w:highlight w:val="none"/>
        </w:rPr>
        <w:t>：</w:t>
      </w:r>
    </w:p>
    <w:p w14:paraId="3859BA94">
      <w:pPr>
        <w:pStyle w:val="12"/>
        <w:pageBreakBefore w:val="0"/>
        <w:bidi w:val="0"/>
        <w:spacing w:line="500" w:lineRule="exact"/>
        <w:ind w:left="-120" w:leftChars="-57"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本授权书声明：注册于（</w:t>
      </w:r>
      <w:r>
        <w:rPr>
          <w:rFonts w:hint="eastAsia" w:ascii="宋体" w:hAnsi="宋体" w:eastAsia="宋体" w:cs="宋体"/>
          <w:color w:val="auto"/>
          <w:sz w:val="24"/>
          <w:szCs w:val="24"/>
          <w:highlight w:val="none"/>
          <w:u w:val="single"/>
        </w:rPr>
        <w:t xml:space="preserve"> 工商行政管理局名称）之（委托单位全称） </w:t>
      </w:r>
      <w:r>
        <w:rPr>
          <w:rFonts w:hint="eastAsia" w:ascii="宋体" w:hAnsi="宋体" w:eastAsia="宋体" w:cs="宋体"/>
          <w:color w:val="auto"/>
          <w:sz w:val="24"/>
          <w:szCs w:val="24"/>
          <w:highlight w:val="none"/>
        </w:rPr>
        <w:t>的法定代表人</w:t>
      </w:r>
      <w:r>
        <w:rPr>
          <w:rFonts w:hint="eastAsia" w:ascii="宋体" w:hAnsi="宋体" w:eastAsia="宋体" w:cs="宋体"/>
          <w:color w:val="auto"/>
          <w:sz w:val="24"/>
          <w:szCs w:val="24"/>
          <w:highlight w:val="none"/>
          <w:u w:val="single"/>
        </w:rPr>
        <w:t>（姓名、性别）</w:t>
      </w:r>
      <w:r>
        <w:rPr>
          <w:rFonts w:hint="eastAsia" w:ascii="宋体" w:hAnsi="宋体" w:eastAsia="宋体" w:cs="宋体"/>
          <w:color w:val="auto"/>
          <w:sz w:val="24"/>
          <w:szCs w:val="24"/>
          <w:highlight w:val="none"/>
        </w:rPr>
        <w:t>授权</w:t>
      </w:r>
      <w:r>
        <w:rPr>
          <w:rFonts w:hint="eastAsia" w:ascii="宋体" w:hAnsi="宋体" w:eastAsia="宋体" w:cs="宋体"/>
          <w:color w:val="auto"/>
          <w:sz w:val="24"/>
          <w:highlight w:val="none"/>
        </w:rPr>
        <w:t>本公司的</w:t>
      </w:r>
      <w:r>
        <w:rPr>
          <w:rFonts w:hint="eastAsia" w:ascii="宋体" w:hAnsi="宋体" w:eastAsia="宋体" w:cs="宋体"/>
          <w:color w:val="auto"/>
          <w:sz w:val="24"/>
          <w:szCs w:val="24"/>
          <w:highlight w:val="none"/>
          <w:u w:val="single"/>
        </w:rPr>
        <w:t>（被授权人姓名、性别、职务）</w:t>
      </w:r>
      <w:r>
        <w:rPr>
          <w:rFonts w:hint="eastAsia" w:ascii="宋体" w:hAnsi="宋体" w:eastAsia="宋体" w:cs="宋体"/>
          <w:color w:val="auto"/>
          <w:sz w:val="24"/>
          <w:szCs w:val="24"/>
          <w:highlight w:val="none"/>
        </w:rPr>
        <w:t>为合法代理人，就贵方组织的有关</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u w:val="single"/>
          <w:lang w:val="en-US" w:eastAsia="zh-CN"/>
        </w:rPr>
        <w:t>及标包</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）的投标、洽谈、执行等具体事务，签署全部有关投标文件、文书、协议、合同，本公司对被授权人在本项目中的签名承担全部法律责任。</w:t>
      </w:r>
    </w:p>
    <w:p w14:paraId="12A6D0F2">
      <w:pPr>
        <w:pStyle w:val="12"/>
        <w:pageBreakBefore w:val="0"/>
        <w:bidi w:val="0"/>
        <w:spacing w:line="500" w:lineRule="exact"/>
        <w:ind w:left="-120" w:leftChars="-57"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本授权书自签发日期起计算有效期为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日历</w:t>
      </w:r>
      <w:r>
        <w:rPr>
          <w:rFonts w:hint="eastAsia" w:ascii="宋体" w:hAnsi="宋体" w:eastAsia="宋体" w:cs="宋体"/>
          <w:color w:val="auto"/>
          <w:sz w:val="24"/>
          <w:szCs w:val="24"/>
          <w:highlight w:val="none"/>
          <w:u w:val="none"/>
        </w:rPr>
        <w:t xml:space="preserve">天 </w:t>
      </w:r>
      <w:r>
        <w:rPr>
          <w:rFonts w:hint="eastAsia" w:ascii="宋体" w:hAnsi="宋体" w:eastAsia="宋体" w:cs="宋体"/>
          <w:color w:val="auto"/>
          <w:sz w:val="24"/>
          <w:szCs w:val="24"/>
          <w:highlight w:val="none"/>
        </w:rPr>
        <w:t>。</w:t>
      </w:r>
    </w:p>
    <w:p w14:paraId="7B6E9BD4">
      <w:pPr>
        <w:pStyle w:val="12"/>
        <w:pageBreakBefore w:val="0"/>
        <w:bidi w:val="0"/>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委托单位（公章）：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法定代表人（签字或盖章）：</w:t>
      </w:r>
    </w:p>
    <w:p w14:paraId="0D9A7DEE">
      <w:pPr>
        <w:pStyle w:val="12"/>
        <w:pageBreakBefore w:val="0"/>
        <w:bidi w:val="0"/>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签发日期：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F7559D8">
      <w:pPr>
        <w:pStyle w:val="12"/>
        <w:pageBreakBefore w:val="0"/>
        <w:bidi w:val="0"/>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附：被授权人（签字）：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7DEF98FE">
      <w:pPr>
        <w:pStyle w:val="12"/>
        <w:pageBreakBefore w:val="0"/>
        <w:bidi w:val="0"/>
        <w:spacing w:line="500" w:lineRule="exact"/>
        <w:ind w:firstLine="960" w:firstLineChars="4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rPr>
        <w:t xml:space="preserve">                                                       </w:t>
      </w:r>
    </w:p>
    <w:p w14:paraId="0BEE9B3F">
      <w:pPr>
        <w:pStyle w:val="12"/>
        <w:pageBreakBefore w:val="0"/>
        <w:bidi w:val="0"/>
        <w:spacing w:line="500" w:lineRule="exact"/>
        <w:ind w:firstLine="960" w:firstLineChars="4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p w14:paraId="206E6C28">
      <w:pPr>
        <w:pStyle w:val="12"/>
        <w:pageBreakBefore w:val="0"/>
        <w:bidi w:val="0"/>
        <w:spacing w:line="500" w:lineRule="exact"/>
        <w:ind w:firstLine="2760" w:firstLineChars="11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法定代表人/被授权人身份证复印件</w:t>
      </w:r>
    </w:p>
    <w:tbl>
      <w:tblPr>
        <w:tblStyle w:val="24"/>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834"/>
        <w:gridCol w:w="4833"/>
      </w:tblGrid>
      <w:tr w14:paraId="2785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854" w:hRule="atLeast"/>
          <w:jc w:val="center"/>
        </w:trPr>
        <w:tc>
          <w:tcPr>
            <w:tcW w:w="4834" w:type="dxa"/>
            <w:shd w:val="clear" w:color="auto" w:fill="E0E0E0"/>
            <w:vAlign w:val="center"/>
          </w:tcPr>
          <w:p w14:paraId="5C00F946">
            <w:pPr>
              <w:pStyle w:val="12"/>
              <w:pageBreakBefore w:val="0"/>
              <w:bidi w:val="0"/>
              <w:snapToGrid w:val="0"/>
              <w:spacing w:line="500" w:lineRule="exact"/>
              <w:jc w:val="center"/>
              <w:outlineLvl w:val="9"/>
              <w:rPr>
                <w:rFonts w:hint="eastAsia" w:ascii="宋体" w:hAnsi="宋体" w:eastAsia="宋体" w:cs="宋体"/>
                <w:color w:val="auto"/>
                <w:sz w:val="24"/>
                <w:szCs w:val="24"/>
                <w:highlight w:val="none"/>
                <w:shd w:val="pct10" w:color="auto" w:fill="FFFFFF"/>
              </w:rPr>
            </w:pPr>
            <w:r>
              <w:rPr>
                <w:rFonts w:hint="eastAsia" w:ascii="宋体" w:hAnsi="宋体" w:eastAsia="宋体" w:cs="宋体"/>
                <w:color w:val="auto"/>
                <w:sz w:val="24"/>
                <w:szCs w:val="24"/>
                <w:highlight w:val="none"/>
                <w:shd w:val="pct10" w:color="auto" w:fill="FFFFFF"/>
              </w:rPr>
              <w:t>法定代表人身份证复印件</w:t>
            </w:r>
          </w:p>
        </w:tc>
        <w:tc>
          <w:tcPr>
            <w:tcW w:w="4833" w:type="dxa"/>
            <w:shd w:val="clear" w:color="auto" w:fill="E0E0E0"/>
            <w:vAlign w:val="center"/>
          </w:tcPr>
          <w:p w14:paraId="5B1977CE">
            <w:pPr>
              <w:pStyle w:val="12"/>
              <w:pageBreakBefore w:val="0"/>
              <w:bidi w:val="0"/>
              <w:snapToGrid w:val="0"/>
              <w:spacing w:line="500" w:lineRule="exact"/>
              <w:jc w:val="center"/>
              <w:outlineLvl w:val="9"/>
              <w:rPr>
                <w:rFonts w:hint="eastAsia" w:ascii="宋体" w:hAnsi="宋体" w:eastAsia="宋体" w:cs="宋体"/>
                <w:color w:val="auto"/>
                <w:sz w:val="24"/>
                <w:szCs w:val="24"/>
                <w:highlight w:val="none"/>
                <w:shd w:val="pct10" w:color="auto" w:fill="FFFFFF"/>
              </w:rPr>
            </w:pPr>
            <w:r>
              <w:rPr>
                <w:rFonts w:hint="eastAsia" w:ascii="宋体" w:hAnsi="宋体" w:eastAsia="宋体" w:cs="宋体"/>
                <w:color w:val="auto"/>
                <w:sz w:val="24"/>
                <w:szCs w:val="24"/>
                <w:highlight w:val="none"/>
                <w:shd w:val="pct10" w:color="auto" w:fill="FFFFFF"/>
              </w:rPr>
              <w:t>被授权人身份证复印件</w:t>
            </w:r>
          </w:p>
        </w:tc>
      </w:tr>
      <w:tr w14:paraId="4652A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207" w:hRule="atLeast"/>
          <w:jc w:val="center"/>
        </w:trPr>
        <w:tc>
          <w:tcPr>
            <w:tcW w:w="4834" w:type="dxa"/>
            <w:shd w:val="clear" w:color="auto" w:fill="E0E0E0"/>
            <w:vAlign w:val="center"/>
          </w:tcPr>
          <w:p w14:paraId="05BC4F5F">
            <w:pPr>
              <w:pStyle w:val="12"/>
              <w:pageBreakBefore w:val="0"/>
              <w:bidi w:val="0"/>
              <w:snapToGrid w:val="0"/>
              <w:spacing w:line="500" w:lineRule="exact"/>
              <w:jc w:val="center"/>
              <w:outlineLvl w:val="9"/>
              <w:rPr>
                <w:rFonts w:hint="eastAsia" w:ascii="宋体" w:hAnsi="宋体" w:eastAsia="宋体" w:cs="宋体"/>
                <w:color w:val="auto"/>
                <w:sz w:val="24"/>
                <w:szCs w:val="24"/>
                <w:highlight w:val="none"/>
                <w:shd w:val="pct10" w:color="auto" w:fill="FFFFFF"/>
              </w:rPr>
            </w:pPr>
            <w:r>
              <w:rPr>
                <w:rFonts w:hint="eastAsia" w:ascii="宋体" w:hAnsi="宋体" w:eastAsia="宋体" w:cs="宋体"/>
                <w:color w:val="auto"/>
                <w:sz w:val="24"/>
                <w:szCs w:val="24"/>
                <w:highlight w:val="none"/>
                <w:shd w:val="pct10" w:color="auto" w:fill="FFFFFF"/>
              </w:rPr>
              <w:t>法定代表人身份证复印件</w:t>
            </w:r>
          </w:p>
        </w:tc>
        <w:tc>
          <w:tcPr>
            <w:tcW w:w="4833" w:type="dxa"/>
            <w:shd w:val="clear" w:color="auto" w:fill="E0E0E0"/>
            <w:vAlign w:val="center"/>
          </w:tcPr>
          <w:p w14:paraId="57EBE8DE">
            <w:pPr>
              <w:pStyle w:val="12"/>
              <w:pageBreakBefore w:val="0"/>
              <w:bidi w:val="0"/>
              <w:snapToGrid w:val="0"/>
              <w:spacing w:line="500" w:lineRule="exact"/>
              <w:jc w:val="center"/>
              <w:outlineLvl w:val="9"/>
              <w:rPr>
                <w:rFonts w:hint="eastAsia" w:ascii="宋体" w:hAnsi="宋体" w:eastAsia="宋体" w:cs="宋体"/>
                <w:color w:val="auto"/>
                <w:sz w:val="24"/>
                <w:szCs w:val="24"/>
                <w:highlight w:val="none"/>
                <w:shd w:val="pct10" w:color="auto" w:fill="FFFFFF"/>
              </w:rPr>
            </w:pPr>
            <w:r>
              <w:rPr>
                <w:rFonts w:hint="eastAsia" w:ascii="宋体" w:hAnsi="宋体" w:eastAsia="宋体" w:cs="宋体"/>
                <w:color w:val="auto"/>
                <w:sz w:val="24"/>
                <w:szCs w:val="24"/>
                <w:highlight w:val="none"/>
                <w:shd w:val="pct10" w:color="auto" w:fill="FFFFFF"/>
              </w:rPr>
              <w:t>被授权人身份证复印件</w:t>
            </w:r>
          </w:p>
        </w:tc>
      </w:tr>
    </w:tbl>
    <w:p w14:paraId="693FFE01">
      <w:pPr>
        <w:pStyle w:val="12"/>
        <w:pageBreakBefore w:val="0"/>
        <w:bidi w:val="0"/>
        <w:spacing w:line="500" w:lineRule="exact"/>
        <w:ind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4EF43C56">
      <w:pPr>
        <w:pStyle w:val="12"/>
        <w:pageBreakBefore w:val="0"/>
        <w:bidi w:val="0"/>
        <w:spacing w:line="460" w:lineRule="exact"/>
        <w:ind w:firstLine="720" w:firstLineChars="3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1．本授权书有效期自开标大会之日计算不得少于九十</w:t>
      </w:r>
      <w:r>
        <w:rPr>
          <w:rFonts w:hint="eastAsia" w:ascii="宋体" w:hAnsi="宋体" w:eastAsia="宋体" w:cs="宋体"/>
          <w:color w:val="auto"/>
          <w:sz w:val="24"/>
          <w:szCs w:val="24"/>
          <w:highlight w:val="none"/>
          <w:lang w:val="en-US" w:eastAsia="zh-CN"/>
        </w:rPr>
        <w:t>日历</w:t>
      </w:r>
      <w:r>
        <w:rPr>
          <w:rFonts w:hint="eastAsia" w:ascii="宋体" w:hAnsi="宋体" w:eastAsia="宋体" w:cs="宋体"/>
          <w:color w:val="auto"/>
          <w:sz w:val="24"/>
          <w:szCs w:val="24"/>
          <w:highlight w:val="none"/>
        </w:rPr>
        <w:t>天。</w:t>
      </w:r>
    </w:p>
    <w:p w14:paraId="0BE1B408">
      <w:pPr>
        <w:pStyle w:val="12"/>
        <w:pageBreakBefore w:val="0"/>
        <w:bidi w:val="0"/>
        <w:spacing w:line="460" w:lineRule="exact"/>
        <w:ind w:firstLine="720" w:firstLineChars="300"/>
        <w:outlineLvl w:val="9"/>
        <w:rPr>
          <w:rFonts w:hint="eastAsia" w:ascii="宋体" w:hAnsi="宋体" w:eastAsia="宋体" w:cs="宋体"/>
          <w:b/>
          <w:color w:val="auto"/>
          <w:sz w:val="32"/>
          <w:szCs w:val="32"/>
          <w:highlight w:val="none"/>
        </w:rPr>
      </w:pPr>
      <w:r>
        <w:rPr>
          <w:rFonts w:hint="eastAsia" w:ascii="宋体" w:hAnsi="宋体" w:eastAsia="宋体" w:cs="宋体"/>
          <w:color w:val="auto"/>
          <w:sz w:val="24"/>
          <w:szCs w:val="24"/>
          <w:highlight w:val="none"/>
        </w:rPr>
        <w:t>2．授权书内容填写要明确，文字要工整清楚，涂改无效。</w:t>
      </w:r>
    </w:p>
    <w:p w14:paraId="76EF9994">
      <w:pPr>
        <w:pageBreakBefore w:val="0"/>
        <w:bidi w:val="0"/>
        <w:spacing w:line="360" w:lineRule="auto"/>
        <w:ind w:firstLine="640"/>
        <w:jc w:val="center"/>
        <w:outlineLvl w:val="9"/>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八、</w:t>
      </w:r>
      <w:r>
        <w:rPr>
          <w:rFonts w:hint="eastAsia" w:ascii="宋体" w:hAnsi="宋体" w:eastAsia="宋体" w:cs="宋体"/>
          <w:b/>
          <w:color w:val="auto"/>
          <w:sz w:val="32"/>
          <w:szCs w:val="32"/>
          <w:highlight w:val="none"/>
        </w:rPr>
        <w:t>投标人</w:t>
      </w:r>
      <w:r>
        <w:rPr>
          <w:rFonts w:hint="eastAsia" w:ascii="宋体" w:hAnsi="宋体" w:eastAsia="宋体" w:cs="宋体"/>
          <w:b/>
          <w:color w:val="auto"/>
          <w:sz w:val="32"/>
          <w:szCs w:val="32"/>
          <w:highlight w:val="none"/>
          <w:lang w:val="en-US" w:eastAsia="zh-CN"/>
        </w:rPr>
        <w:t>资格证明资料</w:t>
      </w:r>
    </w:p>
    <w:p w14:paraId="08F789CE">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
          <w:bCs/>
          <w:color w:val="auto"/>
          <w:spacing w:val="0"/>
          <w:kern w:val="2"/>
          <w:sz w:val="24"/>
          <w:szCs w:val="24"/>
          <w:lang w:val="en-US" w:eastAsia="zh-CN" w:bidi="ar-SA"/>
        </w:rPr>
      </w:pPr>
      <w:r>
        <w:rPr>
          <w:rFonts w:hint="eastAsia" w:ascii="宋体" w:hAnsi="宋体" w:eastAsia="宋体" w:cs="宋体"/>
          <w:b/>
          <w:bCs/>
          <w:color w:val="auto"/>
          <w:spacing w:val="0"/>
          <w:kern w:val="2"/>
          <w:sz w:val="24"/>
          <w:szCs w:val="24"/>
          <w:lang w:val="en-US" w:eastAsia="zh-CN" w:bidi="ar-SA"/>
        </w:rPr>
        <w:t>基本资格条件：供应商符合《政府采购法》第二十二条规定条件的承诺函</w:t>
      </w:r>
    </w:p>
    <w:p w14:paraId="3771B16C">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致：</w:t>
      </w:r>
      <w:r>
        <w:rPr>
          <w:rFonts w:hint="eastAsia" w:ascii="宋体" w:hAnsi="宋体" w:eastAsia="宋体" w:cs="宋体"/>
          <w:color w:val="auto"/>
          <w:spacing w:val="0"/>
          <w:sz w:val="24"/>
          <w:szCs w:val="24"/>
          <w:u w:val="single" w:color="auto"/>
        </w:rPr>
        <w:t xml:space="preserve">                   </w:t>
      </w:r>
      <w:r>
        <w:rPr>
          <w:rFonts w:hint="eastAsia" w:ascii="宋体" w:hAnsi="宋体" w:eastAsia="宋体" w:cs="宋体"/>
          <w:color w:val="auto"/>
          <w:spacing w:val="0"/>
          <w:sz w:val="24"/>
          <w:szCs w:val="24"/>
        </w:rPr>
        <w:t xml:space="preserve"> </w:t>
      </w:r>
      <w:r>
        <w:rPr>
          <w:rFonts w:hint="eastAsia" w:ascii="宋体" w:hAnsi="宋体" w:eastAsia="宋体" w:cs="宋体"/>
          <w:color w:val="auto"/>
          <w:spacing w:val="0"/>
          <w:kern w:val="2"/>
          <w:sz w:val="24"/>
          <w:szCs w:val="24"/>
          <w:highlight w:val="none"/>
          <w:lang w:val="en-US" w:eastAsia="zh-CN" w:bidi="ar-SA"/>
        </w:rPr>
        <w:t>（采购人）</w:t>
      </w:r>
    </w:p>
    <w:p w14:paraId="6AC613C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sz w:val="24"/>
          <w:szCs w:val="24"/>
        </w:rPr>
        <w:t>本公司</w:t>
      </w:r>
      <w:r>
        <w:rPr>
          <w:rFonts w:hint="eastAsia" w:ascii="宋体" w:hAnsi="宋体" w:eastAsia="宋体" w:cs="宋体"/>
          <w:color w:val="auto"/>
          <w:spacing w:val="0"/>
          <w:sz w:val="24"/>
          <w:szCs w:val="24"/>
          <w:u w:val="single" w:color="auto"/>
        </w:rPr>
        <w:t xml:space="preserve">                   </w:t>
      </w:r>
      <w:r>
        <w:rPr>
          <w:rFonts w:hint="eastAsia" w:ascii="宋体" w:hAnsi="宋体" w:eastAsia="宋体" w:cs="宋体"/>
          <w:color w:val="auto"/>
          <w:spacing w:val="0"/>
          <w:sz w:val="24"/>
          <w:szCs w:val="24"/>
        </w:rPr>
        <w:t xml:space="preserve"> (公司名称) 参加</w:t>
      </w:r>
      <w:r>
        <w:rPr>
          <w:rFonts w:hint="eastAsia" w:ascii="宋体" w:hAnsi="宋体" w:eastAsia="宋体" w:cs="宋体"/>
          <w:color w:val="auto"/>
          <w:spacing w:val="0"/>
          <w:sz w:val="24"/>
          <w:szCs w:val="24"/>
          <w:u w:val="single" w:color="auto"/>
        </w:rPr>
        <w:t xml:space="preserve">                 </w:t>
      </w:r>
      <w:r>
        <w:rPr>
          <w:rFonts w:hint="eastAsia" w:ascii="宋体" w:hAnsi="宋体" w:eastAsia="宋体" w:cs="宋体"/>
          <w:color w:val="auto"/>
          <w:spacing w:val="0"/>
          <w:sz w:val="24"/>
          <w:szCs w:val="24"/>
        </w:rPr>
        <w:t xml:space="preserve"> (项目名称</w:t>
      </w:r>
      <w:r>
        <w:rPr>
          <w:rFonts w:hint="eastAsia" w:ascii="宋体" w:hAnsi="宋体" w:cs="宋体"/>
          <w:color w:val="auto"/>
          <w:spacing w:val="0"/>
          <w:sz w:val="24"/>
          <w:szCs w:val="24"/>
          <w:lang w:val="en-US" w:eastAsia="zh-CN"/>
        </w:rPr>
        <w:t>及标包</w:t>
      </w:r>
      <w:r>
        <w:rPr>
          <w:rFonts w:hint="eastAsia" w:ascii="宋体" w:hAnsi="宋体" w:eastAsia="宋体" w:cs="宋体"/>
          <w:color w:val="auto"/>
          <w:spacing w:val="0"/>
          <w:sz w:val="24"/>
          <w:szCs w:val="24"/>
        </w:rPr>
        <w:t xml:space="preserve">) </w:t>
      </w:r>
      <w:r>
        <w:rPr>
          <w:rFonts w:hint="eastAsia" w:ascii="宋体" w:hAnsi="宋体" w:eastAsia="宋体" w:cs="宋体"/>
          <w:color w:val="auto"/>
          <w:spacing w:val="0"/>
          <w:kern w:val="2"/>
          <w:sz w:val="24"/>
          <w:szCs w:val="24"/>
          <w:highlight w:val="none"/>
          <w:lang w:val="en-US" w:eastAsia="zh-CN" w:bidi="ar-SA"/>
        </w:rPr>
        <w:t>的</w:t>
      </w:r>
      <w:r>
        <w:rPr>
          <w:rFonts w:hint="eastAsia" w:ascii="宋体" w:hAnsi="宋体" w:cs="宋体"/>
          <w:color w:val="auto"/>
          <w:spacing w:val="0"/>
          <w:kern w:val="2"/>
          <w:sz w:val="24"/>
          <w:szCs w:val="24"/>
          <w:highlight w:val="none"/>
          <w:lang w:val="en-US" w:eastAsia="zh-CN" w:bidi="ar-SA"/>
        </w:rPr>
        <w:t>投标</w:t>
      </w:r>
      <w:r>
        <w:rPr>
          <w:rFonts w:hint="eastAsia" w:ascii="宋体" w:hAnsi="宋体" w:eastAsia="宋体" w:cs="宋体"/>
          <w:color w:val="auto"/>
          <w:spacing w:val="0"/>
          <w:kern w:val="2"/>
          <w:sz w:val="24"/>
          <w:szCs w:val="24"/>
          <w:highlight w:val="none"/>
          <w:lang w:val="en-US" w:eastAsia="zh-CN" w:bidi="ar-SA"/>
        </w:rPr>
        <w:t>活动，现承诺：</w:t>
      </w:r>
    </w:p>
    <w:p w14:paraId="58778079">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我公司满足政府采购法第二十二条关于供应商的资格要求：</w:t>
      </w:r>
    </w:p>
    <w:p w14:paraId="039D5CE4">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（1）具有独立承担民事责任的能力；</w:t>
      </w:r>
    </w:p>
    <w:p w14:paraId="2D2F5E31">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（2）具有良好的商业信誉和健全的财务会计制度；</w:t>
      </w:r>
    </w:p>
    <w:p w14:paraId="6A537FBA">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（3）具有履行合同所必需的设备和专业技术能力；</w:t>
      </w:r>
    </w:p>
    <w:p w14:paraId="090B516C">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（4）有依法缴纳税收和社会保障资金的良好记录；</w:t>
      </w:r>
    </w:p>
    <w:p w14:paraId="3C192CF1">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（5）参加政府采购活动前三年内，在经营活动中没有重大违法记录；</w:t>
      </w:r>
    </w:p>
    <w:p w14:paraId="32DB5094">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（6）法律、行政法规规定的其他条件。</w:t>
      </w:r>
    </w:p>
    <w:p w14:paraId="64D6473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同时也满足本项目法律法规规定关于供应商的其他资格性条件，未参与本采购项目前期咨询论证，不属于禁止参加采购的供应商。</w:t>
      </w:r>
    </w:p>
    <w:p w14:paraId="48B2A68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如违反以上承诺，本公司愿承担一切法律责任。</w:t>
      </w:r>
    </w:p>
    <w:p w14:paraId="0D654121">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pacing w:val="0"/>
          <w:sz w:val="24"/>
          <w:szCs w:val="24"/>
        </w:rPr>
      </w:pPr>
    </w:p>
    <w:p w14:paraId="6F619C64">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pacing w:val="0"/>
          <w:sz w:val="24"/>
          <w:szCs w:val="24"/>
        </w:rPr>
      </w:pPr>
    </w:p>
    <w:p w14:paraId="51091765">
      <w:pPr>
        <w:keepNext w:val="0"/>
        <w:keepLines w:val="0"/>
        <w:pageBreakBefore w:val="0"/>
        <w:widowControl w:val="0"/>
        <w:kinsoku/>
        <w:wordWrap/>
        <w:overflowPunct/>
        <w:topLinePunct w:val="0"/>
        <w:autoSpaceDE/>
        <w:autoSpaceDN/>
        <w:bidi w:val="0"/>
        <w:adjustRightInd/>
        <w:snapToGrid/>
        <w:spacing w:line="600" w:lineRule="auto"/>
        <w:ind w:left="0" w:firstLine="1920" w:firstLineChars="8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供应商 (盖章 ) ：</w:t>
      </w:r>
      <w:r>
        <w:rPr>
          <w:rFonts w:hint="eastAsia" w:ascii="宋体" w:hAnsi="宋体" w:eastAsia="宋体" w:cs="宋体"/>
          <w:color w:val="auto"/>
          <w:spacing w:val="0"/>
          <w:sz w:val="24"/>
          <w:szCs w:val="24"/>
          <w:u w:val="single" w:color="auto"/>
        </w:rPr>
        <w:t xml:space="preserve">                      </w:t>
      </w:r>
    </w:p>
    <w:p w14:paraId="27A7C746">
      <w:pPr>
        <w:keepNext w:val="0"/>
        <w:keepLines w:val="0"/>
        <w:pageBreakBefore w:val="0"/>
        <w:widowControl w:val="0"/>
        <w:kinsoku/>
        <w:wordWrap/>
        <w:overflowPunct/>
        <w:topLinePunct w:val="0"/>
        <w:autoSpaceDE/>
        <w:autoSpaceDN/>
        <w:bidi w:val="0"/>
        <w:adjustRightInd/>
        <w:snapToGrid/>
        <w:spacing w:line="600" w:lineRule="auto"/>
        <w:ind w:left="0" w:firstLine="1920" w:firstLineChars="8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法定代表人/被授权人 (签字</w:t>
      </w:r>
      <w:r>
        <w:rPr>
          <w:rFonts w:hint="eastAsia" w:ascii="宋体" w:hAnsi="宋体" w:eastAsia="宋体" w:cs="宋体"/>
          <w:color w:val="auto"/>
          <w:spacing w:val="0"/>
          <w:sz w:val="24"/>
          <w:szCs w:val="24"/>
          <w:lang w:eastAsia="zh-CN"/>
        </w:rPr>
        <w:t>或盖章</w:t>
      </w:r>
      <w:r>
        <w:rPr>
          <w:rFonts w:hint="eastAsia" w:ascii="宋体" w:hAnsi="宋体" w:eastAsia="宋体" w:cs="宋体"/>
          <w:color w:val="auto"/>
          <w:spacing w:val="0"/>
          <w:sz w:val="24"/>
          <w:szCs w:val="24"/>
        </w:rPr>
        <w:t xml:space="preserve">) </w:t>
      </w:r>
      <w:r>
        <w:rPr>
          <w:rFonts w:hint="eastAsia" w:ascii="宋体" w:hAnsi="宋体" w:eastAsia="宋体" w:cs="宋体"/>
          <w:color w:val="auto"/>
          <w:spacing w:val="0"/>
          <w:sz w:val="24"/>
          <w:szCs w:val="24"/>
          <w:u w:val="none" w:color="auto"/>
        </w:rPr>
        <w:t>：</w:t>
      </w:r>
      <w:r>
        <w:rPr>
          <w:rFonts w:hint="eastAsia" w:ascii="宋体" w:hAnsi="宋体" w:eastAsia="宋体" w:cs="宋体"/>
          <w:color w:val="auto"/>
          <w:spacing w:val="0"/>
          <w:sz w:val="24"/>
          <w:szCs w:val="24"/>
          <w:u w:val="single" w:color="auto"/>
        </w:rPr>
        <w:t xml:space="preserve">        </w:t>
      </w:r>
    </w:p>
    <w:p w14:paraId="2CD3F3B3">
      <w:pPr>
        <w:keepNext w:val="0"/>
        <w:keepLines w:val="0"/>
        <w:pageBreakBefore w:val="0"/>
        <w:widowControl w:val="0"/>
        <w:kinsoku/>
        <w:wordWrap/>
        <w:overflowPunct/>
        <w:topLinePunct w:val="0"/>
        <w:autoSpaceDE/>
        <w:autoSpaceDN/>
        <w:bidi w:val="0"/>
        <w:adjustRightInd/>
        <w:snapToGrid/>
        <w:spacing w:line="600" w:lineRule="auto"/>
        <w:ind w:left="0" w:firstLine="1920" w:firstLineChars="8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日期：      年    月    日</w:t>
      </w:r>
    </w:p>
    <w:p w14:paraId="073C21B0">
      <w:pPr>
        <w:spacing w:line="600" w:lineRule="auto"/>
        <w:rPr>
          <w:rFonts w:hint="eastAsia" w:ascii="宋体" w:hAnsi="宋体" w:eastAsia="宋体" w:cs="宋体"/>
          <w:color w:val="auto"/>
          <w:sz w:val="24"/>
          <w:szCs w:val="24"/>
        </w:rPr>
        <w:sectPr>
          <w:footerReference r:id="rId17" w:type="default"/>
          <w:pgSz w:w="11906" w:h="16839"/>
          <w:pgMar w:top="1536" w:right="1345" w:bottom="1228" w:left="1430" w:header="0" w:footer="1068" w:gutter="0"/>
          <w:pgNumType w:fmt="decimal"/>
          <w:cols w:space="720" w:num="1"/>
        </w:sectPr>
      </w:pPr>
    </w:p>
    <w:p w14:paraId="5D0D3C07">
      <w:pPr>
        <w:pStyle w:val="7"/>
        <w:spacing w:line="360" w:lineRule="auto"/>
        <w:ind w:left="0" w:leftChars="0" w:firstLine="0" w:firstLineChars="0"/>
        <w:rPr>
          <w:rFonts w:hint="eastAsia"/>
          <w:b/>
          <w:bCs/>
          <w:color w:val="auto"/>
          <w:lang w:val="en-US" w:eastAsia="zh-CN"/>
        </w:rPr>
      </w:pPr>
      <w:r>
        <w:rPr>
          <w:rFonts w:hint="eastAsia" w:ascii="宋体" w:hAnsi="宋体" w:cs="宋体"/>
          <w:b/>
          <w:bCs/>
          <w:color w:val="auto"/>
          <w:spacing w:val="8"/>
          <w:sz w:val="24"/>
          <w:szCs w:val="24"/>
          <w:lang w:eastAsia="zh-CN"/>
        </w:rPr>
        <w:t>（</w:t>
      </w:r>
      <w:r>
        <w:rPr>
          <w:rFonts w:hint="eastAsia" w:ascii="宋体" w:hAnsi="宋体" w:cs="宋体"/>
          <w:b/>
          <w:bCs/>
          <w:color w:val="auto"/>
          <w:spacing w:val="8"/>
          <w:sz w:val="24"/>
          <w:szCs w:val="24"/>
          <w:lang w:val="en-US" w:eastAsia="zh-CN"/>
        </w:rPr>
        <w:t>二</w:t>
      </w:r>
      <w:r>
        <w:rPr>
          <w:rFonts w:hint="eastAsia" w:ascii="宋体" w:hAnsi="宋体" w:cs="宋体"/>
          <w:b/>
          <w:bCs/>
          <w:color w:val="auto"/>
          <w:spacing w:val="8"/>
          <w:sz w:val="24"/>
          <w:szCs w:val="24"/>
          <w:lang w:eastAsia="zh-CN"/>
        </w:rPr>
        <w:t>）特定</w:t>
      </w:r>
      <w:r>
        <w:rPr>
          <w:rFonts w:hint="eastAsia" w:ascii="宋体" w:hAnsi="宋体" w:eastAsia="宋体" w:cs="宋体"/>
          <w:b/>
          <w:bCs/>
          <w:color w:val="auto"/>
          <w:spacing w:val="8"/>
          <w:sz w:val="24"/>
          <w:szCs w:val="24"/>
        </w:rPr>
        <w:t>资格条件</w:t>
      </w:r>
    </w:p>
    <w:p w14:paraId="68325AA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供应商须为独立承担民事责任能力的法人或其他组织，并出具有效的营业执照等国家规定的相关主体资格证明资料；（2）供应商须提供《医疗器械经营许可证》或《医疗器械经营备案凭证》或《医疗器械生产许可证》或《医疗器械生产备案凭证》</w:t>
      </w:r>
      <w:r>
        <w:rPr>
          <w:rFonts w:hint="eastAsia"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3）提供2023年经会计师事务所审计的财务审计报告或近三个月内银行出具的资信证明；（4）提供2024年1月1日至今已缴纳的至少一个月的纳税证明，依法免税的供应商应提供相关文件证明；（5）提供2024年1月1日至今已缴纳的至少一个月社会保障资金缴存单据或社保机构开具的社会保险参保缴费情况证明，依法不需要缴纳社保的供应商应提供相关文件证明；（6）法定代表人授权书及被授权人身份证（法定代表人直接投标只需提供本人身份证）；（7）参加政府采购活动前3年内，在经营活动中没有重大违法记录的书面声明；（8）供应商不得为“中国执行信息公开网”列入失信被执行人名单的供应商，不得为“信用中国”网列入重大税收违法失信主体名单的供应商，不得为中国政府采购网政府采购严重违法失信行为记录名单中被财政部门禁止参加政府采购活动的供应商（提供承诺书）。</w:t>
      </w:r>
    </w:p>
    <w:p w14:paraId="61D25D98">
      <w:pPr>
        <w:keepNext w:val="0"/>
        <w:keepLines w:val="0"/>
        <w:pageBreakBefore w:val="0"/>
        <w:kinsoku/>
        <w:overflowPunct/>
        <w:topLinePunct w:val="0"/>
        <w:autoSpaceDE/>
        <w:autoSpaceDN/>
        <w:bidi w:val="0"/>
        <w:adjustRightInd/>
        <w:snapToGrid/>
        <w:spacing w:line="360" w:lineRule="auto"/>
        <w:ind w:firstLine="482" w:firstLineChars="200"/>
        <w:jc w:val="center"/>
        <w:textAlignment w:val="auto"/>
        <w:outlineLvl w:val="9"/>
        <w:rPr>
          <w:rFonts w:hint="eastAsia" w:ascii="宋体" w:hAnsi="宋体" w:eastAsia="宋体" w:cs="宋体"/>
          <w:b/>
          <w:color w:val="auto"/>
          <w:sz w:val="24"/>
          <w:szCs w:val="24"/>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14:paraId="6DE39C10">
      <w:pPr>
        <w:pageBreakBefore w:val="0"/>
        <w:bidi w:val="0"/>
        <w:spacing w:line="360" w:lineRule="atLeast"/>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九、</w:t>
      </w:r>
      <w:r>
        <w:rPr>
          <w:rFonts w:hint="eastAsia" w:ascii="宋体" w:hAnsi="宋体" w:eastAsia="宋体" w:cs="宋体"/>
          <w:b/>
          <w:color w:val="auto"/>
          <w:sz w:val="32"/>
          <w:szCs w:val="32"/>
          <w:highlight w:val="none"/>
        </w:rPr>
        <w:t>技术方案</w:t>
      </w:r>
    </w:p>
    <w:p w14:paraId="55A28CA6">
      <w:pPr>
        <w:pageBreakBefore w:val="0"/>
        <w:bidi w:val="0"/>
        <w:outlineLvl w:val="9"/>
        <w:rPr>
          <w:rFonts w:hint="eastAsia" w:ascii="宋体" w:hAnsi="宋体" w:eastAsia="宋体" w:cs="宋体"/>
          <w:color w:val="auto"/>
          <w:sz w:val="10"/>
          <w:highlight w:val="none"/>
        </w:rPr>
      </w:pPr>
    </w:p>
    <w:p w14:paraId="737F549A">
      <w:pPr>
        <w:pStyle w:val="55"/>
        <w:pageBreakBefore w:val="0"/>
        <w:bidi w:val="0"/>
        <w:outlineLvl w:val="9"/>
        <w:rPr>
          <w:rFonts w:hint="eastAsia" w:ascii="宋体" w:hAnsi="宋体" w:eastAsia="宋体" w:cs="宋体"/>
          <w:color w:val="auto"/>
          <w:highlight w:val="none"/>
        </w:rPr>
      </w:pPr>
      <w:r>
        <w:rPr>
          <w:rFonts w:hint="eastAsia" w:ascii="宋体" w:hAnsi="宋体" w:eastAsia="宋体" w:cs="宋体"/>
          <w:color w:val="auto"/>
          <w:highlight w:val="none"/>
        </w:rPr>
        <w:t>格式自定，参照招标文件《评标方法和程序》各条款的要求，结合《招标内容及要求》编制投标方案，内容应包括所投标货物的详细说明、质量保证和售后服务</w:t>
      </w:r>
      <w:r>
        <w:rPr>
          <w:rFonts w:hint="eastAsia" w:ascii="宋体" w:hAnsi="宋体" w:eastAsia="宋体" w:cs="宋体"/>
          <w:color w:val="auto"/>
          <w:highlight w:val="none"/>
          <w:lang w:val="en-US" w:eastAsia="zh-CN"/>
        </w:rPr>
        <w:t>方案</w:t>
      </w:r>
      <w:r>
        <w:rPr>
          <w:rFonts w:hint="eastAsia" w:ascii="宋体" w:hAnsi="宋体" w:eastAsia="宋体" w:cs="宋体"/>
          <w:color w:val="auto"/>
          <w:highlight w:val="none"/>
        </w:rPr>
        <w:t>等。包括但不限于以下内容：</w:t>
      </w:r>
    </w:p>
    <w:p w14:paraId="6A5EB3E9">
      <w:pPr>
        <w:pStyle w:val="55"/>
        <w:pageBreakBefore w:val="0"/>
        <w:bidi w:val="0"/>
        <w:outlineLvl w:val="9"/>
        <w:rPr>
          <w:rFonts w:hint="eastAsia" w:ascii="宋体" w:hAnsi="宋体" w:eastAsia="宋体" w:cs="宋体"/>
          <w:color w:val="auto"/>
          <w:highlight w:val="none"/>
        </w:rPr>
      </w:pPr>
    </w:p>
    <w:p w14:paraId="30FB3E1E">
      <w:pPr>
        <w:pStyle w:val="55"/>
        <w:pageBreakBefore w:val="0"/>
        <w:numPr>
          <w:ilvl w:val="0"/>
          <w:numId w:val="10"/>
        </w:numPr>
        <w:bidi w:val="0"/>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供货</w:t>
      </w:r>
      <w:r>
        <w:rPr>
          <w:rFonts w:hint="eastAsia" w:ascii="宋体" w:hAnsi="宋体" w:eastAsia="宋体" w:cs="宋体"/>
          <w:color w:val="auto"/>
          <w:szCs w:val="21"/>
          <w:highlight w:val="none"/>
          <w:lang w:eastAsia="zh-CN"/>
        </w:rPr>
        <w:t>方案</w:t>
      </w:r>
    </w:p>
    <w:p w14:paraId="2FCAAD05">
      <w:pPr>
        <w:pStyle w:val="55"/>
        <w:pageBreakBefore w:val="0"/>
        <w:numPr>
          <w:ilvl w:val="0"/>
          <w:numId w:val="10"/>
        </w:numPr>
        <w:bidi w:val="0"/>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质量保证</w:t>
      </w:r>
    </w:p>
    <w:p w14:paraId="743F6093">
      <w:pPr>
        <w:pStyle w:val="55"/>
        <w:pageBreakBefore w:val="0"/>
        <w:numPr>
          <w:ilvl w:val="0"/>
          <w:numId w:val="10"/>
        </w:numPr>
        <w:bidi w:val="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售后服务方案</w:t>
      </w:r>
    </w:p>
    <w:p w14:paraId="56CEF5EA">
      <w:pPr>
        <w:pStyle w:val="55"/>
        <w:pageBreakBefore w:val="0"/>
        <w:numPr>
          <w:ilvl w:val="0"/>
          <w:numId w:val="10"/>
        </w:numPr>
        <w:bidi w:val="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培训方案</w:t>
      </w:r>
    </w:p>
    <w:p w14:paraId="6473328A">
      <w:pPr>
        <w:pageBreakBefore w:val="0"/>
        <w:overflowPunct w:val="0"/>
        <w:topLinePunct/>
        <w:bidi w:val="0"/>
        <w:snapToGrid w:val="0"/>
        <w:spacing w:line="600" w:lineRule="auto"/>
        <w:ind w:left="840" w:leftChars="400" w:firstLine="2409" w:firstLineChars="750"/>
        <w:outlineLvl w:val="9"/>
        <w:rPr>
          <w:rFonts w:hint="eastAsia" w:ascii="宋体" w:hAnsi="宋体" w:eastAsia="宋体" w:cs="宋体"/>
          <w:b/>
          <w:color w:val="auto"/>
          <w:sz w:val="32"/>
          <w:szCs w:val="32"/>
          <w:highlight w:val="none"/>
          <w:lang w:val="en-US" w:eastAsia="zh-CN"/>
        </w:rPr>
      </w:pPr>
    </w:p>
    <w:p w14:paraId="4EE7E6B5">
      <w:pPr>
        <w:pStyle w:val="14"/>
        <w:rPr>
          <w:rFonts w:hint="eastAsia" w:ascii="宋体" w:hAnsi="宋体" w:eastAsia="宋体" w:cs="宋体"/>
          <w:b/>
          <w:color w:val="auto"/>
          <w:sz w:val="32"/>
          <w:szCs w:val="32"/>
          <w:highlight w:val="none"/>
          <w:lang w:val="en-US" w:eastAsia="zh-CN"/>
        </w:rPr>
      </w:pPr>
    </w:p>
    <w:p w14:paraId="15D90B7F">
      <w:pPr>
        <w:rPr>
          <w:rFonts w:hint="eastAsia" w:ascii="宋体" w:hAnsi="宋体" w:eastAsia="宋体" w:cs="宋体"/>
          <w:color w:val="auto"/>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14:paraId="45AD560A">
      <w:pPr>
        <w:pageBreakBefore w:val="0"/>
        <w:overflowPunct w:val="0"/>
        <w:topLinePunct/>
        <w:bidi w:val="0"/>
        <w:snapToGrid w:val="0"/>
        <w:spacing w:line="600" w:lineRule="auto"/>
        <w:ind w:left="840" w:leftChars="400" w:firstLine="2409" w:firstLineChars="750"/>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十、</w:t>
      </w:r>
      <w:r>
        <w:rPr>
          <w:rFonts w:hint="eastAsia" w:ascii="宋体" w:hAnsi="宋体" w:eastAsia="宋体" w:cs="宋体"/>
          <w:b/>
          <w:color w:val="auto"/>
          <w:sz w:val="32"/>
          <w:szCs w:val="32"/>
          <w:highlight w:val="none"/>
        </w:rPr>
        <w:t>商务方案</w:t>
      </w:r>
    </w:p>
    <w:p w14:paraId="2C8131AF">
      <w:pPr>
        <w:pageBreakBefore w:val="0"/>
        <w:bidi w:val="0"/>
        <w:spacing w:line="48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1）企业</w:t>
      </w:r>
      <w:r>
        <w:rPr>
          <w:rFonts w:hint="eastAsia" w:ascii="宋体" w:hAnsi="宋体" w:eastAsia="宋体" w:cs="宋体"/>
          <w:color w:val="auto"/>
          <w:sz w:val="24"/>
          <w:highlight w:val="none"/>
          <w:lang w:val="en-US" w:eastAsia="zh-CN"/>
        </w:rPr>
        <w:t>实力</w:t>
      </w:r>
      <w:r>
        <w:rPr>
          <w:rFonts w:hint="eastAsia" w:ascii="宋体" w:hAnsi="宋体" w:eastAsia="宋体" w:cs="宋体"/>
          <w:color w:val="auto"/>
          <w:sz w:val="24"/>
          <w:highlight w:val="none"/>
        </w:rPr>
        <w:t>；</w:t>
      </w:r>
    </w:p>
    <w:p w14:paraId="2BF5DED4">
      <w:pPr>
        <w:pageBreakBefore w:val="0"/>
        <w:bidi w:val="0"/>
        <w:spacing w:line="48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2）业绩；</w:t>
      </w:r>
    </w:p>
    <w:p w14:paraId="06AFAD59">
      <w:pPr>
        <w:pageBreakBefore w:val="0"/>
        <w:bidi w:val="0"/>
        <w:spacing w:line="48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）有必要说明的商务事宜。</w:t>
      </w:r>
    </w:p>
    <w:p w14:paraId="6CB6F406">
      <w:pPr>
        <w:pStyle w:val="14"/>
        <w:pageBreakBefore w:val="0"/>
        <w:bidi w:val="0"/>
        <w:outlineLvl w:val="9"/>
        <w:rPr>
          <w:rFonts w:hint="eastAsia" w:ascii="宋体" w:hAnsi="宋体" w:eastAsia="宋体" w:cs="宋体"/>
          <w:color w:val="auto"/>
          <w:highlight w:val="none"/>
        </w:rPr>
      </w:pPr>
    </w:p>
    <w:p w14:paraId="2DC4D709">
      <w:pPr>
        <w:pageBreakBefore w:val="0"/>
        <w:bidi w:val="0"/>
        <w:spacing w:line="440" w:lineRule="exact"/>
        <w:ind w:firstLine="480" w:firstLineChars="200"/>
        <w:outlineLvl w:val="9"/>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rPr>
        <w:br w:type="page"/>
      </w:r>
    </w:p>
    <w:p w14:paraId="53ECFEA8">
      <w:pPr>
        <w:pageBreakBefore w:val="0"/>
        <w:bidi w:val="0"/>
        <w:spacing w:line="360" w:lineRule="atLeast"/>
        <w:jc w:val="center"/>
        <w:outlineLvl w:val="9"/>
        <w:rPr>
          <w:rFonts w:hint="eastAsia" w:ascii="宋体" w:hAnsi="宋体" w:eastAsia="宋体" w:cs="宋体"/>
          <w:b/>
          <w:bCs/>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十一、</w:t>
      </w:r>
      <w:r>
        <w:rPr>
          <w:rFonts w:hint="eastAsia" w:ascii="宋体" w:hAnsi="宋体" w:eastAsia="宋体" w:cs="宋体"/>
          <w:b/>
          <w:color w:val="auto"/>
          <w:sz w:val="32"/>
          <w:szCs w:val="32"/>
          <w:highlight w:val="none"/>
        </w:rPr>
        <w:t xml:space="preserve">  </w:t>
      </w:r>
      <w:r>
        <w:rPr>
          <w:rFonts w:hint="eastAsia" w:ascii="宋体" w:hAnsi="宋体" w:eastAsia="宋体" w:cs="宋体"/>
          <w:b/>
          <w:bCs/>
          <w:color w:val="auto"/>
          <w:sz w:val="32"/>
          <w:szCs w:val="32"/>
          <w:highlight w:val="none"/>
          <w:lang w:val="en-US" w:eastAsia="zh-CN"/>
        </w:rPr>
        <w:t>其他资料</w:t>
      </w:r>
    </w:p>
    <w:p w14:paraId="41836A18">
      <w:pPr>
        <w:pageBreakBefore w:val="0"/>
        <w:numPr>
          <w:ilvl w:val="0"/>
          <w:numId w:val="0"/>
        </w:numPr>
        <w:bidi w:val="0"/>
        <w:spacing w:line="440" w:lineRule="exact"/>
        <w:jc w:val="center"/>
        <w:outlineLvl w:val="9"/>
        <w:rPr>
          <w:rFonts w:hint="eastAsia" w:ascii="宋体" w:hAnsi="宋体" w:eastAsia="宋体" w:cs="宋体"/>
          <w:b/>
          <w:bCs/>
          <w:color w:val="auto"/>
          <w:kern w:val="0"/>
          <w:sz w:val="28"/>
          <w:szCs w:val="28"/>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14:paraId="1C93D8EB">
      <w:pPr>
        <w:spacing w:before="100" w:beforeAutospacing="1" w:after="120" w:afterLines="50" w:line="360" w:lineRule="auto"/>
        <w:jc w:val="center"/>
        <w:rPr>
          <w:rFonts w:hint="eastAsia" w:ascii="宋体" w:hAnsi="宋体" w:eastAsia="宋体" w:cs="宋体"/>
          <w:b/>
          <w:color w:val="auto"/>
          <w:kern w:val="0"/>
          <w:sz w:val="32"/>
          <w:szCs w:val="32"/>
          <w:highlight w:val="none"/>
          <w:lang w:bidi="ar"/>
        </w:rPr>
      </w:pPr>
      <w:r>
        <w:rPr>
          <w:rFonts w:hint="eastAsia" w:ascii="宋体" w:hAnsi="宋体" w:eastAsia="宋体" w:cs="宋体"/>
          <w:b/>
          <w:bCs/>
          <w:color w:val="auto"/>
          <w:kern w:val="0"/>
          <w:sz w:val="28"/>
          <w:szCs w:val="28"/>
          <w:highlight w:val="none"/>
          <w:lang w:val="en-US" w:eastAsia="zh-CN"/>
        </w:rPr>
        <w:t>1、</w:t>
      </w:r>
      <w:bookmarkStart w:id="13" w:name="_Toc26990"/>
      <w:bookmarkStart w:id="14" w:name="_Toc32499"/>
      <w:r>
        <w:rPr>
          <w:rFonts w:hint="eastAsia" w:ascii="宋体" w:hAnsi="宋体" w:eastAsia="宋体" w:cs="宋体"/>
          <w:b/>
          <w:color w:val="auto"/>
          <w:kern w:val="0"/>
          <w:sz w:val="32"/>
          <w:szCs w:val="32"/>
          <w:highlight w:val="none"/>
          <w:lang w:bidi="ar"/>
        </w:rPr>
        <w:t>中小企业声明函（货物）</w:t>
      </w:r>
    </w:p>
    <w:p w14:paraId="668DD89A">
      <w:pPr>
        <w:spacing w:before="100" w:beforeAutospacing="1" w:after="156" w:afterLines="50"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郑重声明，根据《政府采购促进中小企业发展管理办法》（财库﹝2020﹞46 号）的规定，本公司</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val="en-US" w:eastAsia="zh-CN" w:bidi="ar"/>
        </w:rPr>
        <w:t>联合体</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（单位名称）的</w:t>
      </w:r>
      <w:r>
        <w:rPr>
          <w:rFonts w:hint="eastAsia" w:ascii="宋体" w:hAnsi="宋体" w:eastAsia="宋体" w:cs="宋体"/>
          <w:color w:val="auto"/>
          <w:sz w:val="24"/>
          <w:szCs w:val="24"/>
          <w:highlight w:val="none"/>
          <w:u w:val="single"/>
        </w:rPr>
        <w:t xml:space="preserve">       （项目名称</w:t>
      </w:r>
      <w:r>
        <w:rPr>
          <w:rFonts w:hint="eastAsia" w:ascii="宋体" w:hAnsi="宋体" w:eastAsia="宋体" w:cs="宋体"/>
          <w:color w:val="auto"/>
          <w:sz w:val="24"/>
          <w:szCs w:val="24"/>
          <w:highlight w:val="none"/>
          <w:u w:val="single"/>
          <w:lang w:val="en-US" w:eastAsia="zh-CN"/>
        </w:rPr>
        <w:t>及标包</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 xml:space="preserve">采购活动，提供的货物全部由符合政策要求的中小企业制造。相关企业的具体情况如下： </w:t>
      </w:r>
    </w:p>
    <w:p w14:paraId="3FB6EC8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1、（标的名称） ，属于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 ，属于（中型企业、小型企业、微型企业）；</w:t>
      </w:r>
    </w:p>
    <w:p w14:paraId="1E64C7F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2、（标的名称） ，属于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万元，资产总额为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万元，属于（中型企业、小型 企业、微型企业）；</w:t>
      </w:r>
    </w:p>
    <w:p w14:paraId="14DA978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 </w:t>
      </w:r>
    </w:p>
    <w:p w14:paraId="3261E03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 本企业对上述声明内容的真实性负责。如有虚假，将依法承担相应责任。</w:t>
      </w:r>
      <w:r>
        <w:rPr>
          <w:rFonts w:hint="eastAsia" w:ascii="宋体" w:hAnsi="宋体" w:eastAsia="宋体" w:cs="宋体"/>
          <w:color w:val="auto"/>
          <w:sz w:val="24"/>
          <w:szCs w:val="24"/>
          <w:highlight w:val="none"/>
        </w:rPr>
        <w:t xml:space="preserve"> </w:t>
      </w:r>
    </w:p>
    <w:p w14:paraId="2D154ACD">
      <w:pPr>
        <w:tabs>
          <w:tab w:val="left" w:pos="4860"/>
        </w:tabs>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58678A4">
      <w:pPr>
        <w:tabs>
          <w:tab w:val="left" w:pos="1620"/>
          <w:tab w:val="left" w:pos="1800"/>
        </w:tabs>
        <w:spacing w:line="500" w:lineRule="exact"/>
        <w:rPr>
          <w:rFonts w:hint="eastAsia" w:ascii="宋体" w:hAnsi="宋体" w:eastAsia="宋体" w:cs="宋体"/>
          <w:color w:val="auto"/>
          <w:kern w:val="0"/>
          <w:sz w:val="24"/>
          <w:highlight w:val="none"/>
          <w:lang w:val="en-US" w:eastAsia="zh-CN" w:bidi="ar"/>
        </w:rPr>
      </w:pPr>
    </w:p>
    <w:p w14:paraId="1CCA0909">
      <w:pPr>
        <w:tabs>
          <w:tab w:val="left" w:pos="1620"/>
          <w:tab w:val="left" w:pos="1800"/>
        </w:tabs>
        <w:spacing w:line="500" w:lineRule="exact"/>
        <w:rPr>
          <w:rFonts w:hint="eastAsia" w:ascii="宋体" w:hAnsi="宋体" w:eastAsia="宋体" w:cs="宋体"/>
          <w:color w:val="auto"/>
          <w:kern w:val="0"/>
          <w:sz w:val="24"/>
          <w:highlight w:val="none"/>
          <w:lang w:val="en-US" w:eastAsia="zh-CN" w:bidi="ar"/>
        </w:rPr>
      </w:pPr>
    </w:p>
    <w:p w14:paraId="46B1F9C3">
      <w:pPr>
        <w:tabs>
          <w:tab w:val="left" w:pos="1620"/>
          <w:tab w:val="left" w:pos="1800"/>
        </w:tabs>
        <w:spacing w:line="500" w:lineRule="exact"/>
        <w:ind w:firstLine="5040" w:firstLineChars="2100"/>
        <w:rPr>
          <w:rFonts w:hint="eastAsia" w:ascii="宋体" w:hAnsi="宋体" w:eastAsia="宋体" w:cs="宋体"/>
          <w:color w:val="auto"/>
          <w:highlight w:val="none"/>
        </w:rPr>
      </w:pPr>
      <w:r>
        <w:rPr>
          <w:rFonts w:hint="eastAsia" w:ascii="宋体" w:hAnsi="宋体" w:eastAsia="宋体" w:cs="宋体"/>
          <w:color w:val="auto"/>
          <w:kern w:val="0"/>
          <w:sz w:val="24"/>
          <w:highlight w:val="none"/>
          <w:lang w:val="en-US" w:eastAsia="zh-CN" w:bidi="ar"/>
        </w:rPr>
        <w:t>企业</w:t>
      </w:r>
      <w:r>
        <w:rPr>
          <w:rFonts w:hint="eastAsia" w:ascii="宋体" w:hAnsi="宋体" w:eastAsia="宋体" w:cs="宋体"/>
          <w:color w:val="auto"/>
          <w:kern w:val="0"/>
          <w:sz w:val="24"/>
          <w:highlight w:val="none"/>
          <w:lang w:bidi="ar"/>
        </w:rPr>
        <w:t>名称（公章）：</w:t>
      </w:r>
    </w:p>
    <w:p w14:paraId="65FB4850">
      <w:pPr>
        <w:tabs>
          <w:tab w:val="left" w:pos="1620"/>
          <w:tab w:val="left" w:pos="1800"/>
        </w:tabs>
        <w:spacing w:line="500" w:lineRule="exact"/>
        <w:rPr>
          <w:rFonts w:hint="eastAsia" w:ascii="宋体" w:hAnsi="宋体" w:eastAsia="宋体" w:cs="宋体"/>
          <w:color w:val="auto"/>
          <w:highlight w:val="none"/>
          <w:u w:val="single"/>
        </w:rPr>
      </w:pPr>
      <w:r>
        <w:rPr>
          <w:rFonts w:hint="eastAsia" w:ascii="宋体" w:hAnsi="宋体" w:eastAsia="宋体" w:cs="宋体"/>
          <w:color w:val="auto"/>
          <w:kern w:val="0"/>
          <w:sz w:val="24"/>
          <w:highlight w:val="none"/>
          <w:lang w:bidi="ar"/>
        </w:rPr>
        <w:t xml:space="preserve">                                            日   期：</w:t>
      </w:r>
    </w:p>
    <w:p w14:paraId="0E61A5B2">
      <w:pPr>
        <w:tabs>
          <w:tab w:val="left" w:pos="1620"/>
          <w:tab w:val="left" w:pos="1800"/>
        </w:tabs>
        <w:spacing w:line="500" w:lineRule="exact"/>
        <w:rPr>
          <w:rFonts w:hint="eastAsia" w:ascii="宋体" w:hAnsi="宋体" w:eastAsia="宋体" w:cs="宋体"/>
          <w:b/>
          <w:color w:val="auto"/>
          <w:szCs w:val="21"/>
          <w:highlight w:val="none"/>
        </w:rPr>
      </w:pPr>
    </w:p>
    <w:p w14:paraId="64157722">
      <w:pPr>
        <w:spacing w:line="500" w:lineRule="exact"/>
        <w:ind w:firstLine="480" w:firstLineChars="200"/>
        <w:rPr>
          <w:rFonts w:hint="eastAsia" w:ascii="宋体" w:hAnsi="宋体" w:eastAsia="宋体" w:cs="宋体"/>
          <w:color w:val="auto"/>
          <w:kern w:val="0"/>
          <w:sz w:val="24"/>
          <w:szCs w:val="21"/>
          <w:highlight w:val="none"/>
          <w:lang w:val="en-US" w:eastAsia="zh-CN" w:bidi="ar"/>
        </w:rPr>
      </w:pPr>
    </w:p>
    <w:p w14:paraId="2658EF05">
      <w:pPr>
        <w:spacing w:line="500" w:lineRule="exact"/>
        <w:ind w:firstLine="480" w:firstLineChars="200"/>
        <w:rPr>
          <w:rFonts w:hint="eastAsia" w:ascii="宋体" w:hAnsi="宋体" w:eastAsia="宋体" w:cs="宋体"/>
          <w:color w:val="auto"/>
          <w:kern w:val="0"/>
          <w:sz w:val="24"/>
          <w:szCs w:val="21"/>
          <w:highlight w:val="none"/>
          <w:lang w:val="en-US" w:eastAsia="zh-CN" w:bidi="ar"/>
        </w:rPr>
      </w:pPr>
    </w:p>
    <w:p w14:paraId="54049EB2">
      <w:pPr>
        <w:spacing w:line="500" w:lineRule="exact"/>
        <w:ind w:firstLine="480" w:firstLineChars="200"/>
        <w:rPr>
          <w:rFonts w:hint="eastAsia" w:ascii="宋体" w:hAnsi="宋体" w:eastAsia="宋体" w:cs="宋体"/>
          <w:color w:val="auto"/>
          <w:kern w:val="0"/>
          <w:sz w:val="24"/>
          <w:szCs w:val="21"/>
          <w:highlight w:val="none"/>
          <w:lang w:val="en-US" w:eastAsia="zh-CN" w:bidi="ar"/>
        </w:rPr>
      </w:pPr>
    </w:p>
    <w:p w14:paraId="3D9D3BCB">
      <w:pPr>
        <w:spacing w:line="50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szCs w:val="21"/>
          <w:highlight w:val="none"/>
          <w:lang w:val="en-US" w:eastAsia="zh-CN" w:bidi="ar"/>
        </w:rPr>
        <w:t>注：从业人员、营业收入、资产总额填报上一年度数据，无上一年度数据的新成立企业可不填报。</w:t>
      </w:r>
    </w:p>
    <w:p w14:paraId="4E7A3EB9">
      <w:pPr>
        <w:tabs>
          <w:tab w:val="left" w:pos="1620"/>
          <w:tab w:val="left" w:pos="1800"/>
        </w:tabs>
        <w:spacing w:line="500" w:lineRule="exact"/>
        <w:ind w:firstLine="480"/>
        <w:rPr>
          <w:rFonts w:hint="eastAsia" w:ascii="宋体" w:hAnsi="宋体" w:eastAsia="宋体" w:cs="宋体"/>
          <w:color w:val="auto"/>
          <w:kern w:val="0"/>
          <w:sz w:val="24"/>
          <w:highlight w:val="none"/>
          <w:lang w:bidi="ar"/>
        </w:rPr>
      </w:pPr>
    </w:p>
    <w:p w14:paraId="3BCEE2F1">
      <w:pPr>
        <w:pageBreakBefore w:val="0"/>
        <w:tabs>
          <w:tab w:val="left" w:pos="1755"/>
        </w:tabs>
        <w:bidi w:val="0"/>
        <w:spacing w:line="360" w:lineRule="auto"/>
        <w:jc w:val="center"/>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pacing w:val="6"/>
          <w:sz w:val="30"/>
          <w:szCs w:val="30"/>
          <w:highlight w:val="none"/>
        </w:rPr>
        <w:br w:type="page"/>
      </w: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w:t>
      </w:r>
      <w:bookmarkEnd w:id="13"/>
      <w:bookmarkEnd w:id="14"/>
      <w:r>
        <w:rPr>
          <w:rFonts w:hint="eastAsia" w:ascii="宋体" w:hAnsi="宋体" w:eastAsia="宋体" w:cs="宋体"/>
          <w:b/>
          <w:color w:val="auto"/>
          <w:kern w:val="0"/>
          <w:sz w:val="28"/>
          <w:szCs w:val="28"/>
          <w:highlight w:val="none"/>
          <w:lang w:val="zh-CN"/>
        </w:rPr>
        <w:t>残疾人福利性单位声明函（非</w:t>
      </w:r>
      <w:r>
        <w:rPr>
          <w:rFonts w:hint="eastAsia" w:ascii="宋体" w:hAnsi="宋体" w:eastAsia="宋体" w:cs="宋体"/>
          <w:b/>
          <w:bCs/>
          <w:color w:val="auto"/>
          <w:sz w:val="28"/>
          <w:szCs w:val="28"/>
          <w:highlight w:val="none"/>
        </w:rPr>
        <w:t>残疾人福利企业</w:t>
      </w:r>
      <w:r>
        <w:rPr>
          <w:rFonts w:hint="eastAsia" w:ascii="宋体" w:hAnsi="宋体" w:eastAsia="宋体" w:cs="宋体"/>
          <w:b/>
          <w:color w:val="auto"/>
          <w:kern w:val="0"/>
          <w:sz w:val="28"/>
          <w:szCs w:val="28"/>
          <w:highlight w:val="none"/>
          <w:lang w:val="zh-CN"/>
        </w:rPr>
        <w:t>不</w:t>
      </w:r>
      <w:r>
        <w:rPr>
          <w:rFonts w:hint="eastAsia" w:ascii="宋体" w:hAnsi="宋体" w:eastAsia="宋体" w:cs="宋体"/>
          <w:b/>
          <w:bCs/>
          <w:color w:val="auto"/>
          <w:kern w:val="0"/>
          <w:sz w:val="28"/>
          <w:szCs w:val="28"/>
          <w:highlight w:val="none"/>
        </w:rPr>
        <w:t>填写</w:t>
      </w:r>
      <w:r>
        <w:rPr>
          <w:rFonts w:hint="eastAsia" w:ascii="宋体" w:hAnsi="宋体" w:eastAsia="宋体" w:cs="宋体"/>
          <w:b/>
          <w:color w:val="auto"/>
          <w:kern w:val="0"/>
          <w:sz w:val="28"/>
          <w:szCs w:val="28"/>
          <w:highlight w:val="none"/>
          <w:lang w:val="zh-CN"/>
        </w:rPr>
        <w:t>）</w:t>
      </w:r>
    </w:p>
    <w:p w14:paraId="3B84EA73">
      <w:pPr>
        <w:pageBreakBefore w:val="0"/>
        <w:bidi w:val="0"/>
        <w:spacing w:line="360" w:lineRule="auto"/>
        <w:outlineLvl w:val="9"/>
        <w:rPr>
          <w:rFonts w:hint="eastAsia" w:ascii="宋体" w:hAnsi="宋体" w:eastAsia="宋体" w:cs="宋体"/>
          <w:b/>
          <w:color w:val="auto"/>
          <w:spacing w:val="6"/>
          <w:sz w:val="32"/>
          <w:szCs w:val="32"/>
          <w:highlight w:val="none"/>
          <w:shd w:val="pct10" w:color="auto" w:fill="FFFFFF"/>
        </w:rPr>
      </w:pPr>
    </w:p>
    <w:p w14:paraId="062A6112">
      <w:pPr>
        <w:pageBreakBefore w:val="0"/>
        <w:bidi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530E432">
      <w:pPr>
        <w:pageBreakBefore w:val="0"/>
        <w:bidi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2E38235E">
      <w:pPr>
        <w:pageBreakBefore w:val="0"/>
        <w:bidi w:val="0"/>
        <w:spacing w:line="360" w:lineRule="auto"/>
        <w:ind w:firstLine="480" w:firstLineChars="200"/>
        <w:outlineLvl w:val="9"/>
        <w:rPr>
          <w:rFonts w:hint="eastAsia" w:ascii="宋体" w:hAnsi="宋体" w:eastAsia="宋体" w:cs="宋体"/>
          <w:color w:val="auto"/>
          <w:sz w:val="24"/>
          <w:highlight w:val="none"/>
        </w:rPr>
      </w:pPr>
    </w:p>
    <w:p w14:paraId="33E56239">
      <w:pPr>
        <w:pageBreakBefore w:val="0"/>
        <w:bidi w:val="0"/>
        <w:spacing w:line="360" w:lineRule="auto"/>
        <w:ind w:firstLine="480" w:firstLineChars="200"/>
        <w:outlineLvl w:val="9"/>
        <w:rPr>
          <w:rFonts w:hint="eastAsia" w:ascii="宋体" w:hAnsi="宋体" w:eastAsia="宋体" w:cs="宋体"/>
          <w:color w:val="auto"/>
          <w:sz w:val="24"/>
          <w:highlight w:val="none"/>
        </w:rPr>
      </w:pPr>
    </w:p>
    <w:p w14:paraId="671080C1">
      <w:pPr>
        <w:pageBreakBefore w:val="0"/>
        <w:tabs>
          <w:tab w:val="left" w:pos="4860"/>
          <w:tab w:val="left" w:pos="8040"/>
          <w:tab w:val="left" w:pos="8160"/>
        </w:tabs>
        <w:bidi w:val="0"/>
        <w:spacing w:line="360" w:lineRule="auto"/>
        <w:ind w:right="862" w:firstLine="480" w:firstLineChars="200"/>
        <w:jc w:val="center"/>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单位名称（盖章）：</w:t>
      </w:r>
      <w:r>
        <w:rPr>
          <w:rFonts w:hint="eastAsia" w:ascii="宋体" w:hAnsi="宋体" w:eastAsia="宋体" w:cs="宋体"/>
          <w:color w:val="auto"/>
          <w:sz w:val="24"/>
          <w:highlight w:val="none"/>
          <w:u w:val="single"/>
        </w:rPr>
        <w:t xml:space="preserve">                   </w:t>
      </w:r>
    </w:p>
    <w:p w14:paraId="33CADEDA">
      <w:pPr>
        <w:pageBreakBefore w:val="0"/>
        <w:tabs>
          <w:tab w:val="left" w:pos="4860"/>
        </w:tabs>
        <w:bidi w:val="0"/>
        <w:spacing w:line="360" w:lineRule="auto"/>
        <w:ind w:right="1560" w:firstLine="480" w:firstLineChars="200"/>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D0AF4CB">
      <w:pPr>
        <w:pageBreakBefore w:val="0"/>
        <w:tabs>
          <w:tab w:val="left" w:pos="4860"/>
        </w:tabs>
        <w:bidi w:val="0"/>
        <w:spacing w:line="360" w:lineRule="auto"/>
        <w:ind w:right="1560" w:firstLine="480" w:firstLineChars="200"/>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4E031519">
      <w:pPr>
        <w:pageBreakBefore w:val="0"/>
        <w:bidi w:val="0"/>
        <w:spacing w:line="360" w:lineRule="auto"/>
        <w:ind w:firstLine="506" w:firstLineChars="200"/>
        <w:outlineLvl w:val="9"/>
        <w:rPr>
          <w:rFonts w:hint="eastAsia" w:ascii="宋体" w:hAnsi="宋体" w:eastAsia="宋体" w:cs="宋体"/>
          <w:b/>
          <w:color w:val="auto"/>
          <w:spacing w:val="6"/>
          <w:sz w:val="24"/>
          <w:highlight w:val="none"/>
          <w:shd w:val="pct10" w:color="auto" w:fill="FFFFFF"/>
        </w:rPr>
      </w:pPr>
    </w:p>
    <w:p w14:paraId="13745F56">
      <w:pPr>
        <w:pageBreakBefore w:val="0"/>
        <w:bidi w:val="0"/>
        <w:spacing w:line="360" w:lineRule="auto"/>
        <w:ind w:firstLine="506" w:firstLineChars="200"/>
        <w:outlineLvl w:val="9"/>
        <w:rPr>
          <w:rFonts w:hint="eastAsia" w:ascii="宋体" w:hAnsi="宋体" w:eastAsia="宋体" w:cs="宋体"/>
          <w:b/>
          <w:color w:val="auto"/>
          <w:spacing w:val="6"/>
          <w:sz w:val="24"/>
          <w:highlight w:val="none"/>
          <w:shd w:val="pct10" w:color="auto" w:fill="FFFFFF"/>
        </w:rPr>
      </w:pPr>
    </w:p>
    <w:p w14:paraId="31F8AC5E">
      <w:pPr>
        <w:pageBreakBefore w:val="0"/>
        <w:kinsoku w:val="0"/>
        <w:bidi w:val="0"/>
        <w:spacing w:line="360" w:lineRule="auto"/>
        <w:ind w:firstLine="480" w:firstLineChars="200"/>
        <w:outlineLvl w:val="9"/>
        <w:rPr>
          <w:rFonts w:hint="eastAsia" w:ascii="宋体" w:hAnsi="宋体" w:eastAsia="宋体" w:cs="宋体"/>
          <w:color w:val="auto"/>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宋体" w:hAnsi="宋体" w:eastAsia="宋体" w:cs="宋体"/>
          <w:color w:val="auto"/>
          <w:kern w:val="0"/>
          <w:sz w:val="24"/>
          <w:highlight w:val="none"/>
          <w:lang w:val="zh-CN"/>
        </w:rPr>
        <w:t>备注：投标人提供的《残疾人福利性单位声明函》必须真实有效，如果被举报经查实出具虚假声明函的，将被取消投标资格，并按有关规定予以处理。</w:t>
      </w:r>
    </w:p>
    <w:p w14:paraId="6A703DA0">
      <w:pPr>
        <w:pStyle w:val="9"/>
        <w:widowControl/>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kern w:val="0"/>
          <w:sz w:val="28"/>
          <w:szCs w:val="28"/>
          <w:highlight w:val="none"/>
          <w:lang w:val="en-US" w:eastAsia="zh-CN"/>
        </w:rPr>
        <w:t>3、</w:t>
      </w:r>
      <w:r>
        <w:rPr>
          <w:rFonts w:hint="eastAsia" w:ascii="宋体" w:hAnsi="宋体" w:eastAsia="宋体" w:cs="宋体"/>
          <w:b/>
          <w:color w:val="auto"/>
          <w:spacing w:val="6"/>
          <w:sz w:val="32"/>
          <w:szCs w:val="32"/>
          <w:highlight w:val="none"/>
        </w:rPr>
        <w:t>监狱企业证明</w:t>
      </w:r>
    </w:p>
    <w:p w14:paraId="046491E2">
      <w:pPr>
        <w:pStyle w:val="9"/>
        <w:widowControl/>
        <w:rPr>
          <w:rFonts w:hint="eastAsia" w:ascii="宋体" w:hAnsi="宋体" w:eastAsia="宋体" w:cs="宋体"/>
          <w:b/>
          <w:color w:val="auto"/>
          <w:spacing w:val="6"/>
          <w:sz w:val="32"/>
          <w:szCs w:val="32"/>
          <w:highlight w:val="none"/>
        </w:rPr>
      </w:pPr>
    </w:p>
    <w:p w14:paraId="72A77CD6">
      <w:pPr>
        <w:pStyle w:val="9"/>
        <w:widowControl/>
        <w:rPr>
          <w:rFonts w:hint="eastAsia" w:ascii="宋体" w:hAnsi="宋体" w:eastAsia="宋体" w:cs="宋体"/>
          <w:color w:val="auto"/>
          <w:szCs w:val="24"/>
          <w:highlight w:val="none"/>
        </w:rPr>
      </w:pPr>
      <w:r>
        <w:rPr>
          <w:rFonts w:hint="eastAsia" w:ascii="宋体" w:hAnsi="宋体" w:eastAsia="宋体" w:cs="宋体"/>
          <w:color w:val="auto"/>
          <w:spacing w:val="6"/>
          <w:szCs w:val="24"/>
          <w:highlight w:val="none"/>
        </w:rPr>
        <w:t>注：由省级及以上监狱管理局、戒毒管理局出具。格式自拟。</w:t>
      </w:r>
    </w:p>
    <w:p w14:paraId="06E231A0">
      <w:pPr>
        <w:pStyle w:val="9"/>
        <w:widowControl/>
        <w:rPr>
          <w:rFonts w:hint="eastAsia" w:ascii="宋体" w:hAnsi="宋体" w:eastAsia="宋体" w:cs="宋体"/>
          <w:color w:val="auto"/>
          <w:szCs w:val="24"/>
          <w:highlight w:val="none"/>
        </w:rPr>
      </w:pPr>
    </w:p>
    <w:p w14:paraId="456B705C">
      <w:pPr>
        <w:pStyle w:val="9"/>
        <w:widowControl/>
        <w:rPr>
          <w:rFonts w:hint="eastAsia" w:ascii="宋体" w:hAnsi="宋体" w:eastAsia="宋体" w:cs="宋体"/>
          <w:color w:val="auto"/>
          <w:highlight w:val="none"/>
        </w:rPr>
      </w:pPr>
    </w:p>
    <w:p w14:paraId="698295FD">
      <w:pPr>
        <w:pStyle w:val="9"/>
        <w:widowControl/>
        <w:rPr>
          <w:rFonts w:hint="eastAsia" w:ascii="宋体" w:hAnsi="宋体" w:eastAsia="宋体" w:cs="宋体"/>
          <w:color w:val="auto"/>
          <w:highlight w:val="none"/>
        </w:rPr>
      </w:pPr>
    </w:p>
    <w:p w14:paraId="4B3B4DEB">
      <w:pPr>
        <w:rPr>
          <w:rFonts w:hint="eastAsia" w:ascii="宋体" w:hAnsi="宋体" w:eastAsia="宋体" w:cs="宋体"/>
          <w:color w:val="auto"/>
          <w:highlight w:val="none"/>
        </w:rPr>
      </w:pPr>
    </w:p>
    <w:p w14:paraId="526BDB89">
      <w:pPr>
        <w:pageBreakBefore w:val="0"/>
        <w:bidi w:val="0"/>
        <w:spacing w:line="200" w:lineRule="exact"/>
        <w:outlineLvl w:val="9"/>
        <w:rPr>
          <w:rFonts w:hint="eastAsia" w:ascii="宋体" w:hAnsi="宋体" w:eastAsia="宋体" w:cs="宋体"/>
          <w:color w:val="auto"/>
          <w:sz w:val="20"/>
          <w:szCs w:val="20"/>
          <w:highlight w:val="none"/>
        </w:rPr>
      </w:pPr>
    </w:p>
    <w:p w14:paraId="13BED984">
      <w:pPr>
        <w:pageBreakBefore w:val="0"/>
        <w:bidi w:val="0"/>
        <w:spacing w:line="200" w:lineRule="exact"/>
        <w:outlineLvl w:val="9"/>
        <w:rPr>
          <w:rFonts w:hint="eastAsia" w:ascii="宋体" w:hAnsi="宋体" w:eastAsia="宋体" w:cs="宋体"/>
          <w:color w:val="auto"/>
          <w:sz w:val="20"/>
          <w:szCs w:val="20"/>
          <w:highlight w:val="none"/>
        </w:rPr>
      </w:pPr>
    </w:p>
    <w:p w14:paraId="691E756A">
      <w:pPr>
        <w:pageBreakBefore w:val="0"/>
        <w:tabs>
          <w:tab w:val="left" w:pos="520"/>
        </w:tabs>
        <w:bidi w:val="0"/>
        <w:spacing w:line="274" w:lineRule="exact"/>
        <w:ind w:left="60"/>
        <w:outlineLvl w:val="9"/>
        <w:rPr>
          <w:rFonts w:hint="eastAsia" w:ascii="宋体" w:hAnsi="宋体" w:eastAsia="宋体" w:cs="宋体"/>
          <w:color w:val="auto"/>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14:paraId="379D347F">
      <w:pPr>
        <w:spacing w:before="1"/>
        <w:ind w:right="0"/>
        <w:jc w:val="center"/>
        <w:rPr>
          <w:rFonts w:hint="eastAsia" w:ascii="宋体" w:hAnsi="宋体" w:eastAsia="宋体" w:cs="宋体"/>
          <w:b/>
          <w:color w:val="auto"/>
          <w:sz w:val="30"/>
        </w:rPr>
      </w:pPr>
      <w:r>
        <w:rPr>
          <w:rFonts w:hint="eastAsia" w:ascii="宋体" w:hAnsi="宋体" w:eastAsia="宋体" w:cs="宋体"/>
          <w:b/>
          <w:color w:val="auto"/>
          <w:sz w:val="30"/>
          <w:lang w:val="en-US" w:eastAsia="zh-CN"/>
        </w:rPr>
        <w:t>4、</w:t>
      </w:r>
      <w:r>
        <w:rPr>
          <w:rFonts w:hint="eastAsia" w:ascii="宋体" w:hAnsi="宋体" w:eastAsia="宋体" w:cs="宋体"/>
          <w:b/>
          <w:color w:val="auto"/>
          <w:sz w:val="30"/>
        </w:rPr>
        <w:t>信用</w:t>
      </w:r>
      <w:r>
        <w:rPr>
          <w:rFonts w:hint="eastAsia" w:ascii="宋体" w:hAnsi="宋体" w:eastAsia="宋体" w:cs="宋体"/>
          <w:b/>
          <w:color w:val="auto"/>
          <w:sz w:val="30"/>
          <w:lang w:eastAsia="zh-CN"/>
        </w:rPr>
        <w:t>承诺书</w:t>
      </w:r>
      <w:r>
        <w:rPr>
          <w:rFonts w:hint="eastAsia" w:ascii="宋体" w:hAnsi="宋体" w:eastAsia="宋体" w:cs="宋体"/>
          <w:b/>
          <w:color w:val="auto"/>
          <w:sz w:val="30"/>
        </w:rPr>
        <w:t>（格式）</w:t>
      </w:r>
    </w:p>
    <w:p w14:paraId="20D79352">
      <w:pPr>
        <w:pStyle w:val="9"/>
        <w:spacing w:before="70"/>
        <w:rPr>
          <w:rFonts w:hint="eastAsia" w:ascii="宋体" w:hAnsi="宋体" w:eastAsia="宋体" w:cs="宋体"/>
          <w:color w:val="auto"/>
        </w:rPr>
      </w:pPr>
    </w:p>
    <w:p w14:paraId="5582CAF8">
      <w:pPr>
        <w:pStyle w:val="9"/>
        <w:keepNext w:val="0"/>
        <w:keepLines w:val="0"/>
        <w:pageBreakBefore w:val="0"/>
        <w:widowControl w:val="0"/>
        <w:kinsoku/>
        <w:wordWrap/>
        <w:overflowPunct/>
        <w:topLinePunct w:val="0"/>
        <w:autoSpaceDE/>
        <w:autoSpaceDN/>
        <w:bidi w:val="0"/>
        <w:adjustRightInd/>
        <w:snapToGrid/>
        <w:spacing w:before="70" w:line="420" w:lineRule="exac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陕西华鼎项目管理有限公司</w:t>
      </w:r>
      <w:r>
        <w:rPr>
          <w:rFonts w:hint="eastAsia" w:ascii="宋体" w:hAnsi="宋体" w:eastAsia="宋体" w:cs="宋体"/>
          <w:color w:val="auto"/>
          <w:sz w:val="24"/>
          <w:szCs w:val="24"/>
        </w:rPr>
        <w:t>：</w:t>
      </w:r>
    </w:p>
    <w:p w14:paraId="1DB38BA3">
      <w:pPr>
        <w:pStyle w:val="9"/>
        <w:keepNext w:val="0"/>
        <w:keepLines w:val="0"/>
        <w:pageBreakBefore w:val="0"/>
        <w:widowControl w:val="0"/>
        <w:tabs>
          <w:tab w:val="left" w:pos="6315"/>
          <w:tab w:val="left" w:pos="7280"/>
        </w:tabs>
        <w:kinsoku/>
        <w:wordWrap/>
        <w:overflowPunct/>
        <w:topLinePunct w:val="0"/>
        <w:autoSpaceDE/>
        <w:autoSpaceDN/>
        <w:bidi w:val="0"/>
        <w:adjustRightInd/>
        <w:snapToGrid/>
        <w:spacing w:before="40" w:line="420" w:lineRule="exact"/>
        <w:ind w:right="741" w:firstLine="56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w:t>
      </w:r>
      <w:r>
        <w:rPr>
          <w:rFonts w:hint="eastAsia" w:ascii="宋体" w:hAnsi="宋体" w:eastAsia="宋体" w:cs="宋体"/>
          <w:color w:val="auto"/>
          <w:spacing w:val="2"/>
          <w:sz w:val="24"/>
          <w:szCs w:val="24"/>
        </w:rPr>
        <w:t>方</w:t>
      </w:r>
      <w:r>
        <w:rPr>
          <w:rFonts w:hint="eastAsia" w:ascii="宋体" w:hAnsi="宋体" w:eastAsia="宋体" w:cs="宋体"/>
          <w:color w:val="auto"/>
          <w:sz w:val="24"/>
          <w:szCs w:val="24"/>
        </w:rPr>
        <w:t>作</w:t>
      </w:r>
      <w:r>
        <w:rPr>
          <w:rFonts w:hint="eastAsia" w:ascii="宋体" w:hAnsi="宋体" w:eastAsia="宋体" w:cs="宋体"/>
          <w:color w:val="auto"/>
          <w:spacing w:val="-27"/>
          <w:sz w:val="24"/>
          <w:szCs w:val="24"/>
        </w:rPr>
        <w:t>为</w:t>
      </w:r>
      <w:r>
        <w:rPr>
          <w:rFonts w:hint="eastAsia" w:ascii="宋体" w:hAnsi="宋体" w:eastAsia="宋体" w:cs="宋体"/>
          <w:color w:val="auto"/>
          <w:spacing w:val="2"/>
          <w:sz w:val="24"/>
          <w:szCs w:val="24"/>
        </w:rPr>
        <w:t>《</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u w:val="single"/>
          <w:lang w:val="en-US" w:eastAsia="zh-CN"/>
        </w:rPr>
        <w:t>及标包</w:t>
      </w:r>
      <w:r>
        <w:rPr>
          <w:rFonts w:hint="eastAsia" w:ascii="宋体" w:hAnsi="宋体" w:eastAsia="宋体" w:cs="宋体"/>
          <w:color w:val="auto"/>
          <w:sz w:val="24"/>
          <w:szCs w:val="24"/>
          <w:highlight w:val="none"/>
          <w:u w:val="single"/>
        </w:rPr>
        <w:t>）</w:t>
      </w:r>
      <w:r>
        <w:rPr>
          <w:rFonts w:hint="eastAsia" w:ascii="宋体" w:hAnsi="宋体" w:eastAsia="宋体" w:cs="宋体"/>
          <w:color w:val="auto"/>
          <w:spacing w:val="-169"/>
          <w:sz w:val="24"/>
          <w:szCs w:val="24"/>
        </w:rPr>
        <w:t>》</w:t>
      </w:r>
      <w:r>
        <w:rPr>
          <w:rFonts w:hint="eastAsia" w:ascii="宋体" w:hAnsi="宋体" w:eastAsia="宋体" w:cs="宋体"/>
          <w:color w:val="auto"/>
          <w:sz w:val="24"/>
          <w:szCs w:val="24"/>
        </w:rPr>
        <w:t>（项</w:t>
      </w:r>
      <w:r>
        <w:rPr>
          <w:rFonts w:hint="eastAsia" w:ascii="宋体" w:hAnsi="宋体" w:eastAsia="宋体" w:cs="宋体"/>
          <w:color w:val="auto"/>
          <w:spacing w:val="2"/>
          <w:sz w:val="24"/>
          <w:szCs w:val="24"/>
        </w:rPr>
        <w:t>目</w:t>
      </w:r>
      <w:r>
        <w:rPr>
          <w:rFonts w:hint="eastAsia" w:ascii="宋体" w:hAnsi="宋体" w:eastAsia="宋体" w:cs="宋体"/>
          <w:color w:val="auto"/>
          <w:sz w:val="24"/>
          <w:szCs w:val="24"/>
        </w:rPr>
        <w:t>编</w:t>
      </w:r>
      <w:r>
        <w:rPr>
          <w:rFonts w:hint="eastAsia" w:ascii="宋体" w:hAnsi="宋体" w:eastAsia="宋体" w:cs="宋体"/>
          <w:color w:val="auto"/>
          <w:spacing w:val="2"/>
          <w:sz w:val="24"/>
          <w:szCs w:val="24"/>
        </w:rPr>
        <w:t>号</w:t>
      </w:r>
      <w:r>
        <w:rPr>
          <w:rFonts w:hint="eastAsia" w:ascii="宋体" w:hAnsi="宋体" w:eastAsia="宋体" w:cs="宋体"/>
          <w:color w:val="auto"/>
          <w:spacing w:val="-27"/>
          <w:sz w:val="24"/>
          <w:szCs w:val="24"/>
        </w:rPr>
        <w:t>：</w:t>
      </w:r>
      <w:r>
        <w:rPr>
          <w:rFonts w:hint="eastAsia" w:ascii="宋体" w:hAnsi="宋体" w:eastAsia="宋体" w:cs="宋体"/>
          <w:color w:val="auto"/>
          <w:spacing w:val="-27"/>
          <w:sz w:val="24"/>
          <w:szCs w:val="24"/>
          <w:u w:val="single"/>
        </w:rPr>
        <w:t xml:space="preserve"> </w:t>
      </w:r>
      <w:r>
        <w:rPr>
          <w:rFonts w:hint="eastAsia" w:ascii="宋体" w:hAnsi="宋体" w:eastAsia="宋体" w:cs="宋体"/>
          <w:color w:val="auto"/>
          <w:spacing w:val="-27"/>
          <w:sz w:val="24"/>
          <w:szCs w:val="24"/>
          <w:u w:val="single"/>
        </w:rPr>
        <w:tab/>
      </w:r>
      <w:r>
        <w:rPr>
          <w:rFonts w:hint="eastAsia" w:ascii="宋体" w:hAnsi="宋体" w:eastAsia="宋体" w:cs="宋体"/>
          <w:color w:val="auto"/>
          <w:spacing w:val="-27"/>
          <w:sz w:val="24"/>
          <w:szCs w:val="24"/>
        </w:rPr>
        <w:t>）</w:t>
      </w:r>
      <w:r>
        <w:rPr>
          <w:rFonts w:hint="eastAsia" w:ascii="宋体" w:hAnsi="宋体" w:eastAsia="宋体" w:cs="宋体"/>
          <w:color w:val="auto"/>
          <w:sz w:val="24"/>
          <w:szCs w:val="24"/>
        </w:rPr>
        <w:t>的供</w:t>
      </w:r>
      <w:r>
        <w:rPr>
          <w:rFonts w:hint="eastAsia" w:ascii="宋体" w:hAnsi="宋体" w:eastAsia="宋体" w:cs="宋体"/>
          <w:color w:val="auto"/>
          <w:spacing w:val="2"/>
          <w:sz w:val="24"/>
          <w:szCs w:val="24"/>
        </w:rPr>
        <w:t>应</w:t>
      </w:r>
      <w:r>
        <w:rPr>
          <w:rFonts w:hint="eastAsia" w:ascii="宋体" w:hAnsi="宋体" w:eastAsia="宋体" w:cs="宋体"/>
          <w:color w:val="auto"/>
          <w:sz w:val="24"/>
          <w:szCs w:val="24"/>
        </w:rPr>
        <w:t>商</w:t>
      </w:r>
      <w:r>
        <w:rPr>
          <w:rFonts w:hint="eastAsia" w:ascii="宋体" w:hAnsi="宋体" w:eastAsia="宋体" w:cs="宋体"/>
          <w:color w:val="auto"/>
          <w:spacing w:val="-25"/>
          <w:sz w:val="24"/>
          <w:szCs w:val="24"/>
        </w:rPr>
        <w:t>，</w:t>
      </w:r>
      <w:r>
        <w:rPr>
          <w:rFonts w:hint="eastAsia" w:ascii="宋体" w:hAnsi="宋体" w:eastAsia="宋体" w:cs="宋体"/>
          <w:color w:val="auto"/>
          <w:sz w:val="24"/>
          <w:szCs w:val="24"/>
        </w:rPr>
        <w:t>在此郑重声明：</w:t>
      </w:r>
    </w:p>
    <w:p w14:paraId="3360EFF4">
      <w:pPr>
        <w:pStyle w:val="9"/>
        <w:keepNext w:val="0"/>
        <w:keepLines w:val="0"/>
        <w:pageBreakBefore w:val="0"/>
        <w:widowControl w:val="0"/>
        <w:tabs>
          <w:tab w:val="left" w:pos="2847"/>
        </w:tabs>
        <w:kinsoku/>
        <w:wordWrap/>
        <w:overflowPunct/>
        <w:topLinePunct w:val="0"/>
        <w:autoSpaceDE/>
        <w:autoSpaceDN/>
        <w:bidi w:val="0"/>
        <w:adjustRightInd/>
        <w:snapToGrid/>
        <w:spacing w:before="4"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0"/>
          <w:w w:val="100"/>
          <w:sz w:val="24"/>
          <w:szCs w:val="24"/>
          <w:lang w:val="en-US" w:eastAsia="zh-CN"/>
        </w:rPr>
        <w:t>1</w:t>
      </w:r>
      <w:r>
        <w:rPr>
          <w:rFonts w:hint="eastAsia" w:ascii="宋体" w:hAnsi="宋体" w:eastAsia="宋体" w:cs="宋体"/>
          <w:color w:val="auto"/>
          <w:spacing w:val="0"/>
          <w:w w:val="100"/>
          <w:sz w:val="24"/>
          <w:szCs w:val="24"/>
        </w:rPr>
        <w:t>.</w:t>
      </w:r>
      <w:r>
        <w:rPr>
          <w:rFonts w:hint="eastAsia" w:ascii="宋体" w:hAnsi="宋体" w:eastAsia="宋体" w:cs="宋体"/>
          <w:color w:val="auto"/>
          <w:spacing w:val="1"/>
          <w:w w:val="100"/>
          <w:sz w:val="24"/>
          <w:szCs w:val="24"/>
        </w:rPr>
        <w:t>我</w:t>
      </w:r>
      <w:r>
        <w:rPr>
          <w:rFonts w:hint="eastAsia" w:ascii="宋体" w:hAnsi="宋体" w:eastAsia="宋体" w:cs="宋体"/>
          <w:color w:val="auto"/>
          <w:spacing w:val="0"/>
          <w:w w:val="100"/>
          <w:sz w:val="24"/>
          <w:szCs w:val="24"/>
        </w:rPr>
        <w:t>方</w:t>
      </w: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1"/>
          <w:w w:val="100"/>
          <w:sz w:val="24"/>
          <w:szCs w:val="24"/>
        </w:rPr>
        <w:t>（填“未被列入”或“被列入”</w:t>
      </w:r>
      <w:r>
        <w:rPr>
          <w:rFonts w:hint="eastAsia" w:ascii="宋体" w:hAnsi="宋体" w:eastAsia="宋体" w:cs="宋体"/>
          <w:color w:val="auto"/>
          <w:spacing w:val="1"/>
          <w:w w:val="100"/>
          <w:sz w:val="24"/>
          <w:szCs w:val="24"/>
          <w:lang w:eastAsia="zh-CN"/>
        </w:rPr>
        <w:t>）</w:t>
      </w:r>
      <w:r>
        <w:rPr>
          <w:rFonts w:hint="eastAsia" w:ascii="宋体" w:hAnsi="宋体" w:eastAsia="宋体" w:cs="宋体"/>
          <w:color w:val="auto"/>
          <w:kern w:val="2"/>
          <w:sz w:val="24"/>
          <w:szCs w:val="24"/>
          <w:highlight w:val="none"/>
          <w:lang w:val="en-US" w:eastAsia="zh-CN" w:bidi="ar-SA"/>
        </w:rPr>
        <w:t>中国执行信息公开网失信被执行人名单</w:t>
      </w:r>
      <w:r>
        <w:rPr>
          <w:rFonts w:hint="eastAsia" w:ascii="宋体" w:hAnsi="宋体" w:eastAsia="宋体" w:cs="宋体"/>
          <w:color w:val="auto"/>
          <w:w w:val="100"/>
          <w:sz w:val="24"/>
          <w:szCs w:val="24"/>
        </w:rPr>
        <w:t>。</w:t>
      </w:r>
    </w:p>
    <w:p w14:paraId="3E08B62C">
      <w:pPr>
        <w:pStyle w:val="9"/>
        <w:keepNext w:val="0"/>
        <w:keepLines w:val="0"/>
        <w:pageBreakBefore w:val="0"/>
        <w:widowControl w:val="0"/>
        <w:tabs>
          <w:tab w:val="left" w:pos="2852"/>
        </w:tabs>
        <w:kinsoku/>
        <w:wordWrap/>
        <w:overflowPunct/>
        <w:topLinePunct w:val="0"/>
        <w:autoSpaceDE/>
        <w:autoSpaceDN/>
        <w:bidi w:val="0"/>
        <w:adjustRightInd/>
        <w:snapToGrid/>
        <w:spacing w:before="143" w:line="420" w:lineRule="exact"/>
        <w:ind w:right="741"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pacing w:val="0"/>
          <w:w w:val="100"/>
          <w:sz w:val="24"/>
          <w:szCs w:val="24"/>
          <w:lang w:val="en-US" w:eastAsia="zh-CN"/>
        </w:rPr>
        <w:t>2</w:t>
      </w:r>
      <w:r>
        <w:rPr>
          <w:rFonts w:hint="eastAsia" w:ascii="宋体" w:hAnsi="宋体" w:eastAsia="宋体" w:cs="宋体"/>
          <w:color w:val="auto"/>
          <w:spacing w:val="0"/>
          <w:w w:val="100"/>
          <w:sz w:val="24"/>
          <w:szCs w:val="24"/>
        </w:rPr>
        <w:t>.</w:t>
      </w:r>
      <w:r>
        <w:rPr>
          <w:rFonts w:hint="eastAsia" w:ascii="宋体" w:hAnsi="宋体" w:eastAsia="宋体" w:cs="宋体"/>
          <w:color w:val="auto"/>
          <w:spacing w:val="1"/>
          <w:w w:val="100"/>
          <w:sz w:val="24"/>
          <w:szCs w:val="24"/>
        </w:rPr>
        <w:t>我</w:t>
      </w:r>
      <w:r>
        <w:rPr>
          <w:rFonts w:hint="eastAsia" w:ascii="宋体" w:hAnsi="宋体" w:eastAsia="宋体" w:cs="宋体"/>
          <w:color w:val="auto"/>
          <w:spacing w:val="2"/>
          <w:w w:val="100"/>
          <w:sz w:val="24"/>
          <w:szCs w:val="24"/>
        </w:rPr>
        <w:t>方</w:t>
      </w: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1"/>
          <w:w w:val="100"/>
          <w:sz w:val="24"/>
          <w:szCs w:val="24"/>
        </w:rPr>
        <w:t>（填“未被列入”或“被列入”</w:t>
      </w:r>
      <w:r>
        <w:rPr>
          <w:rFonts w:hint="eastAsia" w:ascii="宋体" w:hAnsi="宋体" w:eastAsia="宋体" w:cs="宋体"/>
          <w:color w:val="auto"/>
          <w:spacing w:val="1"/>
          <w:w w:val="100"/>
          <w:sz w:val="24"/>
          <w:szCs w:val="24"/>
          <w:lang w:eastAsia="zh-CN"/>
        </w:rPr>
        <w:t>）</w:t>
      </w:r>
      <w:r>
        <w:rPr>
          <w:rFonts w:hint="eastAsia" w:ascii="宋体" w:hAnsi="宋体" w:eastAsia="宋体" w:cs="宋体"/>
          <w:color w:val="auto"/>
          <w:kern w:val="2"/>
          <w:sz w:val="24"/>
          <w:szCs w:val="24"/>
          <w:highlight w:val="none"/>
          <w:lang w:val="en-US" w:eastAsia="zh-CN" w:bidi="ar-SA"/>
        </w:rPr>
        <w:t>信用中国网重大税收违法失信主体名单。</w:t>
      </w:r>
    </w:p>
    <w:p w14:paraId="6E93F9E9">
      <w:pPr>
        <w:pStyle w:val="9"/>
        <w:keepNext w:val="0"/>
        <w:keepLines w:val="0"/>
        <w:pageBreakBefore w:val="0"/>
        <w:widowControl w:val="0"/>
        <w:tabs>
          <w:tab w:val="left" w:pos="2852"/>
        </w:tabs>
        <w:kinsoku/>
        <w:wordWrap/>
        <w:overflowPunct/>
        <w:topLinePunct w:val="0"/>
        <w:autoSpaceDE/>
        <w:autoSpaceDN/>
        <w:bidi w:val="0"/>
        <w:adjustRightInd/>
        <w:snapToGrid/>
        <w:spacing w:before="1" w:line="420" w:lineRule="exact"/>
        <w:ind w:right="741"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0"/>
          <w:w w:val="100"/>
          <w:sz w:val="24"/>
          <w:szCs w:val="24"/>
          <w:lang w:val="en-US" w:eastAsia="zh-CN"/>
        </w:rPr>
        <w:t>3</w:t>
      </w:r>
      <w:r>
        <w:rPr>
          <w:rFonts w:hint="eastAsia" w:ascii="宋体" w:hAnsi="宋体" w:eastAsia="宋体" w:cs="宋体"/>
          <w:color w:val="auto"/>
          <w:spacing w:val="0"/>
          <w:w w:val="100"/>
          <w:sz w:val="24"/>
          <w:szCs w:val="24"/>
        </w:rPr>
        <w:t>.</w:t>
      </w:r>
      <w:r>
        <w:rPr>
          <w:rFonts w:hint="eastAsia" w:ascii="宋体" w:hAnsi="宋体" w:eastAsia="宋体" w:cs="宋体"/>
          <w:color w:val="auto"/>
          <w:spacing w:val="1"/>
          <w:w w:val="100"/>
          <w:sz w:val="24"/>
          <w:szCs w:val="24"/>
        </w:rPr>
        <w:t>我</w:t>
      </w:r>
      <w:r>
        <w:rPr>
          <w:rFonts w:hint="eastAsia" w:ascii="宋体" w:hAnsi="宋体" w:eastAsia="宋体" w:cs="宋体"/>
          <w:color w:val="auto"/>
          <w:spacing w:val="2"/>
          <w:w w:val="100"/>
          <w:sz w:val="24"/>
          <w:szCs w:val="24"/>
        </w:rPr>
        <w:t>方</w:t>
      </w: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1"/>
          <w:w w:val="100"/>
          <w:sz w:val="24"/>
          <w:szCs w:val="24"/>
        </w:rPr>
        <w:t>（填“未被列入”或“被列入”</w:t>
      </w:r>
      <w:r>
        <w:rPr>
          <w:rFonts w:hint="eastAsia" w:ascii="宋体" w:hAnsi="宋体" w:eastAsia="宋体" w:cs="宋体"/>
          <w:color w:val="auto"/>
          <w:spacing w:val="1"/>
          <w:w w:val="100"/>
          <w:sz w:val="24"/>
          <w:szCs w:val="24"/>
          <w:lang w:eastAsia="zh-CN"/>
        </w:rPr>
        <w:t>）</w:t>
      </w:r>
      <w:r>
        <w:rPr>
          <w:rFonts w:hint="eastAsia" w:ascii="宋体" w:hAnsi="宋体" w:eastAsia="宋体" w:cs="宋体"/>
          <w:color w:val="auto"/>
          <w:kern w:val="2"/>
          <w:sz w:val="24"/>
          <w:szCs w:val="24"/>
          <w:highlight w:val="none"/>
          <w:lang w:val="en-US" w:eastAsia="zh-CN" w:bidi="ar-SA"/>
        </w:rPr>
        <w:t>中国政府采购网政府采购严重违法失信行为记录名单（被财政部门禁止参加政府采购活动）</w:t>
      </w:r>
      <w:r>
        <w:rPr>
          <w:rFonts w:hint="eastAsia" w:ascii="宋体" w:hAnsi="宋体" w:eastAsia="宋体" w:cs="宋体"/>
          <w:color w:val="auto"/>
          <w:sz w:val="24"/>
          <w:szCs w:val="24"/>
        </w:rPr>
        <w:t>。</w:t>
      </w:r>
    </w:p>
    <w:p w14:paraId="78FB4CFE">
      <w:pPr>
        <w:pStyle w:val="9"/>
        <w:keepNext w:val="0"/>
        <w:keepLines w:val="0"/>
        <w:pageBreakBefore w:val="0"/>
        <w:widowControl w:val="0"/>
        <w:kinsoku/>
        <w:wordWrap/>
        <w:overflowPunct/>
        <w:topLinePunct w:val="0"/>
        <w:autoSpaceDE/>
        <w:autoSpaceDN/>
        <w:bidi w:val="0"/>
        <w:adjustRightInd/>
        <w:snapToGrid/>
        <w:spacing w:line="420" w:lineRule="exact"/>
        <w:ind w:right="746" w:firstLine="56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如有不实，我方将无条件地退出本项目的采购活动，并遵照《</w:t>
      </w:r>
      <w:r>
        <w:rPr>
          <w:rFonts w:hint="eastAsia" w:ascii="宋体" w:hAnsi="宋体" w:eastAsia="宋体" w:cs="宋体"/>
          <w:color w:val="auto"/>
          <w:sz w:val="24"/>
          <w:szCs w:val="24"/>
          <w:lang w:eastAsia="zh-CN"/>
        </w:rPr>
        <w:t>中华人民共和国</w:t>
      </w:r>
      <w:r>
        <w:rPr>
          <w:rFonts w:hint="eastAsia" w:ascii="宋体" w:hAnsi="宋体" w:eastAsia="宋体" w:cs="宋体"/>
          <w:color w:val="auto"/>
          <w:sz w:val="24"/>
          <w:szCs w:val="24"/>
        </w:rPr>
        <w:t>政府采购法》有关“提供虚假材料的规定”接受处罚。</w:t>
      </w:r>
    </w:p>
    <w:p w14:paraId="1557C287">
      <w:pPr>
        <w:pStyle w:val="9"/>
        <w:ind w:left="1004"/>
        <w:rPr>
          <w:rFonts w:hint="eastAsia" w:ascii="宋体" w:hAnsi="宋体" w:eastAsia="宋体" w:cs="宋体"/>
          <w:color w:val="auto"/>
          <w:sz w:val="24"/>
          <w:szCs w:val="24"/>
        </w:rPr>
      </w:pPr>
    </w:p>
    <w:p w14:paraId="3424CAD0">
      <w:pPr>
        <w:pStyle w:val="9"/>
        <w:ind w:left="1004"/>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07F999F7">
      <w:pPr>
        <w:pStyle w:val="9"/>
        <w:tabs>
          <w:tab w:val="left" w:pos="6397"/>
          <w:tab w:val="left" w:pos="6963"/>
          <w:tab w:val="left" w:pos="7530"/>
        </w:tabs>
        <w:spacing w:before="140" w:line="333" w:lineRule="auto"/>
        <w:ind w:left="4981" w:right="2169" w:hanging="286"/>
        <w:rPr>
          <w:rFonts w:hint="eastAsia" w:ascii="宋体" w:hAnsi="宋体" w:eastAsia="宋体" w:cs="宋体"/>
          <w:color w:val="auto"/>
          <w:sz w:val="21"/>
          <w:szCs w:val="21"/>
        </w:rPr>
      </w:pPr>
    </w:p>
    <w:p w14:paraId="6137891F">
      <w:pPr>
        <w:pStyle w:val="12"/>
        <w:pageBreakBefore w:val="0"/>
        <w:bidi w:val="0"/>
        <w:ind w:firstLine="3902" w:firstLineChars="1626"/>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5854525">
      <w:pPr>
        <w:pStyle w:val="12"/>
        <w:pageBreakBefore w:val="0"/>
        <w:bidi w:val="0"/>
        <w:ind w:firstLine="480"/>
        <w:outlineLvl w:val="9"/>
        <w:rPr>
          <w:rFonts w:hint="eastAsia" w:ascii="宋体" w:hAnsi="宋体" w:eastAsia="宋体" w:cs="宋体"/>
          <w:color w:val="auto"/>
          <w:sz w:val="24"/>
          <w:szCs w:val="24"/>
          <w:highlight w:val="none"/>
        </w:rPr>
      </w:pPr>
    </w:p>
    <w:p w14:paraId="743D592B">
      <w:pPr>
        <w:pStyle w:val="9"/>
        <w:tabs>
          <w:tab w:val="left" w:pos="6397"/>
          <w:tab w:val="left" w:pos="6963"/>
          <w:tab w:val="left" w:pos="7530"/>
        </w:tabs>
        <w:spacing w:before="140" w:line="333" w:lineRule="auto"/>
        <w:ind w:right="2169" w:firstLine="3990" w:firstLineChars="1900"/>
        <w:rPr>
          <w:rFonts w:hint="eastAsia"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日</w:t>
      </w:r>
    </w:p>
    <w:p w14:paraId="3EDA1556">
      <w:pPr>
        <w:pStyle w:val="9"/>
        <w:jc w:val="center"/>
        <w:rPr>
          <w:rFonts w:hint="eastAsia" w:ascii="宋体" w:hAnsi="宋体" w:eastAsia="宋体" w:cs="宋体"/>
          <w:b/>
          <w:color w:val="auto"/>
          <w:kern w:val="0"/>
          <w:sz w:val="28"/>
          <w:szCs w:val="28"/>
          <w:highlight w:val="none"/>
          <w:lang w:val="en-US" w:eastAsia="zh-CN" w:bidi="ar-SA"/>
        </w:rPr>
        <w:sectPr>
          <w:headerReference r:id="rId19" w:type="first"/>
          <w:footerReference r:id="rId21" w:type="first"/>
          <w:headerReference r:id="rId18" w:type="default"/>
          <w:footerReference r:id="rId20"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14:paraId="12FFA6A5">
      <w:pPr>
        <w:pStyle w:val="9"/>
        <w:jc w:val="center"/>
        <w:rPr>
          <w:rFonts w:hint="eastAsia" w:ascii="宋体" w:hAnsi="宋体" w:eastAsia="宋体" w:cs="宋体"/>
          <w:b/>
          <w:color w:val="auto"/>
          <w:kern w:val="0"/>
          <w:sz w:val="28"/>
          <w:szCs w:val="28"/>
          <w:highlight w:val="none"/>
          <w:lang w:val="en-US" w:eastAsia="zh-CN" w:bidi="ar-SA"/>
        </w:rPr>
      </w:pPr>
      <w:r>
        <w:rPr>
          <w:rFonts w:hint="eastAsia" w:ascii="宋体" w:hAnsi="宋体" w:eastAsia="宋体" w:cs="宋体"/>
          <w:b/>
          <w:color w:val="auto"/>
          <w:kern w:val="0"/>
          <w:sz w:val="28"/>
          <w:szCs w:val="28"/>
          <w:highlight w:val="none"/>
          <w:lang w:val="en-US" w:eastAsia="zh-CN" w:bidi="ar-SA"/>
        </w:rPr>
        <w:t>5、供应商认为需要的其他资料</w:t>
      </w:r>
    </w:p>
    <w:p w14:paraId="6F7FC2BB">
      <w:pPr>
        <w:pageBreakBefore w:val="0"/>
        <w:tabs>
          <w:tab w:val="left" w:pos="520"/>
        </w:tabs>
        <w:bidi w:val="0"/>
        <w:spacing w:line="274" w:lineRule="exact"/>
        <w:ind w:left="60"/>
        <w:outlineLvl w:val="9"/>
        <w:rPr>
          <w:rFonts w:hint="eastAsia" w:ascii="宋体" w:hAnsi="宋体" w:eastAsia="宋体" w:cs="宋体"/>
          <w:color w:val="auto"/>
          <w:highlight w:val="none"/>
        </w:rPr>
      </w:pPr>
    </w:p>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
    <w:altName w:val="Times New Roman"/>
    <w:panose1 w:val="00000000000000000000"/>
    <w:charset w:val="00"/>
    <w:family w:val="auto"/>
    <w:pitch w:val="default"/>
    <w:sig w:usb0="00000000" w:usb1="00000000" w:usb2="00000000"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CF830">
    <w:pPr>
      <w:pStyle w:val="16"/>
      <w:wordWrap w:val="0"/>
      <w:ind w:right="360"/>
      <w:jc w:val="both"/>
      <w:rPr>
        <w:rFonts w:hint="eastAsia"/>
        <w:lang w:eastAsia="zh-C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16D2D">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091369">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D091369">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758E8">
    <w:pPr>
      <w:pStyle w:val="1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1F5BEF">
                          <w:pPr>
                            <w:pStyle w:val="16"/>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F1F5BEF">
                    <w:pPr>
                      <w:pStyle w:val="16"/>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D2D55">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B3EBFF">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3B3EBFF">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ED7C7">
    <w:pPr>
      <w:pStyle w:val="16"/>
      <w:rPr>
        <w:rFonts w:ascii="宋体" w:hAnsi="宋体"/>
        <w:b/>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91F6F">
    <w:pPr>
      <w:pStyle w:val="16"/>
      <w:tabs>
        <w:tab w:val="clear" w:pos="4153"/>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89F76">
    <w:pPr>
      <w:pStyle w:val="16"/>
      <w:tabs>
        <w:tab w:val="left" w:pos="1699"/>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posOffset>2624455</wp:posOffset>
              </wp:positionH>
              <wp:positionV relativeFrom="paragraph">
                <wp:posOffset>-798830</wp:posOffset>
              </wp:positionV>
              <wp:extent cx="226695" cy="12763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26695" cy="127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457F05">
                          <w:pPr>
                            <w:pStyle w:val="1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6.65pt;margin-top:-62.9pt;height:10.05pt;width:17.85pt;mso-position-horizontal-relative:margin;z-index:251660288;mso-width-relative:page;mso-height-relative:page;" filled="f" stroked="f" coordsize="21600,21600" o:gfxdata="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WmmmZdsAAAANAQAADwAAAAAAAAABACAAAAAiAAAAZHJzL2Rv&#10;d25yZXYueG1sUEsBAhQAFAAAAAgAh07iQJeWujA3AgAAYwQAAA4AAAAAAAAAAQAgAAAAKgEAAGRy&#10;cy9lMm9Eb2MueG1sUEsFBgAAAAAGAAYAWQEAANMFAAAAAA==&#10;">
              <v:fill on="f" focussize="0,0"/>
              <v:stroke on="f" weight="0.5pt"/>
              <v:imagedata o:title=""/>
              <o:lock v:ext="edit" aspectratio="f"/>
              <v:textbox inset="0mm,0mm,0mm,0mm">
                <w:txbxContent>
                  <w:p w14:paraId="58457F05">
                    <w:pPr>
                      <w:pStyle w:val="1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E4BD9">
    <w:pPr>
      <w:pStyle w:val="16"/>
      <w:tabs>
        <w:tab w:val="left" w:pos="1699"/>
        <w:tab w:val="clear" w:pos="4153"/>
      </w:tabs>
    </w:pPr>
    <w:r>
      <w:rPr>
        <w:sz w:val="18"/>
      </w:rPr>
      <mc:AlternateContent>
        <mc:Choice Requires="wps">
          <w:drawing>
            <wp:anchor distT="0" distB="0" distL="114300" distR="114300" simplePos="0" relativeHeight="251665408" behindDoc="0" locked="0" layoutInCell="1" allowOverlap="1">
              <wp:simplePos x="0" y="0"/>
              <wp:positionH relativeFrom="margin">
                <wp:posOffset>2444115</wp:posOffset>
              </wp:positionH>
              <wp:positionV relativeFrom="paragraph">
                <wp:posOffset>113030</wp:posOffset>
              </wp:positionV>
              <wp:extent cx="264160" cy="1993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4160" cy="199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7802AD">
                          <w:pPr>
                            <w:pStyle w:val="1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2.45pt;margin-top:8.9pt;height:15.7pt;width:20.8pt;mso-position-horizontal-relative:margin;z-index:251665408;mso-width-relative:page;mso-height-relative:page;" filled="f" stroked="f" coordsize="21600,21600" o:gfxdata="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E/FzYAAAACQEAAA8AAAAAAAAAAQAgAAAAIgAAAGRycy9kb3ducmV2&#10;LnhtbFBLAQIUABQAAAAIAIdO4kCPlli1NQIAAGEEAAAOAAAAAAAAAAEAIAAAACcBAABkcnMvZTJv&#10;RG9jLnhtbFBLBQYAAAAABgAGAFkBAADOBQAAAAA=&#10;">
              <v:fill on="f" focussize="0,0"/>
              <v:stroke on="f" weight="0.5pt"/>
              <v:imagedata o:title=""/>
              <o:lock v:ext="edit" aspectratio="f"/>
              <v:textbox inset="0mm,0mm,0mm,0mm">
                <w:txbxContent>
                  <w:p w14:paraId="4F7802AD">
                    <w:pPr>
                      <w:pStyle w:val="16"/>
                    </w:pPr>
                    <w:r>
                      <w:fldChar w:fldCharType="begin"/>
                    </w:r>
                    <w:r>
                      <w:instrText xml:space="preserve"> PAGE  \* MERGEFORMAT </w:instrText>
                    </w:r>
                    <w:r>
                      <w:fldChar w:fldCharType="separate"/>
                    </w:r>
                    <w:r>
                      <w:t>4</w:t>
                    </w:r>
                    <w:r>
                      <w:fldChar w:fldCharType="end"/>
                    </w:r>
                  </w:p>
                </w:txbxContent>
              </v:textbox>
            </v:shape>
          </w:pict>
        </mc:Fallback>
      </mc:AlternateContent>
    </w:r>
  </w:p>
  <w:p w14:paraId="7F0C6CB8">
    <w:pPr>
      <w:pStyle w:val="16"/>
      <w:tabs>
        <w:tab w:val="left" w:pos="1699"/>
        <w:tab w:val="clear" w:pos="4153"/>
      </w:tabs>
    </w:pPr>
  </w:p>
  <w:p w14:paraId="04C828E1">
    <w:pPr>
      <w:pStyle w:val="16"/>
      <w:tabs>
        <w:tab w:val="left" w:pos="1699"/>
        <w:tab w:val="clear" w:pos="4153"/>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E1646">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EC195B">
                          <w:pPr>
                            <w:pStyle w:val="16"/>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9EC195B">
                    <w:pPr>
                      <w:pStyle w:val="16"/>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9B6C5">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B5DC35">
                          <w:pPr>
                            <w:pStyle w:val="16"/>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0B5DC35">
                    <w:pPr>
                      <w:pStyle w:val="16"/>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2623D">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128BD">
    <w:pPr>
      <w:pStyle w:val="3"/>
      <w:tabs>
        <w:tab w:val="left" w:pos="10438"/>
      </w:tabs>
      <w:kinsoku w:val="0"/>
      <w:overflowPunct w:val="0"/>
      <w:autoSpaceDE w:val="0"/>
      <w:autoSpaceDN w:val="0"/>
      <w:adjustRightInd w:val="0"/>
      <w:snapToGrid w:val="0"/>
      <w:spacing w:before="240" w:beforeLines="100" w:after="240" w:afterLines="100" w:line="460" w:lineRule="exact"/>
      <w:jc w:val="left"/>
      <w:rPr>
        <w:rFonts w:hint="eastAsia" w:eastAsia="宋体"/>
        <w:lang w:eastAsia="zh-CN"/>
      </w:rPr>
    </w:pP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7E40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14C7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AC19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B1B5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4C26E">
    <w:pPr>
      <w:pBdr>
        <w:bottom w:val="none" w:color="auto" w:sz="0" w:space="1"/>
      </w:pBdr>
      <w:spacing w:line="460" w:lineRule="exact"/>
      <w:jc w:val="left"/>
      <w:rPr>
        <w:highlight w:val="lightGray"/>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2EC7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768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46834"/>
    <w:multiLevelType w:val="singleLevel"/>
    <w:tmpl w:val="DB746834"/>
    <w:lvl w:ilvl="0" w:tentative="0">
      <w:start w:val="1"/>
      <w:numFmt w:val="chineseCounting"/>
      <w:suff w:val="nothing"/>
      <w:lvlText w:val="（%1）"/>
      <w:lvlJc w:val="left"/>
      <w:rPr>
        <w:rFonts w:hint="eastAsia"/>
      </w:rPr>
    </w:lvl>
  </w:abstractNum>
  <w:abstractNum w:abstractNumId="1">
    <w:nsid w:val="DFB511C9"/>
    <w:multiLevelType w:val="singleLevel"/>
    <w:tmpl w:val="DFB511C9"/>
    <w:lvl w:ilvl="0" w:tentative="0">
      <w:start w:val="1"/>
      <w:numFmt w:val="chineseCounting"/>
      <w:suff w:val="nothing"/>
      <w:lvlText w:val="%1、"/>
      <w:lvlJc w:val="left"/>
      <w:rPr>
        <w:rFonts w:hint="eastAsia"/>
      </w:rPr>
    </w:lvl>
  </w:abstractNum>
  <w:abstractNum w:abstractNumId="2">
    <w:nsid w:val="00000005"/>
    <w:multiLevelType w:val="multilevel"/>
    <w:tmpl w:val="00000005"/>
    <w:lvl w:ilvl="0" w:tentative="0">
      <w:start w:val="1"/>
      <w:numFmt w:val="decimal"/>
      <w:lvlText w:val="（%1）"/>
      <w:lvlJc w:val="left"/>
      <w:pPr>
        <w:tabs>
          <w:tab w:val="left" w:pos="1280"/>
        </w:tabs>
        <w:ind w:left="1280" w:hanging="72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3">
    <w:nsid w:val="0053208E"/>
    <w:multiLevelType w:val="singleLevel"/>
    <w:tmpl w:val="0053208E"/>
    <w:lvl w:ilvl="0" w:tentative="0">
      <w:start w:val="2"/>
      <w:numFmt w:val="decimal"/>
      <w:suff w:val="nothing"/>
      <w:lvlText w:val="%1）"/>
      <w:lvlJc w:val="left"/>
    </w:lvl>
  </w:abstractNum>
  <w:abstractNum w:abstractNumId="4">
    <w:nsid w:val="0C34AE71"/>
    <w:multiLevelType w:val="singleLevel"/>
    <w:tmpl w:val="0C34AE71"/>
    <w:lvl w:ilvl="0" w:tentative="0">
      <w:start w:val="1"/>
      <w:numFmt w:val="chineseCounting"/>
      <w:suff w:val="nothing"/>
      <w:lvlText w:val="%1、"/>
      <w:lvlJc w:val="left"/>
      <w:rPr>
        <w:rFonts w:hint="eastAsia"/>
      </w:rPr>
    </w:lvl>
  </w:abstractNum>
  <w:abstractNum w:abstractNumId="5">
    <w:nsid w:val="25BA7971"/>
    <w:multiLevelType w:val="singleLevel"/>
    <w:tmpl w:val="25BA7971"/>
    <w:lvl w:ilvl="0" w:tentative="0">
      <w:start w:val="3"/>
      <w:numFmt w:val="chineseCounting"/>
      <w:suff w:val="space"/>
      <w:lvlText w:val="第%1部分"/>
      <w:lvlJc w:val="left"/>
      <w:rPr>
        <w:rFonts w:hint="eastAsia"/>
      </w:rPr>
    </w:lvl>
  </w:abstractNum>
  <w:abstractNum w:abstractNumId="6">
    <w:nsid w:val="3D081B1E"/>
    <w:multiLevelType w:val="singleLevel"/>
    <w:tmpl w:val="3D081B1E"/>
    <w:lvl w:ilvl="0" w:tentative="0">
      <w:start w:val="1"/>
      <w:numFmt w:val="decimal"/>
      <w:suff w:val="nothing"/>
      <w:lvlText w:val="%1、"/>
      <w:lvlJc w:val="left"/>
    </w:lvl>
  </w:abstractNum>
  <w:abstractNum w:abstractNumId="7">
    <w:nsid w:val="59A6651B"/>
    <w:multiLevelType w:val="singleLevel"/>
    <w:tmpl w:val="59A6651B"/>
    <w:lvl w:ilvl="0" w:tentative="0">
      <w:start w:val="1"/>
      <w:numFmt w:val="chineseCounting"/>
      <w:suff w:val="nothing"/>
      <w:lvlText w:val="%1、"/>
      <w:lvlJc w:val="left"/>
    </w:lvl>
  </w:abstractNum>
  <w:abstractNum w:abstractNumId="8">
    <w:nsid w:val="7AE66C40"/>
    <w:multiLevelType w:val="singleLevel"/>
    <w:tmpl w:val="7AE66C40"/>
    <w:lvl w:ilvl="0" w:tentative="0">
      <w:start w:val="1"/>
      <w:numFmt w:val="decimal"/>
      <w:suff w:val="nothing"/>
      <w:lvlText w:val="%1、"/>
      <w:lvlJc w:val="left"/>
    </w:lvl>
  </w:abstractNum>
  <w:abstractNum w:abstractNumId="9">
    <w:nsid w:val="7FA10B9B"/>
    <w:multiLevelType w:val="singleLevel"/>
    <w:tmpl w:val="7FA10B9B"/>
    <w:lvl w:ilvl="0" w:tentative="0">
      <w:start w:val="1"/>
      <w:numFmt w:val="decimal"/>
      <w:suff w:val="nothing"/>
      <w:lvlText w:val="（%1）"/>
      <w:lvlJc w:val="left"/>
    </w:lvl>
  </w:abstractNum>
  <w:num w:numId="1">
    <w:abstractNumId w:val="8"/>
  </w:num>
  <w:num w:numId="2">
    <w:abstractNumId w:val="2"/>
  </w:num>
  <w:num w:numId="3">
    <w:abstractNumId w:val="1"/>
  </w:num>
  <w:num w:numId="4">
    <w:abstractNumId w:val="3"/>
  </w:num>
  <w:num w:numId="5">
    <w:abstractNumId w:val="9"/>
  </w:num>
  <w:num w:numId="6">
    <w:abstractNumId w:val="5"/>
  </w:num>
  <w:num w:numId="7">
    <w:abstractNumId w:val="4"/>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zMmMwMDJiZDAxNDIzYjZhOGMxNDI1Yzk3ZWZiYTMifQ=="/>
  </w:docVars>
  <w:rsids>
    <w:rsidRoot w:val="159D1B49"/>
    <w:rsid w:val="000E2DB7"/>
    <w:rsid w:val="00184B07"/>
    <w:rsid w:val="003B501F"/>
    <w:rsid w:val="00647456"/>
    <w:rsid w:val="006E53EB"/>
    <w:rsid w:val="00743B73"/>
    <w:rsid w:val="008878D1"/>
    <w:rsid w:val="00964140"/>
    <w:rsid w:val="009C512B"/>
    <w:rsid w:val="00B06633"/>
    <w:rsid w:val="00B7342B"/>
    <w:rsid w:val="00C2263B"/>
    <w:rsid w:val="00C7016B"/>
    <w:rsid w:val="00D27337"/>
    <w:rsid w:val="00E62D8D"/>
    <w:rsid w:val="02963DFC"/>
    <w:rsid w:val="02BB72C4"/>
    <w:rsid w:val="036F4C87"/>
    <w:rsid w:val="048C3C3C"/>
    <w:rsid w:val="05372775"/>
    <w:rsid w:val="067349C1"/>
    <w:rsid w:val="07172730"/>
    <w:rsid w:val="075259FC"/>
    <w:rsid w:val="07CE2990"/>
    <w:rsid w:val="07DC6755"/>
    <w:rsid w:val="083A2FAD"/>
    <w:rsid w:val="09A127BA"/>
    <w:rsid w:val="09E3201C"/>
    <w:rsid w:val="0A0A496A"/>
    <w:rsid w:val="0A2E7419"/>
    <w:rsid w:val="0AE85176"/>
    <w:rsid w:val="0BB377CC"/>
    <w:rsid w:val="0C2F32F7"/>
    <w:rsid w:val="0C6F24CE"/>
    <w:rsid w:val="0C747D08"/>
    <w:rsid w:val="0DA815B3"/>
    <w:rsid w:val="0DB02216"/>
    <w:rsid w:val="0E4365EF"/>
    <w:rsid w:val="0E601E8E"/>
    <w:rsid w:val="0EA70E63"/>
    <w:rsid w:val="0F0E107C"/>
    <w:rsid w:val="0F7F5791"/>
    <w:rsid w:val="0FF603DB"/>
    <w:rsid w:val="104856E5"/>
    <w:rsid w:val="105F301A"/>
    <w:rsid w:val="10694477"/>
    <w:rsid w:val="11537A88"/>
    <w:rsid w:val="121F5211"/>
    <w:rsid w:val="12721769"/>
    <w:rsid w:val="12A83E03"/>
    <w:rsid w:val="12AA3D0B"/>
    <w:rsid w:val="12B96010"/>
    <w:rsid w:val="12DD5B34"/>
    <w:rsid w:val="131C20FE"/>
    <w:rsid w:val="13E23111"/>
    <w:rsid w:val="147606DF"/>
    <w:rsid w:val="159D1B49"/>
    <w:rsid w:val="15A92CBF"/>
    <w:rsid w:val="15E6711C"/>
    <w:rsid w:val="1615189D"/>
    <w:rsid w:val="16A70313"/>
    <w:rsid w:val="16EE795F"/>
    <w:rsid w:val="177122FD"/>
    <w:rsid w:val="17997E8E"/>
    <w:rsid w:val="17D824D8"/>
    <w:rsid w:val="17F83137"/>
    <w:rsid w:val="189C023B"/>
    <w:rsid w:val="190D329D"/>
    <w:rsid w:val="19DD5940"/>
    <w:rsid w:val="1A9D7FC6"/>
    <w:rsid w:val="1AD34A0E"/>
    <w:rsid w:val="1B446693"/>
    <w:rsid w:val="1BBB5543"/>
    <w:rsid w:val="1C3D1686"/>
    <w:rsid w:val="1CD679D5"/>
    <w:rsid w:val="1CDC640B"/>
    <w:rsid w:val="1CEE1080"/>
    <w:rsid w:val="1D232A04"/>
    <w:rsid w:val="1D3D339A"/>
    <w:rsid w:val="1D577B5E"/>
    <w:rsid w:val="1D6C577D"/>
    <w:rsid w:val="1DBE6C94"/>
    <w:rsid w:val="1DED2AB9"/>
    <w:rsid w:val="1E301B87"/>
    <w:rsid w:val="1EF645AA"/>
    <w:rsid w:val="1F0C571A"/>
    <w:rsid w:val="1F78690B"/>
    <w:rsid w:val="20270A5D"/>
    <w:rsid w:val="20313C05"/>
    <w:rsid w:val="205E1FA5"/>
    <w:rsid w:val="209F4BA5"/>
    <w:rsid w:val="20CE7B78"/>
    <w:rsid w:val="21635AC5"/>
    <w:rsid w:val="2181130E"/>
    <w:rsid w:val="22152567"/>
    <w:rsid w:val="22394A78"/>
    <w:rsid w:val="22635651"/>
    <w:rsid w:val="22FD334F"/>
    <w:rsid w:val="231D5BEF"/>
    <w:rsid w:val="233701DC"/>
    <w:rsid w:val="235E7FED"/>
    <w:rsid w:val="238C0BD7"/>
    <w:rsid w:val="23A24F50"/>
    <w:rsid w:val="24BE74B6"/>
    <w:rsid w:val="24E5281F"/>
    <w:rsid w:val="24F062C8"/>
    <w:rsid w:val="251247D8"/>
    <w:rsid w:val="251A293E"/>
    <w:rsid w:val="252728D9"/>
    <w:rsid w:val="25532D0D"/>
    <w:rsid w:val="25AC31DE"/>
    <w:rsid w:val="25B51813"/>
    <w:rsid w:val="25DF54EA"/>
    <w:rsid w:val="261A6C39"/>
    <w:rsid w:val="263E440B"/>
    <w:rsid w:val="26C12B1D"/>
    <w:rsid w:val="27EC5BFD"/>
    <w:rsid w:val="27FB5854"/>
    <w:rsid w:val="282C486D"/>
    <w:rsid w:val="28397580"/>
    <w:rsid w:val="28931F81"/>
    <w:rsid w:val="28B20005"/>
    <w:rsid w:val="292D0766"/>
    <w:rsid w:val="292D216D"/>
    <w:rsid w:val="29C117AF"/>
    <w:rsid w:val="2A0B436D"/>
    <w:rsid w:val="2A13783A"/>
    <w:rsid w:val="2A6936BF"/>
    <w:rsid w:val="2A88034A"/>
    <w:rsid w:val="2A8D0269"/>
    <w:rsid w:val="2A9D0E6D"/>
    <w:rsid w:val="2AB47FA8"/>
    <w:rsid w:val="2AE81A43"/>
    <w:rsid w:val="2B3335A4"/>
    <w:rsid w:val="2B9A5B7B"/>
    <w:rsid w:val="2BC41856"/>
    <w:rsid w:val="2C613C1D"/>
    <w:rsid w:val="2C620BC7"/>
    <w:rsid w:val="2C8A2DBD"/>
    <w:rsid w:val="2D804F50"/>
    <w:rsid w:val="2E7C28D5"/>
    <w:rsid w:val="304E23F9"/>
    <w:rsid w:val="308905D5"/>
    <w:rsid w:val="30AD7C75"/>
    <w:rsid w:val="30B959D8"/>
    <w:rsid w:val="310452EE"/>
    <w:rsid w:val="3159659D"/>
    <w:rsid w:val="320F75A3"/>
    <w:rsid w:val="321E1C91"/>
    <w:rsid w:val="32FA5B5D"/>
    <w:rsid w:val="335E2B99"/>
    <w:rsid w:val="3471147A"/>
    <w:rsid w:val="350318F6"/>
    <w:rsid w:val="35C5113D"/>
    <w:rsid w:val="35C87C7D"/>
    <w:rsid w:val="367779DB"/>
    <w:rsid w:val="36BC2E5F"/>
    <w:rsid w:val="37073A30"/>
    <w:rsid w:val="37821CDD"/>
    <w:rsid w:val="38111141"/>
    <w:rsid w:val="39B40F1A"/>
    <w:rsid w:val="3A231E3E"/>
    <w:rsid w:val="3A4C20E6"/>
    <w:rsid w:val="3AF07D53"/>
    <w:rsid w:val="3BA26D92"/>
    <w:rsid w:val="3BE92C13"/>
    <w:rsid w:val="3BFC64A2"/>
    <w:rsid w:val="3C6A41F3"/>
    <w:rsid w:val="3D116F41"/>
    <w:rsid w:val="3D3954D4"/>
    <w:rsid w:val="3D91318F"/>
    <w:rsid w:val="3E563C23"/>
    <w:rsid w:val="3E7323B2"/>
    <w:rsid w:val="3EC87E82"/>
    <w:rsid w:val="3F5F0DF3"/>
    <w:rsid w:val="3F9E2732"/>
    <w:rsid w:val="406D12A6"/>
    <w:rsid w:val="40B66992"/>
    <w:rsid w:val="40D61E5B"/>
    <w:rsid w:val="4117383C"/>
    <w:rsid w:val="41573FCC"/>
    <w:rsid w:val="4226071D"/>
    <w:rsid w:val="436B215F"/>
    <w:rsid w:val="43B65AD0"/>
    <w:rsid w:val="43D742F8"/>
    <w:rsid w:val="44047A2D"/>
    <w:rsid w:val="4433274D"/>
    <w:rsid w:val="44B05540"/>
    <w:rsid w:val="44D2432D"/>
    <w:rsid w:val="45607F00"/>
    <w:rsid w:val="45EA0A45"/>
    <w:rsid w:val="46B5206F"/>
    <w:rsid w:val="47EA0F5F"/>
    <w:rsid w:val="48007DC3"/>
    <w:rsid w:val="48476C35"/>
    <w:rsid w:val="48517B76"/>
    <w:rsid w:val="488658D7"/>
    <w:rsid w:val="48951D84"/>
    <w:rsid w:val="49A26997"/>
    <w:rsid w:val="4A2C7215"/>
    <w:rsid w:val="4A391290"/>
    <w:rsid w:val="4A3E237C"/>
    <w:rsid w:val="4A4A44F3"/>
    <w:rsid w:val="4A7C74DF"/>
    <w:rsid w:val="4AA439E5"/>
    <w:rsid w:val="4B231FE2"/>
    <w:rsid w:val="4B2A63DE"/>
    <w:rsid w:val="4BB413BE"/>
    <w:rsid w:val="4BDB290C"/>
    <w:rsid w:val="4C585329"/>
    <w:rsid w:val="4C883D82"/>
    <w:rsid w:val="4D534390"/>
    <w:rsid w:val="4D9D560B"/>
    <w:rsid w:val="4DC511B0"/>
    <w:rsid w:val="4E866B7B"/>
    <w:rsid w:val="4E8862BB"/>
    <w:rsid w:val="4EBB71D7"/>
    <w:rsid w:val="4EC86A38"/>
    <w:rsid w:val="4EEB0A1E"/>
    <w:rsid w:val="4F517FB5"/>
    <w:rsid w:val="4F7C5E20"/>
    <w:rsid w:val="50375244"/>
    <w:rsid w:val="50455C1A"/>
    <w:rsid w:val="5097572C"/>
    <w:rsid w:val="513D338D"/>
    <w:rsid w:val="515911B2"/>
    <w:rsid w:val="51827AA0"/>
    <w:rsid w:val="52EA4E4F"/>
    <w:rsid w:val="5349478E"/>
    <w:rsid w:val="534C3D5B"/>
    <w:rsid w:val="53622163"/>
    <w:rsid w:val="53A84EA1"/>
    <w:rsid w:val="53E576A0"/>
    <w:rsid w:val="542A7306"/>
    <w:rsid w:val="54F17F9E"/>
    <w:rsid w:val="556C25BE"/>
    <w:rsid w:val="5625333F"/>
    <w:rsid w:val="568B45C4"/>
    <w:rsid w:val="56BD4320"/>
    <w:rsid w:val="56F664B8"/>
    <w:rsid w:val="5721520A"/>
    <w:rsid w:val="57424697"/>
    <w:rsid w:val="579E562B"/>
    <w:rsid w:val="584634F1"/>
    <w:rsid w:val="587A3D1D"/>
    <w:rsid w:val="59356FA0"/>
    <w:rsid w:val="59D95071"/>
    <w:rsid w:val="5A623E64"/>
    <w:rsid w:val="5B1A62BF"/>
    <w:rsid w:val="5B3C46B5"/>
    <w:rsid w:val="5BAA047C"/>
    <w:rsid w:val="5C401F83"/>
    <w:rsid w:val="5C5E240A"/>
    <w:rsid w:val="5C6962F2"/>
    <w:rsid w:val="5CA442C0"/>
    <w:rsid w:val="5D1624F6"/>
    <w:rsid w:val="5D3A4C25"/>
    <w:rsid w:val="5D690594"/>
    <w:rsid w:val="5E1D21B1"/>
    <w:rsid w:val="5E7220EE"/>
    <w:rsid w:val="5F182F9A"/>
    <w:rsid w:val="5F32387D"/>
    <w:rsid w:val="5F9235E9"/>
    <w:rsid w:val="60191AD5"/>
    <w:rsid w:val="60D72195"/>
    <w:rsid w:val="60EE2060"/>
    <w:rsid w:val="614B50AB"/>
    <w:rsid w:val="61665F49"/>
    <w:rsid w:val="61811507"/>
    <w:rsid w:val="624435A2"/>
    <w:rsid w:val="62FF66F4"/>
    <w:rsid w:val="63503692"/>
    <w:rsid w:val="63666773"/>
    <w:rsid w:val="63F17328"/>
    <w:rsid w:val="642B0762"/>
    <w:rsid w:val="647D6468"/>
    <w:rsid w:val="65046C98"/>
    <w:rsid w:val="65466F75"/>
    <w:rsid w:val="659B647C"/>
    <w:rsid w:val="661257D6"/>
    <w:rsid w:val="66255300"/>
    <w:rsid w:val="66541B60"/>
    <w:rsid w:val="66CF6BCA"/>
    <w:rsid w:val="66D85CCE"/>
    <w:rsid w:val="67AD28F9"/>
    <w:rsid w:val="688C12C1"/>
    <w:rsid w:val="68964036"/>
    <w:rsid w:val="68ED228A"/>
    <w:rsid w:val="691D47F4"/>
    <w:rsid w:val="69932F63"/>
    <w:rsid w:val="69B111DF"/>
    <w:rsid w:val="69DB153D"/>
    <w:rsid w:val="69E260B9"/>
    <w:rsid w:val="6A2829D5"/>
    <w:rsid w:val="6BB56BB0"/>
    <w:rsid w:val="6BD251CE"/>
    <w:rsid w:val="6C667EDD"/>
    <w:rsid w:val="6CA85626"/>
    <w:rsid w:val="6CB77F1C"/>
    <w:rsid w:val="6CE71B82"/>
    <w:rsid w:val="6D317DF2"/>
    <w:rsid w:val="6DA36034"/>
    <w:rsid w:val="6E6C5BA9"/>
    <w:rsid w:val="6E8A7F82"/>
    <w:rsid w:val="6EB72172"/>
    <w:rsid w:val="6EDC3D95"/>
    <w:rsid w:val="6F532AF4"/>
    <w:rsid w:val="70B60D1C"/>
    <w:rsid w:val="70D30392"/>
    <w:rsid w:val="717D0A9D"/>
    <w:rsid w:val="7198714F"/>
    <w:rsid w:val="71DD6E25"/>
    <w:rsid w:val="71FB2F69"/>
    <w:rsid w:val="727809F2"/>
    <w:rsid w:val="73BE3DC8"/>
    <w:rsid w:val="73CD1EF7"/>
    <w:rsid w:val="73FB6AF8"/>
    <w:rsid w:val="7400051E"/>
    <w:rsid w:val="742E643A"/>
    <w:rsid w:val="74620891"/>
    <w:rsid w:val="74A72748"/>
    <w:rsid w:val="755F0853"/>
    <w:rsid w:val="76237B25"/>
    <w:rsid w:val="76472C11"/>
    <w:rsid w:val="76522B87"/>
    <w:rsid w:val="76C67B1E"/>
    <w:rsid w:val="76CF3B9A"/>
    <w:rsid w:val="76CF49A6"/>
    <w:rsid w:val="76D44D84"/>
    <w:rsid w:val="77664B3C"/>
    <w:rsid w:val="77DE4BA4"/>
    <w:rsid w:val="77F16440"/>
    <w:rsid w:val="78444CA7"/>
    <w:rsid w:val="79637216"/>
    <w:rsid w:val="7A10700A"/>
    <w:rsid w:val="7AB17FAC"/>
    <w:rsid w:val="7AF002AC"/>
    <w:rsid w:val="7B633FF7"/>
    <w:rsid w:val="7BC54EE3"/>
    <w:rsid w:val="7BED5CFD"/>
    <w:rsid w:val="7C0B1FBD"/>
    <w:rsid w:val="7CCB239A"/>
    <w:rsid w:val="7D1D5117"/>
    <w:rsid w:val="7E256FA7"/>
    <w:rsid w:val="7ED061F4"/>
    <w:rsid w:val="7F6A241A"/>
    <w:rsid w:val="7F73248E"/>
    <w:rsid w:val="7FA43923"/>
    <w:rsid w:val="7FF07313"/>
    <w:rsid w:val="7FFD3B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1"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120" w:beforeLines="0" w:after="120" w:afterLines="0" w:line="360" w:lineRule="auto"/>
      <w:ind w:firstLine="200" w:firstLineChars="200"/>
      <w:outlineLvl w:val="2"/>
    </w:pPr>
    <w:rPr>
      <w:rFonts w:eastAsia="黑体"/>
      <w:b/>
      <w:bCs/>
      <w:szCs w:val="32"/>
    </w:rPr>
  </w:style>
  <w:style w:type="paragraph" w:styleId="5">
    <w:name w:val="heading 4"/>
    <w:basedOn w:val="1"/>
    <w:next w:val="1"/>
    <w:qFormat/>
    <w:uiPriority w:val="0"/>
    <w:pPr>
      <w:keepNext/>
      <w:keepLines/>
      <w:tabs>
        <w:tab w:val="left" w:pos="864"/>
      </w:tabs>
      <w:spacing w:before="120" w:line="360" w:lineRule="auto"/>
      <w:ind w:left="864" w:hanging="864"/>
      <w:outlineLvl w:val="3"/>
    </w:pPr>
    <w:rPr>
      <w:rFonts w:ascii="Arial" w:hAnsi="Arial"/>
      <w:bCs/>
      <w:szCs w:val="28"/>
    </w:rPr>
  </w:style>
  <w:style w:type="paragraph" w:styleId="6">
    <w:name w:val="heading 6"/>
    <w:basedOn w:val="1"/>
    <w:next w:val="1"/>
    <w:qFormat/>
    <w:uiPriority w:val="0"/>
    <w:pPr>
      <w:keepNext/>
      <w:keepLines/>
      <w:spacing w:before="240" w:after="64" w:line="317" w:lineRule="auto"/>
      <w:outlineLvl w:val="5"/>
    </w:pPr>
    <w:rPr>
      <w:rFonts w:ascii="Arial" w:hAnsi="Arial" w:eastAsia="黑体"/>
      <w:b/>
      <w:sz w:val="24"/>
    </w:rPr>
  </w:style>
  <w:style w:type="character" w:default="1" w:styleId="26">
    <w:name w:val="Default Paragraph Font"/>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unhideWhenUsed/>
    <w:qFormat/>
    <w:uiPriority w:val="1"/>
    <w:pPr>
      <w:spacing w:line="300" w:lineRule="auto"/>
      <w:ind w:firstLine="420" w:firstLineChars="200"/>
    </w:pPr>
  </w:style>
  <w:style w:type="paragraph" w:styleId="8">
    <w:name w:val="annotation text"/>
    <w:basedOn w:val="1"/>
    <w:qFormat/>
    <w:uiPriority w:val="0"/>
    <w:pPr>
      <w:jc w:val="left"/>
    </w:pPr>
  </w:style>
  <w:style w:type="paragraph" w:styleId="9">
    <w:name w:val="Body Text"/>
    <w:basedOn w:val="1"/>
    <w:qFormat/>
    <w:uiPriority w:val="0"/>
    <w:pPr>
      <w:spacing w:after="120"/>
    </w:pPr>
  </w:style>
  <w:style w:type="paragraph" w:styleId="10">
    <w:name w:val="Body Text Indent"/>
    <w:basedOn w:val="1"/>
    <w:next w:val="11"/>
    <w:qFormat/>
    <w:uiPriority w:val="0"/>
    <w:pPr>
      <w:spacing w:before="100" w:beforeAutospacing="1" w:after="120"/>
      <w:ind w:left="200" w:leftChars="200"/>
    </w:pPr>
  </w:style>
  <w:style w:type="paragraph" w:styleId="11">
    <w:name w:val="envelope return"/>
    <w:basedOn w:val="1"/>
    <w:qFormat/>
    <w:uiPriority w:val="0"/>
    <w:pPr>
      <w:widowControl/>
      <w:adjustRightInd w:val="0"/>
      <w:snapToGrid w:val="0"/>
      <w:spacing w:after="200"/>
      <w:jc w:val="left"/>
    </w:pPr>
    <w:rPr>
      <w:rFonts w:ascii="Arial" w:hAnsi="Arial" w:eastAsia="微软雅黑"/>
      <w:kern w:val="0"/>
      <w:sz w:val="22"/>
    </w:rPr>
  </w:style>
  <w:style w:type="paragraph" w:styleId="12">
    <w:name w:val="Plain Text"/>
    <w:basedOn w:val="1"/>
    <w:qFormat/>
    <w:uiPriority w:val="99"/>
    <w:rPr>
      <w:rFonts w:ascii="宋体" w:hAnsi="Courier New" w:cs="Courier New"/>
      <w:szCs w:val="21"/>
    </w:rPr>
  </w:style>
  <w:style w:type="paragraph" w:styleId="13">
    <w:name w:val="Date"/>
    <w:basedOn w:val="1"/>
    <w:next w:val="1"/>
    <w:qFormat/>
    <w:uiPriority w:val="0"/>
    <w:rPr>
      <w:rFonts w:ascii="Copperplate Gothic Bold" w:hAnsi="Copperplate Gothic Bold"/>
      <w:sz w:val="32"/>
    </w:rPr>
  </w:style>
  <w:style w:type="paragraph" w:styleId="14">
    <w:name w:val="Body Text Indent 2"/>
    <w:basedOn w:val="1"/>
    <w:next w:val="1"/>
    <w:qFormat/>
    <w:uiPriority w:val="0"/>
    <w:pPr>
      <w:ind w:left="1260"/>
    </w:pPr>
    <w:rPr>
      <w:szCs w:val="24"/>
    </w:rPr>
  </w:style>
  <w:style w:type="paragraph" w:styleId="15">
    <w:name w:val="Balloon Text"/>
    <w:basedOn w:val="1"/>
    <w:link w:val="46"/>
    <w:qFormat/>
    <w:uiPriority w:val="0"/>
    <w:rPr>
      <w:sz w:val="18"/>
      <w:szCs w:val="18"/>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99"/>
    <w:pPr>
      <w:pBdr>
        <w:bottom w:val="single" w:color="auto" w:sz="6" w:space="1"/>
      </w:pBdr>
      <w:tabs>
        <w:tab w:val="center" w:pos="4153"/>
        <w:tab w:val="right" w:pos="8306"/>
      </w:tabs>
      <w:snapToGrid w:val="0"/>
    </w:pPr>
    <w:rPr>
      <w:rFonts w:ascii="宋体" w:hAnsi="宋体"/>
      <w:color w:val="595959"/>
      <w:szCs w:val="21"/>
    </w:rPr>
  </w:style>
  <w:style w:type="paragraph" w:styleId="18">
    <w:name w:val="toc 1"/>
    <w:basedOn w:val="1"/>
    <w:next w:val="1"/>
    <w:qFormat/>
    <w:uiPriority w:val="39"/>
    <w:pPr>
      <w:widowControl/>
      <w:spacing w:after="100" w:line="276" w:lineRule="auto"/>
      <w:jc w:val="left"/>
    </w:pPr>
    <w:rPr>
      <w:kern w:val="0"/>
      <w:sz w:val="22"/>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Body Text 2"/>
    <w:basedOn w:val="1"/>
    <w:qFormat/>
    <w:uiPriority w:val="0"/>
    <w:pPr>
      <w:spacing w:after="120" w:line="480" w:lineRule="auto"/>
    </w:pPr>
  </w:style>
  <w:style w:type="paragraph" w:styleId="21">
    <w:name w:val="Normal (Web)"/>
    <w:basedOn w:val="1"/>
    <w:semiHidden/>
    <w:qFormat/>
    <w:uiPriority w:val="99"/>
    <w:pPr>
      <w:spacing w:beforeAutospacing="1" w:afterAutospacing="1"/>
      <w:jc w:val="left"/>
    </w:pPr>
    <w:rPr>
      <w:rFonts w:ascii="宋体" w:hAnsi="宋体"/>
      <w:color w:val="000000"/>
      <w:kern w:val="0"/>
      <w:sz w:val="18"/>
      <w:szCs w:val="18"/>
    </w:rPr>
  </w:style>
  <w:style w:type="paragraph" w:styleId="22">
    <w:name w:val="Body Text First Indent"/>
    <w:basedOn w:val="9"/>
    <w:next w:val="23"/>
    <w:qFormat/>
    <w:uiPriority w:val="0"/>
    <w:pPr>
      <w:ind w:firstLine="420" w:firstLineChars="100"/>
    </w:pPr>
    <w:rPr>
      <w:rFonts w:eastAsia="仿宋_GB2312"/>
      <w:sz w:val="28"/>
    </w:rPr>
  </w:style>
  <w:style w:type="paragraph" w:styleId="23">
    <w:name w:val="Body Text First Indent 2"/>
    <w:basedOn w:val="10"/>
    <w:next w:val="1"/>
    <w:semiHidden/>
    <w:qFormat/>
    <w:uiPriority w:val="0"/>
    <w:pPr>
      <w:ind w:firstLine="420" w:firstLineChars="200"/>
    </w:pPr>
    <w:rPr>
      <w:rFonts w:eastAsia="宋?"/>
    </w:rPr>
  </w:style>
  <w:style w:type="table" w:styleId="25">
    <w:name w:val="Table Grid"/>
    <w:basedOn w:val="2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bCs/>
    </w:rPr>
  </w:style>
  <w:style w:type="character" w:styleId="28">
    <w:name w:val="page number"/>
    <w:basedOn w:val="26"/>
    <w:qFormat/>
    <w:uiPriority w:val="0"/>
  </w:style>
  <w:style w:type="character" w:styleId="29">
    <w:name w:val="FollowedHyperlink"/>
    <w:basedOn w:val="26"/>
    <w:qFormat/>
    <w:uiPriority w:val="0"/>
    <w:rPr>
      <w:color w:val="000000"/>
      <w:u w:val="none"/>
    </w:rPr>
  </w:style>
  <w:style w:type="character" w:styleId="30">
    <w:name w:val="Emphasis"/>
    <w:basedOn w:val="26"/>
    <w:qFormat/>
    <w:uiPriority w:val="0"/>
    <w:rPr>
      <w:b/>
      <w:bCs/>
    </w:rPr>
  </w:style>
  <w:style w:type="character" w:styleId="31">
    <w:name w:val="HTML Definition"/>
    <w:basedOn w:val="26"/>
    <w:qFormat/>
    <w:uiPriority w:val="0"/>
  </w:style>
  <w:style w:type="character" w:styleId="32">
    <w:name w:val="HTML Typewriter"/>
    <w:basedOn w:val="26"/>
    <w:qFormat/>
    <w:uiPriority w:val="0"/>
    <w:rPr>
      <w:rFonts w:hint="default" w:ascii="monospace" w:hAnsi="monospace" w:eastAsia="monospace" w:cs="monospace"/>
      <w:sz w:val="20"/>
    </w:rPr>
  </w:style>
  <w:style w:type="character" w:styleId="33">
    <w:name w:val="HTML Acronym"/>
    <w:basedOn w:val="26"/>
    <w:qFormat/>
    <w:uiPriority w:val="0"/>
  </w:style>
  <w:style w:type="character" w:styleId="34">
    <w:name w:val="HTML Variable"/>
    <w:basedOn w:val="26"/>
    <w:qFormat/>
    <w:uiPriority w:val="0"/>
  </w:style>
  <w:style w:type="character" w:styleId="35">
    <w:name w:val="Hyperlink"/>
    <w:basedOn w:val="26"/>
    <w:qFormat/>
    <w:uiPriority w:val="99"/>
    <w:rPr>
      <w:color w:val="0000FF"/>
      <w:u w:val="single"/>
    </w:rPr>
  </w:style>
  <w:style w:type="character" w:styleId="36">
    <w:name w:val="HTML Code"/>
    <w:basedOn w:val="26"/>
    <w:qFormat/>
    <w:uiPriority w:val="0"/>
    <w:rPr>
      <w:rFonts w:ascii="monospace" w:hAnsi="monospace" w:eastAsia="monospace" w:cs="monospace"/>
      <w:sz w:val="20"/>
      <w:shd w:val="clear" w:fill="FFFFFF"/>
    </w:rPr>
  </w:style>
  <w:style w:type="character" w:styleId="37">
    <w:name w:val="HTML Cite"/>
    <w:basedOn w:val="26"/>
    <w:qFormat/>
    <w:uiPriority w:val="0"/>
  </w:style>
  <w:style w:type="character" w:styleId="38">
    <w:name w:val="HTML Keyboard"/>
    <w:basedOn w:val="26"/>
    <w:qFormat/>
    <w:uiPriority w:val="0"/>
    <w:rPr>
      <w:rFonts w:hint="default" w:ascii="monospace" w:hAnsi="monospace" w:eastAsia="monospace" w:cs="monospace"/>
      <w:sz w:val="20"/>
    </w:rPr>
  </w:style>
  <w:style w:type="character" w:styleId="39">
    <w:name w:val="HTML Sample"/>
    <w:basedOn w:val="26"/>
    <w:uiPriority w:val="0"/>
    <w:rPr>
      <w:rFonts w:hint="default" w:ascii="monospace" w:hAnsi="monospace" w:eastAsia="monospace" w:cs="monospace"/>
    </w:rPr>
  </w:style>
  <w:style w:type="paragraph" w:customStyle="1" w:styleId="4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Char"/>
    <w:basedOn w:val="1"/>
    <w:next w:val="4"/>
    <w:qFormat/>
    <w:uiPriority w:val="0"/>
    <w:pPr>
      <w:widowControl/>
      <w:spacing w:after="160" w:afterLines="0" w:line="240" w:lineRule="exact"/>
      <w:jc w:val="left"/>
    </w:pPr>
    <w:rPr>
      <w:szCs w:val="20"/>
    </w:rPr>
  </w:style>
  <w:style w:type="paragraph" w:customStyle="1" w:styleId="42">
    <w:name w:val="默认段落字体 Para Char Char Char Char Char Char Char Char Char1 Char Char Char Char"/>
    <w:basedOn w:val="1"/>
    <w:qFormat/>
    <w:uiPriority w:val="0"/>
    <w:pPr>
      <w:adjustRightInd w:val="0"/>
      <w:spacing w:line="312" w:lineRule="atLeast"/>
    </w:pPr>
    <w:rPr>
      <w:szCs w:val="24"/>
    </w:rPr>
  </w:style>
  <w:style w:type="paragraph" w:customStyle="1" w:styleId="43">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4">
    <w:name w:val="p15"/>
    <w:basedOn w:val="1"/>
    <w:qFormat/>
    <w:uiPriority w:val="99"/>
    <w:pPr>
      <w:widowControl/>
    </w:pPr>
    <w:rPr>
      <w:rFonts w:ascii="Times New Roman" w:hAnsi="Times New Roman" w:cs="Times New Roman"/>
      <w:kern w:val="0"/>
      <w:szCs w:val="21"/>
    </w:rPr>
  </w:style>
  <w:style w:type="paragraph" w:styleId="45">
    <w:name w:val="List Paragraph"/>
    <w:basedOn w:val="1"/>
    <w:qFormat/>
    <w:uiPriority w:val="34"/>
    <w:pPr>
      <w:ind w:firstLine="420" w:firstLineChars="200"/>
    </w:pPr>
  </w:style>
  <w:style w:type="character" w:customStyle="1" w:styleId="46">
    <w:name w:val="批注框文本 Char"/>
    <w:basedOn w:val="26"/>
    <w:link w:val="15"/>
    <w:qFormat/>
    <w:uiPriority w:val="0"/>
    <w:rPr>
      <w:rFonts w:cs="宋体"/>
      <w:kern w:val="2"/>
      <w:sz w:val="18"/>
      <w:szCs w:val="18"/>
    </w:rPr>
  </w:style>
  <w:style w:type="character" w:customStyle="1" w:styleId="47">
    <w:name w:val="font11"/>
    <w:basedOn w:val="26"/>
    <w:qFormat/>
    <w:uiPriority w:val="0"/>
    <w:rPr>
      <w:rFonts w:hint="eastAsia" w:ascii="宋体" w:hAnsi="宋体" w:eastAsia="宋体" w:cs="宋体"/>
      <w:color w:val="000000"/>
      <w:sz w:val="28"/>
      <w:szCs w:val="28"/>
      <w:u w:val="none"/>
    </w:rPr>
  </w:style>
  <w:style w:type="character" w:customStyle="1" w:styleId="48">
    <w:name w:val="font01"/>
    <w:basedOn w:val="26"/>
    <w:qFormat/>
    <w:uiPriority w:val="0"/>
    <w:rPr>
      <w:rFonts w:ascii="宋体" w:hAnsi="宋体" w:eastAsia="宋体" w:cs="宋体"/>
      <w:color w:val="000000"/>
      <w:sz w:val="28"/>
      <w:szCs w:val="28"/>
      <w:u w:val="none"/>
    </w:rPr>
  </w:style>
  <w:style w:type="paragraph" w:customStyle="1" w:styleId="49">
    <w:name w:val="Table Paragraph"/>
    <w:basedOn w:val="1"/>
    <w:qFormat/>
    <w:uiPriority w:val="1"/>
    <w:rPr>
      <w:rFonts w:ascii="宋体" w:hAnsi="宋体"/>
      <w:lang w:val="zh-CN" w:bidi="zh-CN"/>
    </w:rPr>
  </w:style>
  <w:style w:type="paragraph" w:customStyle="1" w:styleId="50">
    <w:name w:val="title15"/>
    <w:basedOn w:val="1"/>
    <w:qFormat/>
    <w:uiPriority w:val="0"/>
    <w:pPr>
      <w:spacing w:before="150" w:beforeAutospacing="0" w:after="0" w:afterAutospacing="0"/>
      <w:ind w:left="0" w:right="0" w:firstLine="0"/>
      <w:jc w:val="left"/>
    </w:pPr>
    <w:rPr>
      <w:b/>
      <w:bCs/>
      <w:kern w:val="0"/>
      <w:sz w:val="22"/>
      <w:szCs w:val="22"/>
      <w:lang w:val="en-US" w:eastAsia="zh-CN" w:bidi="ar"/>
    </w:rPr>
  </w:style>
  <w:style w:type="paragraph" w:customStyle="1" w:styleId="51">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52">
    <w:name w:val="Plain Text1"/>
    <w:basedOn w:val="1"/>
    <w:qFormat/>
    <w:uiPriority w:val="99"/>
    <w:rPr>
      <w:rFonts w:ascii="宋体" w:hAnsi="Courier New"/>
    </w:rPr>
  </w:style>
  <w:style w:type="paragraph" w:customStyle="1" w:styleId="53">
    <w:name w:val="09正文_wh"/>
    <w:qFormat/>
    <w:uiPriority w:val="0"/>
    <w:pPr>
      <w:spacing w:line="300" w:lineRule="auto"/>
      <w:ind w:firstLine="200" w:firstLineChars="200"/>
      <w:jc w:val="both"/>
    </w:pPr>
    <w:rPr>
      <w:rFonts w:asciiTheme="minorHAnsi" w:hAnsiTheme="minorHAnsi" w:eastAsiaTheme="minorEastAsia" w:cstheme="minorBidi"/>
      <w:sz w:val="28"/>
      <w:szCs w:val="22"/>
      <w:lang w:val="en-US" w:eastAsia="zh-CN" w:bidi="ar-SA"/>
    </w:rPr>
  </w:style>
  <w:style w:type="paragraph" w:customStyle="1" w:styleId="54">
    <w:name w:val="正文缩进1"/>
    <w:basedOn w:val="1"/>
    <w:qFormat/>
    <w:uiPriority w:val="0"/>
    <w:pPr>
      <w:ind w:firstLine="420" w:firstLineChars="200"/>
    </w:pPr>
  </w:style>
  <w:style w:type="paragraph" w:customStyle="1" w:styleId="55">
    <w:name w:val="正文自定"/>
    <w:basedOn w:val="1"/>
    <w:qFormat/>
    <w:uiPriority w:val="0"/>
    <w:pPr>
      <w:tabs>
        <w:tab w:val="left" w:pos="7665"/>
      </w:tabs>
      <w:spacing w:line="360" w:lineRule="auto"/>
      <w:ind w:firstLine="480" w:firstLineChars="200"/>
    </w:pPr>
    <w:rPr>
      <w:rFonts w:ascii="宋体" w:hAnsi="宋体"/>
      <w:sz w:val="24"/>
    </w:rPr>
  </w:style>
  <w:style w:type="paragraph" w:customStyle="1" w:styleId="56">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7">
    <w:name w:val="font41"/>
    <w:basedOn w:val="26"/>
    <w:qFormat/>
    <w:uiPriority w:val="0"/>
    <w:rPr>
      <w:rFonts w:hint="default" w:ascii="Times New Roman" w:hAnsi="Times New Roman" w:cs="Times New Roman"/>
      <w:color w:val="000000"/>
      <w:sz w:val="21"/>
      <w:szCs w:val="21"/>
      <w:u w:val="none"/>
    </w:rPr>
  </w:style>
  <w:style w:type="character" w:customStyle="1" w:styleId="58">
    <w:name w:val="font91"/>
    <w:basedOn w:val="26"/>
    <w:qFormat/>
    <w:uiPriority w:val="0"/>
    <w:rPr>
      <w:rFonts w:ascii="宋体" w:hAnsi="宋体" w:eastAsia="宋体" w:cs="宋体"/>
      <w:color w:val="000000"/>
      <w:sz w:val="20"/>
      <w:szCs w:val="20"/>
      <w:u w:val="none"/>
    </w:rPr>
  </w:style>
  <w:style w:type="character" w:customStyle="1" w:styleId="59">
    <w:name w:val="font71"/>
    <w:basedOn w:val="26"/>
    <w:qFormat/>
    <w:uiPriority w:val="0"/>
    <w:rPr>
      <w:rFonts w:hint="eastAsia" w:ascii="宋体" w:hAnsi="宋体" w:eastAsia="宋体" w:cs="宋体"/>
      <w:color w:val="000000"/>
      <w:sz w:val="22"/>
      <w:szCs w:val="22"/>
      <w:u w:val="none"/>
    </w:rPr>
  </w:style>
  <w:style w:type="character" w:customStyle="1" w:styleId="60">
    <w:name w:val="font81"/>
    <w:basedOn w:val="26"/>
    <w:qFormat/>
    <w:uiPriority w:val="0"/>
    <w:rPr>
      <w:rFonts w:ascii="Arial" w:hAnsi="Arial" w:cs="Arial"/>
      <w:color w:val="000000"/>
      <w:sz w:val="22"/>
      <w:szCs w:val="22"/>
      <w:u w:val="none"/>
    </w:rPr>
  </w:style>
  <w:style w:type="character" w:customStyle="1" w:styleId="61">
    <w:name w:val="font31"/>
    <w:basedOn w:val="26"/>
    <w:qFormat/>
    <w:uiPriority w:val="0"/>
    <w:rPr>
      <w:rFonts w:hint="eastAsia" w:ascii="宋体" w:hAnsi="宋体" w:eastAsia="宋体" w:cs="宋体"/>
      <w:color w:val="000000"/>
      <w:sz w:val="22"/>
      <w:szCs w:val="22"/>
      <w:u w:val="none"/>
    </w:rPr>
  </w:style>
  <w:style w:type="character" w:customStyle="1" w:styleId="62">
    <w:name w:val="font21"/>
    <w:basedOn w:val="26"/>
    <w:qFormat/>
    <w:uiPriority w:val="0"/>
    <w:rPr>
      <w:rFonts w:hint="eastAsia" w:ascii="宋体" w:hAnsi="宋体" w:eastAsia="宋体" w:cs="宋体"/>
      <w:color w:val="000000"/>
      <w:sz w:val="21"/>
      <w:szCs w:val="21"/>
      <w:u w:val="none"/>
    </w:rPr>
  </w:style>
  <w:style w:type="paragraph" w:customStyle="1" w:styleId="63">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64">
    <w:name w:val="BodyText"/>
    <w:basedOn w:val="1"/>
    <w:next w:val="1"/>
    <w:qFormat/>
    <w:uiPriority w:val="0"/>
    <w:pPr>
      <w:spacing w:after="120"/>
      <w:jc w:val="both"/>
      <w:textAlignment w:val="baseline"/>
    </w:pPr>
    <w:rPr>
      <w:kern w:val="2"/>
      <w:sz w:val="21"/>
      <w:szCs w:val="24"/>
      <w:lang w:val="en-US" w:eastAsia="zh-CN" w:bidi="ar-SA"/>
    </w:rPr>
  </w:style>
  <w:style w:type="table" w:customStyle="1" w:styleId="65">
    <w:name w:val="Table Normal"/>
    <w:semiHidden/>
    <w:unhideWhenUsed/>
    <w:qFormat/>
    <w:uiPriority w:val="0"/>
    <w:tblPr>
      <w:tblCellMar>
        <w:top w:w="0" w:type="dxa"/>
        <w:left w:w="0" w:type="dxa"/>
        <w:bottom w:w="0" w:type="dxa"/>
        <w:right w:w="0" w:type="dxa"/>
      </w:tblCellMar>
    </w:tblPr>
  </w:style>
  <w:style w:type="paragraph" w:customStyle="1" w:styleId="66">
    <w:name w:val="Body 1"/>
    <w:qFormat/>
    <w:uiPriority w:val="0"/>
    <w:pPr>
      <w:outlineLvl w:val="0"/>
    </w:pPr>
    <w:rPr>
      <w:rFonts w:ascii="Helvetica" w:hAnsi="Helvetica" w:eastAsia="Arial Unicode MS" w:cs="Times New Roman"/>
      <w:b/>
      <w:color w:val="000000"/>
      <w:u w:val="none" w:color="000000"/>
      <w:lang w:val="en-US" w:eastAsia="zh-CN" w:bidi="ar-SA"/>
    </w:rPr>
  </w:style>
  <w:style w:type="paragraph" w:customStyle="1" w:styleId="67">
    <w:name w:val="表格"/>
    <w:basedOn w:val="1"/>
    <w:qFormat/>
    <w:uiPriority w:val="0"/>
    <w:pPr>
      <w:spacing w:line="400" w:lineRule="exact"/>
    </w:pPr>
    <w:rPr>
      <w:sz w:val="24"/>
      <w:szCs w:val="24"/>
    </w:rPr>
  </w:style>
  <w:style w:type="character" w:customStyle="1" w:styleId="68">
    <w:name w:val="tabg"/>
    <w:basedOn w:val="26"/>
    <w:qFormat/>
    <w:uiPriority w:val="0"/>
    <w:rPr>
      <w:color w:val="FFFFFF"/>
      <w:sz w:val="27"/>
      <w:szCs w:val="27"/>
    </w:rPr>
  </w:style>
  <w:style w:type="character" w:customStyle="1" w:styleId="69">
    <w:name w:val="hover14"/>
    <w:basedOn w:val="26"/>
    <w:qFormat/>
    <w:uiPriority w:val="0"/>
    <w:rPr>
      <w:color w:val="025291"/>
    </w:rPr>
  </w:style>
  <w:style w:type="character" w:customStyle="1" w:styleId="70">
    <w:name w:val="font"/>
    <w:basedOn w:val="26"/>
    <w:qFormat/>
    <w:uiPriority w:val="0"/>
  </w:style>
  <w:style w:type="character" w:customStyle="1" w:styleId="71">
    <w:name w:val="font1"/>
    <w:basedOn w:val="26"/>
    <w:qFormat/>
    <w:uiPriority w:val="0"/>
  </w:style>
  <w:style w:type="character" w:customStyle="1" w:styleId="72">
    <w:name w:val="font_gjgzk"/>
    <w:basedOn w:val="26"/>
    <w:qFormat/>
    <w:uiPriority w:val="0"/>
  </w:style>
  <w:style w:type="character" w:customStyle="1" w:styleId="73">
    <w:name w:val="on4"/>
    <w:basedOn w:val="26"/>
    <w:qFormat/>
    <w:uiPriority w:val="0"/>
    <w:rPr>
      <w:color w:val="FFFFFF"/>
      <w:shd w:val="clear" w:fill="0B67A6"/>
    </w:rPr>
  </w:style>
  <w:style w:type="character" w:customStyle="1" w:styleId="74">
    <w:name w:val="on5"/>
    <w:basedOn w:val="26"/>
    <w:qFormat/>
    <w:uiPriority w:val="0"/>
    <w:rPr>
      <w:b/>
      <w:bCs/>
      <w:color w:val="015293"/>
    </w:rPr>
  </w:style>
  <w:style w:type="character" w:customStyle="1" w:styleId="75">
    <w:name w:val="active&gt;i"/>
    <w:basedOn w:val="26"/>
    <w:qFormat/>
    <w:uiPriority w:val="0"/>
  </w:style>
  <w:style w:type="character" w:customStyle="1" w:styleId="76">
    <w:name w:val="place"/>
    <w:basedOn w:val="26"/>
    <w:qFormat/>
    <w:uiPriority w:val="0"/>
    <w:rPr>
      <w:rFonts w:ascii="微软雅黑" w:hAnsi="微软雅黑" w:eastAsia="微软雅黑" w:cs="微软雅黑"/>
      <w:color w:val="888888"/>
      <w:sz w:val="25"/>
      <w:szCs w:val="25"/>
    </w:rPr>
  </w:style>
  <w:style w:type="character" w:customStyle="1" w:styleId="77">
    <w:name w:val="place1"/>
    <w:basedOn w:val="26"/>
    <w:qFormat/>
    <w:uiPriority w:val="0"/>
  </w:style>
  <w:style w:type="character" w:customStyle="1" w:styleId="78">
    <w:name w:val="place2"/>
    <w:basedOn w:val="26"/>
    <w:qFormat/>
    <w:uiPriority w:val="0"/>
  </w:style>
  <w:style w:type="character" w:customStyle="1" w:styleId="79">
    <w:name w:val="place3"/>
    <w:basedOn w:val="26"/>
    <w:qFormat/>
    <w:uiPriority w:val="0"/>
  </w:style>
  <w:style w:type="character" w:customStyle="1" w:styleId="80">
    <w:name w:val="bg02"/>
    <w:basedOn w:val="26"/>
    <w:qFormat/>
    <w:uiPriority w:val="0"/>
  </w:style>
  <w:style w:type="character" w:customStyle="1" w:styleId="81">
    <w:name w:val="bg01"/>
    <w:basedOn w:val="26"/>
    <w:qFormat/>
    <w:uiPriority w:val="0"/>
  </w:style>
  <w:style w:type="character" w:customStyle="1" w:styleId="82">
    <w:name w:val="font-zyygwj"/>
    <w:basedOn w:val="26"/>
    <w:qFormat/>
    <w:uiPriority w:val="0"/>
  </w:style>
  <w:style w:type="character" w:customStyle="1" w:styleId="83">
    <w:name w:val="font-zyygwj1"/>
    <w:basedOn w:val="26"/>
    <w:qFormat/>
    <w:uiPriority w:val="0"/>
  </w:style>
  <w:style w:type="character" w:customStyle="1" w:styleId="84">
    <w:name w:val="noline"/>
    <w:basedOn w:val="26"/>
    <w:qFormat/>
    <w:uiPriority w:val="0"/>
  </w:style>
  <w:style w:type="character" w:customStyle="1" w:styleId="85">
    <w:name w:val="laypage_curr"/>
    <w:basedOn w:val="26"/>
    <w:qFormat/>
    <w:uiPriority w:val="0"/>
    <w:rPr>
      <w:color w:val="FFFDF4"/>
      <w:sz w:val="42"/>
      <w:szCs w:val="42"/>
      <w:shd w:val="clear" w:fill="0B67A6"/>
    </w:rPr>
  </w:style>
  <w:style w:type="character" w:customStyle="1" w:styleId="86">
    <w:name w:val="on"/>
    <w:basedOn w:val="26"/>
    <w:qFormat/>
    <w:uiPriority w:val="0"/>
    <w:rPr>
      <w:b/>
      <w:bCs/>
      <w:color w:val="015293"/>
    </w:rPr>
  </w:style>
  <w:style w:type="character" w:customStyle="1" w:styleId="87">
    <w:name w:val="on1"/>
    <w:basedOn w:val="26"/>
    <w:qFormat/>
    <w:uiPriority w:val="0"/>
    <w:rPr>
      <w:color w:val="FFFFFF"/>
      <w:shd w:val="clear" w:fill="0B67A6"/>
    </w:rPr>
  </w:style>
  <w:style w:type="character" w:customStyle="1" w:styleId="88">
    <w:name w:val="hover15"/>
    <w:basedOn w:val="26"/>
    <w:qFormat/>
    <w:uiPriority w:val="0"/>
    <w:rPr>
      <w:color w:val="025291"/>
    </w:rPr>
  </w:style>
  <w:style w:type="character" w:customStyle="1" w:styleId="89">
    <w:name w:val="font51"/>
    <w:basedOn w:val="26"/>
    <w:qFormat/>
    <w:uiPriority w:val="0"/>
    <w:rPr>
      <w:rFonts w:hint="default"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81</Pages>
  <Words>13038</Words>
  <Characters>13897</Characters>
  <Lines>224</Lines>
  <Paragraphs>63</Paragraphs>
  <TotalTime>14</TotalTime>
  <ScaleCrop>false</ScaleCrop>
  <LinksUpToDate>false</LinksUpToDate>
  <CharactersWithSpaces>13981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2020-07-10T02:16:00Z</dcterms:created>
  <dc:creator>Administrator</dc:creator>
  <cp:lastModifiedBy>时光</cp:lastModifiedBy>
  <cp:lastPrinted>2024-11-13T03:09:00Z</cp:lastPrinted>
  <dcterms:modified xsi:type="dcterms:W3CDTF">2024-12-05T12:05:26Z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D64742CA82DD4FDE8DE200E4DC1E8C50_13</vt:lpwstr>
  </property>
</Properties>
</file>