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A327">
      <w:pPr>
        <w:pStyle w:val="6"/>
        <w:spacing w:line="360" w:lineRule="auto"/>
        <w:rPr>
          <w:rFonts w:hint="eastAsia" w:ascii="宋体" w:hAnsi="宋体" w:eastAsia="宋体" w:cs="宋体"/>
          <w:b/>
          <w:bCs/>
          <w:sz w:val="40"/>
          <w:szCs w:val="48"/>
        </w:rPr>
      </w:pPr>
    </w:p>
    <w:p w14:paraId="5042B4A3">
      <w:pPr>
        <w:snapToGrid w:val="0"/>
        <w:ind w:firstLine="522" w:firstLineChars="100"/>
        <w:jc w:val="center"/>
        <w:rPr>
          <w:rFonts w:hint="eastAsia" w:ascii="宋体" w:hAnsi="宋体" w:eastAsia="宋体" w:cs="宋体"/>
          <w:bCs/>
          <w:sz w:val="60"/>
          <w:szCs w:val="44"/>
        </w:rPr>
      </w:pPr>
      <w:r>
        <w:rPr>
          <w:rFonts w:hint="eastAsia" w:ascii="宋体" w:hAnsi="宋体" w:eastAsia="宋体" w:cs="宋体"/>
          <w:b/>
          <w:bCs/>
          <w:sz w:val="52"/>
          <w:szCs w:val="52"/>
          <w:lang w:eastAsia="zh-CN"/>
        </w:rPr>
        <w:t>黄陵县人民检察院</w:t>
      </w:r>
      <w:r>
        <w:rPr>
          <w:rFonts w:hint="eastAsia" w:ascii="宋体" w:hAnsi="宋体" w:eastAsia="宋体" w:cs="宋体"/>
          <w:b/>
          <w:bCs/>
          <w:sz w:val="52"/>
          <w:szCs w:val="52"/>
          <w:lang w:val="en-US" w:eastAsia="zh-CN"/>
        </w:rPr>
        <w:t>安防设备升级改造及业务通报显示屏更换</w:t>
      </w:r>
      <w:r>
        <w:rPr>
          <w:rFonts w:hint="eastAsia" w:ascii="宋体" w:hAnsi="宋体" w:eastAsia="宋体" w:cs="宋体"/>
          <w:b/>
          <w:bCs/>
          <w:sz w:val="52"/>
          <w:szCs w:val="52"/>
          <w:lang w:eastAsia="zh-CN"/>
        </w:rPr>
        <w:t>采购项目</w:t>
      </w:r>
    </w:p>
    <w:p w14:paraId="44962BA6">
      <w:pPr>
        <w:snapToGrid w:val="0"/>
        <w:jc w:val="center"/>
        <w:rPr>
          <w:rFonts w:hint="eastAsia" w:ascii="宋体" w:hAnsi="宋体" w:eastAsia="宋体" w:cs="宋体"/>
          <w:bCs/>
          <w:sz w:val="72"/>
          <w:szCs w:val="48"/>
        </w:rPr>
      </w:pPr>
    </w:p>
    <w:p w14:paraId="55984152">
      <w:pPr>
        <w:pStyle w:val="10"/>
        <w:rPr>
          <w:rFonts w:hint="eastAsia" w:ascii="宋体" w:hAnsi="宋体" w:eastAsia="宋体" w:cs="宋体"/>
          <w:bCs/>
          <w:sz w:val="72"/>
          <w:szCs w:val="48"/>
        </w:rPr>
      </w:pPr>
    </w:p>
    <w:p w14:paraId="4D0EC2A7">
      <w:pPr>
        <w:pStyle w:val="10"/>
        <w:rPr>
          <w:rFonts w:hint="eastAsia" w:ascii="宋体" w:hAnsi="宋体" w:eastAsia="宋体" w:cs="宋体"/>
          <w:bCs/>
          <w:sz w:val="72"/>
          <w:szCs w:val="48"/>
        </w:rPr>
      </w:pPr>
    </w:p>
    <w:p w14:paraId="4A4E4EAB">
      <w:pPr>
        <w:snapToGrid w:val="0"/>
        <w:jc w:val="center"/>
        <w:rPr>
          <w:rFonts w:hint="eastAsia" w:ascii="宋体" w:hAnsi="宋体" w:eastAsia="宋体" w:cs="宋体"/>
          <w:b/>
          <w:bCs w:val="0"/>
          <w:sz w:val="72"/>
          <w:szCs w:val="48"/>
        </w:rPr>
      </w:pPr>
      <w:r>
        <w:rPr>
          <w:rFonts w:hint="eastAsia" w:ascii="宋体" w:hAnsi="宋体" w:eastAsia="宋体" w:cs="宋体"/>
          <w:b/>
          <w:bCs w:val="0"/>
          <w:sz w:val="52"/>
          <w:szCs w:val="52"/>
        </w:rPr>
        <w:t>竞争性谈判文件</w:t>
      </w:r>
    </w:p>
    <w:p w14:paraId="757943B0">
      <w:pPr>
        <w:pStyle w:val="9"/>
        <w:spacing w:line="240" w:lineRule="auto"/>
        <w:jc w:val="center"/>
        <w:rPr>
          <w:rFonts w:hint="eastAsia" w:ascii="宋体" w:hAnsi="宋体" w:eastAsia="宋体" w:cs="宋体"/>
          <w:b/>
          <w:bCs w:val="0"/>
          <w:kern w:val="0"/>
          <w:sz w:val="32"/>
          <w:szCs w:val="32"/>
          <w:highlight w:val="none"/>
        </w:rPr>
      </w:pPr>
    </w:p>
    <w:p w14:paraId="392CD355">
      <w:pPr>
        <w:pStyle w:val="9"/>
        <w:spacing w:line="240" w:lineRule="auto"/>
        <w:ind w:left="0" w:leftChars="0" w:firstLine="0" w:firstLineChars="0"/>
        <w:jc w:val="center"/>
        <w:rPr>
          <w:rFonts w:hint="eastAsia" w:ascii="宋体" w:hAnsi="宋体" w:eastAsia="宋体" w:cs="宋体"/>
          <w:b/>
          <w:bCs/>
          <w:kern w:val="0"/>
          <w:sz w:val="32"/>
          <w:szCs w:val="32"/>
          <w:lang w:eastAsia="zh-CN"/>
        </w:rPr>
      </w:pPr>
      <w:r>
        <w:rPr>
          <w:rFonts w:hint="eastAsia" w:ascii="宋体" w:hAnsi="宋体" w:eastAsia="宋体" w:cs="宋体"/>
          <w:b/>
          <w:bCs w:val="0"/>
          <w:kern w:val="0"/>
          <w:sz w:val="32"/>
          <w:szCs w:val="32"/>
          <w:highlight w:val="none"/>
        </w:rPr>
        <w:t>项目编号：HLZC-TP-2024-1</w:t>
      </w:r>
      <w:r>
        <w:rPr>
          <w:rFonts w:hint="eastAsia" w:ascii="宋体" w:hAnsi="宋体" w:eastAsia="宋体" w:cs="宋体"/>
          <w:b/>
          <w:bCs w:val="0"/>
          <w:kern w:val="0"/>
          <w:sz w:val="32"/>
          <w:szCs w:val="32"/>
          <w:highlight w:val="none"/>
          <w:lang w:val="en-US" w:eastAsia="zh-CN"/>
        </w:rPr>
        <w:t>4</w:t>
      </w:r>
    </w:p>
    <w:p w14:paraId="07B43C39">
      <w:pPr>
        <w:pStyle w:val="9"/>
        <w:rPr>
          <w:rFonts w:hint="eastAsia" w:ascii="宋体" w:hAnsi="宋体" w:eastAsia="宋体" w:cs="宋体"/>
        </w:rPr>
      </w:pPr>
    </w:p>
    <w:p w14:paraId="2877101B">
      <w:pPr>
        <w:pStyle w:val="9"/>
        <w:ind w:left="0" w:leftChars="0"/>
        <w:rPr>
          <w:rFonts w:hint="eastAsia" w:ascii="宋体" w:hAnsi="宋体" w:eastAsia="宋体" w:cs="宋体"/>
        </w:rPr>
      </w:pPr>
    </w:p>
    <w:p w14:paraId="7AB19487">
      <w:pPr>
        <w:snapToGrid w:val="0"/>
        <w:spacing w:line="500" w:lineRule="exact"/>
        <w:rPr>
          <w:rFonts w:hint="eastAsia" w:ascii="宋体" w:hAnsi="宋体" w:eastAsia="宋体" w:cs="宋体"/>
          <w:b/>
          <w:sz w:val="30"/>
        </w:rPr>
      </w:pPr>
    </w:p>
    <w:p w14:paraId="099BEC24">
      <w:pPr>
        <w:snapToGrid w:val="0"/>
        <w:spacing w:line="480" w:lineRule="auto"/>
        <w:rPr>
          <w:rFonts w:hint="eastAsia" w:ascii="宋体" w:hAnsi="宋体" w:eastAsia="宋体" w:cs="宋体"/>
          <w:b/>
          <w:bCs/>
          <w:sz w:val="36"/>
          <w:szCs w:val="44"/>
        </w:rPr>
      </w:pPr>
    </w:p>
    <w:p w14:paraId="3DBEE68A">
      <w:pPr>
        <w:pStyle w:val="22"/>
        <w:rPr>
          <w:rFonts w:hint="eastAsia" w:ascii="宋体" w:hAnsi="宋体" w:eastAsia="宋体" w:cs="宋体"/>
        </w:rPr>
      </w:pPr>
    </w:p>
    <w:p w14:paraId="5F9EFE38">
      <w:pPr>
        <w:snapToGrid w:val="0"/>
        <w:spacing w:line="480" w:lineRule="auto"/>
        <w:ind w:leftChars="800"/>
        <w:rPr>
          <w:rFonts w:hint="eastAsia" w:ascii="宋体" w:hAnsi="宋体" w:eastAsia="宋体" w:cs="宋体"/>
          <w:b/>
          <w:bCs/>
          <w:sz w:val="36"/>
          <w:szCs w:val="44"/>
        </w:rPr>
      </w:pPr>
      <w:r>
        <w:rPr>
          <w:rFonts w:hint="eastAsia" w:ascii="宋体" w:hAnsi="宋体" w:eastAsia="宋体" w:cs="宋体"/>
          <w:b/>
          <w:bCs/>
          <w:sz w:val="36"/>
          <w:szCs w:val="44"/>
        </w:rPr>
        <w:t>采</w:t>
      </w:r>
      <w:r>
        <w:rPr>
          <w:rFonts w:hint="eastAsia" w:ascii="宋体" w:hAnsi="宋体" w:eastAsia="宋体" w:cs="宋体"/>
          <w:b/>
          <w:bCs/>
          <w:sz w:val="36"/>
          <w:szCs w:val="44"/>
          <w:lang w:val="en-US" w:eastAsia="zh-CN"/>
        </w:rPr>
        <w:t xml:space="preserve">   </w:t>
      </w:r>
      <w:r>
        <w:rPr>
          <w:rFonts w:hint="eastAsia" w:ascii="宋体" w:hAnsi="宋体" w:eastAsia="宋体" w:cs="宋体"/>
          <w:b/>
          <w:bCs/>
          <w:sz w:val="36"/>
          <w:szCs w:val="44"/>
        </w:rPr>
        <w:t>购</w:t>
      </w:r>
      <w:r>
        <w:rPr>
          <w:rFonts w:hint="eastAsia" w:ascii="宋体" w:hAnsi="宋体" w:eastAsia="宋体" w:cs="宋体"/>
          <w:b/>
          <w:bCs/>
          <w:sz w:val="36"/>
          <w:szCs w:val="44"/>
          <w:lang w:val="en-US" w:eastAsia="zh-CN"/>
        </w:rPr>
        <w:t xml:space="preserve">   </w:t>
      </w:r>
      <w:r>
        <w:rPr>
          <w:rFonts w:hint="eastAsia" w:ascii="宋体" w:hAnsi="宋体" w:eastAsia="宋体" w:cs="宋体"/>
          <w:b/>
          <w:bCs/>
          <w:sz w:val="36"/>
          <w:szCs w:val="44"/>
        </w:rPr>
        <w:t>人：黄陵县人民检察院</w:t>
      </w:r>
    </w:p>
    <w:p w14:paraId="718B8C1F">
      <w:pPr>
        <w:snapToGrid w:val="0"/>
        <w:spacing w:line="480" w:lineRule="auto"/>
        <w:ind w:leftChars="800"/>
        <w:rPr>
          <w:rFonts w:hint="eastAsia" w:ascii="宋体" w:hAnsi="宋体" w:eastAsia="宋体" w:cs="宋体"/>
          <w:b/>
          <w:sz w:val="32"/>
          <w:szCs w:val="32"/>
        </w:rPr>
      </w:pPr>
      <w:r>
        <w:rPr>
          <w:rFonts w:hint="eastAsia" w:ascii="宋体" w:hAnsi="宋体" w:eastAsia="宋体" w:cs="宋体"/>
          <w:b/>
          <w:bCs/>
          <w:sz w:val="36"/>
          <w:szCs w:val="44"/>
        </w:rPr>
        <w:t>采购代理机构：黄陵县政府采</w:t>
      </w:r>
      <w:bookmarkStart w:id="21" w:name="_GoBack"/>
      <w:bookmarkEnd w:id="21"/>
      <w:r>
        <w:rPr>
          <w:rFonts w:hint="eastAsia" w:ascii="宋体" w:hAnsi="宋体" w:eastAsia="宋体" w:cs="宋体"/>
          <w:b/>
          <w:bCs/>
          <w:sz w:val="36"/>
          <w:szCs w:val="44"/>
        </w:rPr>
        <w:t>购中心</w:t>
      </w:r>
    </w:p>
    <w:p w14:paraId="118B830A">
      <w:pPr>
        <w:rPr>
          <w:rFonts w:hint="eastAsia" w:ascii="宋体" w:hAnsi="宋体" w:eastAsia="宋体" w:cs="宋体"/>
        </w:rPr>
      </w:pPr>
    </w:p>
    <w:p w14:paraId="302EE130">
      <w:pPr>
        <w:snapToGrid w:val="0"/>
        <w:spacing w:line="500" w:lineRule="exact"/>
        <w:jc w:val="center"/>
        <w:rPr>
          <w:rFonts w:hint="eastAsia" w:ascii="宋体" w:hAnsi="宋体" w:eastAsia="宋体" w:cs="宋体"/>
          <w:b/>
          <w:sz w:val="32"/>
          <w:szCs w:val="32"/>
        </w:rPr>
      </w:pPr>
      <w:r>
        <w:rPr>
          <w:rFonts w:hint="eastAsia" w:ascii="宋体" w:hAnsi="宋体" w:eastAsia="宋体" w:cs="宋体"/>
          <w:b/>
          <w:sz w:val="36"/>
          <w:szCs w:val="36"/>
        </w:rPr>
        <w:t>二〇二四年八月</w:t>
      </w:r>
    </w:p>
    <w:p w14:paraId="0874DA5A">
      <w:pPr>
        <w:pStyle w:val="2"/>
        <w:snapToGrid w:val="0"/>
        <w:spacing w:line="500" w:lineRule="exact"/>
        <w:rPr>
          <w:rFonts w:hint="eastAsia" w:ascii="宋体" w:hAnsi="宋体" w:eastAsia="宋体" w:cs="宋体"/>
          <w:sz w:val="32"/>
          <w:szCs w:val="32"/>
        </w:rPr>
        <w:sectPr>
          <w:footerReference r:id="rId5" w:type="first"/>
          <w:headerReference r:id="rId3" w:type="default"/>
          <w:footerReference r:id="rId4" w:type="even"/>
          <w:pgSz w:w="11906" w:h="16838"/>
          <w:pgMar w:top="-1712" w:right="1417" w:bottom="1712" w:left="1587" w:header="992" w:footer="850" w:gutter="0"/>
          <w:pgNumType w:start="0"/>
          <w:cols w:space="720" w:num="1"/>
          <w:docGrid w:linePitch="326" w:charSpace="0"/>
        </w:sectPr>
      </w:pPr>
    </w:p>
    <w:p w14:paraId="39634F2F">
      <w:pPr>
        <w:rPr>
          <w:rFonts w:hint="eastAsia" w:ascii="宋体" w:hAnsi="宋体" w:eastAsia="宋体" w:cs="宋体"/>
        </w:rPr>
      </w:pPr>
    </w:p>
    <w:p w14:paraId="31E18C9A">
      <w:pPr>
        <w:pStyle w:val="2"/>
        <w:snapToGrid w:val="0"/>
        <w:spacing w:line="500" w:lineRule="exact"/>
        <w:rPr>
          <w:rFonts w:hint="eastAsia" w:ascii="宋体" w:hAnsi="宋体" w:eastAsia="宋体" w:cs="宋体"/>
          <w:sz w:val="44"/>
        </w:rPr>
      </w:pPr>
      <w:r>
        <w:rPr>
          <w:rFonts w:hint="eastAsia" w:ascii="宋体" w:hAnsi="宋体" w:eastAsia="宋体" w:cs="宋体"/>
          <w:sz w:val="44"/>
        </w:rPr>
        <w:t>目  录</w:t>
      </w:r>
    </w:p>
    <w:p w14:paraId="34DBB135">
      <w:pPr>
        <w:snapToGrid w:val="0"/>
        <w:spacing w:line="500" w:lineRule="exact"/>
        <w:ind w:firstLine="420"/>
        <w:rPr>
          <w:rFonts w:hint="eastAsia" w:ascii="宋体" w:hAnsi="宋体" w:eastAsia="宋体" w:cs="宋体"/>
        </w:rPr>
      </w:pPr>
    </w:p>
    <w:p w14:paraId="6B2A201C">
      <w:pPr>
        <w:snapToGrid w:val="0"/>
        <w:spacing w:line="720" w:lineRule="auto"/>
        <w:jc w:val="left"/>
        <w:rPr>
          <w:rFonts w:hint="eastAsia" w:ascii="宋体" w:hAnsi="宋体" w:eastAsia="宋体" w:cs="宋体"/>
          <w:b/>
          <w:sz w:val="32"/>
          <w:szCs w:val="32"/>
        </w:rPr>
      </w:pPr>
      <w:r>
        <w:rPr>
          <w:rFonts w:hint="eastAsia" w:ascii="宋体" w:hAnsi="宋体" w:eastAsia="宋体" w:cs="宋体"/>
          <w:b/>
          <w:sz w:val="30"/>
          <w:szCs w:val="30"/>
        </w:rPr>
        <w:t>第一部分  谈判</w:t>
      </w:r>
      <w:r>
        <w:rPr>
          <w:rFonts w:hint="eastAsia" w:ascii="宋体" w:hAnsi="宋体" w:eastAsia="宋体" w:cs="宋体"/>
          <w:b/>
          <w:sz w:val="32"/>
          <w:szCs w:val="32"/>
        </w:rPr>
        <w:t>公告</w:t>
      </w:r>
    </w:p>
    <w:p w14:paraId="4A1EB48D">
      <w:pPr>
        <w:snapToGrid w:val="0"/>
        <w:spacing w:line="720" w:lineRule="auto"/>
        <w:jc w:val="left"/>
        <w:rPr>
          <w:rFonts w:hint="eastAsia" w:ascii="宋体" w:hAnsi="宋体" w:eastAsia="宋体" w:cs="宋体"/>
          <w:b/>
          <w:color w:val="FF0000"/>
          <w:sz w:val="30"/>
          <w:szCs w:val="30"/>
        </w:rPr>
      </w:pPr>
      <w:r>
        <w:rPr>
          <w:rFonts w:hint="eastAsia" w:ascii="宋体" w:hAnsi="宋体" w:eastAsia="宋体" w:cs="宋体"/>
          <w:b/>
          <w:sz w:val="30"/>
          <w:szCs w:val="30"/>
        </w:rPr>
        <w:t>第二部分  谈判供应商须知</w:t>
      </w:r>
    </w:p>
    <w:p w14:paraId="17017219">
      <w:pPr>
        <w:snapToGrid w:val="0"/>
        <w:spacing w:line="720" w:lineRule="auto"/>
        <w:jc w:val="left"/>
        <w:rPr>
          <w:rFonts w:hint="eastAsia" w:ascii="宋体" w:hAnsi="宋体" w:eastAsia="宋体" w:cs="宋体"/>
          <w:b/>
          <w:color w:val="FF0000"/>
          <w:sz w:val="30"/>
          <w:szCs w:val="30"/>
        </w:rPr>
      </w:pPr>
      <w:r>
        <w:rPr>
          <w:rFonts w:hint="eastAsia" w:ascii="宋体" w:hAnsi="宋体" w:eastAsia="宋体" w:cs="宋体"/>
          <w:b/>
          <w:sz w:val="30"/>
          <w:szCs w:val="30"/>
        </w:rPr>
        <w:t>第三部分  谈判内容及要求</w:t>
      </w:r>
    </w:p>
    <w:p w14:paraId="2D82D9A3">
      <w:pPr>
        <w:snapToGrid w:val="0"/>
        <w:spacing w:line="720" w:lineRule="auto"/>
        <w:jc w:val="left"/>
        <w:rPr>
          <w:rFonts w:hint="eastAsia" w:ascii="宋体" w:hAnsi="宋体" w:eastAsia="宋体" w:cs="宋体"/>
          <w:b/>
          <w:sz w:val="30"/>
          <w:szCs w:val="30"/>
        </w:rPr>
      </w:pPr>
      <w:r>
        <w:rPr>
          <w:rFonts w:hint="eastAsia" w:ascii="宋体" w:hAnsi="宋体" w:eastAsia="宋体" w:cs="宋体"/>
          <w:b/>
          <w:sz w:val="30"/>
          <w:szCs w:val="30"/>
        </w:rPr>
        <w:t>第四部分  商务及合同主要条款</w:t>
      </w:r>
    </w:p>
    <w:p w14:paraId="0FE410AB">
      <w:pPr>
        <w:snapToGrid w:val="0"/>
        <w:spacing w:line="720" w:lineRule="auto"/>
        <w:jc w:val="left"/>
        <w:rPr>
          <w:rFonts w:hint="eastAsia" w:ascii="宋体" w:hAnsi="宋体" w:eastAsia="宋体" w:cs="宋体"/>
          <w:b/>
          <w:sz w:val="30"/>
          <w:szCs w:val="30"/>
        </w:rPr>
      </w:pPr>
      <w:r>
        <w:rPr>
          <w:rFonts w:hint="eastAsia" w:ascii="宋体" w:hAnsi="宋体" w:eastAsia="宋体" w:cs="宋体"/>
          <w:b/>
          <w:sz w:val="30"/>
          <w:szCs w:val="30"/>
        </w:rPr>
        <w:t>第五部分  谈判响应文件格式</w:t>
      </w:r>
    </w:p>
    <w:p w14:paraId="3B602A6A">
      <w:pPr>
        <w:snapToGrid w:val="0"/>
        <w:spacing w:line="720" w:lineRule="auto"/>
        <w:ind w:firstLine="602" w:firstLineChars="200"/>
        <w:rPr>
          <w:rFonts w:hint="eastAsia" w:ascii="宋体" w:hAnsi="宋体" w:eastAsia="宋体" w:cs="宋体"/>
          <w:b/>
          <w:sz w:val="30"/>
          <w:szCs w:val="30"/>
        </w:rPr>
      </w:pPr>
    </w:p>
    <w:p w14:paraId="4AF30D50">
      <w:pPr>
        <w:snapToGrid w:val="0"/>
        <w:spacing w:line="500" w:lineRule="exact"/>
        <w:ind w:firstLine="562" w:firstLineChars="200"/>
        <w:rPr>
          <w:rFonts w:hint="eastAsia" w:ascii="宋体" w:hAnsi="宋体" w:eastAsia="宋体" w:cs="宋体"/>
          <w:b/>
          <w:sz w:val="28"/>
          <w:szCs w:val="28"/>
        </w:rPr>
        <w:sectPr>
          <w:headerReference r:id="rId6" w:type="default"/>
          <w:footerReference r:id="rId7" w:type="default"/>
          <w:pgSz w:w="11906" w:h="16838"/>
          <w:pgMar w:top="-1712" w:right="1417" w:bottom="1712" w:left="1587" w:header="992" w:footer="850" w:gutter="0"/>
          <w:pgNumType w:start="1"/>
          <w:cols w:space="720" w:num="1"/>
          <w:docGrid w:linePitch="326" w:charSpace="0"/>
        </w:sectPr>
      </w:pPr>
    </w:p>
    <w:p w14:paraId="2DC7190E">
      <w:pPr>
        <w:pStyle w:val="12"/>
        <w:spacing w:beforeAutospacing="0" w:afterAutospacing="0" w:line="360" w:lineRule="auto"/>
        <w:ind w:firstLine="42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第一部分  谈判公告</w:t>
      </w:r>
    </w:p>
    <w:p w14:paraId="4A18F80A">
      <w:pPr>
        <w:jc w:val="center"/>
        <w:rPr>
          <w:rFonts w:hint="eastAsia" w:ascii="宋体" w:hAnsi="宋体" w:eastAsia="宋体" w:cs="宋体"/>
          <w:sz w:val="24"/>
        </w:rPr>
      </w:pPr>
    </w:p>
    <w:p w14:paraId="4B8A422A">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项目概况</w:t>
      </w:r>
    </w:p>
    <w:p w14:paraId="5B9F1A40">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安防设备升级改造及业务通报显示屏更换采购项目的潜在供应商应在全国公共资源交易中心平台（陕西省•延安市）获取采购文件，并于 2024年09月14日 09时00分 （北京时间）前提交响应文件。</w:t>
      </w:r>
    </w:p>
    <w:p w14:paraId="632340A5">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一、项目基本情况</w:t>
      </w:r>
    </w:p>
    <w:p w14:paraId="332907DD">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项目编号：HLZC-TP-2024-14</w:t>
      </w:r>
    </w:p>
    <w:p w14:paraId="578DF7CF">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项目名称：安防设备升级改造及业务通报显示屏更换</w:t>
      </w:r>
    </w:p>
    <w:p w14:paraId="49EC314C">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采购方式：竞争性谈判</w:t>
      </w:r>
    </w:p>
    <w:p w14:paraId="3FD35932">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预算金额：330,000.00元</w:t>
      </w:r>
    </w:p>
    <w:p w14:paraId="424EFF41">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采购需求：</w:t>
      </w:r>
    </w:p>
    <w:p w14:paraId="1DC23571">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合同包1(安防设备升级改造及业务通报显示屏更换采购项目):</w:t>
      </w:r>
    </w:p>
    <w:p w14:paraId="2C9488BA">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合同包预算金额：330,000.00元</w:t>
      </w:r>
    </w:p>
    <w:p w14:paraId="29B84118">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合同包最高限价：330,000.00元</w:t>
      </w:r>
    </w:p>
    <w:tbl>
      <w:tblPr>
        <w:tblStyle w:val="1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11"/>
        <w:gridCol w:w="1446"/>
        <w:gridCol w:w="2260"/>
        <w:gridCol w:w="855"/>
        <w:gridCol w:w="1234"/>
        <w:gridCol w:w="1431"/>
        <w:gridCol w:w="1432"/>
      </w:tblGrid>
      <w:tr w14:paraId="27EC7A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002"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ADF3CE2">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品目号</w:t>
            </w:r>
          </w:p>
        </w:tc>
        <w:tc>
          <w:tcPr>
            <w:tcW w:w="375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132A0B0">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品目名称</w:t>
            </w:r>
          </w:p>
        </w:tc>
        <w:tc>
          <w:tcPr>
            <w:tcW w:w="375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DC72592">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采购标的</w:t>
            </w:r>
          </w:p>
        </w:tc>
        <w:tc>
          <w:tcPr>
            <w:tcW w:w="1252"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1411F94">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数量（单位）</w:t>
            </w:r>
          </w:p>
        </w:tc>
        <w:tc>
          <w:tcPr>
            <w:tcW w:w="250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716AF854">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技术规格、参数及要求</w:t>
            </w:r>
          </w:p>
        </w:tc>
        <w:tc>
          <w:tcPr>
            <w:tcW w:w="150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85D9464">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品目预算(元)</w:t>
            </w:r>
          </w:p>
        </w:tc>
        <w:tc>
          <w:tcPr>
            <w:tcW w:w="150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19C52F5">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最高限价(元)</w:t>
            </w:r>
          </w:p>
        </w:tc>
      </w:tr>
      <w:tr w14:paraId="4B537A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4351AEF5">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870C132">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LED 显示屏</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291F37B">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黄陵县人民检察院安防设备升级改造及业务通报显示屏更换</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6FAC71F">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1(批)</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798EECEB">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详见采购文件</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46F04D6D">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330,000.00</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4833D4C">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330,000.00</w:t>
            </w:r>
          </w:p>
        </w:tc>
      </w:tr>
    </w:tbl>
    <w:p w14:paraId="0B532496">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本合同包不接受联合体投标</w:t>
      </w:r>
    </w:p>
    <w:p w14:paraId="6FDF0278">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合同履行期限：无</w:t>
      </w:r>
    </w:p>
    <w:p w14:paraId="7DC74646">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二、申请人的资格要求：</w:t>
      </w:r>
    </w:p>
    <w:p w14:paraId="4FDB101A">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1.满足《中华人民共和国政府采购法》第二十二条规定;</w:t>
      </w:r>
    </w:p>
    <w:p w14:paraId="196E56B4">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2.落实政府采购政策需满足的资格要求：</w:t>
      </w:r>
    </w:p>
    <w:p w14:paraId="5A328071">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合同包1(安防设备升级改造及业务通报显示屏更换采购项目)落实政府采购政策需满足的资格要求如下:</w:t>
      </w:r>
    </w:p>
    <w:p w14:paraId="21146D70">
      <w:pPr>
        <w:widowControl/>
        <w:shd w:val="clear" w:color="auto" w:fill="FFFFFF"/>
        <w:wordWrap w:val="0"/>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1、《财政部工业和信息化部关于印发〈政府采购促进中小企业发展管理办法〉的通知》（财库〔2020〕46号）；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2、《财政部司法部关于政府采购支持监狱企业发展有关问题的通知》（财库〔2014〕68号）；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3、《国务院办公厅关于建立政府强制采购节能产品制度的通知》（国办发〔2007〕51号）；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4、《关于调整优化节能产品、环境标志产品政府采购执行机制的通知》（财库〔2019〕9号）；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5、《三部门联合发布关于促进残疾人就业政府采购政策的通知》（财库〔2017〕141号）。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6、《财政部 农业农村部国家乡镇振兴局关于运用政府采购政策支持产业振兴的通知》（财库【2021】19号）；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7、陕西省财政厅关于印发《陕西省中小企业政府采购信用融资办法》（陕财办采〔2018〕23号）；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8、其他需要落实的政府采购政策。</w:t>
      </w:r>
    </w:p>
    <w:p w14:paraId="43685A6A">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3.本项目的特定资格要求：</w:t>
      </w:r>
    </w:p>
    <w:p w14:paraId="4F31FF56">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合同包1(安防设备升级改造及业务通报显示屏更换采购项目)特定资格要求如下:</w:t>
      </w:r>
    </w:p>
    <w:p w14:paraId="0A2A0F61">
      <w:pPr>
        <w:widowControl/>
        <w:shd w:val="clear" w:color="auto" w:fill="FFFFFF"/>
        <w:wordWrap w:val="0"/>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2、法定代表人授权书（附法定代表人身份证复印件）及被授权人身份证（法定代表人直接参加只须提供法定代表人身份证）；</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3、供应商提供2022年度或2023年度的财务审计报告(成立时间至提交响应文件截止时间不足一年的可提供成立后任意时段的资产负债表)或其基本存款账户开户银行出具的资信证明及基本存款账户开户信息；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4、税收缴纳证明：提供已缴纳的2024年至今任一月份的缴税凭证；依法免税的供应商应提供相关文件证明；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5、社会保障资金缴纳证明：提供2024年至今任意一个月的社会保障资金缴存证明或社保机构开具的社会保险参保缴费情况证明；依法不需要缴纳社会保障资金的应提供相关文件证明；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7、参加政府采购活动近三年内，在经营活动中没有重大违法记录声明函；</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8、具备履行合同所必须的设备和专业技术能力的书面声明；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9、本项目不接受联合体谈判</w:t>
      </w:r>
    </w:p>
    <w:p w14:paraId="371A201C">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三、获取采购文件</w:t>
      </w:r>
    </w:p>
    <w:p w14:paraId="560CA8BB">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 2024年08月29日 至 2024年09月02日 ，每天上午 08:00:00 至 1</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:00:00 ，下午 12:00:00 至 18:00:00 （北京时间）</w:t>
      </w:r>
    </w:p>
    <w:p w14:paraId="2CF519B2">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途径：全国公共资源交易中心平台（陕西省•延安市）</w:t>
      </w:r>
    </w:p>
    <w:p w14:paraId="31043135">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方式：在线获取</w:t>
      </w:r>
    </w:p>
    <w:p w14:paraId="1E28B2F7">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售价： 0元</w:t>
      </w:r>
    </w:p>
    <w:p w14:paraId="36EE1506">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四、响应文件提交</w:t>
      </w:r>
    </w:p>
    <w:p w14:paraId="64A11326">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截止时间： 2024年09月14日 09时00分00秒 （北京时间）</w:t>
      </w:r>
    </w:p>
    <w:p w14:paraId="168EE837">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地点：延安市公共资源交易中心交易二厅</w:t>
      </w:r>
    </w:p>
    <w:p w14:paraId="7AF66E9A">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五、开启</w:t>
      </w:r>
    </w:p>
    <w:p w14:paraId="62DC7E8A">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 2024年09月14日 09时00分00秒 （北京时间）</w:t>
      </w:r>
    </w:p>
    <w:p w14:paraId="41CC33C3">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地点：延安市公共资源交易中心交易二厅</w:t>
      </w:r>
    </w:p>
    <w:p w14:paraId="01785297">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六、公告期限</w:t>
      </w:r>
    </w:p>
    <w:p w14:paraId="4EFF0E10">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自本公告发布之日起3个工作日。</w:t>
      </w:r>
    </w:p>
    <w:p w14:paraId="0144184E">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七、其他补充事宜</w:t>
      </w:r>
    </w:p>
    <w:p w14:paraId="58B2E26C">
      <w:pPr>
        <w:widowControl/>
        <w:shd w:val="clear" w:color="auto" w:fill="FFFFFF"/>
        <w:wordWrap w:val="0"/>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shd w:val="clear" w:color="auto" w:fill="FFFFFF"/>
        </w:rPr>
        <w:t>1.报名登记：供应商使用捆绑CA证书登录全国公共资源交易平台（陕西省·延安市）延安市公共资源交易中心 ，选择电子交易平台中的陕西政府采购交易系统 进行登录，登录后选择“交易乙方”身份进入供应商界面进行报名。</w:t>
      </w:r>
    </w:p>
    <w:p w14:paraId="52440D52">
      <w:pPr>
        <w:widowControl/>
        <w:shd w:val="clear" w:color="auto" w:fill="FFFFFF"/>
        <w:wordWrap w:val="0"/>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shd w:val="clear" w:color="auto" w:fill="FFFFFF"/>
        </w:rPr>
        <w:t>2.下载文件：供应商登录延安市公共资源交易中心，选择“交易乙方”身份进入供应商界面下载采购文件。</w:t>
      </w:r>
    </w:p>
    <w:p w14:paraId="31FAAB8B">
      <w:pPr>
        <w:widowControl/>
        <w:shd w:val="clear" w:color="auto" w:fill="FFFFFF"/>
        <w:wordWrap w:val="0"/>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shd w:val="clear" w:color="auto" w:fill="FFFFFF"/>
        </w:rPr>
        <w:t>3.请供应商按照陕西省财政厅关于政府采购供应商注册登记有关事项的通知中的要求，通过陕西省政府采购网注册登记加入陕西省政府采购供应商库。</w:t>
      </w:r>
    </w:p>
    <w:p w14:paraId="22BE371A">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shd w:val="clear" w:color="auto" w:fill="FFFFFF"/>
        </w:rPr>
        <w:t>4.本项目不专门面向中小企业。</w:t>
      </w:r>
    </w:p>
    <w:p w14:paraId="2135A51B">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八、对本次招标提出询问，请按以下方式联系。</w:t>
      </w:r>
    </w:p>
    <w:p w14:paraId="50CC457B">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1.采购人信息</w:t>
      </w:r>
    </w:p>
    <w:p w14:paraId="7F4728C5">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名称：黄陵县人民检察院</w:t>
      </w:r>
    </w:p>
    <w:p w14:paraId="46D32764">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地址：黄陵县高阳路</w:t>
      </w:r>
    </w:p>
    <w:p w14:paraId="3D5F3A62">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联系方式：13399216846</w:t>
      </w:r>
    </w:p>
    <w:p w14:paraId="03935EA2">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2.采购代理机构信息</w:t>
      </w:r>
    </w:p>
    <w:p w14:paraId="0719B508">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名称：黄陵县政府采购中心</w:t>
      </w:r>
    </w:p>
    <w:p w14:paraId="21B20805">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地址：延安市黄陵县</w:t>
      </w:r>
    </w:p>
    <w:p w14:paraId="7D792B98">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联系方式：0911-5213508</w:t>
      </w:r>
    </w:p>
    <w:p w14:paraId="243FBBED">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3.项目联系方式</w:t>
      </w:r>
    </w:p>
    <w:p w14:paraId="0B16C461">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项目联系人：孙志刚</w:t>
      </w:r>
    </w:p>
    <w:p w14:paraId="3442822D">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电话：18992166608</w:t>
      </w:r>
    </w:p>
    <w:p w14:paraId="6E4F4CC3">
      <w:pPr>
        <w:spacing w:line="360" w:lineRule="auto"/>
        <w:rPr>
          <w:rFonts w:hint="eastAsia" w:ascii="宋体" w:hAnsi="宋体" w:eastAsia="宋体" w:cs="宋体"/>
          <w:sz w:val="24"/>
          <w:szCs w:val="24"/>
        </w:rPr>
      </w:pPr>
    </w:p>
    <w:p w14:paraId="656DE535">
      <w:pPr>
        <w:pStyle w:val="12"/>
        <w:wordWrap w:val="0"/>
        <w:spacing w:before="0" w:beforeAutospacing="0" w:after="0" w:afterAutospacing="0" w:line="360" w:lineRule="auto"/>
        <w:ind w:firstLine="480"/>
        <w:jc w:val="both"/>
        <w:rPr>
          <w:rFonts w:hint="eastAsia" w:ascii="宋体" w:hAnsi="宋体" w:eastAsia="宋体" w:cs="宋体"/>
          <w:highlight w:val="none"/>
        </w:rPr>
      </w:pPr>
    </w:p>
    <w:p w14:paraId="4F003143">
      <w:pPr>
        <w:spacing w:line="360" w:lineRule="auto"/>
        <w:jc w:val="right"/>
        <w:rPr>
          <w:rFonts w:hint="eastAsia" w:ascii="宋体" w:hAnsi="宋体" w:eastAsia="宋体" w:cs="宋体"/>
          <w:b/>
          <w:bCs/>
          <w:sz w:val="24"/>
        </w:rPr>
      </w:pPr>
    </w:p>
    <w:p w14:paraId="556EB23A">
      <w:pPr>
        <w:rPr>
          <w:rFonts w:hint="eastAsia" w:ascii="宋体" w:hAnsi="宋体" w:eastAsia="宋体" w:cs="宋体"/>
          <w:b/>
          <w:kern w:val="44"/>
          <w:sz w:val="44"/>
          <w:szCs w:val="44"/>
        </w:rPr>
      </w:pPr>
      <w:r>
        <w:rPr>
          <w:rFonts w:hint="eastAsia" w:ascii="宋体" w:hAnsi="宋体" w:eastAsia="宋体" w:cs="宋体"/>
          <w:b/>
          <w:kern w:val="44"/>
          <w:sz w:val="44"/>
          <w:szCs w:val="44"/>
        </w:rPr>
        <w:br w:type="page"/>
      </w:r>
    </w:p>
    <w:p w14:paraId="12B84193">
      <w:pPr>
        <w:spacing w:after="50" w:line="600" w:lineRule="exact"/>
        <w:jc w:val="center"/>
        <w:rPr>
          <w:rFonts w:hint="eastAsia" w:ascii="宋体" w:hAnsi="宋体" w:eastAsia="宋体" w:cs="宋体"/>
          <w:b/>
          <w:sz w:val="32"/>
          <w:szCs w:val="32"/>
        </w:rPr>
      </w:pPr>
      <w:r>
        <w:rPr>
          <w:rFonts w:hint="eastAsia" w:ascii="宋体" w:hAnsi="宋体" w:eastAsia="宋体" w:cs="宋体"/>
          <w:b/>
          <w:kern w:val="44"/>
          <w:sz w:val="32"/>
          <w:szCs w:val="32"/>
        </w:rPr>
        <w:t>第二</w:t>
      </w:r>
      <w:r>
        <w:rPr>
          <w:rFonts w:hint="eastAsia" w:ascii="宋体" w:hAnsi="宋体" w:eastAsia="宋体" w:cs="宋体"/>
          <w:b/>
          <w:sz w:val="32"/>
          <w:szCs w:val="32"/>
        </w:rPr>
        <w:t>部分  谈判供应商须知</w:t>
      </w:r>
      <w:bookmarkStart w:id="0" w:name="_Toc184283909"/>
      <w:bookmarkStart w:id="1" w:name="_Toc184274915"/>
    </w:p>
    <w:p w14:paraId="41B86A76">
      <w:pPr>
        <w:pStyle w:val="3"/>
        <w:spacing w:before="360" w:beforeLines="150" w:after="0"/>
        <w:rPr>
          <w:rFonts w:hint="eastAsia" w:ascii="宋体" w:hAnsi="宋体" w:eastAsia="宋体" w:cs="宋体"/>
          <w:sz w:val="32"/>
        </w:rPr>
      </w:pPr>
      <w:bookmarkStart w:id="2" w:name="_Toc213397010"/>
      <w:bookmarkStart w:id="3" w:name="_Toc213496268"/>
      <w:bookmarkStart w:id="4" w:name="_Toc217446032"/>
      <w:bookmarkStart w:id="5" w:name="_Toc213396760"/>
      <w:bookmarkStart w:id="6" w:name="_Toc189727030"/>
      <w:bookmarkStart w:id="7" w:name="_Toc213396946"/>
      <w:r>
        <w:rPr>
          <w:rFonts w:hint="eastAsia" w:ascii="宋体" w:hAnsi="宋体" w:eastAsia="宋体" w:cs="宋体"/>
          <w:sz w:val="32"/>
        </w:rPr>
        <w:t>供应商须知前列表</w:t>
      </w:r>
      <w:bookmarkEnd w:id="0"/>
      <w:bookmarkEnd w:id="1"/>
      <w:bookmarkEnd w:id="2"/>
      <w:bookmarkEnd w:id="3"/>
      <w:bookmarkEnd w:id="4"/>
      <w:bookmarkEnd w:id="5"/>
      <w:bookmarkEnd w:id="6"/>
      <w:bookmarkEnd w:id="7"/>
    </w:p>
    <w:tbl>
      <w:tblPr>
        <w:tblStyle w:val="16"/>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0"/>
        <w:gridCol w:w="1929"/>
        <w:gridCol w:w="6580"/>
      </w:tblGrid>
      <w:tr w14:paraId="63A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blHeader/>
        </w:trPr>
        <w:tc>
          <w:tcPr>
            <w:tcW w:w="630" w:type="dxa"/>
            <w:shd w:val="clear" w:color="auto" w:fill="auto"/>
            <w:vAlign w:val="center"/>
          </w:tcPr>
          <w:p w14:paraId="5AD90456">
            <w:pPr>
              <w:spacing w:before="12" w:beforeLines="5" w:after="12" w:afterLines="5"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929" w:type="dxa"/>
            <w:shd w:val="clear" w:color="auto" w:fill="auto"/>
            <w:vAlign w:val="center"/>
          </w:tcPr>
          <w:p w14:paraId="52883E6B">
            <w:pPr>
              <w:spacing w:before="12" w:beforeLines="5" w:after="12" w:afterLines="5" w:line="360" w:lineRule="auto"/>
              <w:ind w:firstLine="56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580" w:type="dxa"/>
            <w:shd w:val="clear" w:color="auto" w:fill="auto"/>
            <w:vAlign w:val="center"/>
          </w:tcPr>
          <w:p w14:paraId="4FCF6D48">
            <w:pPr>
              <w:spacing w:before="12" w:beforeLines="5" w:after="12" w:afterLines="5"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4B00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trPr>
        <w:tc>
          <w:tcPr>
            <w:tcW w:w="630" w:type="dxa"/>
            <w:shd w:val="clear" w:color="auto" w:fill="auto"/>
            <w:vAlign w:val="center"/>
          </w:tcPr>
          <w:p w14:paraId="148D5D1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29" w:type="dxa"/>
            <w:shd w:val="clear" w:color="auto" w:fill="auto"/>
            <w:vAlign w:val="center"/>
          </w:tcPr>
          <w:p w14:paraId="0E399387">
            <w:pPr>
              <w:keepNext/>
              <w:keepLines/>
              <w:snapToGrid w:val="0"/>
              <w:spacing w:line="360" w:lineRule="auto"/>
              <w:ind w:right="560" w:firstLine="240" w:firstLineChars="100"/>
              <w:jc w:val="center"/>
              <w:outlineLvl w:val="6"/>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580" w:type="dxa"/>
            <w:shd w:val="clear" w:color="auto" w:fill="auto"/>
            <w:vAlign w:val="center"/>
          </w:tcPr>
          <w:p w14:paraId="51DD56C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采购人：黄陵县人民检察院</w:t>
            </w:r>
          </w:p>
          <w:p w14:paraId="33577EC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  址：延安市黄陵县</w:t>
            </w:r>
          </w:p>
          <w:p w14:paraId="3EA7EB7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联系人及联系方式：黄陵县人民检察院 13399216846</w:t>
            </w:r>
          </w:p>
        </w:tc>
      </w:tr>
      <w:tr w14:paraId="610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9" w:hRule="atLeast"/>
        </w:trPr>
        <w:tc>
          <w:tcPr>
            <w:tcW w:w="630" w:type="dxa"/>
            <w:shd w:val="clear" w:color="auto" w:fill="auto"/>
            <w:vAlign w:val="center"/>
          </w:tcPr>
          <w:p w14:paraId="5F3DF08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29" w:type="dxa"/>
            <w:shd w:val="clear" w:color="auto" w:fill="auto"/>
            <w:vAlign w:val="center"/>
          </w:tcPr>
          <w:p w14:paraId="66423E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谈判组织机构</w:t>
            </w:r>
          </w:p>
        </w:tc>
        <w:tc>
          <w:tcPr>
            <w:tcW w:w="6580" w:type="dxa"/>
            <w:shd w:val="clear" w:color="auto" w:fill="auto"/>
            <w:vAlign w:val="center"/>
          </w:tcPr>
          <w:p w14:paraId="166634D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采购代理机构：黄陵县政府采购中心</w:t>
            </w:r>
          </w:p>
          <w:p w14:paraId="6A06B80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地址：延安市黄陵县</w:t>
            </w:r>
          </w:p>
          <w:p w14:paraId="1ECE07A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孙志刚</w:t>
            </w:r>
            <w:r>
              <w:rPr>
                <w:rFonts w:hint="eastAsia" w:ascii="宋体" w:hAnsi="宋体" w:eastAsia="宋体" w:cs="宋体"/>
                <w:sz w:val="24"/>
                <w:szCs w:val="24"/>
                <w:highlight w:val="none"/>
              </w:rPr>
              <w:t xml:space="preserve">   联系电话：0911-5213508</w:t>
            </w:r>
          </w:p>
        </w:tc>
      </w:tr>
      <w:tr w14:paraId="38E9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0" w:type="dxa"/>
            <w:shd w:val="clear" w:color="auto" w:fill="auto"/>
            <w:vAlign w:val="center"/>
          </w:tcPr>
          <w:p w14:paraId="7CF9867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29" w:type="dxa"/>
            <w:shd w:val="clear" w:color="auto" w:fill="auto"/>
            <w:vAlign w:val="center"/>
          </w:tcPr>
          <w:p w14:paraId="0BA964F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6580" w:type="dxa"/>
            <w:shd w:val="clear" w:color="auto" w:fill="auto"/>
            <w:vAlign w:val="center"/>
          </w:tcPr>
          <w:p w14:paraId="7C9345CC">
            <w:pPr>
              <w:pStyle w:val="12"/>
              <w:spacing w:beforeAutospacing="0" w:afterAutospacing="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SA"/>
              </w:rPr>
              <w:t>黄陵县人民检察院安防设备升级改造及业务通报显示屏更换采购项目</w:t>
            </w:r>
          </w:p>
        </w:tc>
      </w:tr>
      <w:tr w14:paraId="33C5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30" w:type="dxa"/>
            <w:shd w:val="clear" w:color="auto" w:fill="auto"/>
            <w:vAlign w:val="center"/>
          </w:tcPr>
          <w:p w14:paraId="7530F0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29" w:type="dxa"/>
            <w:shd w:val="clear" w:color="auto" w:fill="auto"/>
            <w:vAlign w:val="center"/>
          </w:tcPr>
          <w:p w14:paraId="7199DA3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项目名称及编号</w:t>
            </w:r>
          </w:p>
        </w:tc>
        <w:tc>
          <w:tcPr>
            <w:tcW w:w="6580" w:type="dxa"/>
            <w:shd w:val="clear" w:color="auto" w:fill="auto"/>
            <w:vAlign w:val="center"/>
          </w:tcPr>
          <w:p w14:paraId="3654AAAC">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1.项目名称：</w:t>
            </w:r>
            <w:r>
              <w:rPr>
                <w:rFonts w:hint="eastAsia" w:ascii="宋体" w:hAnsi="宋体" w:eastAsia="宋体" w:cs="宋体"/>
                <w:sz w:val="24"/>
                <w:szCs w:val="24"/>
                <w:highlight w:val="none"/>
              </w:rPr>
              <w:t>黄陵县人民检察院安防设备升级改造及业务通报显示屏更换采购项目</w:t>
            </w:r>
          </w:p>
          <w:p w14:paraId="194CA39C">
            <w:pPr>
              <w:numPr>
                <w:ilvl w:val="0"/>
                <w:numId w:val="0"/>
              </w:num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2.项目编号：HLZC-TP-2024-14</w:t>
            </w:r>
          </w:p>
        </w:tc>
      </w:tr>
      <w:tr w14:paraId="1077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48B6B7E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29" w:type="dxa"/>
            <w:shd w:val="clear" w:color="auto" w:fill="auto"/>
            <w:vAlign w:val="center"/>
          </w:tcPr>
          <w:p w14:paraId="24BA7D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采购预算价</w:t>
            </w:r>
          </w:p>
        </w:tc>
        <w:tc>
          <w:tcPr>
            <w:tcW w:w="6580" w:type="dxa"/>
            <w:shd w:val="clear" w:color="auto" w:fill="auto"/>
            <w:vAlign w:val="center"/>
          </w:tcPr>
          <w:p w14:paraId="21713E82">
            <w:pPr>
              <w:pStyle w:val="12"/>
              <w:wordWrap w:val="0"/>
              <w:spacing w:before="0" w:beforeAutospacing="0" w:after="0" w:afterAutospacing="0"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采购预算：330000.00元 </w:t>
            </w:r>
          </w:p>
        </w:tc>
      </w:tr>
      <w:tr w14:paraId="7336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0" w:type="dxa"/>
            <w:shd w:val="clear" w:color="auto" w:fill="auto"/>
            <w:vAlign w:val="center"/>
          </w:tcPr>
          <w:p w14:paraId="60BD111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29" w:type="dxa"/>
            <w:shd w:val="clear" w:color="auto" w:fill="auto"/>
            <w:vAlign w:val="center"/>
          </w:tcPr>
          <w:p w14:paraId="504673D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采购方式</w:t>
            </w:r>
          </w:p>
        </w:tc>
        <w:tc>
          <w:tcPr>
            <w:tcW w:w="6580" w:type="dxa"/>
            <w:shd w:val="clear" w:color="auto" w:fill="auto"/>
            <w:vAlign w:val="center"/>
          </w:tcPr>
          <w:p w14:paraId="39D6743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w:t>
            </w:r>
          </w:p>
        </w:tc>
      </w:tr>
      <w:tr w14:paraId="499A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02919FD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29" w:type="dxa"/>
            <w:shd w:val="clear" w:color="auto" w:fill="auto"/>
            <w:vAlign w:val="center"/>
          </w:tcPr>
          <w:p w14:paraId="27AD77E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响应周期</w:t>
            </w:r>
          </w:p>
        </w:tc>
        <w:tc>
          <w:tcPr>
            <w:tcW w:w="6580" w:type="dxa"/>
            <w:shd w:val="clear" w:color="auto" w:fill="auto"/>
            <w:vAlign w:val="center"/>
          </w:tcPr>
          <w:p w14:paraId="44DCFA3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1.发售时间：2024年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日(8:00-12:00,14:00-1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:00时止)</w:t>
            </w:r>
          </w:p>
          <w:p w14:paraId="6C77C3A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.响应文件递交截止时间及开标时间：2024年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分（北京时间）</w:t>
            </w:r>
          </w:p>
        </w:tc>
      </w:tr>
      <w:tr w14:paraId="26CA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630" w:type="dxa"/>
            <w:vMerge w:val="restart"/>
            <w:shd w:val="clear" w:color="auto" w:fill="auto"/>
            <w:vAlign w:val="center"/>
          </w:tcPr>
          <w:p w14:paraId="5348A27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29" w:type="dxa"/>
            <w:vMerge w:val="restart"/>
            <w:shd w:val="clear" w:color="auto" w:fill="auto"/>
            <w:vAlign w:val="center"/>
          </w:tcPr>
          <w:p w14:paraId="248E455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谈判供应商要求澄清竞争性谈判文件</w:t>
            </w:r>
          </w:p>
        </w:tc>
        <w:tc>
          <w:tcPr>
            <w:tcW w:w="6580" w:type="dxa"/>
            <w:shd w:val="clear" w:color="auto" w:fill="auto"/>
            <w:vAlign w:val="center"/>
          </w:tcPr>
          <w:p w14:paraId="0107E43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时间：谈判截止时间三日前</w:t>
            </w:r>
          </w:p>
        </w:tc>
      </w:tr>
      <w:tr w14:paraId="2147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0" w:type="dxa"/>
            <w:vMerge w:val="continue"/>
            <w:shd w:val="clear" w:color="auto" w:fill="auto"/>
            <w:vAlign w:val="center"/>
          </w:tcPr>
          <w:p w14:paraId="51FC4681">
            <w:pPr>
              <w:spacing w:line="360" w:lineRule="auto"/>
              <w:jc w:val="center"/>
              <w:rPr>
                <w:rFonts w:hint="eastAsia" w:ascii="宋体" w:hAnsi="宋体" w:eastAsia="宋体" w:cs="宋体"/>
                <w:sz w:val="24"/>
                <w:szCs w:val="24"/>
                <w:highlight w:val="none"/>
              </w:rPr>
            </w:pPr>
          </w:p>
        </w:tc>
        <w:tc>
          <w:tcPr>
            <w:tcW w:w="1929" w:type="dxa"/>
            <w:vMerge w:val="continue"/>
            <w:shd w:val="clear" w:color="auto" w:fill="auto"/>
            <w:vAlign w:val="center"/>
          </w:tcPr>
          <w:p w14:paraId="5629A62E">
            <w:pPr>
              <w:spacing w:line="360" w:lineRule="auto"/>
              <w:jc w:val="center"/>
              <w:rPr>
                <w:rFonts w:hint="eastAsia" w:ascii="宋体" w:hAnsi="宋体" w:eastAsia="宋体" w:cs="宋体"/>
                <w:sz w:val="24"/>
                <w:szCs w:val="24"/>
                <w:highlight w:val="none"/>
              </w:rPr>
            </w:pPr>
          </w:p>
        </w:tc>
        <w:tc>
          <w:tcPr>
            <w:tcW w:w="6580" w:type="dxa"/>
            <w:shd w:val="clear" w:color="auto" w:fill="auto"/>
            <w:vAlign w:val="center"/>
          </w:tcPr>
          <w:p w14:paraId="16D916A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形式：书面形式</w:t>
            </w:r>
          </w:p>
        </w:tc>
      </w:tr>
      <w:tr w14:paraId="6C47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49D857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929" w:type="dxa"/>
            <w:shd w:val="clear" w:color="auto" w:fill="auto"/>
            <w:vAlign w:val="center"/>
          </w:tcPr>
          <w:p w14:paraId="0BADEDB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采购人书面澄清的时间</w:t>
            </w:r>
          </w:p>
        </w:tc>
        <w:tc>
          <w:tcPr>
            <w:tcW w:w="6580" w:type="dxa"/>
            <w:shd w:val="clear" w:color="auto" w:fill="auto"/>
            <w:vAlign w:val="center"/>
          </w:tcPr>
          <w:p w14:paraId="2A85DBA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响应文件递交截止时间两日前</w:t>
            </w:r>
          </w:p>
        </w:tc>
      </w:tr>
      <w:tr w14:paraId="774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0A6A26D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929" w:type="dxa"/>
            <w:shd w:val="clear" w:color="auto" w:fill="auto"/>
            <w:vAlign w:val="center"/>
          </w:tcPr>
          <w:p w14:paraId="2561E898">
            <w:pPr>
              <w:spacing w:line="360" w:lineRule="auto"/>
              <w:ind w:left="210" w:hanging="240" w:hangingChars="100"/>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竞争性谈判文件澄清发出的形式</w:t>
            </w:r>
          </w:p>
        </w:tc>
        <w:tc>
          <w:tcPr>
            <w:tcW w:w="6580" w:type="dxa"/>
            <w:shd w:val="clear" w:color="auto" w:fill="auto"/>
            <w:vAlign w:val="center"/>
          </w:tcPr>
          <w:p w14:paraId="3824CFCF">
            <w:pPr>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书面形式</w:t>
            </w:r>
          </w:p>
        </w:tc>
      </w:tr>
      <w:tr w14:paraId="5B42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2D5F378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929" w:type="dxa"/>
            <w:shd w:val="clear" w:color="auto" w:fill="auto"/>
            <w:vAlign w:val="center"/>
          </w:tcPr>
          <w:p w14:paraId="38E0EC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供应商资质要求</w:t>
            </w:r>
          </w:p>
        </w:tc>
        <w:tc>
          <w:tcPr>
            <w:tcW w:w="6580" w:type="dxa"/>
            <w:shd w:val="clear" w:color="auto" w:fill="auto"/>
            <w:vAlign w:val="center"/>
          </w:tcPr>
          <w:p w14:paraId="5A8C93BB">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1、具有独立承担民事责任能力的法人或其他组织，提供合法有效的统一社会信用代码的营业执照（附年度报告书）或事业单位法人证书等国家规定的相关证明，自然人参与的提供其身份证明； </w:t>
            </w:r>
          </w:p>
          <w:p w14:paraId="09EAE5DD">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法定代表人授权书（附法定代表人身份证复印件）及被授权人身份证（法定代表人直接参加只须提供法定代表人身份证）；</w:t>
            </w:r>
            <w:r>
              <w:rPr>
                <w:rFonts w:hint="eastAsia" w:ascii="宋体" w:hAnsi="宋体" w:eastAsia="宋体" w:cs="宋体"/>
                <w:sz w:val="24"/>
                <w:szCs w:val="24"/>
                <w:highlight w:val="none"/>
              </w:rPr>
              <w:t> </w:t>
            </w:r>
          </w:p>
          <w:p w14:paraId="1562972F">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3、供应商提供2022年度或2023年度的财务审计报告(成立时间至提交响应文件截止时间不足一年的可提供成立后任意时段的资产负债表)或其基本存款账户开户银行出具的资信证明及基本存款账户开户信息；</w:t>
            </w:r>
          </w:p>
          <w:p w14:paraId="4EDA6315">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4、税收缴纳证明：提供已缴纳的2024年至今任一月份的缴税凭证；依法免税的供应商应提供相关文件证明；</w:t>
            </w:r>
          </w:p>
          <w:p w14:paraId="3F5DA8F1">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5、社会保障资金缴纳证明：提供2024年至今任意一个月的社会保障资金缴存证明或社保机构开具的社会保险参保缴费情况证明；依法不需要缴纳社会保障资金的应提供相关文件证明；</w:t>
            </w:r>
          </w:p>
          <w:p w14:paraId="446B71E6">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p>
          <w:p w14:paraId="1340F5D1">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7、参加政府采购活动近三年内，在经营活动中没有重大违法记录声明函；</w:t>
            </w:r>
          </w:p>
          <w:p w14:paraId="5ADDE4C2">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8、具备履行合同所必须的设备和专业技术能力的书面声明；</w:t>
            </w:r>
          </w:p>
          <w:p w14:paraId="27E0199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9、本项目不接受联合体谈判。</w:t>
            </w:r>
          </w:p>
        </w:tc>
      </w:tr>
      <w:tr w14:paraId="741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0" w:type="dxa"/>
            <w:shd w:val="clear" w:color="auto" w:fill="auto"/>
            <w:vAlign w:val="center"/>
          </w:tcPr>
          <w:p w14:paraId="274406A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929" w:type="dxa"/>
            <w:shd w:val="clear" w:color="auto" w:fill="auto"/>
            <w:vAlign w:val="center"/>
          </w:tcPr>
          <w:p w14:paraId="77C0498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资格审查方式</w:t>
            </w:r>
          </w:p>
        </w:tc>
        <w:tc>
          <w:tcPr>
            <w:tcW w:w="6580" w:type="dxa"/>
            <w:shd w:val="clear" w:color="auto" w:fill="auto"/>
            <w:vAlign w:val="center"/>
          </w:tcPr>
          <w:p w14:paraId="26D27CF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tc>
      </w:tr>
      <w:tr w14:paraId="509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630" w:type="dxa"/>
            <w:shd w:val="clear" w:color="auto" w:fill="auto"/>
            <w:vAlign w:val="center"/>
          </w:tcPr>
          <w:p w14:paraId="6C55B3A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929" w:type="dxa"/>
            <w:shd w:val="clear" w:color="auto" w:fill="auto"/>
            <w:vAlign w:val="center"/>
          </w:tcPr>
          <w:p w14:paraId="2EDA37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谈判预备会议</w:t>
            </w:r>
          </w:p>
        </w:tc>
        <w:tc>
          <w:tcPr>
            <w:tcW w:w="6580" w:type="dxa"/>
            <w:shd w:val="clear" w:color="auto" w:fill="auto"/>
            <w:vAlign w:val="center"/>
          </w:tcPr>
          <w:p w14:paraId="04912D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采购人不组织谈判预备会议。</w:t>
            </w:r>
          </w:p>
        </w:tc>
      </w:tr>
      <w:tr w14:paraId="23BB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161753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929" w:type="dxa"/>
            <w:shd w:val="clear" w:color="auto" w:fill="auto"/>
            <w:vAlign w:val="center"/>
          </w:tcPr>
          <w:p w14:paraId="17EE6C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澄清答疑与踏勘现场</w:t>
            </w:r>
          </w:p>
        </w:tc>
        <w:tc>
          <w:tcPr>
            <w:tcW w:w="6580" w:type="dxa"/>
            <w:shd w:val="clear" w:color="auto" w:fill="auto"/>
            <w:vAlign w:val="center"/>
          </w:tcPr>
          <w:p w14:paraId="30B6B7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谈判供应商需以书面形式向谈判组织机构提交需澄清或答疑的问题，同时将澄清或答疑问题的电子版发至谈判组织机构电子邮箱：</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"mailto:414769631@qq.com" </w:instrText>
            </w:r>
            <w:r>
              <w:rPr>
                <w:rFonts w:hint="eastAsia" w:ascii="宋体" w:hAnsi="宋体" w:eastAsia="宋体" w:cs="宋体"/>
                <w:sz w:val="24"/>
                <w:szCs w:val="24"/>
                <w:highlight w:val="none"/>
              </w:rPr>
              <w:fldChar w:fldCharType="separate"/>
            </w:r>
            <w:r>
              <w:rPr>
                <w:rStyle w:val="21"/>
                <w:rFonts w:hint="eastAsia" w:ascii="宋体" w:hAnsi="宋体" w:eastAsia="宋体" w:cs="宋体"/>
                <w:sz w:val="24"/>
                <w:szCs w:val="24"/>
                <w:highlight w:val="none"/>
                <w:lang w:eastAsia="zh-CN"/>
              </w:rPr>
              <w:t>hlx_zfcgzx508@163.com</w:t>
            </w:r>
            <w:r>
              <w:rPr>
                <w:rStyle w:val="21"/>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，采购人认为有必要答复的将以书面形式发至各供应商。</w:t>
            </w:r>
          </w:p>
          <w:p w14:paraId="6CB62B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踏勘现场：采购人不组织现场踏勘会，若谈判供应商认为有必要时，可自行组织踏勘，但因踏勘产生的一切费用及影响由谈判供应商自行承担。</w:t>
            </w:r>
          </w:p>
        </w:tc>
      </w:tr>
      <w:tr w14:paraId="0865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693B6A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929" w:type="dxa"/>
            <w:shd w:val="clear" w:color="auto" w:fill="auto"/>
            <w:vAlign w:val="center"/>
          </w:tcPr>
          <w:p w14:paraId="276860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w:t>
            </w:r>
          </w:p>
        </w:tc>
        <w:tc>
          <w:tcPr>
            <w:tcW w:w="6580" w:type="dxa"/>
            <w:shd w:val="clear" w:color="auto" w:fill="auto"/>
            <w:vAlign w:val="center"/>
          </w:tcPr>
          <w:p w14:paraId="6A4D2E1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（1）本项目采用电子化远程不见面谈判的方式远程解密，相关操作流程详见全国公共资源交易平台（陕西省）网站[服务指南-下载专区]中的《陕西省公共资源交易中心政府采购项目投标指南》；      </w:t>
            </w:r>
          </w:p>
          <w:p w14:paraId="2DEDB73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（2）电子响应文件可于提交响应文件截止时间前任意时段进行提交，逾期系统将拒绝接收。</w:t>
            </w:r>
          </w:p>
          <w:p w14:paraId="1399AB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（3）纸质版响应文件递交地点：延安市为民服务中心7号楼二楼（延安市公共资源交易</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厅）。</w:t>
            </w:r>
          </w:p>
          <w:p w14:paraId="094D23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（4）供应商必须在谈判文件规定的开标时间和地点，将全部纸质版响应文件递交至开标现场；</w:t>
            </w:r>
          </w:p>
          <w:p w14:paraId="6F5ABB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（5）采购代理机构项目负责人在谈判文件规定的响应文件递交截止时间前，只负责纸质版响应文件的接收、清点、造册登记工作，对其有效性不负任何责任；</w:t>
            </w:r>
          </w:p>
          <w:p w14:paraId="06DC172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（6）在递交响应文件截止时间之后，拒绝接收任何人送达、递交的纸质版响应文件；</w:t>
            </w:r>
          </w:p>
          <w:p w14:paraId="4471181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（7）无论供应商成交与否或者废标，其响应文件恕不退还。</w:t>
            </w:r>
          </w:p>
          <w:p w14:paraId="41B6444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纸质版响应文件：1套正本，2套副本</w:t>
            </w:r>
            <w:r>
              <w:rPr>
                <w:rFonts w:hint="eastAsia" w:ascii="宋体" w:hAnsi="宋体" w:eastAsia="宋体" w:cs="宋体"/>
                <w:sz w:val="24"/>
                <w:szCs w:val="24"/>
                <w:highlight w:val="none"/>
                <w:lang w:eastAsia="zh-CN"/>
              </w:rPr>
              <w:t>；</w:t>
            </w:r>
          </w:p>
        </w:tc>
      </w:tr>
      <w:tr w14:paraId="3778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37506AA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929" w:type="dxa"/>
            <w:shd w:val="clear" w:color="auto" w:fill="auto"/>
            <w:vAlign w:val="center"/>
          </w:tcPr>
          <w:p w14:paraId="23183D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谈判特殊要求</w:t>
            </w:r>
          </w:p>
        </w:tc>
        <w:tc>
          <w:tcPr>
            <w:tcW w:w="6580" w:type="dxa"/>
            <w:shd w:val="clear" w:color="auto" w:fill="auto"/>
            <w:vAlign w:val="center"/>
          </w:tcPr>
          <w:p w14:paraId="740D26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128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1249D54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929" w:type="dxa"/>
            <w:shd w:val="clear" w:color="auto" w:fill="auto"/>
            <w:vAlign w:val="center"/>
          </w:tcPr>
          <w:p w14:paraId="35875CA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报价采用币种</w:t>
            </w:r>
          </w:p>
        </w:tc>
        <w:tc>
          <w:tcPr>
            <w:tcW w:w="6580" w:type="dxa"/>
            <w:shd w:val="clear" w:color="auto" w:fill="auto"/>
            <w:vAlign w:val="center"/>
          </w:tcPr>
          <w:p w14:paraId="24F97E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p>
        </w:tc>
      </w:tr>
      <w:tr w14:paraId="638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451594F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929" w:type="dxa"/>
            <w:shd w:val="clear" w:color="auto" w:fill="auto"/>
            <w:vAlign w:val="center"/>
          </w:tcPr>
          <w:p w14:paraId="68009DB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是否允许递交备选谈判方案</w:t>
            </w:r>
          </w:p>
        </w:tc>
        <w:tc>
          <w:tcPr>
            <w:tcW w:w="6580" w:type="dxa"/>
            <w:shd w:val="clear" w:color="auto" w:fill="auto"/>
            <w:vAlign w:val="center"/>
          </w:tcPr>
          <w:p w14:paraId="7AB0964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57FB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378C794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929" w:type="dxa"/>
            <w:shd w:val="clear" w:color="auto" w:fill="auto"/>
            <w:vAlign w:val="center"/>
          </w:tcPr>
          <w:p w14:paraId="2314CCD1">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p w14:paraId="700240B8">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6580" w:type="dxa"/>
            <w:shd w:val="clear" w:color="auto" w:fill="auto"/>
            <w:vAlign w:val="center"/>
          </w:tcPr>
          <w:p w14:paraId="2179C8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响应文件正、副本</w:t>
            </w:r>
            <w:r>
              <w:rPr>
                <w:rFonts w:hint="eastAsia" w:ascii="宋体" w:hAnsi="宋体" w:eastAsia="宋体" w:cs="宋体"/>
                <w:b/>
                <w:bCs/>
                <w:sz w:val="24"/>
                <w:szCs w:val="24"/>
                <w:highlight w:val="none"/>
              </w:rPr>
              <w:t>必须逐页加盖公章</w:t>
            </w:r>
            <w:r>
              <w:rPr>
                <w:rFonts w:hint="eastAsia" w:ascii="宋体" w:hAnsi="宋体" w:eastAsia="宋体" w:cs="宋体"/>
                <w:sz w:val="24"/>
                <w:szCs w:val="24"/>
                <w:highlight w:val="none"/>
              </w:rPr>
              <w:t>。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tc>
      </w:tr>
      <w:tr w14:paraId="7F3A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6ED04F5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929" w:type="dxa"/>
            <w:shd w:val="clear" w:color="auto" w:fill="auto"/>
            <w:vAlign w:val="center"/>
          </w:tcPr>
          <w:p w14:paraId="4881AD07">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装订要求</w:t>
            </w:r>
          </w:p>
        </w:tc>
        <w:tc>
          <w:tcPr>
            <w:tcW w:w="6580" w:type="dxa"/>
            <w:shd w:val="clear" w:color="auto" w:fill="auto"/>
            <w:vAlign w:val="center"/>
          </w:tcPr>
          <w:p w14:paraId="31D7C45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1、纸质版响应文件装订要求：正本、副本均须胶装，不允许活页装订；</w:t>
            </w:r>
          </w:p>
          <w:p w14:paraId="3D939B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2、封包要求：</w:t>
            </w:r>
          </w:p>
          <w:p w14:paraId="62CA779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1）正本单独封包；</w:t>
            </w:r>
          </w:p>
          <w:p w14:paraId="0C5B35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2）副本单独封包；</w:t>
            </w:r>
          </w:p>
          <w:p w14:paraId="16A7E30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）所有封套均应加贴封条，并在封套的封口处加盖供应商单位公章及法定代表人签章和其委托代理人签章。</w:t>
            </w:r>
          </w:p>
          <w:p w14:paraId="41BCB3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未按以上规定，出现任何一项未按要求编制的响应文件，采购人（或采购代理机构）不予受理，响应文件按无效文件处理。</w:t>
            </w:r>
          </w:p>
        </w:tc>
      </w:tr>
      <w:tr w14:paraId="7942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7179AEE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929" w:type="dxa"/>
            <w:shd w:val="clear" w:color="auto" w:fill="auto"/>
            <w:vAlign w:val="center"/>
          </w:tcPr>
          <w:p w14:paraId="6437C26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密封袋封套上写明</w:t>
            </w:r>
          </w:p>
        </w:tc>
        <w:tc>
          <w:tcPr>
            <w:tcW w:w="6580" w:type="dxa"/>
            <w:shd w:val="clear" w:color="auto" w:fill="auto"/>
            <w:vAlign w:val="center"/>
          </w:tcPr>
          <w:p w14:paraId="4A2B19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  响应文件</w:t>
            </w:r>
          </w:p>
          <w:p w14:paraId="727F3DE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                      </w:t>
            </w:r>
          </w:p>
          <w:p w14:paraId="1676123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  年  月  日  时  分（填谈判截止时间）前不得开启</w:t>
            </w:r>
          </w:p>
          <w:p w14:paraId="4AA6BA33">
            <w:pPr>
              <w:pStyle w:val="9"/>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未按以上规定，出现任何一项未按要求编制的响应文件，采购人（或采购代理机构）不予受理，响应文件按无效文件处理。</w:t>
            </w:r>
          </w:p>
        </w:tc>
      </w:tr>
      <w:tr w14:paraId="1F54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630" w:type="dxa"/>
            <w:shd w:val="clear" w:color="auto" w:fill="auto"/>
            <w:vAlign w:val="center"/>
          </w:tcPr>
          <w:p w14:paraId="794677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929" w:type="dxa"/>
            <w:shd w:val="clear" w:color="auto" w:fill="auto"/>
            <w:vAlign w:val="center"/>
          </w:tcPr>
          <w:p w14:paraId="1F67CB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是否退还响应文件</w:t>
            </w:r>
          </w:p>
        </w:tc>
        <w:tc>
          <w:tcPr>
            <w:tcW w:w="6580" w:type="dxa"/>
            <w:shd w:val="clear" w:color="auto" w:fill="auto"/>
            <w:vAlign w:val="center"/>
          </w:tcPr>
          <w:p w14:paraId="6BF7DFDE">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无论成交与否，一律不退</w:t>
            </w:r>
          </w:p>
        </w:tc>
      </w:tr>
      <w:tr w14:paraId="165E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7E77F1F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929" w:type="dxa"/>
            <w:shd w:val="clear" w:color="auto" w:fill="auto"/>
            <w:vAlign w:val="center"/>
          </w:tcPr>
          <w:p w14:paraId="5A8ACF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纸质版响应文件递交地点及响应文件截止时间</w:t>
            </w:r>
          </w:p>
        </w:tc>
        <w:tc>
          <w:tcPr>
            <w:tcW w:w="6580" w:type="dxa"/>
            <w:shd w:val="clear" w:color="auto" w:fill="auto"/>
            <w:vAlign w:val="center"/>
          </w:tcPr>
          <w:p w14:paraId="1A3BA72E">
            <w:pPr>
              <w:spacing w:line="360" w:lineRule="auto"/>
              <w:ind w:left="42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递交地点：延安市为民服务中心7号楼二楼（延安市公共资源交易</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厅）</w:t>
            </w:r>
          </w:p>
          <w:p w14:paraId="7D89466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截止时间：2024年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分 </w:t>
            </w:r>
          </w:p>
        </w:tc>
      </w:tr>
      <w:tr w14:paraId="4FD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53D886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1929" w:type="dxa"/>
            <w:shd w:val="clear" w:color="auto" w:fill="auto"/>
            <w:vAlign w:val="center"/>
          </w:tcPr>
          <w:p w14:paraId="34BD6421">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谈判保证金</w:t>
            </w:r>
          </w:p>
          <w:p w14:paraId="60B70FA4">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形式</w:t>
            </w:r>
          </w:p>
        </w:tc>
        <w:tc>
          <w:tcPr>
            <w:tcW w:w="6580" w:type="dxa"/>
            <w:shd w:val="clear" w:color="auto" w:fill="auto"/>
            <w:vAlign w:val="center"/>
          </w:tcPr>
          <w:p w14:paraId="69DFF59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本项目不收取保证金。</w:t>
            </w:r>
          </w:p>
        </w:tc>
      </w:tr>
      <w:tr w14:paraId="5494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2DF6CEF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929" w:type="dxa"/>
            <w:shd w:val="clear" w:color="auto" w:fill="auto"/>
            <w:vAlign w:val="center"/>
          </w:tcPr>
          <w:p w14:paraId="706DDF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谈判时间和地点</w:t>
            </w:r>
          </w:p>
        </w:tc>
        <w:tc>
          <w:tcPr>
            <w:tcW w:w="6580" w:type="dxa"/>
            <w:shd w:val="clear" w:color="auto" w:fill="auto"/>
            <w:vAlign w:val="center"/>
          </w:tcPr>
          <w:p w14:paraId="4213A87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谈判时间：2024年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 xml:space="preserve">分 </w:t>
            </w:r>
          </w:p>
          <w:p w14:paraId="073342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谈判地点：延安市公共资源交易中心交易</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厅</w:t>
            </w:r>
          </w:p>
        </w:tc>
      </w:tr>
      <w:tr w14:paraId="37F6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4EEF983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1929" w:type="dxa"/>
            <w:shd w:val="clear" w:color="auto" w:fill="auto"/>
            <w:vAlign w:val="center"/>
          </w:tcPr>
          <w:p w14:paraId="58AED8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谈判小组成员的组建</w:t>
            </w:r>
          </w:p>
        </w:tc>
        <w:tc>
          <w:tcPr>
            <w:tcW w:w="6580" w:type="dxa"/>
            <w:shd w:val="clear" w:color="auto" w:fill="auto"/>
            <w:vAlign w:val="center"/>
          </w:tcPr>
          <w:p w14:paraId="46C42A3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谈判小组构成：3人</w:t>
            </w:r>
          </w:p>
          <w:p w14:paraId="6E93D2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谈判专家确定方式：陕西省政府采购专家库随机抽取</w:t>
            </w:r>
          </w:p>
        </w:tc>
      </w:tr>
      <w:tr w14:paraId="4C66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0CBAD8A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p>
        </w:tc>
        <w:tc>
          <w:tcPr>
            <w:tcW w:w="1929" w:type="dxa"/>
            <w:shd w:val="clear" w:color="auto" w:fill="auto"/>
            <w:vAlign w:val="center"/>
          </w:tcPr>
          <w:p w14:paraId="77152D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是否授权谈判小组确定成交供应商</w:t>
            </w:r>
          </w:p>
        </w:tc>
        <w:tc>
          <w:tcPr>
            <w:tcW w:w="6580" w:type="dxa"/>
            <w:shd w:val="clear" w:color="auto" w:fill="auto"/>
            <w:vAlign w:val="center"/>
          </w:tcPr>
          <w:p w14:paraId="0289A88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是，推荐的成交候选人数：3人</w:t>
            </w:r>
          </w:p>
          <w:p w14:paraId="7612DAF1">
            <w:pPr>
              <w:pStyle w:val="6"/>
              <w:spacing w:line="360" w:lineRule="auto"/>
              <w:rPr>
                <w:rFonts w:hint="eastAsia" w:ascii="宋体" w:hAnsi="宋体" w:eastAsia="宋体" w:cs="宋体"/>
                <w:sz w:val="24"/>
                <w:szCs w:val="24"/>
                <w:highlight w:val="none"/>
              </w:rPr>
            </w:pPr>
          </w:p>
        </w:tc>
      </w:tr>
      <w:tr w14:paraId="522A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0" w:type="dxa"/>
            <w:shd w:val="clear" w:color="auto" w:fill="auto"/>
            <w:vAlign w:val="center"/>
          </w:tcPr>
          <w:p w14:paraId="0BBB2B9E">
            <w:pPr>
              <w:spacing w:line="360" w:lineRule="auto"/>
              <w:jc w:val="center"/>
              <w:rPr>
                <w:rFonts w:hint="eastAsia" w:ascii="宋体" w:hAnsi="宋体" w:eastAsia="宋体" w:cs="宋体"/>
                <w:color w:val="FFFFFF"/>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p>
        </w:tc>
        <w:tc>
          <w:tcPr>
            <w:tcW w:w="1929" w:type="dxa"/>
            <w:shd w:val="clear" w:color="auto" w:fill="auto"/>
            <w:vAlign w:val="center"/>
          </w:tcPr>
          <w:p w14:paraId="268501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谈判有效期</w:t>
            </w:r>
          </w:p>
        </w:tc>
        <w:tc>
          <w:tcPr>
            <w:tcW w:w="6580" w:type="dxa"/>
            <w:shd w:val="clear" w:color="auto" w:fill="auto"/>
            <w:vAlign w:val="center"/>
          </w:tcPr>
          <w:p w14:paraId="57A0E2D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90天（日历天数）</w:t>
            </w:r>
          </w:p>
        </w:tc>
      </w:tr>
      <w:tr w14:paraId="731C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0" w:type="dxa"/>
            <w:shd w:val="clear" w:color="auto" w:fill="auto"/>
            <w:vAlign w:val="center"/>
          </w:tcPr>
          <w:p w14:paraId="36C1100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p>
        </w:tc>
        <w:tc>
          <w:tcPr>
            <w:tcW w:w="1929" w:type="dxa"/>
            <w:shd w:val="clear" w:color="auto" w:fill="auto"/>
            <w:vAlign w:val="center"/>
          </w:tcPr>
          <w:p w14:paraId="27915CC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供货期</w:t>
            </w:r>
          </w:p>
        </w:tc>
        <w:tc>
          <w:tcPr>
            <w:tcW w:w="6580" w:type="dxa"/>
            <w:shd w:val="clear" w:color="auto" w:fill="auto"/>
            <w:vAlign w:val="center"/>
          </w:tcPr>
          <w:p w14:paraId="0EA1E0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30个工作日；</w:t>
            </w:r>
          </w:p>
        </w:tc>
      </w:tr>
      <w:tr w14:paraId="375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0" w:type="dxa"/>
            <w:shd w:val="clear" w:color="auto" w:fill="auto"/>
            <w:vAlign w:val="center"/>
          </w:tcPr>
          <w:p w14:paraId="32572DD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929" w:type="dxa"/>
            <w:shd w:val="clear" w:color="auto" w:fill="auto"/>
            <w:vAlign w:val="center"/>
          </w:tcPr>
          <w:p w14:paraId="5587215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6580" w:type="dxa"/>
            <w:shd w:val="clear" w:color="auto" w:fill="auto"/>
            <w:vAlign w:val="center"/>
          </w:tcPr>
          <w:p w14:paraId="3C161C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1年。</w:t>
            </w:r>
          </w:p>
        </w:tc>
      </w:tr>
      <w:tr w14:paraId="5F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5E62EFD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p>
        </w:tc>
        <w:tc>
          <w:tcPr>
            <w:tcW w:w="1929" w:type="dxa"/>
            <w:shd w:val="clear" w:color="auto" w:fill="auto"/>
            <w:vAlign w:val="center"/>
          </w:tcPr>
          <w:p w14:paraId="1498AC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是否采用电子谈判及响应</w:t>
            </w:r>
          </w:p>
        </w:tc>
        <w:tc>
          <w:tcPr>
            <w:tcW w:w="6580" w:type="dxa"/>
            <w:shd w:val="clear" w:color="auto" w:fill="auto"/>
            <w:vAlign w:val="center"/>
          </w:tcPr>
          <w:p w14:paraId="401AD15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r>
      <w:tr w14:paraId="2A0C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3F01C017">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p>
        </w:tc>
        <w:tc>
          <w:tcPr>
            <w:tcW w:w="1929" w:type="dxa"/>
            <w:shd w:val="clear" w:color="auto" w:fill="auto"/>
            <w:vAlign w:val="center"/>
          </w:tcPr>
          <w:p w14:paraId="4133168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成交候选人公示媒介及期限</w:t>
            </w:r>
          </w:p>
        </w:tc>
        <w:tc>
          <w:tcPr>
            <w:tcW w:w="6580" w:type="dxa"/>
            <w:shd w:val="clear" w:color="auto" w:fill="auto"/>
            <w:vAlign w:val="center"/>
          </w:tcPr>
          <w:p w14:paraId="5FF459F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公示媒介：陕西省政府采购网、全国公共资源交易平台（陕西省·延安市）</w:t>
            </w:r>
          </w:p>
          <w:p w14:paraId="3C2D1F0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公示期限：1个工作日</w:t>
            </w:r>
          </w:p>
        </w:tc>
      </w:tr>
      <w:tr w14:paraId="0556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shd w:val="clear" w:color="auto" w:fill="auto"/>
            <w:vAlign w:val="center"/>
          </w:tcPr>
          <w:p w14:paraId="46DD7A7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p>
        </w:tc>
        <w:tc>
          <w:tcPr>
            <w:tcW w:w="1929" w:type="dxa"/>
            <w:shd w:val="clear" w:color="auto" w:fill="auto"/>
            <w:vAlign w:val="center"/>
          </w:tcPr>
          <w:p w14:paraId="39AF086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未成交补偿</w:t>
            </w:r>
          </w:p>
        </w:tc>
        <w:tc>
          <w:tcPr>
            <w:tcW w:w="6580" w:type="dxa"/>
            <w:shd w:val="clear" w:color="auto" w:fill="auto"/>
            <w:vAlign w:val="center"/>
          </w:tcPr>
          <w:p w14:paraId="0AE16E72">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无补偿</w:t>
            </w:r>
          </w:p>
        </w:tc>
      </w:tr>
      <w:tr w14:paraId="2C8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0" w:type="dxa"/>
            <w:shd w:val="clear" w:color="auto" w:fill="auto"/>
            <w:vAlign w:val="center"/>
          </w:tcPr>
          <w:p w14:paraId="6EE57FF8">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p>
        </w:tc>
        <w:tc>
          <w:tcPr>
            <w:tcW w:w="8509" w:type="dxa"/>
            <w:gridSpan w:val="2"/>
            <w:shd w:val="clear" w:color="auto" w:fill="auto"/>
            <w:vAlign w:val="center"/>
          </w:tcPr>
          <w:p w14:paraId="756B32B2">
            <w:pPr>
              <w:spacing w:line="360" w:lineRule="auto"/>
              <w:ind w:firstLine="1680" w:firstLineChars="700"/>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14:paraId="51A1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39" w:type="dxa"/>
            <w:gridSpan w:val="3"/>
            <w:shd w:val="clear" w:color="auto" w:fill="auto"/>
            <w:vAlign w:val="center"/>
          </w:tcPr>
          <w:p w14:paraId="55C3BFCA">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竞争性谈判文件的最终解释权归谈判代理机构所有</w:t>
            </w:r>
          </w:p>
        </w:tc>
      </w:tr>
    </w:tbl>
    <w:p w14:paraId="3FFE88FC">
      <w:pPr>
        <w:tabs>
          <w:tab w:val="left" w:pos="760"/>
        </w:tabs>
        <w:spacing w:line="590" w:lineRule="exact"/>
        <w:ind w:left="360"/>
        <w:rPr>
          <w:rFonts w:hint="eastAsia" w:ascii="宋体" w:hAnsi="宋体" w:eastAsia="宋体" w:cs="宋体"/>
        </w:rPr>
      </w:pPr>
      <w:r>
        <w:rPr>
          <w:rFonts w:hint="eastAsia" w:ascii="宋体" w:hAnsi="宋体" w:eastAsia="宋体" w:cs="宋体"/>
          <w:b/>
          <w:sz w:val="32"/>
        </w:rPr>
        <w:t>1.总则</w:t>
      </w:r>
    </w:p>
    <w:p w14:paraId="22DA1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谈判项目概况</w:t>
      </w:r>
    </w:p>
    <w:p w14:paraId="22AE45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根据《中华人民共和国政府采购法》、《中华人民共和国政府采购法实施条例》等有关法律、法规和规章的规定，本谈判项目已具备谈判条件，现对</w:t>
      </w:r>
      <w:r>
        <w:rPr>
          <w:rFonts w:hint="eastAsia" w:ascii="宋体" w:hAnsi="宋体" w:eastAsia="宋体" w:cs="宋体"/>
          <w:sz w:val="24"/>
          <w:szCs w:val="24"/>
          <w:lang w:eastAsia="zh-CN"/>
        </w:rPr>
        <w:t>黄陵县人民检察院安防设备升级改造及业务通报显示屏更换采购项目</w:t>
      </w:r>
      <w:r>
        <w:rPr>
          <w:rFonts w:hint="eastAsia" w:ascii="宋体" w:hAnsi="宋体" w:eastAsia="宋体" w:cs="宋体"/>
          <w:sz w:val="24"/>
          <w:szCs w:val="24"/>
        </w:rPr>
        <w:t>进行谈判。</w:t>
      </w:r>
    </w:p>
    <w:p w14:paraId="12BBD8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采购人：见供应商须知前附表。</w:t>
      </w:r>
    </w:p>
    <w:p w14:paraId="4B771B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谈判组织机构：见供应商须知前附表。</w:t>
      </w:r>
    </w:p>
    <w:p w14:paraId="337786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谈判项目名称：见供应商须知前附表。</w:t>
      </w:r>
    </w:p>
    <w:p w14:paraId="0B5D8B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项目预算：见供应商须知前附表。</w:t>
      </w:r>
    </w:p>
    <w:p w14:paraId="1EADD550">
      <w:pPr>
        <w:spacing w:line="360" w:lineRule="auto"/>
        <w:ind w:left="500"/>
        <w:rPr>
          <w:rFonts w:hint="eastAsia" w:ascii="宋体" w:hAnsi="宋体" w:eastAsia="宋体" w:cs="宋体"/>
          <w:sz w:val="24"/>
          <w:szCs w:val="24"/>
        </w:rPr>
      </w:pPr>
      <w:r>
        <w:rPr>
          <w:rFonts w:hint="eastAsia" w:ascii="宋体" w:hAnsi="宋体" w:eastAsia="宋体" w:cs="宋体"/>
          <w:sz w:val="24"/>
          <w:szCs w:val="24"/>
        </w:rPr>
        <w:t>1.2 供应商资格要求</w:t>
      </w:r>
    </w:p>
    <w:p w14:paraId="0DDD1D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供应商应具备承担本谈判项目资质条件：</w:t>
      </w:r>
    </w:p>
    <w:p w14:paraId="76BCD8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（1）资质要求：见供应商须知前附表；</w:t>
      </w:r>
    </w:p>
    <w:p w14:paraId="45C58E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1.2.2供应商不得存在下列情形之一：</w:t>
      </w:r>
    </w:p>
    <w:p w14:paraId="4709E3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（1）为采购人不具有独立法人资格的附属机构（单位）；</w:t>
      </w:r>
    </w:p>
    <w:p w14:paraId="6165F2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（2）与采购人存在利害关系且可能影响谈判公正性；</w:t>
      </w:r>
    </w:p>
    <w:p w14:paraId="1F163E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（3）与本谈判项目的其他供应商为同一个单位负责人；</w:t>
      </w:r>
    </w:p>
    <w:p w14:paraId="3376C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（4）与本谈判项目的其他供应商存在控股、管理关系；</w:t>
      </w:r>
    </w:p>
    <w:p w14:paraId="6EC9C4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（5）为本谈判项目的代建人；</w:t>
      </w:r>
    </w:p>
    <w:p w14:paraId="4D9553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（6）为本谈判项目的谈判组织机构；</w:t>
      </w:r>
    </w:p>
    <w:p w14:paraId="74A4C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（7）与本谈判项目的代建人或谈判组织机构同为一个法定代表人；</w:t>
      </w:r>
    </w:p>
    <w:p w14:paraId="70ABD6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（8）与本谈判项目的代建人或谈判组织机构存在控股或参股关系；</w:t>
      </w:r>
    </w:p>
    <w:p w14:paraId="0B4064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（9）被依法暂停或者取消谈判资格；</w:t>
      </w:r>
    </w:p>
    <w:p w14:paraId="404F10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14:paraId="3438BA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14:paraId="7F4FA7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（12）在最近三年内发生重大工程质量问题（以相关行业主管部门的行政处罚决定或司法机关出具的有关法律文书为准）；</w:t>
      </w:r>
    </w:p>
    <w:p w14:paraId="2DCBC6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14:paraId="7D78CBFD">
      <w:pPr>
        <w:numPr>
          <w:ilvl w:val="0"/>
          <w:numId w:val="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被最高人民法院在“信用中国”网站（www.creditchina.gov.cn）或各级信用信息共享平台中列入失信被执行人名单；</w:t>
      </w:r>
    </w:p>
    <w:p w14:paraId="1E3693C3">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法律法规或供应商须知前附表规定的其他情形。</w:t>
      </w:r>
    </w:p>
    <w:p w14:paraId="2ECF5437">
      <w:pPr>
        <w:spacing w:line="360" w:lineRule="auto"/>
        <w:ind w:left="500"/>
        <w:rPr>
          <w:rFonts w:hint="eastAsia" w:ascii="宋体" w:hAnsi="宋体" w:eastAsia="宋体" w:cs="宋体"/>
          <w:sz w:val="24"/>
          <w:szCs w:val="24"/>
        </w:rPr>
      </w:pPr>
      <w:r>
        <w:rPr>
          <w:rFonts w:hint="eastAsia" w:ascii="宋体" w:hAnsi="宋体" w:eastAsia="宋体" w:cs="宋体"/>
          <w:sz w:val="24"/>
          <w:szCs w:val="24"/>
        </w:rPr>
        <w:t>1.3 费用承担</w:t>
      </w:r>
    </w:p>
    <w:p w14:paraId="62DE9A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供应商准备和参加谈判活动发生的费用自理。</w:t>
      </w:r>
    </w:p>
    <w:p w14:paraId="10DBBB2A">
      <w:pPr>
        <w:spacing w:line="360" w:lineRule="auto"/>
        <w:ind w:left="500"/>
        <w:rPr>
          <w:rFonts w:hint="eastAsia" w:ascii="宋体" w:hAnsi="宋体" w:eastAsia="宋体" w:cs="宋体"/>
          <w:sz w:val="24"/>
          <w:szCs w:val="24"/>
        </w:rPr>
      </w:pPr>
      <w:r>
        <w:rPr>
          <w:rFonts w:hint="eastAsia" w:ascii="宋体" w:hAnsi="宋体" w:eastAsia="宋体" w:cs="宋体"/>
          <w:sz w:val="24"/>
          <w:szCs w:val="24"/>
        </w:rPr>
        <w:t>1.4 保密</w:t>
      </w:r>
    </w:p>
    <w:p w14:paraId="58A7E6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参与谈判活动的各方应对谈判文件和响应文件中的商业和技术等秘密保密，否则应承担相应的法律责任。</w:t>
      </w:r>
    </w:p>
    <w:p w14:paraId="3C470341">
      <w:pPr>
        <w:spacing w:line="360" w:lineRule="auto"/>
        <w:ind w:left="500"/>
        <w:rPr>
          <w:rFonts w:hint="eastAsia" w:ascii="宋体" w:hAnsi="宋体" w:eastAsia="宋体" w:cs="宋体"/>
          <w:sz w:val="24"/>
          <w:szCs w:val="24"/>
        </w:rPr>
      </w:pPr>
      <w:r>
        <w:rPr>
          <w:rFonts w:hint="eastAsia" w:ascii="宋体" w:hAnsi="宋体" w:eastAsia="宋体" w:cs="宋体"/>
          <w:sz w:val="24"/>
          <w:szCs w:val="24"/>
        </w:rPr>
        <w:t>1.5 语言文字</w:t>
      </w:r>
    </w:p>
    <w:p w14:paraId="0B54B5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谈判响应文件使用的语言文字为中文。专用术语使用外文的，应附有中文注释。</w:t>
      </w:r>
    </w:p>
    <w:p w14:paraId="4BD1FD02">
      <w:pPr>
        <w:spacing w:line="360" w:lineRule="auto"/>
        <w:ind w:left="500"/>
        <w:rPr>
          <w:rFonts w:hint="eastAsia" w:ascii="宋体" w:hAnsi="宋体" w:eastAsia="宋体" w:cs="宋体"/>
          <w:sz w:val="24"/>
          <w:szCs w:val="24"/>
        </w:rPr>
      </w:pPr>
      <w:r>
        <w:rPr>
          <w:rFonts w:hint="eastAsia" w:ascii="宋体" w:hAnsi="宋体" w:eastAsia="宋体" w:cs="宋体"/>
          <w:sz w:val="24"/>
          <w:szCs w:val="24"/>
        </w:rPr>
        <w:t>1.6 计量单位</w:t>
      </w:r>
    </w:p>
    <w:p w14:paraId="51E41D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373E47F1">
      <w:pPr>
        <w:spacing w:line="360" w:lineRule="auto"/>
        <w:ind w:left="500"/>
        <w:rPr>
          <w:rFonts w:hint="eastAsia" w:ascii="宋体" w:hAnsi="宋体" w:eastAsia="宋体" w:cs="宋体"/>
          <w:sz w:val="24"/>
          <w:szCs w:val="24"/>
        </w:rPr>
      </w:pPr>
      <w:r>
        <w:rPr>
          <w:rFonts w:hint="eastAsia" w:ascii="宋体" w:hAnsi="宋体" w:eastAsia="宋体" w:cs="宋体"/>
          <w:sz w:val="24"/>
          <w:szCs w:val="24"/>
        </w:rPr>
        <w:t>1.7 踏勘现场</w:t>
      </w:r>
    </w:p>
    <w:p w14:paraId="6B5AB0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供应商须知前附表规定组织踏勘现场的，采购人按供应商须知前附表规定的时间、地</w:t>
      </w:r>
    </w:p>
    <w:p w14:paraId="11428623">
      <w:pPr>
        <w:spacing w:line="360" w:lineRule="auto"/>
        <w:rPr>
          <w:rFonts w:hint="eastAsia" w:ascii="宋体" w:hAnsi="宋体" w:eastAsia="宋体" w:cs="宋体"/>
          <w:sz w:val="24"/>
          <w:szCs w:val="24"/>
        </w:rPr>
      </w:pPr>
      <w:r>
        <w:rPr>
          <w:rFonts w:hint="eastAsia" w:ascii="宋体" w:hAnsi="宋体" w:eastAsia="宋体" w:cs="宋体"/>
          <w:sz w:val="24"/>
          <w:szCs w:val="24"/>
        </w:rPr>
        <w:t>点组织供应商踏勘项目现场。部分供应商未按时参加踏勘现场的，不影响踏勘现场的正常进行。</w:t>
      </w:r>
    </w:p>
    <w:p w14:paraId="4020A0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供应商踏勘现场发生的费用自理。</w:t>
      </w:r>
    </w:p>
    <w:p w14:paraId="3ECB08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除采购人的原因外，供应商自行负责在踏勘现场中所发生的人员伤亡和财产损失与采购人和谈判组织机构无关。</w:t>
      </w:r>
    </w:p>
    <w:p w14:paraId="0E05A3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1.7.4 采购人在踏勘现场中介绍的工程场地和相关的周边环境情况，供应商在编制响应文</w:t>
      </w:r>
    </w:p>
    <w:p w14:paraId="0954C697">
      <w:pPr>
        <w:spacing w:line="360" w:lineRule="auto"/>
        <w:rPr>
          <w:rFonts w:hint="eastAsia" w:ascii="宋体" w:hAnsi="宋体" w:eastAsia="宋体" w:cs="宋体"/>
          <w:sz w:val="24"/>
          <w:szCs w:val="24"/>
        </w:rPr>
      </w:pPr>
      <w:r>
        <w:rPr>
          <w:rFonts w:hint="eastAsia" w:ascii="宋体" w:hAnsi="宋体" w:eastAsia="宋体" w:cs="宋体"/>
          <w:sz w:val="24"/>
          <w:szCs w:val="24"/>
        </w:rPr>
        <w:t>件时参考，采购人不对供应商据此作出的判断和决策负责。</w:t>
      </w:r>
    </w:p>
    <w:p w14:paraId="14533765">
      <w:pPr>
        <w:spacing w:line="360" w:lineRule="auto"/>
        <w:ind w:left="500"/>
        <w:rPr>
          <w:rFonts w:hint="eastAsia" w:ascii="宋体" w:hAnsi="宋体" w:eastAsia="宋体" w:cs="宋体"/>
          <w:sz w:val="24"/>
          <w:szCs w:val="24"/>
        </w:rPr>
      </w:pPr>
      <w:r>
        <w:rPr>
          <w:rFonts w:hint="eastAsia" w:ascii="宋体" w:hAnsi="宋体" w:eastAsia="宋体" w:cs="宋体"/>
          <w:sz w:val="24"/>
          <w:szCs w:val="24"/>
        </w:rPr>
        <w:t>1.8 谈判预备会</w:t>
      </w:r>
    </w:p>
    <w:p w14:paraId="5780DB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供应商须知前附表规定召开谈判预备会的，采购人按供应商须知前附表规定的时间和</w:t>
      </w:r>
    </w:p>
    <w:p w14:paraId="056EFE94">
      <w:pPr>
        <w:spacing w:line="360" w:lineRule="auto"/>
        <w:rPr>
          <w:rFonts w:hint="eastAsia" w:ascii="宋体" w:hAnsi="宋体" w:eastAsia="宋体" w:cs="宋体"/>
          <w:sz w:val="24"/>
          <w:szCs w:val="24"/>
        </w:rPr>
      </w:pPr>
      <w:r>
        <w:rPr>
          <w:rFonts w:hint="eastAsia" w:ascii="宋体" w:hAnsi="宋体" w:eastAsia="宋体" w:cs="宋体"/>
          <w:sz w:val="24"/>
          <w:szCs w:val="24"/>
        </w:rPr>
        <w:t>地点召开谈判预备会，澄清供应商提出的问题。</w:t>
      </w:r>
    </w:p>
    <w:p w14:paraId="0E2931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供应商应按供应商须知前附表规定的时间和形式将提出的问题送达采购人，以便采购</w:t>
      </w:r>
    </w:p>
    <w:p w14:paraId="5D62D538">
      <w:pPr>
        <w:spacing w:line="360" w:lineRule="auto"/>
        <w:rPr>
          <w:rFonts w:hint="eastAsia" w:ascii="宋体" w:hAnsi="宋体" w:eastAsia="宋体" w:cs="宋体"/>
          <w:sz w:val="24"/>
          <w:szCs w:val="24"/>
        </w:rPr>
      </w:pPr>
      <w:r>
        <w:rPr>
          <w:rFonts w:hint="eastAsia" w:ascii="宋体" w:hAnsi="宋体" w:eastAsia="宋体" w:cs="宋体"/>
          <w:sz w:val="24"/>
          <w:szCs w:val="24"/>
        </w:rPr>
        <w:t>人在会议期间澄清。</w:t>
      </w:r>
    </w:p>
    <w:p w14:paraId="339AA1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 谈判预备会后，采购人将对供应商所提问题的澄清，以供应商须知前附表规定的形式</w:t>
      </w:r>
    </w:p>
    <w:p w14:paraId="4E2CFBFF">
      <w:pPr>
        <w:spacing w:line="360" w:lineRule="auto"/>
        <w:rPr>
          <w:rFonts w:hint="eastAsia" w:ascii="宋体" w:hAnsi="宋体" w:eastAsia="宋体" w:cs="宋体"/>
          <w:sz w:val="24"/>
          <w:szCs w:val="24"/>
        </w:rPr>
      </w:pPr>
      <w:r>
        <w:rPr>
          <w:rFonts w:hint="eastAsia" w:ascii="宋体" w:hAnsi="宋体" w:eastAsia="宋体" w:cs="宋体"/>
          <w:sz w:val="24"/>
          <w:szCs w:val="24"/>
        </w:rPr>
        <w:t>通知所有购买谈判文件的供应商。该澄清内容为谈判文件的组成部分。</w:t>
      </w:r>
    </w:p>
    <w:p w14:paraId="2ECC3A9B">
      <w:pPr>
        <w:spacing w:line="360" w:lineRule="auto"/>
        <w:ind w:firstLine="480" w:firstLineChars="200"/>
        <w:rPr>
          <w:rFonts w:hint="eastAsia" w:ascii="宋体" w:hAnsi="宋体" w:eastAsia="宋体" w:cs="宋体"/>
          <w:sz w:val="24"/>
          <w:szCs w:val="24"/>
        </w:rPr>
      </w:pPr>
      <w:bookmarkStart w:id="8" w:name="page24"/>
      <w:bookmarkEnd w:id="8"/>
      <w:r>
        <w:rPr>
          <w:rFonts w:hint="eastAsia" w:ascii="宋体" w:hAnsi="宋体" w:eastAsia="宋体" w:cs="宋体"/>
          <w:sz w:val="24"/>
          <w:szCs w:val="24"/>
        </w:rPr>
        <w:t>1.9 分包</w:t>
      </w:r>
    </w:p>
    <w:p w14:paraId="6BF12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供应商拟在成交后将成交项目的非主体、非关键性分项工程进行分包的，应符合供应商须知前附表规定的分包内容、分包金额和资质要求等限制性条件，除供应商须知前附表规定的非主体、非关键性工程外，其他工作不得分包。</w:t>
      </w:r>
    </w:p>
    <w:p w14:paraId="1D3492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成交人不得向他人转让成交项目，接受分包的人不得再次分包。成交人应当就分包项目向采购人负责，接受分包的人就分包项目承担连带责任。</w:t>
      </w:r>
    </w:p>
    <w:p w14:paraId="04EF6BCF">
      <w:pPr>
        <w:spacing w:line="360" w:lineRule="auto"/>
        <w:ind w:left="500"/>
        <w:rPr>
          <w:rFonts w:hint="eastAsia" w:ascii="宋体" w:hAnsi="宋体" w:eastAsia="宋体" w:cs="宋体"/>
          <w:sz w:val="24"/>
          <w:szCs w:val="24"/>
        </w:rPr>
      </w:pPr>
      <w:r>
        <w:rPr>
          <w:rFonts w:hint="eastAsia" w:ascii="宋体" w:hAnsi="宋体" w:eastAsia="宋体" w:cs="宋体"/>
          <w:sz w:val="24"/>
          <w:szCs w:val="24"/>
        </w:rPr>
        <w:t>1.10 响应和偏差</w:t>
      </w:r>
    </w:p>
    <w:p w14:paraId="700788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1.10.1 响应文件应当对谈判文件的实质性要求和条件作出满足性或更有利于采购人的响应，</w:t>
      </w:r>
    </w:p>
    <w:p w14:paraId="6C055407">
      <w:pPr>
        <w:spacing w:line="360" w:lineRule="auto"/>
        <w:rPr>
          <w:rFonts w:hint="eastAsia" w:ascii="宋体" w:hAnsi="宋体" w:eastAsia="宋体" w:cs="宋体"/>
          <w:sz w:val="24"/>
          <w:szCs w:val="24"/>
        </w:rPr>
      </w:pPr>
      <w:r>
        <w:rPr>
          <w:rFonts w:hint="eastAsia" w:ascii="宋体" w:hAnsi="宋体" w:eastAsia="宋体" w:cs="宋体"/>
          <w:sz w:val="24"/>
          <w:szCs w:val="24"/>
        </w:rPr>
        <w:t>否则，供应商的谈判将被否决。</w:t>
      </w:r>
    </w:p>
    <w:p w14:paraId="237591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1.10.2 供应商应根据谈判文件的要求提供谈判项目实施等内容以对谈判文件作出响应。</w:t>
      </w:r>
    </w:p>
    <w:p w14:paraId="705000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2.谈判及谈判文件</w:t>
      </w:r>
    </w:p>
    <w:p w14:paraId="482A910E">
      <w:pPr>
        <w:overflowPunct w:val="0"/>
        <w:spacing w:line="360" w:lineRule="auto"/>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2.1谈判文件</w:t>
      </w:r>
    </w:p>
    <w:p w14:paraId="240B9271">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2.1.1谈判文件由本文件目录所列第一章至第六章构成。</w:t>
      </w:r>
    </w:p>
    <w:p w14:paraId="6AFDB00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2.2.2谈判文件各章内容对谈判事宜提出明确要求，供应商须仔细阅读和正确理解。因供应商在阅读、理解谈判文件方面产生疏漏和误解，而导致谈判不利后果的或者被废标的，其责任由供应商自负。</w:t>
      </w:r>
    </w:p>
    <w:p w14:paraId="2157A2A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谈判组织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14:paraId="3A071EC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b.供应商要求对谈判文件进行澄清的，必须在谈判截止时间三日前，以书面形式送达谈判组织机构；谈判组织机构将以书面形式予以答复；必要时将书面答复传送给所有谈判文件收受人。</w:t>
      </w:r>
    </w:p>
    <w:p w14:paraId="3E35ABA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谈判组织机构可以视采购具体情况，延长谈判截止时间和谈判时间，但至少在谈判文件要求的提交响应文件的截止时间二日前，将变更时间书面通知所有谈判文件收受人，并在政府采购信息发布媒体上发布变更公告。</w:t>
      </w:r>
    </w:p>
    <w:p w14:paraId="2C066E26">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2.2谈判文件由谈判组织机构登记发售，一经售出，恕不能退。</w:t>
      </w:r>
    </w:p>
    <w:p w14:paraId="0DBC6AC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2.3供应商不得擅自转让、变卖或复制谈判文件进行谈判响应。</w:t>
      </w:r>
    </w:p>
    <w:p w14:paraId="1059B010">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2.4谈判文件的解释权归谈判组织机构。</w:t>
      </w:r>
    </w:p>
    <w:p w14:paraId="5BC3FFC5">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2.5谈判保证金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本项目不收取保证金</w:t>
      </w:r>
      <w:r>
        <w:rPr>
          <w:rFonts w:hint="eastAsia" w:ascii="宋体" w:hAnsi="宋体" w:eastAsia="宋体" w:cs="宋体"/>
          <w:sz w:val="24"/>
          <w:szCs w:val="24"/>
          <w:lang w:eastAsia="zh-CN"/>
        </w:rPr>
        <w:t>）</w:t>
      </w:r>
    </w:p>
    <w:p w14:paraId="09381DF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2.5.1谈判保证金缴纳详见谈判须知前附表；</w:t>
      </w:r>
    </w:p>
    <w:p w14:paraId="48E2F1D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2.5.2查验入账后，可向采购代理机构索取收款收据，将银行转账凭证及采购代理机构开具的收款收据作为缴纳证明，复印件装置谈判文件。</w:t>
      </w:r>
    </w:p>
    <w:p w14:paraId="4565704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2.5.3供应商未交纳、或者未足额交纳、或者未按规定时限交纳保证金的，将被视为自动放弃谈判的权利。</w:t>
      </w:r>
    </w:p>
    <w:p w14:paraId="5F91D23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2.5.4保证金的退还</w:t>
      </w:r>
    </w:p>
    <w:p w14:paraId="783BB56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谈判供应商在响应文件递交截止时间撤回已提交的响应文件的，采购人或者谈判组织机构应当自收到供应商书面撤回通知之日起5个工作日内，退还已收取的谈判保证金，但因谈判供应商自身原因导致无法及时退还的除外。</w:t>
      </w:r>
    </w:p>
    <w:p w14:paraId="25AABCD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采购人或者谈判组织机构应当自成交通知书发出之日起5个工作日内退还未成交供应商的谈判保证金，自采购合同签订之日起5个工作日内退还成交供应商的保证金或者转为成交供应商的合同履约保证金（以成交价5%的标准）。若保证金不足支付的，剩余款项转至谈判保证金缴纳账户。合同履约保证金在项目验收合格后15天内退还给成交供应商（无息）。</w:t>
      </w:r>
    </w:p>
    <w:p w14:paraId="221BFD65">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2.5.5供应商有下列情形之一的，已交纳的谈判保证金不予退还：</w:t>
      </w:r>
    </w:p>
    <w:p w14:paraId="26D4CB62">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a.在响应文件有效期内，撤回响应文件或者擅自退出谈判活动的；</w:t>
      </w:r>
    </w:p>
    <w:p w14:paraId="4C8B3136">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b.成交后无正当理由不与采购人或采购代理机构签订合同的；</w:t>
      </w:r>
    </w:p>
    <w:p w14:paraId="12EBD0D1">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c.成交项目转让给他人，或者在响应文件中未说明，且未经采购代理机构同意，将成交项目分包给他人的；</w:t>
      </w:r>
    </w:p>
    <w:p w14:paraId="7BB6A07D">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d.供应商交纳谈判保证金后，无故不参加谈判活动的；</w:t>
      </w:r>
    </w:p>
    <w:p w14:paraId="2837CEF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e.具有欺诈、无理取闹行为谈判的。</w:t>
      </w:r>
    </w:p>
    <w:p w14:paraId="000B1D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3.响应文件的编制</w:t>
      </w:r>
    </w:p>
    <w:p w14:paraId="457FBC5D">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3.1响应的所有文件、资料、函电文字均须使用简体中文（通用缩写、代号、名称除外）。</w:t>
      </w:r>
    </w:p>
    <w:p w14:paraId="506A0F2E">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3.2供应商在谈判时使用的计量单位须应为公制单位（另有规定的除外）。</w:t>
      </w:r>
    </w:p>
    <w:p w14:paraId="0FD5458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供应商须依据谈判文件内容和响应文件格式的要求编制响应文件，明确表达谈判意愿，详细说明谈判方案、谈判承诺及谈判价格。供应商须保证其编制、递交的响应文件内容真实、合法、有效，并承担相应的法律责任。</w:t>
      </w:r>
    </w:p>
    <w:p w14:paraId="03DA3D5E">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3.4响应文件格式及构成（详见《响应文件格式及构成》章节要求）。</w:t>
      </w:r>
    </w:p>
    <w:p w14:paraId="6670FE6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3.5响应文件中未要求提供备选方案的，供应商只能提交唯一的谈判方案。否则，谈判无效。</w:t>
      </w:r>
    </w:p>
    <w:p w14:paraId="17DC017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3.6响应文件有效期</w:t>
      </w:r>
    </w:p>
    <w:p w14:paraId="6E321D55">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a.响应文件有效期（法人授权书、谈判函、谈判方案）自谈判大会之日起计算不得少于90天。</w:t>
      </w:r>
    </w:p>
    <w:p w14:paraId="139C2890">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在特殊情况下，在响应文件有效期满之前，采购代理机构可向供应商提出延长响应文件有效期的书面要求。供应商书面同意延长响应文件有效期的，供应商资格、保证金有效期相应延长。供应商也可书面拒绝延长有效期（在规定时限内无应答的视为拒绝），供应商资格则自动丧失，但保证金无息退还。</w:t>
      </w:r>
    </w:p>
    <w:p w14:paraId="68CCD854">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3.7响应文件均需打印或用不褪色、不变质的墨水书写，并由供应商的法定代表人或其授权代表在规定签章处签字或盖章。</w:t>
      </w:r>
    </w:p>
    <w:p w14:paraId="1593FB50">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3.8响应文件的打印和书写应清楚工整，任何行间插字、涂改或增删，必须由供应商的法定代表人或其授权代表签字或盖个人印鉴。字迹潦草、表达不清或可能导致非唯一理解的响应文件可能视为无效响应。</w:t>
      </w:r>
    </w:p>
    <w:p w14:paraId="691CFC02">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3.9响应文件正本和副本必须装订成册并编制连续页码（左侧胶装），不按规定制作的响应文件视为无效响应文件。</w:t>
      </w:r>
    </w:p>
    <w:p w14:paraId="17FCD1AA">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3.10响应文件统一用A4幅面纸印制。</w:t>
      </w:r>
    </w:p>
    <w:p w14:paraId="590420AD">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3.11响应文件应根据谈判文件的要求制作，签署、盖章和内容应完整，如有遗漏，供应商将自行承担其响应文件被视为无效响应文件的风险。</w:t>
      </w:r>
    </w:p>
    <w:p w14:paraId="0E66765A">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3.12响应文件正、副本需逐页加盖公章。</w:t>
      </w:r>
    </w:p>
    <w:p w14:paraId="0BD70495">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3.13响应文件的递交</w:t>
      </w:r>
    </w:p>
    <w:p w14:paraId="52D79036">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a.供应商须按谈判文件确定的时间和地点（详见供应商须知前附表），将全部响应文件递交至采购代理机构项目承办人。</w:t>
      </w:r>
    </w:p>
    <w:p w14:paraId="32C4376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b.谈判组织机构项目承办人仅负责响应文件的接收、清点、记录工作，并请递交人签字确认。</w:t>
      </w:r>
    </w:p>
    <w:p w14:paraId="2C8EC882">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c.递交、接收手续完毕的文件由谈判组织机构项目承办人妥善保管，任何人不得擅自拆封、调换和退回。</w:t>
      </w:r>
    </w:p>
    <w:p w14:paraId="7CAEE56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d.在宣布递交响应文件时间截止之后，任何人送达、递交的响应文件和文书资料，谈判组织机构拒绝接收。</w:t>
      </w:r>
    </w:p>
    <w:p w14:paraId="5CA2EFB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e.无论供应商成交与否，其响应文件恕不退还。</w:t>
      </w:r>
    </w:p>
    <w:p w14:paraId="71D316E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3.14响应文件的修改与撤回                                        </w:t>
      </w:r>
    </w:p>
    <w:p w14:paraId="4A233499">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a.供应商只能在谈判截止时间之前，对已递交的响应文件提出补充、修改或撤回的书面申请。补充、修改的内容为响应文件的组成部分。</w:t>
      </w:r>
    </w:p>
    <w:p w14:paraId="43A5BBE8">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b.谈判单位在响应文件递交截止时间后，不得对其响应文件做任何修改。</w:t>
      </w:r>
    </w:p>
    <w:p w14:paraId="4826837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c.在谈判截止时间后，谈判单位不得申请撤销响应文件，如有发生，其谈判保证金将被没收。</w:t>
      </w:r>
    </w:p>
    <w:p w14:paraId="088DE09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d.对撤回的响应文件进行修改、补充、再递交的，按谈判文件规定的响应文件编制、密封及递交要求办理。</w:t>
      </w:r>
    </w:p>
    <w:p w14:paraId="45EEE151">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e.撤回响应文件应以书面的形式通知谈判单位。</w:t>
      </w:r>
    </w:p>
    <w:p w14:paraId="7846CB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4.谈判报价</w:t>
      </w:r>
    </w:p>
    <w:p w14:paraId="4EE877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（1）凡本谈判文件要求及谈判供应商认为需要进行报价的各项费用项目，若谈判时未报或未在谈判文件中予以说明，评标时将视这些费用已取，并已包含在谈判报价中。</w:t>
      </w:r>
    </w:p>
    <w:p w14:paraId="4739A7E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（2）供应商对所投谈判内容不得分解或只报一部分，否则视为非响应性谈判，按无效标处理。</w:t>
      </w:r>
    </w:p>
    <w:p w14:paraId="09EBEC18">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（3）谈判报价只能提交唯一、不可选择的报价。谈判货币：人民币。 </w:t>
      </w:r>
    </w:p>
    <w:p w14:paraId="3ACD0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5.谈判流程</w:t>
      </w:r>
    </w:p>
    <w:p w14:paraId="65EB816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5.1采购代理机构在谈判公告规定的时间和地点通过组织谈判大会的形式公开开标，并邀请所有购买谈判文件的供应商参加。</w:t>
      </w:r>
    </w:p>
    <w:p w14:paraId="16D04A3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5.2谈判大会在递交响应文件截止时间的同一时间举行，出席和参加大会的人员和代表，应在会议开始之前进行会议签到。</w:t>
      </w:r>
    </w:p>
    <w:p w14:paraId="4FBC45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5.3谈判程序</w:t>
      </w:r>
    </w:p>
    <w:p w14:paraId="04C5DC3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主持人按下列程序进行谈判：</w:t>
      </w:r>
    </w:p>
    <w:p w14:paraId="359DEC3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（1）宣布开标纪律；</w:t>
      </w:r>
    </w:p>
    <w:p w14:paraId="067BE9B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（2）公布在谈判截止时间前递交响应文件的供应商名称；</w:t>
      </w:r>
    </w:p>
    <w:p w14:paraId="5AC14B3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（3）宣布开标人、唱标人、记录人、监标人等有关人员姓名；</w:t>
      </w:r>
    </w:p>
    <w:p w14:paraId="446EAED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（4）报价程序。</w:t>
      </w:r>
    </w:p>
    <w:p w14:paraId="6535E9E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 依据《政府采购法》和《政府采购非招标采购方式管理办法》（财政部令第74号）等规定(陕财办采资[2016]53号)，竞争性谈判采用两次报价，主持人在谈判大会不当众宣布谈判报价内容，并将响应文件中谈判报价作为第一次报价。</w:t>
      </w:r>
    </w:p>
    <w:p w14:paraId="605B62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b.大写金额和小写金额不一致的，以大写金额为准；</w:t>
      </w:r>
    </w:p>
    <w:p w14:paraId="2CED97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c.单价金额小数点或者百分比有明显错位的，以谈判一览表（报价表）的总价为准，并修改单价；</w:t>
      </w:r>
    </w:p>
    <w:p w14:paraId="31CA84D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d.总价金额与单价汇总金额不一致的，以单价金额计算结果为准；</w:t>
      </w:r>
    </w:p>
    <w:p w14:paraId="4157992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e. 谈判小组在与供应商一对一谈判后，给各供应商第二次报价机会，即最终报价，评审以最终报价为依据。</w:t>
      </w:r>
    </w:p>
    <w:p w14:paraId="589C487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f.谈判组织机构指定专人对报价全过程进行记录，并存档备查。</w:t>
      </w:r>
    </w:p>
    <w:p w14:paraId="7E94AD08">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（5）供应商代表、采购人代表、监标人、记录人等有关人员在开标记录上签字确认；</w:t>
      </w:r>
    </w:p>
    <w:p w14:paraId="28BF07C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5.4谈判时，响应文件中出现下列情况，修正原则为。</w:t>
      </w:r>
    </w:p>
    <w:p w14:paraId="4399A76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（1）谈判报价的大写金额和小写不一致的，以大写金额为准；</w:t>
      </w:r>
    </w:p>
    <w:p w14:paraId="78B89D1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（2）单价金额小数点有明显错位的，以修改单价为准；</w:t>
      </w:r>
    </w:p>
    <w:p w14:paraId="5D6E964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（3）响应文件正本与副本不一致的，以正本为准；</w:t>
      </w:r>
    </w:p>
    <w:p w14:paraId="7687FA6E">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（4）多处内容交叉不符时，以谈判小组评审结果为准；</w:t>
      </w:r>
    </w:p>
    <w:p w14:paraId="599F499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（5）文字与图表不符时以文字为准。</w:t>
      </w:r>
    </w:p>
    <w:p w14:paraId="4ED71AF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5.5谈判异议</w:t>
      </w:r>
    </w:p>
    <w:p w14:paraId="2D32724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供应商对谈判有异议的，应当在谈判现场提出，采购人当场作出答复，并制作记录。</w:t>
      </w:r>
    </w:p>
    <w:p w14:paraId="03564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6、谈判</w:t>
      </w:r>
    </w:p>
    <w:p w14:paraId="205B53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1.谈判工作由采购代理机构负责组织，具体评标事务由谈判小组成员负责。</w:t>
      </w:r>
    </w:p>
    <w:p w14:paraId="6AADE75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（1）谈判小组由采购人代表和有关技术、经济等方面的专家组成，人数应当为3人以上单数，其中技术、经济等方面的专家不得少于成员总数的三分之二。</w:t>
      </w:r>
    </w:p>
    <w:p w14:paraId="2C9086B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（2）评审工作由采购代理机构负责组织，具体评审事务由谈判小组成员负责。</w:t>
      </w:r>
    </w:p>
    <w:p w14:paraId="3F8DD8D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2.谈判小组成员有下列情形之一的，应当回避：</w:t>
      </w:r>
    </w:p>
    <w:p w14:paraId="3FC4F50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A.采购人或供应商的主要负责人的近亲属。</w:t>
      </w:r>
    </w:p>
    <w:p w14:paraId="01F881C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B.项目主管部门或者行政监督部门的人员。</w:t>
      </w:r>
    </w:p>
    <w:p w14:paraId="35979BA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C.与供应商有经济利益关系，可能影响对采购公正评审的。</w:t>
      </w:r>
    </w:p>
    <w:p w14:paraId="143AAF1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D.曾因在采购、响应文件评审以及其他与采购有关活动中从事违法行为而受过行政处罚或刑事处罚的。 </w:t>
      </w:r>
    </w:p>
    <w:p w14:paraId="2A5B949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3.谈判小组独立履行下列职责和义务：</w:t>
      </w:r>
    </w:p>
    <w:p w14:paraId="165F53A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A.职责：审查响应文件是否符合谈判文件要求，并作出评价；要求供应商对响应文件有关事项作出解释或者澄清；推荐成交候选供应商名单，向采购单位或者有关部门报告非法干预响应文件评审工作的行为。</w:t>
      </w:r>
    </w:p>
    <w:p w14:paraId="6218BA0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义务：遵纪守法，客观、公正、廉洁地履行职责；按照谈判文件规定的响应文件评审方法和响应文件评审标准进行响应文件评审，对评审意见承担个人责任；对响应文件评审过程和结果，以及供应商的商业秘密保密；参与响应文件评审报告的起草；配合有关部门的投诉处理工作；配合采购单位答复供应商提出的质疑。</w:t>
      </w:r>
    </w:p>
    <w:p w14:paraId="69A59D9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谈判小组有权就响应文件中有疑义之处或前后表述不一致的问题，向供应商提出询问或澄清。供应商必须在谈判小组规定的时间内派技术和商务人员进行澄清，有关澄清的内容应以书面形式提交，并由供应商法定代表人或委托代理人签字确认。澄清时供应商只作说明和解释，不得借此对谈判报价、优惠条件、售后服务等实质性内容做任何修改。</w:t>
      </w:r>
    </w:p>
    <w:p w14:paraId="119CB90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D.谈判小组有权对谈判、谈判过程中出现的一切问题，根据相关法律法规，本着公平、公正的原则，提出处理意见，经采购人、谈判组织机构同意后做出处理决定。</w:t>
      </w:r>
    </w:p>
    <w:p w14:paraId="4471FF7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4.评审原则</w:t>
      </w:r>
    </w:p>
    <w:p w14:paraId="6462DA4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按照《中华人民共和国政府采购法》、中华人民共和国2015年第658号国务院令--《中华人民共和国政府采购法实施条例》和中华人民共和国财政部2004年第18号部长令--《政府采购服务招标投标管理办法》的规定，依法组建谈判小组。谈判小组按照竞争性谈判文件规定的评审办法独立进行评审工作。</w:t>
      </w:r>
    </w:p>
    <w:p w14:paraId="3F5D231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4.2竞争性谈判文件和响应文件是评审的依据。在评审中，不得改变竞争性谈判文件中规定的评审标准、方法和成交条件。供应商不得在评审后使用任何方式对响应文件的实质性内容做任何更改。</w:t>
      </w:r>
    </w:p>
    <w:p w14:paraId="7318443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在评审期间，对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响应文件的范围或者改变响应文件的实质性内容。</w:t>
      </w:r>
    </w:p>
    <w:p w14:paraId="04FE769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4.4如果供应商在澄清规定期限内，未能答复或拒绝答复评委会提出的澄清要求，将由谈判小组根据其响应文件按最大风险进行评审。</w:t>
      </w:r>
    </w:p>
    <w:p w14:paraId="3118026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5.评审过程的保密</w:t>
      </w:r>
    </w:p>
    <w:p w14:paraId="01200B5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5.1谈判小组成员和与评审活动有关的工作人员不得泄露有关响应文件的评审和比较、成交供应商的推荐以及与评审有关的其他情况。</w:t>
      </w:r>
    </w:p>
    <w:p w14:paraId="455F189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5.2在评审过程中，如果供应商试图在响应文件的评审和比较、成交供应商的推荐以及与评审有关的其他方面，向评审人、采购人和采购代理机构施加任何影响，其响应将按照无效响应处理。</w:t>
      </w:r>
    </w:p>
    <w:p w14:paraId="6C3F1D7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6.评审办法</w:t>
      </w:r>
    </w:p>
    <w:p w14:paraId="4C5B386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按照中华人民共和国2015年第658号国务院令--《中华人民共和国政府采购法实施条例》和中华人民共和国财政部2017年第87号部长令--《政府采购货物和服务招标投标管理办法》的规定，本次评审采用以下评审办法中的一种： 最低评审价法，即在全部满足竞争性谈判文件实质性要求前提下，依据统一的价格要素评定最低报价，以提出最低报价的供应商作为成交候选供应商并依次排序。</w:t>
      </w:r>
    </w:p>
    <w:p w14:paraId="628F81C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7.评审程序</w:t>
      </w:r>
    </w:p>
    <w:p w14:paraId="3672E8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按照响应文件初审、澄清有关问题、比较与评价、推荐成交候选供应商名单的工作程序进行评审。</w:t>
      </w:r>
    </w:p>
    <w:p w14:paraId="7160299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8.评标保密工作</w:t>
      </w:r>
    </w:p>
    <w:p w14:paraId="11295CB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谈判组织机构必须采取必要措施，保证评标工作在严格保密的情况下进行。任何单位和个人不得非法干预、影响评审方法的确定，以及评标过程和结果。</w:t>
      </w:r>
    </w:p>
    <w:p w14:paraId="7AD72C9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谈判后，直至授予成交合同为止，谈判小组成员及全体与会工作人员不得将响应文件的审查、答疑、评价和比较的有关资料以及成交候选人的推荐情况，与评标有关的其他任何情况均严格保密。违者依法追究其责任。</w:t>
      </w:r>
    </w:p>
    <w:p w14:paraId="2BD6F26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9.响应文件计算错误的修正</w:t>
      </w:r>
    </w:p>
    <w:p w14:paraId="701E26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（1）谈判小组将对确定为实质上响应谈判文件要求的响应文件进行校核，看其是否有计算或表达上的错误，修正错误的原则如下：</w:t>
      </w:r>
    </w:p>
    <w:p w14:paraId="4FC9D1D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a.当出现合价与汇总价不符时为准，重新计算汇总价；当单价与合价不符时，以合价为准，重新调整单价；</w:t>
      </w:r>
    </w:p>
    <w:p w14:paraId="0C84AFC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b.当谈判小组认为供应商有明显的小数点错误，此时应以标书的合价为准，并修改单价。</w:t>
      </w:r>
    </w:p>
    <w:p w14:paraId="59582A6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 谈判完成后，谈判小组应当向采购人提交书面评标报告和成交候选人名单。谈判小组推荐成交候选人的人数见供应商须知前附表。</w:t>
      </w:r>
    </w:p>
    <w:p w14:paraId="265E90D9">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7.合同授予</w:t>
      </w:r>
    </w:p>
    <w:p w14:paraId="14E7A4D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成交候选人公示</w:t>
      </w:r>
    </w:p>
    <w:p w14:paraId="15AC3F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采购人在收到评标报告后2个工作日内，按照评标报告中推荐的成交候选人顺序确定成交供应商，并函复谈判组织机构。按照供应商须知前附表规定的公示媒介和期限公示成交候选人，公示期1个工作日。</w:t>
      </w:r>
    </w:p>
    <w:p w14:paraId="0BFD7E3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成交候选人履约能力审查</w:t>
      </w:r>
    </w:p>
    <w:p w14:paraId="16E0FA6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成交候选人的经营、财务状况发生较大变化或存在违法行为，采购人认为可能影响其履约能力的，将在发出成交通知书前提请原谈判小组按照谈判文件规定的标准和方法进行审查确认。</w:t>
      </w:r>
    </w:p>
    <w:p w14:paraId="4FF2E7C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定标</w:t>
      </w:r>
    </w:p>
    <w:p w14:paraId="34B2BD7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按照供应商须知前附表的规定，采购人或采购人授权的谈判小组依法确定成交人。</w:t>
      </w:r>
    </w:p>
    <w:p w14:paraId="481C82C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成交通知</w:t>
      </w:r>
    </w:p>
    <w:p w14:paraId="08D3189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采购人以书面形式向成交人发出成交通知书，同时将成交结果通知未成交的供应商。</w:t>
      </w:r>
    </w:p>
    <w:p w14:paraId="2563271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7.5签订合同</w:t>
      </w:r>
    </w:p>
    <w:p w14:paraId="67DF1C6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采购人和成交人应当在成交通知书发出之日起15 日内，根据谈判文件和成交人的谈判文件订立书面合同。成交人无正当理由拒签合同，在签订合同时向采购人提出附加条件，或者不按照谈判文件要求提交履约保证金的，采购人有权取消其成交资格，其谈判保证金不予退还；给采购人造成的损失超过谈判保证金数额的，成交人还应当对超过部分予以赔偿。</w:t>
      </w:r>
    </w:p>
    <w:p w14:paraId="7550A7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7.5.2 发出成交通知书后，采购人无正当理由拒签合同，或者在签订合同时向成交人提出附加条件的，采购人向成交人退还谈判保证金；给成交人造成损失的，还应当赔偿损失。</w:t>
      </w:r>
    </w:p>
    <w:p w14:paraId="3239B9A6">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8.纪律和监督</w:t>
      </w:r>
    </w:p>
    <w:p w14:paraId="6B93E9E5">
      <w:pPr>
        <w:spacing w:line="360" w:lineRule="auto"/>
        <w:ind w:left="500"/>
        <w:rPr>
          <w:rFonts w:hint="eastAsia" w:ascii="宋体" w:hAnsi="宋体" w:eastAsia="宋体" w:cs="宋体"/>
          <w:sz w:val="24"/>
          <w:szCs w:val="24"/>
        </w:rPr>
      </w:pPr>
      <w:r>
        <w:rPr>
          <w:rFonts w:hint="eastAsia" w:ascii="宋体" w:hAnsi="宋体" w:eastAsia="宋体" w:cs="宋体"/>
          <w:sz w:val="24"/>
          <w:szCs w:val="24"/>
        </w:rPr>
        <w:t>8.1 对采购人（谈判组织机构）的纪律要求</w:t>
      </w:r>
    </w:p>
    <w:p w14:paraId="2480F92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采购人（谈判组织机构）不得泄露谈判活动中应当保密的情况和资料，不得与供应商串通损害国家利益、社会公共利益或者他人合法权益。</w:t>
      </w:r>
    </w:p>
    <w:p w14:paraId="02E3AD95">
      <w:pPr>
        <w:spacing w:line="360" w:lineRule="auto"/>
        <w:ind w:left="500"/>
        <w:rPr>
          <w:rFonts w:hint="eastAsia" w:ascii="宋体" w:hAnsi="宋体" w:eastAsia="宋体" w:cs="宋体"/>
          <w:sz w:val="24"/>
          <w:szCs w:val="24"/>
        </w:rPr>
      </w:pPr>
      <w:r>
        <w:rPr>
          <w:rFonts w:hint="eastAsia" w:ascii="宋体" w:hAnsi="宋体" w:eastAsia="宋体" w:cs="宋体"/>
          <w:sz w:val="24"/>
          <w:szCs w:val="24"/>
        </w:rPr>
        <w:t>8.2 对供应商的纪律要求</w:t>
      </w:r>
    </w:p>
    <w:p w14:paraId="7386E12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不得相互串通谈判或者与采购人串通谈判，不得向采购人（谈判组织机构）或者谈判小组成员行贿谋取成交，不得以他人名义谈判或者以其他方式弄虚作假骗取成交；供应商不得以任何方式干扰、影响评标工作。</w:t>
      </w:r>
    </w:p>
    <w:p w14:paraId="18778B15">
      <w:pPr>
        <w:spacing w:line="360" w:lineRule="auto"/>
        <w:ind w:left="500"/>
        <w:rPr>
          <w:rFonts w:hint="eastAsia" w:ascii="宋体" w:hAnsi="宋体" w:eastAsia="宋体" w:cs="宋体"/>
          <w:sz w:val="24"/>
          <w:szCs w:val="24"/>
        </w:rPr>
      </w:pPr>
      <w:r>
        <w:rPr>
          <w:rFonts w:hint="eastAsia" w:ascii="宋体" w:hAnsi="宋体" w:eastAsia="宋体" w:cs="宋体"/>
          <w:sz w:val="24"/>
          <w:szCs w:val="24"/>
        </w:rPr>
        <w:t>8.3 对谈判小组成员的纪律要求</w:t>
      </w:r>
    </w:p>
    <w:p w14:paraId="3D1F51D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谈判小组成员不得收受他人的财物或者其他好处，不得向他人透露对响应文件的评审和比较、成交候选人的推荐情况以及评标有关的其他情况。在谈判活动中，谈判小组成员应当客观、公正地履行职责，遵守职业道德，不得擅离职守，影响评标程序正常进行。</w:t>
      </w:r>
    </w:p>
    <w:p w14:paraId="75926057">
      <w:pPr>
        <w:spacing w:line="360" w:lineRule="auto"/>
        <w:ind w:left="500"/>
        <w:rPr>
          <w:rFonts w:hint="eastAsia" w:ascii="宋体" w:hAnsi="宋体" w:eastAsia="宋体" w:cs="宋体"/>
          <w:sz w:val="24"/>
          <w:szCs w:val="24"/>
        </w:rPr>
      </w:pPr>
      <w:r>
        <w:rPr>
          <w:rFonts w:hint="eastAsia" w:ascii="宋体" w:hAnsi="宋体" w:eastAsia="宋体" w:cs="宋体"/>
          <w:sz w:val="24"/>
          <w:szCs w:val="24"/>
        </w:rPr>
        <w:t>8.4 对与谈判活动有关的工作人员的纪律要求</w:t>
      </w:r>
    </w:p>
    <w:p w14:paraId="0B86EA4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与谈判活动有关的工作人员不得收受他人的财物或者其他好处，不得向他人透露对响应文</w:t>
      </w:r>
    </w:p>
    <w:p w14:paraId="51D5BB2B">
      <w:pPr>
        <w:spacing w:line="360" w:lineRule="auto"/>
        <w:jc w:val="left"/>
        <w:rPr>
          <w:rFonts w:hint="eastAsia" w:ascii="宋体" w:hAnsi="宋体" w:eastAsia="宋体" w:cs="宋体"/>
          <w:sz w:val="24"/>
          <w:szCs w:val="24"/>
        </w:rPr>
      </w:pPr>
      <w:r>
        <w:rPr>
          <w:rFonts w:hint="eastAsia" w:ascii="宋体" w:hAnsi="宋体" w:eastAsia="宋体" w:cs="宋体"/>
          <w:sz w:val="24"/>
          <w:szCs w:val="24"/>
        </w:rPr>
        <w:t>件的评审和比较、成交候选人的推荐情况以及评标有关的其他情况。在谈判活动中，与谈判活动有关的工作人员不得擅离职守，影响评标程序正常进行。</w:t>
      </w:r>
    </w:p>
    <w:p w14:paraId="2A82FAA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其它事项</w:t>
      </w:r>
    </w:p>
    <w:p w14:paraId="4720ED30">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中华人民共和国财政部令第74号《政府采购非招标采购方式管理办法》第三十七条之规定：出现下列情形之一的，采购人或者采购代理机构应当终止竞争性谈判采购活动，发布项目终止公告并说明原因，重新开展采购活动：</w:t>
      </w:r>
    </w:p>
    <w:p w14:paraId="005ACEF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（一）因情况变化，不再符合规定的竞争性谈判采购方式适用情形的；</w:t>
      </w:r>
    </w:p>
    <w:p w14:paraId="551C1D6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（二）出现影响采购公正的违法、违规行为的；</w:t>
      </w:r>
    </w:p>
    <w:p w14:paraId="1FBD83A1">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（三）在采购过程中符合竞争要求的供应商或者报价未超过采购预算的供应商不足3家的，但本办法第二十七条第二款规定的情形除外。</w:t>
      </w:r>
    </w:p>
    <w:p w14:paraId="5D7CB8C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成交人应当在成交通知书发出之日起十五日内，按照竞争性谈判文件确定的事项签定政府采购合同，如成交人在法定日内无正当理由拒签合同，谈判组织机构可没收其投标保证金并取消其成交资格，同时将标的授予下一个排名最前的谈判供应商。</w:t>
      </w:r>
    </w:p>
    <w:p w14:paraId="3E623DA1">
      <w:pPr>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落实政府采购政策文件具体如下：</w:t>
      </w:r>
    </w:p>
    <w:p w14:paraId="22B17F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政府采购促进中小企业发展管理办法》（财库〔2020〕46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民法典》订立劳动合同的从业人员，则参与政府采购活动时，货物和服务项目对小型和微型企业产品的价格给予6％-10％的价格扣除，工程项目给予3％-5％的价格扣除，用扣除后的价格参与评审。</w:t>
      </w:r>
    </w:p>
    <w:p w14:paraId="72D49D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在货物采购项目中，投标人提供的货物既有中小企业制造货物，也有大型企业制造货物的，不享受政府采购价格扣除优惠政策。</w:t>
      </w:r>
    </w:p>
    <w:p w14:paraId="77E4B0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受大中型企业与小微企业组成联合体或者允许大中型企业向或者多家小微企业分包的采购项目，对于联合协议或者分包意向协议约定小微企业的合同份额占到合同总金额30％以上的，货物和服务项目可给予联合体或者大中型企业的报价2%-3％的扣除，工程项目为1％-2％的扣除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14:paraId="090957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关于进一步加大政府采购支持中小企业力度的通知》（财库〔2022〕19号）的有关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5527E7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参加政府采购活动的中小微企业应提供《中小企业声明函》原件。未提供上述声明函原件的，则投标文件无效。</w:t>
      </w:r>
    </w:p>
    <w:p w14:paraId="5FE33DD9">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备注：本项目采购标的对应的中小企业划分标准所属行业为</w:t>
      </w:r>
      <w:r>
        <w:rPr>
          <w:rFonts w:hint="eastAsia" w:ascii="宋体" w:hAnsi="宋体" w:eastAsia="宋体" w:cs="宋体"/>
          <w:b/>
          <w:bCs/>
          <w:sz w:val="24"/>
          <w:szCs w:val="24"/>
          <w:highlight w:val="none"/>
          <w:u w:val="single"/>
        </w:rPr>
        <w:t xml:space="preserve">  工业  </w:t>
      </w:r>
      <w:r>
        <w:rPr>
          <w:rFonts w:hint="eastAsia" w:ascii="宋体" w:hAnsi="宋体" w:eastAsia="宋体" w:cs="宋体"/>
          <w:b/>
          <w:bCs/>
          <w:sz w:val="24"/>
          <w:szCs w:val="24"/>
          <w:highlight w:val="none"/>
        </w:rPr>
        <w:t>；{参照《中小企业划型标准规定》（工信部联企业〔2011〕300号）执行}。</w:t>
      </w:r>
    </w:p>
    <w:p w14:paraId="61B160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14:paraId="02166C8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根据财政部、民政部、中国残疾人联合会印发的《关于促进残疾人就业政府采购政策的通知》（财库〔2017〕41号）的规定，残疾人福利性单位提供本单位制造的货物、承担的工程或者服务（以下简称产品）,或者提供其他残疾人福利性单位制造的货物（不包括使用非残疾人福利性单位注册商标的货物）参与政府来购活动时，视同小型、微型企业，享受预留份额、评审中价格扣除等促进中小企业发展的政府采购政策。残疾人福利性单位属于小型、微型企业的，不重复享受政策。</w:t>
      </w:r>
    </w:p>
    <w:p w14:paraId="446784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参加政府采购活动的残疾人単位应提供《残疾人福利性单位声明函》原件。未提供上述声明函原件的，则投标文件无效。</w:t>
      </w:r>
    </w:p>
    <w:p w14:paraId="2024E5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（4）根据财政部、国家发展改革委《关于调整优化节能产品、环境标志产品政府采购执行机制的通知》（财库〔2019〕9号）规定“政府采购属于节能产品品目清单的，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在技术、服务等指标同等条件下，应当优先采购节能品目清单的节能产品。”</w:t>
      </w:r>
    </w:p>
    <w:p w14:paraId="5B21CAA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35B2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根据国务院办公厅《关于建立政府强制采购节能产品制度的通知》（国办发〔2007〕51号）有关要求，在技术、服务等指标满足采购需求的前提下，要优先采购节能产品，对部分节能效果、性能等达到要求的产品，实行强制采购。</w:t>
      </w:r>
    </w:p>
    <w:p w14:paraId="3DB8F5D9">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）节能产品政府采购品目清单详见财政部、发展改革委《关于印发节能产品政府采购品目清单的通知》（财库〔2019〕19号）。</w:t>
      </w:r>
    </w:p>
    <w:p w14:paraId="34E5069B">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）环境标志产品政府采购品目清单详见财政部、生态环境部《关于印发环境标志产品政府采购品目清单的通知》（财库〔2019〕18号）。</w:t>
      </w:r>
    </w:p>
    <w:p w14:paraId="6CC90D01">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）国家确定的节能产品、环境标志产品认证机构详见市场监管总局《关于发布参与实施政府采购节能产品、环境标志产品认证机构名录的公告》(2019年第16号）。</w:t>
      </w:r>
    </w:p>
    <w:p w14:paraId="5A687273">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）根据《财政部 农业农村部 国家乡村振兴局关于运用政府采购政策支持乡村产业振兴的通知》（财库〔2021〕19号），自2021年起，各级预算单位应当按照不低于10％的比例预留年度食堂食材采购份额，通脱贫地区农副产品网络销售平台采购脱贫地区农副产品。</w:t>
      </w:r>
    </w:p>
    <w:p w14:paraId="529014DF">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）根据《财政部 农业农村部 国家乡村振兴局中华全国供销合作总社关于印发＜关于深入开展政府采购脱贫地区农副产品工作推进乡村产业振兴的实施意见＞的通知》（财库〔2021〕20号），各级预算单位要按照不低于10％的预留比例在“832平台”填报预留份额。鼓励各级预算单位工会组织通过“832平台”采购工会福利、慰问品等，有关采购金额计入本单位年度采购总额。</w:t>
      </w:r>
    </w:p>
    <w:p w14:paraId="432557DC">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根据《陕西省财政厅关于加快推进我省中小企业政府采购信用融资工作的通知》（陕财办采〔2020〕5号）规定“有融资需求的供应商可根据自身情况，在陕西省政府采购信用融资平台（含各市分平台）自主选择金融机构及其融资产品，凭政府采购中标（成交）通知书或政府采购合同向金融机构提出融资申请”。</w:t>
      </w:r>
    </w:p>
    <w:p w14:paraId="16C463AC">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根据陕西省财政厅关于印发《陕西省中小企业政府采购信用融资办法》（陕财办采〔2018〕23号）规定“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5C6672D3">
      <w:pPr>
        <w:spacing w:line="360" w:lineRule="auto"/>
        <w:ind w:firstLine="480" w:firstLineChars="200"/>
        <w:jc w:val="left"/>
        <w:rPr>
          <w:rFonts w:hint="eastAsia" w:ascii="宋体" w:hAnsi="宋体" w:eastAsia="宋体" w:cs="宋体"/>
          <w:sz w:val="21"/>
          <w:szCs w:val="21"/>
        </w:rPr>
        <w:sectPr>
          <w:headerReference r:id="rId8" w:type="default"/>
          <w:footerReference r:id="rId9" w:type="default"/>
          <w:pgSz w:w="11905" w:h="16837"/>
          <w:pgMar w:top="1712" w:right="1418" w:bottom="1712" w:left="1418" w:header="851" w:footer="1247" w:gutter="0"/>
          <w:pgNumType w:start="1"/>
          <w:cols w:space="720" w:num="1"/>
          <w:docGrid w:linePitch="312" w:charSpace="0"/>
        </w:sect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成交供应商确定后，成交供应商无正当理由拖延或拒签合同的，采购人有权取消其成交资格，并按评审顺序重新确定成交单位。同时报请监督机构予以通报，禁止其进入政府采购市场，并没收其保证金。</w:t>
      </w:r>
    </w:p>
    <w:p w14:paraId="306C1DA6">
      <w:pPr>
        <w:snapToGrid w:val="0"/>
        <w:spacing w:line="480" w:lineRule="exact"/>
        <w:jc w:val="center"/>
        <w:rPr>
          <w:rFonts w:hint="eastAsia" w:ascii="宋体" w:hAnsi="宋体" w:eastAsia="宋体" w:cs="宋体"/>
          <w:b/>
          <w:bCs/>
          <w:sz w:val="32"/>
          <w:szCs w:val="32"/>
        </w:rPr>
      </w:pPr>
      <w:r>
        <w:rPr>
          <w:rFonts w:hint="eastAsia" w:ascii="宋体" w:hAnsi="宋体" w:eastAsia="宋体" w:cs="宋体"/>
          <w:b/>
          <w:bCs/>
          <w:sz w:val="32"/>
          <w:szCs w:val="32"/>
        </w:rPr>
        <w:t>第三部分  谈判内容及要求</w:t>
      </w:r>
    </w:p>
    <w:p w14:paraId="386BB0B6">
      <w:pPr>
        <w:spacing w:line="360" w:lineRule="auto"/>
        <w:jc w:val="center"/>
        <w:rPr>
          <w:rFonts w:hint="eastAsia" w:ascii="宋体" w:hAnsi="宋体" w:eastAsia="宋体" w:cs="宋体"/>
          <w:bCs/>
          <w:sz w:val="28"/>
          <w:szCs w:val="28"/>
        </w:rPr>
      </w:pPr>
      <w:r>
        <w:rPr>
          <w:rFonts w:hint="eastAsia" w:ascii="宋体" w:hAnsi="宋体" w:eastAsia="宋体" w:cs="宋体"/>
          <w:b/>
          <w:sz w:val="32"/>
          <w:szCs w:val="32"/>
        </w:rPr>
        <w:t>（招标参数要求由采购方提供，如有不详请咨询采购人）</w:t>
      </w:r>
    </w:p>
    <w:p w14:paraId="2BFC858B">
      <w:pPr>
        <w:numPr>
          <w:ilvl w:val="0"/>
          <w:numId w:val="3"/>
        </w:numPr>
        <w:spacing w:line="360" w:lineRule="auto"/>
        <w:rPr>
          <w:rFonts w:hint="eastAsia"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lang w:eastAsia="zh-CN"/>
        </w:rPr>
        <w:t>黄陵县人民检察院安防设备升级改造及业务通报显示屏更换采购项目</w:t>
      </w:r>
    </w:p>
    <w:p w14:paraId="14B76A26">
      <w:pPr>
        <w:numPr>
          <w:ilvl w:val="0"/>
          <w:numId w:val="3"/>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供货</w:t>
      </w:r>
      <w:r>
        <w:rPr>
          <w:rFonts w:hint="eastAsia" w:ascii="宋体" w:hAnsi="宋体" w:eastAsia="宋体" w:cs="宋体"/>
          <w:bCs/>
          <w:sz w:val="24"/>
          <w:szCs w:val="24"/>
        </w:rPr>
        <w:t>期：</w:t>
      </w:r>
      <w:r>
        <w:rPr>
          <w:rFonts w:hint="eastAsia" w:ascii="宋体" w:hAnsi="宋体" w:eastAsia="宋体" w:cs="宋体"/>
          <w:bCs/>
          <w:sz w:val="24"/>
          <w:szCs w:val="24"/>
          <w:lang w:val="en-US" w:eastAsia="zh-CN"/>
        </w:rPr>
        <w:t>20</w:t>
      </w:r>
      <w:r>
        <w:rPr>
          <w:rFonts w:hint="eastAsia" w:ascii="宋体" w:hAnsi="宋体" w:eastAsia="宋体" w:cs="宋体"/>
          <w:bCs/>
          <w:sz w:val="24"/>
          <w:szCs w:val="24"/>
        </w:rPr>
        <w:t>个工作日</w:t>
      </w:r>
    </w:p>
    <w:p w14:paraId="45E98CC0">
      <w:pPr>
        <w:numPr>
          <w:ilvl w:val="0"/>
          <w:numId w:val="3"/>
        </w:numPr>
        <w:spacing w:line="360" w:lineRule="auto"/>
        <w:rPr>
          <w:rFonts w:hint="eastAsia" w:ascii="宋体" w:hAnsi="宋体" w:eastAsia="宋体" w:cs="宋体"/>
          <w:bCs/>
          <w:sz w:val="24"/>
          <w:szCs w:val="24"/>
        </w:rPr>
      </w:pPr>
      <w:r>
        <w:rPr>
          <w:rFonts w:hint="eastAsia" w:ascii="宋体" w:hAnsi="宋体" w:eastAsia="宋体" w:cs="宋体"/>
          <w:bCs/>
          <w:sz w:val="24"/>
          <w:szCs w:val="24"/>
        </w:rPr>
        <w:t>质保期：1年</w:t>
      </w:r>
    </w:p>
    <w:p w14:paraId="2F4B8737">
      <w:pPr>
        <w:numPr>
          <w:ilvl w:val="0"/>
          <w:numId w:val="3"/>
        </w:numPr>
        <w:spacing w:line="360" w:lineRule="auto"/>
        <w:rPr>
          <w:rFonts w:hint="eastAsia" w:ascii="宋体" w:hAnsi="宋体" w:eastAsia="宋体" w:cs="宋体"/>
          <w:bCs/>
          <w:sz w:val="24"/>
          <w:szCs w:val="24"/>
        </w:rPr>
      </w:pPr>
      <w:r>
        <w:rPr>
          <w:rFonts w:hint="eastAsia" w:ascii="宋体" w:hAnsi="宋体" w:eastAsia="宋体" w:cs="宋体"/>
          <w:bCs/>
          <w:sz w:val="24"/>
          <w:szCs w:val="24"/>
        </w:rPr>
        <w:t>采购内容：</w:t>
      </w:r>
    </w:p>
    <w:tbl>
      <w:tblPr>
        <w:tblStyle w:val="16"/>
        <w:tblW w:w="51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1440"/>
        <w:gridCol w:w="6064"/>
        <w:gridCol w:w="815"/>
        <w:gridCol w:w="719"/>
      </w:tblGrid>
      <w:tr w14:paraId="0575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C0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FE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DF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30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BD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r>
      <w:tr w14:paraId="795D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BBD6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一、安防监控</w:t>
            </w:r>
          </w:p>
        </w:tc>
      </w:tr>
      <w:tr w14:paraId="3288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4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top"/>
          </w:tcPr>
          <w:p w14:paraId="75920066">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屏幕尺寸：≥100寸，输入接口：网口*1，USB2.0*1，USB3.0*1，音视频输入*1，有线/无线输入*1，</w:t>
            </w:r>
          </w:p>
          <w:p w14:paraId="2AE6B011">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4路HDMI（均支持CEC）（2路支持4K@144Hz，其中1路支持eARC，2路支持4K@60Hz）</w:t>
            </w:r>
          </w:p>
          <w:p w14:paraId="601CE99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输出接口：数字音频输出（同轴）×1                                            搭载2304分区Mini LED像素级精密控光，XDR 2500nits稳定峰值亮度，AI计算画质引擎，IMAX认证+杜比视界IQ；9单元2.1.2 Hi-Fi级音响；全通道4K 144Hz高刷，4+128G大内存，支持分屏观影、蓝牙5.4、WiFi6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E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E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B21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73B">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D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500万全景摄像机</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top"/>
          </w:tcPr>
          <w:p w14:paraId="42E734A5">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1、设备中心水平分辨力不小于2000线（分辨率设置为2560×1920、帧率设置为30fps、码率设置为8Mbps，RJ45输出）；（公安部检验报告证明）</w:t>
            </w:r>
          </w:p>
          <w:p w14:paraId="341B8C10">
            <w:pPr>
              <w:keepNext w:val="0"/>
              <w:keepLines w:val="0"/>
              <w:widowControl/>
              <w:numPr>
                <w:ilvl w:val="0"/>
                <w:numId w:val="4"/>
              </w:numPr>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水平视场角不小于161°，垂直视场角不小于130°；（公安部检验报告证明）</w:t>
            </w:r>
          </w:p>
          <w:p w14:paraId="306401DC">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最低照度彩色：0.005 lx，黑白:0.001 lx；（公安部检验报告证明）</w:t>
            </w:r>
          </w:p>
          <w:p w14:paraId="00AFF1FC">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支持三码流技术，主码流50Hz：2560x1920、25帧/秒，子码流50Hz：704x576、25帧/秒，第三码流50Hz：704x576、25帧/秒；（公安部检验报告证明）</w:t>
            </w:r>
          </w:p>
          <w:p w14:paraId="2CEF7D06">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在IE浏览器下，具有H.265、H.264、MJPEG设置选项；可将H.265、H.264格式设置为Baseline/Main/High Profile；（公安部检验报告证明）</w:t>
            </w:r>
          </w:p>
          <w:p w14:paraId="3A2F4444">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支持设置纯视频流和音视频复合流两种视频类型；（公安部检验报告证明）</w:t>
            </w:r>
          </w:p>
          <w:p w14:paraId="45C71957">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红外补光不小于20米 ；（公安部检验报告证明）</w:t>
            </w:r>
          </w:p>
          <w:p w14:paraId="2D9AEC8E">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设备内置1颗GPU芯片、2个麦克风、1个扬声器，具有1个RJ45网络接口、1个CVBS接口、1个音频输入接口、1个音频输出接口、1个RS485接口、1个报警输入接口、1个报警输出接口；（公安部检验报告证明）</w:t>
            </w:r>
          </w:p>
          <w:p w14:paraId="548C9FCE">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可通过扫描预览界面上生成的二维码获取设备资料；（公安部检验报告证明）</w:t>
            </w:r>
          </w:p>
          <w:p w14:paraId="452D10DD">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内置双MIC，支持双MIC噪声过滤；对讲过程中，可过滤稳态噪声；（公安部检验报告证明）</w:t>
            </w:r>
          </w:p>
          <w:p w14:paraId="29448E17">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设备支持开启、关闭畸变矫正功能，功能开启后畸变应有明显降低，畸变矫正支持等级1、等级2、等级3和自定义四种校正配置，当配置为自定义时，可分别调节校正强度、水平视场角、垂直视场角、远端放大等级；（公安部检验报告证明）                                                                                                                </w:t>
            </w:r>
          </w:p>
          <w:p w14:paraId="5308A8E3">
            <w:pPr>
              <w:keepNext w:val="0"/>
              <w:keepLines w:val="0"/>
              <w:widowControl/>
              <w:numPr>
                <w:ilvl w:val="0"/>
                <w:numId w:val="4"/>
              </w:numPr>
              <w:suppressLineNumbers w:val="0"/>
              <w:ind w:left="0" w:leftChars="0" w:firstLine="0" w:firstLineChars="0"/>
              <w:jc w:val="left"/>
              <w:textAlignment w:val="top"/>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设备获得《一种光谱数据的融合方法、以及装置》专利证书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6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6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BF1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45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4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3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2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12V专用电源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9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C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14:paraId="6773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8F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4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400万智能网络枪机</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A9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支持2路码流，主码流2560*1440@25fps，子码流640×480@25fps</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（公安部检验报告证明）</w:t>
            </w:r>
          </w:p>
          <w:p w14:paraId="6B3428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内置麦克风</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（公安部检验报告证明）</w:t>
            </w:r>
          </w:p>
          <w:p w14:paraId="7F1D8E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最低照度彩色0.005lx</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（公安部检验报告证明）</w:t>
            </w:r>
          </w:p>
          <w:p w14:paraId="6F836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红外开启可识别距设备50m处的人体轮廓</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（公安部检验报告证明）</w:t>
            </w:r>
          </w:p>
          <w:p w14:paraId="3060D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在彩色模式下，当照度降低至一定值时，可自动开启补光灯补光，在白天夜晚均可输出彩色视频图像</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（公安部检验报告证明）</w:t>
            </w:r>
          </w:p>
          <w:p w14:paraId="6425A6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同一静止场景相同图像质量下，设备在H.264或H.265编码方式时，开启智能编码功能和不开启智能编码相比，码率节约80％</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（公安部检验报告证明）</w:t>
            </w:r>
          </w:p>
          <w:p w14:paraId="33A6614F">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外壳防护能力应符合IP67要求</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 xml:space="preserve">（公安部检验报告证明）                                              </w:t>
            </w:r>
            <w:r>
              <w:rPr>
                <w:rFonts w:hint="eastAsia" w:ascii="宋体" w:hAnsi="宋体" w:eastAsia="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设备获得《一种光谱数据的融合方法、以及装置》专利证书</w:t>
            </w:r>
            <w:r>
              <w:rPr>
                <w:rFonts w:hint="eastAsia" w:ascii="宋体" w:hAnsi="宋体" w:eastAsia="宋体" w:cs="宋体"/>
                <w:i w:val="0"/>
                <w:iCs w:val="0"/>
                <w:color w:val="000000"/>
                <w:sz w:val="24"/>
                <w:szCs w:val="24"/>
                <w:u w:val="none"/>
                <w:lang w:eastAsia="zh-CN"/>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1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2E6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2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F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综合安防应用平台</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16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客户端可与DVR、NVR、IPC、IPD、DVS、网络存储设备、报警设备、门禁设备、可视对讲设备等配套使用，提供网络服务（预览、回放、云台等操作），提供灵活、多样的部署方案。</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A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353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25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4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61AF">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具有2个HDMI接口、2个VGA接口、2个RJ45网络接口、2个USB2.0接口、1个USB3.0接口、1个RS232接口、1个RS485接口、1个eSata接口；具有1路音频输入接口、2路音频输出接口，16路报警输入接口、9路报警输出接口，1个DC 12V输出接口；可内置8个SATA接口硬盘</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（以公安部检测报告为准）</w:t>
            </w:r>
          </w:p>
          <w:p w14:paraId="6E021D35">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可接入1T、2T、3T、4T、6T、8T、10T、12TB、14TB、16TB容量的SATA接口硬盘；（以公安部检测报告为准）</w:t>
            </w:r>
          </w:p>
          <w:p w14:paraId="59CB3638">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可接入32路分辨率为1920×1080的视频图像；支持最大接入带宽256Mbps，最大存储带宽256Mbps，最大转发带宽160Mbps，最大回放带宽160Mbps</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（以公安部检测报告为准）</w:t>
            </w:r>
          </w:p>
          <w:p w14:paraId="151C771F">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（以公安部检测报告为准）</w:t>
            </w:r>
          </w:p>
          <w:p w14:paraId="25E3E88C">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可同时显示输出12路H.265编码、30fps、1920×1080格式的视频图像，或同时输出3路 H.265编码、25fps、4096×2160或者3840×2160格式的视频图像，或同时解码2路 H.265编码、20fps、4000×3000格式的视频图像</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（以公安部检测报告为准）</w:t>
            </w:r>
          </w:p>
          <w:p w14:paraId="6329564B">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可同时正放或倒放4路H.265/H.264编码、2560×1440格式的视频图像，或者3路H.264编码、4096×2160格式的视频图像；（以公安部检测报告为准） </w:t>
            </w:r>
          </w:p>
          <w:p w14:paraId="4E368F33">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具有存储安全保障功能，当存储压力过高或硬盘出现性能不足时，可优先录像业务存储；（以公安部检测报告为准）</w:t>
            </w:r>
          </w:p>
          <w:p w14:paraId="0793D78B">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设备获得《一种像存储方法、装置及设备、存储介质》专利证书</w:t>
            </w:r>
            <w:r>
              <w:rPr>
                <w:rFonts w:hint="eastAsia" w:ascii="宋体" w:hAnsi="宋体" w:eastAsia="宋体" w:cs="宋体"/>
                <w:i w:val="0"/>
                <w:iCs w:val="0"/>
                <w:color w:val="000000"/>
                <w:sz w:val="24"/>
                <w:szCs w:val="24"/>
                <w:u w:val="none"/>
                <w:lang w:eastAsia="zh-CN"/>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2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6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236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2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C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9E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3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4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r>
      <w:tr w14:paraId="7795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9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3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HDMI高清线</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1DC7">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15m 国标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4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2719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9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9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VGA视频线</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6AF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15m  国标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A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B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1C6E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F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5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操作电脑（笔记本）</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032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飞腾D2000 JM9100 8G+512G 2G独显 </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4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F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637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6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D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3F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包括插座、水晶头、扎带、标签等</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E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4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F3D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51D0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二、监控屏幕更换</w:t>
            </w:r>
          </w:p>
        </w:tc>
      </w:tr>
      <w:tr w14:paraId="045D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B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17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55寸拼接屏</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D7A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尺寸:≥55英寸;分辨率:1920x1080;视角:178°(水平)/178°(垂直);响应时间:8ms</w:t>
            </w:r>
          </w:p>
          <w:p w14:paraId="30234FE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对比度:1400:1;</w:t>
            </w:r>
          </w:p>
          <w:p w14:paraId="7FE1D7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亮度:500cd/m²;</w:t>
            </w:r>
          </w:p>
          <w:p w14:paraId="5F9356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物理拼缝:1.8mm;</w:t>
            </w:r>
          </w:p>
          <w:p w14:paraId="1C08D5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输入接口:HDMI，DVI，VGA，CVBS， USB;</w:t>
            </w:r>
          </w:p>
          <w:p w14:paraId="54FBE3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输出接口:HDMI，VGA，CVBS;</w:t>
            </w:r>
          </w:p>
          <w:p w14:paraId="12BCA9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控制接口:RS232IN、RS232OUT;</w:t>
            </w:r>
          </w:p>
          <w:p w14:paraId="23771FF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功耗:&lt;185W;</w:t>
            </w:r>
          </w:p>
          <w:p w14:paraId="39190A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寿命:≥60000 小时;</w:t>
            </w:r>
          </w:p>
          <w:p w14:paraId="0D42E0B9">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拼接屏制造商提供:3C，第三方检测报告，ISO体系认证，会议室大屏控制系统软件著作权证书，多屏幕显示设备信号处理同步系统软件著作权证书，基于网络的分辨率组合式大屏幕显示系统软件著作权证书相关佐证资料</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E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D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14:paraId="39BD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2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C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人脸门禁终端</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top"/>
          </w:tcPr>
          <w:p w14:paraId="12A6D399">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设备应采用嵌入式 linux 系统</w:t>
            </w:r>
            <w:r>
              <w:rPr>
                <w:rFonts w:hint="eastAsia" w:ascii="宋体" w:hAnsi="宋体" w:eastAsia="宋体" w:cs="宋体"/>
                <w:i w:val="0"/>
                <w:iCs w:val="0"/>
                <w:color w:val="000000"/>
                <w:sz w:val="24"/>
                <w:szCs w:val="24"/>
                <w:u w:val="none"/>
                <w:lang w:eastAsia="zh-CN"/>
              </w:rPr>
              <w:t>；</w:t>
            </w:r>
          </w:p>
          <w:p w14:paraId="4D0E442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前面板防破坏能力应满足 IK07 的要求；结构后壳防破坏能力应满足 IK10 的要求；防水等级应大于IP65；应支持选择嵌入式、壁挂、桌面、立式、人员通道安装；</w:t>
            </w:r>
          </w:p>
          <w:p w14:paraId="764C419B">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hint="eastAsia" w:ascii="宋体" w:hAnsi="宋体" w:eastAsia="宋体" w:cs="宋体"/>
                <w:i w:val="0"/>
                <w:iCs w:val="0"/>
                <w:color w:val="000000"/>
                <w:sz w:val="24"/>
                <w:szCs w:val="24"/>
                <w:u w:val="none"/>
                <w:lang w:eastAsia="zh-CN"/>
              </w:rPr>
              <w:t>；</w:t>
            </w:r>
          </w:p>
          <w:p w14:paraId="1BA76242">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宋体" w:hAnsi="宋体" w:eastAsia="宋体" w:cs="宋体"/>
                <w:i w:val="0"/>
                <w:iCs w:val="0"/>
                <w:color w:val="000000"/>
                <w:sz w:val="24"/>
                <w:szCs w:val="24"/>
                <w:u w:val="none"/>
                <w:lang w:eastAsia="zh-CN"/>
              </w:rPr>
              <w:t>；</w:t>
            </w:r>
          </w:p>
          <w:p w14:paraId="3FD6D8DB">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w:t>
            </w:r>
            <w:r>
              <w:rPr>
                <w:rFonts w:hint="eastAsia" w:ascii="宋体" w:hAnsi="宋体" w:eastAsia="宋体" w:cs="宋体"/>
                <w:i w:val="0"/>
                <w:iCs w:val="0"/>
                <w:color w:val="000000"/>
                <w:sz w:val="24"/>
                <w:szCs w:val="24"/>
                <w:u w:val="none"/>
                <w:lang w:eastAsia="zh-CN"/>
              </w:rPr>
              <w:t>；</w:t>
            </w:r>
          </w:p>
          <w:p w14:paraId="3C0106B6">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i w:val="0"/>
                <w:iCs w:val="0"/>
                <w:color w:val="000000"/>
                <w:sz w:val="24"/>
                <w:szCs w:val="24"/>
                <w:u w:val="none"/>
                <w:lang w:eastAsia="zh-CN"/>
              </w:rPr>
              <w:t>；</w:t>
            </w:r>
          </w:p>
          <w:p w14:paraId="32227C2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应采用 200W 像素双目摄像头，帧率应≥25 帧/s；应支持接入 NVR 设备，实现视频监控录像；</w:t>
            </w:r>
          </w:p>
          <w:p w14:paraId="7275EA36">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应支持双码流技术，主码流和子码流均为 1280×720@25fps 输出；在 IE 浏览器下，视频编码格式具有 H.265、H.264、MPEG-4、MJPEG 设置选项；可将 H.265、H.264 格式设置为Baseline/Mai n/High Profile</w:t>
            </w:r>
            <w:r>
              <w:rPr>
                <w:rFonts w:hint="eastAsia" w:ascii="宋体" w:hAnsi="宋体" w:eastAsia="宋体" w:cs="宋体"/>
                <w:i w:val="0"/>
                <w:iCs w:val="0"/>
                <w:color w:val="000000"/>
                <w:sz w:val="24"/>
                <w:szCs w:val="24"/>
                <w:u w:val="none"/>
                <w:lang w:eastAsia="zh-CN"/>
              </w:rPr>
              <w:t>；</w:t>
            </w:r>
          </w:p>
          <w:p w14:paraId="0878CD8B">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9、</w:t>
            </w:r>
            <w:r>
              <w:rPr>
                <w:rFonts w:hint="eastAsia" w:ascii="宋体" w:hAnsi="宋体" w:eastAsia="宋体" w:cs="宋体"/>
                <w:i w:val="0"/>
                <w:iCs w:val="0"/>
                <w:color w:val="000000"/>
                <w:sz w:val="24"/>
                <w:szCs w:val="24"/>
                <w:u w:val="none"/>
              </w:rPr>
              <w:t>设备离线应支持 10000个用户（用户权限应能配置为管理员）、 10000 张人脸库、 50000 张卡片容量、150000 笔记录存储 、 10000 个密码</w:t>
            </w:r>
            <w:r>
              <w:rPr>
                <w:rFonts w:hint="eastAsia" w:ascii="宋体" w:hAnsi="宋体" w:eastAsia="宋体" w:cs="宋体"/>
                <w:i w:val="0"/>
                <w:iCs w:val="0"/>
                <w:color w:val="000000"/>
                <w:sz w:val="24"/>
                <w:szCs w:val="24"/>
                <w:u w:val="none"/>
                <w:lang w:eastAsia="zh-CN"/>
              </w:rPr>
              <w:t>；</w:t>
            </w:r>
          </w:p>
          <w:p w14:paraId="337C7D06">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10、</w:t>
            </w:r>
            <w:r>
              <w:rPr>
                <w:rFonts w:hint="eastAsia" w:ascii="宋体" w:hAnsi="宋体" w:eastAsia="宋体" w:cs="宋体"/>
                <w:i w:val="0"/>
                <w:iCs w:val="0"/>
                <w:color w:val="000000"/>
                <w:sz w:val="24"/>
                <w:szCs w:val="24"/>
                <w:u w:val="none"/>
              </w:rPr>
              <w:t>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sz w:val="24"/>
                <w:szCs w:val="24"/>
                <w:u w:val="none"/>
                <w:lang w:eastAsia="zh-CN"/>
              </w:rPr>
              <w:t>；</w:t>
            </w:r>
          </w:p>
          <w:p w14:paraId="68FA089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11、</w:t>
            </w:r>
            <w:r>
              <w:rPr>
                <w:rFonts w:hint="eastAsia" w:ascii="宋体" w:hAnsi="宋体" w:eastAsia="宋体" w:cs="宋体"/>
                <w:i w:val="0"/>
                <w:iCs w:val="0"/>
                <w:color w:val="000000"/>
                <w:sz w:val="24"/>
                <w:szCs w:val="24"/>
                <w:u w:val="none"/>
              </w:rPr>
              <w:t>应支持根据比对结果，输出开关量信号联动门禁等设备；支持通过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p>
          <w:p w14:paraId="6AB4D200">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12、</w:t>
            </w:r>
            <w:r>
              <w:rPr>
                <w:rFonts w:hint="eastAsia" w:ascii="宋体" w:hAnsi="宋体" w:eastAsia="宋体" w:cs="宋体"/>
                <w:i w:val="0"/>
                <w:iCs w:val="0"/>
                <w:color w:val="000000"/>
                <w:sz w:val="24"/>
                <w:szCs w:val="24"/>
                <w:u w:val="none"/>
              </w:rPr>
              <w:t>应支持通过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sz w:val="24"/>
                <w:szCs w:val="24"/>
                <w:u w:val="none"/>
                <w:lang w:eastAsia="zh-CN"/>
              </w:rPr>
              <w:t>；</w:t>
            </w:r>
          </w:p>
          <w:p w14:paraId="0EA108FD">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13、</w:t>
            </w:r>
            <w:r>
              <w:rPr>
                <w:rFonts w:hint="eastAsia" w:ascii="宋体" w:hAnsi="宋体" w:eastAsia="宋体" w:cs="宋体"/>
                <w:i w:val="0"/>
                <w:iCs w:val="0"/>
                <w:color w:val="000000"/>
                <w:sz w:val="24"/>
                <w:szCs w:val="24"/>
                <w:u w:val="none"/>
              </w:rPr>
              <w:t>人脸比对平均时间应＜120ms （1:1对比方式）；最大人脸验证距离：＞4m；最小人脸验证距离：＜0.2m；认假率（FAR）= 认假总次数/负样本对×100%；拒真率（FRR）= 拒真总次数/正样本对×100%；准确率=（正样本通过次数+负样本拒绝次数）/比对总次数×100%；FAR＜0.0002% ；FRR＜1%；准确率＞99.95%</w:t>
            </w:r>
            <w:r>
              <w:rPr>
                <w:rFonts w:hint="eastAsia" w:ascii="宋体" w:hAnsi="宋体" w:eastAsia="宋体" w:cs="宋体"/>
                <w:i w:val="0"/>
                <w:iCs w:val="0"/>
                <w:color w:val="000000"/>
                <w:sz w:val="24"/>
                <w:szCs w:val="24"/>
                <w:u w:val="none"/>
                <w:lang w:eastAsia="zh-CN"/>
              </w:rPr>
              <w:t>；</w:t>
            </w:r>
          </w:p>
          <w:p w14:paraId="5D46444E">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14、</w:t>
            </w:r>
            <w:r>
              <w:rPr>
                <w:rFonts w:hint="eastAsia" w:ascii="宋体" w:hAnsi="宋体" w:eastAsia="宋体" w:cs="宋体"/>
                <w:i w:val="0"/>
                <w:iCs w:val="0"/>
                <w:color w:val="000000"/>
                <w:sz w:val="24"/>
                <w:szCs w:val="24"/>
                <w:u w:val="none"/>
              </w:rPr>
              <w:t>应具有拓展GPS定位模块能力，应能通过事件方式定时上报设备位置信息</w:t>
            </w:r>
            <w:r>
              <w:rPr>
                <w:rFonts w:hint="eastAsia" w:ascii="宋体" w:hAnsi="宋体" w:eastAsia="宋体" w:cs="宋体"/>
                <w:i w:val="0"/>
                <w:iCs w:val="0"/>
                <w:color w:val="000000"/>
                <w:sz w:val="24"/>
                <w:szCs w:val="24"/>
                <w:u w:val="none"/>
                <w:lang w:eastAsia="zh-CN"/>
              </w:rPr>
              <w:t>；</w:t>
            </w:r>
          </w:p>
          <w:p w14:paraId="6901F97B">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15、</w:t>
            </w:r>
            <w:r>
              <w:rPr>
                <w:rFonts w:hint="eastAsia" w:ascii="宋体" w:hAnsi="宋体" w:eastAsia="宋体" w:cs="宋体"/>
                <w:i w:val="0"/>
                <w:iCs w:val="0"/>
                <w:color w:val="000000"/>
                <w:sz w:val="24"/>
                <w:szCs w:val="24"/>
                <w:u w:val="none"/>
              </w:rPr>
              <w:t>满足GA/T 1179-2014《安防声纹确认应用算法技术要求和测试方法》</w:t>
            </w:r>
            <w:r>
              <w:rPr>
                <w:rFonts w:hint="eastAsia" w:ascii="宋体" w:hAnsi="宋体" w:eastAsia="宋体" w:cs="宋体"/>
                <w:i w:val="0"/>
                <w:iCs w:val="0"/>
                <w:color w:val="000000"/>
                <w:sz w:val="24"/>
                <w:szCs w:val="24"/>
                <w:u w:val="none"/>
                <w:lang w:eastAsia="zh-CN"/>
              </w:rPr>
              <w:t>；</w:t>
            </w:r>
          </w:p>
          <w:p w14:paraId="76A2270B">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16、</w:t>
            </w:r>
            <w:r>
              <w:rPr>
                <w:rFonts w:hint="eastAsia" w:ascii="宋体" w:hAnsi="宋体" w:eastAsia="宋体" w:cs="宋体"/>
                <w:i w:val="0"/>
                <w:iCs w:val="0"/>
                <w:color w:val="000000"/>
                <w:sz w:val="24"/>
                <w:szCs w:val="24"/>
                <w:u w:val="none"/>
              </w:rPr>
              <w:t>符合GB/T24021-2001idt ISO14021:1999《环境管理环境标志与声明自我环境声明(Ⅱ型环境标志)》的要求</w:t>
            </w:r>
            <w:r>
              <w:rPr>
                <w:rFonts w:hint="eastAsia" w:ascii="宋体" w:hAnsi="宋体" w:eastAsia="宋体" w:cs="宋体"/>
                <w:i w:val="0"/>
                <w:iCs w:val="0"/>
                <w:color w:val="000000"/>
                <w:sz w:val="24"/>
                <w:szCs w:val="24"/>
                <w:u w:val="none"/>
                <w:lang w:eastAsia="zh-CN"/>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2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6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ECE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C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3A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拼接专用线材</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C1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包括插座、电源线、网线、HDMI等线缆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E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A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79E0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5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3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旧线路整理改造</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F5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对原故障摄像机线路进行排查故障，改造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44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5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174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A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C0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AB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定制，钢化玻璃+铝合金边框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9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0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r>
      <w:tr w14:paraId="3968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ED89">
            <w:pPr>
              <w:jc w:val="center"/>
              <w:rPr>
                <w:rFonts w:hint="eastAsia" w:ascii="宋体" w:hAnsi="宋体" w:eastAsia="宋体" w:cs="宋体"/>
                <w:i w:val="0"/>
                <w:iCs w:val="0"/>
                <w:color w:val="000000"/>
                <w:sz w:val="24"/>
                <w:szCs w:val="24"/>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F835">
            <w:pPr>
              <w:jc w:val="center"/>
              <w:rPr>
                <w:rFonts w:hint="eastAsia" w:ascii="宋体" w:hAnsi="宋体" w:eastAsia="宋体" w:cs="宋体"/>
                <w:i w:val="0"/>
                <w:iCs w:val="0"/>
                <w:color w:val="000000"/>
                <w:sz w:val="24"/>
                <w:szCs w:val="24"/>
                <w:u w:val="none"/>
              </w:rPr>
            </w:pP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7352">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设备应采用嵌入式 linux 系统</w:t>
            </w:r>
            <w:r>
              <w:rPr>
                <w:rFonts w:hint="eastAsia" w:ascii="宋体" w:hAnsi="宋体" w:eastAsia="宋体" w:cs="宋体"/>
                <w:i w:val="0"/>
                <w:iCs w:val="0"/>
                <w:color w:val="000000"/>
                <w:sz w:val="24"/>
                <w:szCs w:val="24"/>
                <w:u w:val="none"/>
                <w:lang w:eastAsia="zh-CN"/>
              </w:rPr>
              <w:t>；</w:t>
            </w:r>
          </w:p>
          <w:p w14:paraId="3B238A5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前面板防破坏能力应满足 IK07 的要求；结构后壳防破坏能力应满足 IK10 的要求；防水等级应大于IP65；应支持选择嵌入式、壁挂、桌面、立式、人员通道安装；</w:t>
            </w:r>
          </w:p>
          <w:p w14:paraId="654F2D7D">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hint="eastAsia" w:ascii="宋体" w:hAnsi="宋体" w:eastAsia="宋体" w:cs="宋体"/>
                <w:i w:val="0"/>
                <w:iCs w:val="0"/>
                <w:color w:val="000000"/>
                <w:sz w:val="24"/>
                <w:szCs w:val="24"/>
                <w:u w:val="none"/>
                <w:lang w:eastAsia="zh-CN"/>
              </w:rPr>
              <w:t>；</w:t>
            </w:r>
          </w:p>
          <w:p w14:paraId="0EAE53EA">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宋体" w:hAnsi="宋体" w:eastAsia="宋体" w:cs="宋体"/>
                <w:i w:val="0"/>
                <w:iCs w:val="0"/>
                <w:color w:val="000000"/>
                <w:sz w:val="24"/>
                <w:szCs w:val="24"/>
                <w:u w:val="none"/>
                <w:lang w:eastAsia="zh-CN"/>
              </w:rPr>
              <w:t>；</w:t>
            </w:r>
          </w:p>
          <w:p w14:paraId="7FEF945D">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w:t>
            </w:r>
            <w:r>
              <w:rPr>
                <w:rFonts w:hint="eastAsia" w:ascii="宋体" w:hAnsi="宋体" w:eastAsia="宋体" w:cs="宋体"/>
                <w:i w:val="0"/>
                <w:iCs w:val="0"/>
                <w:color w:val="000000"/>
                <w:sz w:val="24"/>
                <w:szCs w:val="24"/>
                <w:u w:val="none"/>
                <w:lang w:eastAsia="zh-CN"/>
              </w:rPr>
              <w:t>；</w:t>
            </w:r>
          </w:p>
          <w:p w14:paraId="2A46316F">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i w:val="0"/>
                <w:iCs w:val="0"/>
                <w:color w:val="000000"/>
                <w:sz w:val="24"/>
                <w:szCs w:val="24"/>
                <w:u w:val="none"/>
                <w:lang w:eastAsia="zh-CN"/>
              </w:rPr>
              <w:t>；</w:t>
            </w:r>
          </w:p>
          <w:p w14:paraId="46487FD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应采用 200W 像素双目摄像头，帧率应≥25 帧/s；应支持接入 NVR 设备，实现视频监控录像；</w:t>
            </w:r>
          </w:p>
          <w:p w14:paraId="59CB0509">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应支持双码流技术，主码流和子码流均为 1280×720@25fps 输出；在 IE 浏览器下，视频编码格式具有 H.265、H.264、MPEG-4、MJPEG 设置选项；可将 H.265、H.264 格式设置为Baseline/Mai n/High Profile</w:t>
            </w:r>
            <w:r>
              <w:rPr>
                <w:rFonts w:hint="eastAsia" w:ascii="宋体" w:hAnsi="宋体" w:eastAsia="宋体" w:cs="宋体"/>
                <w:i w:val="0"/>
                <w:iCs w:val="0"/>
                <w:color w:val="000000"/>
                <w:sz w:val="24"/>
                <w:szCs w:val="24"/>
                <w:u w:val="none"/>
                <w:lang w:eastAsia="zh-CN"/>
              </w:rPr>
              <w:t>；</w:t>
            </w:r>
          </w:p>
          <w:p w14:paraId="7FA93E92">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9、</w:t>
            </w:r>
            <w:r>
              <w:rPr>
                <w:rFonts w:hint="eastAsia" w:ascii="宋体" w:hAnsi="宋体" w:eastAsia="宋体" w:cs="宋体"/>
                <w:i w:val="0"/>
                <w:iCs w:val="0"/>
                <w:color w:val="000000"/>
                <w:sz w:val="24"/>
                <w:szCs w:val="24"/>
                <w:u w:val="none"/>
              </w:rPr>
              <w:t>设备离线应支持 10000个用户（用户权限应能配置为管理员）、 10000 张人脸库、 50000 张卡片容量、150000 笔记录存储 、 10000 个密码</w:t>
            </w:r>
            <w:r>
              <w:rPr>
                <w:rFonts w:hint="eastAsia" w:ascii="宋体" w:hAnsi="宋体" w:eastAsia="宋体" w:cs="宋体"/>
                <w:i w:val="0"/>
                <w:iCs w:val="0"/>
                <w:color w:val="000000"/>
                <w:sz w:val="24"/>
                <w:szCs w:val="24"/>
                <w:u w:val="none"/>
                <w:lang w:eastAsia="zh-CN"/>
              </w:rPr>
              <w:t>；</w:t>
            </w:r>
          </w:p>
          <w:p w14:paraId="1E56210C">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10、</w:t>
            </w:r>
            <w:r>
              <w:rPr>
                <w:rFonts w:hint="eastAsia" w:ascii="宋体" w:hAnsi="宋体" w:eastAsia="宋体" w:cs="宋体"/>
                <w:i w:val="0"/>
                <w:iCs w:val="0"/>
                <w:color w:val="000000"/>
                <w:sz w:val="24"/>
                <w:szCs w:val="24"/>
                <w:u w:val="none"/>
              </w:rPr>
              <w:t>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sz w:val="24"/>
                <w:szCs w:val="24"/>
                <w:u w:val="none"/>
                <w:lang w:eastAsia="zh-CN"/>
              </w:rPr>
              <w:t>；</w:t>
            </w:r>
          </w:p>
          <w:p w14:paraId="72EEFBA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11、</w:t>
            </w:r>
            <w:r>
              <w:rPr>
                <w:rFonts w:hint="eastAsia" w:ascii="宋体" w:hAnsi="宋体" w:eastAsia="宋体" w:cs="宋体"/>
                <w:i w:val="0"/>
                <w:iCs w:val="0"/>
                <w:color w:val="000000"/>
                <w:sz w:val="24"/>
                <w:szCs w:val="24"/>
                <w:u w:val="none"/>
              </w:rPr>
              <w:t>应支持根据比对结果，输出开关量信号联动门禁等设备；支持通过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p>
          <w:p w14:paraId="3C522DB8">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12、</w:t>
            </w:r>
            <w:r>
              <w:rPr>
                <w:rFonts w:hint="eastAsia" w:ascii="宋体" w:hAnsi="宋体" w:eastAsia="宋体" w:cs="宋体"/>
                <w:i w:val="0"/>
                <w:iCs w:val="0"/>
                <w:color w:val="000000"/>
                <w:sz w:val="24"/>
                <w:szCs w:val="24"/>
                <w:u w:val="none"/>
              </w:rPr>
              <w:t>应支持通过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sz w:val="24"/>
                <w:szCs w:val="24"/>
                <w:u w:val="none"/>
                <w:lang w:eastAsia="zh-CN"/>
              </w:rPr>
              <w:t>；</w:t>
            </w:r>
          </w:p>
          <w:p w14:paraId="2A8DC627">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13、</w:t>
            </w:r>
            <w:r>
              <w:rPr>
                <w:rFonts w:hint="eastAsia" w:ascii="宋体" w:hAnsi="宋体" w:eastAsia="宋体" w:cs="宋体"/>
                <w:i w:val="0"/>
                <w:iCs w:val="0"/>
                <w:color w:val="000000"/>
                <w:sz w:val="24"/>
                <w:szCs w:val="24"/>
                <w:u w:val="none"/>
              </w:rPr>
              <w:t>人脸比对平均时间应＜120ms （1:1对比方式）；最大人脸验证距离：＞4m；最小人脸验证距离：＜0.2m；认假率（FAR）= 认假总次数/负样本对×100%；拒真率（FRR）= 拒真总次数/正样本对×100%；准确率=（正样本通过次数+负样本拒绝次数）/比对总次数×100%；FAR＜0.0002% ；FRR＜1%；准确率＞99.95%</w:t>
            </w:r>
            <w:r>
              <w:rPr>
                <w:rFonts w:hint="eastAsia" w:ascii="宋体" w:hAnsi="宋体" w:eastAsia="宋体" w:cs="宋体"/>
                <w:i w:val="0"/>
                <w:iCs w:val="0"/>
                <w:color w:val="000000"/>
                <w:sz w:val="24"/>
                <w:szCs w:val="24"/>
                <w:u w:val="none"/>
                <w:lang w:eastAsia="zh-CN"/>
              </w:rPr>
              <w:t>；</w:t>
            </w:r>
          </w:p>
          <w:p w14:paraId="55641017">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14、</w:t>
            </w:r>
            <w:r>
              <w:rPr>
                <w:rFonts w:hint="eastAsia" w:ascii="宋体" w:hAnsi="宋体" w:eastAsia="宋体" w:cs="宋体"/>
                <w:i w:val="0"/>
                <w:iCs w:val="0"/>
                <w:color w:val="000000"/>
                <w:sz w:val="24"/>
                <w:szCs w:val="24"/>
                <w:u w:val="none"/>
              </w:rPr>
              <w:t>应具有拓展GPS定位模块能力，应能通过事件方式定时上报设备位置信息</w:t>
            </w:r>
            <w:r>
              <w:rPr>
                <w:rFonts w:hint="eastAsia" w:ascii="宋体" w:hAnsi="宋体" w:eastAsia="宋体" w:cs="宋体"/>
                <w:i w:val="0"/>
                <w:iCs w:val="0"/>
                <w:color w:val="000000"/>
                <w:sz w:val="24"/>
                <w:szCs w:val="24"/>
                <w:u w:val="none"/>
                <w:lang w:eastAsia="zh-CN"/>
              </w:rPr>
              <w:t>；</w:t>
            </w:r>
          </w:p>
          <w:p w14:paraId="361E868A">
            <w:pPr>
              <w:keepNext w:val="0"/>
              <w:keepLines w:val="0"/>
              <w:widowControl/>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15、</w:t>
            </w:r>
            <w:r>
              <w:rPr>
                <w:rFonts w:hint="eastAsia" w:ascii="宋体" w:hAnsi="宋体" w:eastAsia="宋体" w:cs="宋体"/>
                <w:i w:val="0"/>
                <w:iCs w:val="0"/>
                <w:color w:val="000000"/>
                <w:sz w:val="24"/>
                <w:szCs w:val="24"/>
                <w:u w:val="none"/>
              </w:rPr>
              <w:t>满足GA/T 1179-2014《安防声纹确认应用算法技术要求和测试方法》</w:t>
            </w:r>
            <w:r>
              <w:rPr>
                <w:rFonts w:hint="eastAsia" w:ascii="宋体" w:hAnsi="宋体" w:eastAsia="宋体" w:cs="宋体"/>
                <w:i w:val="0"/>
                <w:iCs w:val="0"/>
                <w:color w:val="000000"/>
                <w:sz w:val="24"/>
                <w:szCs w:val="24"/>
                <w:u w:val="none"/>
                <w:lang w:eastAsia="zh-CN"/>
              </w:rPr>
              <w:t>；</w:t>
            </w:r>
          </w:p>
          <w:p w14:paraId="3982B1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16、</w:t>
            </w:r>
            <w:r>
              <w:rPr>
                <w:rFonts w:hint="eastAsia" w:ascii="宋体" w:hAnsi="宋体" w:eastAsia="宋体" w:cs="宋体"/>
                <w:i w:val="0"/>
                <w:iCs w:val="0"/>
                <w:color w:val="000000"/>
                <w:sz w:val="24"/>
                <w:szCs w:val="24"/>
                <w:u w:val="none"/>
              </w:rPr>
              <w:t>符合GB/T24021-2001idt ISO14021:1999《环境管理环境标志与声明自我环境声明(Ⅱ型环境标志)》的要求</w:t>
            </w:r>
            <w:r>
              <w:rPr>
                <w:rFonts w:hint="eastAsia" w:ascii="宋体" w:hAnsi="宋体" w:eastAsia="宋体" w:cs="宋体"/>
                <w:i w:val="0"/>
                <w:iCs w:val="0"/>
                <w:color w:val="000000"/>
                <w:sz w:val="24"/>
                <w:szCs w:val="24"/>
                <w:u w:val="none"/>
                <w:lang w:eastAsia="zh-CN"/>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7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3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F2F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5C13">
            <w:pPr>
              <w:jc w:val="center"/>
              <w:rPr>
                <w:rFonts w:hint="eastAsia" w:ascii="宋体" w:hAnsi="宋体" w:eastAsia="宋体" w:cs="宋体"/>
                <w:i w:val="0"/>
                <w:iCs w:val="0"/>
                <w:color w:val="000000"/>
                <w:sz w:val="24"/>
                <w:szCs w:val="24"/>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4CFA5">
            <w:pPr>
              <w:jc w:val="center"/>
              <w:rPr>
                <w:rFonts w:hint="eastAsia" w:ascii="宋体" w:hAnsi="宋体" w:eastAsia="宋体" w:cs="宋体"/>
                <w:i w:val="0"/>
                <w:iCs w:val="0"/>
                <w:color w:val="000000"/>
                <w:sz w:val="24"/>
                <w:szCs w:val="24"/>
                <w:u w:val="none"/>
              </w:rPr>
            </w:pP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C6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锁体主体颜色为：氧化银</w:t>
            </w:r>
          </w:p>
          <w:p w14:paraId="601CF58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最大静态直线拉力：280kg±10% *2</w:t>
            </w:r>
          </w:p>
          <w:p w14:paraId="3C1165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断电开锁，满足消防要求</w:t>
            </w:r>
          </w:p>
          <w:p w14:paraId="0AFE4B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具有电锁状态指示灯（红灯为开锁状态， 绿灯为上锁状态）</w:t>
            </w:r>
          </w:p>
          <w:p w14:paraId="22916C9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支持锁状态侦测信号(门磁)输出：NO/NC/COM接点</w:t>
            </w:r>
          </w:p>
          <w:p w14:paraId="15BEF7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工作电压：12V/430mA*2 或 24V/215mA*2</w:t>
            </w:r>
          </w:p>
          <w:p w14:paraId="2047708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锁体尺寸：长500*宽53*厚29(mm)</w:t>
            </w:r>
          </w:p>
          <w:p w14:paraId="6EF0EB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吸板尺寸：长170*宽43*高13(mm)</w:t>
            </w:r>
          </w:p>
          <w:p w14:paraId="463612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使用环境：室内（不防水）</w:t>
            </w:r>
          </w:p>
          <w:p w14:paraId="4B039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适用门型：木门、玻璃门、金属门、防火门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1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C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226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9323">
            <w:pPr>
              <w:jc w:val="center"/>
              <w:rPr>
                <w:rFonts w:hint="eastAsia" w:ascii="宋体" w:hAnsi="宋体" w:eastAsia="宋体" w:cs="宋体"/>
                <w:i w:val="0"/>
                <w:iCs w:val="0"/>
                <w:color w:val="000000"/>
                <w:sz w:val="24"/>
                <w:szCs w:val="24"/>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768C">
            <w:pPr>
              <w:jc w:val="center"/>
              <w:rPr>
                <w:rFonts w:hint="eastAsia" w:ascii="宋体" w:hAnsi="宋体" w:eastAsia="宋体" w:cs="宋体"/>
                <w:i w:val="0"/>
                <w:iCs w:val="0"/>
                <w:color w:val="000000"/>
                <w:sz w:val="24"/>
                <w:szCs w:val="24"/>
                <w:u w:val="none"/>
              </w:rPr>
            </w:pP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12A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适装门重：60-85KG      适装门宽 ≤ 1100mm</w:t>
            </w:r>
          </w:p>
          <w:p w14:paraId="41F93F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闭门力量：EN4      开门角度 ≤ 180°</w:t>
            </w:r>
          </w:p>
          <w:p w14:paraId="3568A8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使用寿命：50万次   适用环境温度范围：-30℃---50℃</w:t>
            </w:r>
          </w:p>
          <w:p w14:paraId="08429A5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主体尺寸：178*39.5*62.5mm，具体详见彩页尺寸图。</w:t>
            </w:r>
          </w:p>
          <w:p w14:paraId="5B9B524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关门调速：两段调速；锁门速度：0°--15°范围内可调；闭门速度：15°--180°范围内可调。</w:t>
            </w:r>
          </w:p>
          <w:p w14:paraId="67BF65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建议闭门速度在180°至15°时略快，在15°至0°时放慢，以门扇充分关闭为准。防止关门速度过快导致门扇与门框发生撞击。</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6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3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34A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9D39">
            <w:pPr>
              <w:jc w:val="center"/>
              <w:rPr>
                <w:rFonts w:hint="eastAsia" w:ascii="宋体" w:hAnsi="宋体" w:eastAsia="宋体" w:cs="宋体"/>
                <w:i w:val="0"/>
                <w:iCs w:val="0"/>
                <w:color w:val="000000"/>
                <w:sz w:val="24"/>
                <w:szCs w:val="24"/>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29C4">
            <w:pPr>
              <w:jc w:val="center"/>
              <w:rPr>
                <w:rFonts w:hint="eastAsia" w:ascii="宋体" w:hAnsi="宋体" w:eastAsia="宋体" w:cs="宋体"/>
                <w:i w:val="0"/>
                <w:iCs w:val="0"/>
                <w:color w:val="000000"/>
                <w:sz w:val="24"/>
                <w:szCs w:val="24"/>
                <w:u w:val="none"/>
              </w:rPr>
            </w:pP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C1C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输入电压：100-240VAC；</w:t>
            </w:r>
          </w:p>
          <w:p w14:paraId="1EA022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输出电压：12VDC；</w:t>
            </w:r>
          </w:p>
          <w:p w14:paraId="756102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输出电流：4.17A；</w:t>
            </w:r>
          </w:p>
          <w:p w14:paraId="0B82EB1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输出功率：50W；</w:t>
            </w:r>
          </w:p>
          <w:p w14:paraId="06FBC8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工作温度：-10℃-+50℃；</w:t>
            </w:r>
          </w:p>
          <w:p w14:paraId="09A619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工作湿度：＜95%；</w:t>
            </w:r>
          </w:p>
          <w:p w14:paraId="0AE7D7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尺寸：99*82*30mm；</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8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B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2B5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BA80">
            <w:pPr>
              <w:jc w:val="center"/>
              <w:rPr>
                <w:rFonts w:hint="eastAsia" w:ascii="宋体" w:hAnsi="宋体" w:eastAsia="宋体" w:cs="宋体"/>
                <w:i w:val="0"/>
                <w:iCs w:val="0"/>
                <w:color w:val="000000"/>
                <w:sz w:val="24"/>
                <w:szCs w:val="24"/>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0A12">
            <w:pPr>
              <w:jc w:val="center"/>
              <w:rPr>
                <w:rFonts w:hint="eastAsia" w:ascii="宋体" w:hAnsi="宋体" w:eastAsia="宋体" w:cs="宋体"/>
                <w:i w:val="0"/>
                <w:iCs w:val="0"/>
                <w:color w:val="000000"/>
                <w:sz w:val="24"/>
                <w:szCs w:val="24"/>
                <w:u w:val="none"/>
              </w:rPr>
            </w:pP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64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磁力锁支架</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8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5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5B9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145F">
            <w:pPr>
              <w:jc w:val="center"/>
              <w:rPr>
                <w:rFonts w:hint="eastAsia" w:ascii="宋体" w:hAnsi="宋体" w:eastAsia="宋体" w:cs="宋体"/>
                <w:i w:val="0"/>
                <w:iCs w:val="0"/>
                <w:color w:val="000000"/>
                <w:sz w:val="24"/>
                <w:szCs w:val="24"/>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1DF4">
            <w:pPr>
              <w:jc w:val="center"/>
              <w:rPr>
                <w:rFonts w:hint="eastAsia" w:ascii="宋体" w:hAnsi="宋体" w:eastAsia="宋体" w:cs="宋体"/>
                <w:i w:val="0"/>
                <w:iCs w:val="0"/>
                <w:color w:val="000000"/>
                <w:sz w:val="24"/>
                <w:szCs w:val="24"/>
                <w:u w:val="none"/>
              </w:rPr>
            </w:pP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AD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开门按钮</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B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2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8C3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6BB7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三、LED显示屏</w:t>
            </w:r>
          </w:p>
        </w:tc>
      </w:tr>
      <w:tr w14:paraId="2EE7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9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CE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显示单元</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85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1、面积：≥12.95㎡；</w:t>
            </w:r>
          </w:p>
          <w:p w14:paraId="7B654E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2、像素点间距≤2.0mm，物理密度≥250000点/㎡；</w:t>
            </w:r>
          </w:p>
          <w:p w14:paraId="17228C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3、单元尺寸：320*160，单元分辨率：160*80；</w:t>
            </w:r>
          </w:p>
          <w:p w14:paraId="339351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4、灯珠灯芯亮度误差±5%；</w:t>
            </w:r>
          </w:p>
          <w:p w14:paraId="1A4363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5、PCB板需采用灯驱合一，多层电路板沉金工艺设计，应具有独特的消隐、节能等功能设计，符合GJB9001C-2017质量管理标准；（须提供由三方权威检测机构出具的带有CNAS、ilac-MRA认证的检测报告复印件)</w:t>
            </w:r>
          </w:p>
          <w:p w14:paraId="5029AC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6、屏体正面需为黑色亚光处理，且反光率≤1.2%；</w:t>
            </w:r>
          </w:p>
          <w:p w14:paraId="73FADC6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7、LED灯珠抗拉机械强度测试：≥1.5Kg；</w:t>
            </w:r>
          </w:p>
          <w:p w14:paraId="642F03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8、模组、接收卡支持带电维护，热插拔；</w:t>
            </w:r>
          </w:p>
          <w:p w14:paraId="714745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9、对比度：动态对比度：≥10000:1，静态对比度：≥100000:1；</w:t>
            </w:r>
          </w:p>
          <w:p w14:paraId="08D5719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10、刷新率：720Hz-4620Hz；</w:t>
            </w:r>
          </w:p>
          <w:p w14:paraId="77793F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11、水平、垂直视角≥175°；</w:t>
            </w:r>
          </w:p>
          <w:p w14:paraId="2A800C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12、显示屏支持软件始项不同亮度情况下，0-100%亮度时，10-24bits任意灰度设置；</w:t>
            </w:r>
          </w:p>
          <w:p w14:paraId="6FA5BBA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13、箱体/模组平整度：≤0.05mm，箱体间缝隙≤0.05mm，箱体间/模组间相对错位值：＜1%；</w:t>
            </w:r>
          </w:p>
          <w:p w14:paraId="746B54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14、显示屏亮度：0-1800cd/㎡可调，亮度均匀性：≥98%，显示屏色温：1000-20000K可调；显示单元色域：≥120%NTSC；</w:t>
            </w:r>
          </w:p>
          <w:p w14:paraId="0539FDF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15、显示屏支持鬼影消除，十字架消除，去坏点毛毛虫消除功能；（须提供由三方权威检测机构出具的带有CNAS、ilac-MRA认证的检测报告复印件)</w:t>
            </w:r>
          </w:p>
          <w:p w14:paraId="1BD57B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显示屏具有自检技术，可实现LED单点检测，通讯检测，温度检测，电源检测，温度监控；可以远程监督控制，对可能发生的潜在故障记录日志，并向操作员发出警报信号；(须提供由三方权威检测机构出具的带有CNAS、ilac-MRA认证的检测报告复印件)</w:t>
            </w:r>
          </w:p>
          <w:p w14:paraId="15E624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17、显示屏支持单点亮度校正、色度校正等功能；</w:t>
            </w:r>
          </w:p>
          <w:p w14:paraId="33E001E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18、功耗：峰值≤350W/㎡，平均≤120W/㎡，带电黑屏下≤30W/㎡；内置电源具备PFC功能，电源功率因素≥0.95；</w:t>
            </w:r>
          </w:p>
          <w:p w14:paraId="50C731E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19、显示屏换帧频率：50/60Hz，像素点失控率≤1/150000；</w:t>
            </w:r>
          </w:p>
          <w:p w14:paraId="0BC9419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20、显示屏平均修复时间≤2分钟，平均无故障时间≥150000H，使用寿命≥1000000H；</w:t>
            </w:r>
          </w:p>
          <w:p w14:paraId="499390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21、显示屏支持屏体因安装精度造成的亮、暗线问题的校正；</w:t>
            </w:r>
          </w:p>
          <w:p w14:paraId="761B1DD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22、显示屏应通过着火危险测试，测试下 PCB板、单元塑料面罩等在着火后能快速自熄灭，10s之内无燃烧的熔体滴落；</w:t>
            </w:r>
          </w:p>
          <w:p w14:paraId="23A88D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23、显示屏具有动态节能、降低功耗设置；</w:t>
            </w:r>
          </w:p>
          <w:p w14:paraId="05FFA7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24、显示屏通过气味测试：在20℃、40℃、60℃、80℃环境下正常工作，无散发任何异味；（须提供由三方权威检测机构出具的带有CNAS、ilac-MRA认证的检测报告复印件）</w:t>
            </w:r>
          </w:p>
          <w:p w14:paraId="00A4628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25、显示屏需通过有害物质检测，符合GB/T 26572-2011中电子电气产品六种限用物质（铅、汞、镉、六价铬、多溴联苯、多溴二苯醚）的要求；（须提供由三方权威检测机构出具的带有CNAS、ilac-MRA认证的检测报告复印件）</w:t>
            </w:r>
          </w:p>
          <w:p w14:paraId="662B56E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26、显示屏应通过光生物安全测试，要求依据GB/T 20145-2006标准进行光生物安全及蓝光危害评估检测符合无危害类；在10000s内不造成对视网膜蓝光危害（LB）并在10s内不造成对视网膜热危害（LR），并且在1000s内不造成对眼睛的红外辐射危害（EIR）；（须提供由三方权威检测机构出具的带有CNAS、ilac-MRA认证的检测报告复印件）</w:t>
            </w:r>
          </w:p>
          <w:p w14:paraId="59071E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27、显示屏需通过防毒辐射污染测试，通过BS6853有毒烟测试，毒性指数R值小于0.5（须提供由三方权威检测机构出具的带有CNAS、ilac-MRA认证的检测报告复印件）</w:t>
            </w:r>
          </w:p>
          <w:p w14:paraId="579B8D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28、显示屏需通过职业健康安全管理体系认证、环境管理体系认证证书；（须提供有效的证书复印件并加盖原厂公章)</w:t>
            </w:r>
          </w:p>
          <w:p w14:paraId="5A2ADA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29、显示屏需通过中国质量认证中心的节能认证，（须提供有效的证书复印件并加盖原厂公章)</w:t>
            </w:r>
          </w:p>
          <w:p w14:paraId="2E322A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30、LED显示屏具备国家强制性3C认证（须提供显示屏3C认证证书并加盖公章）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3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9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930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F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7F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C3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4.5V200W</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C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9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14:paraId="5D94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23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21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单卡带载512*512，集成16个标准HUB75接口</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5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D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465A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9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FDE7">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大屏规范管理软件</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0ACE">
            <w:pPr>
              <w:keepNext w:val="0"/>
              <w:keepLines w:val="0"/>
              <w:widowControl/>
              <w:suppressLineNumbers w:val="0"/>
              <w:ind w:left="240" w:hanging="240" w:hanging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显示屏厂家应提供具有自主知识产权的显示屏规范使用及安全管控软件系统</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Hans" w:bidi="ar"/>
              </w:rPr>
              <w:t>软件至少具备</w:t>
            </w:r>
            <w:r>
              <w:rPr>
                <w:rFonts w:hint="eastAsia" w:ascii="宋体" w:hAnsi="宋体" w:eastAsia="宋体" w:cs="宋体"/>
                <w:i w:val="0"/>
                <w:iCs w:val="0"/>
                <w:color w:val="000000"/>
                <w:kern w:val="0"/>
                <w:sz w:val="24"/>
                <w:szCs w:val="24"/>
                <w:u w:val="none"/>
                <w:lang w:val="en-US" w:eastAsia="zh-CN" w:bidi="ar"/>
              </w:rPr>
              <w:t>以</w:t>
            </w:r>
            <w:r>
              <w:rPr>
                <w:rFonts w:hint="eastAsia" w:ascii="宋体" w:hAnsi="宋体" w:eastAsia="宋体" w:cs="宋体"/>
                <w:i w:val="0"/>
                <w:iCs w:val="0"/>
                <w:color w:val="000000"/>
                <w:kern w:val="0"/>
                <w:sz w:val="24"/>
                <w:szCs w:val="24"/>
                <w:u w:val="none"/>
                <w:lang w:val="en-US" w:eastAsia="zh-Hans" w:bidi="ar"/>
              </w:rPr>
              <w:t>下功能：</w:t>
            </w:r>
          </w:p>
          <w:p w14:paraId="73D025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1、软件启动后，除LED内容播放窗口外，电脑桌面的其他区域全屏蔽，除非输入密码，否则无法打开系统软件和文件，无法操作windows系统桌面。防止无关人员误操作。</w:t>
            </w:r>
          </w:p>
          <w:p w14:paraId="6C436B3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2、具有关闭Windows系统快捷键的功能，以保证软件自身不被非法关闭。可以屏蔽CTRL+ALT+DEL，ALT+TAB，ALT+F4热键，阻止未授权用户随意关闭误操作防护软件模块。</w:t>
            </w:r>
          </w:p>
          <w:p w14:paraId="5023EED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3、误操作防护功能软件能够记录用户的登录数据，可以查询登录数据。</w:t>
            </w:r>
          </w:p>
          <w:p w14:paraId="66BCA0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4、误操作防护功能软件可以定时对LED大屏控制电脑做全屏截图。截图保存路径和截图间隔时间可以通过软件做设置。截图软件可以设置在硬盘中保存的时间，超时图片自动清除，可以查看截图；</w:t>
            </w:r>
          </w:p>
          <w:p w14:paraId="7C7680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5、软件能够开机自动启动，进入管控模式。</w:t>
            </w:r>
          </w:p>
          <w:p w14:paraId="4369CF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提供大屏播控软件著作权及大屏规范操作软件著作权，且软件著作权证书与LED显示屏为同一品牌。</w:t>
            </w:r>
          </w:p>
          <w:p w14:paraId="2D4A3BC5">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为确保可以实现功能，需提供软件演示视频。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E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9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681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B6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4D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视频处理器</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EBD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1、支持常见的视频接口，包括1路3G-SDI（选配），2路HDMI1.3，1路DVI；</w:t>
            </w:r>
          </w:p>
          <w:p w14:paraId="56EA7AD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2、支持3个窗口和1路OSD；</w:t>
            </w:r>
          </w:p>
          <w:p w14:paraId="3599D31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3、支持快捷配屏和高级配屏功能；</w:t>
            </w:r>
          </w:p>
          <w:p w14:paraId="14F62B3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4、支持HDMI、DVI输入分辨率自定义调节；</w:t>
            </w:r>
          </w:p>
          <w:p w14:paraId="52DD260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5、最宽支持10240，最高8192；</w:t>
            </w:r>
          </w:p>
          <w:p w14:paraId="6906EFF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6、支持设备间备份设置；</w:t>
            </w:r>
          </w:p>
          <w:p w14:paraId="700440A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7、视频输出最大带载高达390万像素；</w:t>
            </w:r>
          </w:p>
          <w:p w14:paraId="3C0C65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8、支持带载屏体亮度调节；</w:t>
            </w:r>
          </w:p>
          <w:p w14:paraId="03F7AEC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9、支持一键将优先级最低的窗口全屏自动缩放；</w:t>
            </w:r>
          </w:p>
          <w:p w14:paraId="0ACFE1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10、支持创建10个用户场景作为模板保存，方便使用；</w:t>
            </w:r>
          </w:p>
          <w:p w14:paraId="742FF27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11、支持选择 HDMI 输入源或 DVI 输入源作为同步信号，达到输出的场级同步；</w:t>
            </w:r>
          </w:p>
          <w:p w14:paraId="7F6135F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12、前面板配备直观的LCD显示界面，清晰的按键灯提示，简化了系统的控制操作；             13、为保证产品的稳定性，需提供出厂出货检验报告和合格证复印件并加盖公章；</w:t>
            </w:r>
          </w:p>
          <w:p w14:paraId="103F1F1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14、为保证售后的持续性，需提供厂家售后服务承诺书和项目授权书加盖厂家公章；</w:t>
            </w:r>
          </w:p>
          <w:p w14:paraId="42FD578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15、为保证硬件与软件系统的切合稳定性，需提供二合一视频控制器嵌入式软件著作权证书复印件并加盖厂家公章；</w:t>
            </w:r>
          </w:p>
          <w:p w14:paraId="751AD21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16、提供ISO9001质量管理体系认证证书复印件并加盖厂家公章；</w:t>
            </w:r>
          </w:p>
          <w:p w14:paraId="32A02B8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为保证产品质量达标，提供中国质量认证中心、CCC、CQC中国国家强制性产品认证证书；18、为确保产品功能完整性，提供防火、输入输出接口、分辨率调节、带载能力、快捷点屏、一键缩放、场同步、扩展子卡、优盘播放等第三方 ilac-MRA、CNAS、CTS、MA产品功能检测报告；</w:t>
            </w:r>
          </w:p>
          <w:p w14:paraId="5C4BDA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19、保证产品安全使用，操作人员接触区无可接触的能量危险，无裸露的电压危险部件在维修人员接触区域，设备内电容器的放电、Up=389Vp，1 秒后 0V（需要提供第三方检测机构出具的CNAS、 CMA、ilac-MRA的检测报告 ，需加盖生产厂家公章）</w:t>
            </w:r>
          </w:p>
          <w:p w14:paraId="149ED44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设备的接地和连接保护措施，可触及导体部件已经可靠接入保护接地，设备内的保护接地导体和保护连接导体中的元器件未串接开关或过流保护装置，并且所有的接地装置通过耐腐蚀性测试（需要提供第三方检测机构出具的CNAS、 CMA、ilac-MRA的检测报告 ，需加盖生产厂家公章）</w:t>
            </w:r>
          </w:p>
          <w:p w14:paraId="05A1D9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21、为保证产品具备电气绝缘能力，绝缘材料未使用石棉或者吸湿性材料用于绝缘，同时通过在30℃,95%R.H的环境下经过,48h的湿热处理（需要提供第三方检测机构出具的CNAS、 CMA、ilac-MRA的检测报告 ，需加盖生产厂家公章）</w:t>
            </w:r>
          </w:p>
          <w:p w14:paraId="3B8B3D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22、保证产品结构以及机械强度在使用过程中无风险，设备需要通过冲击试验、经受 750mm 高度不同方向跌落 3 次跌落试验测试，无危险呈现（需要提供第三方检测机构出具的CNAS、 CMA、ilac-MRA的检测报告 ，需加盖生产厂家公章）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7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F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67A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9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7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05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 xml:space="preserve">飞腾D2000 JM9100 8G+512G 2G独显 </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F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E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B1C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2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7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68B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单元组成：不少于6×3"Φ25mm</w:t>
            </w:r>
          </w:p>
          <w:p w14:paraId="7D4B40E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频率响应:不劣于115～15KHz</w:t>
            </w:r>
          </w:p>
          <w:p w14:paraId="5C66C0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灵敏度:≥96dB@1W.M</w:t>
            </w:r>
          </w:p>
          <w:p w14:paraId="2F83717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额定功率(RMS):≥180W</w:t>
            </w:r>
          </w:p>
          <w:p w14:paraId="5358ED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峰值功率（PEAK):≥720W  </w:t>
            </w:r>
          </w:p>
          <w:p w14:paraId="095EC59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最大声压级(1m):≥125dB峰值</w:t>
            </w:r>
          </w:p>
          <w:p w14:paraId="18976B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额定阻抗:8Ω</w:t>
            </w:r>
          </w:p>
          <w:p w14:paraId="488279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指向性(H X V): 90度（水平）*90度（垂直）</w:t>
            </w:r>
          </w:p>
          <w:p w14:paraId="6ACDBC3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输入方式:2 x NL4</w:t>
            </w:r>
          </w:p>
          <w:p w14:paraId="557E921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尺寸（宽W*高H*深D）：620mm*130mm*180mm</w:t>
            </w:r>
          </w:p>
          <w:p w14:paraId="7877B1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重量：≤7kg</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7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4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92C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0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2A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4B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功率输出：8Ω 双通道驱动不低于300 W</w:t>
            </w:r>
          </w:p>
          <w:p w14:paraId="4F4CDA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功率输出：4Ω 双通道驱动不低于580 W</w:t>
            </w:r>
          </w:p>
          <w:p w14:paraId="2107C5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信号到噪音：(20 Hz -20 kHz)   ≥ 100 Db</w:t>
            </w:r>
          </w:p>
          <w:p w14:paraId="4224010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输入灵敏度：≥1.2Vrms</w:t>
            </w:r>
          </w:p>
          <w:p w14:paraId="5F47B1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电压增益：≥(8Ω)32.2 dB    </w:t>
            </w:r>
          </w:p>
          <w:p w14:paraId="1ECD55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频率响应：不劣于 20 - 20kHz, +0, -1dB</w:t>
            </w:r>
          </w:p>
          <w:p w14:paraId="09F3E86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动态净空： 4Ω2dB</w:t>
            </w:r>
          </w:p>
          <w:p w14:paraId="2B453A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输入阻抗： 不劣于20K 欧姆（平衡或非平衡）</w:t>
            </w:r>
          </w:p>
          <w:p w14:paraId="5B430A0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最大输入电平：+6dB  </w:t>
            </w:r>
          </w:p>
          <w:p w14:paraId="59E78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放大器和负载保护：短路、断路、热和RF保护对直流故障的负载保护</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0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7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334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7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2E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钢结构及包边</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B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1．钢结构制作按照《钢结构施工质量验收规范》GB50205-2001进行制作,钢材加工前进行矫正,使之平直,以免影响制作精度，对接焊缝为坡口焊,焊缝等级不低于二级；</w:t>
            </w:r>
          </w:p>
          <w:p w14:paraId="7ED89A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2．外框应结合现场环境特点设计，精致美观。</w:t>
            </w:r>
          </w:p>
          <w:p w14:paraId="4592B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3．屏体外装饰由耐腐蚀性和阻燃性的材料制作，坚固耐用。</w:t>
            </w:r>
          </w:p>
          <w:p w14:paraId="4ED45E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因该项目使用单位和场合的特殊性，需要投标人或LED显示屏生产制造商提供钢结构专业承包贰级资质，以证明其有能力保障该项目的结构的安全性。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7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9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51E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9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D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配套线材</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19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含排线/级联电源线/网线</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F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B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87D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C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1D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备品</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A0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P2.0显示单元1张+1块电源+1张接收卡</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9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205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6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6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D150">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负荷10KW，配电柜内装有空气开关、熔断器、交流接触器等，避雷器等；配电柜内主要开关均选用国内一线品牌器件，三相配电系统；具有过载、过流、过载保护。</w:t>
            </w:r>
          </w:p>
          <w:p w14:paraId="247E55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为了与LED显示屏实现无缝对接、全面兼容，确保后期不会出现专利纠纷、兼容性和售后维护问题，要求与LED显示屏为同一品牌</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提供</w:t>
            </w:r>
            <w:r>
              <w:rPr>
                <w:rFonts w:hint="eastAsia" w:ascii="宋体" w:hAnsi="宋体" w:eastAsia="宋体" w:cs="宋体"/>
                <w:i w:val="0"/>
                <w:iCs w:val="0"/>
                <w:color w:val="000000"/>
                <w:sz w:val="24"/>
                <w:szCs w:val="24"/>
                <w:u w:val="none"/>
                <w:lang w:val="en-US" w:eastAsia="zh-CN"/>
              </w:rPr>
              <w:t>CQC</w:t>
            </w:r>
            <w:r>
              <w:rPr>
                <w:rFonts w:hint="eastAsia" w:ascii="宋体" w:hAnsi="宋体" w:eastAsia="宋体" w:cs="宋体"/>
                <w:i w:val="0"/>
                <w:iCs w:val="0"/>
                <w:color w:val="000000"/>
                <w:sz w:val="24"/>
                <w:szCs w:val="24"/>
                <w:u w:val="none"/>
              </w:rPr>
              <w:t>证明文件复印件并加盖制造商公章</w:t>
            </w:r>
            <w:r>
              <w:rPr>
                <w:rFonts w:hint="eastAsia" w:ascii="宋体" w:hAnsi="宋体" w:eastAsia="宋体" w:cs="宋体"/>
                <w:i w:val="0"/>
                <w:iCs w:val="0"/>
                <w:color w:val="000000"/>
                <w:sz w:val="24"/>
                <w:szCs w:val="24"/>
                <w:u w:val="none"/>
                <w:lang w:eastAsia="zh-CN"/>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6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6F9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B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F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E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A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F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6F90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2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F7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原大屏拆除搬运</w:t>
            </w:r>
          </w:p>
        </w:tc>
        <w:tc>
          <w:tcPr>
            <w:tcW w:w="3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9D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原大屏拆除搬运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8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14:paraId="63D8B46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7F060233">
      <w:pPr>
        <w:pStyle w:val="10"/>
        <w:rPr>
          <w:rFonts w:hint="eastAsia" w:ascii="宋体" w:hAnsi="宋体" w:eastAsia="宋体" w:cs="宋体"/>
        </w:rPr>
      </w:pPr>
    </w:p>
    <w:p w14:paraId="336B3D65">
      <w:pPr>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36"/>
          <w:szCs w:val="36"/>
        </w:rPr>
        <w:t>第四部分  评审方法</w:t>
      </w:r>
    </w:p>
    <w:p w14:paraId="341F12A6">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评审方法：</w:t>
      </w:r>
    </w:p>
    <w:p w14:paraId="271B44AC">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1.按照相关法律法规的规定，竞争性谈判小组采用最低评标价法对提交最后报价的供应商的响应文件和最后报价进行评审，按照最后报价由低到高的顺序提出三名以上成交候选供应商。</w:t>
      </w:r>
    </w:p>
    <w:p w14:paraId="5C263035">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rPr>
        <w:t>2.竞争性谈判小组组成：依法组建。</w:t>
      </w:r>
    </w:p>
    <w:p w14:paraId="40144429">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rPr>
        <w:t>3.本次评审采用最低评标价法。</w:t>
      </w:r>
    </w:p>
    <w:p w14:paraId="6487A9BE">
      <w:pPr>
        <w:adjustRightInd w:val="0"/>
        <w:snapToGrid w:val="0"/>
        <w:spacing w:line="360" w:lineRule="auto"/>
        <w:ind w:firstLine="482" w:firstLineChars="200"/>
        <w:rPr>
          <w:rStyle w:val="24"/>
          <w:rFonts w:hint="eastAsia" w:ascii="宋体" w:hAnsi="宋体" w:eastAsia="宋体" w:cs="宋体"/>
          <w:b/>
          <w:bCs/>
          <w:color w:val="000000"/>
          <w:sz w:val="24"/>
        </w:rPr>
      </w:pPr>
      <w:r>
        <w:rPr>
          <w:rStyle w:val="24"/>
          <w:rFonts w:hint="eastAsia" w:ascii="宋体" w:hAnsi="宋体" w:eastAsia="宋体" w:cs="宋体"/>
          <w:b/>
          <w:bCs/>
          <w:color w:val="000000"/>
          <w:sz w:val="24"/>
        </w:rPr>
        <w:t>注：（1）根据《政府采购促进中小企业发展管理办法》的相关规定，对小型和微型企业的价格给予10%的扣除，用扣除后的价格参与评审。</w:t>
      </w:r>
    </w:p>
    <w:p w14:paraId="4387B77D">
      <w:pPr>
        <w:snapToGrid w:val="0"/>
        <w:spacing w:line="360" w:lineRule="auto"/>
        <w:ind w:firstLine="420"/>
        <w:textAlignment w:val="baseline"/>
        <w:rPr>
          <w:rStyle w:val="24"/>
          <w:rFonts w:hint="eastAsia" w:ascii="宋体" w:hAnsi="宋体" w:eastAsia="宋体" w:cs="宋体"/>
          <w:b/>
          <w:bCs/>
          <w:color w:val="000000"/>
          <w:sz w:val="24"/>
        </w:rPr>
      </w:pPr>
      <w:r>
        <w:rPr>
          <w:rStyle w:val="24"/>
          <w:rFonts w:hint="eastAsia" w:ascii="宋体" w:hAnsi="宋体" w:eastAsia="宋体" w:cs="宋体"/>
          <w:b/>
          <w:bCs/>
          <w:color w:val="000000"/>
          <w:sz w:val="24"/>
        </w:rPr>
        <w:t>（2）根据《财政部民政部中国残疾人联合会关于促进残疾人就业政府采购政策的通知》（财库〔2017〕141号）的规定，对符合条件的残疾人福利性单位产品的价格给予10%的扣除，用扣除后的价格参与评审。</w:t>
      </w:r>
    </w:p>
    <w:p w14:paraId="48970B9A">
      <w:pPr>
        <w:snapToGrid w:val="0"/>
        <w:spacing w:line="360" w:lineRule="auto"/>
        <w:ind w:firstLine="420"/>
        <w:textAlignment w:val="baseline"/>
        <w:rPr>
          <w:rStyle w:val="24"/>
          <w:rFonts w:hint="eastAsia" w:ascii="宋体" w:hAnsi="宋体" w:eastAsia="宋体" w:cs="宋体"/>
          <w:b/>
          <w:bCs/>
          <w:color w:val="000000"/>
          <w:sz w:val="24"/>
        </w:rPr>
      </w:pPr>
      <w:r>
        <w:rPr>
          <w:rStyle w:val="24"/>
          <w:rFonts w:hint="eastAsia" w:ascii="宋体" w:hAnsi="宋体" w:eastAsia="宋体" w:cs="宋体"/>
          <w:b/>
          <w:bCs/>
          <w:color w:val="000000"/>
          <w:sz w:val="24"/>
        </w:rPr>
        <w:t>小型、微型企业和监狱企业级符合财政部、民政部、中国残疾人联合会关于促进残疾人就业政府采购政策的通知，以上政策同时具备的仅对其进行一次10%的价格扣除，不重复扣除。</w:t>
      </w:r>
    </w:p>
    <w:p w14:paraId="65A500F0">
      <w:pPr>
        <w:pStyle w:val="10"/>
        <w:spacing w:line="360" w:lineRule="auto"/>
        <w:ind w:firstLine="420"/>
        <w:rPr>
          <w:rFonts w:hint="eastAsia" w:ascii="宋体" w:hAnsi="宋体" w:eastAsia="宋体" w:cs="宋体"/>
          <w:b/>
          <w:bCs/>
          <w:sz w:val="24"/>
          <w:szCs w:val="24"/>
        </w:rPr>
      </w:pPr>
      <w:r>
        <w:rPr>
          <w:rStyle w:val="24"/>
          <w:rFonts w:hint="eastAsia" w:ascii="宋体" w:hAnsi="宋体" w:eastAsia="宋体" w:cs="宋体"/>
          <w:b/>
          <w:bCs/>
          <w:color w:val="000000"/>
          <w:sz w:val="24"/>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b/>
          <w:spacing w:val="4"/>
          <w:sz w:val="24"/>
        </w:rPr>
        <w:t>竞争性谈判小组</w:t>
      </w:r>
      <w:r>
        <w:rPr>
          <w:rStyle w:val="24"/>
          <w:rFonts w:hint="eastAsia" w:ascii="宋体" w:hAnsi="宋体" w:eastAsia="宋体" w:cs="宋体"/>
          <w:b/>
          <w:bCs/>
          <w:color w:val="000000"/>
          <w:sz w:val="24"/>
        </w:rPr>
        <w:t>应当将其作为无效投标处理。</w:t>
      </w:r>
    </w:p>
    <w:p w14:paraId="0621E9E8">
      <w:pPr>
        <w:pStyle w:val="10"/>
        <w:rPr>
          <w:rFonts w:hint="eastAsia" w:ascii="宋体" w:hAnsi="宋体" w:eastAsia="宋体" w:cs="宋体"/>
        </w:rPr>
      </w:pPr>
    </w:p>
    <w:p w14:paraId="5E172047">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二、竞争性谈判小组负责具体评审事务，并独立履行下列职责：</w:t>
      </w:r>
    </w:p>
    <w:p w14:paraId="383E2A12">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1.遵纪守法，客观、公正、认真负责地履行职责，根据谈判文件规定的评审程序、评审方法和评审标准审查谈判响应文件是否符合竞争性谈判文件的要求，并做出评价；</w:t>
      </w:r>
    </w:p>
    <w:p w14:paraId="43E0CC0E">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2.确认或修定谈判文件；</w:t>
      </w:r>
    </w:p>
    <w:p w14:paraId="220114EC">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3.符合性审查、评价谈判响应文件是否符合谈判文件的商务、技术等实质性要求；</w:t>
      </w:r>
    </w:p>
    <w:p w14:paraId="1E8C616D">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4.谈判小组可要求供应商就竞争性谈判响应文件中含义不明确的内容进行书面说明并提供相关材料</w:t>
      </w:r>
    </w:p>
    <w:p w14:paraId="0A825536">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5.依据竞争性谈判文件的要求和评审标准进行评审，推荐成交候选单位名单，对评审意见承担个人责任；</w:t>
      </w:r>
    </w:p>
    <w:p w14:paraId="450BBE73">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6.对评审过程及各供应商的商业机密予以保密；</w:t>
      </w:r>
    </w:p>
    <w:p w14:paraId="6E9626B4">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7.拟定评审结果；</w:t>
      </w:r>
    </w:p>
    <w:p w14:paraId="1157BAEF">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8.向财政部门报告在评审过程中发现的供应商的违法违规行为；</w:t>
      </w:r>
    </w:p>
    <w:p w14:paraId="6DAB19E5">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9.配合招标人、招标代理机构答复各供应商提出的质疑；</w:t>
      </w:r>
    </w:p>
    <w:p w14:paraId="580D5370">
      <w:pPr>
        <w:adjustRightInd w:val="0"/>
        <w:snapToGrid w:val="0"/>
        <w:spacing w:line="360" w:lineRule="auto"/>
        <w:ind w:firstLine="620" w:firstLineChars="250"/>
        <w:rPr>
          <w:rFonts w:hint="eastAsia" w:ascii="宋体" w:hAnsi="宋体" w:eastAsia="宋体" w:cs="宋体"/>
        </w:rPr>
      </w:pPr>
      <w:r>
        <w:rPr>
          <w:rFonts w:hint="eastAsia" w:ascii="宋体" w:hAnsi="宋体" w:eastAsia="宋体" w:cs="宋体"/>
          <w:spacing w:val="4"/>
          <w:sz w:val="24"/>
          <w:szCs w:val="22"/>
        </w:rPr>
        <w:t>10.配合各部门的投诉处理和监督检查工作。</w:t>
      </w:r>
    </w:p>
    <w:p w14:paraId="1246C33C">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三、供应商存在下列情况之一的，谈判无效:</w:t>
      </w:r>
    </w:p>
    <w:p w14:paraId="41CFB40E">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rPr>
        <w:t>1.竞争性谈判响应文件未按竞争性谈判文件要求签署、盖章的；</w:t>
      </w:r>
    </w:p>
    <w:p w14:paraId="583B5234">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lang w:val="en-US" w:eastAsia="zh-CN"/>
        </w:rPr>
        <w:t>2</w:t>
      </w:r>
      <w:r>
        <w:rPr>
          <w:rFonts w:hint="eastAsia" w:ascii="宋体" w:hAnsi="宋体" w:eastAsia="宋体" w:cs="宋体"/>
          <w:spacing w:val="4"/>
          <w:sz w:val="24"/>
        </w:rPr>
        <w:t>.不具备竞争性谈判文件中规定的资格要求的；</w:t>
      </w:r>
    </w:p>
    <w:p w14:paraId="76CD7BEA">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lang w:val="en-US" w:eastAsia="zh-CN"/>
        </w:rPr>
        <w:t>3</w:t>
      </w:r>
      <w:r>
        <w:rPr>
          <w:rFonts w:hint="eastAsia" w:ascii="宋体" w:hAnsi="宋体" w:eastAsia="宋体" w:cs="宋体"/>
          <w:spacing w:val="4"/>
          <w:sz w:val="24"/>
        </w:rPr>
        <w:t>.报价超过竞争性谈判文件中规定的预算金额或者最高限价的；</w:t>
      </w:r>
    </w:p>
    <w:p w14:paraId="4417B6D8">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lang w:val="en-US" w:eastAsia="zh-CN"/>
        </w:rPr>
        <w:t>4</w:t>
      </w:r>
      <w:r>
        <w:rPr>
          <w:rFonts w:hint="eastAsia" w:ascii="宋体" w:hAnsi="宋体" w:eastAsia="宋体" w:cs="宋体"/>
          <w:spacing w:val="4"/>
          <w:sz w:val="24"/>
        </w:rPr>
        <w:t>.竞争性谈判响应文件含有招标人不能接受的附加条件的；</w:t>
      </w:r>
    </w:p>
    <w:p w14:paraId="5CCE599A">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5</w:t>
      </w:r>
      <w:r>
        <w:rPr>
          <w:rFonts w:hint="eastAsia" w:ascii="宋体" w:hAnsi="宋体" w:eastAsia="宋体" w:cs="宋体"/>
          <w:spacing w:val="4"/>
          <w:sz w:val="24"/>
          <w:szCs w:val="22"/>
        </w:rPr>
        <w:t>.单位负责人为同一人或者存在直接控股、管理关系的不同供应商，参加本项目同一合同项下的谈判的；</w:t>
      </w:r>
    </w:p>
    <w:p w14:paraId="735060AE">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6</w:t>
      </w:r>
      <w:r>
        <w:rPr>
          <w:rFonts w:hint="eastAsia" w:ascii="宋体" w:hAnsi="宋体" w:eastAsia="宋体" w:cs="宋体"/>
          <w:spacing w:val="4"/>
          <w:sz w:val="24"/>
          <w:szCs w:val="22"/>
        </w:rPr>
        <w:t>.为本采购项目提供整体设计、规范编制或者项目管理、监理、检测等服务的供应商，参加本采购项目</w:t>
      </w:r>
      <w:r>
        <w:rPr>
          <w:rFonts w:hint="eastAsia" w:ascii="宋体" w:hAnsi="宋体" w:eastAsia="宋体" w:cs="宋体"/>
          <w:spacing w:val="4"/>
          <w:sz w:val="24"/>
        </w:rPr>
        <w:t>谈判</w:t>
      </w:r>
      <w:r>
        <w:rPr>
          <w:rFonts w:hint="eastAsia" w:ascii="宋体" w:hAnsi="宋体" w:eastAsia="宋体" w:cs="宋体"/>
          <w:spacing w:val="4"/>
          <w:sz w:val="24"/>
          <w:szCs w:val="22"/>
        </w:rPr>
        <w:t>的；</w:t>
      </w:r>
    </w:p>
    <w:p w14:paraId="6D99D717">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7</w:t>
      </w:r>
      <w:r>
        <w:rPr>
          <w:rFonts w:hint="eastAsia" w:ascii="宋体" w:hAnsi="宋体" w:eastAsia="宋体" w:cs="宋体"/>
          <w:spacing w:val="4"/>
          <w:sz w:val="24"/>
          <w:szCs w:val="22"/>
        </w:rPr>
        <w:t>.</w:t>
      </w:r>
      <w:r>
        <w:rPr>
          <w:rFonts w:hint="eastAsia" w:ascii="宋体" w:hAnsi="宋体" w:eastAsia="宋体" w:cs="宋体"/>
          <w:spacing w:val="4"/>
          <w:sz w:val="24"/>
        </w:rPr>
        <w:t>谈判</w:t>
      </w:r>
      <w:r>
        <w:rPr>
          <w:rFonts w:hint="eastAsia" w:ascii="宋体" w:hAnsi="宋体" w:eastAsia="宋体" w:cs="宋体"/>
          <w:spacing w:val="4"/>
          <w:sz w:val="24"/>
          <w:szCs w:val="22"/>
        </w:rPr>
        <w:t>会议现场，无法提供样品或所提供的样品经</w:t>
      </w:r>
      <w:r>
        <w:rPr>
          <w:rFonts w:hint="eastAsia" w:ascii="宋体" w:hAnsi="宋体" w:eastAsia="宋体" w:cs="宋体"/>
          <w:spacing w:val="4"/>
          <w:sz w:val="24"/>
        </w:rPr>
        <w:t>谈判</w:t>
      </w:r>
      <w:r>
        <w:rPr>
          <w:rFonts w:hint="eastAsia" w:ascii="宋体" w:hAnsi="宋体" w:eastAsia="宋体" w:cs="宋体"/>
          <w:spacing w:val="4"/>
          <w:sz w:val="24"/>
          <w:szCs w:val="22"/>
        </w:rPr>
        <w:t>小组认定未能达到本项目竞争性</w:t>
      </w:r>
      <w:r>
        <w:rPr>
          <w:rFonts w:hint="eastAsia" w:ascii="宋体" w:hAnsi="宋体" w:eastAsia="宋体" w:cs="宋体"/>
          <w:spacing w:val="4"/>
          <w:sz w:val="24"/>
        </w:rPr>
        <w:t>谈判</w:t>
      </w:r>
      <w:r>
        <w:rPr>
          <w:rFonts w:hint="eastAsia" w:ascii="宋体" w:hAnsi="宋体" w:eastAsia="宋体" w:cs="宋体"/>
          <w:spacing w:val="4"/>
          <w:sz w:val="24"/>
          <w:szCs w:val="22"/>
        </w:rPr>
        <w:t>文件要求的；（如有）</w:t>
      </w:r>
    </w:p>
    <w:p w14:paraId="41DD6C24">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8</w:t>
      </w:r>
      <w:r>
        <w:rPr>
          <w:rFonts w:hint="eastAsia" w:ascii="宋体" w:hAnsi="宋体" w:eastAsia="宋体" w:cs="宋体"/>
          <w:spacing w:val="4"/>
          <w:sz w:val="24"/>
          <w:szCs w:val="22"/>
        </w:rPr>
        <w:t>.提供虚假竞争性</w:t>
      </w:r>
      <w:r>
        <w:rPr>
          <w:rFonts w:hint="eastAsia" w:ascii="宋体" w:hAnsi="宋体" w:eastAsia="宋体" w:cs="宋体"/>
          <w:spacing w:val="4"/>
          <w:sz w:val="24"/>
        </w:rPr>
        <w:t>谈判</w:t>
      </w:r>
      <w:r>
        <w:rPr>
          <w:rFonts w:hint="eastAsia" w:ascii="宋体" w:hAnsi="宋体" w:eastAsia="宋体" w:cs="宋体"/>
          <w:spacing w:val="4"/>
          <w:sz w:val="24"/>
          <w:szCs w:val="22"/>
        </w:rPr>
        <w:t>响应文件和资料的；</w:t>
      </w:r>
    </w:p>
    <w:p w14:paraId="668A7260">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9</w:t>
      </w:r>
      <w:r>
        <w:rPr>
          <w:rFonts w:hint="eastAsia" w:ascii="宋体" w:hAnsi="宋体" w:eastAsia="宋体" w:cs="宋体"/>
          <w:spacing w:val="4"/>
          <w:sz w:val="24"/>
        </w:rPr>
        <w:t>.法律、法规和竞争性谈判文件规定的其他无效情形。</w:t>
      </w:r>
    </w:p>
    <w:p w14:paraId="6852A9C9">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四、供应商有下列情形之一的，视为供应商串通谈判，其谈判无效：</w:t>
      </w:r>
    </w:p>
    <w:p w14:paraId="464866DA">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1.不同供应商的竞争性谈判响应文件由同一单位或者个人编制；</w:t>
      </w:r>
    </w:p>
    <w:p w14:paraId="629E8313">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2.不同供应商委托同一单位或者个人办理谈判事宜；</w:t>
      </w:r>
    </w:p>
    <w:p w14:paraId="76174D7C">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3.不同供应商的竞争性谈判响应文件载明的项目管理成员或者联系人员为同一人；</w:t>
      </w:r>
    </w:p>
    <w:p w14:paraId="7704893A">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4.不同供应商的竞争性谈判响应文件异常一致或者谈判报价呈规律性差异；</w:t>
      </w:r>
    </w:p>
    <w:p w14:paraId="04116797">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5.不同供应商的竞争性谈判响应文件相互混装；</w:t>
      </w:r>
    </w:p>
    <w:p w14:paraId="2ABFC687">
      <w:pPr>
        <w:adjustRightInd w:val="0"/>
        <w:snapToGrid w:val="0"/>
        <w:spacing w:line="360" w:lineRule="auto"/>
        <w:ind w:firstLine="364" w:firstLineChars="147"/>
        <w:rPr>
          <w:rFonts w:hint="eastAsia" w:ascii="宋体" w:hAnsi="宋体" w:eastAsia="宋体" w:cs="宋体"/>
          <w:spacing w:val="4"/>
          <w:sz w:val="24"/>
          <w:u w:val="single"/>
        </w:rPr>
      </w:pPr>
      <w:r>
        <w:rPr>
          <w:rFonts w:hint="eastAsia" w:ascii="宋体" w:hAnsi="宋体" w:eastAsia="宋体" w:cs="宋体"/>
          <w:spacing w:val="4"/>
          <w:sz w:val="24"/>
        </w:rPr>
        <w:t>6.不同供应商的竞争性谈判保证金从同一单位或者个人的账户转出。</w:t>
      </w:r>
    </w:p>
    <w:p w14:paraId="1A2FE523">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五、谈判程序</w:t>
      </w:r>
    </w:p>
    <w:p w14:paraId="3A763D1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1.谈判前资格检查：谈判前由采购人或招标代理机构进行资格检查，具体审查内容以本文件竞争性谈判须知前附表为准。</w:t>
      </w:r>
    </w:p>
    <w:p w14:paraId="651373B9">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2.符合性审查：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490"/>
        <w:gridCol w:w="1837"/>
      </w:tblGrid>
      <w:tr w14:paraId="751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64B7984">
            <w:pPr>
              <w:jc w:val="center"/>
              <w:rPr>
                <w:rFonts w:hint="eastAsia" w:ascii="宋体" w:hAnsi="宋体" w:eastAsia="宋体" w:cs="宋体"/>
                <w:sz w:val="24"/>
              </w:rPr>
            </w:pPr>
            <w:r>
              <w:rPr>
                <w:rFonts w:hint="eastAsia" w:ascii="宋体" w:hAnsi="宋体" w:eastAsia="宋体" w:cs="宋体"/>
                <w:b/>
                <w:sz w:val="24"/>
              </w:rPr>
              <w:t>序号</w:t>
            </w:r>
          </w:p>
        </w:tc>
        <w:tc>
          <w:tcPr>
            <w:tcW w:w="6778" w:type="dxa"/>
            <w:vAlign w:val="center"/>
          </w:tcPr>
          <w:p w14:paraId="088199B8">
            <w:pPr>
              <w:jc w:val="center"/>
              <w:rPr>
                <w:rFonts w:hint="eastAsia" w:ascii="宋体" w:hAnsi="宋体" w:eastAsia="宋体" w:cs="宋体"/>
                <w:sz w:val="24"/>
              </w:rPr>
            </w:pPr>
            <w:r>
              <w:rPr>
                <w:rFonts w:hint="eastAsia" w:ascii="宋体" w:hAnsi="宋体" w:eastAsia="宋体" w:cs="宋体"/>
                <w:b/>
                <w:sz w:val="24"/>
              </w:rPr>
              <w:t>符合性审查内容</w:t>
            </w:r>
          </w:p>
        </w:tc>
        <w:tc>
          <w:tcPr>
            <w:tcW w:w="1906" w:type="dxa"/>
            <w:vAlign w:val="center"/>
          </w:tcPr>
          <w:p w14:paraId="6EF2D65F">
            <w:pPr>
              <w:jc w:val="center"/>
              <w:rPr>
                <w:rFonts w:hint="eastAsia" w:ascii="宋体" w:hAnsi="宋体" w:eastAsia="宋体" w:cs="宋体"/>
                <w:sz w:val="24"/>
              </w:rPr>
            </w:pPr>
            <w:r>
              <w:rPr>
                <w:rFonts w:hint="eastAsia" w:ascii="宋体" w:hAnsi="宋体" w:eastAsia="宋体" w:cs="宋体"/>
                <w:b/>
                <w:sz w:val="24"/>
              </w:rPr>
              <w:t>结论</w:t>
            </w:r>
          </w:p>
        </w:tc>
      </w:tr>
      <w:tr w14:paraId="14E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C74FD7A">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A</w:t>
            </w:r>
          </w:p>
        </w:tc>
        <w:tc>
          <w:tcPr>
            <w:tcW w:w="6778" w:type="dxa"/>
            <w:vAlign w:val="center"/>
          </w:tcPr>
          <w:p w14:paraId="7F2CE6E4">
            <w:pPr>
              <w:overflowPunct w:val="0"/>
              <w:adjustRightInd w:val="0"/>
              <w:snapToGrid w:val="0"/>
              <w:spacing w:line="500" w:lineRule="exact"/>
              <w:rPr>
                <w:rFonts w:hint="eastAsia" w:ascii="宋体" w:hAnsi="宋体" w:eastAsia="宋体" w:cs="宋体"/>
                <w:sz w:val="24"/>
              </w:rPr>
            </w:pPr>
            <w:r>
              <w:rPr>
                <w:rFonts w:hint="eastAsia" w:ascii="宋体" w:hAnsi="宋体" w:eastAsia="宋体" w:cs="宋体"/>
                <w:sz w:val="24"/>
              </w:rPr>
              <w:t>谈判报价是否唯一且未超过采购预算；</w:t>
            </w:r>
          </w:p>
        </w:tc>
        <w:tc>
          <w:tcPr>
            <w:tcW w:w="1906" w:type="dxa"/>
          </w:tcPr>
          <w:p w14:paraId="78A2B428">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05EA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54F9914">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B</w:t>
            </w:r>
          </w:p>
        </w:tc>
        <w:tc>
          <w:tcPr>
            <w:tcW w:w="6778" w:type="dxa"/>
            <w:vAlign w:val="center"/>
          </w:tcPr>
          <w:p w14:paraId="39B06F3B">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szCs w:val="24"/>
              </w:rPr>
              <w:t>供货期是否满足谈判文件要求；</w:t>
            </w:r>
          </w:p>
        </w:tc>
        <w:tc>
          <w:tcPr>
            <w:tcW w:w="1906" w:type="dxa"/>
          </w:tcPr>
          <w:p w14:paraId="40A7F18A">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15C2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25E2D2C">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C</w:t>
            </w:r>
          </w:p>
        </w:tc>
        <w:tc>
          <w:tcPr>
            <w:tcW w:w="6778" w:type="dxa"/>
            <w:vAlign w:val="center"/>
          </w:tcPr>
          <w:p w14:paraId="71F7AE46">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szCs w:val="24"/>
              </w:rPr>
              <w:t>质保期是否满足</w:t>
            </w:r>
            <w:r>
              <w:rPr>
                <w:rFonts w:hint="eastAsia" w:ascii="宋体" w:hAnsi="宋体" w:eastAsia="宋体" w:cs="宋体"/>
                <w:sz w:val="24"/>
              </w:rPr>
              <w:t>谈判</w:t>
            </w:r>
            <w:r>
              <w:rPr>
                <w:rFonts w:hint="eastAsia" w:ascii="宋体" w:hAnsi="宋体" w:eastAsia="宋体" w:cs="宋体"/>
                <w:sz w:val="24"/>
                <w:szCs w:val="24"/>
              </w:rPr>
              <w:t>文件要求</w:t>
            </w:r>
            <w:r>
              <w:rPr>
                <w:rFonts w:hint="eastAsia" w:ascii="宋体" w:hAnsi="宋体" w:eastAsia="宋体" w:cs="宋体"/>
                <w:sz w:val="24"/>
              </w:rPr>
              <w:t>；</w:t>
            </w:r>
          </w:p>
        </w:tc>
        <w:tc>
          <w:tcPr>
            <w:tcW w:w="1906" w:type="dxa"/>
          </w:tcPr>
          <w:p w14:paraId="45E5A39A">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6A70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14124C3">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D</w:t>
            </w:r>
          </w:p>
        </w:tc>
        <w:tc>
          <w:tcPr>
            <w:tcW w:w="6778" w:type="dxa"/>
            <w:vAlign w:val="center"/>
          </w:tcPr>
          <w:p w14:paraId="4B2C3ECE">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谈判/委托有效期是否满足谈判文件要求；</w:t>
            </w:r>
          </w:p>
        </w:tc>
        <w:tc>
          <w:tcPr>
            <w:tcW w:w="1906" w:type="dxa"/>
          </w:tcPr>
          <w:p w14:paraId="7B72493D">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7661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BA8CE5C">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E</w:t>
            </w:r>
          </w:p>
        </w:tc>
        <w:tc>
          <w:tcPr>
            <w:tcW w:w="6778" w:type="dxa"/>
            <w:vAlign w:val="center"/>
          </w:tcPr>
          <w:p w14:paraId="1601A971">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响应文件的签署盖章是否符合谈判文件要求；</w:t>
            </w:r>
          </w:p>
        </w:tc>
        <w:tc>
          <w:tcPr>
            <w:tcW w:w="1906" w:type="dxa"/>
          </w:tcPr>
          <w:p w14:paraId="58CE1E01">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0C7E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6643812">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F</w:t>
            </w:r>
          </w:p>
        </w:tc>
        <w:tc>
          <w:tcPr>
            <w:tcW w:w="6778" w:type="dxa"/>
            <w:vAlign w:val="center"/>
          </w:tcPr>
          <w:p w14:paraId="6DC7D624">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响应文件的正副本数量是否符合谈判文件要求；</w:t>
            </w:r>
          </w:p>
        </w:tc>
        <w:tc>
          <w:tcPr>
            <w:tcW w:w="1906" w:type="dxa"/>
          </w:tcPr>
          <w:p w14:paraId="266F077C">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66E8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ACFF2F7">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E</w:t>
            </w:r>
          </w:p>
        </w:tc>
        <w:tc>
          <w:tcPr>
            <w:tcW w:w="6778" w:type="dxa"/>
            <w:vAlign w:val="center"/>
          </w:tcPr>
          <w:p w14:paraId="16A8F0C8">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响应文件的真实性、有效性是否符合谈判文件要求；</w:t>
            </w:r>
          </w:p>
        </w:tc>
        <w:tc>
          <w:tcPr>
            <w:tcW w:w="1906" w:type="dxa"/>
          </w:tcPr>
          <w:p w14:paraId="6A29F6A8">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bl>
    <w:p w14:paraId="7CF3EADC">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w:t>
      </w:r>
      <w:r>
        <w:rPr>
          <w:rFonts w:hint="eastAsia" w:ascii="宋体" w:hAnsi="宋体" w:eastAsia="宋体" w:cs="宋体"/>
          <w:b/>
          <w:bCs/>
          <w:spacing w:val="4"/>
          <w:sz w:val="24"/>
        </w:rPr>
        <w:t>谈判</w:t>
      </w:r>
      <w:r>
        <w:rPr>
          <w:rFonts w:hint="eastAsia" w:ascii="宋体" w:hAnsi="宋体" w:eastAsia="宋体" w:cs="宋体"/>
          <w:b/>
          <w:bCs/>
          <w:sz w:val="24"/>
        </w:rPr>
        <w:t>响应文件的响应性审查。</w:t>
      </w:r>
    </w:p>
    <w:p w14:paraId="3486000B">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2.3.1</w:t>
      </w:r>
      <w:r>
        <w:rPr>
          <w:rFonts w:hint="eastAsia" w:ascii="宋体" w:hAnsi="宋体" w:eastAsia="宋体" w:cs="宋体"/>
          <w:b/>
          <w:bCs/>
          <w:spacing w:val="4"/>
          <w:sz w:val="24"/>
        </w:rPr>
        <w:t>谈判</w:t>
      </w:r>
      <w:r>
        <w:rPr>
          <w:rFonts w:hint="eastAsia" w:ascii="宋体" w:hAnsi="宋体" w:eastAsia="宋体" w:cs="宋体"/>
          <w:b/>
          <w:bCs/>
          <w:sz w:val="24"/>
        </w:rPr>
        <w:t>报价是否未超过采购预算（最高限价）价格；</w:t>
      </w:r>
    </w:p>
    <w:p w14:paraId="13BC853C">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2.3.2响应文件内容是否符合国家法律法规，是否响应了</w:t>
      </w:r>
      <w:r>
        <w:rPr>
          <w:rFonts w:hint="eastAsia" w:ascii="宋体" w:hAnsi="宋体" w:eastAsia="宋体" w:cs="宋体"/>
          <w:b/>
          <w:bCs/>
          <w:spacing w:val="4"/>
          <w:sz w:val="24"/>
        </w:rPr>
        <w:t>谈判</w:t>
      </w:r>
      <w:r>
        <w:rPr>
          <w:rFonts w:hint="eastAsia" w:ascii="宋体" w:hAnsi="宋体" w:eastAsia="宋体" w:cs="宋体"/>
          <w:b/>
          <w:bCs/>
          <w:sz w:val="24"/>
        </w:rPr>
        <w:t>文件要求的全部条款、条件和规格要求，并且提供了支持文件，没有重大偏离；</w:t>
      </w:r>
    </w:p>
    <w:p w14:paraId="424FFD1A">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2.3.3对合同中规定的双方的权利和义务是否做出了实质性响应。</w:t>
      </w:r>
    </w:p>
    <w:p w14:paraId="11ADB207">
      <w:pPr>
        <w:adjustRightInd w:val="0"/>
        <w:snapToGrid w:val="0"/>
        <w:spacing w:line="360" w:lineRule="auto"/>
        <w:ind w:firstLine="482" w:firstLineChars="200"/>
        <w:rPr>
          <w:rFonts w:hint="eastAsia" w:ascii="宋体" w:hAnsi="宋体" w:eastAsia="宋体" w:cs="宋体"/>
          <w:b/>
          <w:bCs/>
          <w:sz w:val="24"/>
        </w:rPr>
      </w:pPr>
      <w:bookmarkStart w:id="9" w:name="_Toc27224"/>
      <w:r>
        <w:rPr>
          <w:rFonts w:hint="eastAsia" w:ascii="宋体" w:hAnsi="宋体" w:eastAsia="宋体" w:cs="宋体"/>
          <w:b/>
          <w:bCs/>
          <w:sz w:val="24"/>
        </w:rPr>
        <w:t>2.4</w:t>
      </w:r>
      <w:bookmarkStart w:id="10" w:name="_Toc494316261"/>
      <w:bookmarkStart w:id="11" w:name="_Toc498271422"/>
      <w:r>
        <w:rPr>
          <w:rFonts w:hint="eastAsia" w:ascii="宋体" w:hAnsi="宋体" w:eastAsia="宋体" w:cs="宋体"/>
          <w:b/>
          <w:bCs/>
          <w:sz w:val="24"/>
        </w:rPr>
        <w:t>最低报价不是中标的唯一依据。</w:t>
      </w:r>
      <w:r>
        <w:rPr>
          <w:rFonts w:hint="eastAsia" w:ascii="宋体" w:hAnsi="宋体" w:eastAsia="宋体" w:cs="宋体"/>
          <w:b/>
          <w:bCs/>
          <w:spacing w:val="4"/>
          <w:sz w:val="24"/>
        </w:rPr>
        <w:t>谈判</w:t>
      </w:r>
      <w:r>
        <w:rPr>
          <w:rFonts w:hint="eastAsia" w:ascii="宋体" w:hAnsi="宋体" w:eastAsia="宋体" w:cs="宋体"/>
          <w:b/>
          <w:bCs/>
          <w:sz w:val="24"/>
        </w:rPr>
        <w:t>小组认为</w:t>
      </w:r>
      <w:r>
        <w:rPr>
          <w:rFonts w:hint="eastAsia" w:ascii="宋体" w:hAnsi="宋体" w:eastAsia="宋体" w:cs="宋体"/>
          <w:b/>
          <w:bCs/>
          <w:spacing w:val="4"/>
          <w:sz w:val="24"/>
        </w:rPr>
        <w:t>供应商</w:t>
      </w:r>
      <w:r>
        <w:rPr>
          <w:rFonts w:hint="eastAsia" w:ascii="宋体" w:hAnsi="宋体" w:eastAsia="宋体" w:cs="宋体"/>
          <w:b/>
          <w:bCs/>
          <w:sz w:val="24"/>
        </w:rPr>
        <w:t>的报价明显低于其他通过符合性审查</w:t>
      </w:r>
      <w:r>
        <w:rPr>
          <w:rFonts w:hint="eastAsia" w:ascii="宋体" w:hAnsi="宋体" w:eastAsia="宋体" w:cs="宋体"/>
          <w:b/>
          <w:bCs/>
          <w:spacing w:val="4"/>
          <w:sz w:val="24"/>
        </w:rPr>
        <w:t>供应商</w:t>
      </w:r>
      <w:r>
        <w:rPr>
          <w:rFonts w:hint="eastAsia" w:ascii="宋体" w:hAnsi="宋体" w:eastAsia="宋体" w:cs="宋体"/>
          <w:b/>
          <w:bCs/>
          <w:sz w:val="24"/>
        </w:rPr>
        <w:t>的报价，有可能影响产品质量或者不能诚信履约的，应当要求其在评标现场合理的时间内提供书面说明，必要时提交相关证明材料；</w:t>
      </w:r>
      <w:r>
        <w:rPr>
          <w:rFonts w:hint="eastAsia" w:ascii="宋体" w:hAnsi="宋体" w:eastAsia="宋体" w:cs="宋体"/>
          <w:b/>
          <w:bCs/>
          <w:spacing w:val="4"/>
          <w:sz w:val="24"/>
        </w:rPr>
        <w:t>供应商</w:t>
      </w:r>
      <w:r>
        <w:rPr>
          <w:rFonts w:hint="eastAsia" w:ascii="宋体" w:hAnsi="宋体" w:eastAsia="宋体" w:cs="宋体"/>
          <w:b/>
          <w:bCs/>
          <w:sz w:val="24"/>
        </w:rPr>
        <w:t>不能证明其报价合理性的，</w:t>
      </w:r>
      <w:r>
        <w:rPr>
          <w:rFonts w:hint="eastAsia" w:ascii="宋体" w:hAnsi="宋体" w:eastAsia="宋体" w:cs="宋体"/>
          <w:b/>
          <w:bCs/>
          <w:spacing w:val="4"/>
          <w:sz w:val="24"/>
        </w:rPr>
        <w:t>谈判</w:t>
      </w:r>
      <w:r>
        <w:rPr>
          <w:rFonts w:hint="eastAsia" w:ascii="宋体" w:hAnsi="宋体" w:eastAsia="宋体" w:cs="宋体"/>
          <w:b/>
          <w:bCs/>
          <w:sz w:val="24"/>
        </w:rPr>
        <w:t>小组应当将其作为无效投标处理。</w:t>
      </w:r>
      <w:bookmarkEnd w:id="9"/>
      <w:bookmarkEnd w:id="10"/>
      <w:bookmarkEnd w:id="11"/>
    </w:p>
    <w:p w14:paraId="70868E69">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2.4.1对谈判文件所规定的技术参数未进行实质性响应的。</w:t>
      </w:r>
    </w:p>
    <w:p w14:paraId="4F937961">
      <w:pPr>
        <w:adjustRightInd w:val="0"/>
        <w:snapToGrid w:val="0"/>
        <w:spacing w:line="360" w:lineRule="auto"/>
        <w:ind w:firstLine="482" w:firstLineChars="200"/>
        <w:rPr>
          <w:rFonts w:hint="eastAsia" w:ascii="宋体" w:hAnsi="宋体" w:eastAsia="宋体" w:cs="宋体"/>
          <w:b/>
          <w:bCs/>
          <w:spacing w:val="4"/>
          <w:sz w:val="24"/>
          <w:szCs w:val="22"/>
        </w:rPr>
      </w:pPr>
      <w:r>
        <w:rPr>
          <w:rFonts w:hint="eastAsia" w:ascii="宋体" w:hAnsi="宋体" w:eastAsia="宋体" w:cs="宋体"/>
          <w:b/>
          <w:sz w:val="24"/>
        </w:rPr>
        <w:t>3.竞争性谈判响应文件密封检查：</w:t>
      </w:r>
      <w:r>
        <w:rPr>
          <w:rFonts w:hint="eastAsia" w:ascii="宋体" w:hAnsi="宋体" w:eastAsia="宋体" w:cs="宋体"/>
          <w:b/>
          <w:bCs/>
          <w:spacing w:val="4"/>
          <w:sz w:val="24"/>
          <w:szCs w:val="22"/>
        </w:rPr>
        <w:t>由供应商合法授权代表及监标人共同检查</w:t>
      </w:r>
      <w:r>
        <w:rPr>
          <w:rFonts w:hint="eastAsia" w:ascii="宋体" w:hAnsi="宋体" w:eastAsia="宋体" w:cs="宋体"/>
          <w:b/>
          <w:bCs/>
          <w:spacing w:val="4"/>
          <w:sz w:val="24"/>
        </w:rPr>
        <w:t>谈判</w:t>
      </w:r>
      <w:r>
        <w:rPr>
          <w:rFonts w:hint="eastAsia" w:ascii="宋体" w:hAnsi="宋体" w:eastAsia="宋体" w:cs="宋体"/>
          <w:b/>
          <w:bCs/>
          <w:spacing w:val="4"/>
          <w:sz w:val="24"/>
          <w:szCs w:val="22"/>
        </w:rPr>
        <w:t>文件密封完整性。</w:t>
      </w:r>
    </w:p>
    <w:p w14:paraId="67A458F9">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4.澄清有关问题：</w:t>
      </w:r>
    </w:p>
    <w:p w14:paraId="26F6476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4.1竞争性</w:t>
      </w:r>
      <w:r>
        <w:rPr>
          <w:rFonts w:hint="eastAsia" w:ascii="宋体" w:hAnsi="宋体" w:eastAsia="宋体" w:cs="宋体"/>
          <w:spacing w:val="4"/>
          <w:sz w:val="24"/>
        </w:rPr>
        <w:t>谈判</w:t>
      </w:r>
      <w:r>
        <w:rPr>
          <w:rFonts w:hint="eastAsia" w:ascii="宋体" w:hAnsi="宋体" w:eastAsia="宋体" w:cs="宋体"/>
          <w:kern w:val="0"/>
          <w:sz w:val="24"/>
        </w:rPr>
        <w:t>小组</w:t>
      </w:r>
      <w:r>
        <w:rPr>
          <w:rFonts w:hint="eastAsia" w:ascii="宋体" w:hAnsi="宋体" w:eastAsia="宋体" w:cs="宋体"/>
          <w:sz w:val="24"/>
        </w:rPr>
        <w:t>在对响应文件的有效性、完整性和响应程度进行审查时，可以要求供应商对响应文件中含义不明确、同类问题表述不一致或者有明显文字和计算错误的内容等作出必要的澄清、说明或者更正。</w:t>
      </w:r>
    </w:p>
    <w:p w14:paraId="511D6F4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竞争性</w:t>
      </w:r>
      <w:r>
        <w:rPr>
          <w:rFonts w:hint="eastAsia" w:ascii="宋体" w:hAnsi="宋体" w:eastAsia="宋体" w:cs="宋体"/>
          <w:spacing w:val="4"/>
          <w:sz w:val="24"/>
        </w:rPr>
        <w:t>谈判</w:t>
      </w:r>
      <w:r>
        <w:rPr>
          <w:rFonts w:hint="eastAsia" w:ascii="宋体" w:hAnsi="宋体" w:eastAsia="宋体" w:cs="宋体"/>
          <w:kern w:val="0"/>
          <w:sz w:val="24"/>
        </w:rPr>
        <w:t>小组</w:t>
      </w:r>
      <w:r>
        <w:rPr>
          <w:rFonts w:hint="eastAsia" w:ascii="宋体" w:hAnsi="宋体" w:eastAsia="宋体" w:cs="宋体"/>
          <w:sz w:val="24"/>
        </w:rPr>
        <w:t>要求供应商澄清、说明或者更正响应文件的，应当以书面形式提出。供应商的澄清、说明或者更正应当由法定代表人或其授权代表签字或者加盖公章。由授权代表签字的，应当提供法定代表人授权书。</w:t>
      </w:r>
    </w:p>
    <w:p w14:paraId="7142566C">
      <w:pPr>
        <w:adjustRightInd w:val="0"/>
        <w:snapToGrid w:val="0"/>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 xml:space="preserve"> 4.2竞争性</w:t>
      </w:r>
      <w:r>
        <w:rPr>
          <w:rFonts w:hint="eastAsia" w:ascii="宋体" w:hAnsi="宋体" w:eastAsia="宋体" w:cs="宋体"/>
          <w:spacing w:val="4"/>
          <w:sz w:val="24"/>
        </w:rPr>
        <w:t>谈判</w:t>
      </w:r>
      <w:r>
        <w:rPr>
          <w:rFonts w:hint="eastAsia" w:ascii="宋体" w:hAnsi="宋体" w:eastAsia="宋体" w:cs="宋体"/>
          <w:kern w:val="0"/>
          <w:sz w:val="24"/>
        </w:rPr>
        <w:t>响应文件报价出现前后不一致的，按照下列规定修正：</w:t>
      </w:r>
    </w:p>
    <w:p w14:paraId="18FA5B75">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①竞争性谈判响应文件中谈判一览表内容与竞争性谈判响应文件中相应内容不一致的，以谈判一览表为准；</w:t>
      </w:r>
    </w:p>
    <w:p w14:paraId="57935279">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②大写金额和小写金额不一致的，以大写金额为准；</w:t>
      </w:r>
    </w:p>
    <w:p w14:paraId="49CFC3EC">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③单价金额小数点或者百分比有明显错位的，以谈判一览表的总价为准，并修改单价；</w:t>
      </w:r>
    </w:p>
    <w:p w14:paraId="429C1804">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④总价金额与按单价汇总金额不一致的，以单价金额计算结果为准。</w:t>
      </w:r>
    </w:p>
    <w:p w14:paraId="79521EC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⑤同时出现两种以上不一致的，按照前款规定的顺序修正。修正后的报价经供应商书面确认后产生约束力，供应商不确认的，其</w:t>
      </w:r>
      <w:r>
        <w:rPr>
          <w:rFonts w:hint="eastAsia" w:ascii="宋体" w:hAnsi="宋体" w:eastAsia="宋体" w:cs="宋体"/>
          <w:spacing w:val="4"/>
          <w:sz w:val="24"/>
        </w:rPr>
        <w:t>谈判</w:t>
      </w:r>
      <w:r>
        <w:rPr>
          <w:rFonts w:hint="eastAsia" w:ascii="宋体" w:hAnsi="宋体" w:eastAsia="宋体" w:cs="宋体"/>
          <w:kern w:val="0"/>
          <w:sz w:val="24"/>
        </w:rPr>
        <w:t>无效。</w:t>
      </w:r>
    </w:p>
    <w:p w14:paraId="5E73A384">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rPr>
        <w:t>5.竞争性谈判小组</w:t>
      </w:r>
      <w:r>
        <w:rPr>
          <w:rFonts w:hint="eastAsia" w:ascii="宋体" w:hAnsi="宋体" w:eastAsia="宋体" w:cs="宋体"/>
          <w:b/>
          <w:sz w:val="24"/>
        </w:rPr>
        <w:t>逐一与实质性响应竞争性谈判文件要求的供应商进行谈判。谈判结束后有效供应商要求提交第二次报价。</w:t>
      </w:r>
    </w:p>
    <w:p w14:paraId="1554D61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根据</w:t>
      </w:r>
      <w:r>
        <w:rPr>
          <w:rFonts w:hint="eastAsia" w:ascii="宋体" w:hAnsi="宋体" w:eastAsia="宋体" w:cs="宋体"/>
          <w:sz w:val="24"/>
        </w:rPr>
        <w:t>相关法律法规的规定，在</w:t>
      </w:r>
      <w:r>
        <w:rPr>
          <w:rFonts w:hint="eastAsia" w:ascii="宋体" w:hAnsi="宋体" w:eastAsia="宋体" w:cs="宋体"/>
          <w:spacing w:val="4"/>
          <w:sz w:val="24"/>
        </w:rPr>
        <w:t>谈判</w:t>
      </w:r>
      <w:r>
        <w:rPr>
          <w:rFonts w:hint="eastAsia" w:ascii="宋体" w:hAnsi="宋体" w:eastAsia="宋体" w:cs="宋体"/>
          <w:sz w:val="24"/>
        </w:rPr>
        <w:t>过程中，</w:t>
      </w:r>
      <w:r>
        <w:rPr>
          <w:rFonts w:hint="eastAsia" w:ascii="宋体" w:hAnsi="宋体" w:eastAsia="宋体" w:cs="宋体"/>
          <w:spacing w:val="4"/>
          <w:sz w:val="24"/>
        </w:rPr>
        <w:t>谈判</w:t>
      </w:r>
      <w:r>
        <w:rPr>
          <w:rFonts w:hint="eastAsia" w:ascii="宋体" w:hAnsi="宋体" w:eastAsia="宋体" w:cs="宋体"/>
          <w:sz w:val="24"/>
        </w:rPr>
        <w:t>小组可以根据竞争性</w:t>
      </w:r>
      <w:r>
        <w:rPr>
          <w:rFonts w:hint="eastAsia" w:ascii="宋体" w:hAnsi="宋体" w:eastAsia="宋体" w:cs="宋体"/>
          <w:spacing w:val="4"/>
          <w:sz w:val="24"/>
        </w:rPr>
        <w:t>谈判</w:t>
      </w:r>
      <w:r>
        <w:rPr>
          <w:rFonts w:hint="eastAsia" w:ascii="宋体" w:hAnsi="宋体" w:eastAsia="宋体" w:cs="宋体"/>
          <w:sz w:val="24"/>
        </w:rPr>
        <w:t>文件和</w:t>
      </w:r>
      <w:r>
        <w:rPr>
          <w:rFonts w:hint="eastAsia" w:ascii="宋体" w:hAnsi="宋体" w:eastAsia="宋体" w:cs="宋体"/>
          <w:spacing w:val="4"/>
          <w:sz w:val="24"/>
        </w:rPr>
        <w:t>谈判</w:t>
      </w:r>
      <w:r>
        <w:rPr>
          <w:rFonts w:hint="eastAsia" w:ascii="宋体" w:hAnsi="宋体" w:eastAsia="宋体" w:cs="宋体"/>
          <w:sz w:val="24"/>
        </w:rPr>
        <w:t>情况实质性变动采购需求中的技术、服务要求以及合同草案条款，但不得变动竞争性</w:t>
      </w:r>
      <w:r>
        <w:rPr>
          <w:rFonts w:hint="eastAsia" w:ascii="宋体" w:hAnsi="宋体" w:eastAsia="宋体" w:cs="宋体"/>
          <w:spacing w:val="4"/>
          <w:sz w:val="24"/>
        </w:rPr>
        <w:t>谈判</w:t>
      </w:r>
      <w:r>
        <w:rPr>
          <w:rFonts w:hint="eastAsia" w:ascii="宋体" w:hAnsi="宋体" w:eastAsia="宋体" w:cs="宋体"/>
          <w:sz w:val="24"/>
        </w:rPr>
        <w:t>文件中的其他内容。</w:t>
      </w:r>
    </w:p>
    <w:p w14:paraId="72A63A12">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注：第二次报价为本项目</w:t>
      </w:r>
      <w:r>
        <w:rPr>
          <w:rFonts w:hint="eastAsia" w:ascii="宋体" w:hAnsi="宋体" w:eastAsia="宋体" w:cs="宋体"/>
          <w:b/>
          <w:bCs/>
          <w:spacing w:val="4"/>
          <w:sz w:val="24"/>
        </w:rPr>
        <w:t>谈判</w:t>
      </w:r>
      <w:r>
        <w:rPr>
          <w:rFonts w:hint="eastAsia" w:ascii="宋体" w:hAnsi="宋体" w:eastAsia="宋体" w:cs="宋体"/>
          <w:b/>
          <w:bCs/>
          <w:sz w:val="24"/>
        </w:rPr>
        <w:t>活动的最终商务报价。</w:t>
      </w:r>
    </w:p>
    <w:p w14:paraId="6E0EBF32">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6.比较与评价</w:t>
      </w:r>
    </w:p>
    <w:p w14:paraId="46C9C857">
      <w:pPr>
        <w:adjustRightInd w:val="0"/>
        <w:snapToGrid w:val="0"/>
        <w:spacing w:line="360" w:lineRule="auto"/>
        <w:ind w:firstLine="480" w:firstLineChars="200"/>
        <w:rPr>
          <w:rFonts w:hint="eastAsia" w:ascii="宋体" w:hAnsi="宋体" w:eastAsia="宋体" w:cs="宋体"/>
          <w:spacing w:val="4"/>
          <w:sz w:val="24"/>
        </w:rPr>
      </w:pPr>
      <w:r>
        <w:rPr>
          <w:rFonts w:hint="eastAsia" w:ascii="宋体" w:hAnsi="宋体" w:eastAsia="宋体" w:cs="宋体"/>
          <w:sz w:val="24"/>
        </w:rPr>
        <w:t>（1）谈判小组评审竞争性谈判响应文件的响应性及符合性，并对供应商编制的竞争性谈判响应文件进行详细评审，对本项目谈判文件中要求的“采购内容和要求”和“商务要求”进行逐一核实，如供应商未对本项目谈判文件中要求的“采购内容和要求”和“商务要求”逐一进行实质性响应的，将按照无效谈判处理，不得继续参与后续的第二次商务报价。谈判小组</w:t>
      </w:r>
      <w:r>
        <w:rPr>
          <w:rFonts w:hint="eastAsia" w:ascii="宋体" w:hAnsi="宋体" w:eastAsia="宋体" w:cs="宋体"/>
          <w:spacing w:val="4"/>
          <w:sz w:val="24"/>
        </w:rPr>
        <w:t>只根据竞争性谈判响应文件本身的内容及本项目竞争性谈判文件的内容进行评审，而不寻求其他外部证据。</w:t>
      </w:r>
    </w:p>
    <w:p w14:paraId="46179017">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（2）谈判小组所有成员应当集中与单一供应商分别进行谈判，并给予所有参加谈判的供应商平等谈判的机会。</w:t>
      </w:r>
    </w:p>
    <w:p w14:paraId="10FF9E12">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3）在谈判过程中，谈判小组应根据谈判文件的“采购内容和要求”和供应商就“采购内容和要求”中的技术、服务、商务要求以及合同主要条款内容是不是进行了实质性响应，是否变动了谈判文件中“采购内容和要求”的内容。如发现实质性变动的内容，必须经招标人代表书面确认。</w:t>
      </w:r>
    </w:p>
    <w:p w14:paraId="395FD89A">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（4）谈判结束后，谈判小组应当要求所有实质性响应的供应商在规定时间内提交最后报价。</w:t>
      </w:r>
    </w:p>
    <w:p w14:paraId="2D057166">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5）评审采取逐项分步评审方式，每一步评审不符合者或不实质性响应采购内容和要求的，均不得进入下一步评审。谈判小组应当从质量和服务均能满足本谈判文件实质性响应要求的供应商中，按照谈判会议中最终报价由低到高的顺序，推荐成交供应商（中标单位）候选人。</w:t>
      </w:r>
    </w:p>
    <w:p w14:paraId="44DC2DA5">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（6）其他需说明的情况：</w:t>
      </w:r>
    </w:p>
    <w:p w14:paraId="4DCFF9BE">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A.对于竞争性谈判响应文件中不构成实质性偏差的小的不正规、不一致或不规则，招标人可以接受，但这种接受不能损害或影响任何供应商的相对排序；</w:t>
      </w:r>
    </w:p>
    <w:p w14:paraId="3EACCFF5">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B.如果谈判响应实质上没有响应竞争性谈判文件的要求，其谈判响应将被拒绝，供应商不得通过修正或撤消不合要求的偏离或保留从而使其谈判响应成为实质上响应的谈判响应。</w:t>
      </w:r>
    </w:p>
    <w:p w14:paraId="06B2ACFE">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C.无论谈判的结果如何，谈判期间一切费用自理。</w:t>
      </w:r>
    </w:p>
    <w:p w14:paraId="0FA34E97">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7.推荐成交候选供应商名单</w:t>
      </w:r>
    </w:p>
    <w:p w14:paraId="070AA0D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谈判小组依据谈判文件的要求，对供应商进行认真评审。经过评审、谈判、澄清、最后报价等程序后，从质量和服务均能满足谈判文件实质性响应要求的供应商中，按照最后报价由低到高的顺序推荐3名以上成交候选人。</w:t>
      </w:r>
    </w:p>
    <w:p w14:paraId="3DC840FA">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8.供应商及竞争性谈判响应文件（包括但不限于）出现下列情况之一者，按无效标处理：</w:t>
      </w:r>
    </w:p>
    <w:p w14:paraId="4671827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8.1供应商未通过谈判流程正规渠道下载本竞争性谈判文件或供应商的名称与下载本竞争性谈判文件时登记下载本竞争性谈判文件单位的名称不符；</w:t>
      </w:r>
    </w:p>
    <w:p w14:paraId="0BA82D8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8.2竞争性谈判响应文件中未提供法定代表人授权书（法定代表人直接应标的除外，但须提供身份证原件）或授权书的合法性或有效性不符合竞争性谈判文件规定；</w:t>
      </w:r>
    </w:p>
    <w:p w14:paraId="4DE6B93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8.3竞争性谈判响应文件未加盖供应商单位公章，未提供谈判有效期或有效期达不到本竞争性谈判文件要求的；</w:t>
      </w:r>
    </w:p>
    <w:p w14:paraId="275CE09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8.4竞争性谈判响应文件及资格证明材料未按照本竞争性谈判文件的规定进行盖章、编制、密封、装订、标识的；</w:t>
      </w:r>
    </w:p>
    <w:p w14:paraId="312066E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8.5未按本竞争性谈判文件规定的格式填写，内容不全或字迹模糊辨认不清；</w:t>
      </w:r>
    </w:p>
    <w:p w14:paraId="4319982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8.6必备资质的有效性或符合性不符合本竞争性谈判文件规定的；</w:t>
      </w:r>
    </w:p>
    <w:p w14:paraId="47EE9B8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8.7供应商针对同一项目递交两份或多份内容不同的竞争性谈判响应文件，未书面声明哪一份是有效的；出现选择性报价的；谈判报价超出采购预算的；</w:t>
      </w:r>
    </w:p>
    <w:p w14:paraId="27D287C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8.8竞争性谈判响应文件与竞争性谈判文件要求不一致（交货、付款、验收、售后服务等项），附加了招标人难以接受条件的；</w:t>
      </w:r>
    </w:p>
    <w:p w14:paraId="5F33595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8.9供应商超出自身经营范围的；</w:t>
      </w:r>
    </w:p>
    <w:p w14:paraId="4FF754F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0</w:t>
      </w:r>
      <w:r>
        <w:rPr>
          <w:rFonts w:hint="eastAsia" w:ascii="宋体" w:hAnsi="宋体" w:eastAsia="宋体" w:cs="宋体"/>
          <w:sz w:val="24"/>
        </w:rPr>
        <w:t>供应商的必备资格证明文件或谈判产品的资质证明材料不全、无效或达不到本竞争性谈判文件规定要求的；</w:t>
      </w:r>
    </w:p>
    <w:p w14:paraId="5E846DD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谈判内容的技术要求不能达到本竞争性谈判文件的要求，少报、漏报、降低产品档次或影响了性能、功能、谈判目的实现的；</w:t>
      </w:r>
    </w:p>
    <w:p w14:paraId="1975A0B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未按本竞争性谈判文件指定格式填写、签署、盖章及递交“谈判一览表”，或“分项报价表”出现漏项或谈判产品品目、数量与竞争性谈判文件要求不符的(数量不足的)；</w:t>
      </w:r>
    </w:p>
    <w:p w14:paraId="50A3C31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供应商拒不按照要求对竞争性谈判响应文件进行澄清、说明或者补正的，谈判小组可以否决其谈判；</w:t>
      </w:r>
    </w:p>
    <w:p w14:paraId="357FC95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竞争性谈判响应文件中含有招标人不能接受的附加条件的；</w:t>
      </w:r>
    </w:p>
    <w:p w14:paraId="025C81E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供应商提供虚假证明，开具虚假资质，除按无效标处理外，还进行相应的申报及处罚；</w:t>
      </w:r>
    </w:p>
    <w:p w14:paraId="31F0263A">
      <w:pPr>
        <w:adjustRightInd w:val="0"/>
        <w:snapToGrid w:val="0"/>
        <w:spacing w:line="360" w:lineRule="auto"/>
        <w:ind w:firstLine="480" w:firstLineChars="200"/>
        <w:rPr>
          <w:rFonts w:hint="eastAsia" w:ascii="宋体" w:hAnsi="宋体" w:eastAsia="宋体" w:cs="宋体"/>
          <w:spacing w:val="4"/>
          <w:sz w:val="24"/>
        </w:rPr>
      </w:pPr>
      <w:r>
        <w:rPr>
          <w:rFonts w:hint="eastAsia" w:ascii="宋体" w:hAnsi="宋体" w:eastAsia="宋体" w:cs="宋体"/>
          <w:sz w:val="24"/>
        </w:rPr>
        <w:t>8.1</w:t>
      </w:r>
      <w:r>
        <w:rPr>
          <w:rFonts w:hint="eastAsia" w:ascii="宋体" w:hAnsi="宋体" w:eastAsia="宋体" w:cs="宋体"/>
          <w:sz w:val="24"/>
          <w:lang w:val="en-US" w:eastAsia="zh-CN"/>
        </w:rPr>
        <w:t>6</w:t>
      </w:r>
      <w:r>
        <w:rPr>
          <w:rFonts w:hint="eastAsia" w:ascii="宋体" w:hAnsi="宋体" w:eastAsia="宋体" w:cs="宋体"/>
          <w:sz w:val="24"/>
        </w:rPr>
        <w:t xml:space="preserve"> 经证实，供应商在招标人以往项目中有不良记录影响谈判或谈判资格的。</w:t>
      </w:r>
    </w:p>
    <w:p w14:paraId="64F75876">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 xml:space="preserve">  </w:t>
      </w:r>
    </w:p>
    <w:p w14:paraId="00098C19">
      <w:pPr>
        <w:rPr>
          <w:rFonts w:hint="eastAsia" w:ascii="宋体" w:hAnsi="宋体" w:eastAsia="宋体" w:cs="宋体"/>
          <w:b/>
          <w:bCs/>
          <w:sz w:val="36"/>
          <w:szCs w:val="36"/>
        </w:rPr>
      </w:pPr>
      <w:r>
        <w:rPr>
          <w:rFonts w:hint="eastAsia" w:ascii="宋体" w:hAnsi="宋体" w:eastAsia="宋体" w:cs="宋体"/>
          <w:b/>
          <w:bCs/>
          <w:sz w:val="36"/>
          <w:szCs w:val="36"/>
        </w:rPr>
        <w:br w:type="page"/>
      </w:r>
    </w:p>
    <w:p w14:paraId="09505DC6">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第五部分  合同主要条款</w:t>
      </w:r>
    </w:p>
    <w:p w14:paraId="6B2A1B5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        （仅供参考）</w:t>
      </w:r>
    </w:p>
    <w:p w14:paraId="4968D39C">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根据《中华人民共和国政府采购法》、《中华人民共和国民法典》及相关规定，为明确甲、乙双方责任，经甲、乙双方充分协商，特订立本合同，以便共同遵守。 </w:t>
      </w:r>
      <w:bookmarkStart w:id="12" w:name="f_gp192"/>
      <w:bookmarkEnd w:id="12"/>
      <w:bookmarkStart w:id="13" w:name="f_gp190"/>
      <w:bookmarkEnd w:id="13"/>
      <w:bookmarkStart w:id="14" w:name="f_gp191"/>
      <w:bookmarkEnd w:id="14"/>
      <w:bookmarkStart w:id="15" w:name="f_gp193"/>
      <w:bookmarkEnd w:id="15"/>
    </w:p>
    <w:p w14:paraId="558AF60A">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一、合同价款：</w:t>
      </w:r>
    </w:p>
    <w:p w14:paraId="4F0DCCD3">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1.合同总价包括：即供应商的谈判具体内容及其成交金额；</w:t>
      </w:r>
    </w:p>
    <w:p w14:paraId="5F77A9C5">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2.合同价不受市场价格变化因素的影响；</w:t>
      </w:r>
    </w:p>
    <w:p w14:paraId="0CB8D2B8">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3.付款方式：合同签订后甲方支付乙方30%合同金额预付款，项目验收完成后支付合同金额70%剩余款项。</w:t>
      </w:r>
    </w:p>
    <w:p w14:paraId="2978A2C1">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二、知识产权：即供应商应保证采购人在使用管理过程中，不承担任何涉及知识产权法律诉讼的责任。</w:t>
      </w:r>
    </w:p>
    <w:p w14:paraId="14088BA6">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三、供货期：30个工作日，质保期：1年。</w:t>
      </w:r>
    </w:p>
    <w:p w14:paraId="26E2285D">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四、交付地点：黄陵县人民检察院指定地点。</w:t>
      </w:r>
    </w:p>
    <w:p w14:paraId="4D332F15">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五、采购内容和要求：详见采购内容</w:t>
      </w:r>
    </w:p>
    <w:p w14:paraId="3FA2146B">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六、质保措施</w:t>
      </w:r>
    </w:p>
    <w:p w14:paraId="47F613E7">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供应商在项目内有义务在质保期内监督承建单位的售后服务。</w:t>
      </w:r>
    </w:p>
    <w:p w14:paraId="46666640">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七、违约责任：</w:t>
      </w:r>
    </w:p>
    <w:p w14:paraId="616D7D37">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7.1按照《民法典》中的相关条款执行；</w:t>
      </w:r>
    </w:p>
    <w:p w14:paraId="40698A43">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7.2未按合同要求提供服务或服务服务质量不能满足技术要求的，采购单位会同有关单位，有权终止合同和对供货方违约进行追究。</w:t>
      </w:r>
    </w:p>
    <w:p w14:paraId="2BE9F9AB">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八、验收：验收须以竞争性谈判文件、响应文件、合同、国家相应的标准、规范等为依据。</w:t>
      </w:r>
    </w:p>
    <w:p w14:paraId="4A1BD9FB">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九、合同争议的解决：合同执行中发生争议的，当事人双方应协商解决，协商达不成一致时，可向延安仲裁委员会申请仲裁或者向采购人所在地的人民法院提请诉讼。</w:t>
      </w:r>
    </w:p>
    <w:p w14:paraId="29864941">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十、合同一经签订，不得擅自变更、中止或者终止合同。对确需变更、调整或者中止、终止合同的，应按规定履行相应的手续。</w:t>
      </w:r>
    </w:p>
    <w:p w14:paraId="1FB4F8A4">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十一、本合同从签订之日起生效，合同规定的全部事宜和程序结束后终止。本合同一式三份，甲、乙双方和采购代理机构各一份。</w:t>
      </w:r>
    </w:p>
    <w:p w14:paraId="7CB35DA0">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十二、合同期内，未尽事宜，双方可根据服务需要，另立补充协议，补充协议是本合同的重要组成部分，具有同等法律效力。</w:t>
      </w:r>
    </w:p>
    <w:p w14:paraId="081BD038">
      <w:pPr>
        <w:autoSpaceDE w:val="0"/>
        <w:autoSpaceDN w:val="0"/>
        <w:adjustRightInd w:val="0"/>
        <w:spacing w:line="336" w:lineRule="auto"/>
        <w:ind w:firstLine="645"/>
        <w:rPr>
          <w:rFonts w:hint="eastAsia" w:ascii="宋体" w:hAnsi="宋体" w:eastAsia="宋体" w:cs="宋体"/>
          <w:sz w:val="24"/>
        </w:rPr>
      </w:pPr>
      <w:r>
        <w:rPr>
          <w:rFonts w:hint="eastAsia" w:ascii="宋体" w:hAnsi="宋体" w:eastAsia="宋体" w:cs="宋体"/>
          <w:bCs/>
          <w:sz w:val="24"/>
        </w:rPr>
        <w:t>本合同须经黄陵县政府采购中心确认，否则无效。（合同的服务承诺则长期有效）。</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18"/>
        <w:gridCol w:w="3018"/>
      </w:tblGrid>
      <w:tr w14:paraId="5672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2E0FA905">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甲  方</w:t>
            </w:r>
          </w:p>
        </w:tc>
        <w:tc>
          <w:tcPr>
            <w:tcW w:w="3018" w:type="dxa"/>
          </w:tcPr>
          <w:p w14:paraId="29D3F2E5">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乙  方</w:t>
            </w:r>
          </w:p>
        </w:tc>
        <w:tc>
          <w:tcPr>
            <w:tcW w:w="3018" w:type="dxa"/>
          </w:tcPr>
          <w:p w14:paraId="4319F902">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确 认 方</w:t>
            </w:r>
          </w:p>
        </w:tc>
      </w:tr>
      <w:tr w14:paraId="42CB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018" w:type="dxa"/>
            <w:vAlign w:val="center"/>
          </w:tcPr>
          <w:p w14:paraId="04EF450D">
            <w:pPr>
              <w:spacing w:line="420" w:lineRule="exact"/>
              <w:jc w:val="center"/>
              <w:rPr>
                <w:rFonts w:hint="eastAsia" w:ascii="宋体" w:hAnsi="宋体" w:eastAsia="宋体" w:cs="宋体"/>
                <w:bCs/>
                <w:color w:val="000000"/>
                <w:sz w:val="24"/>
              </w:rPr>
            </w:pPr>
          </w:p>
          <w:p w14:paraId="6A38B8EB">
            <w:pPr>
              <w:spacing w:line="420" w:lineRule="exact"/>
              <w:jc w:val="center"/>
              <w:rPr>
                <w:rFonts w:hint="eastAsia" w:ascii="宋体" w:hAnsi="宋体" w:eastAsia="宋体" w:cs="宋体"/>
                <w:bCs/>
                <w:color w:val="000000"/>
                <w:sz w:val="24"/>
              </w:rPr>
            </w:pPr>
          </w:p>
          <w:p w14:paraId="1D1B0E3A">
            <w:pPr>
              <w:spacing w:line="420" w:lineRule="exact"/>
              <w:jc w:val="center"/>
              <w:rPr>
                <w:rFonts w:hint="eastAsia" w:ascii="宋体" w:hAnsi="宋体" w:eastAsia="宋体" w:cs="宋体"/>
                <w:bCs/>
                <w:color w:val="000000"/>
                <w:sz w:val="24"/>
              </w:rPr>
            </w:pPr>
          </w:p>
          <w:p w14:paraId="31FD8E67">
            <w:pPr>
              <w:spacing w:line="420" w:lineRule="exact"/>
              <w:jc w:val="center"/>
              <w:rPr>
                <w:rFonts w:hint="eastAsia" w:ascii="宋体" w:hAnsi="宋体" w:eastAsia="宋体" w:cs="宋体"/>
                <w:bCs/>
                <w:color w:val="000000"/>
                <w:sz w:val="24"/>
              </w:rPr>
            </w:pPr>
          </w:p>
          <w:p w14:paraId="674CDC42">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c>
          <w:tcPr>
            <w:tcW w:w="3018" w:type="dxa"/>
            <w:vAlign w:val="center"/>
          </w:tcPr>
          <w:p w14:paraId="0AAABDD3">
            <w:pPr>
              <w:spacing w:line="420" w:lineRule="exact"/>
              <w:jc w:val="center"/>
              <w:rPr>
                <w:rFonts w:hint="eastAsia" w:ascii="宋体" w:hAnsi="宋体" w:eastAsia="宋体" w:cs="宋体"/>
                <w:bCs/>
                <w:color w:val="000000"/>
                <w:sz w:val="24"/>
              </w:rPr>
            </w:pPr>
          </w:p>
          <w:p w14:paraId="53410611">
            <w:pPr>
              <w:spacing w:line="420" w:lineRule="exact"/>
              <w:jc w:val="center"/>
              <w:rPr>
                <w:rFonts w:hint="eastAsia" w:ascii="宋体" w:hAnsi="宋体" w:eastAsia="宋体" w:cs="宋体"/>
                <w:bCs/>
                <w:color w:val="000000"/>
                <w:sz w:val="24"/>
              </w:rPr>
            </w:pPr>
          </w:p>
          <w:p w14:paraId="00929FC8">
            <w:pPr>
              <w:spacing w:line="420" w:lineRule="exact"/>
              <w:jc w:val="center"/>
              <w:rPr>
                <w:rFonts w:hint="eastAsia" w:ascii="宋体" w:hAnsi="宋体" w:eastAsia="宋体" w:cs="宋体"/>
                <w:bCs/>
                <w:color w:val="000000"/>
                <w:sz w:val="24"/>
              </w:rPr>
            </w:pPr>
          </w:p>
          <w:p w14:paraId="14087AD3">
            <w:pPr>
              <w:spacing w:line="420" w:lineRule="exact"/>
              <w:jc w:val="center"/>
              <w:rPr>
                <w:rFonts w:hint="eastAsia" w:ascii="宋体" w:hAnsi="宋体" w:eastAsia="宋体" w:cs="宋体"/>
                <w:bCs/>
                <w:color w:val="000000"/>
                <w:sz w:val="24"/>
              </w:rPr>
            </w:pPr>
          </w:p>
          <w:p w14:paraId="245CA8DA">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c>
          <w:tcPr>
            <w:tcW w:w="3018" w:type="dxa"/>
            <w:vAlign w:val="center"/>
          </w:tcPr>
          <w:p w14:paraId="11C67B04">
            <w:pPr>
              <w:spacing w:line="420" w:lineRule="exact"/>
              <w:jc w:val="center"/>
              <w:rPr>
                <w:rFonts w:hint="eastAsia" w:ascii="宋体" w:hAnsi="宋体" w:eastAsia="宋体" w:cs="宋体"/>
                <w:bCs/>
                <w:color w:val="000000"/>
                <w:sz w:val="24"/>
              </w:rPr>
            </w:pPr>
          </w:p>
          <w:p w14:paraId="066A130C">
            <w:pPr>
              <w:spacing w:line="420" w:lineRule="exact"/>
              <w:jc w:val="center"/>
              <w:rPr>
                <w:rFonts w:hint="eastAsia" w:ascii="宋体" w:hAnsi="宋体" w:eastAsia="宋体" w:cs="宋体"/>
                <w:bCs/>
                <w:color w:val="000000"/>
                <w:sz w:val="24"/>
              </w:rPr>
            </w:pPr>
          </w:p>
          <w:p w14:paraId="2E69733D">
            <w:pPr>
              <w:spacing w:line="420" w:lineRule="exact"/>
              <w:jc w:val="center"/>
              <w:rPr>
                <w:rFonts w:hint="eastAsia" w:ascii="宋体" w:hAnsi="宋体" w:eastAsia="宋体" w:cs="宋体"/>
                <w:bCs/>
                <w:color w:val="000000"/>
                <w:sz w:val="24"/>
              </w:rPr>
            </w:pPr>
          </w:p>
          <w:p w14:paraId="1E76AC03">
            <w:pPr>
              <w:spacing w:line="420" w:lineRule="exact"/>
              <w:jc w:val="center"/>
              <w:rPr>
                <w:rFonts w:hint="eastAsia" w:ascii="宋体" w:hAnsi="宋体" w:eastAsia="宋体" w:cs="宋体"/>
                <w:bCs/>
                <w:color w:val="000000"/>
                <w:sz w:val="24"/>
              </w:rPr>
            </w:pPr>
          </w:p>
          <w:p w14:paraId="49B1BDCD">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r>
      <w:tr w14:paraId="654D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018" w:type="dxa"/>
          </w:tcPr>
          <w:p w14:paraId="0B7C98F2">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c>
          <w:tcPr>
            <w:tcW w:w="3018" w:type="dxa"/>
          </w:tcPr>
          <w:p w14:paraId="4604223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c>
          <w:tcPr>
            <w:tcW w:w="3018" w:type="dxa"/>
          </w:tcPr>
          <w:p w14:paraId="27A0F7C3">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r>
      <w:tr w14:paraId="196F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743D24DD">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c>
          <w:tcPr>
            <w:tcW w:w="3018" w:type="dxa"/>
          </w:tcPr>
          <w:p w14:paraId="68BC2A65">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c>
          <w:tcPr>
            <w:tcW w:w="3018" w:type="dxa"/>
          </w:tcPr>
          <w:p w14:paraId="15B34521">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r>
      <w:tr w14:paraId="01CF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6C677408">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 xml:space="preserve">法定代表人： </w:t>
            </w:r>
          </w:p>
        </w:tc>
        <w:tc>
          <w:tcPr>
            <w:tcW w:w="3018" w:type="dxa"/>
          </w:tcPr>
          <w:p w14:paraId="57DB461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法定代表人：</w:t>
            </w:r>
          </w:p>
        </w:tc>
        <w:tc>
          <w:tcPr>
            <w:tcW w:w="3018" w:type="dxa"/>
          </w:tcPr>
          <w:p w14:paraId="121D1C3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法定代表人：</w:t>
            </w:r>
          </w:p>
        </w:tc>
      </w:tr>
      <w:tr w14:paraId="689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018" w:type="dxa"/>
          </w:tcPr>
          <w:p w14:paraId="18ECB11F">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被授权代表：</w:t>
            </w:r>
          </w:p>
        </w:tc>
        <w:tc>
          <w:tcPr>
            <w:tcW w:w="3018" w:type="dxa"/>
          </w:tcPr>
          <w:p w14:paraId="4B53B7CC">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被授权代表：</w:t>
            </w:r>
          </w:p>
        </w:tc>
        <w:tc>
          <w:tcPr>
            <w:tcW w:w="3018" w:type="dxa"/>
          </w:tcPr>
          <w:p w14:paraId="65BEED2A">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承办人：</w:t>
            </w:r>
          </w:p>
        </w:tc>
      </w:tr>
      <w:tr w14:paraId="6606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18" w:type="dxa"/>
          </w:tcPr>
          <w:p w14:paraId="785A9D9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3018" w:type="dxa"/>
          </w:tcPr>
          <w:p w14:paraId="475C972D">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3018" w:type="dxa"/>
          </w:tcPr>
          <w:p w14:paraId="462073C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r>
      <w:tr w14:paraId="5BCF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18" w:type="dxa"/>
          </w:tcPr>
          <w:p w14:paraId="2D5CBCB0">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c>
          <w:tcPr>
            <w:tcW w:w="3018" w:type="dxa"/>
          </w:tcPr>
          <w:p w14:paraId="59BF7D2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c>
          <w:tcPr>
            <w:tcW w:w="3018" w:type="dxa"/>
          </w:tcPr>
          <w:p w14:paraId="223163D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r>
      <w:tr w14:paraId="5B63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018" w:type="dxa"/>
          </w:tcPr>
          <w:p w14:paraId="532B492B">
            <w:pPr>
              <w:spacing w:line="420" w:lineRule="exact"/>
              <w:rPr>
                <w:rFonts w:hint="eastAsia" w:ascii="宋体" w:hAnsi="宋体" w:eastAsia="宋体" w:cs="宋体"/>
                <w:bCs/>
                <w:color w:val="000000"/>
                <w:sz w:val="24"/>
              </w:rPr>
            </w:pPr>
          </w:p>
        </w:tc>
        <w:tc>
          <w:tcPr>
            <w:tcW w:w="3018" w:type="dxa"/>
          </w:tcPr>
          <w:p w14:paraId="3EA2D7BB">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开户银行：</w:t>
            </w:r>
          </w:p>
          <w:p w14:paraId="083AE400">
            <w:pPr>
              <w:spacing w:line="420" w:lineRule="exact"/>
              <w:rPr>
                <w:rFonts w:hint="eastAsia" w:ascii="宋体" w:hAnsi="宋体" w:eastAsia="宋体" w:cs="宋体"/>
                <w:bCs/>
                <w:color w:val="000000"/>
                <w:sz w:val="24"/>
              </w:rPr>
            </w:pPr>
          </w:p>
        </w:tc>
        <w:tc>
          <w:tcPr>
            <w:tcW w:w="3018" w:type="dxa"/>
          </w:tcPr>
          <w:p w14:paraId="564976EA">
            <w:pPr>
              <w:spacing w:line="420" w:lineRule="exact"/>
              <w:rPr>
                <w:rFonts w:hint="eastAsia" w:ascii="宋体" w:hAnsi="宋体" w:eastAsia="宋体" w:cs="宋体"/>
                <w:bCs/>
                <w:color w:val="000000"/>
                <w:sz w:val="24"/>
              </w:rPr>
            </w:pPr>
          </w:p>
        </w:tc>
      </w:tr>
      <w:tr w14:paraId="4D90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21D193D4">
            <w:pPr>
              <w:spacing w:line="420" w:lineRule="exact"/>
              <w:rPr>
                <w:rFonts w:hint="eastAsia" w:ascii="宋体" w:hAnsi="宋体" w:eastAsia="宋体" w:cs="宋体"/>
                <w:bCs/>
                <w:color w:val="000000"/>
                <w:sz w:val="24"/>
              </w:rPr>
            </w:pPr>
          </w:p>
        </w:tc>
        <w:tc>
          <w:tcPr>
            <w:tcW w:w="3018" w:type="dxa"/>
          </w:tcPr>
          <w:p w14:paraId="0020F42D">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帐号：</w:t>
            </w:r>
          </w:p>
        </w:tc>
        <w:tc>
          <w:tcPr>
            <w:tcW w:w="3018" w:type="dxa"/>
          </w:tcPr>
          <w:p w14:paraId="0B4412C1">
            <w:pPr>
              <w:spacing w:line="420" w:lineRule="exact"/>
              <w:rPr>
                <w:rFonts w:hint="eastAsia" w:ascii="宋体" w:hAnsi="宋体" w:eastAsia="宋体" w:cs="宋体"/>
                <w:bCs/>
                <w:color w:val="000000"/>
                <w:sz w:val="24"/>
              </w:rPr>
            </w:pPr>
          </w:p>
        </w:tc>
      </w:tr>
      <w:tr w14:paraId="1AEC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18" w:type="dxa"/>
          </w:tcPr>
          <w:p w14:paraId="308C8F6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c>
          <w:tcPr>
            <w:tcW w:w="3018" w:type="dxa"/>
          </w:tcPr>
          <w:p w14:paraId="1B663391">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c>
          <w:tcPr>
            <w:tcW w:w="3018" w:type="dxa"/>
          </w:tcPr>
          <w:p w14:paraId="3AD510A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r>
    </w:tbl>
    <w:p w14:paraId="0211A15F">
      <w:pPr>
        <w:rPr>
          <w:rFonts w:hint="eastAsia" w:ascii="宋体" w:hAnsi="宋体" w:eastAsia="宋体" w:cs="宋体"/>
          <w:b/>
          <w:sz w:val="44"/>
          <w:szCs w:val="44"/>
        </w:rPr>
      </w:pPr>
      <w:r>
        <w:rPr>
          <w:rFonts w:hint="eastAsia" w:ascii="宋体" w:hAnsi="宋体" w:eastAsia="宋体" w:cs="宋体"/>
          <w:b/>
          <w:sz w:val="44"/>
          <w:szCs w:val="44"/>
        </w:rPr>
        <w:br w:type="page"/>
      </w:r>
    </w:p>
    <w:p w14:paraId="796877C6">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第五部分 响应文件格式</w:t>
      </w:r>
    </w:p>
    <w:p w14:paraId="37C7E4F6">
      <w:pPr>
        <w:tabs>
          <w:tab w:val="left" w:pos="840"/>
        </w:tabs>
        <w:kinsoku w:val="0"/>
        <w:spacing w:line="360" w:lineRule="auto"/>
        <w:ind w:firstLine="6505" w:firstLineChars="1800"/>
        <w:jc w:val="left"/>
        <w:rPr>
          <w:rFonts w:hint="eastAsia" w:ascii="宋体" w:hAnsi="宋体" w:eastAsia="宋体" w:cs="宋体"/>
          <w:b/>
          <w:bCs/>
          <w:sz w:val="36"/>
          <w:szCs w:val="44"/>
        </w:rPr>
      </w:pPr>
      <w:r>
        <w:rPr>
          <w:rFonts w:hint="eastAsia" w:ascii="宋体" w:hAnsi="宋体" w:eastAsia="宋体" w:cs="宋体"/>
          <w:b/>
          <w:bCs/>
          <w:sz w:val="36"/>
          <w:szCs w:val="44"/>
        </w:rPr>
        <w:t xml:space="preserve"> </w:t>
      </w:r>
    </w:p>
    <w:p w14:paraId="0AA78FDB">
      <w:pPr>
        <w:tabs>
          <w:tab w:val="left" w:pos="840"/>
        </w:tabs>
        <w:kinsoku w:val="0"/>
        <w:spacing w:line="360" w:lineRule="auto"/>
        <w:ind w:firstLine="5060" w:firstLineChars="1800"/>
        <w:jc w:val="right"/>
        <w:rPr>
          <w:rFonts w:hint="eastAsia" w:ascii="宋体" w:hAnsi="宋体" w:eastAsia="宋体" w:cs="宋体"/>
          <w:b/>
          <w:sz w:val="44"/>
          <w:szCs w:val="44"/>
        </w:rPr>
      </w:pPr>
      <w:r>
        <w:rPr>
          <w:rFonts w:hint="eastAsia" w:ascii="宋体" w:hAnsi="宋体" w:eastAsia="宋体" w:cs="宋体"/>
          <w:b/>
          <w:sz w:val="28"/>
          <w:szCs w:val="28"/>
        </w:rPr>
        <w:t>（正本／副本）</w:t>
      </w:r>
    </w:p>
    <w:p w14:paraId="594679E8">
      <w:pPr>
        <w:tabs>
          <w:tab w:val="left" w:pos="840"/>
        </w:tabs>
        <w:kinsoku w:val="0"/>
        <w:snapToGrid w:val="0"/>
        <w:spacing w:line="500" w:lineRule="exact"/>
        <w:rPr>
          <w:rFonts w:hint="eastAsia" w:ascii="宋体" w:hAnsi="宋体" w:eastAsia="宋体" w:cs="宋体"/>
          <w:b/>
          <w:sz w:val="44"/>
          <w:szCs w:val="44"/>
        </w:rPr>
      </w:pPr>
    </w:p>
    <w:p w14:paraId="42F0FF1A">
      <w:pPr>
        <w:overflowPunct w:val="0"/>
        <w:topLinePunct/>
        <w:jc w:val="center"/>
        <w:rPr>
          <w:rFonts w:hint="eastAsia" w:ascii="宋体" w:hAnsi="宋体" w:eastAsia="宋体" w:cs="宋体"/>
          <w:b/>
          <w:color w:val="000000"/>
          <w:sz w:val="52"/>
          <w:szCs w:val="144"/>
          <w:lang w:eastAsia="zh-CN"/>
        </w:rPr>
      </w:pPr>
      <w:r>
        <w:rPr>
          <w:rFonts w:hint="eastAsia" w:ascii="宋体" w:hAnsi="宋体" w:eastAsia="宋体" w:cs="宋体"/>
          <w:b/>
          <w:color w:val="000000"/>
          <w:sz w:val="52"/>
          <w:szCs w:val="144"/>
          <w:lang w:eastAsia="zh-CN"/>
        </w:rPr>
        <w:t>黄陵县人民检察院安防设备升级改造及业务通报显示屏更换采购项目</w:t>
      </w:r>
    </w:p>
    <w:p w14:paraId="3822D986">
      <w:pPr>
        <w:pStyle w:val="10"/>
        <w:rPr>
          <w:rFonts w:hint="eastAsia" w:ascii="宋体" w:hAnsi="宋体" w:eastAsia="宋体" w:cs="宋体"/>
        </w:rPr>
      </w:pPr>
    </w:p>
    <w:p w14:paraId="7988F795">
      <w:pPr>
        <w:pStyle w:val="6"/>
        <w:rPr>
          <w:rFonts w:hint="eastAsia" w:ascii="宋体" w:hAnsi="宋体" w:eastAsia="宋体" w:cs="宋体"/>
          <w:b/>
          <w:color w:val="000000"/>
          <w:sz w:val="52"/>
          <w:szCs w:val="144"/>
        </w:rPr>
      </w:pPr>
    </w:p>
    <w:p w14:paraId="11210FAD">
      <w:pPr>
        <w:pStyle w:val="10"/>
        <w:rPr>
          <w:rFonts w:hint="eastAsia" w:ascii="宋体" w:hAnsi="宋体" w:eastAsia="宋体" w:cs="宋体"/>
        </w:rPr>
      </w:pPr>
    </w:p>
    <w:p w14:paraId="1169EDA7">
      <w:pPr>
        <w:rPr>
          <w:rFonts w:hint="eastAsia" w:ascii="宋体" w:hAnsi="宋体" w:eastAsia="宋体" w:cs="宋体"/>
        </w:rPr>
      </w:pPr>
    </w:p>
    <w:p w14:paraId="27CEDF49">
      <w:pPr>
        <w:overflowPunct w:val="0"/>
        <w:topLinePunct/>
        <w:jc w:val="center"/>
        <w:rPr>
          <w:rFonts w:hint="eastAsia" w:ascii="宋体" w:hAnsi="宋体" w:eastAsia="宋体" w:cs="宋体"/>
          <w:b/>
          <w:color w:val="000000"/>
          <w:sz w:val="52"/>
          <w:szCs w:val="144"/>
        </w:rPr>
      </w:pPr>
    </w:p>
    <w:p w14:paraId="4658AF2A">
      <w:pPr>
        <w:overflowPunct w:val="0"/>
        <w:topLinePunct/>
        <w:jc w:val="center"/>
        <w:rPr>
          <w:rFonts w:hint="eastAsia" w:ascii="宋体" w:hAnsi="宋体" w:eastAsia="宋体" w:cs="宋体"/>
          <w:b/>
          <w:color w:val="000000"/>
          <w:sz w:val="52"/>
          <w:szCs w:val="144"/>
        </w:rPr>
      </w:pPr>
    </w:p>
    <w:p w14:paraId="5344A836">
      <w:pPr>
        <w:overflowPunct w:val="0"/>
        <w:topLinePunct/>
        <w:jc w:val="center"/>
        <w:rPr>
          <w:rFonts w:hint="eastAsia" w:ascii="宋体" w:hAnsi="宋体" w:eastAsia="宋体" w:cs="宋体"/>
          <w:b/>
          <w:color w:val="000000"/>
          <w:sz w:val="52"/>
          <w:szCs w:val="144"/>
        </w:rPr>
      </w:pPr>
      <w:r>
        <w:rPr>
          <w:rFonts w:hint="eastAsia" w:ascii="宋体" w:hAnsi="宋体" w:eastAsia="宋体" w:cs="宋体"/>
          <w:b/>
          <w:color w:val="000000"/>
          <w:sz w:val="52"/>
          <w:szCs w:val="144"/>
        </w:rPr>
        <w:t>响 应 文 件</w:t>
      </w:r>
    </w:p>
    <w:p w14:paraId="0BF6042D">
      <w:pPr>
        <w:overflowPunct w:val="0"/>
        <w:topLinePunct/>
        <w:jc w:val="center"/>
        <w:rPr>
          <w:rFonts w:hint="eastAsia" w:ascii="宋体" w:hAnsi="宋体" w:eastAsia="宋体" w:cs="宋体"/>
          <w:b/>
          <w:bCs/>
          <w:spacing w:val="20"/>
          <w:sz w:val="24"/>
          <w:highlight w:val="none"/>
        </w:rPr>
      </w:pPr>
      <w:r>
        <w:rPr>
          <w:rFonts w:hint="eastAsia" w:ascii="宋体" w:hAnsi="宋体" w:eastAsia="宋体" w:cs="宋体"/>
          <w:b/>
          <w:bCs/>
          <w:sz w:val="24"/>
          <w:highlight w:val="none"/>
        </w:rPr>
        <w:t>（项目编号：HLZC-TP-2024-1</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w:t>
      </w:r>
    </w:p>
    <w:p w14:paraId="780ADCAE">
      <w:pPr>
        <w:pStyle w:val="9"/>
        <w:ind w:firstLine="1706" w:firstLineChars="500"/>
        <w:rPr>
          <w:rFonts w:hint="eastAsia" w:ascii="宋体" w:hAnsi="宋体" w:eastAsia="宋体" w:cs="宋体"/>
          <w:b/>
          <w:bCs/>
          <w:spacing w:val="20"/>
          <w:sz w:val="30"/>
          <w:szCs w:val="30"/>
        </w:rPr>
      </w:pPr>
      <w:r>
        <w:rPr>
          <w:rFonts w:hint="eastAsia" w:ascii="宋体" w:hAnsi="宋体" w:eastAsia="宋体" w:cs="宋体"/>
          <w:b/>
          <w:bCs/>
          <w:spacing w:val="20"/>
          <w:sz w:val="30"/>
          <w:szCs w:val="30"/>
        </w:rPr>
        <w:t xml:space="preserve">              </w:t>
      </w:r>
    </w:p>
    <w:p w14:paraId="53C0F11A">
      <w:pPr>
        <w:pStyle w:val="9"/>
        <w:ind w:firstLine="1706" w:firstLineChars="500"/>
        <w:rPr>
          <w:rFonts w:hint="eastAsia" w:ascii="宋体" w:hAnsi="宋体" w:eastAsia="宋体" w:cs="宋体"/>
          <w:b/>
          <w:bCs/>
          <w:spacing w:val="20"/>
          <w:sz w:val="30"/>
          <w:szCs w:val="30"/>
        </w:rPr>
      </w:pPr>
      <w:r>
        <w:rPr>
          <w:rFonts w:hint="eastAsia" w:ascii="宋体" w:hAnsi="宋体" w:eastAsia="宋体" w:cs="宋体"/>
          <w:b/>
          <w:bCs/>
          <w:spacing w:val="20"/>
          <w:sz w:val="30"/>
          <w:szCs w:val="30"/>
        </w:rPr>
        <w:t xml:space="preserve"> </w:t>
      </w:r>
    </w:p>
    <w:p w14:paraId="2BEE4FE2">
      <w:pPr>
        <w:pStyle w:val="9"/>
        <w:ind w:left="0" w:leftChars="0"/>
        <w:rPr>
          <w:rFonts w:hint="eastAsia" w:ascii="宋体" w:hAnsi="宋体" w:eastAsia="宋体" w:cs="宋体"/>
          <w:b/>
          <w:bCs/>
          <w:spacing w:val="20"/>
          <w:sz w:val="22"/>
          <w:szCs w:val="22"/>
        </w:rPr>
      </w:pPr>
    </w:p>
    <w:p w14:paraId="707B57FB">
      <w:pPr>
        <w:pStyle w:val="9"/>
        <w:ind w:left="0" w:leftChars="0"/>
        <w:rPr>
          <w:rFonts w:hint="eastAsia" w:ascii="宋体" w:hAnsi="宋体" w:eastAsia="宋体" w:cs="宋体"/>
          <w:b/>
          <w:bCs/>
          <w:spacing w:val="20"/>
          <w:sz w:val="22"/>
          <w:szCs w:val="22"/>
        </w:rPr>
      </w:pPr>
    </w:p>
    <w:p w14:paraId="46EB31F1">
      <w:pPr>
        <w:spacing w:line="360" w:lineRule="auto"/>
        <w:ind w:firstLine="167" w:firstLineChars="49"/>
        <w:rPr>
          <w:rFonts w:hint="eastAsia" w:ascii="宋体" w:hAnsi="宋体" w:eastAsia="宋体" w:cs="宋体"/>
          <w:b/>
          <w:bCs/>
          <w:spacing w:val="20"/>
          <w:sz w:val="30"/>
          <w:szCs w:val="30"/>
        </w:rPr>
      </w:pPr>
      <w:r>
        <w:rPr>
          <w:rFonts w:hint="eastAsia" w:ascii="宋体" w:hAnsi="宋体" w:eastAsia="宋体" w:cs="宋体"/>
          <w:b/>
          <w:bCs/>
          <w:spacing w:val="20"/>
          <w:sz w:val="30"/>
          <w:szCs w:val="30"/>
        </w:rPr>
        <w:t>供   应  商：</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（盖单位公章）</w:t>
      </w:r>
    </w:p>
    <w:p w14:paraId="47E7CAD5">
      <w:pPr>
        <w:spacing w:line="360" w:lineRule="auto"/>
        <w:ind w:firstLine="167" w:firstLineChars="49"/>
        <w:rPr>
          <w:rFonts w:hint="eastAsia" w:ascii="宋体" w:hAnsi="宋体" w:eastAsia="宋体" w:cs="宋体"/>
          <w:b/>
          <w:bCs/>
          <w:spacing w:val="20"/>
          <w:sz w:val="30"/>
          <w:szCs w:val="30"/>
        </w:rPr>
      </w:pPr>
      <w:r>
        <w:rPr>
          <w:rFonts w:hint="eastAsia" w:ascii="宋体" w:hAnsi="宋体" w:eastAsia="宋体" w:cs="宋体"/>
          <w:b/>
          <w:bCs/>
          <w:spacing w:val="20"/>
          <w:sz w:val="30"/>
          <w:szCs w:val="30"/>
        </w:rPr>
        <w:t>法定代表人或</w:t>
      </w:r>
    </w:p>
    <w:p w14:paraId="225D36E1">
      <w:pPr>
        <w:spacing w:line="360" w:lineRule="auto"/>
        <w:ind w:firstLine="167" w:firstLineChars="49"/>
        <w:rPr>
          <w:rFonts w:hint="eastAsia" w:ascii="宋体" w:hAnsi="宋体" w:eastAsia="宋体" w:cs="宋体"/>
          <w:b/>
          <w:bCs/>
          <w:spacing w:val="20"/>
          <w:sz w:val="30"/>
          <w:szCs w:val="30"/>
        </w:rPr>
      </w:pPr>
      <w:r>
        <w:rPr>
          <w:rFonts w:hint="eastAsia" w:ascii="宋体" w:hAnsi="宋体" w:eastAsia="宋体" w:cs="宋体"/>
          <w:b/>
          <w:bCs/>
          <w:spacing w:val="20"/>
          <w:sz w:val="30"/>
          <w:szCs w:val="30"/>
        </w:rPr>
        <w:t>其委托代理人：</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 xml:space="preserve"> （签字或盖章）</w:t>
      </w:r>
    </w:p>
    <w:p w14:paraId="6D0F25FC">
      <w:pPr>
        <w:spacing w:line="360" w:lineRule="auto"/>
        <w:ind w:firstLine="167" w:firstLineChars="49"/>
        <w:rPr>
          <w:rFonts w:hint="eastAsia" w:ascii="宋体" w:hAnsi="宋体" w:eastAsia="宋体" w:cs="宋体"/>
          <w:b/>
          <w:sz w:val="32"/>
          <w:szCs w:val="32"/>
        </w:rPr>
      </w:pPr>
      <w:r>
        <w:rPr>
          <w:rFonts w:hint="eastAsia" w:ascii="宋体" w:hAnsi="宋体" w:eastAsia="宋体" w:cs="宋体"/>
          <w:b/>
          <w:bCs/>
          <w:spacing w:val="20"/>
          <w:sz w:val="30"/>
          <w:szCs w:val="30"/>
        </w:rPr>
        <w:t>日       期：</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年</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月</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日</w:t>
      </w:r>
    </w:p>
    <w:p w14:paraId="793122FD">
      <w:pPr>
        <w:spacing w:line="700" w:lineRule="exact"/>
        <w:jc w:val="center"/>
        <w:rPr>
          <w:rFonts w:hint="eastAsia" w:ascii="宋体" w:hAnsi="宋体" w:eastAsia="宋体" w:cs="宋体"/>
          <w:b/>
          <w:bCs/>
        </w:rPr>
      </w:pPr>
      <w:r>
        <w:rPr>
          <w:rFonts w:hint="eastAsia" w:ascii="宋体" w:hAnsi="宋体" w:eastAsia="宋体" w:cs="宋体"/>
          <w:b/>
          <w:bCs/>
          <w:sz w:val="48"/>
          <w:szCs w:val="48"/>
        </w:rPr>
        <w:t>目    录</w:t>
      </w:r>
    </w:p>
    <w:p w14:paraId="6D183A38">
      <w:pPr>
        <w:spacing w:line="200" w:lineRule="exact"/>
        <w:rPr>
          <w:rFonts w:hint="eastAsia" w:ascii="宋体" w:hAnsi="宋体" w:eastAsia="宋体" w:cs="宋体"/>
        </w:rPr>
      </w:pPr>
    </w:p>
    <w:p w14:paraId="557E6F5A">
      <w:pPr>
        <w:spacing w:line="200" w:lineRule="exact"/>
        <w:rPr>
          <w:rFonts w:hint="eastAsia" w:ascii="宋体" w:hAnsi="宋体" w:eastAsia="宋体" w:cs="宋体"/>
        </w:rPr>
      </w:pPr>
    </w:p>
    <w:p w14:paraId="6E82B705">
      <w:pPr>
        <w:spacing w:line="200" w:lineRule="exact"/>
        <w:rPr>
          <w:rFonts w:hint="eastAsia" w:ascii="宋体" w:hAnsi="宋体" w:eastAsia="宋体" w:cs="宋体"/>
        </w:rPr>
      </w:pPr>
    </w:p>
    <w:p w14:paraId="27B4272A">
      <w:pPr>
        <w:spacing w:line="200" w:lineRule="exact"/>
        <w:rPr>
          <w:rFonts w:hint="eastAsia" w:ascii="宋体" w:hAnsi="宋体" w:eastAsia="宋体" w:cs="宋体"/>
        </w:rPr>
      </w:pPr>
    </w:p>
    <w:p w14:paraId="454F42E9">
      <w:pPr>
        <w:spacing w:line="200" w:lineRule="exact"/>
        <w:rPr>
          <w:rFonts w:hint="eastAsia" w:ascii="宋体" w:hAnsi="宋体" w:eastAsia="宋体" w:cs="宋体"/>
        </w:rPr>
      </w:pPr>
    </w:p>
    <w:p w14:paraId="0CC6B785">
      <w:pPr>
        <w:ind w:left="360"/>
        <w:rPr>
          <w:rFonts w:hint="eastAsia" w:ascii="宋体" w:hAnsi="宋体" w:eastAsia="宋体" w:cs="宋体"/>
          <w:sz w:val="28"/>
          <w:szCs w:val="28"/>
        </w:rPr>
      </w:pPr>
      <w:r>
        <w:rPr>
          <w:rFonts w:hint="eastAsia" w:ascii="宋体" w:hAnsi="宋体" w:eastAsia="宋体" w:cs="宋体"/>
          <w:sz w:val="28"/>
          <w:szCs w:val="28"/>
        </w:rPr>
        <w:t>一、谈判响应函</w:t>
      </w:r>
    </w:p>
    <w:p w14:paraId="3E7B18BF">
      <w:pPr>
        <w:ind w:left="360"/>
        <w:rPr>
          <w:rFonts w:hint="eastAsia" w:ascii="宋体" w:hAnsi="宋体" w:eastAsia="宋体" w:cs="宋体"/>
          <w:sz w:val="28"/>
          <w:szCs w:val="28"/>
        </w:rPr>
      </w:pPr>
    </w:p>
    <w:p w14:paraId="13713068">
      <w:pPr>
        <w:ind w:left="360"/>
        <w:rPr>
          <w:rFonts w:hint="eastAsia" w:ascii="宋体" w:hAnsi="宋体" w:eastAsia="宋体" w:cs="宋体"/>
          <w:sz w:val="28"/>
          <w:szCs w:val="28"/>
        </w:rPr>
      </w:pPr>
      <w:r>
        <w:rPr>
          <w:rFonts w:hint="eastAsia" w:ascii="宋体" w:hAnsi="宋体" w:eastAsia="宋体" w:cs="宋体"/>
          <w:sz w:val="28"/>
          <w:szCs w:val="28"/>
        </w:rPr>
        <w:t>二、法定代表人证明书与授权书</w:t>
      </w:r>
    </w:p>
    <w:p w14:paraId="785AB129">
      <w:pPr>
        <w:ind w:left="360"/>
        <w:rPr>
          <w:rFonts w:hint="eastAsia" w:ascii="宋体" w:hAnsi="宋体" w:eastAsia="宋体" w:cs="宋体"/>
          <w:sz w:val="28"/>
          <w:szCs w:val="28"/>
        </w:rPr>
      </w:pPr>
    </w:p>
    <w:p w14:paraId="4A4B789E">
      <w:pPr>
        <w:ind w:left="360"/>
        <w:rPr>
          <w:rFonts w:hint="eastAsia" w:ascii="宋体" w:hAnsi="宋体" w:eastAsia="宋体" w:cs="宋体"/>
          <w:sz w:val="28"/>
          <w:szCs w:val="28"/>
        </w:rPr>
      </w:pPr>
      <w:r>
        <w:rPr>
          <w:rFonts w:hint="eastAsia" w:ascii="宋体" w:hAnsi="宋体" w:eastAsia="宋体" w:cs="宋体"/>
          <w:sz w:val="28"/>
          <w:szCs w:val="28"/>
        </w:rPr>
        <w:t>三、响应报价表</w:t>
      </w:r>
    </w:p>
    <w:p w14:paraId="4C5F0FA7">
      <w:pPr>
        <w:ind w:left="360"/>
        <w:rPr>
          <w:rFonts w:hint="eastAsia" w:ascii="宋体" w:hAnsi="宋体" w:eastAsia="宋体" w:cs="宋体"/>
          <w:sz w:val="28"/>
          <w:szCs w:val="28"/>
        </w:rPr>
      </w:pPr>
    </w:p>
    <w:p w14:paraId="75E853BB">
      <w:pPr>
        <w:ind w:left="360"/>
        <w:rPr>
          <w:rFonts w:hint="eastAsia" w:ascii="宋体" w:hAnsi="宋体" w:eastAsia="宋体" w:cs="宋体"/>
          <w:sz w:val="28"/>
          <w:szCs w:val="28"/>
        </w:rPr>
      </w:pPr>
      <w:r>
        <w:rPr>
          <w:rFonts w:hint="eastAsia" w:ascii="宋体" w:hAnsi="宋体" w:eastAsia="宋体" w:cs="宋体"/>
          <w:sz w:val="28"/>
          <w:szCs w:val="28"/>
        </w:rPr>
        <w:t>四、商务响应方案</w:t>
      </w:r>
    </w:p>
    <w:p w14:paraId="6CE11382">
      <w:pPr>
        <w:ind w:left="360"/>
        <w:rPr>
          <w:rFonts w:hint="eastAsia" w:ascii="宋体" w:hAnsi="宋体" w:eastAsia="宋体" w:cs="宋体"/>
          <w:sz w:val="28"/>
          <w:szCs w:val="28"/>
        </w:rPr>
      </w:pPr>
    </w:p>
    <w:p w14:paraId="11B655B2">
      <w:pPr>
        <w:ind w:left="360"/>
        <w:rPr>
          <w:rFonts w:hint="eastAsia" w:ascii="宋体" w:hAnsi="宋体" w:eastAsia="宋体" w:cs="宋体"/>
          <w:sz w:val="28"/>
          <w:szCs w:val="28"/>
        </w:rPr>
      </w:pPr>
      <w:r>
        <w:rPr>
          <w:rFonts w:hint="eastAsia" w:ascii="宋体" w:hAnsi="宋体" w:eastAsia="宋体" w:cs="宋体"/>
          <w:sz w:val="28"/>
          <w:szCs w:val="28"/>
        </w:rPr>
        <w:t>五、资格证明文件</w:t>
      </w:r>
    </w:p>
    <w:p w14:paraId="1B023DB2">
      <w:pPr>
        <w:ind w:left="360"/>
        <w:rPr>
          <w:rFonts w:hint="eastAsia" w:ascii="宋体" w:hAnsi="宋体" w:eastAsia="宋体" w:cs="宋体"/>
          <w:sz w:val="28"/>
          <w:szCs w:val="28"/>
        </w:rPr>
      </w:pPr>
    </w:p>
    <w:p w14:paraId="400599B3">
      <w:pPr>
        <w:ind w:left="360"/>
        <w:rPr>
          <w:rFonts w:hint="eastAsia" w:ascii="宋体" w:hAnsi="宋体" w:eastAsia="宋体" w:cs="宋体"/>
          <w:sz w:val="28"/>
          <w:szCs w:val="28"/>
        </w:rPr>
      </w:pPr>
      <w:r>
        <w:rPr>
          <w:rFonts w:hint="eastAsia" w:ascii="宋体" w:hAnsi="宋体" w:eastAsia="宋体" w:cs="宋体"/>
          <w:sz w:val="28"/>
          <w:szCs w:val="28"/>
        </w:rPr>
        <w:t>六、技术服务方案</w:t>
      </w:r>
    </w:p>
    <w:p w14:paraId="31E63F2C">
      <w:pPr>
        <w:ind w:left="360"/>
        <w:rPr>
          <w:rFonts w:hint="eastAsia" w:ascii="宋体" w:hAnsi="宋体" w:eastAsia="宋体" w:cs="宋体"/>
          <w:sz w:val="28"/>
          <w:szCs w:val="28"/>
        </w:rPr>
      </w:pPr>
    </w:p>
    <w:p w14:paraId="691237F9">
      <w:pPr>
        <w:ind w:left="360"/>
        <w:rPr>
          <w:rFonts w:hint="eastAsia" w:ascii="宋体" w:hAnsi="宋体" w:eastAsia="宋体" w:cs="宋体"/>
          <w:sz w:val="28"/>
          <w:szCs w:val="28"/>
        </w:rPr>
      </w:pPr>
      <w:r>
        <w:rPr>
          <w:rFonts w:hint="eastAsia" w:ascii="宋体" w:hAnsi="宋体" w:eastAsia="宋体" w:cs="宋体"/>
          <w:sz w:val="28"/>
          <w:szCs w:val="28"/>
        </w:rPr>
        <w:t>七、供应商承诺</w:t>
      </w:r>
    </w:p>
    <w:p w14:paraId="7AFA461D">
      <w:pPr>
        <w:ind w:left="360"/>
        <w:rPr>
          <w:rFonts w:hint="eastAsia" w:ascii="宋体" w:hAnsi="宋体" w:eastAsia="宋体" w:cs="宋体"/>
          <w:sz w:val="28"/>
          <w:szCs w:val="28"/>
        </w:rPr>
      </w:pPr>
    </w:p>
    <w:p w14:paraId="6E60ADA2">
      <w:pPr>
        <w:ind w:left="360"/>
        <w:rPr>
          <w:rFonts w:hint="eastAsia" w:ascii="宋体" w:hAnsi="宋体" w:eastAsia="宋体" w:cs="宋体"/>
          <w:sz w:val="28"/>
          <w:szCs w:val="28"/>
        </w:rPr>
      </w:pPr>
      <w:r>
        <w:rPr>
          <w:rFonts w:hint="eastAsia" w:ascii="宋体" w:hAnsi="宋体" w:eastAsia="宋体" w:cs="宋体"/>
          <w:sz w:val="28"/>
          <w:szCs w:val="28"/>
        </w:rPr>
        <w:t>八、供应商认为有必要补充说明的事项</w:t>
      </w:r>
    </w:p>
    <w:p w14:paraId="0DF21DA9">
      <w:pPr>
        <w:widowControl/>
        <w:tabs>
          <w:tab w:val="right" w:leader="dot" w:pos="9072"/>
        </w:tabs>
        <w:jc w:val="center"/>
        <w:rPr>
          <w:rFonts w:hint="eastAsia" w:ascii="宋体" w:hAnsi="宋体" w:eastAsia="宋体" w:cs="宋体"/>
          <w:b/>
          <w:kern w:val="0"/>
          <w:sz w:val="24"/>
          <w:szCs w:val="20"/>
        </w:rPr>
      </w:pPr>
      <w:r>
        <w:rPr>
          <w:rFonts w:hint="eastAsia" w:ascii="宋体" w:hAnsi="宋体" w:eastAsia="宋体" w:cs="宋体"/>
          <w:color w:val="000000"/>
          <w:kern w:val="0"/>
          <w:sz w:val="28"/>
          <w:szCs w:val="28"/>
        </w:rPr>
        <w:br w:type="page"/>
      </w:r>
    </w:p>
    <w:p w14:paraId="1C688EF9">
      <w:pPr>
        <w:spacing w:line="366" w:lineRule="exact"/>
        <w:jc w:val="center"/>
        <w:rPr>
          <w:rFonts w:hint="eastAsia" w:ascii="宋体" w:hAnsi="宋体" w:eastAsia="宋体" w:cs="宋体"/>
          <w:b/>
          <w:sz w:val="32"/>
        </w:rPr>
      </w:pPr>
      <w:r>
        <w:rPr>
          <w:rFonts w:hint="eastAsia" w:ascii="宋体" w:hAnsi="宋体" w:eastAsia="宋体" w:cs="宋体"/>
          <w:b/>
          <w:sz w:val="32"/>
        </w:rPr>
        <w:t>一、谈判</w:t>
      </w:r>
      <w:r>
        <w:rPr>
          <w:rFonts w:hint="eastAsia" w:ascii="宋体" w:hAnsi="宋体" w:eastAsia="宋体" w:cs="宋体"/>
          <w:b/>
          <w:sz w:val="32"/>
          <w:szCs w:val="32"/>
        </w:rPr>
        <w:t>响应函</w:t>
      </w:r>
    </w:p>
    <w:p w14:paraId="7241B13C">
      <w:pPr>
        <w:tabs>
          <w:tab w:val="left" w:pos="1260"/>
        </w:tabs>
        <w:spacing w:line="300" w:lineRule="exact"/>
        <w:jc w:val="center"/>
        <w:rPr>
          <w:rFonts w:hint="eastAsia" w:ascii="宋体" w:hAnsi="宋体" w:eastAsia="宋体" w:cs="宋体"/>
          <w:b/>
          <w:sz w:val="32"/>
          <w:szCs w:val="32"/>
          <w:u w:val="single"/>
        </w:rPr>
      </w:pPr>
    </w:p>
    <w:p w14:paraId="5D392F46">
      <w:pPr>
        <w:kinsoku w:val="0"/>
        <w:spacing w:line="500" w:lineRule="exact"/>
        <w:rPr>
          <w:rFonts w:hint="eastAsia" w:ascii="宋体" w:hAnsi="宋体" w:eastAsia="宋体" w:cs="宋体"/>
          <w:sz w:val="24"/>
        </w:rPr>
      </w:pPr>
      <w:r>
        <w:rPr>
          <w:rFonts w:hint="eastAsia" w:ascii="宋体" w:hAnsi="宋体" w:eastAsia="宋体" w:cs="宋体"/>
          <w:spacing w:val="-6"/>
          <w:sz w:val="24"/>
        </w:rPr>
        <w:t>黄陵县政府采购中心</w:t>
      </w:r>
      <w:r>
        <w:rPr>
          <w:rFonts w:hint="eastAsia" w:ascii="宋体" w:hAnsi="宋体" w:eastAsia="宋体" w:cs="宋体"/>
          <w:sz w:val="24"/>
        </w:rPr>
        <w:t>：</w:t>
      </w:r>
    </w:p>
    <w:p w14:paraId="75D78098">
      <w:pPr>
        <w:spacing w:line="560" w:lineRule="exact"/>
        <w:ind w:firstLine="307" w:firstLineChars="128"/>
        <w:rPr>
          <w:rFonts w:hint="eastAsia" w:ascii="宋体" w:hAnsi="宋体" w:eastAsia="宋体" w:cs="宋体"/>
          <w:sz w:val="24"/>
        </w:rPr>
      </w:pPr>
      <w:r>
        <w:rPr>
          <w:rFonts w:hint="eastAsia" w:ascii="宋体" w:hAnsi="宋体" w:eastAsia="宋体" w:cs="宋体"/>
          <w:sz w:val="24"/>
        </w:rPr>
        <w:t>我公司收到贵单位</w:t>
      </w:r>
      <w:r>
        <w:rPr>
          <w:rFonts w:hint="eastAsia" w:ascii="宋体" w:hAnsi="宋体" w:eastAsia="宋体" w:cs="宋体"/>
          <w:sz w:val="24"/>
          <w:u w:val="single"/>
        </w:rPr>
        <w:t xml:space="preserve">        </w:t>
      </w:r>
      <w:r>
        <w:rPr>
          <w:rFonts w:hint="eastAsia" w:ascii="宋体" w:hAnsi="宋体" w:eastAsia="宋体" w:cs="宋体"/>
          <w:sz w:val="24"/>
        </w:rPr>
        <w:t>号谈判文件，经详细研究，决定参加本次谈判活动。为此，我方郑重声明以下几点，并愿负法律责任。</w:t>
      </w:r>
    </w:p>
    <w:p w14:paraId="676D4432">
      <w:pPr>
        <w:spacing w:line="560" w:lineRule="exact"/>
        <w:ind w:firstLine="307" w:firstLineChars="128"/>
        <w:rPr>
          <w:rFonts w:hint="eastAsia" w:ascii="宋体" w:hAnsi="宋体" w:eastAsia="宋体" w:cs="宋体"/>
          <w:sz w:val="24"/>
        </w:rPr>
      </w:pPr>
      <w:r>
        <w:rPr>
          <w:rFonts w:hint="eastAsia" w:ascii="宋体" w:hAnsi="宋体" w:eastAsia="宋体" w:cs="宋体"/>
          <w:sz w:val="24"/>
        </w:rPr>
        <w:t>1．按照谈判文件中的一切要求，提供完全满足采购需求的合格货物和全面技术、售后货物保障。</w:t>
      </w:r>
    </w:p>
    <w:p w14:paraId="65DE3177">
      <w:pPr>
        <w:spacing w:line="560" w:lineRule="exact"/>
        <w:ind w:firstLine="307" w:firstLineChars="128"/>
        <w:rPr>
          <w:rFonts w:hint="eastAsia" w:ascii="宋体" w:hAnsi="宋体" w:eastAsia="宋体" w:cs="宋体"/>
          <w:sz w:val="24"/>
        </w:rPr>
      </w:pPr>
      <w:r>
        <w:rPr>
          <w:rFonts w:hint="eastAsia" w:ascii="宋体" w:hAnsi="宋体" w:eastAsia="宋体" w:cs="宋体"/>
          <w:sz w:val="24"/>
        </w:rPr>
        <w:t>2．如若成交，将根据谈判文件的要求、响应文件及承诺条件，全面签约并履行合同规定的责任和义务。</w:t>
      </w:r>
    </w:p>
    <w:p w14:paraId="181C9360">
      <w:pPr>
        <w:spacing w:line="560" w:lineRule="exact"/>
        <w:ind w:firstLine="307" w:firstLineChars="128"/>
        <w:rPr>
          <w:rFonts w:hint="eastAsia" w:ascii="宋体" w:hAnsi="宋体" w:eastAsia="宋体" w:cs="宋体"/>
          <w:sz w:val="24"/>
        </w:rPr>
      </w:pPr>
      <w:r>
        <w:rPr>
          <w:rFonts w:hint="eastAsia" w:ascii="宋体" w:hAnsi="宋体" w:eastAsia="宋体" w:cs="宋体"/>
          <w:sz w:val="24"/>
        </w:rPr>
        <w:t>3．我方提交的谈判响应文件共</w:t>
      </w:r>
      <w:r>
        <w:rPr>
          <w:rFonts w:hint="eastAsia" w:ascii="宋体" w:hAnsi="宋体" w:eastAsia="宋体" w:cs="宋体"/>
          <w:sz w:val="24"/>
          <w:u w:val="single"/>
        </w:rPr>
        <w:t xml:space="preserve">    </w:t>
      </w:r>
      <w:r>
        <w:rPr>
          <w:rFonts w:hint="eastAsia" w:ascii="宋体" w:hAnsi="宋体" w:eastAsia="宋体" w:cs="宋体"/>
          <w:sz w:val="24"/>
        </w:rPr>
        <w:t>份，其中正本</w:t>
      </w:r>
      <w:r>
        <w:rPr>
          <w:rFonts w:hint="eastAsia" w:ascii="宋体" w:hAnsi="宋体" w:eastAsia="宋体" w:cs="宋体"/>
          <w:sz w:val="24"/>
          <w:u w:val="single"/>
        </w:rPr>
        <w:t xml:space="preserve">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rPr>
        <w:t>份。</w:t>
      </w:r>
    </w:p>
    <w:p w14:paraId="2EC3E501">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．我方已详细阅读和核实谈判文件全部内容，完全理解并同意放弃提出含糊不清和误解问题的权力。</w:t>
      </w:r>
    </w:p>
    <w:p w14:paraId="2C352703">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．同意提供贵方要求的与本次谈判有关的任何证明资料。</w:t>
      </w:r>
    </w:p>
    <w:p w14:paraId="0E267B27">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．我方的谈判响应文件自谈判大会之日计算有效为</w:t>
      </w:r>
      <w:r>
        <w:rPr>
          <w:rFonts w:hint="eastAsia" w:ascii="宋体" w:hAnsi="宋体" w:eastAsia="宋体" w:cs="宋体"/>
          <w:sz w:val="24"/>
          <w:u w:val="single"/>
        </w:rPr>
        <w:t xml:space="preserve">   </w:t>
      </w:r>
      <w:r>
        <w:rPr>
          <w:rFonts w:hint="eastAsia" w:ascii="宋体" w:hAnsi="宋体" w:eastAsia="宋体" w:cs="宋体"/>
          <w:sz w:val="24"/>
        </w:rPr>
        <w:t>个日历日。</w:t>
      </w:r>
    </w:p>
    <w:p w14:paraId="754F5192">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．所有关于本次谈判的函电，请按下列地址、方式联系：</w:t>
      </w:r>
    </w:p>
    <w:p w14:paraId="7EF93609">
      <w:pPr>
        <w:spacing w:line="560" w:lineRule="exact"/>
        <w:ind w:firstLine="307" w:firstLineChars="128"/>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99AFBF8">
      <w:pPr>
        <w:spacing w:line="560" w:lineRule="exact"/>
        <w:ind w:firstLine="307" w:firstLineChars="128"/>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9C126F3">
      <w:pPr>
        <w:spacing w:line="560" w:lineRule="exact"/>
        <w:ind w:firstLine="307" w:firstLineChars="128"/>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1FFE130">
      <w:pPr>
        <w:spacing w:line="560" w:lineRule="exact"/>
        <w:ind w:firstLine="307" w:firstLineChars="128"/>
        <w:rPr>
          <w:rFonts w:hint="eastAsia" w:ascii="宋体" w:hAnsi="宋体" w:eastAsia="宋体" w:cs="宋体"/>
          <w:sz w:val="24"/>
        </w:rPr>
      </w:pPr>
      <w:r>
        <w:rPr>
          <w:rFonts w:hint="eastAsia" w:ascii="宋体" w:hAnsi="宋体" w:eastAsia="宋体" w:cs="宋体"/>
          <w:sz w:val="24"/>
        </w:rPr>
        <w:t>邮    编：</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06ECF05">
      <w:pPr>
        <w:spacing w:line="560" w:lineRule="exact"/>
        <w:ind w:firstLine="307" w:firstLineChars="128"/>
        <w:rPr>
          <w:rFonts w:hint="eastAsia"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u w:val="single"/>
        </w:rPr>
        <w:t xml:space="preserve">                   </w:t>
      </w:r>
      <w:r>
        <w:rPr>
          <w:rFonts w:hint="eastAsia" w:ascii="宋体" w:hAnsi="宋体" w:eastAsia="宋体" w:cs="宋体"/>
          <w:sz w:val="24"/>
        </w:rPr>
        <w:t xml:space="preserve"> （公章）</w:t>
      </w:r>
    </w:p>
    <w:p w14:paraId="1608D1D4">
      <w:pPr>
        <w:spacing w:line="560" w:lineRule="exact"/>
        <w:ind w:firstLine="307" w:firstLineChars="128"/>
        <w:rPr>
          <w:rFonts w:hint="eastAsia" w:ascii="宋体" w:hAnsi="宋体" w:eastAsia="宋体" w:cs="宋体"/>
          <w:sz w:val="24"/>
          <w:u w:val="single"/>
        </w:rPr>
      </w:pPr>
      <w:r>
        <w:rPr>
          <w:rFonts w:hint="eastAsia" w:ascii="宋体" w:hAnsi="宋体" w:eastAsia="宋体" w:cs="宋体"/>
          <w:sz w:val="24"/>
        </w:rPr>
        <w:t xml:space="preserve">法定代表人/被授权人（签字或盖章）：  </w:t>
      </w:r>
      <w:r>
        <w:rPr>
          <w:rFonts w:hint="eastAsia" w:ascii="宋体" w:hAnsi="宋体" w:eastAsia="宋体" w:cs="宋体"/>
          <w:sz w:val="24"/>
          <w:u w:val="single"/>
        </w:rPr>
        <w:t xml:space="preserve">            </w:t>
      </w:r>
    </w:p>
    <w:p w14:paraId="6B6671C7">
      <w:pPr>
        <w:spacing w:line="560" w:lineRule="exact"/>
        <w:ind w:firstLine="307" w:firstLineChars="128"/>
        <w:rPr>
          <w:rFonts w:hint="eastAsia" w:ascii="宋体" w:hAnsi="宋体" w:eastAsia="宋体" w:cs="宋体"/>
          <w:sz w:val="24"/>
        </w:rPr>
      </w:pPr>
      <w:r>
        <w:rPr>
          <w:rFonts w:hint="eastAsia" w:ascii="宋体" w:hAnsi="宋体" w:eastAsia="宋体" w:cs="宋体"/>
          <w:sz w:val="24"/>
        </w:rPr>
        <w:t xml:space="preserve">                                                年   月   日</w:t>
      </w:r>
    </w:p>
    <w:p w14:paraId="5427CF3C">
      <w:pPr>
        <w:overflowPunct w:val="0"/>
        <w:spacing w:line="480" w:lineRule="auto"/>
        <w:ind w:firstLine="480" w:firstLineChars="200"/>
        <w:rPr>
          <w:rFonts w:hint="eastAsia" w:ascii="宋体" w:hAnsi="宋体" w:eastAsia="宋体" w:cs="宋体"/>
          <w:color w:val="000000"/>
          <w:sz w:val="24"/>
        </w:rPr>
      </w:pPr>
    </w:p>
    <w:p w14:paraId="16461906">
      <w:pPr>
        <w:pStyle w:val="26"/>
        <w:tabs>
          <w:tab w:val="right" w:leader="dot" w:pos="9072"/>
        </w:tabs>
        <w:jc w:val="center"/>
        <w:rPr>
          <w:rFonts w:hint="eastAsia" w:ascii="宋体" w:hAnsi="宋体" w:eastAsia="宋体" w:cs="宋体"/>
          <w:b/>
          <w:kern w:val="2"/>
          <w:sz w:val="28"/>
          <w:szCs w:val="28"/>
        </w:rPr>
      </w:pPr>
      <w:r>
        <w:rPr>
          <w:rFonts w:hint="eastAsia" w:ascii="宋体" w:hAnsi="宋体" w:eastAsia="宋体" w:cs="宋体"/>
          <w:sz w:val="32"/>
          <w:szCs w:val="32"/>
        </w:rPr>
        <w:br w:type="page"/>
      </w:r>
      <w:r>
        <w:rPr>
          <w:rFonts w:hint="eastAsia" w:ascii="宋体" w:hAnsi="宋体" w:eastAsia="宋体" w:cs="宋体"/>
          <w:b/>
          <w:kern w:val="2"/>
          <w:sz w:val="32"/>
          <w:szCs w:val="24"/>
        </w:rPr>
        <w:t>二、法定代表人证明书与授权书</w:t>
      </w:r>
    </w:p>
    <w:p w14:paraId="1A3AC80F">
      <w:pPr>
        <w:pStyle w:val="14"/>
        <w:ind w:firstLine="0"/>
        <w:jc w:val="center"/>
        <w:rPr>
          <w:rFonts w:hint="eastAsia" w:ascii="宋体" w:hAnsi="宋体" w:eastAsia="宋体" w:cs="宋体"/>
          <w:bCs/>
          <w:szCs w:val="21"/>
        </w:rPr>
      </w:pPr>
    </w:p>
    <w:p w14:paraId="5C19A8DC">
      <w:pPr>
        <w:pStyle w:val="14"/>
        <w:ind w:firstLine="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法定代表人证明书</w:t>
      </w:r>
    </w:p>
    <w:p w14:paraId="5F6FEFB7">
      <w:pPr>
        <w:spacing w:line="560" w:lineRule="exact"/>
        <w:ind w:firstLine="307" w:firstLineChars="128"/>
        <w:rPr>
          <w:rFonts w:hint="eastAsia" w:ascii="宋体" w:hAnsi="宋体" w:eastAsia="宋体" w:cs="宋体"/>
          <w:color w:val="000000"/>
          <w:sz w:val="24"/>
          <w:u w:val="thick"/>
        </w:rPr>
      </w:pPr>
      <w:r>
        <w:rPr>
          <w:rFonts w:hint="eastAsia" w:ascii="宋体" w:hAnsi="宋体" w:eastAsia="宋体" w:cs="宋体"/>
          <w:sz w:val="24"/>
        </w:rPr>
        <w:t>单位名称：</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644C199E">
      <w:pPr>
        <w:spacing w:line="560" w:lineRule="exact"/>
        <w:ind w:firstLine="307" w:firstLineChars="128"/>
        <w:rPr>
          <w:rFonts w:hint="eastAsia" w:ascii="宋体" w:hAnsi="宋体" w:eastAsia="宋体" w:cs="宋体"/>
          <w:color w:val="000000"/>
          <w:sz w:val="24"/>
        </w:rPr>
      </w:pPr>
      <w:r>
        <w:rPr>
          <w:rFonts w:hint="eastAsia" w:ascii="宋体" w:hAnsi="宋体" w:eastAsia="宋体" w:cs="宋体"/>
          <w:sz w:val="24"/>
        </w:rPr>
        <w:t>单位性质：</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thick"/>
        </w:rPr>
        <w:t>.</w:t>
      </w:r>
    </w:p>
    <w:p w14:paraId="567FAFF1">
      <w:pPr>
        <w:spacing w:line="560" w:lineRule="exact"/>
        <w:ind w:firstLine="307" w:firstLineChars="128"/>
        <w:rPr>
          <w:rFonts w:hint="eastAsia" w:ascii="宋体" w:hAnsi="宋体" w:eastAsia="宋体" w:cs="宋体"/>
          <w:color w:val="000000"/>
          <w:sz w:val="24"/>
          <w:u w:val="thick"/>
        </w:rPr>
      </w:pPr>
      <w:r>
        <w:rPr>
          <w:rFonts w:hint="eastAsia" w:ascii="宋体" w:hAnsi="宋体" w:eastAsia="宋体" w:cs="宋体"/>
          <w:sz w:val="24"/>
        </w:rPr>
        <w:t>地    址：</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thick"/>
        </w:rPr>
        <w:t>.</w:t>
      </w:r>
    </w:p>
    <w:p w14:paraId="7B8D9FD1">
      <w:pPr>
        <w:spacing w:line="560" w:lineRule="exact"/>
        <w:ind w:firstLine="307" w:firstLineChars="128"/>
        <w:rPr>
          <w:rFonts w:hint="eastAsia" w:ascii="宋体" w:hAnsi="宋体" w:eastAsia="宋体" w:cs="宋体"/>
          <w:color w:val="000000"/>
          <w:sz w:val="24"/>
        </w:rPr>
      </w:pPr>
      <w:r>
        <w:rPr>
          <w:rFonts w:hint="eastAsia" w:ascii="宋体" w:hAnsi="宋体" w:eastAsia="宋体" w:cs="宋体"/>
          <w:sz w:val="24"/>
        </w:rPr>
        <w:t>成立时间：</w:t>
      </w:r>
      <w:r>
        <w:rPr>
          <w:rFonts w:hint="eastAsia" w:ascii="宋体" w:hAnsi="宋体" w:eastAsia="宋体" w:cs="宋体"/>
          <w:color w:val="000000"/>
          <w:sz w:val="24"/>
          <w:u w:val="single"/>
        </w:rPr>
        <w:t xml:space="preserve">               </w:t>
      </w:r>
      <w:r>
        <w:rPr>
          <w:rFonts w:hint="eastAsia" w:ascii="宋体" w:hAnsi="宋体" w:eastAsia="宋体" w:cs="宋体"/>
          <w:sz w:val="24"/>
        </w:rPr>
        <w:t>年</w:t>
      </w:r>
      <w:r>
        <w:rPr>
          <w:rFonts w:hint="eastAsia" w:ascii="宋体" w:hAnsi="宋体" w:eastAsia="宋体" w:cs="宋体"/>
          <w:color w:val="000000"/>
          <w:sz w:val="24"/>
          <w:u w:val="single"/>
        </w:rPr>
        <w:t xml:space="preserve">              </w:t>
      </w:r>
      <w:r>
        <w:rPr>
          <w:rFonts w:hint="eastAsia" w:ascii="宋体" w:hAnsi="宋体" w:eastAsia="宋体" w:cs="宋体"/>
          <w:sz w:val="24"/>
        </w:rPr>
        <w:t>月</w:t>
      </w:r>
      <w:r>
        <w:rPr>
          <w:rFonts w:hint="eastAsia" w:ascii="宋体" w:hAnsi="宋体" w:eastAsia="宋体" w:cs="宋体"/>
          <w:color w:val="000000"/>
          <w:sz w:val="24"/>
          <w:u w:val="single"/>
        </w:rPr>
        <w:t xml:space="preserve">                 </w:t>
      </w:r>
      <w:r>
        <w:rPr>
          <w:rFonts w:hint="eastAsia" w:ascii="宋体" w:hAnsi="宋体" w:eastAsia="宋体" w:cs="宋体"/>
          <w:sz w:val="24"/>
        </w:rPr>
        <w:t>日</w:t>
      </w:r>
    </w:p>
    <w:p w14:paraId="03390B04">
      <w:pPr>
        <w:spacing w:line="560" w:lineRule="exact"/>
        <w:ind w:firstLine="307" w:firstLineChars="128"/>
        <w:rPr>
          <w:rFonts w:hint="eastAsia" w:ascii="宋体" w:hAnsi="宋体" w:eastAsia="宋体" w:cs="宋体"/>
          <w:color w:val="000000"/>
          <w:sz w:val="24"/>
        </w:rPr>
      </w:pPr>
      <w:r>
        <w:rPr>
          <w:rFonts w:hint="eastAsia" w:ascii="宋体" w:hAnsi="宋体" w:eastAsia="宋体" w:cs="宋体"/>
          <w:sz w:val="24"/>
        </w:rPr>
        <w:t>经营期限：</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3E68561F">
      <w:pPr>
        <w:spacing w:line="560" w:lineRule="exact"/>
        <w:ind w:firstLine="307" w:firstLineChars="128"/>
        <w:rPr>
          <w:rFonts w:hint="eastAsia" w:ascii="宋体" w:hAnsi="宋体" w:eastAsia="宋体" w:cs="宋体"/>
          <w:color w:val="000000"/>
          <w:sz w:val="24"/>
          <w:u w:val="thick"/>
        </w:rPr>
      </w:pPr>
      <w:r>
        <w:rPr>
          <w:rFonts w:hint="eastAsia" w:ascii="宋体" w:hAnsi="宋体" w:eastAsia="宋体" w:cs="宋体"/>
          <w:sz w:val="24"/>
        </w:rPr>
        <w:t>姓    名</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sz w:val="24"/>
        </w:rPr>
        <w:t>性别：</w:t>
      </w:r>
      <w:r>
        <w:rPr>
          <w:rFonts w:hint="eastAsia" w:ascii="宋体" w:hAnsi="宋体" w:eastAsia="宋体" w:cs="宋体"/>
          <w:color w:val="000000"/>
          <w:sz w:val="24"/>
          <w:u w:val="single"/>
        </w:rPr>
        <w:t xml:space="preserve">        </w:t>
      </w:r>
      <w:r>
        <w:rPr>
          <w:rFonts w:hint="eastAsia" w:ascii="宋体" w:hAnsi="宋体" w:eastAsia="宋体" w:cs="宋体"/>
          <w:sz w:val="24"/>
        </w:rPr>
        <w:t>年龄：</w:t>
      </w:r>
      <w:r>
        <w:rPr>
          <w:rFonts w:hint="eastAsia" w:ascii="宋体" w:hAnsi="宋体" w:eastAsia="宋体" w:cs="宋体"/>
          <w:color w:val="000000"/>
          <w:sz w:val="24"/>
          <w:u w:val="single"/>
        </w:rPr>
        <w:t xml:space="preserve">        </w:t>
      </w:r>
      <w:r>
        <w:rPr>
          <w:rFonts w:hint="eastAsia" w:ascii="宋体" w:hAnsi="宋体" w:eastAsia="宋体" w:cs="宋体"/>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43BCA98C">
      <w:pPr>
        <w:spacing w:line="560" w:lineRule="exact"/>
        <w:ind w:firstLine="240" w:firstLineChars="100"/>
        <w:rPr>
          <w:rFonts w:hint="eastAsia" w:ascii="宋体" w:hAnsi="宋体" w:eastAsia="宋体" w:cs="宋体"/>
          <w:color w:val="000000"/>
          <w:sz w:val="24"/>
          <w:u w:val="thick"/>
        </w:rPr>
      </w:pPr>
      <w:r>
        <w:rPr>
          <w:rFonts w:hint="eastAsia" w:ascii="宋体" w:hAnsi="宋体" w:eastAsia="宋体" w:cs="宋体"/>
          <w:sz w:val="24"/>
        </w:rPr>
        <w:t>系</w:t>
      </w:r>
      <w:r>
        <w:rPr>
          <w:rFonts w:hint="eastAsia" w:ascii="宋体" w:hAnsi="宋体" w:eastAsia="宋体" w:cs="宋体"/>
          <w:color w:val="000000"/>
          <w:sz w:val="24"/>
          <w:u w:val="single"/>
        </w:rPr>
        <w:t xml:space="preserve">                            </w:t>
      </w:r>
      <w:r>
        <w:rPr>
          <w:rFonts w:hint="eastAsia" w:ascii="宋体" w:hAnsi="宋体" w:eastAsia="宋体" w:cs="宋体"/>
          <w:sz w:val="24"/>
        </w:rPr>
        <w:t>的法定代表人。</w:t>
      </w:r>
    </w:p>
    <w:p w14:paraId="37C138E0">
      <w:pPr>
        <w:spacing w:line="560" w:lineRule="exact"/>
        <w:ind w:firstLine="307" w:firstLineChars="128"/>
        <w:rPr>
          <w:rFonts w:hint="eastAsia" w:ascii="宋体" w:hAnsi="宋体" w:eastAsia="宋体" w:cs="宋体"/>
          <w:color w:val="000000"/>
          <w:sz w:val="24"/>
        </w:rPr>
      </w:pPr>
    </w:p>
    <w:p w14:paraId="0AAFBB20">
      <w:pPr>
        <w:spacing w:line="560" w:lineRule="exact"/>
        <w:ind w:firstLine="307" w:firstLineChars="128"/>
        <w:rPr>
          <w:rFonts w:hint="eastAsia" w:ascii="宋体" w:hAnsi="宋体" w:eastAsia="宋体" w:cs="宋体"/>
          <w:sz w:val="24"/>
        </w:rPr>
      </w:pPr>
      <w:r>
        <w:rPr>
          <w:rFonts w:hint="eastAsia" w:ascii="宋体" w:hAnsi="宋体" w:eastAsia="宋体" w:cs="宋体"/>
          <w:sz w:val="24"/>
        </w:rPr>
        <w:t>特此证明。</w:t>
      </w:r>
    </w:p>
    <w:p w14:paraId="12AA749F">
      <w:pPr>
        <w:spacing w:line="560" w:lineRule="exact"/>
        <w:rPr>
          <w:rFonts w:hint="eastAsia" w:ascii="宋体" w:hAnsi="宋体" w:eastAsia="宋体" w:cs="宋体"/>
          <w:color w:val="000000"/>
          <w:sz w:val="24"/>
        </w:rPr>
      </w:pPr>
    </w:p>
    <w:p w14:paraId="3048C1DE">
      <w:pPr>
        <w:pStyle w:val="14"/>
        <w:rPr>
          <w:rFonts w:hint="eastAsia" w:ascii="宋体" w:hAnsi="宋体" w:eastAsia="宋体" w:cs="宋体"/>
        </w:rPr>
      </w:pPr>
    </w:p>
    <w:p w14:paraId="72422DC6">
      <w:pPr>
        <w:spacing w:line="560" w:lineRule="exact"/>
        <w:rPr>
          <w:rFonts w:hint="eastAsia" w:ascii="宋体" w:hAnsi="宋体" w:eastAsia="宋体" w:cs="宋体"/>
          <w:color w:val="000000"/>
          <w:sz w:val="24"/>
        </w:rPr>
      </w:pPr>
    </w:p>
    <w:p w14:paraId="6FE2F3BF">
      <w:pPr>
        <w:autoSpaceDE w:val="0"/>
        <w:autoSpaceDN w:val="0"/>
        <w:adjustRightInd w:val="0"/>
        <w:spacing w:line="480" w:lineRule="auto"/>
        <w:ind w:left="2520" w:leftChars="1200"/>
        <w:rPr>
          <w:rFonts w:hint="eastAsia" w:ascii="宋体" w:hAnsi="宋体" w:eastAsia="宋体" w:cs="宋体"/>
          <w:sz w:val="24"/>
          <w:u w:val="single"/>
          <w:lang w:val="zh-CN"/>
        </w:rPr>
      </w:pPr>
      <w:r>
        <w:rPr>
          <w:rFonts w:hint="eastAsia" w:ascii="宋体" w:hAnsi="宋体" w:eastAsia="宋体" w:cs="宋体"/>
          <w:sz w:val="24"/>
          <w:lang w:val="zh-CN"/>
        </w:rPr>
        <w:t>供</w:t>
      </w:r>
      <w:r>
        <w:rPr>
          <w:rFonts w:hint="eastAsia" w:ascii="宋体" w:hAnsi="宋体" w:eastAsia="宋体" w:cs="宋体"/>
          <w:sz w:val="24"/>
        </w:rPr>
        <w:t xml:space="preserve">   </w:t>
      </w:r>
      <w:r>
        <w:rPr>
          <w:rFonts w:hint="eastAsia" w:ascii="宋体" w:hAnsi="宋体" w:eastAsia="宋体" w:cs="宋体"/>
          <w:sz w:val="24"/>
          <w:lang w:val="zh-CN"/>
        </w:rPr>
        <w:t>应</w:t>
      </w:r>
      <w:r>
        <w:rPr>
          <w:rFonts w:hint="eastAsia" w:ascii="宋体" w:hAnsi="宋体" w:eastAsia="宋体" w:cs="宋体"/>
          <w:sz w:val="24"/>
        </w:rPr>
        <w:t xml:space="preserve">   </w:t>
      </w:r>
      <w:r>
        <w:rPr>
          <w:rFonts w:hint="eastAsia" w:ascii="宋体" w:hAnsi="宋体" w:eastAsia="宋体" w:cs="宋体"/>
          <w:sz w:val="24"/>
          <w:lang w:val="zh-CN"/>
        </w:rPr>
        <w:t>商：</w:t>
      </w:r>
      <w:r>
        <w:rPr>
          <w:rFonts w:hint="eastAsia" w:ascii="宋体" w:hAnsi="宋体" w:eastAsia="宋体" w:cs="宋体"/>
          <w:color w:val="000000"/>
          <w:sz w:val="24"/>
          <w:u w:val="single"/>
        </w:rPr>
        <w:t xml:space="preserve">                             </w:t>
      </w:r>
      <w:r>
        <w:rPr>
          <w:rFonts w:hint="eastAsia" w:ascii="宋体" w:hAnsi="宋体" w:eastAsia="宋体" w:cs="宋体"/>
          <w:sz w:val="24"/>
          <w:lang w:val="zh-CN"/>
        </w:rPr>
        <w:t>（盖单位公章）</w:t>
      </w:r>
    </w:p>
    <w:p w14:paraId="70ADD919">
      <w:pPr>
        <w:autoSpaceDE w:val="0"/>
        <w:autoSpaceDN w:val="0"/>
        <w:adjustRightInd w:val="0"/>
        <w:spacing w:line="480" w:lineRule="auto"/>
        <w:ind w:left="2520" w:leftChars="1200"/>
        <w:rPr>
          <w:rFonts w:hint="eastAsia" w:ascii="宋体" w:hAnsi="宋体" w:eastAsia="宋体" w:cs="宋体"/>
          <w:sz w:val="24"/>
          <w:lang w:val="zh-CN"/>
        </w:rPr>
      </w:pPr>
      <w:r>
        <w:rPr>
          <w:rFonts w:hint="eastAsia" w:ascii="宋体" w:hAnsi="宋体" w:eastAsia="宋体" w:cs="宋体"/>
          <w:sz w:val="24"/>
          <w:lang w:val="zh-CN"/>
        </w:rPr>
        <w:t>法定代表人：</w:t>
      </w:r>
      <w:r>
        <w:rPr>
          <w:rFonts w:hint="eastAsia" w:ascii="宋体" w:hAnsi="宋体" w:eastAsia="宋体" w:cs="宋体"/>
          <w:color w:val="000000"/>
          <w:sz w:val="24"/>
          <w:u w:val="single"/>
        </w:rPr>
        <w:t xml:space="preserve">                  </w:t>
      </w:r>
      <w:r>
        <w:rPr>
          <w:rFonts w:hint="eastAsia" w:ascii="宋体" w:hAnsi="宋体" w:eastAsia="宋体" w:cs="宋体"/>
          <w:sz w:val="24"/>
          <w:lang w:val="zh-CN"/>
        </w:rPr>
        <w:t>（签字</w:t>
      </w:r>
      <w:r>
        <w:rPr>
          <w:rFonts w:hint="eastAsia" w:ascii="宋体" w:hAnsi="宋体" w:eastAsia="宋体" w:cs="宋体"/>
          <w:sz w:val="24"/>
        </w:rPr>
        <w:t>或</w:t>
      </w:r>
      <w:r>
        <w:rPr>
          <w:rFonts w:hint="eastAsia" w:ascii="宋体" w:hAnsi="宋体" w:eastAsia="宋体" w:cs="宋体"/>
          <w:sz w:val="24"/>
          <w:lang w:val="zh-CN"/>
        </w:rPr>
        <w:t>盖章）</w:t>
      </w:r>
    </w:p>
    <w:p w14:paraId="586E97E1">
      <w:pPr>
        <w:spacing w:line="480" w:lineRule="auto"/>
        <w:ind w:left="2520" w:leftChars="1200"/>
        <w:rPr>
          <w:rFonts w:hint="eastAsia" w:ascii="宋体" w:hAnsi="宋体" w:eastAsia="宋体" w:cs="宋体"/>
          <w:sz w:val="28"/>
          <w:szCs w:val="28"/>
        </w:rPr>
      </w:pPr>
      <w:r>
        <w:rPr>
          <w:rFonts w:hint="eastAsia" w:ascii="宋体" w:hAnsi="宋体" w:eastAsia="宋体" w:cs="宋体"/>
          <w:sz w:val="24"/>
          <w:lang w:val="zh-CN"/>
        </w:rPr>
        <w:t xml:space="preserve">日      </w:t>
      </w:r>
      <w:r>
        <w:rPr>
          <w:rFonts w:hint="eastAsia" w:ascii="宋体" w:hAnsi="宋体" w:eastAsia="宋体" w:cs="宋体"/>
          <w:sz w:val="24"/>
        </w:rPr>
        <w:t xml:space="preserve"> </w:t>
      </w:r>
      <w:r>
        <w:rPr>
          <w:rFonts w:hint="eastAsia" w:ascii="宋体" w:hAnsi="宋体" w:eastAsia="宋体" w:cs="宋体"/>
          <w:sz w:val="24"/>
          <w:lang w:val="zh-CN"/>
        </w:rPr>
        <w:t xml:space="preserve"> 期：</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p>
    <w:p w14:paraId="6CDA13B6">
      <w:pPr>
        <w:pStyle w:val="27"/>
        <w:jc w:val="right"/>
        <w:rPr>
          <w:rFonts w:hint="eastAsia" w:ascii="宋体" w:hAnsi="宋体" w:eastAsia="宋体" w:cs="宋体"/>
          <w:bCs/>
          <w:color w:val="000000"/>
          <w:sz w:val="32"/>
          <w:szCs w:val="32"/>
        </w:rPr>
        <w:sectPr>
          <w:pgSz w:w="11905" w:h="16837"/>
          <w:pgMar w:top="1712" w:right="1418" w:bottom="1712" w:left="1418" w:header="851" w:footer="1247" w:gutter="0"/>
          <w:cols w:space="720" w:num="1"/>
          <w:docGrid w:linePitch="312" w:charSpace="0"/>
        </w:sectPr>
      </w:pPr>
    </w:p>
    <w:p w14:paraId="24CE99D1">
      <w:pPr>
        <w:tabs>
          <w:tab w:val="left" w:pos="210"/>
        </w:tabs>
        <w:spacing w:line="320" w:lineRule="exact"/>
        <w:jc w:val="center"/>
        <w:rPr>
          <w:rFonts w:hint="eastAsia" w:ascii="宋体" w:hAnsi="宋体" w:eastAsia="宋体" w:cs="宋体"/>
          <w:b/>
          <w:color w:val="000000"/>
          <w:kern w:val="0"/>
          <w:sz w:val="32"/>
          <w:szCs w:val="32"/>
        </w:rPr>
      </w:pPr>
      <w:bookmarkStart w:id="16" w:name="_Toc17330_WPSOffice_Level1"/>
      <w:r>
        <w:rPr>
          <w:rFonts w:hint="eastAsia" w:ascii="宋体" w:hAnsi="宋体" w:eastAsia="宋体" w:cs="宋体"/>
          <w:b/>
          <w:color w:val="000000"/>
          <w:kern w:val="0"/>
          <w:sz w:val="32"/>
          <w:szCs w:val="32"/>
        </w:rPr>
        <w:t>法定代表人授权书</w:t>
      </w:r>
    </w:p>
    <w:p w14:paraId="24EF9CA7">
      <w:pPr>
        <w:pStyle w:val="8"/>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黄陵县政府采购中心：</w:t>
      </w:r>
    </w:p>
    <w:p w14:paraId="17596F36">
      <w:pPr>
        <w:pStyle w:val="8"/>
        <w:spacing w:line="50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本授权书声明：注册于（</w:t>
      </w:r>
      <w:r>
        <w:rPr>
          <w:rFonts w:hint="eastAsia" w:ascii="宋体" w:hAnsi="宋体" w:eastAsia="宋体" w:cs="宋体"/>
          <w:color w:val="000000"/>
          <w:sz w:val="24"/>
          <w:szCs w:val="24"/>
          <w:u w:val="single"/>
        </w:rPr>
        <w:t xml:space="preserve"> 工商行政管理局名称）之（委托单位全称） </w:t>
      </w:r>
      <w:r>
        <w:rPr>
          <w:rFonts w:hint="eastAsia" w:ascii="宋体" w:hAnsi="宋体" w:eastAsia="宋体" w:cs="宋体"/>
          <w:color w:val="000000"/>
          <w:sz w:val="24"/>
          <w:szCs w:val="24"/>
        </w:rPr>
        <w:t>的法定代表人</w:t>
      </w:r>
      <w:r>
        <w:rPr>
          <w:rFonts w:hint="eastAsia" w:ascii="宋体" w:hAnsi="宋体" w:eastAsia="宋体" w:cs="宋体"/>
          <w:color w:val="000000"/>
          <w:sz w:val="24"/>
          <w:szCs w:val="24"/>
          <w:u w:val="single"/>
        </w:rPr>
        <w:t>（姓名、性别、职务）</w:t>
      </w:r>
      <w:r>
        <w:rPr>
          <w:rFonts w:hint="eastAsia" w:ascii="宋体" w:hAnsi="宋体" w:eastAsia="宋体" w:cs="宋体"/>
          <w:color w:val="000000"/>
          <w:sz w:val="24"/>
          <w:szCs w:val="24"/>
        </w:rPr>
        <w:t>授权本公司的</w:t>
      </w:r>
      <w:r>
        <w:rPr>
          <w:rFonts w:hint="eastAsia" w:ascii="宋体" w:hAnsi="宋体" w:eastAsia="宋体" w:cs="宋体"/>
          <w:color w:val="000000"/>
          <w:sz w:val="24"/>
          <w:szCs w:val="24"/>
          <w:u w:val="single"/>
        </w:rPr>
        <w:t>（被授权人姓名、性别、职务）</w:t>
      </w:r>
      <w:r>
        <w:rPr>
          <w:rFonts w:hint="eastAsia" w:ascii="宋体" w:hAnsi="宋体" w:eastAsia="宋体" w:cs="宋体"/>
          <w:color w:val="000000"/>
          <w:sz w:val="24"/>
          <w:szCs w:val="24"/>
        </w:rPr>
        <w:t>为合法代理人，就贵方组织的有关</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rPr>
        <w:t>谈判</w:t>
      </w:r>
      <w:r>
        <w:rPr>
          <w:rFonts w:hint="eastAsia" w:ascii="宋体" w:hAnsi="宋体" w:eastAsia="宋体" w:cs="宋体"/>
          <w:color w:val="000000"/>
          <w:sz w:val="24"/>
          <w:szCs w:val="24"/>
        </w:rPr>
        <w:t>、洽谈、执行等具体事务，签署全部有关文件、文书、协议、合同，本公司对被授权人在本项目中的签名承担全部法律责任。本授权书自</w:t>
      </w:r>
      <w:r>
        <w:rPr>
          <w:rFonts w:hint="eastAsia" w:ascii="宋体" w:hAnsi="宋体" w:eastAsia="宋体" w:cs="宋体"/>
          <w:color w:val="000000"/>
          <w:sz w:val="24"/>
        </w:rPr>
        <w:t>谈判</w:t>
      </w:r>
      <w:r>
        <w:rPr>
          <w:rFonts w:hint="eastAsia" w:ascii="宋体" w:hAnsi="宋体" w:eastAsia="宋体" w:cs="宋体"/>
          <w:color w:val="000000"/>
          <w:sz w:val="24"/>
          <w:szCs w:val="24"/>
        </w:rPr>
        <w:t>大会之日起计算有效期为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w:t>
      </w:r>
    </w:p>
    <w:p w14:paraId="5D0C3B77">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委托单位（公章）：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法定代表人（签字或盖章）：</w:t>
      </w:r>
    </w:p>
    <w:p w14:paraId="39521DB2">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签发日期：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E4A0ADC">
      <w:pPr>
        <w:rPr>
          <w:rFonts w:hint="eastAsia" w:ascii="宋体" w:hAnsi="宋体" w:eastAsia="宋体" w:cs="宋体"/>
        </w:rPr>
      </w:pPr>
      <w:r>
        <w:rPr>
          <w:rFonts w:hint="eastAsia" w:ascii="宋体" w:hAnsi="宋体" w:eastAsia="宋体" w:cs="宋体"/>
        </w:rPr>
        <w:t xml:space="preserve"> </w:t>
      </w:r>
    </w:p>
    <w:p w14:paraId="198F618E">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2C9E50F0">
      <w:pPr>
        <w:pStyle w:val="8"/>
        <w:spacing w:line="500" w:lineRule="exact"/>
        <w:ind w:firstLine="960" w:firstLineChars="4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联系地址：</w:t>
      </w:r>
      <w:r>
        <w:rPr>
          <w:rFonts w:hint="eastAsia" w:ascii="宋体" w:hAnsi="宋体" w:eastAsia="宋体" w:cs="宋体"/>
          <w:color w:val="000000"/>
          <w:sz w:val="24"/>
          <w:szCs w:val="24"/>
          <w:u w:val="single"/>
        </w:rPr>
        <w:t xml:space="preserve">                                                      </w:t>
      </w:r>
    </w:p>
    <w:p w14:paraId="5093E48C">
      <w:pPr>
        <w:pStyle w:val="8"/>
        <w:spacing w:line="500" w:lineRule="exact"/>
        <w:ind w:firstLine="960" w:firstLineChars="4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14:paraId="54B3B523">
      <w:pPr>
        <w:pStyle w:val="8"/>
        <w:spacing w:line="500" w:lineRule="exact"/>
        <w:ind w:firstLine="2760" w:firstLineChars="1150"/>
        <w:rPr>
          <w:rFonts w:hint="eastAsia" w:ascii="宋体" w:hAnsi="宋体" w:eastAsia="宋体" w:cs="宋体"/>
          <w:color w:val="000000"/>
          <w:sz w:val="24"/>
          <w:szCs w:val="24"/>
        </w:rPr>
      </w:pPr>
      <w:r>
        <w:rPr>
          <w:rFonts w:hint="eastAsia" w:ascii="宋体" w:hAnsi="宋体" w:eastAsia="宋体" w:cs="宋体"/>
          <w:sz w:val="24"/>
        </w:rPr>
        <w:t>法定代表人</w:t>
      </w:r>
      <w:r>
        <w:rPr>
          <w:rFonts w:hint="eastAsia" w:ascii="宋体" w:hAnsi="宋体" w:eastAsia="宋体" w:cs="宋体"/>
          <w:color w:val="000000"/>
          <w:sz w:val="24"/>
          <w:szCs w:val="24"/>
        </w:rPr>
        <w:t>/被授权人身份证正反面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644"/>
        <w:gridCol w:w="4644"/>
      </w:tblGrid>
      <w:tr w14:paraId="6C80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644" w:type="dxa"/>
            <w:shd w:val="clear" w:color="auto" w:fill="E0E0E0"/>
            <w:vAlign w:val="center"/>
          </w:tcPr>
          <w:p w14:paraId="0D38D73C">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法定代表人身份证</w:t>
            </w:r>
          </w:p>
        </w:tc>
        <w:tc>
          <w:tcPr>
            <w:tcW w:w="4644" w:type="dxa"/>
            <w:shd w:val="clear" w:color="auto" w:fill="E0E0E0"/>
            <w:vAlign w:val="center"/>
          </w:tcPr>
          <w:p w14:paraId="58A5D244">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被授权人身份证</w:t>
            </w:r>
          </w:p>
        </w:tc>
      </w:tr>
      <w:tr w14:paraId="02E6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92" w:hRule="atLeast"/>
          <w:jc w:val="center"/>
        </w:trPr>
        <w:tc>
          <w:tcPr>
            <w:tcW w:w="4644" w:type="dxa"/>
            <w:shd w:val="clear" w:color="auto" w:fill="E0E0E0"/>
            <w:vAlign w:val="center"/>
          </w:tcPr>
          <w:p w14:paraId="140CB517">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法定代表人身份证</w:t>
            </w:r>
          </w:p>
        </w:tc>
        <w:tc>
          <w:tcPr>
            <w:tcW w:w="4644" w:type="dxa"/>
            <w:shd w:val="clear" w:color="auto" w:fill="E0E0E0"/>
            <w:vAlign w:val="center"/>
          </w:tcPr>
          <w:p w14:paraId="468BF943">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被授权人身份证</w:t>
            </w:r>
          </w:p>
        </w:tc>
      </w:tr>
    </w:tbl>
    <w:p w14:paraId="5CACCC37">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说明：授权书内容填写要明确，文字要工整清楚，涂改无效。</w:t>
      </w:r>
    </w:p>
    <w:p w14:paraId="6C2337A4">
      <w:pPr>
        <w:snapToGrid w:val="0"/>
        <w:spacing w:line="500" w:lineRule="exact"/>
        <w:jc w:val="center"/>
        <w:rPr>
          <w:rFonts w:hint="eastAsia" w:ascii="宋体" w:hAnsi="宋体" w:eastAsia="宋体" w:cs="宋体"/>
          <w:b/>
          <w:sz w:val="32"/>
          <w:szCs w:val="32"/>
        </w:rPr>
      </w:pPr>
    </w:p>
    <w:p w14:paraId="1E1A815F">
      <w:pPr>
        <w:spacing w:line="366" w:lineRule="exact"/>
        <w:jc w:val="center"/>
        <w:rPr>
          <w:rFonts w:hint="eastAsia" w:ascii="宋体" w:hAnsi="宋体" w:eastAsia="宋体" w:cs="宋体"/>
          <w:b/>
          <w:sz w:val="32"/>
        </w:rPr>
      </w:pPr>
      <w:r>
        <w:rPr>
          <w:rFonts w:hint="eastAsia" w:ascii="宋体" w:hAnsi="宋体" w:eastAsia="宋体" w:cs="宋体"/>
          <w:b/>
          <w:sz w:val="32"/>
        </w:rPr>
        <w:t>三、响应报价表</w:t>
      </w:r>
      <w:bookmarkEnd w:id="16"/>
    </w:p>
    <w:p w14:paraId="79E1D779">
      <w:pPr>
        <w:tabs>
          <w:tab w:val="left" w:pos="7920"/>
        </w:tabs>
        <w:jc w:val="center"/>
        <w:rPr>
          <w:rFonts w:hint="eastAsia" w:ascii="宋体" w:hAnsi="宋体" w:eastAsia="宋体" w:cs="宋体"/>
          <w:sz w:val="24"/>
        </w:rPr>
      </w:pPr>
      <w:r>
        <w:rPr>
          <w:rFonts w:hint="eastAsia" w:ascii="宋体" w:hAnsi="宋体" w:eastAsia="宋体" w:cs="宋体"/>
          <w:sz w:val="24"/>
        </w:rPr>
        <w:t xml:space="preserve"> </w:t>
      </w:r>
    </w:p>
    <w:p w14:paraId="68144579">
      <w:pPr>
        <w:tabs>
          <w:tab w:val="left" w:pos="7920"/>
        </w:tabs>
        <w:jc w:val="center"/>
        <w:rPr>
          <w:rFonts w:hint="eastAsia" w:ascii="宋体" w:hAnsi="宋体" w:eastAsia="宋体" w:cs="宋体"/>
          <w:b/>
          <w:bCs/>
          <w:sz w:val="32"/>
          <w:szCs w:val="44"/>
        </w:rPr>
      </w:pPr>
      <w:r>
        <w:rPr>
          <w:rFonts w:hint="eastAsia" w:ascii="宋体" w:hAnsi="宋体" w:eastAsia="宋体" w:cs="宋体"/>
          <w:sz w:val="24"/>
        </w:rPr>
        <w:t xml:space="preserve">   </w:t>
      </w:r>
      <w:r>
        <w:rPr>
          <w:rFonts w:hint="eastAsia" w:ascii="宋体" w:hAnsi="宋体" w:eastAsia="宋体" w:cs="宋体"/>
          <w:b/>
          <w:bCs/>
          <w:sz w:val="32"/>
          <w:szCs w:val="44"/>
        </w:rPr>
        <w:t>3.1响应报价总表</w:t>
      </w:r>
    </w:p>
    <w:tbl>
      <w:tblPr>
        <w:tblStyle w:val="16"/>
        <w:tblpPr w:leftFromText="181" w:rightFromText="181" w:vertAnchor="text" w:horzAnchor="page" w:tblpXSpec="center" w:tblpY="461"/>
        <w:tblOverlap w:val="neve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65"/>
      </w:tblGrid>
      <w:tr w14:paraId="4DC9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935" w:type="dxa"/>
            <w:vAlign w:val="center"/>
          </w:tcPr>
          <w:p w14:paraId="6CBA315C">
            <w:pPr>
              <w:ind w:left="1320" w:hanging="1320" w:hangingChars="500"/>
              <w:jc w:val="center"/>
              <w:rPr>
                <w:rFonts w:hint="eastAsia" w:ascii="宋体" w:hAnsi="宋体" w:eastAsia="宋体" w:cs="宋体"/>
                <w:spacing w:val="12"/>
                <w:sz w:val="24"/>
              </w:rPr>
            </w:pPr>
            <w:r>
              <w:rPr>
                <w:rFonts w:hint="eastAsia" w:ascii="宋体" w:hAnsi="宋体" w:eastAsia="宋体" w:cs="宋体"/>
                <w:spacing w:val="12"/>
                <w:sz w:val="24"/>
              </w:rPr>
              <w:t>项目名称</w:t>
            </w:r>
          </w:p>
        </w:tc>
        <w:tc>
          <w:tcPr>
            <w:tcW w:w="7065" w:type="dxa"/>
            <w:vAlign w:val="center"/>
          </w:tcPr>
          <w:p w14:paraId="3E0480AC">
            <w:pPr>
              <w:rPr>
                <w:rFonts w:hint="eastAsia" w:ascii="宋体" w:hAnsi="宋体" w:eastAsia="宋体" w:cs="宋体"/>
                <w:sz w:val="24"/>
              </w:rPr>
            </w:pPr>
          </w:p>
        </w:tc>
      </w:tr>
      <w:tr w14:paraId="2F2F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35" w:type="dxa"/>
            <w:vAlign w:val="center"/>
          </w:tcPr>
          <w:p w14:paraId="35717E47">
            <w:pPr>
              <w:jc w:val="center"/>
              <w:rPr>
                <w:rFonts w:hint="eastAsia" w:ascii="宋体" w:hAnsi="宋体" w:eastAsia="宋体" w:cs="宋体"/>
                <w:spacing w:val="12"/>
                <w:sz w:val="24"/>
              </w:rPr>
            </w:pPr>
            <w:r>
              <w:rPr>
                <w:rFonts w:hint="eastAsia" w:ascii="宋体" w:hAnsi="宋体" w:eastAsia="宋体" w:cs="宋体"/>
                <w:spacing w:val="12"/>
                <w:sz w:val="24"/>
              </w:rPr>
              <w:t>供应商名称</w:t>
            </w:r>
          </w:p>
        </w:tc>
        <w:tc>
          <w:tcPr>
            <w:tcW w:w="7065" w:type="dxa"/>
            <w:vAlign w:val="center"/>
          </w:tcPr>
          <w:p w14:paraId="5E063518">
            <w:pPr>
              <w:rPr>
                <w:rFonts w:hint="eastAsia" w:ascii="宋体" w:hAnsi="宋体" w:eastAsia="宋体" w:cs="宋体"/>
                <w:spacing w:val="12"/>
                <w:sz w:val="24"/>
              </w:rPr>
            </w:pPr>
          </w:p>
        </w:tc>
      </w:tr>
      <w:tr w14:paraId="5804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1935" w:type="dxa"/>
            <w:vAlign w:val="center"/>
          </w:tcPr>
          <w:p w14:paraId="57300248">
            <w:pPr>
              <w:jc w:val="center"/>
              <w:rPr>
                <w:rFonts w:hint="eastAsia" w:ascii="宋体" w:hAnsi="宋体" w:eastAsia="宋体" w:cs="宋体"/>
                <w:spacing w:val="12"/>
                <w:sz w:val="24"/>
              </w:rPr>
            </w:pPr>
            <w:r>
              <w:rPr>
                <w:rFonts w:hint="eastAsia" w:ascii="宋体" w:hAnsi="宋体" w:eastAsia="宋体" w:cs="宋体"/>
                <w:spacing w:val="12"/>
                <w:sz w:val="24"/>
              </w:rPr>
              <w:t>报价(小写元)</w:t>
            </w:r>
          </w:p>
        </w:tc>
        <w:tc>
          <w:tcPr>
            <w:tcW w:w="7065" w:type="dxa"/>
            <w:vAlign w:val="center"/>
          </w:tcPr>
          <w:p w14:paraId="67D4566D">
            <w:pPr>
              <w:rPr>
                <w:rFonts w:hint="eastAsia" w:ascii="宋体" w:hAnsi="宋体" w:eastAsia="宋体" w:cs="宋体"/>
                <w:spacing w:val="12"/>
                <w:sz w:val="24"/>
              </w:rPr>
            </w:pPr>
          </w:p>
        </w:tc>
      </w:tr>
      <w:tr w14:paraId="6071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vAlign w:val="center"/>
          </w:tcPr>
          <w:p w14:paraId="3F70D622">
            <w:pPr>
              <w:jc w:val="center"/>
              <w:rPr>
                <w:rFonts w:hint="eastAsia" w:ascii="宋体" w:hAnsi="宋体" w:eastAsia="宋体" w:cs="宋体"/>
                <w:spacing w:val="12"/>
                <w:sz w:val="24"/>
              </w:rPr>
            </w:pPr>
            <w:r>
              <w:rPr>
                <w:rFonts w:hint="eastAsia" w:ascii="宋体" w:hAnsi="宋体" w:eastAsia="宋体" w:cs="宋体"/>
                <w:spacing w:val="12"/>
                <w:sz w:val="24"/>
              </w:rPr>
              <w:t>报价(大写元)</w:t>
            </w:r>
          </w:p>
        </w:tc>
        <w:tc>
          <w:tcPr>
            <w:tcW w:w="7065" w:type="dxa"/>
            <w:vAlign w:val="center"/>
          </w:tcPr>
          <w:p w14:paraId="66D3A519">
            <w:pPr>
              <w:rPr>
                <w:rFonts w:hint="eastAsia" w:ascii="宋体" w:hAnsi="宋体" w:eastAsia="宋体" w:cs="宋体"/>
                <w:spacing w:val="12"/>
                <w:sz w:val="24"/>
              </w:rPr>
            </w:pPr>
          </w:p>
        </w:tc>
      </w:tr>
      <w:tr w14:paraId="20AE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935" w:type="dxa"/>
            <w:vAlign w:val="center"/>
          </w:tcPr>
          <w:p w14:paraId="03F7D888">
            <w:pPr>
              <w:jc w:val="center"/>
              <w:rPr>
                <w:rFonts w:hint="eastAsia" w:ascii="宋体" w:hAnsi="宋体" w:eastAsia="宋体" w:cs="宋体"/>
                <w:spacing w:val="12"/>
                <w:sz w:val="24"/>
              </w:rPr>
            </w:pPr>
            <w:r>
              <w:rPr>
                <w:rFonts w:hint="eastAsia" w:ascii="宋体" w:hAnsi="宋体" w:eastAsia="宋体" w:cs="宋体"/>
                <w:spacing w:val="12"/>
                <w:sz w:val="24"/>
              </w:rPr>
              <w:t>供货期</w:t>
            </w:r>
          </w:p>
        </w:tc>
        <w:tc>
          <w:tcPr>
            <w:tcW w:w="7065" w:type="dxa"/>
            <w:vAlign w:val="center"/>
          </w:tcPr>
          <w:p w14:paraId="563A968C">
            <w:pPr>
              <w:rPr>
                <w:rFonts w:hint="eastAsia" w:ascii="宋体" w:hAnsi="宋体" w:eastAsia="宋体" w:cs="宋体"/>
                <w:spacing w:val="12"/>
                <w:sz w:val="24"/>
              </w:rPr>
            </w:pPr>
          </w:p>
        </w:tc>
      </w:tr>
      <w:tr w14:paraId="291C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vAlign w:val="center"/>
          </w:tcPr>
          <w:p w14:paraId="5BE96037">
            <w:pPr>
              <w:jc w:val="center"/>
              <w:rPr>
                <w:rFonts w:hint="eastAsia" w:ascii="宋体" w:hAnsi="宋体" w:eastAsia="宋体" w:cs="宋体"/>
                <w:spacing w:val="12"/>
                <w:sz w:val="24"/>
              </w:rPr>
            </w:pPr>
            <w:r>
              <w:rPr>
                <w:rFonts w:hint="eastAsia" w:ascii="宋体" w:hAnsi="宋体" w:eastAsia="宋体" w:cs="宋体"/>
                <w:spacing w:val="12"/>
                <w:sz w:val="24"/>
              </w:rPr>
              <w:t>质保期</w:t>
            </w:r>
          </w:p>
        </w:tc>
        <w:tc>
          <w:tcPr>
            <w:tcW w:w="7065" w:type="dxa"/>
            <w:vAlign w:val="center"/>
          </w:tcPr>
          <w:p w14:paraId="231CF62C">
            <w:pPr>
              <w:rPr>
                <w:rFonts w:hint="eastAsia" w:ascii="宋体" w:hAnsi="宋体" w:eastAsia="宋体" w:cs="宋体"/>
                <w:spacing w:val="12"/>
                <w:sz w:val="24"/>
              </w:rPr>
            </w:pPr>
          </w:p>
        </w:tc>
      </w:tr>
      <w:tr w14:paraId="275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97" w:hRule="atLeast"/>
          <w:jc w:val="center"/>
        </w:trPr>
        <w:tc>
          <w:tcPr>
            <w:tcW w:w="1935" w:type="dxa"/>
            <w:textDirection w:val="tbRlV"/>
            <w:vAlign w:val="center"/>
          </w:tcPr>
          <w:p w14:paraId="502A1129">
            <w:pPr>
              <w:spacing w:before="558" w:beforeLines="179" w:after="517" w:afterLines="166"/>
              <w:ind w:right="113"/>
              <w:jc w:val="center"/>
              <w:rPr>
                <w:rFonts w:hint="eastAsia" w:ascii="宋体" w:hAnsi="宋体" w:eastAsia="宋体" w:cs="宋体"/>
                <w:spacing w:val="12"/>
                <w:sz w:val="24"/>
              </w:rPr>
            </w:pPr>
            <w:r>
              <w:rPr>
                <w:rFonts w:hint="eastAsia" w:ascii="宋体" w:hAnsi="宋体" w:eastAsia="宋体" w:cs="宋体"/>
                <w:spacing w:val="12"/>
                <w:sz w:val="24"/>
              </w:rPr>
              <w:t>说   明</w:t>
            </w:r>
          </w:p>
        </w:tc>
        <w:tc>
          <w:tcPr>
            <w:tcW w:w="7065" w:type="dxa"/>
          </w:tcPr>
          <w:p w14:paraId="78E13E3D">
            <w:pPr>
              <w:spacing w:line="360" w:lineRule="auto"/>
              <w:ind w:left="5250"/>
              <w:rPr>
                <w:rFonts w:hint="eastAsia" w:ascii="宋体" w:hAnsi="宋体" w:eastAsia="宋体" w:cs="宋体"/>
                <w:bCs/>
                <w:spacing w:val="12"/>
                <w:sz w:val="24"/>
                <w:szCs w:val="20"/>
              </w:rPr>
            </w:pPr>
          </w:p>
          <w:p w14:paraId="741D9D06">
            <w:pPr>
              <w:rPr>
                <w:rFonts w:hint="eastAsia" w:ascii="宋体" w:hAnsi="宋体" w:eastAsia="宋体" w:cs="宋体"/>
                <w:spacing w:val="12"/>
                <w:sz w:val="24"/>
              </w:rPr>
            </w:pPr>
          </w:p>
          <w:p w14:paraId="2F1DDA8E">
            <w:pPr>
              <w:rPr>
                <w:rFonts w:hint="eastAsia" w:ascii="宋体" w:hAnsi="宋体" w:eastAsia="宋体" w:cs="宋体"/>
                <w:spacing w:val="12"/>
                <w:sz w:val="24"/>
              </w:rPr>
            </w:pPr>
          </w:p>
        </w:tc>
      </w:tr>
    </w:tbl>
    <w:p w14:paraId="31BABD16">
      <w:pPr>
        <w:snapToGrid w:val="0"/>
        <w:spacing w:line="500" w:lineRule="exact"/>
        <w:rPr>
          <w:rFonts w:hint="eastAsia" w:ascii="宋体" w:hAnsi="宋体" w:eastAsia="宋体" w:cs="宋体"/>
          <w:b/>
          <w:bCs/>
          <w:sz w:val="24"/>
        </w:rPr>
      </w:pPr>
      <w:r>
        <w:rPr>
          <w:rFonts w:hint="eastAsia" w:ascii="宋体" w:hAnsi="宋体" w:eastAsia="宋体" w:cs="宋体"/>
          <w:sz w:val="24"/>
        </w:rPr>
        <w:t>供应商（公章）：             法定代表人/被授权人（签字或盖章）：</w:t>
      </w:r>
    </w:p>
    <w:p w14:paraId="63F4CA09">
      <w:pPr>
        <w:snapToGrid w:val="0"/>
        <w:spacing w:line="500" w:lineRule="exact"/>
        <w:ind w:firstLine="723" w:firstLineChars="300"/>
        <w:rPr>
          <w:rFonts w:hint="eastAsia" w:ascii="宋体" w:hAnsi="宋体" w:eastAsia="宋体" w:cs="宋体"/>
          <w:b/>
          <w:bCs/>
          <w:sz w:val="24"/>
        </w:rPr>
      </w:pPr>
      <w:r>
        <w:rPr>
          <w:rFonts w:hint="eastAsia" w:ascii="宋体" w:hAnsi="宋体" w:eastAsia="宋体" w:cs="宋体"/>
          <w:b/>
          <w:bCs/>
          <w:sz w:val="24"/>
        </w:rPr>
        <w:t>注：</w:t>
      </w:r>
    </w:p>
    <w:p w14:paraId="40F79B54">
      <w:pPr>
        <w:numPr>
          <w:ilvl w:val="0"/>
          <w:numId w:val="6"/>
        </w:numPr>
        <w:snapToGrid w:val="0"/>
        <w:spacing w:line="500" w:lineRule="exact"/>
        <w:ind w:firstLine="630" w:firstLineChars="300"/>
        <w:rPr>
          <w:rFonts w:hint="eastAsia" w:ascii="宋体" w:hAnsi="宋体" w:eastAsia="宋体" w:cs="宋体"/>
          <w:szCs w:val="21"/>
        </w:rPr>
      </w:pPr>
      <w:r>
        <w:rPr>
          <w:rFonts w:hint="eastAsia" w:ascii="宋体" w:hAnsi="宋体" w:eastAsia="宋体" w:cs="宋体"/>
          <w:szCs w:val="21"/>
        </w:rPr>
        <w:t>本表价应保证响应文件的正、副本中仍有此表，且一致。</w:t>
      </w:r>
    </w:p>
    <w:p w14:paraId="760EBA1B">
      <w:pPr>
        <w:numPr>
          <w:ilvl w:val="0"/>
          <w:numId w:val="6"/>
        </w:numPr>
        <w:snapToGrid w:val="0"/>
        <w:spacing w:line="500" w:lineRule="exact"/>
        <w:ind w:firstLine="630" w:firstLineChars="300"/>
        <w:rPr>
          <w:rFonts w:hint="eastAsia" w:ascii="宋体" w:hAnsi="宋体" w:eastAsia="宋体" w:cs="宋体"/>
          <w:szCs w:val="21"/>
        </w:rPr>
      </w:pPr>
      <w:r>
        <w:rPr>
          <w:rFonts w:hint="eastAsia" w:ascii="宋体" w:hAnsi="宋体" w:eastAsia="宋体" w:cs="宋体"/>
          <w:szCs w:val="21"/>
        </w:rPr>
        <w:t>此表中任何信息与响应文件其他处不一致时以此表为准。</w:t>
      </w:r>
    </w:p>
    <w:p w14:paraId="2E06A0C9">
      <w:pPr>
        <w:numPr>
          <w:ilvl w:val="0"/>
          <w:numId w:val="6"/>
        </w:numPr>
        <w:snapToGrid w:val="0"/>
        <w:spacing w:line="500" w:lineRule="exact"/>
        <w:ind w:firstLine="630" w:firstLineChars="300"/>
        <w:rPr>
          <w:rFonts w:hint="eastAsia" w:ascii="宋体" w:hAnsi="宋体" w:eastAsia="宋体" w:cs="宋体"/>
          <w:szCs w:val="21"/>
        </w:rPr>
      </w:pPr>
      <w:r>
        <w:rPr>
          <w:rFonts w:hint="eastAsia" w:ascii="宋体" w:hAnsi="宋体" w:eastAsia="宋体" w:cs="宋体"/>
          <w:szCs w:val="21"/>
        </w:rPr>
        <w:t>此表为规范格式，严格按此表格填列，不填列或不按此表格填列，按无效标对待。</w:t>
      </w:r>
    </w:p>
    <w:p w14:paraId="4F5305FA">
      <w:pPr>
        <w:snapToGrid w:val="0"/>
        <w:spacing w:line="500" w:lineRule="exact"/>
        <w:rPr>
          <w:rFonts w:hint="eastAsia" w:ascii="宋体" w:hAnsi="宋体" w:eastAsia="宋体" w:cs="宋体"/>
          <w:szCs w:val="21"/>
        </w:rPr>
      </w:pPr>
      <w:r>
        <w:rPr>
          <w:rFonts w:hint="eastAsia" w:ascii="宋体" w:hAnsi="宋体" w:eastAsia="宋体" w:cs="宋体"/>
          <w:szCs w:val="21"/>
        </w:rPr>
        <w:t>分项报价后附。</w:t>
      </w:r>
    </w:p>
    <w:p w14:paraId="3F19222F">
      <w:pPr>
        <w:rPr>
          <w:rFonts w:hint="eastAsia" w:ascii="宋体" w:hAnsi="宋体" w:eastAsia="宋体" w:cs="宋体"/>
          <w:szCs w:val="21"/>
        </w:rPr>
      </w:pPr>
      <w:r>
        <w:rPr>
          <w:rFonts w:hint="eastAsia" w:ascii="宋体" w:hAnsi="宋体" w:eastAsia="宋体" w:cs="宋体"/>
          <w:szCs w:val="21"/>
        </w:rPr>
        <w:br w:type="page"/>
      </w:r>
    </w:p>
    <w:p w14:paraId="42414129">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3.2分项报价表</w:t>
      </w:r>
    </w:p>
    <w:p w14:paraId="5C6DA4CC">
      <w:pPr>
        <w:snapToGrid w:val="0"/>
        <w:spacing w:line="480" w:lineRule="auto"/>
        <w:rPr>
          <w:rFonts w:hint="eastAsia" w:ascii="宋体" w:hAnsi="宋体" w:eastAsia="宋体" w:cs="宋体"/>
          <w:sz w:val="24"/>
        </w:rPr>
      </w:pPr>
      <w:r>
        <w:rPr>
          <w:rFonts w:hint="eastAsia" w:ascii="宋体" w:hAnsi="宋体" w:eastAsia="宋体" w:cs="宋体"/>
          <w:sz w:val="24"/>
        </w:rPr>
        <w:t>项目名称：</w:t>
      </w:r>
    </w:p>
    <w:p w14:paraId="75581D51">
      <w:pPr>
        <w:snapToGrid w:val="0"/>
        <w:spacing w:line="480" w:lineRule="auto"/>
        <w:rPr>
          <w:rFonts w:hint="eastAsia" w:ascii="宋体" w:hAnsi="宋体" w:eastAsia="宋体" w:cs="宋体"/>
          <w:sz w:val="24"/>
        </w:rPr>
      </w:pPr>
      <w:r>
        <w:rPr>
          <w:rFonts w:hint="eastAsia" w:ascii="宋体" w:hAnsi="宋体" w:eastAsia="宋体" w:cs="宋体"/>
          <w:sz w:val="24"/>
        </w:rPr>
        <w:t>项目编号：</w:t>
      </w:r>
    </w:p>
    <w:tbl>
      <w:tblPr>
        <w:tblStyle w:val="16"/>
        <w:tblpPr w:vertAnchor="text" w:horzAnchor="margin" w:tblpY="26"/>
        <w:tblW w:w="9146" w:type="dxa"/>
        <w:tblInd w:w="0" w:type="dxa"/>
        <w:tblLayout w:type="fixed"/>
        <w:tblCellMar>
          <w:top w:w="0" w:type="dxa"/>
          <w:left w:w="0" w:type="dxa"/>
          <w:bottom w:w="0" w:type="dxa"/>
          <w:right w:w="0" w:type="dxa"/>
        </w:tblCellMar>
      </w:tblPr>
      <w:tblGrid>
        <w:gridCol w:w="701"/>
        <w:gridCol w:w="1254"/>
        <w:gridCol w:w="1109"/>
        <w:gridCol w:w="1230"/>
        <w:gridCol w:w="1095"/>
        <w:gridCol w:w="1440"/>
        <w:gridCol w:w="1305"/>
        <w:gridCol w:w="1012"/>
      </w:tblGrid>
      <w:tr w14:paraId="4282F5E3">
        <w:tblPrEx>
          <w:tblCellMar>
            <w:top w:w="0" w:type="dxa"/>
            <w:left w:w="0" w:type="dxa"/>
            <w:bottom w:w="0" w:type="dxa"/>
            <w:right w:w="0" w:type="dxa"/>
          </w:tblCellMar>
        </w:tblPrEx>
        <w:trPr>
          <w:trHeight w:val="340" w:hRule="atLeast"/>
        </w:trPr>
        <w:tc>
          <w:tcPr>
            <w:tcW w:w="701" w:type="dxa"/>
            <w:tcBorders>
              <w:top w:val="double" w:color="000000" w:sz="4"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5069AC41">
            <w:pPr>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254" w:type="dxa"/>
            <w:tcBorders>
              <w:top w:val="double" w:color="000000" w:sz="4"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01020EF6">
            <w:pPr>
              <w:jc w:val="center"/>
              <w:rPr>
                <w:rFonts w:hint="eastAsia" w:ascii="宋体" w:hAnsi="宋体" w:eastAsia="宋体" w:cs="宋体"/>
                <w:b/>
                <w:color w:val="000000"/>
                <w:szCs w:val="21"/>
              </w:rPr>
            </w:pPr>
            <w:r>
              <w:rPr>
                <w:rFonts w:hint="eastAsia" w:ascii="宋体" w:hAnsi="宋体" w:eastAsia="宋体" w:cs="宋体"/>
                <w:b/>
                <w:color w:val="000000"/>
                <w:szCs w:val="21"/>
              </w:rPr>
              <w:t>产品名称</w:t>
            </w:r>
          </w:p>
        </w:tc>
        <w:tc>
          <w:tcPr>
            <w:tcW w:w="1109" w:type="dxa"/>
            <w:tcBorders>
              <w:top w:val="double" w:color="000000" w:sz="4"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4704A292">
            <w:pPr>
              <w:jc w:val="center"/>
              <w:rPr>
                <w:rFonts w:hint="eastAsia" w:ascii="宋体" w:hAnsi="宋体" w:eastAsia="宋体" w:cs="宋体"/>
                <w:b/>
                <w:color w:val="000000"/>
                <w:szCs w:val="21"/>
              </w:rPr>
            </w:pPr>
          </w:p>
          <w:p w14:paraId="17DDA584">
            <w:pPr>
              <w:jc w:val="center"/>
              <w:rPr>
                <w:rFonts w:hint="eastAsia" w:ascii="宋体" w:hAnsi="宋体" w:eastAsia="宋体" w:cs="宋体"/>
                <w:b/>
                <w:color w:val="000000"/>
                <w:szCs w:val="21"/>
              </w:rPr>
            </w:pPr>
            <w:r>
              <w:rPr>
                <w:rFonts w:hint="eastAsia" w:ascii="宋体" w:hAnsi="宋体" w:eastAsia="宋体" w:cs="宋体"/>
                <w:b/>
                <w:color w:val="000000"/>
                <w:szCs w:val="21"/>
              </w:rPr>
              <w:t>品牌</w:t>
            </w:r>
          </w:p>
          <w:p w14:paraId="2D237C2A">
            <w:pPr>
              <w:jc w:val="center"/>
              <w:rPr>
                <w:rFonts w:hint="eastAsia" w:ascii="宋体" w:hAnsi="宋体" w:eastAsia="宋体" w:cs="宋体"/>
                <w:b/>
                <w:color w:val="000000"/>
                <w:szCs w:val="21"/>
              </w:rPr>
            </w:pPr>
          </w:p>
        </w:tc>
        <w:tc>
          <w:tcPr>
            <w:tcW w:w="1230" w:type="dxa"/>
            <w:tcBorders>
              <w:top w:val="double" w:color="000000" w:sz="4" w:space="0"/>
              <w:left w:val="single" w:color="auto" w:sz="4" w:space="0"/>
              <w:bottom w:val="single" w:color="000000" w:sz="6" w:space="0"/>
              <w:right w:val="single" w:color="auto" w:sz="4" w:space="0"/>
            </w:tcBorders>
            <w:vAlign w:val="center"/>
          </w:tcPr>
          <w:p w14:paraId="455F2E79">
            <w:pPr>
              <w:jc w:val="center"/>
              <w:rPr>
                <w:rFonts w:hint="eastAsia" w:ascii="宋体" w:hAnsi="宋体" w:eastAsia="宋体" w:cs="宋体"/>
                <w:b/>
                <w:color w:val="000000"/>
                <w:szCs w:val="21"/>
              </w:rPr>
            </w:pPr>
            <w:r>
              <w:rPr>
                <w:rFonts w:hint="eastAsia" w:ascii="宋体" w:hAnsi="宋体" w:eastAsia="宋体" w:cs="宋体"/>
                <w:b/>
                <w:color w:val="000000"/>
                <w:szCs w:val="21"/>
              </w:rPr>
              <w:t>型号</w:t>
            </w:r>
          </w:p>
        </w:tc>
        <w:tc>
          <w:tcPr>
            <w:tcW w:w="1095" w:type="dxa"/>
            <w:tcBorders>
              <w:top w:val="double" w:color="000000" w:sz="4" w:space="0"/>
              <w:left w:val="single" w:color="auto" w:sz="4" w:space="0"/>
              <w:bottom w:val="single" w:color="000000" w:sz="6" w:space="0"/>
              <w:right w:val="single" w:color="000000" w:sz="6" w:space="0"/>
            </w:tcBorders>
            <w:vAlign w:val="center"/>
          </w:tcPr>
          <w:p w14:paraId="6F86C247">
            <w:pPr>
              <w:jc w:val="center"/>
              <w:rPr>
                <w:rFonts w:hint="eastAsia" w:ascii="宋体" w:hAnsi="宋体" w:eastAsia="宋体" w:cs="宋体"/>
                <w:b/>
                <w:color w:val="000000"/>
                <w:szCs w:val="21"/>
              </w:rPr>
            </w:pPr>
            <w:r>
              <w:rPr>
                <w:rFonts w:hint="eastAsia" w:ascii="宋体" w:hAnsi="宋体" w:eastAsia="宋体" w:cs="宋体"/>
                <w:b/>
                <w:color w:val="000000"/>
                <w:szCs w:val="21"/>
              </w:rPr>
              <w:t>数量/单位</w:t>
            </w:r>
          </w:p>
        </w:tc>
        <w:tc>
          <w:tcPr>
            <w:tcW w:w="1440" w:type="dxa"/>
            <w:tcBorders>
              <w:top w:val="double" w:color="000000" w:sz="4"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1FD81455">
            <w:pPr>
              <w:jc w:val="center"/>
              <w:rPr>
                <w:rFonts w:hint="eastAsia" w:ascii="宋体" w:hAnsi="宋体" w:eastAsia="宋体" w:cs="宋体"/>
                <w:b/>
                <w:color w:val="000000"/>
                <w:szCs w:val="21"/>
              </w:rPr>
            </w:pPr>
            <w:r>
              <w:rPr>
                <w:rFonts w:hint="eastAsia" w:ascii="宋体" w:hAnsi="宋体" w:eastAsia="宋体" w:cs="宋体"/>
                <w:b/>
                <w:color w:val="000000"/>
                <w:szCs w:val="21"/>
              </w:rPr>
              <w:t>单价</w:t>
            </w:r>
          </w:p>
          <w:p w14:paraId="3F90C224">
            <w:pPr>
              <w:jc w:val="center"/>
              <w:rPr>
                <w:rFonts w:hint="eastAsia" w:ascii="宋体" w:hAnsi="宋体" w:eastAsia="宋体" w:cs="宋体"/>
                <w:b/>
                <w:color w:val="000000"/>
                <w:szCs w:val="21"/>
              </w:rPr>
            </w:pPr>
            <w:r>
              <w:rPr>
                <w:rFonts w:hint="eastAsia" w:ascii="宋体" w:hAnsi="宋体" w:eastAsia="宋体" w:cs="宋体"/>
                <w:b/>
                <w:color w:val="000000"/>
                <w:szCs w:val="21"/>
              </w:rPr>
              <w:t>(人民币元)</w:t>
            </w:r>
          </w:p>
        </w:tc>
        <w:tc>
          <w:tcPr>
            <w:tcW w:w="1305" w:type="dxa"/>
            <w:tcBorders>
              <w:top w:val="double" w:color="000000" w:sz="4"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2F74C0F0">
            <w:pPr>
              <w:jc w:val="center"/>
              <w:rPr>
                <w:rFonts w:hint="eastAsia" w:ascii="宋体" w:hAnsi="宋体" w:eastAsia="宋体" w:cs="宋体"/>
                <w:b/>
                <w:color w:val="000000"/>
                <w:szCs w:val="21"/>
              </w:rPr>
            </w:pPr>
            <w:r>
              <w:rPr>
                <w:rFonts w:hint="eastAsia" w:ascii="宋体" w:hAnsi="宋体" w:eastAsia="宋体" w:cs="宋体"/>
                <w:b/>
                <w:color w:val="000000"/>
                <w:szCs w:val="21"/>
              </w:rPr>
              <w:t>合计</w:t>
            </w:r>
          </w:p>
          <w:p w14:paraId="2D1A7335">
            <w:pPr>
              <w:jc w:val="center"/>
              <w:rPr>
                <w:rFonts w:hint="eastAsia" w:ascii="宋体" w:hAnsi="宋体" w:eastAsia="宋体" w:cs="宋体"/>
                <w:b/>
                <w:color w:val="000000"/>
                <w:szCs w:val="21"/>
              </w:rPr>
            </w:pPr>
            <w:r>
              <w:rPr>
                <w:rFonts w:hint="eastAsia" w:ascii="宋体" w:hAnsi="宋体" w:eastAsia="宋体" w:cs="宋体"/>
                <w:b/>
                <w:color w:val="000000"/>
                <w:szCs w:val="21"/>
              </w:rPr>
              <w:t>（人民币元）</w:t>
            </w:r>
          </w:p>
        </w:tc>
        <w:tc>
          <w:tcPr>
            <w:tcW w:w="1012" w:type="dxa"/>
            <w:tcBorders>
              <w:top w:val="double" w:color="000000" w:sz="4"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6AC27EAF">
            <w:pPr>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1B0BC976">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351FD809">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21AFB18E">
            <w:pPr>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6C3B57B8">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3BA12475">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300064A9">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1A227E2A">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384ED1C6">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42D25B77">
            <w:pPr>
              <w:jc w:val="center"/>
              <w:rPr>
                <w:rFonts w:hint="eastAsia" w:ascii="宋体" w:hAnsi="宋体" w:eastAsia="宋体" w:cs="宋体"/>
                <w:color w:val="000000"/>
                <w:szCs w:val="21"/>
              </w:rPr>
            </w:pPr>
          </w:p>
        </w:tc>
      </w:tr>
      <w:tr w14:paraId="38BD40A2">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2E3C768E">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609CF263">
            <w:pPr>
              <w:tabs>
                <w:tab w:val="center" w:pos="1694"/>
              </w:tabs>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000BA0C7">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5923997B">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45C3DD73">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06135D1F">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2FE827A8">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7846371D">
            <w:pPr>
              <w:jc w:val="center"/>
              <w:rPr>
                <w:rFonts w:hint="eastAsia" w:ascii="宋体" w:hAnsi="宋体" w:eastAsia="宋体" w:cs="宋体"/>
                <w:color w:val="000000"/>
                <w:szCs w:val="21"/>
              </w:rPr>
            </w:pPr>
          </w:p>
        </w:tc>
      </w:tr>
      <w:tr w14:paraId="5F40BCE0">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4F654C4F">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7C2D5B25">
            <w:pPr>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730EA295">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13802FFC">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37BD81C8">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7C28A813">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3EC4D99D">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20DD277D">
            <w:pPr>
              <w:jc w:val="center"/>
              <w:rPr>
                <w:rFonts w:hint="eastAsia" w:ascii="宋体" w:hAnsi="宋体" w:eastAsia="宋体" w:cs="宋体"/>
                <w:color w:val="000000"/>
                <w:szCs w:val="21"/>
              </w:rPr>
            </w:pPr>
          </w:p>
        </w:tc>
      </w:tr>
      <w:tr w14:paraId="0B4B92BD">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519ACEBE">
            <w:pPr>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3AFA220B">
            <w:pPr>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28F8E3BA">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6F452757">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4B032D77">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53F4079E">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53D52CFC">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342BB1AA">
            <w:pPr>
              <w:jc w:val="center"/>
              <w:rPr>
                <w:rFonts w:hint="eastAsia" w:ascii="宋体" w:hAnsi="宋体" w:eastAsia="宋体" w:cs="宋体"/>
                <w:color w:val="000000"/>
                <w:szCs w:val="21"/>
              </w:rPr>
            </w:pPr>
          </w:p>
        </w:tc>
      </w:tr>
      <w:tr w14:paraId="280B143B">
        <w:tblPrEx>
          <w:tblCellMar>
            <w:top w:w="0" w:type="dxa"/>
            <w:left w:w="0" w:type="dxa"/>
            <w:bottom w:w="0" w:type="dxa"/>
            <w:right w:w="0" w:type="dxa"/>
          </w:tblCellMar>
        </w:tblPrEx>
        <w:trPr>
          <w:trHeight w:val="340" w:hRule="atLeast"/>
        </w:trPr>
        <w:tc>
          <w:tcPr>
            <w:tcW w:w="9146" w:type="dxa"/>
            <w:gridSpan w:val="8"/>
            <w:tcBorders>
              <w:top w:val="single" w:color="000000" w:sz="6" w:space="0"/>
              <w:left w:val="single" w:color="000000" w:sz="4" w:space="0"/>
              <w:bottom w:val="double" w:color="000000" w:sz="4" w:space="0"/>
              <w:right w:val="double" w:color="000000" w:sz="4" w:space="0"/>
            </w:tcBorders>
            <w:tcMar>
              <w:top w:w="28" w:type="dxa"/>
              <w:left w:w="28" w:type="dxa"/>
              <w:bottom w:w="28" w:type="dxa"/>
              <w:right w:w="28" w:type="dxa"/>
            </w:tcMar>
            <w:vAlign w:val="center"/>
          </w:tcPr>
          <w:p w14:paraId="6D49172D">
            <w:pPr>
              <w:jc w:val="left"/>
              <w:rPr>
                <w:rFonts w:hint="eastAsia" w:ascii="宋体" w:hAnsi="宋体" w:eastAsia="宋体" w:cs="宋体"/>
                <w:color w:val="000000"/>
                <w:szCs w:val="21"/>
              </w:rPr>
            </w:pPr>
            <w:r>
              <w:rPr>
                <w:rFonts w:hint="eastAsia" w:ascii="宋体" w:hAnsi="宋体" w:eastAsia="宋体" w:cs="宋体"/>
                <w:color w:val="000000"/>
                <w:szCs w:val="21"/>
              </w:rPr>
              <w:t>大写：                                        （小写）¥：</w:t>
            </w:r>
          </w:p>
        </w:tc>
      </w:tr>
    </w:tbl>
    <w:p w14:paraId="4C13F114">
      <w:pPr>
        <w:snapToGrid w:val="0"/>
        <w:spacing w:line="500" w:lineRule="exact"/>
        <w:rPr>
          <w:rFonts w:hint="eastAsia" w:ascii="宋体" w:hAnsi="宋体" w:eastAsia="宋体" w:cs="宋体"/>
          <w:sz w:val="24"/>
        </w:rPr>
      </w:pPr>
    </w:p>
    <w:p w14:paraId="34145758">
      <w:pPr>
        <w:snapToGrid w:val="0"/>
        <w:spacing w:line="500" w:lineRule="exact"/>
        <w:jc w:val="center"/>
        <w:rPr>
          <w:rFonts w:hint="eastAsia" w:ascii="宋体" w:hAnsi="宋体" w:eastAsia="宋体" w:cs="宋体"/>
          <w:b/>
          <w:bCs/>
          <w:sz w:val="24"/>
        </w:rPr>
      </w:pPr>
    </w:p>
    <w:p w14:paraId="0B67A4F6">
      <w:pPr>
        <w:snapToGrid w:val="0"/>
        <w:spacing w:line="500" w:lineRule="exact"/>
        <w:jc w:val="center"/>
        <w:rPr>
          <w:rFonts w:hint="eastAsia" w:ascii="宋体" w:hAnsi="宋体" w:eastAsia="宋体" w:cs="宋体"/>
          <w:b/>
          <w:bCs/>
          <w:sz w:val="24"/>
        </w:rPr>
      </w:pPr>
    </w:p>
    <w:p w14:paraId="22302A9D">
      <w:pPr>
        <w:snapToGrid w:val="0"/>
        <w:spacing w:line="500" w:lineRule="exact"/>
        <w:jc w:val="center"/>
        <w:rPr>
          <w:rFonts w:hint="eastAsia" w:ascii="宋体" w:hAnsi="宋体" w:eastAsia="宋体" w:cs="宋体"/>
          <w:b/>
          <w:bCs/>
          <w:sz w:val="24"/>
        </w:rPr>
      </w:pPr>
    </w:p>
    <w:p w14:paraId="2CDF9A2F">
      <w:pPr>
        <w:snapToGrid w:val="0"/>
        <w:spacing w:line="480" w:lineRule="auto"/>
        <w:ind w:firstLine="4320" w:firstLineChars="1800"/>
        <w:rPr>
          <w:rFonts w:hint="eastAsia" w:ascii="宋体" w:hAnsi="宋体" w:eastAsia="宋体" w:cs="宋体"/>
          <w:sz w:val="24"/>
        </w:rPr>
      </w:pPr>
      <w:r>
        <w:rPr>
          <w:rFonts w:hint="eastAsia" w:ascii="宋体" w:hAnsi="宋体" w:eastAsia="宋体" w:cs="宋体"/>
          <w:sz w:val="24"/>
        </w:rPr>
        <w:t>供应商（公章）：</w:t>
      </w:r>
    </w:p>
    <w:p w14:paraId="192ACC0D">
      <w:pPr>
        <w:pStyle w:val="6"/>
        <w:spacing w:line="480" w:lineRule="auto"/>
        <w:jc w:val="right"/>
        <w:rPr>
          <w:rFonts w:hint="eastAsia" w:ascii="宋体" w:hAnsi="宋体" w:eastAsia="宋体" w:cs="宋体"/>
          <w:color w:val="auto"/>
        </w:rPr>
      </w:pPr>
      <w:r>
        <w:rPr>
          <w:rFonts w:hint="eastAsia" w:ascii="宋体" w:hAnsi="宋体" w:eastAsia="宋体" w:cs="宋体"/>
          <w:color w:val="auto"/>
        </w:rPr>
        <w:t>法定代表人/被授权人（签字或盖章）：</w:t>
      </w:r>
    </w:p>
    <w:p w14:paraId="19E2D36F">
      <w:pPr>
        <w:spacing w:line="480" w:lineRule="auto"/>
        <w:jc w:val="right"/>
        <w:rPr>
          <w:rFonts w:hint="eastAsia" w:ascii="宋体" w:hAnsi="宋体" w:eastAsia="宋体" w:cs="宋体"/>
          <w:sz w:val="24"/>
        </w:rPr>
      </w:pPr>
      <w:r>
        <w:rPr>
          <w:rFonts w:hint="eastAsia" w:ascii="宋体" w:hAnsi="宋体" w:eastAsia="宋体" w:cs="宋体"/>
          <w:sz w:val="24"/>
        </w:rPr>
        <w:t>年    月      日</w:t>
      </w:r>
    </w:p>
    <w:p w14:paraId="2DD61275">
      <w:pPr>
        <w:snapToGrid w:val="0"/>
        <w:spacing w:line="500" w:lineRule="exact"/>
        <w:jc w:val="center"/>
        <w:rPr>
          <w:rFonts w:hint="eastAsia" w:ascii="宋体" w:hAnsi="宋体" w:eastAsia="宋体" w:cs="宋体"/>
          <w:sz w:val="24"/>
        </w:rPr>
      </w:pPr>
      <w:r>
        <w:rPr>
          <w:rFonts w:hint="eastAsia" w:ascii="宋体" w:hAnsi="宋体" w:eastAsia="宋体" w:cs="宋体"/>
          <w:sz w:val="24"/>
        </w:rPr>
        <w:br w:type="page"/>
      </w:r>
    </w:p>
    <w:p w14:paraId="1541A84A">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3.2技术响应偏离表</w:t>
      </w:r>
    </w:p>
    <w:p w14:paraId="0198CA5F">
      <w:pPr>
        <w:snapToGrid w:val="0"/>
        <w:spacing w:line="480" w:lineRule="auto"/>
        <w:rPr>
          <w:rFonts w:hint="eastAsia" w:ascii="宋体" w:hAnsi="宋体" w:eastAsia="宋体" w:cs="宋体"/>
          <w:sz w:val="24"/>
        </w:rPr>
      </w:pPr>
      <w:r>
        <w:rPr>
          <w:rFonts w:hint="eastAsia" w:ascii="宋体" w:hAnsi="宋体" w:eastAsia="宋体" w:cs="宋体"/>
          <w:sz w:val="24"/>
        </w:rPr>
        <w:t>项目名称：</w:t>
      </w:r>
    </w:p>
    <w:p w14:paraId="03953905">
      <w:pPr>
        <w:snapToGrid w:val="0"/>
        <w:spacing w:line="480" w:lineRule="auto"/>
        <w:rPr>
          <w:rFonts w:hint="eastAsia" w:ascii="宋体" w:hAnsi="宋体" w:eastAsia="宋体" w:cs="宋体"/>
          <w:sz w:val="24"/>
        </w:rPr>
      </w:pPr>
      <w:r>
        <w:rPr>
          <w:rFonts w:hint="eastAsia" w:ascii="宋体" w:hAnsi="宋体" w:eastAsia="宋体" w:cs="宋体"/>
          <w:sz w:val="24"/>
        </w:rPr>
        <w:t>项目编号：</w:t>
      </w:r>
    </w:p>
    <w:tbl>
      <w:tblPr>
        <w:tblStyle w:val="16"/>
        <w:tblpPr w:vertAnchor="text" w:horzAnchor="margin" w:tblpY="26"/>
        <w:tblW w:w="8817" w:type="dxa"/>
        <w:tblInd w:w="0" w:type="dxa"/>
        <w:tblLayout w:type="fixed"/>
        <w:tblCellMar>
          <w:top w:w="0" w:type="dxa"/>
          <w:left w:w="0" w:type="dxa"/>
          <w:bottom w:w="0" w:type="dxa"/>
          <w:right w:w="0" w:type="dxa"/>
        </w:tblCellMar>
      </w:tblPr>
      <w:tblGrid>
        <w:gridCol w:w="701"/>
        <w:gridCol w:w="1254"/>
        <w:gridCol w:w="2468"/>
        <w:gridCol w:w="2409"/>
        <w:gridCol w:w="1985"/>
      </w:tblGrid>
      <w:tr w14:paraId="3A3106C0">
        <w:tblPrEx>
          <w:tblCellMar>
            <w:top w:w="0" w:type="dxa"/>
            <w:left w:w="0" w:type="dxa"/>
            <w:bottom w:w="0" w:type="dxa"/>
            <w:right w:w="0" w:type="dxa"/>
          </w:tblCellMar>
        </w:tblPrEx>
        <w:trPr>
          <w:trHeight w:val="340" w:hRule="atLeast"/>
        </w:trPr>
        <w:tc>
          <w:tcPr>
            <w:tcW w:w="701" w:type="dxa"/>
            <w:tcBorders>
              <w:top w:val="double" w:color="000000" w:sz="4"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167FCF1D">
            <w:pPr>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254" w:type="dxa"/>
            <w:tcBorders>
              <w:top w:val="double" w:color="000000" w:sz="4"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40394169">
            <w:pPr>
              <w:jc w:val="center"/>
              <w:rPr>
                <w:rFonts w:hint="eastAsia" w:ascii="宋体" w:hAnsi="宋体" w:eastAsia="宋体" w:cs="宋体"/>
                <w:b/>
                <w:color w:val="000000"/>
                <w:szCs w:val="21"/>
              </w:rPr>
            </w:pPr>
            <w:r>
              <w:rPr>
                <w:rFonts w:hint="eastAsia" w:ascii="宋体" w:hAnsi="宋体" w:eastAsia="宋体" w:cs="宋体"/>
                <w:b/>
                <w:color w:val="000000"/>
                <w:szCs w:val="21"/>
              </w:rPr>
              <w:t>产品名称</w:t>
            </w:r>
          </w:p>
        </w:tc>
        <w:tc>
          <w:tcPr>
            <w:tcW w:w="2468" w:type="dxa"/>
            <w:tcBorders>
              <w:top w:val="double" w:color="000000" w:sz="4" w:space="0"/>
              <w:left w:val="single" w:color="auto" w:sz="4" w:space="0"/>
              <w:bottom w:val="single" w:color="000000" w:sz="6" w:space="0"/>
              <w:right w:val="single" w:color="000000" w:sz="6" w:space="0"/>
            </w:tcBorders>
            <w:vAlign w:val="center"/>
          </w:tcPr>
          <w:p w14:paraId="6EBA45AD">
            <w:pPr>
              <w:jc w:val="center"/>
              <w:rPr>
                <w:rFonts w:hint="eastAsia" w:ascii="宋体" w:hAnsi="宋体" w:eastAsia="宋体" w:cs="宋体"/>
                <w:b/>
                <w:color w:val="000000"/>
                <w:szCs w:val="21"/>
              </w:rPr>
            </w:pPr>
            <w:r>
              <w:rPr>
                <w:rFonts w:hint="eastAsia" w:ascii="宋体" w:hAnsi="宋体" w:eastAsia="宋体" w:cs="宋体"/>
                <w:b/>
                <w:color w:val="000000"/>
                <w:szCs w:val="21"/>
              </w:rPr>
              <w:t>谈判文件技术要求</w:t>
            </w:r>
          </w:p>
        </w:tc>
        <w:tc>
          <w:tcPr>
            <w:tcW w:w="2409" w:type="dxa"/>
            <w:tcBorders>
              <w:top w:val="double" w:color="000000" w:sz="4"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2E2ABAB6">
            <w:pPr>
              <w:jc w:val="center"/>
              <w:rPr>
                <w:rFonts w:hint="eastAsia" w:ascii="宋体" w:hAnsi="宋体" w:eastAsia="宋体" w:cs="宋体"/>
                <w:b/>
                <w:color w:val="000000"/>
                <w:szCs w:val="21"/>
              </w:rPr>
            </w:pPr>
            <w:r>
              <w:rPr>
                <w:rFonts w:hint="eastAsia" w:ascii="宋体" w:hAnsi="宋体" w:eastAsia="宋体" w:cs="宋体"/>
                <w:b/>
                <w:color w:val="000000"/>
                <w:szCs w:val="21"/>
              </w:rPr>
              <w:t>响应文件技术要求</w:t>
            </w:r>
          </w:p>
        </w:tc>
        <w:tc>
          <w:tcPr>
            <w:tcW w:w="1985" w:type="dxa"/>
            <w:tcBorders>
              <w:top w:val="double" w:color="000000" w:sz="4"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7CFAE428">
            <w:pPr>
              <w:jc w:val="center"/>
              <w:rPr>
                <w:rFonts w:hint="eastAsia" w:ascii="宋体" w:hAnsi="宋体" w:eastAsia="宋体" w:cs="宋体"/>
                <w:b/>
                <w:color w:val="000000"/>
                <w:szCs w:val="21"/>
              </w:rPr>
            </w:pPr>
            <w:r>
              <w:rPr>
                <w:rFonts w:hint="eastAsia" w:ascii="宋体" w:hAnsi="宋体" w:eastAsia="宋体" w:cs="宋体"/>
                <w:b/>
                <w:color w:val="000000"/>
                <w:szCs w:val="21"/>
              </w:rPr>
              <w:t>响应情况</w:t>
            </w:r>
          </w:p>
        </w:tc>
      </w:tr>
      <w:tr w14:paraId="4A88BAC4">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05DCD144">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0354C532">
            <w:pPr>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2B79380F">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64687482">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164A8FFF">
            <w:pPr>
              <w:jc w:val="center"/>
              <w:rPr>
                <w:rFonts w:hint="eastAsia" w:ascii="宋体" w:hAnsi="宋体" w:eastAsia="宋体" w:cs="宋体"/>
                <w:color w:val="000000"/>
                <w:szCs w:val="21"/>
              </w:rPr>
            </w:pPr>
          </w:p>
        </w:tc>
      </w:tr>
      <w:tr w14:paraId="4FD3FBC5">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7A71BEFA">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78B86B7C">
            <w:pPr>
              <w:tabs>
                <w:tab w:val="center" w:pos="1694"/>
              </w:tabs>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11EE5709">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7F8DA857">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78801B05">
            <w:pPr>
              <w:jc w:val="center"/>
              <w:rPr>
                <w:rFonts w:hint="eastAsia" w:ascii="宋体" w:hAnsi="宋体" w:eastAsia="宋体" w:cs="宋体"/>
                <w:color w:val="000000"/>
                <w:szCs w:val="21"/>
              </w:rPr>
            </w:pPr>
          </w:p>
        </w:tc>
      </w:tr>
      <w:tr w14:paraId="60C54B5A">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126E893D">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3593A661">
            <w:pPr>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1F885D38">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4D6D02B0">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6A0CEF81">
            <w:pPr>
              <w:jc w:val="center"/>
              <w:rPr>
                <w:rFonts w:hint="eastAsia" w:ascii="宋体" w:hAnsi="宋体" w:eastAsia="宋体" w:cs="宋体"/>
                <w:color w:val="000000"/>
                <w:szCs w:val="21"/>
              </w:rPr>
            </w:pPr>
          </w:p>
        </w:tc>
      </w:tr>
      <w:tr w14:paraId="5FA44BEF">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0BE89AEF">
            <w:pPr>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758C7121">
            <w:pPr>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183FF4FD">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68A63BFD">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4C584DF3">
            <w:pPr>
              <w:jc w:val="center"/>
              <w:rPr>
                <w:rFonts w:hint="eastAsia" w:ascii="宋体" w:hAnsi="宋体" w:eastAsia="宋体" w:cs="宋体"/>
                <w:color w:val="000000"/>
                <w:szCs w:val="21"/>
              </w:rPr>
            </w:pPr>
          </w:p>
        </w:tc>
      </w:tr>
    </w:tbl>
    <w:p w14:paraId="6141AADA">
      <w:pPr>
        <w:widowControl/>
        <w:jc w:val="left"/>
        <w:rPr>
          <w:rFonts w:hint="eastAsia" w:ascii="宋体" w:hAnsi="宋体" w:eastAsia="宋体" w:cs="宋体"/>
          <w:sz w:val="24"/>
        </w:rPr>
      </w:pPr>
    </w:p>
    <w:p w14:paraId="6E201F7E">
      <w:pPr>
        <w:widowControl/>
        <w:jc w:val="left"/>
        <w:rPr>
          <w:rFonts w:hint="eastAsia" w:ascii="宋体" w:hAnsi="宋体" w:eastAsia="宋体" w:cs="宋体"/>
          <w:sz w:val="24"/>
        </w:rPr>
      </w:pPr>
    </w:p>
    <w:p w14:paraId="6BBB2950">
      <w:pPr>
        <w:widowControl/>
        <w:jc w:val="left"/>
        <w:rPr>
          <w:rFonts w:hint="eastAsia" w:ascii="宋体" w:hAnsi="宋体" w:eastAsia="宋体" w:cs="宋体"/>
          <w:szCs w:val="21"/>
        </w:rPr>
      </w:pPr>
      <w:r>
        <w:rPr>
          <w:rFonts w:hint="eastAsia" w:ascii="宋体" w:hAnsi="宋体" w:eastAsia="宋体" w:cs="宋体"/>
          <w:szCs w:val="21"/>
        </w:rPr>
        <w:t>注：1.填写此表以“招标内容及采购要求”为准。</w:t>
      </w:r>
    </w:p>
    <w:p w14:paraId="05058AA8">
      <w:pPr>
        <w:pStyle w:val="23"/>
        <w:widowControl/>
        <w:numPr>
          <w:ilvl w:val="0"/>
          <w:numId w:val="7"/>
        </w:numPr>
        <w:ind w:firstLineChars="0"/>
        <w:jc w:val="left"/>
        <w:rPr>
          <w:rFonts w:hint="eastAsia" w:ascii="宋体" w:hAnsi="宋体" w:eastAsia="宋体" w:cs="宋体"/>
          <w:szCs w:val="21"/>
        </w:rPr>
      </w:pPr>
      <w:r>
        <w:rPr>
          <w:rFonts w:hint="eastAsia" w:ascii="宋体" w:hAnsi="宋体" w:eastAsia="宋体" w:cs="宋体"/>
          <w:szCs w:val="21"/>
        </w:rPr>
        <w:t>禁止完全复制谈判文件中的技术参数要求，否则视为无效响应。</w:t>
      </w:r>
    </w:p>
    <w:p w14:paraId="5C406039">
      <w:pPr>
        <w:pStyle w:val="23"/>
        <w:widowControl/>
        <w:numPr>
          <w:ilvl w:val="0"/>
          <w:numId w:val="7"/>
        </w:numPr>
        <w:ind w:firstLineChars="0"/>
        <w:jc w:val="left"/>
        <w:rPr>
          <w:rFonts w:hint="eastAsia" w:ascii="宋体" w:hAnsi="宋体" w:eastAsia="宋体" w:cs="宋体"/>
          <w:szCs w:val="21"/>
        </w:rPr>
      </w:pPr>
      <w:r>
        <w:rPr>
          <w:rFonts w:hint="eastAsia" w:ascii="宋体" w:hAnsi="宋体" w:eastAsia="宋体" w:cs="宋体"/>
          <w:szCs w:val="21"/>
        </w:rPr>
        <w:t>带★项技术参数为实质性响应参数，供应商应进行实质性响应，</w:t>
      </w:r>
      <w:r>
        <w:rPr>
          <w:rFonts w:hint="eastAsia" w:ascii="宋体" w:hAnsi="宋体" w:eastAsia="宋体" w:cs="宋体"/>
          <w:szCs w:val="21"/>
        </w:rPr>
        <w:t>提供相关证明材料，</w:t>
      </w:r>
      <w:r>
        <w:rPr>
          <w:rFonts w:hint="eastAsia" w:ascii="宋体" w:hAnsi="宋体" w:eastAsia="宋体" w:cs="宋体"/>
          <w:szCs w:val="21"/>
        </w:rPr>
        <w:t>否则视为无效响应。</w:t>
      </w:r>
    </w:p>
    <w:p w14:paraId="384FA7BC">
      <w:pPr>
        <w:pStyle w:val="23"/>
        <w:widowControl/>
        <w:numPr>
          <w:ilvl w:val="0"/>
          <w:numId w:val="7"/>
        </w:numPr>
        <w:ind w:firstLineChars="0"/>
        <w:jc w:val="left"/>
        <w:rPr>
          <w:rFonts w:hint="eastAsia" w:ascii="宋体" w:hAnsi="宋体" w:eastAsia="宋体" w:cs="宋体"/>
          <w:szCs w:val="21"/>
        </w:rPr>
      </w:pPr>
      <w:r>
        <w:rPr>
          <w:rFonts w:hint="eastAsia" w:ascii="宋体" w:hAnsi="宋体" w:eastAsia="宋体" w:cs="宋体"/>
          <w:szCs w:val="21"/>
        </w:rPr>
        <w:t>响应情况应填“满足”“不满足”“优于”</w:t>
      </w:r>
    </w:p>
    <w:p w14:paraId="30101AEB">
      <w:pPr>
        <w:widowControl/>
        <w:jc w:val="left"/>
        <w:rPr>
          <w:rFonts w:hint="eastAsia" w:ascii="宋体" w:hAnsi="宋体" w:eastAsia="宋体" w:cs="宋体"/>
          <w:sz w:val="24"/>
        </w:rPr>
      </w:pPr>
    </w:p>
    <w:p w14:paraId="1FD6EF1B">
      <w:pPr>
        <w:snapToGrid w:val="0"/>
        <w:spacing w:line="480" w:lineRule="auto"/>
        <w:ind w:firstLine="3840" w:firstLineChars="1600"/>
        <w:rPr>
          <w:rFonts w:hint="eastAsia" w:ascii="宋体" w:hAnsi="宋体" w:eastAsia="宋体" w:cs="宋体"/>
          <w:sz w:val="24"/>
        </w:rPr>
      </w:pPr>
    </w:p>
    <w:p w14:paraId="70C39240">
      <w:pPr>
        <w:snapToGrid w:val="0"/>
        <w:spacing w:line="480" w:lineRule="auto"/>
        <w:ind w:firstLine="3840" w:firstLineChars="1600"/>
        <w:rPr>
          <w:rFonts w:hint="eastAsia" w:ascii="宋体" w:hAnsi="宋体" w:eastAsia="宋体" w:cs="宋体"/>
          <w:sz w:val="24"/>
        </w:rPr>
      </w:pPr>
    </w:p>
    <w:p w14:paraId="264B79F1">
      <w:pPr>
        <w:snapToGrid w:val="0"/>
        <w:spacing w:line="480" w:lineRule="auto"/>
        <w:ind w:firstLine="3840" w:firstLineChars="1600"/>
        <w:rPr>
          <w:rFonts w:hint="eastAsia" w:ascii="宋体" w:hAnsi="宋体" w:eastAsia="宋体" w:cs="宋体"/>
          <w:sz w:val="24"/>
        </w:rPr>
      </w:pPr>
    </w:p>
    <w:p w14:paraId="35371831">
      <w:pPr>
        <w:snapToGrid w:val="0"/>
        <w:spacing w:line="480" w:lineRule="auto"/>
        <w:ind w:firstLine="4320" w:firstLineChars="1800"/>
        <w:rPr>
          <w:rFonts w:hint="eastAsia" w:ascii="宋体" w:hAnsi="宋体" w:eastAsia="宋体" w:cs="宋体"/>
          <w:sz w:val="24"/>
        </w:rPr>
      </w:pPr>
      <w:r>
        <w:rPr>
          <w:rFonts w:hint="eastAsia" w:ascii="宋体" w:hAnsi="宋体" w:eastAsia="宋体" w:cs="宋体"/>
          <w:sz w:val="24"/>
        </w:rPr>
        <w:t>供应商（公章）：</w:t>
      </w:r>
    </w:p>
    <w:p w14:paraId="1DA7CF44">
      <w:pPr>
        <w:pStyle w:val="6"/>
        <w:spacing w:line="480" w:lineRule="auto"/>
        <w:jc w:val="right"/>
        <w:rPr>
          <w:rFonts w:hint="eastAsia" w:ascii="宋体" w:hAnsi="宋体" w:eastAsia="宋体" w:cs="宋体"/>
          <w:color w:val="auto"/>
        </w:rPr>
      </w:pPr>
      <w:r>
        <w:rPr>
          <w:rFonts w:hint="eastAsia" w:ascii="宋体" w:hAnsi="宋体" w:eastAsia="宋体" w:cs="宋体"/>
          <w:color w:val="auto"/>
        </w:rPr>
        <w:t>法定代表人/被授权人（签字或盖章）：</w:t>
      </w:r>
    </w:p>
    <w:p w14:paraId="49C737C6">
      <w:pPr>
        <w:spacing w:line="480" w:lineRule="auto"/>
        <w:jc w:val="right"/>
        <w:rPr>
          <w:rFonts w:hint="eastAsia" w:ascii="宋体" w:hAnsi="宋体" w:eastAsia="宋体" w:cs="宋体"/>
          <w:sz w:val="24"/>
        </w:rPr>
      </w:pPr>
      <w:r>
        <w:rPr>
          <w:rFonts w:hint="eastAsia" w:ascii="宋体" w:hAnsi="宋体" w:eastAsia="宋体" w:cs="宋体"/>
          <w:sz w:val="24"/>
        </w:rPr>
        <w:t>年    月    日</w:t>
      </w:r>
    </w:p>
    <w:p w14:paraId="1C8BAB4B">
      <w:pPr>
        <w:widowControl/>
        <w:jc w:val="left"/>
        <w:rPr>
          <w:rFonts w:hint="eastAsia" w:ascii="宋体" w:hAnsi="宋体" w:eastAsia="宋体" w:cs="宋体"/>
          <w:b/>
          <w:bCs/>
          <w:sz w:val="28"/>
          <w:szCs w:val="28"/>
        </w:rPr>
      </w:pPr>
    </w:p>
    <w:p w14:paraId="1A36E373">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14:paraId="088ED0C6">
      <w:pPr>
        <w:spacing w:line="480" w:lineRule="auto"/>
        <w:jc w:val="center"/>
        <w:rPr>
          <w:rFonts w:hint="eastAsia" w:ascii="宋体" w:hAnsi="宋体" w:eastAsia="宋体" w:cs="宋体"/>
          <w:b/>
          <w:sz w:val="32"/>
        </w:rPr>
      </w:pPr>
      <w:bookmarkStart w:id="17" w:name="_Toc23984_WPSOffice_Level1"/>
      <w:r>
        <w:rPr>
          <w:rFonts w:hint="eastAsia" w:ascii="宋体" w:hAnsi="宋体" w:eastAsia="宋体" w:cs="宋体"/>
          <w:b/>
          <w:sz w:val="32"/>
        </w:rPr>
        <w:t>四、</w:t>
      </w:r>
      <w:bookmarkEnd w:id="17"/>
      <w:bookmarkStart w:id="18" w:name="_Toc13218_WPSOffice_Level1"/>
      <w:r>
        <w:rPr>
          <w:rFonts w:hint="eastAsia" w:ascii="宋体" w:hAnsi="宋体" w:eastAsia="宋体" w:cs="宋体"/>
          <w:b/>
          <w:sz w:val="32"/>
        </w:rPr>
        <w:t>资格证明文件</w:t>
      </w:r>
      <w:bookmarkEnd w:id="18"/>
    </w:p>
    <w:p w14:paraId="0813BB96">
      <w:pPr>
        <w:spacing w:line="360" w:lineRule="auto"/>
        <w:rPr>
          <w:rFonts w:hint="eastAsia" w:ascii="宋体" w:hAnsi="宋体" w:eastAsia="宋体" w:cs="宋体"/>
          <w:bCs/>
          <w:sz w:val="24"/>
          <w:lang w:eastAsia="zh-CN"/>
        </w:rPr>
      </w:pPr>
      <w:r>
        <w:rPr>
          <w:rFonts w:hint="eastAsia" w:ascii="宋体" w:hAnsi="宋体" w:eastAsia="宋体" w:cs="宋体"/>
          <w:bCs/>
          <w:sz w:val="24"/>
        </w:rPr>
        <w:t>1、具有独立承担民事责任能力的法人或其他组织，提供合法有效的统一社会信用代码的营业执照（附年度报告书）或事业单位法人证书等国家规定的相关证明，自然人参与的提供其身份证明； </w:t>
      </w:r>
    </w:p>
    <w:p w14:paraId="3356F514">
      <w:pPr>
        <w:spacing w:line="360" w:lineRule="auto"/>
        <w:rPr>
          <w:rFonts w:hint="eastAsia" w:ascii="宋体" w:hAnsi="宋体" w:eastAsia="宋体" w:cs="宋体"/>
          <w:bCs/>
          <w:sz w:val="24"/>
          <w:lang w:eastAsia="zh-CN"/>
        </w:rPr>
      </w:pPr>
      <w:r>
        <w:rPr>
          <w:rFonts w:hint="eastAsia" w:ascii="宋体" w:hAnsi="宋体" w:eastAsia="宋体" w:cs="宋体"/>
          <w:bCs/>
          <w:sz w:val="24"/>
        </w:rPr>
        <w:t>2、</w:t>
      </w:r>
      <w:r>
        <w:rPr>
          <w:rFonts w:hint="eastAsia" w:ascii="宋体" w:hAnsi="宋体" w:eastAsia="宋体" w:cs="宋体"/>
          <w:bCs/>
          <w:sz w:val="24"/>
          <w:lang w:eastAsia="zh-CN"/>
        </w:rPr>
        <w:t>法定代表人授权书（附法定代表人身份证复印件）及被授权人身份证（法定代表人直接参加只须提供法定代表人身份证）</w:t>
      </w:r>
      <w:r>
        <w:rPr>
          <w:rFonts w:hint="eastAsia" w:ascii="宋体" w:hAnsi="宋体" w:eastAsia="宋体" w:cs="宋体"/>
          <w:bCs/>
          <w:sz w:val="24"/>
        </w:rPr>
        <w:t>； </w:t>
      </w:r>
    </w:p>
    <w:p w14:paraId="6A929E8D">
      <w:pPr>
        <w:spacing w:line="360" w:lineRule="auto"/>
        <w:rPr>
          <w:rFonts w:hint="eastAsia" w:ascii="宋体" w:hAnsi="宋体" w:eastAsia="宋体" w:cs="宋体"/>
          <w:bCs/>
          <w:sz w:val="24"/>
          <w:lang w:eastAsia="zh-CN"/>
        </w:rPr>
      </w:pPr>
      <w:r>
        <w:rPr>
          <w:rFonts w:hint="eastAsia" w:ascii="宋体" w:hAnsi="宋体" w:eastAsia="宋体" w:cs="宋体"/>
          <w:bCs/>
          <w:sz w:val="24"/>
        </w:rPr>
        <w:t>3、供应商提供2022年度或2023年度的财务审计报告(成立时间至提交响应文件截止时间不足一年的可提供成立后任意时段的资产负债表)或其基本存款账户开户银行出具的资信证明及基本存款账户开户信息；</w:t>
      </w:r>
    </w:p>
    <w:p w14:paraId="21F9110D">
      <w:pPr>
        <w:spacing w:line="360" w:lineRule="auto"/>
        <w:rPr>
          <w:rFonts w:hint="eastAsia" w:ascii="宋体" w:hAnsi="宋体" w:eastAsia="宋体" w:cs="宋体"/>
          <w:bCs/>
          <w:sz w:val="24"/>
          <w:lang w:eastAsia="zh-CN"/>
        </w:rPr>
      </w:pPr>
      <w:r>
        <w:rPr>
          <w:rFonts w:hint="eastAsia" w:ascii="宋体" w:hAnsi="宋体" w:eastAsia="宋体" w:cs="宋体"/>
          <w:bCs/>
          <w:sz w:val="24"/>
        </w:rPr>
        <w:t>4、税收缴纳证明：提供已缴纳的2024年至今任一月份的缴税凭证；依法免税的供应商应提供相关文件证明；</w:t>
      </w:r>
    </w:p>
    <w:p w14:paraId="26A35BAF">
      <w:pPr>
        <w:spacing w:line="360" w:lineRule="auto"/>
        <w:rPr>
          <w:rFonts w:hint="eastAsia" w:ascii="宋体" w:hAnsi="宋体" w:eastAsia="宋体" w:cs="宋体"/>
          <w:bCs/>
          <w:sz w:val="24"/>
          <w:lang w:eastAsia="zh-CN"/>
        </w:rPr>
      </w:pPr>
      <w:r>
        <w:rPr>
          <w:rFonts w:hint="eastAsia" w:ascii="宋体" w:hAnsi="宋体" w:eastAsia="宋体" w:cs="宋体"/>
          <w:bCs/>
          <w:sz w:val="24"/>
        </w:rPr>
        <w:t>5、社会保障资金缴纳证明：提供2024年至今任意一个月的社会保障资金缴存证明或社保机构开具的社会保险参保缴费情况证明；依法不需要缴纳社会保障资金的应提供相关文件证明；</w:t>
      </w:r>
    </w:p>
    <w:p w14:paraId="5408E199">
      <w:pPr>
        <w:spacing w:line="360" w:lineRule="auto"/>
        <w:rPr>
          <w:rFonts w:hint="eastAsia" w:ascii="宋体" w:hAnsi="宋体" w:eastAsia="宋体" w:cs="宋体"/>
          <w:bCs/>
          <w:sz w:val="24"/>
          <w:lang w:eastAsia="zh-CN"/>
        </w:rPr>
      </w:pPr>
      <w:r>
        <w:rPr>
          <w:rFonts w:hint="eastAsia" w:ascii="宋体" w:hAnsi="宋体" w:eastAsia="宋体" w:cs="宋体"/>
          <w:bCs/>
          <w:sz w:val="24"/>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p>
    <w:p w14:paraId="02F16418">
      <w:pPr>
        <w:spacing w:line="360" w:lineRule="auto"/>
        <w:rPr>
          <w:rFonts w:hint="eastAsia" w:ascii="宋体" w:hAnsi="宋体" w:eastAsia="宋体" w:cs="宋体"/>
          <w:bCs/>
          <w:sz w:val="24"/>
          <w:lang w:eastAsia="zh-CN"/>
        </w:rPr>
      </w:pPr>
      <w:r>
        <w:rPr>
          <w:rFonts w:hint="eastAsia" w:ascii="宋体" w:hAnsi="宋体" w:eastAsia="宋体" w:cs="宋体"/>
          <w:bCs/>
          <w:sz w:val="24"/>
        </w:rPr>
        <w:t>7、参加政府采购活动近三年内，在经营活动中没有重大违法记录声明函；</w:t>
      </w:r>
    </w:p>
    <w:p w14:paraId="7CFFB3FE">
      <w:pPr>
        <w:spacing w:line="360" w:lineRule="auto"/>
        <w:rPr>
          <w:rFonts w:hint="eastAsia" w:ascii="宋体" w:hAnsi="宋体" w:eastAsia="宋体" w:cs="宋体"/>
          <w:bCs/>
          <w:sz w:val="24"/>
          <w:lang w:eastAsia="zh-CN"/>
        </w:rPr>
      </w:pPr>
      <w:r>
        <w:rPr>
          <w:rFonts w:hint="eastAsia" w:ascii="宋体" w:hAnsi="宋体" w:eastAsia="宋体" w:cs="宋体"/>
          <w:bCs/>
          <w:sz w:val="24"/>
        </w:rPr>
        <w:t>8、具备履行合同所必须的设备和专业技术能力的书面声明；</w:t>
      </w:r>
    </w:p>
    <w:p w14:paraId="69EBED3B">
      <w:pPr>
        <w:spacing w:line="360" w:lineRule="auto"/>
        <w:rPr>
          <w:rFonts w:hint="eastAsia" w:ascii="宋体" w:hAnsi="宋体" w:eastAsia="宋体" w:cs="宋体"/>
          <w:b/>
          <w:sz w:val="32"/>
        </w:rPr>
      </w:pPr>
      <w:r>
        <w:rPr>
          <w:rFonts w:hint="eastAsia" w:ascii="宋体" w:hAnsi="宋体" w:eastAsia="宋体" w:cs="宋体"/>
          <w:bCs/>
          <w:sz w:val="24"/>
        </w:rPr>
        <w:t>9、本项目不接受联合体谈判。</w:t>
      </w:r>
      <w:r>
        <w:rPr>
          <w:rFonts w:hint="eastAsia" w:ascii="宋体" w:hAnsi="宋体" w:eastAsia="宋体" w:cs="宋体"/>
          <w:b/>
          <w:sz w:val="32"/>
        </w:rPr>
        <w:br w:type="page"/>
      </w:r>
    </w:p>
    <w:p w14:paraId="1AF8DE35">
      <w:pPr>
        <w:spacing w:line="366" w:lineRule="exact"/>
        <w:jc w:val="center"/>
        <w:rPr>
          <w:rFonts w:hint="eastAsia" w:ascii="宋体" w:hAnsi="宋体" w:eastAsia="宋体" w:cs="宋体"/>
          <w:b/>
          <w:sz w:val="32"/>
        </w:rPr>
      </w:pPr>
      <w:r>
        <w:rPr>
          <w:rFonts w:hint="eastAsia" w:ascii="宋体" w:hAnsi="宋体" w:eastAsia="宋体" w:cs="宋体"/>
          <w:b/>
          <w:sz w:val="32"/>
        </w:rPr>
        <w:t>五、谈判响应技术方案</w:t>
      </w:r>
    </w:p>
    <w:p w14:paraId="58714EB3">
      <w:pPr>
        <w:tabs>
          <w:tab w:val="left" w:pos="1260"/>
        </w:tabs>
        <w:spacing w:line="56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2"/>
        </w:rPr>
        <w:t>供应商完成供货的实施方案；</w:t>
      </w:r>
    </w:p>
    <w:p w14:paraId="0DE512C1">
      <w:pPr>
        <w:tabs>
          <w:tab w:val="left" w:pos="1260"/>
        </w:tabs>
        <w:spacing w:line="560" w:lineRule="exact"/>
        <w:rPr>
          <w:rFonts w:hint="eastAsia" w:ascii="宋体" w:hAnsi="宋体" w:eastAsia="宋体" w:cs="宋体"/>
          <w:sz w:val="24"/>
        </w:rPr>
      </w:pPr>
      <w:r>
        <w:rPr>
          <w:rFonts w:hint="eastAsia" w:ascii="宋体" w:hAnsi="宋体" w:eastAsia="宋体" w:cs="宋体"/>
          <w:sz w:val="24"/>
        </w:rPr>
        <w:t>2、质量保障措施；</w:t>
      </w:r>
    </w:p>
    <w:p w14:paraId="280D34E8">
      <w:pPr>
        <w:tabs>
          <w:tab w:val="left" w:pos="1260"/>
        </w:tabs>
        <w:spacing w:line="560" w:lineRule="exact"/>
        <w:rPr>
          <w:rFonts w:hint="eastAsia" w:ascii="宋体" w:hAnsi="宋体" w:eastAsia="宋体" w:cs="宋体"/>
          <w:sz w:val="24"/>
        </w:rPr>
      </w:pPr>
      <w:r>
        <w:rPr>
          <w:rFonts w:hint="eastAsia" w:ascii="宋体" w:hAnsi="宋体" w:eastAsia="宋体" w:cs="宋体"/>
          <w:sz w:val="24"/>
        </w:rPr>
        <w:t>3、售后服务承诺；</w:t>
      </w:r>
    </w:p>
    <w:p w14:paraId="1DB36400">
      <w:pPr>
        <w:tabs>
          <w:tab w:val="left" w:pos="1260"/>
        </w:tabs>
        <w:spacing w:line="560" w:lineRule="exact"/>
        <w:rPr>
          <w:rFonts w:hint="eastAsia" w:ascii="宋体" w:hAnsi="宋体" w:eastAsia="宋体" w:cs="宋体"/>
          <w:sz w:val="24"/>
        </w:rPr>
      </w:pPr>
      <w:r>
        <w:rPr>
          <w:rFonts w:hint="eastAsia" w:ascii="宋体" w:hAnsi="宋体" w:eastAsia="宋体" w:cs="宋体"/>
          <w:sz w:val="24"/>
        </w:rPr>
        <w:t>4、供应商认为有必要说明的问题。</w:t>
      </w:r>
    </w:p>
    <w:p w14:paraId="061024ED">
      <w:pPr>
        <w:tabs>
          <w:tab w:val="left" w:pos="1260"/>
        </w:tabs>
        <w:spacing w:line="560" w:lineRule="exact"/>
        <w:rPr>
          <w:rFonts w:hint="eastAsia" w:ascii="宋体" w:hAnsi="宋体" w:eastAsia="宋体" w:cs="宋体"/>
          <w:sz w:val="24"/>
        </w:rPr>
      </w:pPr>
      <w:r>
        <w:rPr>
          <w:rFonts w:hint="eastAsia" w:ascii="宋体" w:hAnsi="宋体" w:eastAsia="宋体" w:cs="宋体"/>
          <w:b/>
          <w:bCs/>
          <w:sz w:val="24"/>
        </w:rPr>
        <w:t>注：</w:t>
      </w:r>
      <w:r>
        <w:rPr>
          <w:rFonts w:hint="eastAsia" w:ascii="宋体" w:hAnsi="宋体" w:eastAsia="宋体" w:cs="宋体"/>
          <w:b/>
          <w:sz w:val="24"/>
        </w:rPr>
        <w:t>（各供应商根据采购内容及要求，可自主编写方案说明，包含但不限于以上内容）</w:t>
      </w:r>
    </w:p>
    <w:p w14:paraId="3465522B">
      <w:pPr>
        <w:tabs>
          <w:tab w:val="left" w:pos="1260"/>
        </w:tabs>
        <w:spacing w:line="360" w:lineRule="auto"/>
        <w:ind w:firstLine="560" w:firstLineChars="200"/>
        <w:rPr>
          <w:rFonts w:hint="eastAsia" w:ascii="宋体" w:hAnsi="宋体" w:eastAsia="宋体" w:cs="宋体"/>
          <w:bCs/>
          <w:sz w:val="28"/>
          <w:szCs w:val="22"/>
        </w:rPr>
      </w:pPr>
    </w:p>
    <w:p w14:paraId="2E0E0CB2">
      <w:pPr>
        <w:pStyle w:val="6"/>
        <w:rPr>
          <w:rFonts w:hint="eastAsia" w:ascii="宋体" w:hAnsi="宋体" w:eastAsia="宋体" w:cs="宋体"/>
          <w:bCs/>
          <w:sz w:val="28"/>
          <w:szCs w:val="28"/>
        </w:rPr>
      </w:pPr>
    </w:p>
    <w:p w14:paraId="6C09D0AB">
      <w:pPr>
        <w:pStyle w:val="6"/>
        <w:rPr>
          <w:rFonts w:hint="eastAsia" w:ascii="宋体" w:hAnsi="宋体" w:eastAsia="宋体" w:cs="宋体"/>
          <w:bCs/>
          <w:sz w:val="28"/>
          <w:szCs w:val="28"/>
        </w:rPr>
      </w:pPr>
    </w:p>
    <w:p w14:paraId="4F971F50">
      <w:pPr>
        <w:pStyle w:val="6"/>
        <w:rPr>
          <w:rFonts w:hint="eastAsia" w:ascii="宋体" w:hAnsi="宋体" w:eastAsia="宋体" w:cs="宋体"/>
          <w:bCs/>
          <w:sz w:val="28"/>
          <w:szCs w:val="28"/>
        </w:rPr>
      </w:pPr>
    </w:p>
    <w:p w14:paraId="73992F2E">
      <w:pPr>
        <w:pStyle w:val="6"/>
        <w:rPr>
          <w:rFonts w:hint="eastAsia" w:ascii="宋体" w:hAnsi="宋体" w:eastAsia="宋体" w:cs="宋体"/>
          <w:bCs/>
          <w:sz w:val="28"/>
          <w:szCs w:val="28"/>
        </w:rPr>
      </w:pPr>
    </w:p>
    <w:p w14:paraId="56B3DFDC">
      <w:pPr>
        <w:spacing w:after="120" w:line="480" w:lineRule="auto"/>
        <w:ind w:left="420" w:leftChars="200"/>
        <w:rPr>
          <w:rFonts w:hint="eastAsia" w:ascii="宋体" w:hAnsi="宋体" w:eastAsia="宋体" w:cs="宋体"/>
          <w:bCs/>
          <w:sz w:val="28"/>
          <w:szCs w:val="28"/>
        </w:rPr>
      </w:pPr>
    </w:p>
    <w:p w14:paraId="4D9FE758">
      <w:pPr>
        <w:spacing w:after="120" w:line="480" w:lineRule="auto"/>
        <w:ind w:left="420" w:leftChars="200"/>
        <w:rPr>
          <w:rFonts w:hint="eastAsia" w:ascii="宋体" w:hAnsi="宋体" w:eastAsia="宋体" w:cs="宋体"/>
          <w:bCs/>
          <w:sz w:val="28"/>
          <w:szCs w:val="28"/>
        </w:rPr>
      </w:pPr>
    </w:p>
    <w:p w14:paraId="0A7AEE71">
      <w:pPr>
        <w:spacing w:after="120" w:line="480" w:lineRule="auto"/>
        <w:ind w:left="420" w:leftChars="200"/>
        <w:rPr>
          <w:rFonts w:hint="eastAsia" w:ascii="宋体" w:hAnsi="宋体" w:eastAsia="宋体" w:cs="宋体"/>
          <w:bCs/>
          <w:sz w:val="28"/>
          <w:szCs w:val="28"/>
        </w:rPr>
      </w:pPr>
    </w:p>
    <w:p w14:paraId="291A25DE">
      <w:pPr>
        <w:spacing w:after="120" w:line="480" w:lineRule="auto"/>
        <w:ind w:left="420" w:leftChars="200"/>
        <w:rPr>
          <w:rFonts w:hint="eastAsia" w:ascii="宋体" w:hAnsi="宋体" w:eastAsia="宋体" w:cs="宋体"/>
          <w:bCs/>
          <w:sz w:val="28"/>
          <w:szCs w:val="28"/>
        </w:rPr>
      </w:pPr>
    </w:p>
    <w:p w14:paraId="6B2B6DB1">
      <w:pPr>
        <w:pStyle w:val="28"/>
        <w:ind w:firstLine="560"/>
        <w:rPr>
          <w:rFonts w:hint="eastAsia" w:ascii="宋体" w:hAnsi="宋体" w:eastAsia="宋体" w:cs="宋体"/>
          <w:bCs/>
          <w:sz w:val="28"/>
          <w:szCs w:val="28"/>
        </w:rPr>
      </w:pPr>
    </w:p>
    <w:p w14:paraId="7C1C1A68">
      <w:pPr>
        <w:pStyle w:val="28"/>
        <w:ind w:firstLine="560"/>
        <w:rPr>
          <w:rFonts w:hint="eastAsia" w:ascii="宋体" w:hAnsi="宋体" w:eastAsia="宋体" w:cs="宋体"/>
          <w:bCs/>
          <w:sz w:val="28"/>
          <w:szCs w:val="28"/>
        </w:rPr>
      </w:pPr>
    </w:p>
    <w:p w14:paraId="5D2DF267">
      <w:pPr>
        <w:jc w:val="center"/>
        <w:rPr>
          <w:rFonts w:hint="eastAsia" w:ascii="宋体" w:hAnsi="宋体" w:eastAsia="宋体" w:cs="宋体"/>
          <w:sz w:val="28"/>
        </w:rPr>
      </w:pPr>
      <w:bookmarkStart w:id="19" w:name="_Toc15619_WPSOffice_Level1"/>
      <w:r>
        <w:rPr>
          <w:rFonts w:hint="eastAsia" w:ascii="宋体" w:hAnsi="宋体" w:eastAsia="宋体" w:cs="宋体"/>
          <w:b/>
          <w:sz w:val="32"/>
          <w:szCs w:val="32"/>
        </w:rPr>
        <w:br w:type="page"/>
      </w:r>
      <w:r>
        <w:rPr>
          <w:rFonts w:hint="eastAsia" w:ascii="宋体" w:hAnsi="宋体" w:eastAsia="宋体" w:cs="宋体"/>
          <w:b/>
          <w:sz w:val="32"/>
          <w:szCs w:val="32"/>
        </w:rPr>
        <w:t>六、</w:t>
      </w:r>
      <w:r>
        <w:rPr>
          <w:rFonts w:hint="eastAsia" w:ascii="宋体" w:hAnsi="宋体" w:eastAsia="宋体" w:cs="宋体"/>
          <w:b/>
          <w:sz w:val="32"/>
        </w:rPr>
        <w:t>商务响应方案</w:t>
      </w:r>
    </w:p>
    <w:p w14:paraId="46B9458A">
      <w:pPr>
        <w:spacing w:line="760" w:lineRule="exact"/>
        <w:rPr>
          <w:rFonts w:hint="eastAsia" w:ascii="宋体" w:hAnsi="宋体" w:eastAsia="宋体" w:cs="宋体"/>
          <w:sz w:val="24"/>
        </w:rPr>
      </w:pPr>
      <w:r>
        <w:rPr>
          <w:rFonts w:hint="eastAsia" w:ascii="宋体" w:hAnsi="宋体" w:eastAsia="宋体" w:cs="宋体"/>
          <w:sz w:val="24"/>
        </w:rPr>
        <w:t>商务响应方案的主要内容：</w:t>
      </w:r>
    </w:p>
    <w:p w14:paraId="4CAD9D18">
      <w:pPr>
        <w:spacing w:line="360" w:lineRule="auto"/>
        <w:outlineLvl w:val="2"/>
        <w:rPr>
          <w:rFonts w:hint="eastAsia" w:ascii="宋体" w:hAnsi="宋体" w:eastAsia="宋体" w:cs="宋体"/>
          <w:color w:val="222222"/>
          <w:sz w:val="24"/>
        </w:rPr>
      </w:pPr>
      <w:r>
        <w:rPr>
          <w:rFonts w:hint="eastAsia" w:ascii="宋体" w:hAnsi="宋体" w:eastAsia="宋体" w:cs="宋体"/>
          <w:color w:val="222222"/>
          <w:sz w:val="24"/>
        </w:rPr>
        <w:t>（1）企业简介；</w:t>
      </w:r>
    </w:p>
    <w:p w14:paraId="3B707304">
      <w:pPr>
        <w:spacing w:line="360" w:lineRule="auto"/>
        <w:outlineLvl w:val="2"/>
        <w:rPr>
          <w:rFonts w:hint="eastAsia" w:ascii="宋体" w:hAnsi="宋体" w:eastAsia="宋体" w:cs="宋体"/>
          <w:color w:val="222222"/>
          <w:sz w:val="24"/>
        </w:rPr>
      </w:pPr>
      <w:r>
        <w:rPr>
          <w:rFonts w:hint="eastAsia" w:ascii="宋体" w:hAnsi="宋体" w:eastAsia="宋体" w:cs="宋体"/>
          <w:color w:val="222222"/>
          <w:sz w:val="24"/>
        </w:rPr>
        <w:t>（2）商务响应（供货期、付款方式、价款结算、违约责任等）与合同条款说明；</w:t>
      </w:r>
    </w:p>
    <w:p w14:paraId="63F93D5D">
      <w:pPr>
        <w:rPr>
          <w:rFonts w:hint="eastAsia" w:ascii="宋体" w:hAnsi="宋体" w:eastAsia="宋体" w:cs="宋体"/>
          <w:b/>
          <w:sz w:val="32"/>
          <w:szCs w:val="32"/>
        </w:rPr>
      </w:pPr>
      <w:r>
        <w:rPr>
          <w:rFonts w:hint="eastAsia" w:ascii="宋体" w:hAnsi="宋体" w:eastAsia="宋体" w:cs="宋体"/>
          <w:color w:val="222222"/>
          <w:sz w:val="24"/>
        </w:rPr>
        <w:t>（3）类似业绩。</w:t>
      </w:r>
    </w:p>
    <w:p w14:paraId="6BB3FB9D">
      <w:pPr>
        <w:rPr>
          <w:rFonts w:hint="eastAsia" w:ascii="宋体" w:hAnsi="宋体" w:eastAsia="宋体" w:cs="宋体"/>
          <w:b/>
          <w:sz w:val="32"/>
          <w:szCs w:val="32"/>
        </w:rPr>
      </w:pPr>
      <w:r>
        <w:rPr>
          <w:rFonts w:hint="eastAsia" w:ascii="宋体" w:hAnsi="宋体" w:eastAsia="宋体" w:cs="宋体"/>
          <w:b/>
          <w:sz w:val="32"/>
          <w:szCs w:val="32"/>
        </w:rPr>
        <w:br w:type="page"/>
      </w:r>
    </w:p>
    <w:p w14:paraId="72C8A646">
      <w:pPr>
        <w:spacing w:line="366" w:lineRule="exact"/>
        <w:jc w:val="center"/>
        <w:rPr>
          <w:rFonts w:hint="eastAsia" w:ascii="宋体" w:hAnsi="宋体" w:eastAsia="宋体" w:cs="宋体"/>
          <w:b/>
          <w:sz w:val="32"/>
        </w:rPr>
      </w:pPr>
      <w:r>
        <w:rPr>
          <w:rFonts w:hint="eastAsia" w:ascii="宋体" w:hAnsi="宋体" w:eastAsia="宋体" w:cs="宋体"/>
          <w:b/>
          <w:sz w:val="32"/>
        </w:rPr>
        <w:t>七、供应商承诺</w:t>
      </w:r>
      <w:bookmarkEnd w:id="19"/>
    </w:p>
    <w:p w14:paraId="169FCF88">
      <w:pPr>
        <w:spacing w:line="360"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.1供应商签署承诺书</w:t>
      </w:r>
    </w:p>
    <w:p w14:paraId="0BE950E0">
      <w:pPr>
        <w:spacing w:line="360"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.1.1 未签署或者虚假承诺签署本承诺书的，其责任由供应商自行承担。</w:t>
      </w:r>
    </w:p>
    <w:p w14:paraId="10D06B42">
      <w:pPr>
        <w:spacing w:line="360"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.1.2 编制的响应文件正本须装订本原件，副本可装订复印件。</w:t>
      </w:r>
    </w:p>
    <w:p w14:paraId="26AF7A33">
      <w:pPr>
        <w:spacing w:line="360" w:lineRule="auto"/>
        <w:ind w:right="480" w:firstLine="482" w:firstLineChars="1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承诺书Ⅱ</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6E5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14:paraId="34EFCB59">
            <w:pPr>
              <w:spacing w:line="360" w:lineRule="atLeast"/>
              <w:rPr>
                <w:rFonts w:hint="eastAsia" w:ascii="宋体" w:hAnsi="宋体" w:eastAsia="宋体" w:cs="宋体"/>
                <w:color w:val="000000"/>
                <w:sz w:val="24"/>
              </w:rPr>
            </w:pPr>
            <w:r>
              <w:rPr>
                <w:rFonts w:hint="eastAsia" w:ascii="宋体" w:hAnsi="宋体" w:eastAsia="宋体" w:cs="宋体"/>
                <w:color w:val="000000"/>
                <w:sz w:val="24"/>
              </w:rPr>
              <w:t>致：黄陵县政府采购中心</w:t>
            </w:r>
          </w:p>
        </w:tc>
      </w:tr>
      <w:tr w14:paraId="0226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14:paraId="62A8D601">
            <w:pPr>
              <w:spacing w:line="36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作为参加贵公司组织的谈判采购项目的供应商，本公司承诺：在参加本项目谈判之前不存在被依法禁止经营行为、财产被接管或冻结的情况，如有隐瞒实情，愿承担一切责任及后果。</w:t>
            </w:r>
          </w:p>
        </w:tc>
      </w:tr>
      <w:tr w14:paraId="5B83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3023" w:type="dxa"/>
            <w:vAlign w:val="center"/>
          </w:tcPr>
          <w:p w14:paraId="23A09F76">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3614" w:type="dxa"/>
            <w:vAlign w:val="center"/>
          </w:tcPr>
          <w:p w14:paraId="64123514">
            <w:pPr>
              <w:spacing w:line="360" w:lineRule="atLeast"/>
              <w:jc w:val="center"/>
              <w:rPr>
                <w:rFonts w:hint="eastAsia" w:ascii="宋体" w:hAnsi="宋体" w:eastAsia="宋体" w:cs="宋体"/>
                <w:color w:val="000000"/>
                <w:sz w:val="24"/>
              </w:rPr>
            </w:pPr>
            <w:r>
              <w:rPr>
                <w:rFonts w:hint="eastAsia" w:ascii="宋体" w:hAnsi="宋体" w:eastAsia="宋体" w:cs="宋体"/>
                <w:sz w:val="24"/>
              </w:rPr>
              <w:t>法定代表人</w:t>
            </w:r>
          </w:p>
        </w:tc>
        <w:tc>
          <w:tcPr>
            <w:tcW w:w="2890" w:type="dxa"/>
            <w:vAlign w:val="center"/>
          </w:tcPr>
          <w:p w14:paraId="298B2E7D">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日  期</w:t>
            </w:r>
          </w:p>
        </w:tc>
      </w:tr>
      <w:tr w14:paraId="0050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8" w:hRule="atLeast"/>
          <w:jc w:val="center"/>
        </w:trPr>
        <w:tc>
          <w:tcPr>
            <w:tcW w:w="3023" w:type="dxa"/>
            <w:vAlign w:val="center"/>
          </w:tcPr>
          <w:p w14:paraId="52477D55">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（公章）</w:t>
            </w:r>
          </w:p>
        </w:tc>
        <w:tc>
          <w:tcPr>
            <w:tcW w:w="3614" w:type="dxa"/>
            <w:vAlign w:val="center"/>
          </w:tcPr>
          <w:p w14:paraId="1BA00D48">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890" w:type="dxa"/>
            <w:vAlign w:val="center"/>
          </w:tcPr>
          <w:p w14:paraId="662A501B">
            <w:pPr>
              <w:spacing w:line="360" w:lineRule="atLeast"/>
              <w:ind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19B1AEE6">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承诺书Ⅲ</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27A4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vAlign w:val="center"/>
          </w:tcPr>
          <w:p w14:paraId="508F61B5">
            <w:pPr>
              <w:spacing w:line="360" w:lineRule="atLeast"/>
              <w:rPr>
                <w:rFonts w:hint="eastAsia" w:ascii="宋体" w:hAnsi="宋体" w:eastAsia="宋体" w:cs="宋体"/>
                <w:color w:val="000000"/>
                <w:sz w:val="24"/>
              </w:rPr>
            </w:pPr>
            <w:r>
              <w:rPr>
                <w:rFonts w:hint="eastAsia" w:ascii="宋体" w:hAnsi="宋体" w:eastAsia="宋体" w:cs="宋体"/>
                <w:color w:val="000000"/>
                <w:sz w:val="24"/>
              </w:rPr>
              <w:t>致：黄陵县政府采购中心</w:t>
            </w:r>
          </w:p>
        </w:tc>
      </w:tr>
      <w:tr w14:paraId="2A0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vAlign w:val="center"/>
          </w:tcPr>
          <w:p w14:paraId="60A38C64">
            <w:pPr>
              <w:spacing w:line="36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作为参加贵公司组织的谈判采购项目的供应商，本公司郑重申告：近三年因产品（设备）供货问题（水货、替代品、次品、翻新品等）的不法行为记录为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次（没有填零），如有隐瞒实情，愿承担一切责任及后果。</w:t>
            </w:r>
          </w:p>
          <w:p w14:paraId="7D4DBB15">
            <w:pPr>
              <w:spacing w:line="360" w:lineRule="atLeast"/>
              <w:ind w:firstLine="360" w:firstLineChars="150"/>
              <w:rPr>
                <w:rFonts w:hint="eastAsia" w:ascii="宋体" w:hAnsi="宋体" w:eastAsia="宋体" w:cs="宋体"/>
                <w:color w:val="000000"/>
                <w:sz w:val="24"/>
              </w:rPr>
            </w:pPr>
            <w:r>
              <w:rPr>
                <w:rFonts w:hint="eastAsia" w:ascii="宋体" w:hAnsi="宋体" w:eastAsia="宋体" w:cs="宋体"/>
                <w:color w:val="000000"/>
                <w:sz w:val="24"/>
              </w:rPr>
              <w:t>本公司承诺：本次磋商标的物为正品行货。</w:t>
            </w:r>
          </w:p>
        </w:tc>
      </w:tr>
      <w:tr w14:paraId="1C30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vAlign w:val="center"/>
          </w:tcPr>
          <w:p w14:paraId="1C2F68B4">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3765" w:type="dxa"/>
            <w:vAlign w:val="center"/>
          </w:tcPr>
          <w:p w14:paraId="61D07670">
            <w:pPr>
              <w:spacing w:line="360" w:lineRule="atLeast"/>
              <w:jc w:val="center"/>
              <w:rPr>
                <w:rFonts w:hint="eastAsia" w:ascii="宋体" w:hAnsi="宋体" w:eastAsia="宋体" w:cs="宋体"/>
                <w:color w:val="000000"/>
                <w:sz w:val="24"/>
              </w:rPr>
            </w:pPr>
            <w:r>
              <w:rPr>
                <w:rFonts w:hint="eastAsia" w:ascii="宋体" w:hAnsi="宋体" w:eastAsia="宋体" w:cs="宋体"/>
                <w:sz w:val="24"/>
              </w:rPr>
              <w:t>法定代表人</w:t>
            </w:r>
          </w:p>
        </w:tc>
        <w:tc>
          <w:tcPr>
            <w:tcW w:w="2577" w:type="dxa"/>
            <w:vAlign w:val="center"/>
          </w:tcPr>
          <w:p w14:paraId="155C979B">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日   期</w:t>
            </w:r>
          </w:p>
        </w:tc>
      </w:tr>
      <w:tr w14:paraId="502C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3132" w:type="dxa"/>
            <w:vAlign w:val="center"/>
          </w:tcPr>
          <w:p w14:paraId="1AC98832">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（公章）</w:t>
            </w:r>
          </w:p>
        </w:tc>
        <w:tc>
          <w:tcPr>
            <w:tcW w:w="3765" w:type="dxa"/>
            <w:vAlign w:val="center"/>
          </w:tcPr>
          <w:p w14:paraId="407AB4B0">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577" w:type="dxa"/>
            <w:vAlign w:val="center"/>
          </w:tcPr>
          <w:p w14:paraId="3E72AB90">
            <w:pPr>
              <w:spacing w:line="360" w:lineRule="atLeast"/>
              <w:ind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59637500">
      <w:pPr>
        <w:spacing w:line="360" w:lineRule="atLeast"/>
        <w:jc w:val="center"/>
        <w:rPr>
          <w:rFonts w:hint="eastAsia" w:ascii="宋体" w:hAnsi="宋体" w:eastAsia="宋体" w:cs="宋体"/>
          <w:b/>
          <w:color w:val="000000"/>
          <w:sz w:val="24"/>
        </w:rPr>
      </w:pPr>
    </w:p>
    <w:p w14:paraId="578C6DCB">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承诺书Ⅳ</w:t>
      </w:r>
    </w:p>
    <w:p w14:paraId="415CFB0F">
      <w:pPr>
        <w:spacing w:line="360" w:lineRule="atLeast"/>
        <w:jc w:val="center"/>
        <w:rPr>
          <w:rFonts w:hint="eastAsia" w:ascii="宋体" w:hAnsi="宋体" w:eastAsia="宋体" w:cs="宋体"/>
          <w:b/>
          <w:color w:val="000000"/>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6883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14:paraId="27184106">
            <w:pPr>
              <w:spacing w:line="360" w:lineRule="atLeast"/>
              <w:rPr>
                <w:rFonts w:hint="eastAsia" w:ascii="宋体" w:hAnsi="宋体" w:eastAsia="宋体" w:cs="宋体"/>
                <w:color w:val="000000"/>
                <w:sz w:val="24"/>
              </w:rPr>
            </w:pPr>
            <w:r>
              <w:rPr>
                <w:rFonts w:hint="eastAsia" w:ascii="宋体" w:hAnsi="宋体" w:eastAsia="宋体" w:cs="宋体"/>
                <w:color w:val="000000"/>
                <w:sz w:val="24"/>
              </w:rPr>
              <w:t>致：黄陵县政府采购中心</w:t>
            </w:r>
          </w:p>
        </w:tc>
      </w:tr>
      <w:tr w14:paraId="5F34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14:paraId="0DCBD196">
            <w:pPr>
              <w:spacing w:line="36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作为参加贵公司组织的谈判采购项目的供应商，本公司承诺：参加本次谈判提交的所有资质证明文件及业绩证明文件是真实的、有效的，如有隐瞒实情，愿承担一切责任及后果。</w:t>
            </w:r>
          </w:p>
        </w:tc>
      </w:tr>
      <w:tr w14:paraId="1B4F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14:paraId="6B8B7E51">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3725" w:type="dxa"/>
            <w:vAlign w:val="center"/>
          </w:tcPr>
          <w:p w14:paraId="6179DF96">
            <w:pPr>
              <w:spacing w:line="360" w:lineRule="atLeast"/>
              <w:jc w:val="center"/>
              <w:rPr>
                <w:rFonts w:hint="eastAsia" w:ascii="宋体" w:hAnsi="宋体" w:eastAsia="宋体" w:cs="宋体"/>
                <w:color w:val="000000"/>
                <w:sz w:val="24"/>
              </w:rPr>
            </w:pPr>
            <w:r>
              <w:rPr>
                <w:rFonts w:hint="eastAsia" w:ascii="宋体" w:hAnsi="宋体" w:eastAsia="宋体" w:cs="宋体"/>
                <w:sz w:val="24"/>
              </w:rPr>
              <w:t>法定代表人</w:t>
            </w:r>
          </w:p>
        </w:tc>
        <w:tc>
          <w:tcPr>
            <w:tcW w:w="2635" w:type="dxa"/>
            <w:vAlign w:val="center"/>
          </w:tcPr>
          <w:p w14:paraId="1B836891">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日   期</w:t>
            </w:r>
          </w:p>
        </w:tc>
      </w:tr>
      <w:tr w14:paraId="46B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3171" w:type="dxa"/>
            <w:vAlign w:val="center"/>
          </w:tcPr>
          <w:p w14:paraId="4C1C0277">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（公章）</w:t>
            </w:r>
          </w:p>
        </w:tc>
        <w:tc>
          <w:tcPr>
            <w:tcW w:w="3725" w:type="dxa"/>
            <w:vAlign w:val="center"/>
          </w:tcPr>
          <w:p w14:paraId="699766E5">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635" w:type="dxa"/>
            <w:vAlign w:val="center"/>
          </w:tcPr>
          <w:p w14:paraId="70534CF5">
            <w:pPr>
              <w:spacing w:line="360" w:lineRule="atLeast"/>
              <w:ind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42694312">
      <w:pPr>
        <w:spacing w:line="360" w:lineRule="atLeast"/>
        <w:rPr>
          <w:rFonts w:hint="eastAsia" w:ascii="宋体" w:hAnsi="宋体" w:eastAsia="宋体" w:cs="宋体"/>
          <w:b/>
          <w:color w:val="000000"/>
          <w:sz w:val="42"/>
          <w:szCs w:val="42"/>
        </w:rPr>
      </w:pPr>
    </w:p>
    <w:p w14:paraId="5B3EEEB1">
      <w:pPr>
        <w:rPr>
          <w:rFonts w:hint="eastAsia" w:ascii="宋体" w:hAnsi="宋体" w:eastAsia="宋体" w:cs="宋体"/>
          <w:b/>
          <w:sz w:val="32"/>
          <w:szCs w:val="32"/>
        </w:rPr>
      </w:pPr>
      <w:r>
        <w:rPr>
          <w:rFonts w:hint="eastAsia" w:ascii="宋体" w:hAnsi="宋体" w:eastAsia="宋体" w:cs="宋体"/>
          <w:b/>
          <w:sz w:val="32"/>
          <w:szCs w:val="32"/>
        </w:rPr>
        <w:br w:type="page"/>
      </w:r>
    </w:p>
    <w:p w14:paraId="1857DE62">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w:t>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 5 \* ROMAN </w:instrText>
      </w:r>
      <w:r>
        <w:rPr>
          <w:rFonts w:hint="eastAsia" w:ascii="宋体" w:hAnsi="宋体" w:eastAsia="宋体" w:cs="宋体"/>
          <w:b/>
          <w:sz w:val="36"/>
          <w:szCs w:val="36"/>
        </w:rPr>
        <w:fldChar w:fldCharType="separate"/>
      </w:r>
      <w:r>
        <w:rPr>
          <w:rFonts w:hint="eastAsia" w:ascii="宋体" w:hAnsi="宋体" w:eastAsia="宋体" w:cs="宋体"/>
          <w:b/>
          <w:sz w:val="36"/>
          <w:szCs w:val="36"/>
        </w:rPr>
        <w:t>V</w:t>
      </w:r>
      <w:r>
        <w:rPr>
          <w:rFonts w:hint="eastAsia" w:ascii="宋体" w:hAnsi="宋体" w:eastAsia="宋体" w:cs="宋体"/>
          <w:b/>
          <w:sz w:val="36"/>
          <w:szCs w:val="36"/>
        </w:rPr>
        <w:fldChar w:fldCharType="end"/>
      </w:r>
    </w:p>
    <w:p w14:paraId="7DFB2685">
      <w:pPr>
        <w:widowControl/>
        <w:spacing w:line="640" w:lineRule="exact"/>
        <w:jc w:val="center"/>
        <w:rPr>
          <w:rFonts w:hint="eastAsia" w:ascii="宋体" w:hAnsi="宋体" w:eastAsia="宋体" w:cs="宋体"/>
          <w:bCs/>
          <w:sz w:val="32"/>
          <w:szCs w:val="32"/>
        </w:rPr>
      </w:pPr>
      <w:r>
        <w:rPr>
          <w:rFonts w:hint="eastAsia" w:ascii="宋体" w:hAnsi="宋体" w:eastAsia="宋体" w:cs="宋体"/>
          <w:bCs/>
          <w:sz w:val="32"/>
          <w:szCs w:val="32"/>
        </w:rPr>
        <w:t>陕西省政府采购供应商</w:t>
      </w:r>
    </w:p>
    <w:p w14:paraId="2701C31D">
      <w:pPr>
        <w:widowControl/>
        <w:spacing w:line="640" w:lineRule="exact"/>
        <w:jc w:val="center"/>
        <w:rPr>
          <w:rFonts w:hint="eastAsia" w:ascii="宋体" w:hAnsi="宋体" w:eastAsia="宋体" w:cs="宋体"/>
          <w:bCs/>
          <w:sz w:val="32"/>
          <w:szCs w:val="32"/>
        </w:rPr>
      </w:pPr>
      <w:r>
        <w:rPr>
          <w:rFonts w:hint="eastAsia" w:ascii="宋体" w:hAnsi="宋体" w:eastAsia="宋体" w:cs="宋体"/>
          <w:bCs/>
          <w:sz w:val="32"/>
          <w:szCs w:val="32"/>
        </w:rPr>
        <w:t>拒绝政府采购领域商业贿赂承诺书</w:t>
      </w:r>
    </w:p>
    <w:p w14:paraId="09A700B0">
      <w:pPr>
        <w:jc w:val="center"/>
        <w:rPr>
          <w:rFonts w:hint="eastAsia" w:ascii="宋体" w:hAnsi="宋体" w:eastAsia="宋体" w:cs="宋体"/>
          <w:bCs/>
          <w:sz w:val="32"/>
          <w:szCs w:val="32"/>
        </w:rPr>
      </w:pPr>
      <w:r>
        <w:rPr>
          <w:rFonts w:hint="eastAsia" w:ascii="宋体" w:hAnsi="宋体" w:eastAsia="宋体" w:cs="宋体"/>
          <w:bCs/>
          <w:sz w:val="32"/>
          <w:szCs w:val="32"/>
        </w:rPr>
        <w:t>（执行陕财办采管[2006]21号文件）</w:t>
      </w:r>
    </w:p>
    <w:p w14:paraId="66D2088C">
      <w:pPr>
        <w:jc w:val="center"/>
        <w:rPr>
          <w:rFonts w:hint="eastAsia" w:ascii="宋体" w:hAnsi="宋体" w:eastAsia="宋体" w:cs="宋体"/>
          <w:bCs/>
          <w:sz w:val="24"/>
        </w:rPr>
      </w:pPr>
    </w:p>
    <w:p w14:paraId="229ECDEF">
      <w:pPr>
        <w:spacing w:line="360" w:lineRule="exact"/>
        <w:ind w:firstLine="480" w:firstLineChars="200"/>
        <w:rPr>
          <w:rFonts w:hint="eastAsia" w:ascii="宋体" w:hAnsi="宋体" w:eastAsia="宋体" w:cs="宋体"/>
          <w:sz w:val="24"/>
        </w:rPr>
      </w:pPr>
      <w:r>
        <w:rPr>
          <w:rFonts w:hint="eastAsia" w:ascii="宋体" w:hAnsi="宋体" w:eastAsia="宋体" w:cs="宋体"/>
          <w:sz w:val="24"/>
        </w:rPr>
        <w:t>为响应党中央、国务院关于治理政府采购领域商业贿赂行为的号召，我公司在此庄严承诺：</w:t>
      </w:r>
    </w:p>
    <w:p w14:paraId="414F12F4">
      <w:pPr>
        <w:spacing w:line="360" w:lineRule="exact"/>
        <w:ind w:firstLine="480" w:firstLineChars="200"/>
        <w:rPr>
          <w:rFonts w:hint="eastAsia" w:ascii="宋体" w:hAnsi="宋体" w:eastAsia="宋体" w:cs="宋体"/>
          <w:sz w:val="24"/>
        </w:rPr>
      </w:pPr>
      <w:r>
        <w:rPr>
          <w:rFonts w:hint="eastAsia" w:ascii="宋体" w:hAnsi="宋体" w:eastAsia="宋体" w:cs="宋体"/>
          <w:sz w:val="24"/>
        </w:rPr>
        <w:t>1、在参与政府采购活动中遵纪守法、诚信经营、公平竞标。</w:t>
      </w:r>
    </w:p>
    <w:p w14:paraId="1196FF46">
      <w:pPr>
        <w:spacing w:line="360" w:lineRule="exact"/>
        <w:ind w:firstLine="480" w:firstLineChars="200"/>
        <w:rPr>
          <w:rFonts w:hint="eastAsia" w:ascii="宋体" w:hAnsi="宋体" w:eastAsia="宋体" w:cs="宋体"/>
          <w:sz w:val="24"/>
        </w:rPr>
      </w:pPr>
      <w:r>
        <w:rPr>
          <w:rFonts w:hint="eastAsia" w:ascii="宋体" w:hAnsi="宋体" w:eastAsia="宋体" w:cs="宋体"/>
          <w:sz w:val="24"/>
        </w:rPr>
        <w:t>2、不向政府采购人、采购代理机构和政府采购评审专家进行任何形式的商业贿赂以谋取交易机会。</w:t>
      </w:r>
    </w:p>
    <w:p w14:paraId="68CBD1BB">
      <w:pPr>
        <w:spacing w:line="360" w:lineRule="exact"/>
        <w:ind w:firstLine="480" w:firstLineChars="200"/>
        <w:rPr>
          <w:rFonts w:hint="eastAsia" w:ascii="宋体" w:hAnsi="宋体" w:eastAsia="宋体" w:cs="宋体"/>
          <w:sz w:val="24"/>
        </w:rPr>
      </w:pPr>
      <w:r>
        <w:rPr>
          <w:rFonts w:hint="eastAsia" w:ascii="宋体" w:hAnsi="宋体" w:eastAsia="宋体" w:cs="宋体"/>
          <w:sz w:val="24"/>
        </w:rPr>
        <w:t>3、不向政府采购代理机构和采购人提供虚假资格文件或采用虚假应标方式参与政府采购市场竞争并谋取成交。</w:t>
      </w:r>
    </w:p>
    <w:p w14:paraId="6E39E0B3">
      <w:pPr>
        <w:spacing w:line="360" w:lineRule="exact"/>
        <w:ind w:firstLine="480" w:firstLineChars="200"/>
        <w:rPr>
          <w:rFonts w:hint="eastAsia" w:ascii="宋体" w:hAnsi="宋体" w:eastAsia="宋体" w:cs="宋体"/>
          <w:sz w:val="24"/>
        </w:rPr>
      </w:pPr>
      <w:r>
        <w:rPr>
          <w:rFonts w:hint="eastAsia" w:ascii="宋体" w:hAnsi="宋体" w:eastAsia="宋体" w:cs="宋体"/>
          <w:sz w:val="24"/>
        </w:rPr>
        <w:t>4、不采取“围标、陪标”等商业欺诈手段获得政府采购定单。</w:t>
      </w:r>
    </w:p>
    <w:p w14:paraId="3D6E3734">
      <w:pPr>
        <w:spacing w:line="360" w:lineRule="exact"/>
        <w:ind w:firstLine="480" w:firstLineChars="200"/>
        <w:rPr>
          <w:rFonts w:hint="eastAsia" w:ascii="宋体" w:hAnsi="宋体" w:eastAsia="宋体" w:cs="宋体"/>
          <w:sz w:val="24"/>
        </w:rPr>
      </w:pPr>
      <w:r>
        <w:rPr>
          <w:rFonts w:hint="eastAsia" w:ascii="宋体" w:hAnsi="宋体" w:eastAsia="宋体" w:cs="宋体"/>
          <w:sz w:val="24"/>
        </w:rPr>
        <w:t>5、不采取不正当手段诋毁、排挤其他供应商。</w:t>
      </w:r>
    </w:p>
    <w:p w14:paraId="48488940">
      <w:pPr>
        <w:spacing w:line="360" w:lineRule="exact"/>
        <w:ind w:firstLine="480" w:firstLineChars="200"/>
        <w:rPr>
          <w:rFonts w:hint="eastAsia" w:ascii="宋体" w:hAnsi="宋体" w:eastAsia="宋体" w:cs="宋体"/>
          <w:sz w:val="24"/>
        </w:rPr>
      </w:pPr>
      <w:r>
        <w:rPr>
          <w:rFonts w:hint="eastAsia" w:ascii="宋体" w:hAnsi="宋体" w:eastAsia="宋体" w:cs="宋体"/>
          <w:sz w:val="24"/>
        </w:rPr>
        <w:t>6、不在提供商品和服务时“偷梁换柱、以次充好”损害采购人的合法权益。</w:t>
      </w:r>
    </w:p>
    <w:p w14:paraId="21C64168">
      <w:pPr>
        <w:spacing w:line="360" w:lineRule="exact"/>
        <w:ind w:firstLine="480" w:firstLineChars="200"/>
        <w:rPr>
          <w:rFonts w:hint="eastAsia" w:ascii="宋体" w:hAnsi="宋体" w:eastAsia="宋体" w:cs="宋体"/>
          <w:sz w:val="24"/>
        </w:rPr>
      </w:pPr>
      <w:r>
        <w:rPr>
          <w:rFonts w:hint="eastAsia" w:ascii="宋体" w:hAnsi="宋体" w:eastAsia="宋体" w:cs="宋体"/>
          <w:sz w:val="24"/>
        </w:rPr>
        <w:t>7、不与采购人、采购代理机构政府采购评审专家或其它供应商恶意串通，进行质疑和投诉，维护政府采购市场秩序。</w:t>
      </w:r>
    </w:p>
    <w:p w14:paraId="4DC7EE80">
      <w:pPr>
        <w:spacing w:line="360" w:lineRule="exact"/>
        <w:ind w:firstLine="480" w:firstLineChars="200"/>
        <w:rPr>
          <w:rFonts w:hint="eastAsia" w:ascii="宋体" w:hAnsi="宋体" w:eastAsia="宋体" w:cs="宋体"/>
          <w:sz w:val="24"/>
        </w:rPr>
      </w:pPr>
      <w:r>
        <w:rPr>
          <w:rFonts w:hint="eastAsia" w:ascii="宋体" w:hAnsi="宋体" w:eastAsia="宋体" w:cs="宋体"/>
          <w:sz w:val="24"/>
        </w:rPr>
        <w:t>8、尊重和接受政府采购监督管理部门的监督和政府采购代理机构询价采购要求，承担因违约行为给采购人造成的损失。</w:t>
      </w:r>
    </w:p>
    <w:p w14:paraId="0A15756D">
      <w:pPr>
        <w:spacing w:line="360" w:lineRule="exact"/>
        <w:ind w:firstLine="480" w:firstLineChars="200"/>
        <w:rPr>
          <w:rFonts w:hint="eastAsia" w:ascii="宋体" w:hAnsi="宋体" w:eastAsia="宋体" w:cs="宋体"/>
          <w:sz w:val="24"/>
        </w:rPr>
      </w:pPr>
      <w:r>
        <w:rPr>
          <w:rFonts w:hint="eastAsia" w:ascii="宋体" w:hAnsi="宋体" w:eastAsia="宋体" w:cs="宋体"/>
          <w:sz w:val="24"/>
        </w:rPr>
        <w:t>9、不发生其他有悖于政府采购公开、公平、公正和诚信原则的行为。</w:t>
      </w:r>
    </w:p>
    <w:p w14:paraId="744690AA">
      <w:pPr>
        <w:spacing w:line="360" w:lineRule="exact"/>
        <w:ind w:firstLine="480" w:firstLineChars="200"/>
        <w:rPr>
          <w:rFonts w:hint="eastAsia" w:ascii="宋体" w:hAnsi="宋体" w:eastAsia="宋体" w:cs="宋体"/>
          <w:sz w:val="24"/>
        </w:rPr>
      </w:pPr>
    </w:p>
    <w:p w14:paraId="5228C131">
      <w:pPr>
        <w:spacing w:line="360" w:lineRule="exact"/>
        <w:ind w:firstLine="480" w:firstLineChars="200"/>
        <w:rPr>
          <w:rFonts w:hint="eastAsia" w:ascii="宋体" w:hAnsi="宋体" w:eastAsia="宋体" w:cs="宋体"/>
          <w:sz w:val="24"/>
        </w:rPr>
      </w:pPr>
    </w:p>
    <w:p w14:paraId="00886353">
      <w:pPr>
        <w:spacing w:line="500" w:lineRule="exact"/>
        <w:ind w:firstLine="480" w:firstLineChars="200"/>
        <w:rPr>
          <w:rFonts w:hint="eastAsia"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4"/>
          <w:u w:val="single"/>
        </w:rPr>
        <w:t xml:space="preserve">                                  </w:t>
      </w:r>
      <w:r>
        <w:rPr>
          <w:rFonts w:hint="eastAsia" w:ascii="宋体" w:hAnsi="宋体" w:eastAsia="宋体" w:cs="宋体"/>
          <w:sz w:val="24"/>
        </w:rPr>
        <w:t xml:space="preserve">（盖章） </w:t>
      </w:r>
    </w:p>
    <w:p w14:paraId="0B57178F">
      <w:pPr>
        <w:spacing w:line="500" w:lineRule="exact"/>
        <w:ind w:firstLine="420" w:firstLineChars="175"/>
        <w:rPr>
          <w:rFonts w:hint="eastAsia" w:ascii="宋体" w:hAnsi="宋体" w:eastAsia="宋体" w:cs="宋体"/>
          <w:sz w:val="24"/>
        </w:rPr>
      </w:pPr>
      <w:r>
        <w:rPr>
          <w:rFonts w:hint="eastAsia" w:ascii="宋体" w:hAnsi="宋体" w:eastAsia="宋体" w:cs="宋体"/>
          <w:sz w:val="24"/>
        </w:rPr>
        <w:t>全权代表：</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272F8977">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地  址：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5B96844">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电  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4E1EC95">
      <w:pPr>
        <w:spacing w:line="500" w:lineRule="exact"/>
        <w:ind w:firstLine="480" w:firstLineChars="200"/>
        <w:rPr>
          <w:rFonts w:hint="eastAsia" w:ascii="宋体" w:hAnsi="宋体" w:eastAsia="宋体" w:cs="宋体"/>
          <w:sz w:val="24"/>
        </w:rPr>
      </w:pPr>
      <w:r>
        <w:rPr>
          <w:rFonts w:hint="eastAsia" w:ascii="宋体" w:hAnsi="宋体" w:eastAsia="宋体" w:cs="宋体"/>
          <w:sz w:val="24"/>
        </w:rPr>
        <w:t>邮  编：</w:t>
      </w:r>
      <w:r>
        <w:rPr>
          <w:rFonts w:hint="eastAsia" w:ascii="宋体" w:hAnsi="宋体" w:eastAsia="宋体" w:cs="宋体"/>
          <w:sz w:val="24"/>
          <w:u w:val="single"/>
        </w:rPr>
        <w:t xml:space="preserve">                                   </w:t>
      </w:r>
    </w:p>
    <w:p w14:paraId="3A3DD344">
      <w:pPr>
        <w:spacing w:line="50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日</w:t>
      </w:r>
    </w:p>
    <w:p w14:paraId="70DEA7F3">
      <w:pPr>
        <w:rPr>
          <w:rFonts w:hint="eastAsia" w:ascii="宋体" w:hAnsi="宋体" w:eastAsia="宋体" w:cs="宋体"/>
          <w:b/>
          <w:bCs/>
          <w:sz w:val="30"/>
          <w:szCs w:val="30"/>
        </w:rPr>
      </w:pPr>
      <w:r>
        <w:rPr>
          <w:rFonts w:hint="eastAsia" w:ascii="宋体" w:hAnsi="宋体" w:eastAsia="宋体" w:cs="宋体"/>
          <w:b/>
          <w:bCs/>
          <w:sz w:val="30"/>
          <w:szCs w:val="30"/>
        </w:rPr>
        <w:br w:type="page"/>
      </w:r>
    </w:p>
    <w:p w14:paraId="28DE03B9">
      <w:pPr>
        <w:jc w:val="center"/>
        <w:rPr>
          <w:rFonts w:hint="eastAsia" w:ascii="宋体" w:hAnsi="宋体" w:eastAsia="宋体" w:cs="宋体"/>
          <w:b/>
          <w:bCs/>
          <w:sz w:val="30"/>
          <w:szCs w:val="30"/>
        </w:rPr>
      </w:pPr>
      <w:r>
        <w:rPr>
          <w:rFonts w:hint="eastAsia" w:ascii="宋体" w:hAnsi="宋体" w:eastAsia="宋体" w:cs="宋体"/>
          <w:b/>
          <w:bCs/>
          <w:sz w:val="30"/>
          <w:szCs w:val="30"/>
        </w:rPr>
        <w:t>八、供应商认为有必要补充说明的事项</w:t>
      </w:r>
    </w:p>
    <w:p w14:paraId="6841A027">
      <w:pPr>
        <w:rPr>
          <w:rFonts w:hint="eastAsia" w:ascii="宋体" w:hAnsi="宋体" w:eastAsia="宋体" w:cs="宋体"/>
          <w:b/>
          <w:bCs/>
          <w:sz w:val="28"/>
          <w:szCs w:val="28"/>
        </w:rPr>
      </w:pPr>
      <w:r>
        <w:rPr>
          <w:rFonts w:hint="eastAsia" w:ascii="宋体" w:hAnsi="宋体" w:eastAsia="宋体" w:cs="宋体"/>
          <w:b/>
          <w:bCs/>
          <w:sz w:val="28"/>
          <w:szCs w:val="28"/>
        </w:rPr>
        <w:br w:type="page"/>
      </w:r>
    </w:p>
    <w:p w14:paraId="38A9F11A">
      <w:pPr>
        <w:pStyle w:val="3"/>
        <w:jc w:val="both"/>
        <w:rPr>
          <w:rFonts w:hint="eastAsia" w:ascii="宋体" w:hAnsi="宋体" w:eastAsia="宋体" w:cs="宋体"/>
          <w:szCs w:val="28"/>
        </w:rPr>
      </w:pPr>
      <w:r>
        <w:rPr>
          <w:rFonts w:hint="eastAsia" w:ascii="宋体" w:hAnsi="宋体" w:eastAsia="宋体" w:cs="宋体"/>
          <w:spacing w:val="4"/>
          <w:szCs w:val="28"/>
        </w:rPr>
        <w:t>附件：</w:t>
      </w:r>
    </w:p>
    <w:p w14:paraId="6A9352BA">
      <w:pPr>
        <w:pStyle w:val="3"/>
        <w:rPr>
          <w:rFonts w:hint="eastAsia" w:ascii="宋体" w:hAnsi="宋体" w:eastAsia="宋体" w:cs="宋体"/>
        </w:rPr>
      </w:pPr>
      <w:r>
        <w:rPr>
          <w:rFonts w:hint="eastAsia" w:ascii="宋体" w:hAnsi="宋体" w:eastAsia="宋体" w:cs="宋体"/>
          <w:szCs w:val="28"/>
        </w:rPr>
        <w:t>一、</w:t>
      </w:r>
      <w:bookmarkStart w:id="20" w:name="_Toc7134"/>
      <w:r>
        <w:rPr>
          <w:rFonts w:hint="eastAsia" w:ascii="宋体" w:hAnsi="宋体" w:eastAsia="宋体" w:cs="宋体"/>
        </w:rPr>
        <w:t>中小企业声明函（货物）</w:t>
      </w:r>
      <w:bookmarkEnd w:id="20"/>
    </w:p>
    <w:p w14:paraId="30D99312">
      <w:pPr>
        <w:pStyle w:val="6"/>
        <w:spacing w:before="1" w:line="360" w:lineRule="auto"/>
        <w:ind w:right="288" w:firstLine="480" w:firstLineChars="20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（企业名称）</w:t>
      </w:r>
      <w:r>
        <w:rPr>
          <w:rFonts w:hint="eastAsia" w:ascii="宋体" w:hAnsi="宋体" w:eastAsia="宋体" w:cs="宋体"/>
          <w:color w:val="auto"/>
        </w:rPr>
        <w:t>的</w:t>
      </w:r>
      <w:r>
        <w:rPr>
          <w:rFonts w:hint="eastAsia" w:ascii="宋体" w:hAnsi="宋体" w:eastAsia="宋体" w:cs="宋体"/>
          <w:color w:val="auto"/>
          <w:u w:val="single"/>
        </w:rPr>
        <w:t>（采购项目名称）</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14:paraId="25EBE9CA">
      <w:pPr>
        <w:widowControl/>
        <w:spacing w:line="360" w:lineRule="auto"/>
        <w:ind w:right="256" w:rightChars="122" w:firstLine="480" w:firstLineChars="200"/>
        <w:jc w:val="left"/>
        <w:rPr>
          <w:rFonts w:hint="eastAsia"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kern w:val="0"/>
          <w:sz w:val="24"/>
          <w:u w:val="single"/>
          <w:lang w:bidi="ar"/>
        </w:rPr>
        <w:t xml:space="preserve">（标的名称） </w:t>
      </w:r>
      <w:r>
        <w:rPr>
          <w:rFonts w:hint="eastAsia" w:ascii="宋体" w:hAnsi="宋体" w:eastAsia="宋体" w:cs="宋体"/>
          <w:kern w:val="0"/>
          <w:sz w:val="24"/>
          <w:lang w:bidi="ar"/>
        </w:rPr>
        <w:t>，属于</w:t>
      </w:r>
      <w:r>
        <w:rPr>
          <w:rFonts w:hint="eastAsia" w:ascii="宋体" w:hAnsi="宋体" w:eastAsia="宋体" w:cs="宋体"/>
          <w:kern w:val="0"/>
          <w:sz w:val="24"/>
          <w:u w:val="single"/>
          <w:lang w:bidi="ar"/>
        </w:rPr>
        <w:t>（采购文件中明确的所属行业）行业</w:t>
      </w:r>
      <w:r>
        <w:rPr>
          <w:rFonts w:hint="eastAsia" w:ascii="宋体" w:hAnsi="宋体" w:eastAsia="宋体" w:cs="宋体"/>
          <w:kern w:val="0"/>
          <w:sz w:val="24"/>
          <w:lang w:bidi="ar"/>
        </w:rPr>
        <w:t>；制造商为</w:t>
      </w:r>
      <w:r>
        <w:rPr>
          <w:rFonts w:hint="eastAsia" w:ascii="宋体" w:hAnsi="宋体" w:eastAsia="宋体" w:cs="宋体"/>
          <w:kern w:val="0"/>
          <w:sz w:val="24"/>
          <w:u w:val="single"/>
          <w:lang w:bidi="ar"/>
        </w:rPr>
        <w:t>（企业名称）</w:t>
      </w:r>
      <w:r>
        <w:rPr>
          <w:rFonts w:hint="eastAsia" w:ascii="宋体" w:hAnsi="宋体" w:eastAsia="宋体" w:cs="宋体"/>
          <w:kern w:val="0"/>
          <w:sz w:val="24"/>
          <w:lang w:bidi="ar"/>
        </w:rPr>
        <w:t>，从业人员</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人，营业收入为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万元，资产总额为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万元，属于</w:t>
      </w:r>
      <w:r>
        <w:rPr>
          <w:rFonts w:hint="eastAsia" w:ascii="宋体" w:hAnsi="宋体" w:eastAsia="宋体" w:cs="宋体"/>
          <w:kern w:val="0"/>
          <w:sz w:val="24"/>
          <w:u w:val="single"/>
          <w:lang w:bidi="ar"/>
        </w:rPr>
        <w:t>（中型企业、小型企业、微型企业）</w:t>
      </w:r>
      <w:r>
        <w:rPr>
          <w:rFonts w:hint="eastAsia" w:ascii="宋体" w:hAnsi="宋体" w:eastAsia="宋体" w:cs="宋体"/>
          <w:kern w:val="0"/>
          <w:sz w:val="24"/>
          <w:lang w:bidi="ar"/>
        </w:rPr>
        <w:t xml:space="preserve">； </w:t>
      </w:r>
    </w:p>
    <w:p w14:paraId="6674B276">
      <w:pPr>
        <w:widowControl/>
        <w:spacing w:line="360" w:lineRule="auto"/>
        <w:ind w:right="256" w:rightChars="122" w:firstLine="480" w:firstLineChars="200"/>
        <w:jc w:val="left"/>
        <w:rPr>
          <w:rFonts w:hint="eastAsia" w:ascii="宋体" w:hAnsi="宋体" w:eastAsia="宋体" w:cs="宋体"/>
          <w:sz w:val="24"/>
        </w:rPr>
      </w:pPr>
      <w:r>
        <w:rPr>
          <w:rFonts w:hint="eastAsia" w:ascii="宋体" w:hAnsi="宋体" w:eastAsia="宋体" w:cs="宋体"/>
          <w:kern w:val="0"/>
          <w:sz w:val="24"/>
          <w:lang w:bidi="ar"/>
        </w:rPr>
        <w:t>2.</w:t>
      </w:r>
      <w:r>
        <w:rPr>
          <w:rFonts w:hint="eastAsia" w:ascii="宋体" w:hAnsi="宋体" w:eastAsia="宋体" w:cs="宋体"/>
          <w:kern w:val="0"/>
          <w:sz w:val="24"/>
          <w:u w:val="single"/>
          <w:lang w:bidi="ar"/>
        </w:rPr>
        <w:t xml:space="preserve">（标的名称） </w:t>
      </w:r>
      <w:r>
        <w:rPr>
          <w:rFonts w:hint="eastAsia" w:ascii="宋体" w:hAnsi="宋体" w:eastAsia="宋体" w:cs="宋体"/>
          <w:kern w:val="0"/>
          <w:sz w:val="24"/>
          <w:lang w:bidi="ar"/>
        </w:rPr>
        <w:t>，属于</w:t>
      </w:r>
      <w:r>
        <w:rPr>
          <w:rFonts w:hint="eastAsia" w:ascii="宋体" w:hAnsi="宋体" w:eastAsia="宋体" w:cs="宋体"/>
          <w:kern w:val="0"/>
          <w:sz w:val="24"/>
          <w:u w:val="single"/>
          <w:lang w:bidi="ar"/>
        </w:rPr>
        <w:t>（采购文件中明确的所属行业）行业</w:t>
      </w:r>
      <w:r>
        <w:rPr>
          <w:rFonts w:hint="eastAsia" w:ascii="宋体" w:hAnsi="宋体" w:eastAsia="宋体" w:cs="宋体"/>
          <w:kern w:val="0"/>
          <w:sz w:val="24"/>
          <w:lang w:bidi="ar"/>
        </w:rPr>
        <w:t>；制造商为</w:t>
      </w:r>
      <w:r>
        <w:rPr>
          <w:rFonts w:hint="eastAsia" w:ascii="宋体" w:hAnsi="宋体" w:eastAsia="宋体" w:cs="宋体"/>
          <w:kern w:val="0"/>
          <w:sz w:val="24"/>
          <w:u w:val="single"/>
          <w:lang w:bidi="ar"/>
        </w:rPr>
        <w:t>（企业名称）</w:t>
      </w:r>
      <w:r>
        <w:rPr>
          <w:rFonts w:hint="eastAsia" w:ascii="宋体" w:hAnsi="宋体" w:eastAsia="宋体" w:cs="宋体"/>
          <w:kern w:val="0"/>
          <w:sz w:val="24"/>
          <w:lang w:bidi="ar"/>
        </w:rPr>
        <w:t>，从业人员</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人，营业收入为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万元，资产总额为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万元，属于</w:t>
      </w:r>
      <w:r>
        <w:rPr>
          <w:rFonts w:hint="eastAsia" w:ascii="宋体" w:hAnsi="宋体" w:eastAsia="宋体" w:cs="宋体"/>
          <w:kern w:val="0"/>
          <w:sz w:val="24"/>
          <w:u w:val="single"/>
          <w:lang w:bidi="ar"/>
        </w:rPr>
        <w:t>（中型企业、小型企业、微型企业）</w:t>
      </w:r>
      <w:r>
        <w:rPr>
          <w:rFonts w:hint="eastAsia" w:ascii="宋体" w:hAnsi="宋体" w:eastAsia="宋体" w:cs="宋体"/>
          <w:kern w:val="0"/>
          <w:sz w:val="24"/>
          <w:lang w:bidi="ar"/>
        </w:rPr>
        <w:t xml:space="preserve">； </w:t>
      </w:r>
    </w:p>
    <w:p w14:paraId="25EF4F08">
      <w:pPr>
        <w:pStyle w:val="6"/>
        <w:spacing w:line="360" w:lineRule="auto"/>
        <w:ind w:left="218" w:right="256" w:rightChars="122"/>
        <w:rPr>
          <w:rFonts w:hint="eastAsia" w:ascii="宋体" w:hAnsi="宋体" w:eastAsia="宋体" w:cs="宋体"/>
          <w:color w:val="auto"/>
        </w:rPr>
      </w:pPr>
      <w:r>
        <w:rPr>
          <w:rFonts w:hint="eastAsia" w:ascii="宋体" w:hAnsi="宋体" w:eastAsia="宋体" w:cs="宋体"/>
          <w:color w:val="auto"/>
        </w:rPr>
        <w:t>……</w:t>
      </w:r>
    </w:p>
    <w:p w14:paraId="68B7AA8A">
      <w:pPr>
        <w:pStyle w:val="6"/>
        <w:spacing w:before="155" w:line="360" w:lineRule="auto"/>
        <w:ind w:right="363" w:firstLine="48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691658A8">
      <w:pPr>
        <w:pStyle w:val="6"/>
        <w:spacing w:line="360" w:lineRule="auto"/>
        <w:ind w:right="368" w:rightChars="175" w:firstLine="48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19540DC9">
      <w:pPr>
        <w:pStyle w:val="6"/>
        <w:spacing w:before="172" w:line="360" w:lineRule="auto"/>
        <w:ind w:left="227" w:leftChars="108" w:right="-54" w:firstLine="2620" w:firstLineChars="1092"/>
        <w:rPr>
          <w:rFonts w:hint="eastAsia" w:ascii="宋体" w:hAnsi="宋体" w:eastAsia="宋体" w:cs="宋体"/>
          <w:color w:val="auto"/>
          <w:u w:val="single"/>
        </w:rPr>
      </w:pPr>
      <w:r>
        <w:rPr>
          <w:rFonts w:hint="eastAsia" w:ascii="宋体" w:hAnsi="宋体" w:eastAsia="宋体" w:cs="宋体"/>
          <w:color w:val="auto"/>
        </w:rPr>
        <w:t>企业名称（盖章）：</w:t>
      </w:r>
      <w:r>
        <w:rPr>
          <w:rFonts w:hint="eastAsia" w:ascii="宋体" w:hAnsi="宋体" w:eastAsia="宋体" w:cs="宋体"/>
          <w:color w:val="auto"/>
          <w:u w:val="single"/>
        </w:rPr>
        <w:t xml:space="preserve">                  </w:t>
      </w:r>
    </w:p>
    <w:p w14:paraId="48A188F3">
      <w:pPr>
        <w:pStyle w:val="6"/>
        <w:spacing w:before="172" w:line="360" w:lineRule="auto"/>
        <w:ind w:left="227" w:leftChars="108" w:right="-54" w:firstLine="2620" w:firstLineChars="1092"/>
        <w:rPr>
          <w:rFonts w:hint="eastAsia" w:ascii="宋体" w:hAnsi="宋体" w:eastAsia="宋体" w:cs="宋体"/>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14:paraId="780F9D34">
      <w:pPr>
        <w:spacing w:line="480" w:lineRule="exact"/>
        <w:ind w:firstLine="480" w:firstLineChars="200"/>
        <w:jc w:val="left"/>
        <w:rPr>
          <w:rFonts w:hint="eastAsia" w:ascii="宋体" w:hAnsi="宋体" w:eastAsia="宋体" w:cs="宋体"/>
          <w:bCs/>
          <w:sz w:val="24"/>
        </w:rPr>
      </w:pPr>
      <w:r>
        <w:rPr>
          <w:rFonts w:hint="eastAsia" w:ascii="宋体" w:hAnsi="宋体" w:eastAsia="宋体" w:cs="宋体"/>
          <w:bCs/>
          <w:sz w:val="24"/>
        </w:rPr>
        <w:t>注：¹从业人员、营业收入、资产总额填报上一年度数据，无上一年度数据的新成立企业可不填报。</w:t>
      </w:r>
    </w:p>
    <w:p w14:paraId="0A0EC64F">
      <w:pPr>
        <w:jc w:val="left"/>
        <w:rPr>
          <w:rFonts w:hint="eastAsia" w:ascii="宋体" w:hAnsi="宋体" w:eastAsia="宋体" w:cs="宋体"/>
          <w:b/>
          <w:sz w:val="24"/>
        </w:rPr>
      </w:pPr>
      <w:r>
        <w:rPr>
          <w:rFonts w:hint="eastAsia" w:ascii="宋体" w:hAnsi="宋体" w:eastAsia="宋体" w:cs="宋体"/>
          <w:b/>
          <w:bCs/>
          <w:sz w:val="32"/>
          <w:szCs w:val="32"/>
        </w:rPr>
        <w:t xml:space="preserve">   </w:t>
      </w:r>
      <w:r>
        <w:rPr>
          <w:rFonts w:hint="eastAsia" w:ascii="宋体" w:hAnsi="宋体" w:eastAsia="宋体" w:cs="宋体"/>
          <w:b/>
          <w:sz w:val="24"/>
        </w:rPr>
        <w:t>备注：</w:t>
      </w:r>
    </w:p>
    <w:p w14:paraId="215D8FB5">
      <w:pPr>
        <w:spacing w:line="360" w:lineRule="auto"/>
        <w:ind w:firstLine="482"/>
        <w:rPr>
          <w:rFonts w:hint="eastAsia" w:ascii="宋体" w:hAnsi="宋体" w:eastAsia="宋体" w:cs="宋体"/>
          <w:b/>
          <w:sz w:val="24"/>
          <w:szCs w:val="22"/>
        </w:rPr>
      </w:pPr>
      <w:r>
        <w:rPr>
          <w:rFonts w:hint="eastAsia" w:ascii="宋体" w:hAnsi="宋体" w:eastAsia="宋体" w:cs="宋体"/>
          <w:b/>
          <w:sz w:val="24"/>
        </w:rPr>
        <w:t>1.</w:t>
      </w:r>
      <w:r>
        <w:rPr>
          <w:rFonts w:hint="eastAsia" w:ascii="宋体" w:hAnsi="宋体" w:eastAsia="宋体" w:cs="宋体"/>
          <w:b/>
          <w:sz w:val="24"/>
          <w:szCs w:val="22"/>
        </w:rPr>
        <w:t>供应商提供《中小企业声明函》的需保证其真实性，如经查实存在虚假证明的情况，由供应商承担相应责任。由供应商承担相应责任。</w:t>
      </w:r>
    </w:p>
    <w:p w14:paraId="1D5EE4CE">
      <w:pPr>
        <w:pStyle w:val="13"/>
        <w:spacing w:line="360" w:lineRule="auto"/>
        <w:ind w:firstLine="482" w:firstLineChars="200"/>
        <w:jc w:val="both"/>
        <w:rPr>
          <w:rFonts w:hint="eastAsia" w:ascii="宋体" w:hAnsi="宋体" w:eastAsia="宋体" w:cs="宋体"/>
          <w:sz w:val="24"/>
          <w:szCs w:val="22"/>
        </w:rPr>
      </w:pPr>
      <w:r>
        <w:rPr>
          <w:rFonts w:hint="eastAsia" w:ascii="宋体" w:hAnsi="宋体" w:eastAsia="宋体" w:cs="宋体"/>
          <w:sz w:val="24"/>
          <w:szCs w:val="22"/>
          <w:lang w:val="en-US" w:eastAsia="zh-CN"/>
        </w:rPr>
        <w:t>2</w:t>
      </w:r>
      <w:r>
        <w:rPr>
          <w:rFonts w:hint="eastAsia" w:ascii="宋体" w:hAnsi="宋体" w:eastAsia="宋体" w:cs="宋体"/>
          <w:sz w:val="24"/>
          <w:szCs w:val="22"/>
        </w:rPr>
        <w:t>.本项目不专门面向中小企业。</w:t>
      </w:r>
    </w:p>
    <w:p w14:paraId="70883927">
      <w:pPr>
        <w:pStyle w:val="13"/>
        <w:spacing w:line="360" w:lineRule="auto"/>
        <w:ind w:firstLine="482" w:firstLineChars="200"/>
        <w:jc w:val="both"/>
        <w:rPr>
          <w:rFonts w:hint="eastAsia" w:ascii="宋体" w:hAnsi="宋体" w:eastAsia="宋体" w:cs="宋体"/>
          <w:sz w:val="24"/>
          <w:szCs w:val="22"/>
        </w:rPr>
        <w:sectPr>
          <w:headerReference r:id="rId10" w:type="default"/>
          <w:footerReference r:id="rId11" w:type="default"/>
          <w:footerReference r:id="rId12" w:type="even"/>
          <w:pgSz w:w="11906" w:h="16838"/>
          <w:pgMar w:top="1440" w:right="1800" w:bottom="1440" w:left="1800" w:header="851" w:footer="992" w:gutter="0"/>
          <w:cols w:space="720" w:num="1"/>
          <w:titlePg/>
          <w:docGrid w:type="lines" w:linePitch="312" w:charSpace="0"/>
        </w:sectPr>
      </w:pPr>
      <w:r>
        <w:rPr>
          <w:rFonts w:hint="eastAsia" w:ascii="宋体" w:hAnsi="宋体" w:eastAsia="宋体" w:cs="宋体"/>
          <w:sz w:val="24"/>
          <w:szCs w:val="22"/>
          <w:lang w:val="en-US" w:eastAsia="zh-CN"/>
        </w:rPr>
        <w:t>3</w:t>
      </w:r>
      <w:r>
        <w:rPr>
          <w:rFonts w:hint="eastAsia" w:ascii="宋体" w:hAnsi="宋体" w:eastAsia="宋体" w:cs="宋体"/>
          <w:sz w:val="24"/>
          <w:szCs w:val="22"/>
        </w:rPr>
        <w:t>.本项目所属行业：</w:t>
      </w:r>
      <w:r>
        <w:rPr>
          <w:rFonts w:hint="eastAsia" w:ascii="宋体" w:hAnsi="宋体" w:eastAsia="宋体" w:cs="宋体"/>
          <w:sz w:val="24"/>
          <w:szCs w:val="22"/>
          <w:lang w:val="en-US" w:eastAsia="zh-CN"/>
        </w:rPr>
        <w:t>工业</w:t>
      </w:r>
      <w:r>
        <w:rPr>
          <w:rFonts w:hint="eastAsia" w:ascii="宋体" w:hAnsi="宋体" w:eastAsia="宋体" w:cs="宋体"/>
          <w:sz w:val="24"/>
          <w:szCs w:val="22"/>
        </w:rPr>
        <w:t>。</w:t>
      </w:r>
    </w:p>
    <w:p w14:paraId="2AD58397">
      <w:pPr>
        <w:tabs>
          <w:tab w:val="left" w:pos="1755"/>
        </w:tab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kern w:val="0"/>
          <w:sz w:val="28"/>
          <w:szCs w:val="28"/>
          <w:lang w:val="zh-CN"/>
        </w:rPr>
        <w:t>残疾人福利性单位声明函（非</w:t>
      </w:r>
      <w:r>
        <w:rPr>
          <w:rFonts w:hint="eastAsia" w:ascii="宋体" w:hAnsi="宋体" w:eastAsia="宋体" w:cs="宋体"/>
          <w:b/>
          <w:bCs/>
          <w:sz w:val="28"/>
          <w:szCs w:val="28"/>
        </w:rPr>
        <w:t>残疾人福利企业</w:t>
      </w:r>
      <w:r>
        <w:rPr>
          <w:rFonts w:hint="eastAsia" w:ascii="宋体" w:hAnsi="宋体" w:eastAsia="宋体" w:cs="宋体"/>
          <w:b/>
          <w:kern w:val="0"/>
          <w:sz w:val="28"/>
          <w:szCs w:val="28"/>
          <w:lang w:val="zh-CN"/>
        </w:rPr>
        <w:t>不</w:t>
      </w:r>
      <w:r>
        <w:rPr>
          <w:rFonts w:hint="eastAsia" w:ascii="宋体" w:hAnsi="宋体" w:eastAsia="宋体" w:cs="宋体"/>
          <w:b/>
          <w:bCs/>
          <w:kern w:val="0"/>
          <w:sz w:val="28"/>
          <w:szCs w:val="28"/>
        </w:rPr>
        <w:t>填写</w:t>
      </w:r>
      <w:r>
        <w:rPr>
          <w:rFonts w:hint="eastAsia" w:ascii="宋体" w:hAnsi="宋体" w:eastAsia="宋体" w:cs="宋体"/>
          <w:b/>
          <w:kern w:val="0"/>
          <w:sz w:val="28"/>
          <w:szCs w:val="28"/>
          <w:lang w:val="zh-CN"/>
        </w:rPr>
        <w:t>）</w:t>
      </w:r>
    </w:p>
    <w:p w14:paraId="5C26057B">
      <w:pPr>
        <w:spacing w:line="360" w:lineRule="auto"/>
        <w:rPr>
          <w:rFonts w:hint="eastAsia" w:ascii="宋体" w:hAnsi="宋体" w:eastAsia="宋体" w:cs="宋体"/>
          <w:b/>
          <w:spacing w:val="6"/>
          <w:sz w:val="32"/>
          <w:szCs w:val="32"/>
          <w:shd w:val="pct10" w:color="auto" w:fill="FFFFFF"/>
        </w:rPr>
      </w:pPr>
    </w:p>
    <w:p w14:paraId="39AD206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项目采购活动提供本单位制造的服务（由本单位承担工程/提供服务），或者提供其他残疾人福利性单位制造的服务（不包括使用非残疾人福利性单位注册商标的服务）。</w:t>
      </w:r>
    </w:p>
    <w:p w14:paraId="41C16F74">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4DD9307">
      <w:pPr>
        <w:spacing w:line="360" w:lineRule="auto"/>
        <w:ind w:firstLine="480" w:firstLineChars="200"/>
        <w:rPr>
          <w:rFonts w:hint="eastAsia" w:ascii="宋体" w:hAnsi="宋体" w:eastAsia="宋体" w:cs="宋体"/>
          <w:sz w:val="24"/>
        </w:rPr>
      </w:pPr>
    </w:p>
    <w:p w14:paraId="335E3DDF">
      <w:pPr>
        <w:spacing w:line="360" w:lineRule="auto"/>
        <w:ind w:firstLine="480" w:firstLineChars="200"/>
        <w:rPr>
          <w:rFonts w:hint="eastAsia" w:ascii="宋体" w:hAnsi="宋体" w:eastAsia="宋体" w:cs="宋体"/>
          <w:sz w:val="24"/>
        </w:rPr>
      </w:pPr>
    </w:p>
    <w:p w14:paraId="4178750B">
      <w:pPr>
        <w:tabs>
          <w:tab w:val="left" w:pos="4860"/>
          <w:tab w:val="left" w:pos="8040"/>
          <w:tab w:val="left" w:pos="8160"/>
        </w:tabs>
        <w:spacing w:line="360" w:lineRule="auto"/>
        <w:ind w:right="862" w:firstLine="480" w:firstLineChars="200"/>
        <w:jc w:val="center"/>
        <w:rPr>
          <w:rFonts w:hint="eastAsia" w:ascii="宋体" w:hAnsi="宋体" w:eastAsia="宋体" w:cs="宋体"/>
          <w:sz w:val="24"/>
          <w:u w:val="single"/>
        </w:rPr>
      </w:pPr>
      <w:r>
        <w:rPr>
          <w:rFonts w:hint="eastAsia" w:ascii="宋体" w:hAnsi="宋体" w:eastAsia="宋体" w:cs="宋体"/>
          <w:sz w:val="24"/>
        </w:rPr>
        <w:t xml:space="preserve">               单位名称（盖章）：</w:t>
      </w:r>
      <w:r>
        <w:rPr>
          <w:rFonts w:hint="eastAsia" w:ascii="宋体" w:hAnsi="宋体" w:eastAsia="宋体" w:cs="宋体"/>
          <w:sz w:val="24"/>
          <w:u w:val="single"/>
        </w:rPr>
        <w:t xml:space="preserve">                   </w:t>
      </w:r>
    </w:p>
    <w:p w14:paraId="452F0974">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388A748B">
      <w:pPr>
        <w:tabs>
          <w:tab w:val="left" w:pos="4860"/>
        </w:tabs>
        <w:spacing w:line="360" w:lineRule="auto"/>
        <w:ind w:right="67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2A5C453">
      <w:pPr>
        <w:tabs>
          <w:tab w:val="left" w:pos="4860"/>
        </w:tabs>
        <w:spacing w:line="360" w:lineRule="auto"/>
        <w:ind w:right="1560" w:firstLine="480" w:firstLineChars="200"/>
        <w:jc w:val="center"/>
        <w:rPr>
          <w:rFonts w:hint="eastAsia" w:ascii="宋体" w:hAnsi="宋体" w:eastAsia="宋体" w:cs="宋体"/>
          <w:sz w:val="24"/>
        </w:rPr>
      </w:pPr>
    </w:p>
    <w:p w14:paraId="1C69771A">
      <w:pPr>
        <w:spacing w:line="360" w:lineRule="auto"/>
        <w:ind w:firstLine="506" w:firstLineChars="200"/>
        <w:rPr>
          <w:rFonts w:hint="eastAsia" w:ascii="宋体" w:hAnsi="宋体" w:eastAsia="宋体" w:cs="宋体"/>
          <w:b/>
          <w:spacing w:val="6"/>
          <w:sz w:val="24"/>
          <w:shd w:val="pct10" w:color="auto" w:fill="FFFFFF"/>
        </w:rPr>
      </w:pPr>
    </w:p>
    <w:p w14:paraId="150AD6D9">
      <w:pPr>
        <w:spacing w:line="360" w:lineRule="auto"/>
        <w:ind w:firstLine="506" w:firstLineChars="200"/>
        <w:rPr>
          <w:rFonts w:hint="eastAsia" w:ascii="宋体" w:hAnsi="宋体" w:eastAsia="宋体" w:cs="宋体"/>
          <w:b/>
          <w:spacing w:val="6"/>
          <w:sz w:val="24"/>
          <w:shd w:val="pct10" w:color="auto" w:fill="FFFFFF"/>
        </w:rPr>
      </w:pPr>
    </w:p>
    <w:p w14:paraId="5BE0F15C">
      <w:pPr>
        <w:kinsoku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备注：投标单位提供的《残疾人福利性单位声明函》必须真实有效，如果被举报经查实出具虚假声明函的，将被取消投标资格，并按有关规定予以处理。</w:t>
      </w:r>
    </w:p>
    <w:p w14:paraId="5F984EE8">
      <w:pPr>
        <w:tabs>
          <w:tab w:val="left" w:pos="1620"/>
          <w:tab w:val="left" w:pos="1800"/>
        </w:tabs>
        <w:spacing w:line="440" w:lineRule="exact"/>
        <w:ind w:right="540" w:rightChars="257"/>
        <w:rPr>
          <w:rFonts w:hint="eastAsia" w:ascii="宋体" w:hAnsi="宋体" w:eastAsia="宋体" w:cs="宋体"/>
        </w:rPr>
      </w:pPr>
    </w:p>
    <w:p w14:paraId="7117F71D">
      <w:pPr>
        <w:tabs>
          <w:tab w:val="left" w:pos="1620"/>
          <w:tab w:val="left" w:pos="1800"/>
        </w:tabs>
        <w:spacing w:line="440" w:lineRule="exact"/>
        <w:ind w:right="540" w:rightChars="257"/>
        <w:rPr>
          <w:rFonts w:hint="eastAsia" w:ascii="宋体" w:hAnsi="宋体" w:eastAsia="宋体" w:cs="宋体"/>
        </w:rPr>
      </w:pPr>
    </w:p>
    <w:p w14:paraId="3F7015C3">
      <w:pPr>
        <w:spacing w:line="520" w:lineRule="exact"/>
        <w:ind w:right="620"/>
        <w:jc w:val="right"/>
        <w:rPr>
          <w:rFonts w:hint="eastAsia" w:ascii="宋体" w:hAnsi="宋体" w:eastAsia="宋体" w:cs="宋体"/>
        </w:rPr>
      </w:pPr>
    </w:p>
    <w:p w14:paraId="49FFA7FD">
      <w:pPr>
        <w:pStyle w:val="6"/>
        <w:rPr>
          <w:rFonts w:hint="eastAsia" w:ascii="宋体" w:hAnsi="宋体" w:eastAsia="宋体" w:cs="宋体"/>
          <w:color w:val="auto"/>
        </w:rPr>
      </w:pPr>
    </w:p>
    <w:p w14:paraId="6FDC800E">
      <w:pPr>
        <w:pStyle w:val="6"/>
        <w:rPr>
          <w:rFonts w:hint="eastAsia" w:ascii="宋体" w:hAnsi="宋体" w:eastAsia="宋体" w:cs="宋体"/>
          <w:color w:val="auto"/>
        </w:rPr>
      </w:pPr>
    </w:p>
    <w:p w14:paraId="79298F8B">
      <w:pPr>
        <w:pStyle w:val="6"/>
        <w:rPr>
          <w:rFonts w:hint="eastAsia" w:ascii="宋体" w:hAnsi="宋体" w:eastAsia="宋体" w:cs="宋体"/>
          <w:color w:val="auto"/>
        </w:rPr>
      </w:pPr>
    </w:p>
    <w:p w14:paraId="4A74CE71">
      <w:pPr>
        <w:rPr>
          <w:rFonts w:hint="eastAsia" w:ascii="宋体" w:hAnsi="宋体" w:eastAsia="宋体" w:cs="宋体"/>
        </w:rPr>
      </w:pPr>
    </w:p>
    <w:p w14:paraId="7E20A422">
      <w:pPr>
        <w:pStyle w:val="9"/>
        <w:rPr>
          <w:rFonts w:hint="eastAsia" w:ascii="宋体" w:hAnsi="宋体" w:eastAsia="宋体" w:cs="宋体"/>
        </w:rPr>
      </w:pPr>
    </w:p>
    <w:p w14:paraId="45459972">
      <w:pPr>
        <w:pStyle w:val="9"/>
        <w:rPr>
          <w:rFonts w:hint="eastAsia" w:ascii="宋体" w:hAnsi="宋体" w:eastAsia="宋体" w:cs="宋体"/>
        </w:rPr>
      </w:pPr>
    </w:p>
    <w:p w14:paraId="1A1C963D">
      <w:pPr>
        <w:pStyle w:val="6"/>
        <w:rPr>
          <w:rFonts w:hint="eastAsia" w:ascii="宋体" w:hAnsi="宋体" w:eastAsia="宋体" w:cs="宋体"/>
          <w:color w:val="auto"/>
        </w:rPr>
      </w:pPr>
    </w:p>
    <w:p w14:paraId="55BC643F">
      <w:pPr>
        <w:rPr>
          <w:rFonts w:hint="eastAsia" w:ascii="宋体" w:hAnsi="宋体" w:eastAsia="宋体" w:cs="宋体"/>
          <w:b/>
          <w:kern w:val="0"/>
          <w:sz w:val="28"/>
          <w:szCs w:val="28"/>
        </w:rPr>
      </w:pPr>
      <w:r>
        <w:rPr>
          <w:rFonts w:hint="eastAsia" w:ascii="宋体" w:hAnsi="宋体" w:eastAsia="宋体" w:cs="宋体"/>
          <w:b/>
          <w:kern w:val="0"/>
          <w:sz w:val="28"/>
          <w:szCs w:val="28"/>
        </w:rPr>
        <w:br w:type="page"/>
      </w:r>
    </w:p>
    <w:p w14:paraId="375EA6AB">
      <w:pPr>
        <w:tabs>
          <w:tab w:val="left" w:pos="1755"/>
        </w:tabs>
        <w:spacing w:line="360" w:lineRule="auto"/>
        <w:jc w:val="center"/>
        <w:outlineLvl w:val="2"/>
        <w:rPr>
          <w:rFonts w:hint="eastAsia" w:ascii="宋体" w:hAnsi="宋体" w:eastAsia="宋体" w:cs="宋体"/>
          <w:b/>
          <w:kern w:val="0"/>
          <w:sz w:val="28"/>
          <w:szCs w:val="28"/>
          <w:lang w:val="zh-CN"/>
        </w:rPr>
      </w:pPr>
      <w:r>
        <w:rPr>
          <w:rFonts w:hint="eastAsia" w:ascii="宋体" w:hAnsi="宋体" w:eastAsia="宋体" w:cs="宋体"/>
          <w:b/>
          <w:bCs/>
          <w:sz w:val="28"/>
          <w:szCs w:val="28"/>
        </w:rPr>
        <w:t>（三）</w:t>
      </w:r>
      <w:r>
        <w:rPr>
          <w:rFonts w:hint="eastAsia" w:ascii="宋体" w:hAnsi="宋体" w:eastAsia="宋体" w:cs="宋体"/>
          <w:b/>
          <w:kern w:val="0"/>
          <w:sz w:val="28"/>
          <w:szCs w:val="28"/>
          <w:lang w:val="zh-CN"/>
        </w:rPr>
        <w:t>监狱企业声明函</w:t>
      </w:r>
    </w:p>
    <w:p w14:paraId="452CC989">
      <w:pPr>
        <w:tabs>
          <w:tab w:val="left" w:pos="1755"/>
        </w:tabs>
        <w:spacing w:line="360" w:lineRule="auto"/>
        <w:jc w:val="center"/>
        <w:outlineLvl w:val="2"/>
        <w:rPr>
          <w:rFonts w:hint="eastAsia" w:ascii="宋体" w:hAnsi="宋体" w:eastAsia="宋体" w:cs="宋体"/>
          <w:b/>
          <w:bCs/>
          <w:sz w:val="28"/>
          <w:szCs w:val="28"/>
        </w:rPr>
      </w:pPr>
      <w:r>
        <w:rPr>
          <w:rFonts w:hint="eastAsia" w:ascii="宋体" w:hAnsi="宋体" w:eastAsia="宋体" w:cs="宋体"/>
          <w:b/>
          <w:kern w:val="0"/>
          <w:sz w:val="28"/>
          <w:szCs w:val="28"/>
          <w:lang w:val="zh-CN"/>
        </w:rPr>
        <w:t>（非监狱企业不</w:t>
      </w:r>
      <w:r>
        <w:rPr>
          <w:rFonts w:hint="eastAsia" w:ascii="宋体" w:hAnsi="宋体" w:eastAsia="宋体" w:cs="宋体"/>
          <w:b/>
          <w:bCs/>
          <w:kern w:val="0"/>
          <w:sz w:val="28"/>
          <w:szCs w:val="28"/>
        </w:rPr>
        <w:t>填写，但必须提交空表</w:t>
      </w:r>
      <w:r>
        <w:rPr>
          <w:rFonts w:hint="eastAsia" w:ascii="宋体" w:hAnsi="宋体" w:eastAsia="宋体" w:cs="宋体"/>
          <w:b/>
          <w:kern w:val="0"/>
          <w:sz w:val="28"/>
          <w:szCs w:val="28"/>
          <w:lang w:val="zh-CN"/>
        </w:rPr>
        <w:t>）</w:t>
      </w:r>
    </w:p>
    <w:p w14:paraId="623C5752">
      <w:pPr>
        <w:spacing w:line="360" w:lineRule="atLeast"/>
        <w:rPr>
          <w:rFonts w:hint="eastAsia" w:ascii="宋体" w:hAnsi="宋体" w:eastAsia="宋体" w:cs="宋体"/>
          <w:sz w:val="32"/>
          <w:szCs w:val="32"/>
        </w:rPr>
      </w:pPr>
    </w:p>
    <w:p w14:paraId="3FEEDABA">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符合《关于政府采购支持监狱企业发展有关问题的通知》（财库〔2014〕68号）条件的监狱企业参加政府采购活动时，应当提供由省级以上监狱管理局、戒毒管理局（含新疆生产建设兵团）出具的属于监狱企业的证明文件。</w:t>
      </w:r>
    </w:p>
    <w:p w14:paraId="4949E7AA">
      <w:pPr>
        <w:spacing w:line="360" w:lineRule="atLeast"/>
        <w:rPr>
          <w:rFonts w:hint="eastAsia" w:ascii="宋体" w:hAnsi="宋体" w:eastAsia="宋体" w:cs="宋体"/>
          <w:sz w:val="32"/>
          <w:szCs w:val="32"/>
        </w:rPr>
      </w:pPr>
    </w:p>
    <w:p w14:paraId="33493349">
      <w:pPr>
        <w:pStyle w:val="15"/>
        <w:rPr>
          <w:rFonts w:hint="eastAsia" w:ascii="宋体" w:hAnsi="宋体" w:eastAsia="宋体" w:cs="宋体"/>
        </w:rPr>
      </w:pPr>
    </w:p>
    <w:p w14:paraId="1A4138C9">
      <w:pPr>
        <w:tabs>
          <w:tab w:val="left" w:pos="4860"/>
          <w:tab w:val="left" w:pos="8040"/>
          <w:tab w:val="left" w:pos="8160"/>
        </w:tabs>
        <w:spacing w:line="360" w:lineRule="auto"/>
        <w:ind w:right="862" w:firstLine="480" w:firstLineChars="200"/>
        <w:jc w:val="center"/>
        <w:rPr>
          <w:rFonts w:hint="eastAsia" w:ascii="宋体" w:hAnsi="宋体" w:eastAsia="宋体" w:cs="宋体"/>
          <w:sz w:val="24"/>
          <w:u w:val="single"/>
        </w:rPr>
      </w:pPr>
      <w:r>
        <w:rPr>
          <w:rFonts w:hint="eastAsia" w:ascii="宋体" w:hAnsi="宋体" w:eastAsia="宋体" w:cs="宋体"/>
          <w:sz w:val="24"/>
        </w:rPr>
        <w:t xml:space="preserve">        单位名称（盖章）：</w:t>
      </w:r>
      <w:r>
        <w:rPr>
          <w:rFonts w:hint="eastAsia" w:ascii="宋体" w:hAnsi="宋体" w:eastAsia="宋体" w:cs="宋体"/>
          <w:sz w:val="24"/>
          <w:u w:val="single"/>
        </w:rPr>
        <w:t xml:space="preserve">                   </w:t>
      </w:r>
    </w:p>
    <w:p w14:paraId="532C3283">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619AADF8">
      <w:pPr>
        <w:tabs>
          <w:tab w:val="left" w:pos="4860"/>
        </w:tabs>
        <w:spacing w:line="360" w:lineRule="auto"/>
        <w:ind w:right="67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610EFE5">
      <w:pPr>
        <w:tabs>
          <w:tab w:val="left" w:pos="1755"/>
        </w:tabs>
        <w:spacing w:line="500" w:lineRule="atLeast"/>
        <w:jc w:val="center"/>
        <w:outlineLvl w:val="1"/>
        <w:rPr>
          <w:rFonts w:hint="eastAsia" w:ascii="宋体" w:hAnsi="宋体" w:eastAsia="宋体" w:cs="宋体"/>
          <w:b/>
          <w:bCs/>
          <w:sz w:val="32"/>
          <w:szCs w:val="32"/>
        </w:rPr>
      </w:pPr>
    </w:p>
    <w:p w14:paraId="52CFCDC7">
      <w:pPr>
        <w:tabs>
          <w:tab w:val="left" w:pos="1755"/>
        </w:tabs>
        <w:spacing w:line="500" w:lineRule="atLeast"/>
        <w:jc w:val="center"/>
        <w:outlineLvl w:val="1"/>
        <w:rPr>
          <w:rFonts w:hint="eastAsia" w:ascii="宋体" w:hAnsi="宋体" w:eastAsia="宋体" w:cs="宋体"/>
          <w:b/>
          <w:bCs/>
          <w:sz w:val="32"/>
          <w:szCs w:val="32"/>
        </w:rPr>
      </w:pPr>
    </w:p>
    <w:p w14:paraId="09161DDE">
      <w:pPr>
        <w:tabs>
          <w:tab w:val="left" w:pos="1755"/>
        </w:tabs>
        <w:spacing w:line="500" w:lineRule="atLeast"/>
        <w:jc w:val="center"/>
        <w:outlineLvl w:val="1"/>
        <w:rPr>
          <w:rFonts w:hint="eastAsia" w:ascii="宋体" w:hAnsi="宋体" w:eastAsia="宋体" w:cs="宋体"/>
          <w:b/>
          <w:bCs/>
          <w:sz w:val="32"/>
          <w:szCs w:val="32"/>
        </w:rPr>
      </w:pPr>
    </w:p>
    <w:p w14:paraId="30848792">
      <w:pPr>
        <w:tabs>
          <w:tab w:val="left" w:pos="1755"/>
        </w:tabs>
        <w:spacing w:line="500" w:lineRule="atLeast"/>
        <w:jc w:val="center"/>
        <w:outlineLvl w:val="1"/>
        <w:rPr>
          <w:rFonts w:hint="eastAsia" w:ascii="宋体" w:hAnsi="宋体" w:eastAsia="宋体" w:cs="宋体"/>
          <w:b/>
          <w:bCs/>
          <w:sz w:val="32"/>
          <w:szCs w:val="32"/>
        </w:rPr>
      </w:pPr>
    </w:p>
    <w:p w14:paraId="6751AF2C">
      <w:pPr>
        <w:tabs>
          <w:tab w:val="left" w:pos="1755"/>
        </w:tabs>
        <w:spacing w:line="500" w:lineRule="atLeast"/>
        <w:outlineLvl w:val="1"/>
        <w:rPr>
          <w:rFonts w:hint="eastAsia" w:ascii="宋体" w:hAnsi="宋体" w:eastAsia="宋体" w:cs="宋体"/>
          <w:b/>
          <w:bCs/>
          <w:sz w:val="32"/>
          <w:szCs w:val="32"/>
        </w:rPr>
      </w:pPr>
    </w:p>
    <w:p w14:paraId="43BA2199">
      <w:pPr>
        <w:pStyle w:val="29"/>
        <w:ind w:firstLine="480"/>
        <w:rPr>
          <w:rFonts w:hint="eastAsia" w:ascii="宋体" w:hAnsi="宋体" w:eastAsia="宋体" w:cs="宋体"/>
        </w:rPr>
      </w:pPr>
    </w:p>
    <w:p w14:paraId="56A7B2A9">
      <w:pPr>
        <w:tabs>
          <w:tab w:val="left" w:pos="1755"/>
        </w:tabs>
        <w:spacing w:line="500" w:lineRule="atLeast"/>
        <w:outlineLvl w:val="1"/>
        <w:rPr>
          <w:rFonts w:hint="eastAsia" w:ascii="宋体" w:hAnsi="宋体" w:eastAsia="宋体" w:cs="宋体"/>
          <w:b/>
          <w:bCs/>
          <w:sz w:val="32"/>
          <w:szCs w:val="32"/>
        </w:rPr>
      </w:pPr>
    </w:p>
    <w:p w14:paraId="7A7DF38E">
      <w:pPr>
        <w:tabs>
          <w:tab w:val="left" w:pos="1755"/>
        </w:tabs>
        <w:spacing w:line="500" w:lineRule="atLeast"/>
        <w:outlineLvl w:val="1"/>
        <w:rPr>
          <w:rFonts w:hint="eastAsia" w:ascii="宋体" w:hAnsi="宋体" w:eastAsia="宋体" w:cs="宋体"/>
          <w:b/>
          <w:bCs/>
          <w:sz w:val="32"/>
          <w:szCs w:val="32"/>
        </w:rPr>
      </w:pPr>
    </w:p>
    <w:p w14:paraId="4CF57995">
      <w:pPr>
        <w:rPr>
          <w:rFonts w:hint="eastAsia" w:ascii="宋体" w:hAnsi="宋体" w:eastAsia="宋体" w:cs="宋体"/>
          <w:sz w:val="32"/>
          <w:szCs w:val="32"/>
        </w:rPr>
      </w:pPr>
      <w:r>
        <w:rPr>
          <w:rFonts w:hint="eastAsia" w:ascii="宋体" w:hAnsi="宋体" w:eastAsia="宋体" w:cs="宋体"/>
          <w:sz w:val="32"/>
          <w:szCs w:val="32"/>
        </w:rPr>
        <w:br w:type="page"/>
      </w:r>
    </w:p>
    <w:p w14:paraId="004631A8">
      <w:pPr>
        <w:jc w:val="center"/>
        <w:outlineLvl w:val="1"/>
        <w:rPr>
          <w:rFonts w:hint="eastAsia" w:ascii="宋体" w:hAnsi="宋体" w:eastAsia="宋体" w:cs="宋体"/>
          <w:b/>
          <w:bCs/>
          <w:sz w:val="32"/>
          <w:szCs w:val="32"/>
        </w:rPr>
      </w:pPr>
      <w:r>
        <w:rPr>
          <w:rFonts w:hint="eastAsia" w:ascii="宋体" w:hAnsi="宋体" w:eastAsia="宋体" w:cs="宋体"/>
          <w:b/>
          <w:bCs/>
          <w:sz w:val="32"/>
          <w:szCs w:val="32"/>
        </w:rPr>
        <w:t>第六部分  响应文件封袋正面标识式样</w:t>
      </w:r>
    </w:p>
    <w:p w14:paraId="1FEBBC6C">
      <w:pPr>
        <w:rPr>
          <w:rFonts w:hint="eastAsia" w:ascii="宋体" w:hAnsi="宋体" w:eastAsia="宋体" w:cs="宋体"/>
          <w:sz w:val="32"/>
          <w:szCs w:val="32"/>
        </w:rPr>
      </w:pPr>
      <w:r>
        <w:rPr>
          <w:rFonts w:hint="eastAsia" w:ascii="宋体" w:hAnsi="宋体" w:eastAsia="宋体" w:cs="宋体"/>
          <w:sz w:val="36"/>
          <w:szCs w:val="36"/>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137795</wp:posOffset>
                </wp:positionV>
                <wp:extent cx="5393055" cy="3292475"/>
                <wp:effectExtent l="5080" t="4445" r="12065" b="177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14:paraId="1FEEA7DC">
                            <w:pPr>
                              <w:rPr>
                                <w:rFonts w:hint="eastAsia" w:ascii="仿宋" w:hAnsi="仿宋" w:eastAsia="仿宋" w:cs="仿宋"/>
                                <w:sz w:val="28"/>
                                <w:szCs w:val="28"/>
                              </w:rPr>
                            </w:pPr>
                            <w:r>
                              <w:rPr>
                                <w:rFonts w:hint="eastAsia" w:ascii="仿宋" w:hAnsi="仿宋" w:eastAsia="仿宋" w:cs="仿宋"/>
                                <w:sz w:val="28"/>
                                <w:szCs w:val="28"/>
                              </w:rPr>
                              <w:t>致：黄陵县政府采购中心</w:t>
                            </w:r>
                          </w:p>
                          <w:p w14:paraId="21AA5A12">
                            <w:pPr>
                              <w:rPr>
                                <w:rFonts w:hint="eastAsia" w:ascii="仿宋" w:hAnsi="仿宋" w:eastAsia="仿宋" w:cs="仿宋"/>
                                <w:sz w:val="28"/>
                                <w:szCs w:val="28"/>
                              </w:rPr>
                            </w:pPr>
                            <w:r>
                              <w:rPr>
                                <w:rFonts w:hint="eastAsia" w:ascii="仿宋" w:hAnsi="仿宋" w:eastAsia="仿宋" w:cs="仿宋"/>
                                <w:sz w:val="28"/>
                                <w:szCs w:val="28"/>
                              </w:rPr>
                              <w:t>项目编号：</w:t>
                            </w:r>
                          </w:p>
                          <w:p w14:paraId="1F4E3264">
                            <w:pPr>
                              <w:rPr>
                                <w:rFonts w:hint="eastAsia" w:ascii="仿宋" w:hAnsi="仿宋" w:eastAsia="仿宋" w:cs="仿宋"/>
                                <w:sz w:val="28"/>
                                <w:szCs w:val="28"/>
                              </w:rPr>
                            </w:pPr>
                            <w:r>
                              <w:rPr>
                                <w:rFonts w:hint="eastAsia" w:ascii="仿宋" w:hAnsi="仿宋" w:eastAsia="仿宋" w:cs="仿宋"/>
                                <w:sz w:val="28"/>
                                <w:szCs w:val="28"/>
                              </w:rPr>
                              <w:t>项目名称：</w:t>
                            </w:r>
                          </w:p>
                          <w:p w14:paraId="15EFF59B">
                            <w:pPr>
                              <w:spacing w:line="440" w:lineRule="exact"/>
                              <w:jc w:val="center"/>
                              <w:rPr>
                                <w:rFonts w:hint="eastAsia" w:ascii="宋体" w:hAnsi="宋体" w:cs="宋体"/>
                                <w:sz w:val="36"/>
                                <w:szCs w:val="36"/>
                              </w:rPr>
                            </w:pPr>
                          </w:p>
                          <w:p w14:paraId="31ADF587">
                            <w:pPr>
                              <w:jc w:val="center"/>
                              <w:rPr>
                                <w:rFonts w:hint="eastAsia" w:ascii="仿宋" w:hAnsi="仿宋" w:eastAsia="仿宋" w:cs="仿宋"/>
                                <w:b/>
                                <w:sz w:val="44"/>
                                <w:szCs w:val="44"/>
                              </w:rPr>
                            </w:pPr>
                          </w:p>
                          <w:p w14:paraId="79B11B0D">
                            <w:pPr>
                              <w:jc w:val="center"/>
                              <w:rPr>
                                <w:rFonts w:hint="eastAsia" w:ascii="仿宋" w:hAnsi="仿宋" w:eastAsia="仿宋" w:cs="仿宋"/>
                                <w:b/>
                                <w:sz w:val="44"/>
                                <w:szCs w:val="44"/>
                              </w:rPr>
                            </w:pPr>
                            <w:r>
                              <w:rPr>
                                <w:rFonts w:hint="eastAsia" w:ascii="仿宋" w:hAnsi="仿宋" w:eastAsia="仿宋" w:cs="仿宋"/>
                                <w:b/>
                                <w:sz w:val="44"/>
                                <w:szCs w:val="44"/>
                              </w:rPr>
                              <w:t>响 应 文 件（正本或副本）</w:t>
                            </w:r>
                          </w:p>
                          <w:p w14:paraId="1A67A7DA">
                            <w:pPr>
                              <w:jc w:val="center"/>
                              <w:rPr>
                                <w:rFonts w:hint="eastAsia" w:ascii="仿宋" w:hAnsi="仿宋" w:eastAsia="仿宋" w:cs="仿宋"/>
                                <w:b/>
                                <w:sz w:val="32"/>
                                <w:szCs w:val="32"/>
                              </w:rPr>
                            </w:pPr>
                            <w:r>
                              <w:rPr>
                                <w:rFonts w:hint="eastAsia" w:ascii="仿宋" w:hAnsi="仿宋" w:eastAsia="仿宋" w:cs="仿宋"/>
                                <w:b/>
                                <w:sz w:val="32"/>
                                <w:szCs w:val="32"/>
                              </w:rPr>
                              <w:t>（非谈判大会不得启封）</w:t>
                            </w:r>
                          </w:p>
                          <w:p w14:paraId="159F1FDA">
                            <w:pPr>
                              <w:pStyle w:val="9"/>
                            </w:pPr>
                          </w:p>
                          <w:p w14:paraId="1495B6E1">
                            <w:pPr>
                              <w:rPr>
                                <w:rFonts w:hint="eastAsia" w:ascii="仿宋" w:hAnsi="仿宋" w:eastAsia="仿宋" w:cs="仿宋"/>
                                <w:sz w:val="28"/>
                                <w:szCs w:val="28"/>
                              </w:rPr>
                            </w:pPr>
                          </w:p>
                          <w:p w14:paraId="4E95908E">
                            <w:pPr>
                              <w:rPr>
                                <w:rFonts w:hint="eastAsia" w:ascii="仿宋" w:hAnsi="仿宋" w:eastAsia="仿宋" w:cs="仿宋"/>
                                <w:sz w:val="28"/>
                                <w:szCs w:val="28"/>
                              </w:rPr>
                            </w:pPr>
                            <w:r>
                              <w:rPr>
                                <w:rFonts w:hint="eastAsia" w:ascii="仿宋" w:hAnsi="仿宋" w:eastAsia="仿宋" w:cs="仿宋"/>
                                <w:sz w:val="28"/>
                                <w:szCs w:val="28"/>
                              </w:rPr>
                              <w:t>供应商名称：               （公章）</w:t>
                            </w:r>
                          </w:p>
                          <w:p w14:paraId="5AD787FA">
                            <w:pPr>
                              <w:rPr>
                                <w:rFonts w:hint="eastAsia" w:ascii="仿宋" w:hAnsi="仿宋" w:eastAsia="仿宋" w:cs="仿宋"/>
                                <w:b/>
                                <w:color w:val="FF0000"/>
                                <w:sz w:val="28"/>
                                <w:szCs w:val="28"/>
                              </w:rPr>
                            </w:pPr>
                            <w:r>
                              <w:rPr>
                                <w:rFonts w:hint="eastAsia" w:ascii="仿宋" w:hAnsi="仿宋" w:eastAsia="仿宋" w:cs="仿宋"/>
                                <w:sz w:val="28"/>
                                <w:szCs w:val="28"/>
                              </w:rPr>
                              <w:t xml:space="preserve">封袋内容：响应文件  </w:t>
                            </w:r>
                          </w:p>
                          <w:p w14:paraId="19886D58">
                            <w:pPr>
                              <w:spacing w:line="440" w:lineRule="exact"/>
                              <w:rPr>
                                <w:rFonts w:hint="eastAsia" w:ascii="宋体" w:hAnsi="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5pt;margin-top:10.85pt;height:259.25pt;width:424.65pt;z-index:251660288;mso-width-relative:page;mso-height-relative:page;" fillcolor="#FFFFFF" filled="t" stroked="t" coordsize="21600,21600" o:gfxdata="UEsDBAoAAAAAAIdO4kAAAAAAAAAAAAAAAAAEAAAAZHJzL1BLAwQUAAAACACHTuJA+qZ+T9gAAAAJ&#10;AQAADwAAAGRycy9kb3ducmV2LnhtbE2PwU7DMBBE70j8g7VI3KidpNAoxOkBqeJIKVSU2zZekoh4&#10;HcVuE/h6zAmOoxnNvCnXs+3FmUbfOdaQLBQI4tqZjhsNry+bmxyED8gGe8ek4Ys8rKvLixIL4yZ+&#10;pvMuNCKWsC9QQxvCUEjp65Ys+oUbiKP34UaLIcqxkWbEKZbbXqZK3UmLHceFFgd6aKn+3J1s3D1s&#10;suV3t52yFJ+2ydu8V++Pe62vrxJ1DyLQHP7C8Isf0aGKTEd3YuNFryFL4pWgIU1WIKKf5yoDcdRw&#10;u1QpyKqU/x9UP1BLAwQUAAAACACHTuJAWdW2KVICAACjBAAADgAAAGRycy9lMm9Eb2MueG1srVTN&#10;btQwEL4j8Q6W7zS7213KrpqtSqsipPIjFR7AcZyNhe0xY+8m5QHgDThx4c5z9TkYO2lZCkg94EPk&#10;scfffPPNTI5PemvYTmHQ4Eo+PZhwppyEWrtNyd+/u3jyjLMQhauFAadKfq0CP1k/fnTc+ZWaQQum&#10;VsgIxIVV50vexuhXRRFkq6wIB+CVo8sG0IpIJm6KGkVH6NYUs8nkadEB1h5BqhDo9Hy45CMiPgQQ&#10;mkZLdQ5ya5WLAyoqIyKlFFrtA19ntk2jZHzTNEFFZkpOmcb8pSC0r9K3WB+L1QaFb7UcKYiHULiX&#10;kxXaUdA7qHMRBdui/gPKaokQoIkHEmwxJJIVoSymk3vaXLXCq5wLSR38nejh/8HK17u3yHRNnTDl&#10;zAlLFb/5+uXm24+b758ZnZFAnQ8r8rvy5Bn759CTc042+EuQHwJzcNYKt1GniNC1StREML8s9p4O&#10;OCGBVN0rqCmQ2EbIQH2DNqlHejBCp+Jc3xVH9ZFJOlwcLg8niwVnku4OZ8vZ/GiR2BVidfvcY4gv&#10;FFiWNiVHqn6GF7vLEAfXW5cULYDR9YU2Jhu4qc4Msp2gTrnIa0T/zc041pV8uZglItaTbnVlBjH+&#10;iTbJ629oVkeaJaNtyWk0aI1OxiVKKvfvSD0pmcQbZIx91Y+VqaC+Jk0Rht6myaZNC/iJs476uuTh&#10;41ag4sy8dFSX5XQ+T4OQjfniaEYG7t9U+zfCSYIqeeRs2J7FYXi2HvWmpUhDJzg4pVo2OqucqA6s&#10;qDrJoN7NdRrnLA3Hvp29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Z+T9gAAAAJAQAA&#10;DwAAAAAAAAABACAAAAAiAAAAZHJzL2Rvd25yZXYueG1sUEsBAhQAFAAAAAgAh07iQFnVtilSAgAA&#10;owQAAA4AAAAAAAAAAQAgAAAAJwEAAGRycy9lMm9Eb2MueG1sUEsFBgAAAAAGAAYAWQEAAOsFAAAA&#10;AA==&#10;">
                <v:fill on="t" focussize="0,0"/>
                <v:stroke color="#000000" linestyle="thinThin" miterlimit="2" joinstyle="miter"/>
                <v:imagedata o:title=""/>
                <o:lock v:ext="edit" aspectratio="f"/>
                <v:textbox>
                  <w:txbxContent>
                    <w:p w14:paraId="1FEEA7DC">
                      <w:pPr>
                        <w:rPr>
                          <w:rFonts w:hint="eastAsia" w:ascii="仿宋" w:hAnsi="仿宋" w:eastAsia="仿宋" w:cs="仿宋"/>
                          <w:sz w:val="28"/>
                          <w:szCs w:val="28"/>
                        </w:rPr>
                      </w:pPr>
                      <w:r>
                        <w:rPr>
                          <w:rFonts w:hint="eastAsia" w:ascii="仿宋" w:hAnsi="仿宋" w:eastAsia="仿宋" w:cs="仿宋"/>
                          <w:sz w:val="28"/>
                          <w:szCs w:val="28"/>
                        </w:rPr>
                        <w:t>致：黄陵县政府采购中心</w:t>
                      </w:r>
                    </w:p>
                    <w:p w14:paraId="21AA5A12">
                      <w:pPr>
                        <w:rPr>
                          <w:rFonts w:hint="eastAsia" w:ascii="仿宋" w:hAnsi="仿宋" w:eastAsia="仿宋" w:cs="仿宋"/>
                          <w:sz w:val="28"/>
                          <w:szCs w:val="28"/>
                        </w:rPr>
                      </w:pPr>
                      <w:r>
                        <w:rPr>
                          <w:rFonts w:hint="eastAsia" w:ascii="仿宋" w:hAnsi="仿宋" w:eastAsia="仿宋" w:cs="仿宋"/>
                          <w:sz w:val="28"/>
                          <w:szCs w:val="28"/>
                        </w:rPr>
                        <w:t>项目编号：</w:t>
                      </w:r>
                    </w:p>
                    <w:p w14:paraId="1F4E3264">
                      <w:pPr>
                        <w:rPr>
                          <w:rFonts w:hint="eastAsia" w:ascii="仿宋" w:hAnsi="仿宋" w:eastAsia="仿宋" w:cs="仿宋"/>
                          <w:sz w:val="28"/>
                          <w:szCs w:val="28"/>
                        </w:rPr>
                      </w:pPr>
                      <w:r>
                        <w:rPr>
                          <w:rFonts w:hint="eastAsia" w:ascii="仿宋" w:hAnsi="仿宋" w:eastAsia="仿宋" w:cs="仿宋"/>
                          <w:sz w:val="28"/>
                          <w:szCs w:val="28"/>
                        </w:rPr>
                        <w:t>项目名称：</w:t>
                      </w:r>
                    </w:p>
                    <w:p w14:paraId="15EFF59B">
                      <w:pPr>
                        <w:spacing w:line="440" w:lineRule="exact"/>
                        <w:jc w:val="center"/>
                        <w:rPr>
                          <w:rFonts w:hint="eastAsia" w:ascii="宋体" w:hAnsi="宋体" w:cs="宋体"/>
                          <w:sz w:val="36"/>
                          <w:szCs w:val="36"/>
                        </w:rPr>
                      </w:pPr>
                    </w:p>
                    <w:p w14:paraId="31ADF587">
                      <w:pPr>
                        <w:jc w:val="center"/>
                        <w:rPr>
                          <w:rFonts w:hint="eastAsia" w:ascii="仿宋" w:hAnsi="仿宋" w:eastAsia="仿宋" w:cs="仿宋"/>
                          <w:b/>
                          <w:sz w:val="44"/>
                          <w:szCs w:val="44"/>
                        </w:rPr>
                      </w:pPr>
                    </w:p>
                    <w:p w14:paraId="79B11B0D">
                      <w:pPr>
                        <w:jc w:val="center"/>
                        <w:rPr>
                          <w:rFonts w:hint="eastAsia" w:ascii="仿宋" w:hAnsi="仿宋" w:eastAsia="仿宋" w:cs="仿宋"/>
                          <w:b/>
                          <w:sz w:val="44"/>
                          <w:szCs w:val="44"/>
                        </w:rPr>
                      </w:pPr>
                      <w:r>
                        <w:rPr>
                          <w:rFonts w:hint="eastAsia" w:ascii="仿宋" w:hAnsi="仿宋" w:eastAsia="仿宋" w:cs="仿宋"/>
                          <w:b/>
                          <w:sz w:val="44"/>
                          <w:szCs w:val="44"/>
                        </w:rPr>
                        <w:t>响 应 文 件（正本或副本）</w:t>
                      </w:r>
                    </w:p>
                    <w:p w14:paraId="1A67A7DA">
                      <w:pPr>
                        <w:jc w:val="center"/>
                        <w:rPr>
                          <w:rFonts w:hint="eastAsia" w:ascii="仿宋" w:hAnsi="仿宋" w:eastAsia="仿宋" w:cs="仿宋"/>
                          <w:b/>
                          <w:sz w:val="32"/>
                          <w:szCs w:val="32"/>
                        </w:rPr>
                      </w:pPr>
                      <w:r>
                        <w:rPr>
                          <w:rFonts w:hint="eastAsia" w:ascii="仿宋" w:hAnsi="仿宋" w:eastAsia="仿宋" w:cs="仿宋"/>
                          <w:b/>
                          <w:sz w:val="32"/>
                          <w:szCs w:val="32"/>
                        </w:rPr>
                        <w:t>（非谈判大会不得启封）</w:t>
                      </w:r>
                    </w:p>
                    <w:p w14:paraId="159F1FDA">
                      <w:pPr>
                        <w:pStyle w:val="9"/>
                      </w:pPr>
                    </w:p>
                    <w:p w14:paraId="1495B6E1">
                      <w:pPr>
                        <w:rPr>
                          <w:rFonts w:hint="eastAsia" w:ascii="仿宋" w:hAnsi="仿宋" w:eastAsia="仿宋" w:cs="仿宋"/>
                          <w:sz w:val="28"/>
                          <w:szCs w:val="28"/>
                        </w:rPr>
                      </w:pPr>
                    </w:p>
                    <w:p w14:paraId="4E95908E">
                      <w:pPr>
                        <w:rPr>
                          <w:rFonts w:hint="eastAsia" w:ascii="仿宋" w:hAnsi="仿宋" w:eastAsia="仿宋" w:cs="仿宋"/>
                          <w:sz w:val="28"/>
                          <w:szCs w:val="28"/>
                        </w:rPr>
                      </w:pPr>
                      <w:r>
                        <w:rPr>
                          <w:rFonts w:hint="eastAsia" w:ascii="仿宋" w:hAnsi="仿宋" w:eastAsia="仿宋" w:cs="仿宋"/>
                          <w:sz w:val="28"/>
                          <w:szCs w:val="28"/>
                        </w:rPr>
                        <w:t>供应商名称：               （公章）</w:t>
                      </w:r>
                    </w:p>
                    <w:p w14:paraId="5AD787FA">
                      <w:pPr>
                        <w:rPr>
                          <w:rFonts w:hint="eastAsia" w:ascii="仿宋" w:hAnsi="仿宋" w:eastAsia="仿宋" w:cs="仿宋"/>
                          <w:b/>
                          <w:color w:val="FF0000"/>
                          <w:sz w:val="28"/>
                          <w:szCs w:val="28"/>
                        </w:rPr>
                      </w:pPr>
                      <w:r>
                        <w:rPr>
                          <w:rFonts w:hint="eastAsia" w:ascii="仿宋" w:hAnsi="仿宋" w:eastAsia="仿宋" w:cs="仿宋"/>
                          <w:sz w:val="28"/>
                          <w:szCs w:val="28"/>
                        </w:rPr>
                        <w:t xml:space="preserve">封袋内容：响应文件  </w:t>
                      </w:r>
                    </w:p>
                    <w:p w14:paraId="19886D58">
                      <w:pPr>
                        <w:spacing w:line="440" w:lineRule="exact"/>
                        <w:rPr>
                          <w:rFonts w:hint="eastAsia" w:ascii="宋体" w:hAnsi="宋体" w:cs="宋体"/>
                          <w:sz w:val="32"/>
                          <w:szCs w:val="32"/>
                        </w:rPr>
                      </w:pPr>
                    </w:p>
                  </w:txbxContent>
                </v:textbox>
              </v:shape>
            </w:pict>
          </mc:Fallback>
        </mc:AlternateContent>
      </w:r>
    </w:p>
    <w:p w14:paraId="31A82C2A">
      <w:pPr>
        <w:rPr>
          <w:rFonts w:hint="eastAsia" w:ascii="宋体" w:hAnsi="宋体" w:eastAsia="宋体" w:cs="宋体"/>
          <w:sz w:val="32"/>
          <w:szCs w:val="32"/>
        </w:rPr>
      </w:pPr>
    </w:p>
    <w:p w14:paraId="1BB32093">
      <w:pPr>
        <w:rPr>
          <w:rFonts w:hint="eastAsia" w:ascii="宋体" w:hAnsi="宋体" w:eastAsia="宋体" w:cs="宋体"/>
          <w:sz w:val="32"/>
          <w:szCs w:val="32"/>
        </w:rPr>
      </w:pPr>
    </w:p>
    <w:p w14:paraId="41F56EA9">
      <w:pPr>
        <w:rPr>
          <w:rFonts w:hint="eastAsia" w:ascii="宋体" w:hAnsi="宋体" w:eastAsia="宋体" w:cs="宋体"/>
          <w:sz w:val="32"/>
          <w:szCs w:val="32"/>
        </w:rPr>
      </w:pPr>
    </w:p>
    <w:p w14:paraId="7FA31944">
      <w:pPr>
        <w:rPr>
          <w:rFonts w:hint="eastAsia" w:ascii="宋体" w:hAnsi="宋体" w:eastAsia="宋体" w:cs="宋体"/>
          <w:sz w:val="32"/>
          <w:szCs w:val="32"/>
        </w:rPr>
      </w:pPr>
    </w:p>
    <w:p w14:paraId="2F0D37AC">
      <w:pPr>
        <w:rPr>
          <w:rFonts w:hint="eastAsia" w:ascii="宋体" w:hAnsi="宋体" w:eastAsia="宋体" w:cs="宋体"/>
          <w:sz w:val="32"/>
          <w:szCs w:val="32"/>
        </w:rPr>
      </w:pPr>
    </w:p>
    <w:p w14:paraId="291D7F9A">
      <w:pPr>
        <w:rPr>
          <w:rFonts w:hint="eastAsia" w:ascii="宋体" w:hAnsi="宋体" w:eastAsia="宋体" w:cs="宋体"/>
          <w:sz w:val="32"/>
          <w:szCs w:val="32"/>
        </w:rPr>
      </w:pPr>
    </w:p>
    <w:p w14:paraId="6BB500AC">
      <w:pPr>
        <w:rPr>
          <w:rFonts w:hint="eastAsia" w:ascii="宋体" w:hAnsi="宋体" w:eastAsia="宋体" w:cs="宋体"/>
          <w:sz w:val="32"/>
          <w:szCs w:val="32"/>
        </w:rPr>
      </w:pPr>
    </w:p>
    <w:p w14:paraId="19E7BC80">
      <w:pPr>
        <w:rPr>
          <w:rFonts w:hint="eastAsia" w:ascii="宋体" w:hAnsi="宋体" w:eastAsia="宋体" w:cs="宋体"/>
          <w:sz w:val="32"/>
          <w:szCs w:val="32"/>
        </w:rPr>
      </w:pPr>
    </w:p>
    <w:p w14:paraId="6A373145">
      <w:pPr>
        <w:jc w:val="center"/>
        <w:rPr>
          <w:rFonts w:hint="eastAsia" w:ascii="宋体" w:hAnsi="宋体" w:eastAsia="宋体" w:cs="宋体"/>
          <w:b/>
          <w:bCs/>
          <w:sz w:val="44"/>
          <w:szCs w:val="44"/>
        </w:rPr>
      </w:pPr>
    </w:p>
    <w:p w14:paraId="2F6BBB79">
      <w:pPr>
        <w:rPr>
          <w:rFonts w:hint="eastAsia" w:ascii="宋体" w:hAnsi="宋体" w:eastAsia="宋体" w:cs="宋体"/>
        </w:rPr>
      </w:pPr>
    </w:p>
    <w:sectPr>
      <w:headerReference r:id="rId13" w:type="default"/>
      <w:footerReference r:id="rId14" w:type="default"/>
      <w:pgSz w:w="11907" w:h="16840"/>
      <w:pgMar w:top="1701" w:right="1134" w:bottom="1701" w:left="1134" w:header="851" w:footer="992" w:gutter="567"/>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E4FD">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6</w:t>
    </w:r>
    <w:r>
      <w:fldChar w:fldCharType="end"/>
    </w:r>
  </w:p>
  <w:p w14:paraId="58B65CC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F623">
    <w:pPr>
      <w:pStyle w:val="10"/>
      <w:rPr>
        <w:u w:val="single"/>
      </w:rPr>
    </w:pPr>
  </w:p>
  <w:p w14:paraId="29A96EFD">
    <w:pPr>
      <w:pStyle w:val="10"/>
      <w:rPr>
        <w:rFonts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425D">
    <w:pPr>
      <w:pStyle w:val="1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7A2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F676E">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5FF676E">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844B">
    <w:pPr>
      <w:pStyle w:val="10"/>
      <w:rPr>
        <w:rStyle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33C94">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8A33C94">
                    <w:pPr>
                      <w:pStyle w:val="10"/>
                    </w:pPr>
                    <w:r>
                      <w:fldChar w:fldCharType="begin"/>
                    </w:r>
                    <w:r>
                      <w:instrText xml:space="preserve"> PAGE  \* MERGEFORMAT </w:instrText>
                    </w:r>
                    <w:r>
                      <w:fldChar w:fldCharType="separate"/>
                    </w:r>
                    <w:r>
                      <w:t>57</w:t>
                    </w:r>
                    <w:r>
                      <w:fldChar w:fldCharType="end"/>
                    </w:r>
                  </w:p>
                </w:txbxContent>
              </v:textbox>
            </v:shape>
          </w:pict>
        </mc:Fallback>
      </mc:AlternateContent>
    </w:r>
  </w:p>
  <w:p w14:paraId="454720E4">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D206">
    <w:pPr>
      <w:pStyle w:val="10"/>
      <w:framePr w:wrap="around" w:vAnchor="text" w:hAnchor="margin" w:xAlign="center" w:y="1"/>
      <w:rPr>
        <w:rStyle w:val="20"/>
      </w:rPr>
    </w:pPr>
    <w:r>
      <w:fldChar w:fldCharType="begin"/>
    </w:r>
    <w:r>
      <w:rPr>
        <w:rStyle w:val="20"/>
      </w:rPr>
      <w:instrText xml:space="preserve">PAGE  </w:instrText>
    </w:r>
    <w:r>
      <w:fldChar w:fldCharType="end"/>
    </w:r>
  </w:p>
  <w:p w14:paraId="6B7E18A1">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0609">
    <w:pPr>
      <w:pStyle w:val="10"/>
      <w:rPr>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10F88">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E710F88">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34E0">
    <w:pPr>
      <w:pStyle w:val="11"/>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B168">
    <w:pPr>
      <w:pStyle w:val="11"/>
      <w:pBdr>
        <w:bottom w:val="none" w:color="auto" w:sz="0" w:space="2"/>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2C84">
    <w:pPr>
      <w:pStyle w:val="11"/>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5733">
    <w:pPr>
      <w:pStyle w:val="11"/>
      <w:pBdr>
        <w:bottom w:val="none" w:color="auto" w:sz="0" w:space="1"/>
      </w:pBdr>
      <w:jc w:val="right"/>
    </w:pPr>
    <w:r>
      <w:rPr>
        <w:rFonts w:hint="eastAsia"/>
      </w:rPr>
      <w:t xml:space="preserve"> </w:t>
    </w:r>
  </w:p>
  <w:p w14:paraId="3D3B1E9D">
    <w:pPr>
      <w:pStyle w:val="11"/>
      <w:pBdr>
        <w:bottom w:val="none" w:color="auto" w:sz="0" w:space="0"/>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DD5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D466D"/>
    <w:multiLevelType w:val="singleLevel"/>
    <w:tmpl w:val="95AD466D"/>
    <w:lvl w:ilvl="0" w:tentative="0">
      <w:start w:val="1"/>
      <w:numFmt w:val="decimal"/>
      <w:suff w:val="nothing"/>
      <w:lvlText w:val="%1、"/>
      <w:lvlJc w:val="left"/>
    </w:lvl>
  </w:abstractNum>
  <w:abstractNum w:abstractNumId="1">
    <w:nsid w:val="DABBA193"/>
    <w:multiLevelType w:val="singleLevel"/>
    <w:tmpl w:val="DABBA193"/>
    <w:lvl w:ilvl="0" w:tentative="0">
      <w:start w:val="15"/>
      <w:numFmt w:val="decimal"/>
      <w:suff w:val="nothing"/>
      <w:lvlText w:val="（%1）"/>
      <w:lvlJc w:val="left"/>
    </w:lvl>
  </w:abstractNum>
  <w:abstractNum w:abstractNumId="2">
    <w:nsid w:val="0DE79D02"/>
    <w:multiLevelType w:val="singleLevel"/>
    <w:tmpl w:val="0DE79D02"/>
    <w:lvl w:ilvl="0" w:tentative="0">
      <w:start w:val="1"/>
      <w:numFmt w:val="decimal"/>
      <w:lvlText w:val="%1."/>
      <w:lvlJc w:val="left"/>
      <w:pPr>
        <w:tabs>
          <w:tab w:val="left" w:pos="312"/>
        </w:tabs>
      </w:pPr>
    </w:lvl>
  </w:abstractNum>
  <w:abstractNum w:abstractNumId="3">
    <w:nsid w:val="54D1C6D8"/>
    <w:multiLevelType w:val="singleLevel"/>
    <w:tmpl w:val="54D1C6D8"/>
    <w:lvl w:ilvl="0" w:tentative="0">
      <w:start w:val="14"/>
      <w:numFmt w:val="decimal"/>
      <w:suff w:val="nothing"/>
      <w:lvlText w:val="（%1）"/>
      <w:lvlJc w:val="left"/>
    </w:lvl>
  </w:abstractNum>
  <w:abstractNum w:abstractNumId="4">
    <w:nsid w:val="5694B7E5"/>
    <w:multiLevelType w:val="singleLevel"/>
    <w:tmpl w:val="5694B7E5"/>
    <w:lvl w:ilvl="0" w:tentative="0">
      <w:start w:val="1"/>
      <w:numFmt w:val="decimal"/>
      <w:suff w:val="nothing"/>
      <w:lvlText w:val="%1、"/>
      <w:lvlJc w:val="left"/>
    </w:lvl>
  </w:abstractNum>
  <w:abstractNum w:abstractNumId="5">
    <w:nsid w:val="589D5BA1"/>
    <w:multiLevelType w:val="singleLevel"/>
    <w:tmpl w:val="589D5BA1"/>
    <w:lvl w:ilvl="0" w:tentative="0">
      <w:start w:val="2"/>
      <w:numFmt w:val="decimal"/>
      <w:suff w:val="nothing"/>
      <w:lvlText w:val="%1、"/>
      <w:lvlJc w:val="left"/>
    </w:lvl>
  </w:abstractNum>
  <w:abstractNum w:abstractNumId="6">
    <w:nsid w:val="78740701"/>
    <w:multiLevelType w:val="singleLevel"/>
    <w:tmpl w:val="78740701"/>
    <w:lvl w:ilvl="0" w:tentative="0">
      <w:start w:val="1"/>
      <w:numFmt w:val="chineseCounting"/>
      <w:suff w:val="nothing"/>
      <w:lvlText w:val="%1、"/>
      <w:lvlJc w:val="left"/>
      <w:rPr>
        <w:rFonts w:hint="eastAsia"/>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MTUzODk3NzRjYjBjYzcwZjFkZjAzNmQ1MGY2NzkifQ=="/>
  </w:docVars>
  <w:rsids>
    <w:rsidRoot w:val="17C75F98"/>
    <w:rsid w:val="002B2C17"/>
    <w:rsid w:val="00345950"/>
    <w:rsid w:val="003D62DD"/>
    <w:rsid w:val="00443FC6"/>
    <w:rsid w:val="004E085F"/>
    <w:rsid w:val="00572333"/>
    <w:rsid w:val="009341AA"/>
    <w:rsid w:val="009804E4"/>
    <w:rsid w:val="00C37189"/>
    <w:rsid w:val="00C93659"/>
    <w:rsid w:val="00CA7F86"/>
    <w:rsid w:val="00DA1E3F"/>
    <w:rsid w:val="00DF5AC4"/>
    <w:rsid w:val="00F34129"/>
    <w:rsid w:val="04C63BF2"/>
    <w:rsid w:val="15963379"/>
    <w:rsid w:val="173F766A"/>
    <w:rsid w:val="17C75F98"/>
    <w:rsid w:val="1AC15A62"/>
    <w:rsid w:val="1D830D37"/>
    <w:rsid w:val="1DB36121"/>
    <w:rsid w:val="2E933762"/>
    <w:rsid w:val="30D23312"/>
    <w:rsid w:val="3680018A"/>
    <w:rsid w:val="37D54F27"/>
    <w:rsid w:val="3E1E227F"/>
    <w:rsid w:val="3F6E3798"/>
    <w:rsid w:val="4DE70D5A"/>
    <w:rsid w:val="4E280072"/>
    <w:rsid w:val="4FE02B99"/>
    <w:rsid w:val="5BD90156"/>
    <w:rsid w:val="63876E11"/>
    <w:rsid w:val="645A7AE6"/>
    <w:rsid w:val="648800ED"/>
    <w:rsid w:val="67A10C80"/>
    <w:rsid w:val="69BA3040"/>
    <w:rsid w:val="6BD14133"/>
    <w:rsid w:val="6C754E49"/>
    <w:rsid w:val="6E0E3C8F"/>
    <w:rsid w:val="732C6185"/>
    <w:rsid w:val="73A66718"/>
    <w:rsid w:val="74B12141"/>
    <w:rsid w:val="75C93E5B"/>
    <w:rsid w:val="778737E2"/>
    <w:rsid w:val="78A376CA"/>
    <w:rsid w:val="7A5C7FDD"/>
    <w:rsid w:val="7AE53FCA"/>
    <w:rsid w:val="7C831632"/>
    <w:rsid w:val="7D7C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20" w:after="120" w:line="360" w:lineRule="auto"/>
      <w:jc w:val="center"/>
      <w:outlineLvl w:val="0"/>
    </w:pPr>
    <w:rPr>
      <w:b/>
      <w:bCs/>
      <w:kern w:val="44"/>
      <w:sz w:val="30"/>
      <w:szCs w:val="44"/>
    </w:rPr>
  </w:style>
  <w:style w:type="paragraph" w:styleId="3">
    <w:name w:val="heading 2"/>
    <w:basedOn w:val="1"/>
    <w:next w:val="1"/>
    <w:autoRedefine/>
    <w:unhideWhenUsed/>
    <w:qFormat/>
    <w:uiPriority w:val="0"/>
    <w:pPr>
      <w:keepNext/>
      <w:keepLines/>
      <w:spacing w:before="120" w:after="120" w:line="360" w:lineRule="auto"/>
      <w:jc w:val="center"/>
      <w:outlineLvl w:val="1"/>
    </w:pPr>
    <w:rPr>
      <w:rFonts w:ascii="Arial" w:hAnsi="Arial"/>
      <w:b/>
      <w:bCs/>
      <w:sz w:val="28"/>
      <w:szCs w:val="32"/>
    </w:rPr>
  </w:style>
  <w:style w:type="paragraph" w:styleId="4">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autoRedefine/>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30"/>
    <w:autoRedefine/>
    <w:qFormat/>
    <w:uiPriority w:val="0"/>
    <w:rPr>
      <w:color w:val="993300"/>
      <w:sz w:val="24"/>
    </w:rPr>
  </w:style>
  <w:style w:type="paragraph" w:styleId="7">
    <w:name w:val="Body Text Indent"/>
    <w:basedOn w:val="1"/>
    <w:autoRedefine/>
    <w:qFormat/>
    <w:uiPriority w:val="0"/>
    <w:pPr>
      <w:ind w:firstLine="480"/>
    </w:pPr>
    <w:rPr>
      <w:rFonts w:ascii="宋体" w:hAnsi="宋体"/>
    </w:rPr>
  </w:style>
  <w:style w:type="paragraph" w:styleId="8">
    <w:name w:val="Plain Text"/>
    <w:basedOn w:val="1"/>
    <w:autoRedefine/>
    <w:qFormat/>
    <w:uiPriority w:val="0"/>
    <w:rPr>
      <w:rFonts w:ascii="宋体" w:hAnsi="Courier New" w:cs="Courier New"/>
      <w:szCs w:val="21"/>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autoRedefine/>
    <w:qFormat/>
    <w:uiPriority w:val="0"/>
    <w:pPr>
      <w:jc w:val="center"/>
      <w:outlineLvl w:val="0"/>
    </w:pPr>
    <w:rPr>
      <w:rFonts w:ascii="Cambria" w:hAnsi="Cambria"/>
      <w:b/>
      <w:sz w:val="32"/>
    </w:rPr>
  </w:style>
  <w:style w:type="paragraph" w:styleId="14">
    <w:name w:val="Body Text First Indent"/>
    <w:basedOn w:val="6"/>
    <w:autoRedefine/>
    <w:qFormat/>
    <w:uiPriority w:val="0"/>
    <w:pPr>
      <w:adjustRightInd w:val="0"/>
      <w:spacing w:line="360" w:lineRule="auto"/>
      <w:ind w:firstLine="420"/>
      <w:textAlignment w:val="baseline"/>
    </w:pPr>
    <w:rPr>
      <w:rFonts w:ascii="Times New Roman" w:hAnsi="Times New Roman" w:eastAsia="楷体_GB2312"/>
      <w:kern w:val="0"/>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Hyperlink"/>
    <w:basedOn w:val="18"/>
    <w:autoRedefine/>
    <w:qFormat/>
    <w:uiPriority w:val="0"/>
    <w:rPr>
      <w:color w:val="0000FF"/>
      <w:u w:val="single"/>
    </w:rPr>
  </w:style>
  <w:style w:type="paragraph" w:customStyle="1" w:styleId="22">
    <w:name w:val="正文文本 31"/>
    <w:basedOn w:val="1"/>
    <w:autoRedefine/>
    <w:qFormat/>
    <w:uiPriority w:val="0"/>
    <w:rPr>
      <w:sz w:val="16"/>
      <w:szCs w:val="16"/>
    </w:rPr>
  </w:style>
  <w:style w:type="paragraph" w:styleId="23">
    <w:name w:val="List Paragraph"/>
    <w:basedOn w:val="1"/>
    <w:link w:val="31"/>
    <w:autoRedefine/>
    <w:unhideWhenUsed/>
    <w:qFormat/>
    <w:uiPriority w:val="34"/>
    <w:pPr>
      <w:ind w:firstLine="420" w:firstLineChars="200"/>
    </w:pPr>
  </w:style>
  <w:style w:type="character" w:customStyle="1" w:styleId="24">
    <w:name w:val="NormalCharacter"/>
    <w:autoRedefine/>
    <w:qFormat/>
    <w:uiPriority w:val="0"/>
    <w:rPr>
      <w:kern w:val="2"/>
      <w:sz w:val="21"/>
      <w:szCs w:val="24"/>
      <w:lang w:val="en-US" w:eastAsia="zh-CN" w:bidi="ar-SA"/>
    </w:rPr>
  </w:style>
  <w:style w:type="paragraph" w:customStyle="1" w:styleId="25">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目录"/>
    <w:basedOn w:val="1"/>
    <w:autoRedefine/>
    <w:qFormat/>
    <w:uiPriority w:val="0"/>
    <w:pPr>
      <w:widowControl/>
      <w:jc w:val="center"/>
    </w:pPr>
    <w:rPr>
      <w:rFonts w:ascii="宋体"/>
      <w:b/>
      <w:kern w:val="0"/>
      <w:sz w:val="36"/>
      <w:szCs w:val="20"/>
    </w:rPr>
  </w:style>
  <w:style w:type="paragraph" w:customStyle="1" w:styleId="28">
    <w:name w:val="正文缩进1"/>
    <w:basedOn w:val="1"/>
    <w:autoRedefine/>
    <w:qFormat/>
    <w:uiPriority w:val="0"/>
    <w:pPr>
      <w:ind w:firstLine="420" w:firstLineChars="200"/>
    </w:pPr>
  </w:style>
  <w:style w:type="paragraph" w:customStyle="1" w:styleId="29">
    <w:name w:val="1正文"/>
    <w:basedOn w:val="12"/>
    <w:autoRedefine/>
    <w:qFormat/>
    <w:uiPriority w:val="0"/>
    <w:pPr>
      <w:spacing w:beforeAutospacing="0" w:afterAutospacing="0" w:line="360" w:lineRule="auto"/>
      <w:ind w:firstLine="960" w:firstLineChars="200"/>
      <w:jc w:val="both"/>
    </w:pPr>
    <w:rPr>
      <w:rFonts w:ascii="Times New Roman" w:hAnsi="Times New Roman" w:cs="Times New Roman"/>
    </w:rPr>
  </w:style>
  <w:style w:type="character" w:customStyle="1" w:styleId="30">
    <w:name w:val="正文文本 字符"/>
    <w:basedOn w:val="18"/>
    <w:link w:val="6"/>
    <w:qFormat/>
    <w:uiPriority w:val="0"/>
    <w:rPr>
      <w:color w:val="993300"/>
      <w:kern w:val="2"/>
      <w:sz w:val="24"/>
      <w:szCs w:val="24"/>
    </w:rPr>
  </w:style>
  <w:style w:type="character" w:customStyle="1" w:styleId="31">
    <w:name w:val="列表段落 字符"/>
    <w:basedOn w:val="18"/>
    <w:link w:val="23"/>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32046</Words>
  <Characters>35298</Characters>
  <Lines>35</Lines>
  <Paragraphs>59</Paragraphs>
  <TotalTime>13</TotalTime>
  <ScaleCrop>false</ScaleCrop>
  <LinksUpToDate>false</LinksUpToDate>
  <CharactersWithSpaces>37575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2024-08-22T06:36:00Z</dcterms:created>
  <dc:creator>lenovo</dc:creator>
  <cp:lastModifiedBy>。</cp:lastModifiedBy>
  <dcterms:modified xsi:type="dcterms:W3CDTF">2024-08-28T10:58:27Z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146F0964591F487890352E483A29A56F_13</vt:lpwstr>
  </property>
</Properties>
</file>