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A327">
      <w:pPr>
        <w:pStyle w:val="6"/>
        <w:spacing w:line="360" w:lineRule="auto"/>
        <w:rPr>
          <w:rFonts w:hint="eastAsia" w:ascii="宋体" w:hAnsi="宋体" w:eastAsia="宋体" w:cs="宋体"/>
          <w:b/>
          <w:bCs/>
          <w:sz w:val="40"/>
          <w:szCs w:val="48"/>
        </w:rPr>
      </w:pPr>
    </w:p>
    <w:p w14:paraId="730A0301">
      <w:pPr>
        <w:snapToGrid w:val="0"/>
        <w:jc w:val="center"/>
        <w:rPr>
          <w:rFonts w:hint="eastAsia" w:ascii="宋体" w:hAnsi="宋体" w:eastAsia="宋体" w:cs="宋体"/>
          <w:bCs/>
          <w:sz w:val="72"/>
          <w:szCs w:val="48"/>
        </w:rPr>
      </w:pPr>
      <w:r>
        <w:rPr>
          <w:rFonts w:hint="eastAsia" w:ascii="宋体" w:hAnsi="宋体" w:eastAsia="宋体" w:cs="宋体"/>
          <w:b/>
          <w:bCs/>
          <w:sz w:val="48"/>
          <w:szCs w:val="48"/>
        </w:rPr>
        <w:t>黄陵县人民检察院2024年中央和省级政法转移支付自定采购装备项目</w:t>
      </w:r>
    </w:p>
    <w:p w14:paraId="622236AC">
      <w:pPr>
        <w:snapToGrid w:val="0"/>
        <w:jc w:val="center"/>
        <w:rPr>
          <w:rFonts w:hint="eastAsia" w:ascii="宋体" w:hAnsi="宋体" w:eastAsia="宋体" w:cs="宋体"/>
          <w:bCs/>
          <w:sz w:val="72"/>
          <w:szCs w:val="48"/>
        </w:rPr>
      </w:pPr>
    </w:p>
    <w:p w14:paraId="55984152">
      <w:pPr>
        <w:pStyle w:val="10"/>
        <w:rPr>
          <w:rFonts w:hint="eastAsia" w:ascii="宋体" w:hAnsi="宋体" w:eastAsia="宋体" w:cs="宋体"/>
          <w:bCs/>
          <w:sz w:val="72"/>
          <w:szCs w:val="48"/>
        </w:rPr>
      </w:pPr>
    </w:p>
    <w:p w14:paraId="4D0EC2A7">
      <w:pPr>
        <w:pStyle w:val="10"/>
        <w:rPr>
          <w:rFonts w:hint="eastAsia" w:ascii="宋体" w:hAnsi="宋体" w:eastAsia="宋体" w:cs="宋体"/>
          <w:bCs/>
          <w:sz w:val="72"/>
          <w:szCs w:val="48"/>
        </w:rPr>
      </w:pPr>
    </w:p>
    <w:p w14:paraId="4A4E4EAB">
      <w:pPr>
        <w:snapToGrid w:val="0"/>
        <w:jc w:val="center"/>
        <w:rPr>
          <w:rFonts w:hint="eastAsia" w:ascii="宋体" w:hAnsi="宋体" w:eastAsia="宋体" w:cs="宋体"/>
          <w:b/>
          <w:bCs w:val="0"/>
          <w:sz w:val="72"/>
          <w:szCs w:val="48"/>
        </w:rPr>
      </w:pPr>
      <w:r>
        <w:rPr>
          <w:rFonts w:hint="eastAsia" w:ascii="宋体" w:hAnsi="宋体" w:eastAsia="宋体" w:cs="宋体"/>
          <w:b/>
          <w:bCs w:val="0"/>
          <w:sz w:val="52"/>
          <w:szCs w:val="52"/>
        </w:rPr>
        <w:t>竞争性谈判文件</w:t>
      </w:r>
    </w:p>
    <w:p w14:paraId="757943B0">
      <w:pPr>
        <w:pStyle w:val="9"/>
        <w:spacing w:line="240" w:lineRule="auto"/>
        <w:jc w:val="center"/>
        <w:rPr>
          <w:rFonts w:hint="eastAsia" w:ascii="宋体" w:hAnsi="宋体" w:eastAsia="宋体" w:cs="宋体"/>
          <w:b/>
          <w:bCs w:val="0"/>
          <w:kern w:val="0"/>
          <w:sz w:val="32"/>
          <w:szCs w:val="32"/>
          <w:highlight w:val="none"/>
        </w:rPr>
      </w:pPr>
      <w:bookmarkStart w:id="23" w:name="_GoBack"/>
      <w:bookmarkEnd w:id="23"/>
    </w:p>
    <w:p w14:paraId="392CD355">
      <w:pPr>
        <w:pStyle w:val="9"/>
        <w:spacing w:line="240" w:lineRule="auto"/>
        <w:ind w:left="0" w:leftChars="0" w:firstLine="0" w:firstLineChars="0"/>
        <w:jc w:val="center"/>
        <w:rPr>
          <w:rFonts w:hint="eastAsia" w:ascii="宋体" w:hAnsi="宋体" w:eastAsia="宋体" w:cs="宋体"/>
          <w:b/>
          <w:bCs/>
          <w:kern w:val="0"/>
          <w:sz w:val="32"/>
          <w:szCs w:val="32"/>
          <w:lang w:eastAsia="zh-CN"/>
        </w:rPr>
      </w:pPr>
      <w:r>
        <w:rPr>
          <w:rFonts w:hint="eastAsia" w:ascii="宋体" w:hAnsi="宋体" w:eastAsia="宋体" w:cs="宋体"/>
          <w:b/>
          <w:bCs w:val="0"/>
          <w:kern w:val="0"/>
          <w:sz w:val="32"/>
          <w:szCs w:val="32"/>
          <w:highlight w:val="none"/>
        </w:rPr>
        <w:t>项目编号：HLZC-TP-2024-1</w:t>
      </w:r>
      <w:r>
        <w:rPr>
          <w:rFonts w:hint="eastAsia" w:ascii="宋体" w:hAnsi="宋体" w:eastAsia="宋体" w:cs="宋体"/>
          <w:b/>
          <w:bCs w:val="0"/>
          <w:kern w:val="0"/>
          <w:sz w:val="32"/>
          <w:szCs w:val="32"/>
          <w:highlight w:val="none"/>
          <w:lang w:val="en-US" w:eastAsia="zh-CN"/>
        </w:rPr>
        <w:t>5</w:t>
      </w:r>
    </w:p>
    <w:p w14:paraId="07B43C39">
      <w:pPr>
        <w:pStyle w:val="9"/>
        <w:rPr>
          <w:rFonts w:hint="eastAsia" w:ascii="宋体" w:hAnsi="宋体" w:eastAsia="宋体" w:cs="宋体"/>
        </w:rPr>
      </w:pPr>
    </w:p>
    <w:p w14:paraId="2877101B">
      <w:pPr>
        <w:pStyle w:val="9"/>
        <w:ind w:left="0" w:leftChars="0"/>
        <w:rPr>
          <w:rFonts w:hint="eastAsia" w:ascii="宋体" w:hAnsi="宋体" w:eastAsia="宋体" w:cs="宋体"/>
        </w:rPr>
      </w:pPr>
    </w:p>
    <w:p w14:paraId="7AB19487">
      <w:pPr>
        <w:snapToGrid w:val="0"/>
        <w:spacing w:line="500" w:lineRule="exact"/>
        <w:rPr>
          <w:rFonts w:hint="eastAsia" w:ascii="宋体" w:hAnsi="宋体" w:eastAsia="宋体" w:cs="宋体"/>
          <w:b/>
          <w:sz w:val="30"/>
        </w:rPr>
      </w:pPr>
    </w:p>
    <w:p w14:paraId="099BEC24">
      <w:pPr>
        <w:snapToGrid w:val="0"/>
        <w:spacing w:line="480" w:lineRule="auto"/>
        <w:rPr>
          <w:rFonts w:hint="eastAsia" w:ascii="宋体" w:hAnsi="宋体" w:eastAsia="宋体" w:cs="宋体"/>
          <w:b/>
          <w:bCs/>
          <w:sz w:val="36"/>
          <w:szCs w:val="44"/>
        </w:rPr>
      </w:pPr>
    </w:p>
    <w:p w14:paraId="3DBEE68A">
      <w:pPr>
        <w:pStyle w:val="22"/>
        <w:rPr>
          <w:rFonts w:hint="eastAsia" w:ascii="宋体" w:hAnsi="宋体" w:eastAsia="宋体" w:cs="宋体"/>
        </w:rPr>
      </w:pPr>
    </w:p>
    <w:p w14:paraId="215D5E85">
      <w:pPr>
        <w:snapToGrid w:val="0"/>
        <w:spacing w:line="480" w:lineRule="auto"/>
        <w:ind w:leftChars="800"/>
        <w:rPr>
          <w:rFonts w:hint="eastAsia" w:ascii="宋体" w:hAnsi="宋体" w:eastAsia="宋体" w:cs="宋体"/>
          <w:b/>
          <w:bCs/>
          <w:sz w:val="36"/>
          <w:szCs w:val="44"/>
        </w:rPr>
      </w:pPr>
      <w:r>
        <w:rPr>
          <w:rFonts w:hint="eastAsia" w:ascii="宋体" w:hAnsi="宋体" w:eastAsia="宋体" w:cs="宋体"/>
          <w:b/>
          <w:bCs/>
          <w:sz w:val="36"/>
          <w:szCs w:val="44"/>
        </w:rPr>
        <w:t>采</w:t>
      </w:r>
      <w:r>
        <w:rPr>
          <w:rFonts w:hint="eastAsia" w:ascii="宋体" w:hAnsi="宋体" w:eastAsia="宋体" w:cs="宋体"/>
          <w:b/>
          <w:bCs/>
          <w:sz w:val="36"/>
          <w:szCs w:val="44"/>
          <w:lang w:val="en-US" w:eastAsia="zh-CN"/>
        </w:rPr>
        <w:t xml:space="preserve">   </w:t>
      </w:r>
      <w:r>
        <w:rPr>
          <w:rFonts w:hint="eastAsia" w:ascii="宋体" w:hAnsi="宋体" w:eastAsia="宋体" w:cs="宋体"/>
          <w:b/>
          <w:bCs/>
          <w:sz w:val="36"/>
          <w:szCs w:val="44"/>
        </w:rPr>
        <w:t>购</w:t>
      </w:r>
      <w:r>
        <w:rPr>
          <w:rFonts w:hint="eastAsia" w:ascii="宋体" w:hAnsi="宋体" w:eastAsia="宋体" w:cs="宋体"/>
          <w:b/>
          <w:bCs/>
          <w:sz w:val="36"/>
          <w:szCs w:val="44"/>
          <w:lang w:val="en-US" w:eastAsia="zh-CN"/>
        </w:rPr>
        <w:t xml:space="preserve">   </w:t>
      </w:r>
      <w:r>
        <w:rPr>
          <w:rFonts w:hint="eastAsia" w:ascii="宋体" w:hAnsi="宋体" w:eastAsia="宋体" w:cs="宋体"/>
          <w:b/>
          <w:bCs/>
          <w:sz w:val="36"/>
          <w:szCs w:val="44"/>
        </w:rPr>
        <w:t>人：黄陵县人民检察院</w:t>
      </w:r>
    </w:p>
    <w:p w14:paraId="10F5A5E8">
      <w:pPr>
        <w:snapToGrid w:val="0"/>
        <w:spacing w:line="480" w:lineRule="auto"/>
        <w:ind w:leftChars="800"/>
        <w:rPr>
          <w:rFonts w:hint="eastAsia" w:ascii="宋体" w:hAnsi="宋体" w:eastAsia="宋体" w:cs="宋体"/>
          <w:b/>
          <w:sz w:val="32"/>
          <w:szCs w:val="32"/>
        </w:rPr>
      </w:pPr>
      <w:r>
        <w:rPr>
          <w:rFonts w:hint="eastAsia" w:ascii="宋体" w:hAnsi="宋体" w:eastAsia="宋体" w:cs="宋体"/>
          <w:b/>
          <w:bCs/>
          <w:sz w:val="36"/>
          <w:szCs w:val="44"/>
        </w:rPr>
        <w:t>采购代理机构：黄陵县政府采购中心</w:t>
      </w:r>
    </w:p>
    <w:p w14:paraId="04264078">
      <w:pPr>
        <w:rPr>
          <w:rFonts w:hint="eastAsia" w:ascii="宋体" w:hAnsi="宋体" w:eastAsia="宋体" w:cs="宋体"/>
        </w:rPr>
      </w:pPr>
    </w:p>
    <w:p w14:paraId="71F16689">
      <w:pPr>
        <w:snapToGrid w:val="0"/>
        <w:spacing w:line="500" w:lineRule="exact"/>
        <w:jc w:val="center"/>
        <w:rPr>
          <w:rFonts w:hint="eastAsia" w:ascii="宋体" w:hAnsi="宋体" w:eastAsia="宋体" w:cs="宋体"/>
          <w:b/>
          <w:sz w:val="32"/>
          <w:szCs w:val="32"/>
        </w:rPr>
      </w:pPr>
      <w:r>
        <w:rPr>
          <w:rFonts w:hint="eastAsia" w:ascii="宋体" w:hAnsi="宋体" w:eastAsia="宋体" w:cs="宋体"/>
          <w:b/>
          <w:sz w:val="36"/>
          <w:szCs w:val="36"/>
        </w:rPr>
        <w:t>二〇二四年八月</w:t>
      </w:r>
    </w:p>
    <w:p w14:paraId="69FB4957">
      <w:pPr>
        <w:pStyle w:val="2"/>
        <w:snapToGrid w:val="0"/>
        <w:spacing w:line="500" w:lineRule="exact"/>
        <w:rPr>
          <w:rFonts w:hint="eastAsia" w:ascii="宋体" w:hAnsi="宋体" w:eastAsia="宋体" w:cs="宋体"/>
          <w:sz w:val="32"/>
          <w:szCs w:val="32"/>
        </w:rPr>
        <w:sectPr>
          <w:footerReference r:id="rId5" w:type="first"/>
          <w:headerReference r:id="rId3" w:type="default"/>
          <w:footerReference r:id="rId4" w:type="even"/>
          <w:pgSz w:w="11906" w:h="16838"/>
          <w:pgMar w:top="-1712" w:right="1417" w:bottom="1712" w:left="1587" w:header="992" w:footer="850" w:gutter="0"/>
          <w:pgNumType w:start="0"/>
          <w:cols w:space="720" w:num="1"/>
          <w:docGrid w:linePitch="326" w:charSpace="0"/>
        </w:sectPr>
      </w:pPr>
    </w:p>
    <w:p w14:paraId="39634F2F">
      <w:pPr>
        <w:rPr>
          <w:rFonts w:hint="eastAsia" w:ascii="宋体" w:hAnsi="宋体" w:eastAsia="宋体" w:cs="宋体"/>
        </w:rPr>
      </w:pPr>
    </w:p>
    <w:p w14:paraId="31E18C9A">
      <w:pPr>
        <w:pStyle w:val="2"/>
        <w:snapToGrid w:val="0"/>
        <w:spacing w:line="500" w:lineRule="exact"/>
        <w:rPr>
          <w:rFonts w:hint="eastAsia" w:ascii="宋体" w:hAnsi="宋体" w:eastAsia="宋体" w:cs="宋体"/>
          <w:sz w:val="44"/>
        </w:rPr>
      </w:pPr>
      <w:r>
        <w:rPr>
          <w:rFonts w:hint="eastAsia" w:ascii="宋体" w:hAnsi="宋体" w:eastAsia="宋体" w:cs="宋体"/>
          <w:sz w:val="44"/>
        </w:rPr>
        <w:t>目  录</w:t>
      </w:r>
    </w:p>
    <w:p w14:paraId="34DBB135">
      <w:pPr>
        <w:snapToGrid w:val="0"/>
        <w:spacing w:line="500" w:lineRule="exact"/>
        <w:ind w:firstLine="420"/>
        <w:rPr>
          <w:rFonts w:hint="eastAsia" w:ascii="宋体" w:hAnsi="宋体" w:eastAsia="宋体" w:cs="宋体"/>
        </w:rPr>
      </w:pPr>
    </w:p>
    <w:p w14:paraId="6B2A201C">
      <w:pPr>
        <w:snapToGrid w:val="0"/>
        <w:spacing w:line="720" w:lineRule="auto"/>
        <w:jc w:val="left"/>
        <w:rPr>
          <w:rFonts w:hint="eastAsia" w:ascii="宋体" w:hAnsi="宋体" w:eastAsia="宋体" w:cs="宋体"/>
          <w:b/>
          <w:sz w:val="32"/>
          <w:szCs w:val="32"/>
        </w:rPr>
      </w:pPr>
      <w:r>
        <w:rPr>
          <w:rFonts w:hint="eastAsia" w:ascii="宋体" w:hAnsi="宋体" w:eastAsia="宋体" w:cs="宋体"/>
          <w:b/>
          <w:sz w:val="30"/>
          <w:szCs w:val="30"/>
        </w:rPr>
        <w:t>第一部分  谈判</w:t>
      </w:r>
      <w:r>
        <w:rPr>
          <w:rFonts w:hint="eastAsia" w:ascii="宋体" w:hAnsi="宋体" w:eastAsia="宋体" w:cs="宋体"/>
          <w:b/>
          <w:sz w:val="32"/>
          <w:szCs w:val="32"/>
        </w:rPr>
        <w:t>公告</w:t>
      </w:r>
    </w:p>
    <w:p w14:paraId="4A1EB48D">
      <w:pPr>
        <w:snapToGrid w:val="0"/>
        <w:spacing w:line="720" w:lineRule="auto"/>
        <w:jc w:val="left"/>
        <w:rPr>
          <w:rFonts w:hint="eastAsia" w:ascii="宋体" w:hAnsi="宋体" w:eastAsia="宋体" w:cs="宋体"/>
          <w:b/>
          <w:color w:val="FF0000"/>
          <w:sz w:val="30"/>
          <w:szCs w:val="30"/>
        </w:rPr>
      </w:pPr>
      <w:r>
        <w:rPr>
          <w:rFonts w:hint="eastAsia" w:ascii="宋体" w:hAnsi="宋体" w:eastAsia="宋体" w:cs="宋体"/>
          <w:b/>
          <w:sz w:val="30"/>
          <w:szCs w:val="30"/>
        </w:rPr>
        <w:t>第二部分  谈判供应商须知</w:t>
      </w:r>
    </w:p>
    <w:p w14:paraId="17017219">
      <w:pPr>
        <w:snapToGrid w:val="0"/>
        <w:spacing w:line="720" w:lineRule="auto"/>
        <w:jc w:val="left"/>
        <w:rPr>
          <w:rFonts w:hint="eastAsia" w:ascii="宋体" w:hAnsi="宋体" w:eastAsia="宋体" w:cs="宋体"/>
          <w:b/>
          <w:color w:val="FF0000"/>
          <w:sz w:val="30"/>
          <w:szCs w:val="30"/>
        </w:rPr>
      </w:pPr>
      <w:r>
        <w:rPr>
          <w:rFonts w:hint="eastAsia" w:ascii="宋体" w:hAnsi="宋体" w:eastAsia="宋体" w:cs="宋体"/>
          <w:b/>
          <w:sz w:val="30"/>
          <w:szCs w:val="30"/>
        </w:rPr>
        <w:t>第三部分  谈判内容及要求</w:t>
      </w:r>
    </w:p>
    <w:p w14:paraId="2D82D9A3">
      <w:pPr>
        <w:snapToGrid w:val="0"/>
        <w:spacing w:line="720" w:lineRule="auto"/>
        <w:jc w:val="left"/>
        <w:rPr>
          <w:rFonts w:hint="eastAsia" w:ascii="宋体" w:hAnsi="宋体" w:eastAsia="宋体" w:cs="宋体"/>
          <w:b/>
          <w:sz w:val="30"/>
          <w:szCs w:val="30"/>
        </w:rPr>
      </w:pPr>
      <w:r>
        <w:rPr>
          <w:rFonts w:hint="eastAsia" w:ascii="宋体" w:hAnsi="宋体" w:eastAsia="宋体" w:cs="宋体"/>
          <w:b/>
          <w:sz w:val="30"/>
          <w:szCs w:val="30"/>
        </w:rPr>
        <w:t>第四部分  商务及合同主要条款</w:t>
      </w:r>
    </w:p>
    <w:p w14:paraId="0FE410AB">
      <w:pPr>
        <w:snapToGrid w:val="0"/>
        <w:spacing w:line="720" w:lineRule="auto"/>
        <w:jc w:val="left"/>
        <w:rPr>
          <w:rFonts w:hint="eastAsia" w:ascii="宋体" w:hAnsi="宋体" w:eastAsia="宋体" w:cs="宋体"/>
          <w:b/>
          <w:sz w:val="30"/>
          <w:szCs w:val="30"/>
        </w:rPr>
      </w:pPr>
      <w:r>
        <w:rPr>
          <w:rFonts w:hint="eastAsia" w:ascii="宋体" w:hAnsi="宋体" w:eastAsia="宋体" w:cs="宋体"/>
          <w:b/>
          <w:sz w:val="30"/>
          <w:szCs w:val="30"/>
        </w:rPr>
        <w:t>第五部分  谈判响应文件格式</w:t>
      </w:r>
    </w:p>
    <w:p w14:paraId="3B602A6A">
      <w:pPr>
        <w:snapToGrid w:val="0"/>
        <w:spacing w:line="720" w:lineRule="auto"/>
        <w:ind w:firstLine="602" w:firstLineChars="200"/>
        <w:rPr>
          <w:rFonts w:hint="eastAsia" w:ascii="宋体" w:hAnsi="宋体" w:eastAsia="宋体" w:cs="宋体"/>
          <w:b/>
          <w:sz w:val="30"/>
          <w:szCs w:val="30"/>
        </w:rPr>
      </w:pPr>
    </w:p>
    <w:p w14:paraId="0FAE9A82">
      <w:pPr>
        <w:snapToGrid w:val="0"/>
        <w:spacing w:line="500" w:lineRule="exact"/>
        <w:ind w:firstLine="562" w:firstLineChars="200"/>
        <w:rPr>
          <w:rFonts w:hint="eastAsia" w:ascii="宋体" w:hAnsi="宋体" w:eastAsia="宋体" w:cs="宋体"/>
          <w:b/>
          <w:sz w:val="28"/>
          <w:szCs w:val="28"/>
        </w:rPr>
        <w:sectPr>
          <w:headerReference r:id="rId6" w:type="default"/>
          <w:footerReference r:id="rId7" w:type="default"/>
          <w:pgSz w:w="11906" w:h="16838"/>
          <w:pgMar w:top="-1712" w:right="1417" w:bottom="1712" w:left="1587" w:header="992" w:footer="850" w:gutter="0"/>
          <w:pgNumType w:start="1"/>
          <w:cols w:space="720" w:num="1"/>
          <w:docGrid w:linePitch="326" w:charSpace="0"/>
        </w:sectPr>
      </w:pPr>
    </w:p>
    <w:p w14:paraId="2DC7190E">
      <w:pPr>
        <w:pStyle w:val="12"/>
        <w:spacing w:beforeAutospacing="0" w:afterAutospacing="0" w:line="360" w:lineRule="auto"/>
        <w:ind w:firstLine="420"/>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谈判公告</w:t>
      </w:r>
    </w:p>
    <w:p w14:paraId="4A18F80A">
      <w:pPr>
        <w:jc w:val="center"/>
        <w:rPr>
          <w:rFonts w:hint="eastAsia" w:ascii="宋体" w:hAnsi="宋体" w:eastAsia="宋体" w:cs="宋体"/>
          <w:sz w:val="24"/>
        </w:rPr>
      </w:pPr>
    </w:p>
    <w:p w14:paraId="73788059">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项目概况</w:t>
      </w:r>
    </w:p>
    <w:p w14:paraId="2B56D42B">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2024年中央和省级政法转移支付自定采购装备采购项目的潜在供应商应在全国公共资源交易中心平台（陕西省•延安市）获取采购文件，并于 2024年09月13日 15时00分 （北京时间）前提交响应文件。</w:t>
      </w:r>
    </w:p>
    <w:p w14:paraId="6BD2E8B0">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一、项目基本情况</w:t>
      </w:r>
    </w:p>
    <w:p w14:paraId="10629CCE">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项目编号：HLZC-TP-2024-15</w:t>
      </w:r>
    </w:p>
    <w:p w14:paraId="05BD214F">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项目名称：2024年中央和省级政法转移支付自定采购装备</w:t>
      </w:r>
    </w:p>
    <w:p w14:paraId="36FC22B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采购方式：竞争性谈判</w:t>
      </w:r>
    </w:p>
    <w:p w14:paraId="1E6351A0">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预算金额：1,008,000.00元</w:t>
      </w:r>
    </w:p>
    <w:p w14:paraId="0999E7C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采购需求：</w:t>
      </w:r>
    </w:p>
    <w:p w14:paraId="2E223B4E">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合同包1(自定采购装备):</w:t>
      </w:r>
    </w:p>
    <w:p w14:paraId="16DFEF3B">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合同包预算金额：1,008,000.00元</w:t>
      </w:r>
    </w:p>
    <w:p w14:paraId="2ABC93CF">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合同包最高限价：1,008,000.00元</w:t>
      </w:r>
    </w:p>
    <w:tbl>
      <w:tblPr>
        <w:tblStyle w:val="1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5"/>
        <w:gridCol w:w="1296"/>
        <w:gridCol w:w="2127"/>
        <w:gridCol w:w="829"/>
        <w:gridCol w:w="1152"/>
        <w:gridCol w:w="1640"/>
        <w:gridCol w:w="1640"/>
      </w:tblGrid>
      <w:tr w14:paraId="460E06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00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E2113CE">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品目号</w:t>
            </w:r>
          </w:p>
        </w:tc>
        <w:tc>
          <w:tcPr>
            <w:tcW w:w="375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413A504">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品目名称</w:t>
            </w:r>
          </w:p>
        </w:tc>
        <w:tc>
          <w:tcPr>
            <w:tcW w:w="3757"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C58407D">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采购标的</w:t>
            </w:r>
          </w:p>
        </w:tc>
        <w:tc>
          <w:tcPr>
            <w:tcW w:w="1252"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8BA7DE7">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数量（单位）</w:t>
            </w:r>
          </w:p>
        </w:tc>
        <w:tc>
          <w:tcPr>
            <w:tcW w:w="2504"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06CEAE02">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技术规格、参数及要求</w:t>
            </w:r>
          </w:p>
        </w:tc>
        <w:tc>
          <w:tcPr>
            <w:tcW w:w="150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563684CE">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品目预算(元)</w:t>
            </w:r>
          </w:p>
        </w:tc>
        <w:tc>
          <w:tcPr>
            <w:tcW w:w="1503"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1F8F624E">
            <w:pPr>
              <w:widowControl/>
              <w:wordWrap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最高限价(元)</w:t>
            </w:r>
          </w:p>
        </w:tc>
      </w:tr>
      <w:tr w14:paraId="77AF9B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0E5195F">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425CD564">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基础软件</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2CB8DA3">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2024年黄陵县人民检察院中央和省级政法转移支付自定采购装备</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3E3793A0">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1(批)</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C39E826">
            <w:pPr>
              <w:widowControl/>
              <w:wordWrap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详见采购文件</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6EDD0993">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1,008,000.00</w:t>
            </w:r>
          </w:p>
        </w:tc>
        <w:tc>
          <w:tcPr>
            <w:tcW w:w="0" w:type="auto"/>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14:paraId="241DE166">
            <w:pPr>
              <w:widowControl/>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rPr>
              <w:t>1,008,000.00</w:t>
            </w:r>
          </w:p>
        </w:tc>
      </w:tr>
    </w:tbl>
    <w:p w14:paraId="1B237AFA">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本合同包不接受联合体投标</w:t>
      </w:r>
    </w:p>
    <w:p w14:paraId="460C27DF">
      <w:pPr>
        <w:widowControl/>
        <w:shd w:val="clear" w:color="auto" w:fill="FFFFFF"/>
        <w:wordWrap w:val="0"/>
        <w:spacing w:line="360" w:lineRule="auto"/>
        <w:ind w:firstLine="526"/>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合同履行期限：30个工作日</w:t>
      </w:r>
    </w:p>
    <w:p w14:paraId="6152C5D7">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二、申请人的资格要求：</w:t>
      </w:r>
    </w:p>
    <w:p w14:paraId="0BB37D87">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1.满足《中华人民共和国政府采购法》第二十二条规定;</w:t>
      </w:r>
    </w:p>
    <w:p w14:paraId="17A2752D">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2.落实政府采购政策需满足的资格要求：</w:t>
      </w:r>
    </w:p>
    <w:p w14:paraId="6CAF81A2">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合同包1(自定采购装备)落实政府采购政策需满足的资格要求如下:</w:t>
      </w:r>
    </w:p>
    <w:p w14:paraId="1EE505F6">
      <w:pPr>
        <w:widowControl/>
        <w:shd w:val="clear" w:color="auto" w:fill="FFFFFF"/>
        <w:wordWrap w:val="0"/>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1、《财政部工业和信息化部关于印发〈政府采购促进中小企业发展管理办法〉的通知》（财库〔2020〕46号）；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2、《财政部司法部关于政府采购支持监狱企业发展有关问题的通知》（财库〔2014〕68号）；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3、《国务院办公厅关于建立政府强制采购节能产品制度的通知》（国办发〔2007〕51号）；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4、《关于调整优化节能产品、环境标志产品政府采购执行机制的通知》（财库〔2019〕9号）；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5、《三部门联合发布关于促进残疾人就业政府采购政策的通知》（财库〔2017〕141号）。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6、《财政部 农业农村部国家乡镇振兴局关于运用政府采购政策支持产业振兴的通知》（财库【2021】19号）；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7、陕西省财政厅关于印发《陕西省中小企业政府采购信用融资办法》（陕财办采〔2018〕23号）；</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8、其他需要落实的政府采购政策。</w:t>
      </w:r>
    </w:p>
    <w:p w14:paraId="2590938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3.本项目的特定资格要求：</w:t>
      </w:r>
    </w:p>
    <w:p w14:paraId="3788A51F">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合同包1(自定采购装备)特定资格要求如下:</w:t>
      </w:r>
    </w:p>
    <w:p w14:paraId="687C968A">
      <w:pPr>
        <w:widowControl/>
        <w:shd w:val="clear" w:color="auto" w:fill="FFFFFF"/>
        <w:wordWrap w:val="0"/>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2、法定代表人授权书（附法定代表人身份证复印件）及被授权人身份证（法定代表人直接参加只须提供法定代表人身份证）；</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3、供应商提供2022年度或2023年度的财务审计报告(成立时间至提交响应文件截止时间不足一年的可提供成立后任意时段的资产负债表)或其基本存款账户开户银行出具的资信证明及基本存款账户开户信息；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4、税收缴纳证明：提供已缴纳的2024年至今任一月份的缴税凭证；依法免税的供应商应提供相关文件证明；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5、社会保障资金缴纳证明：提供2024年至今任意一个月的社会保障资金缴存证明或社保机构开具的社会保险参保缴费情况证明；依法不需要缴纳社会保障资金的应提供相关文件证明；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7、参加政府采购活动近三年内，在经营活动中没有重大违法记录声明函；</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8、具备履行合同所必须的设备和专业技术能力的书面声明；</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9、本项目不接受联合体谈</w:t>
      </w:r>
    </w:p>
    <w:p w14:paraId="2E7AAD4A">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三、获取采购文件</w:t>
      </w:r>
    </w:p>
    <w:p w14:paraId="5E4C2057">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 2024年08月29日 至 2024年09月02日 ，每天上午 08:00:00 至 12:00:00 ，下午 14:00:00 至 18:00:00 （北京时间）</w:t>
      </w:r>
    </w:p>
    <w:p w14:paraId="166283C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途径：全国公共资源交易中心平台（陕西省•延安市）</w:t>
      </w:r>
    </w:p>
    <w:p w14:paraId="2C220BC9">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方式：在线获取</w:t>
      </w:r>
    </w:p>
    <w:p w14:paraId="518D758E">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售价： 0元</w:t>
      </w:r>
    </w:p>
    <w:p w14:paraId="5E16A976">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四、响应文件提交</w:t>
      </w:r>
    </w:p>
    <w:p w14:paraId="2699F3F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截止时间： 2024年09月13日 15时00分00秒 （北京时间）</w:t>
      </w:r>
    </w:p>
    <w:p w14:paraId="3C5EE25E">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地点：延安市公共资源交易中心交易四厅</w:t>
      </w:r>
    </w:p>
    <w:p w14:paraId="31CB2C29">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五、开启</w:t>
      </w:r>
    </w:p>
    <w:p w14:paraId="5A92BD5A">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时间： 2024年09月13日 15时00分00秒 （北京时间）</w:t>
      </w:r>
    </w:p>
    <w:p w14:paraId="7BD1264D">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地点：延安市公共资源交易中心交易四厅</w:t>
      </w:r>
    </w:p>
    <w:p w14:paraId="39131F97">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六、公告期限</w:t>
      </w:r>
    </w:p>
    <w:p w14:paraId="6E7659FD">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自本公告发布之日起3个工作日。</w:t>
      </w:r>
    </w:p>
    <w:p w14:paraId="68F8ECE5">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七、其他补充事宜</w:t>
      </w:r>
    </w:p>
    <w:p w14:paraId="7792C96B">
      <w:pPr>
        <w:widowControl/>
        <w:shd w:val="clear" w:color="auto" w:fill="FFFFFF"/>
        <w:wordWrap w:val="0"/>
        <w:spacing w:line="360" w:lineRule="auto"/>
        <w:ind w:firstLine="480"/>
        <w:rPr>
          <w:rFonts w:hint="eastAsia"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14:paraId="2D579AA0">
      <w:pPr>
        <w:widowControl/>
        <w:shd w:val="clear" w:color="auto" w:fill="FFFFFF"/>
        <w:wordWrap w:val="0"/>
        <w:spacing w:line="360" w:lineRule="auto"/>
        <w:ind w:firstLine="480"/>
        <w:rPr>
          <w:rFonts w:hint="eastAsia"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2.下载文件：供应商登录延安市公共资源交易中心，选择“交易乙方”身份进入供应商界面下载采购文件。</w:t>
      </w:r>
    </w:p>
    <w:p w14:paraId="2600471E">
      <w:pPr>
        <w:widowControl/>
        <w:shd w:val="clear" w:color="auto" w:fill="FFFFFF"/>
        <w:wordWrap w:val="0"/>
        <w:spacing w:line="360" w:lineRule="auto"/>
        <w:ind w:firstLine="480"/>
        <w:rPr>
          <w:rFonts w:hint="eastAsia"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3.请供应商按照陕西省财政厅关于政府采购供应商注册登记有关事项的通知中的要求，通过陕西省政府采购网注册登记加入陕西省政府采购供应商库。</w:t>
      </w:r>
    </w:p>
    <w:p w14:paraId="6AD5661C">
      <w:pPr>
        <w:widowControl/>
        <w:shd w:val="clear" w:color="auto" w:fill="FFFFFF"/>
        <w:wordWrap w:val="0"/>
        <w:spacing w:line="360" w:lineRule="auto"/>
        <w:ind w:firstLine="401"/>
        <w:rPr>
          <w:rFonts w:hint="eastAsia"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4.本项目不专门面向中小企业。</w:t>
      </w:r>
    </w:p>
    <w:p w14:paraId="770C17F9">
      <w:pPr>
        <w:widowControl/>
        <w:shd w:val="clear" w:color="auto" w:fill="FFFFFF"/>
        <w:wordWrap w:val="0"/>
        <w:spacing w:line="360" w:lineRule="auto"/>
        <w:jc w:val="left"/>
        <w:outlineLvl w:val="3"/>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八、对本次招标提出询问，请按以下方式联系。</w:t>
      </w:r>
    </w:p>
    <w:p w14:paraId="56DED0A2">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14:paraId="179C06F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名称：黄陵县人民检察院</w:t>
      </w:r>
    </w:p>
    <w:p w14:paraId="2DB964D6">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地址：黄陵县高阳路</w:t>
      </w:r>
    </w:p>
    <w:p w14:paraId="4229A815">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联系方式：13399216846</w:t>
      </w:r>
    </w:p>
    <w:p w14:paraId="715E149F">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14:paraId="4997A051">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名称：黄陵县政府采购中心</w:t>
      </w:r>
    </w:p>
    <w:p w14:paraId="17990993">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地址：延安市黄陵县</w:t>
      </w:r>
    </w:p>
    <w:p w14:paraId="4E630E63">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联系方式：0911-5213508</w:t>
      </w:r>
    </w:p>
    <w:p w14:paraId="14C0988C">
      <w:pPr>
        <w:widowControl/>
        <w:shd w:val="clear" w:color="auto" w:fill="FFFFFF"/>
        <w:wordWrap w:val="0"/>
        <w:spacing w:line="360" w:lineRule="auto"/>
        <w:jc w:val="left"/>
        <w:outlineLvl w:val="5"/>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14:paraId="2DA7A0A4">
      <w:pPr>
        <w:widowControl/>
        <w:shd w:val="clear" w:color="auto" w:fill="FFFFFF"/>
        <w:wordWrap w:val="0"/>
        <w:spacing w:line="360" w:lineRule="auto"/>
        <w:ind w:firstLine="401"/>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项目联系人：孙志刚</w:t>
      </w:r>
    </w:p>
    <w:p w14:paraId="0F5863A9">
      <w:pPr>
        <w:pStyle w:val="12"/>
        <w:wordWrap w:val="0"/>
        <w:spacing w:before="0" w:beforeAutospacing="0" w:after="0" w:afterAutospacing="0" w:line="360" w:lineRule="auto"/>
        <w:ind w:firstLine="480"/>
        <w:jc w:val="both"/>
        <w:rPr>
          <w:rFonts w:hint="eastAsia" w:ascii="宋体" w:hAnsi="宋体" w:eastAsia="宋体" w:cs="宋体"/>
          <w:highlight w:val="none"/>
        </w:rPr>
      </w:pPr>
      <w:r>
        <w:rPr>
          <w:rFonts w:hint="eastAsia" w:ascii="宋体" w:hAnsi="宋体" w:eastAsia="宋体" w:cs="宋体"/>
          <w:color w:val="333333"/>
          <w:kern w:val="0"/>
          <w:sz w:val="24"/>
          <w:szCs w:val="24"/>
        </w:rPr>
        <w:t>电话：18992166608</w:t>
      </w:r>
    </w:p>
    <w:p w14:paraId="4F003143">
      <w:pPr>
        <w:spacing w:line="360" w:lineRule="auto"/>
        <w:jc w:val="right"/>
        <w:rPr>
          <w:rFonts w:hint="eastAsia" w:ascii="宋体" w:hAnsi="宋体" w:eastAsia="宋体" w:cs="宋体"/>
          <w:b/>
          <w:bCs/>
          <w:sz w:val="24"/>
        </w:rPr>
      </w:pPr>
    </w:p>
    <w:p w14:paraId="556EB23A">
      <w:pPr>
        <w:rPr>
          <w:rFonts w:hint="eastAsia" w:ascii="宋体" w:hAnsi="宋体" w:eastAsia="宋体" w:cs="宋体"/>
          <w:b/>
          <w:kern w:val="44"/>
          <w:sz w:val="44"/>
          <w:szCs w:val="44"/>
        </w:rPr>
      </w:pPr>
      <w:r>
        <w:rPr>
          <w:rFonts w:hint="eastAsia" w:ascii="宋体" w:hAnsi="宋体" w:eastAsia="宋体" w:cs="宋体"/>
          <w:b/>
          <w:kern w:val="44"/>
          <w:sz w:val="44"/>
          <w:szCs w:val="44"/>
        </w:rPr>
        <w:br w:type="page"/>
      </w:r>
    </w:p>
    <w:p w14:paraId="12B84193">
      <w:pPr>
        <w:spacing w:after="50" w:line="600" w:lineRule="exact"/>
        <w:jc w:val="center"/>
        <w:rPr>
          <w:rFonts w:hint="eastAsia" w:ascii="宋体" w:hAnsi="宋体" w:eastAsia="宋体" w:cs="宋体"/>
          <w:b/>
          <w:sz w:val="32"/>
          <w:szCs w:val="32"/>
        </w:rPr>
      </w:pPr>
      <w:r>
        <w:rPr>
          <w:rFonts w:hint="eastAsia" w:ascii="宋体" w:hAnsi="宋体" w:eastAsia="宋体" w:cs="宋体"/>
          <w:b/>
          <w:kern w:val="44"/>
          <w:sz w:val="32"/>
          <w:szCs w:val="32"/>
        </w:rPr>
        <w:t>第二</w:t>
      </w:r>
      <w:r>
        <w:rPr>
          <w:rFonts w:hint="eastAsia" w:ascii="宋体" w:hAnsi="宋体" w:eastAsia="宋体" w:cs="宋体"/>
          <w:b/>
          <w:sz w:val="32"/>
          <w:szCs w:val="32"/>
        </w:rPr>
        <w:t>部分  谈判供应商须知</w:t>
      </w:r>
      <w:bookmarkStart w:id="0" w:name="_Toc184274915"/>
      <w:bookmarkStart w:id="1" w:name="_Toc184283909"/>
    </w:p>
    <w:p w14:paraId="41B86A76">
      <w:pPr>
        <w:pStyle w:val="3"/>
        <w:spacing w:before="360" w:beforeLines="150" w:after="0"/>
        <w:rPr>
          <w:rFonts w:hint="eastAsia" w:ascii="宋体" w:hAnsi="宋体" w:eastAsia="宋体" w:cs="宋体"/>
          <w:sz w:val="32"/>
        </w:rPr>
      </w:pPr>
      <w:bookmarkStart w:id="2" w:name="_Toc213397010"/>
      <w:bookmarkStart w:id="3" w:name="_Toc217446032"/>
      <w:bookmarkStart w:id="4" w:name="_Toc189727030"/>
      <w:bookmarkStart w:id="5" w:name="_Toc213396760"/>
      <w:bookmarkStart w:id="6" w:name="_Toc213396946"/>
      <w:bookmarkStart w:id="7" w:name="_Toc213496268"/>
      <w:r>
        <w:rPr>
          <w:rFonts w:hint="eastAsia" w:ascii="宋体" w:hAnsi="宋体" w:eastAsia="宋体" w:cs="宋体"/>
          <w:sz w:val="32"/>
        </w:rPr>
        <w:t>供应商须知前列表</w:t>
      </w:r>
      <w:bookmarkEnd w:id="0"/>
      <w:bookmarkEnd w:id="1"/>
      <w:bookmarkEnd w:id="2"/>
      <w:bookmarkEnd w:id="3"/>
      <w:bookmarkEnd w:id="4"/>
      <w:bookmarkEnd w:id="5"/>
      <w:bookmarkEnd w:id="6"/>
      <w:bookmarkEnd w:id="7"/>
    </w:p>
    <w:tbl>
      <w:tblPr>
        <w:tblStyle w:val="16"/>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50"/>
        <w:gridCol w:w="6659"/>
      </w:tblGrid>
      <w:tr w14:paraId="63A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trPr>
        <w:tc>
          <w:tcPr>
            <w:tcW w:w="630" w:type="dxa"/>
            <w:vAlign w:val="center"/>
          </w:tcPr>
          <w:p w14:paraId="5AD90456">
            <w:pPr>
              <w:spacing w:before="12" w:beforeLines="5" w:after="12" w:afterLines="5"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50" w:type="dxa"/>
            <w:vAlign w:val="center"/>
          </w:tcPr>
          <w:p w14:paraId="52883E6B">
            <w:pPr>
              <w:spacing w:before="12" w:beforeLines="5" w:after="12" w:afterLines="5" w:line="360" w:lineRule="auto"/>
              <w:ind w:firstLine="56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59" w:type="dxa"/>
            <w:vAlign w:val="center"/>
          </w:tcPr>
          <w:p w14:paraId="4FCF6D48">
            <w:pPr>
              <w:spacing w:before="12" w:beforeLines="5" w:after="12" w:afterLines="5"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4B00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30" w:type="dxa"/>
            <w:vAlign w:val="center"/>
          </w:tcPr>
          <w:p w14:paraId="148D5D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50" w:type="dxa"/>
            <w:vAlign w:val="center"/>
          </w:tcPr>
          <w:p w14:paraId="0E399387">
            <w:pPr>
              <w:keepNext/>
              <w:keepLines/>
              <w:snapToGrid w:val="0"/>
              <w:spacing w:line="360" w:lineRule="auto"/>
              <w:ind w:right="560" w:firstLine="240" w:firstLineChars="100"/>
              <w:jc w:val="center"/>
              <w:outlineLvl w:val="6"/>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659" w:type="dxa"/>
            <w:vAlign w:val="center"/>
          </w:tcPr>
          <w:p w14:paraId="51DD56C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采购人：黄陵县人民检察院</w:t>
            </w:r>
          </w:p>
          <w:p w14:paraId="33577EC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址：延安市黄陵县</w:t>
            </w:r>
          </w:p>
          <w:p w14:paraId="3EA7EB7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联系人及联系方式：黄陵县人民检察院 13399216846</w:t>
            </w:r>
          </w:p>
        </w:tc>
      </w:tr>
      <w:tr w14:paraId="6107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30" w:type="dxa"/>
            <w:vAlign w:val="center"/>
          </w:tcPr>
          <w:p w14:paraId="5F3DF08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50" w:type="dxa"/>
            <w:vAlign w:val="center"/>
          </w:tcPr>
          <w:p w14:paraId="66423E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谈判组织机构</w:t>
            </w:r>
          </w:p>
        </w:tc>
        <w:tc>
          <w:tcPr>
            <w:tcW w:w="6659" w:type="dxa"/>
            <w:vAlign w:val="center"/>
          </w:tcPr>
          <w:p w14:paraId="166634D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采购代理机构：黄陵县政府采购中心</w:t>
            </w:r>
          </w:p>
          <w:p w14:paraId="6A06B80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地址：延安市黄陵县</w:t>
            </w:r>
          </w:p>
          <w:p w14:paraId="1ECE07A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孙志刚</w:t>
            </w:r>
            <w:r>
              <w:rPr>
                <w:rFonts w:hint="eastAsia" w:ascii="宋体" w:hAnsi="宋体" w:eastAsia="宋体" w:cs="宋体"/>
                <w:sz w:val="24"/>
                <w:szCs w:val="24"/>
                <w:highlight w:val="none"/>
              </w:rPr>
              <w:t xml:space="preserve">   联系电话：0911-5213508</w:t>
            </w:r>
          </w:p>
        </w:tc>
      </w:tr>
      <w:tr w14:paraId="38E9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0" w:type="dxa"/>
            <w:vAlign w:val="center"/>
          </w:tcPr>
          <w:p w14:paraId="7CF9867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50" w:type="dxa"/>
            <w:vAlign w:val="center"/>
          </w:tcPr>
          <w:p w14:paraId="0BA964F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6659" w:type="dxa"/>
            <w:vAlign w:val="center"/>
          </w:tcPr>
          <w:p w14:paraId="7C9345CC">
            <w:pPr>
              <w:pStyle w:val="12"/>
              <w:spacing w:beforeAutospacing="0" w:afterAutospacing="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黄陵县人民检察院2024年中央和省级政法转移支付自定采购装备项目</w:t>
            </w:r>
          </w:p>
        </w:tc>
      </w:tr>
      <w:tr w14:paraId="33C5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30" w:type="dxa"/>
            <w:vAlign w:val="center"/>
          </w:tcPr>
          <w:p w14:paraId="7530F0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50" w:type="dxa"/>
            <w:vAlign w:val="center"/>
          </w:tcPr>
          <w:p w14:paraId="7199DA3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项目名称及编号</w:t>
            </w:r>
          </w:p>
        </w:tc>
        <w:tc>
          <w:tcPr>
            <w:tcW w:w="6659" w:type="dxa"/>
            <w:vAlign w:val="center"/>
          </w:tcPr>
          <w:p w14:paraId="3654AAAC">
            <w:pPr>
              <w:numPr>
                <w:ilvl w:val="0"/>
                <w:numId w:val="1"/>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项目名称：黄陵县人民检察院2024年中央和省级政法转移支付自定采购装备项目</w:t>
            </w:r>
          </w:p>
          <w:p w14:paraId="194CA39C">
            <w:pPr>
              <w:pStyle w:val="9"/>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2.项目编号：HLZC-TP-2024-15</w:t>
            </w:r>
          </w:p>
        </w:tc>
      </w:tr>
      <w:tr w14:paraId="1077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48B6B7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50" w:type="dxa"/>
            <w:vAlign w:val="center"/>
          </w:tcPr>
          <w:p w14:paraId="24BA7D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采购预算价</w:t>
            </w:r>
          </w:p>
        </w:tc>
        <w:tc>
          <w:tcPr>
            <w:tcW w:w="6659" w:type="dxa"/>
            <w:vAlign w:val="center"/>
          </w:tcPr>
          <w:p w14:paraId="21713E82">
            <w:pPr>
              <w:pStyle w:val="12"/>
              <w:wordWrap w:val="0"/>
              <w:spacing w:before="0" w:beforeAutospacing="0" w:after="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采购预算：1,008,000.00元</w:t>
            </w:r>
          </w:p>
        </w:tc>
      </w:tr>
      <w:tr w14:paraId="733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vAlign w:val="center"/>
          </w:tcPr>
          <w:p w14:paraId="60BD111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50" w:type="dxa"/>
            <w:vAlign w:val="center"/>
          </w:tcPr>
          <w:p w14:paraId="504673D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采购方式</w:t>
            </w:r>
          </w:p>
        </w:tc>
        <w:tc>
          <w:tcPr>
            <w:tcW w:w="6659" w:type="dxa"/>
            <w:vAlign w:val="center"/>
          </w:tcPr>
          <w:p w14:paraId="39D6743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w:t>
            </w:r>
          </w:p>
        </w:tc>
      </w:tr>
      <w:tr w14:paraId="499A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02919FD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850" w:type="dxa"/>
            <w:vAlign w:val="center"/>
          </w:tcPr>
          <w:p w14:paraId="27AD77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响应周期</w:t>
            </w:r>
          </w:p>
        </w:tc>
        <w:tc>
          <w:tcPr>
            <w:tcW w:w="6659" w:type="dxa"/>
            <w:vAlign w:val="center"/>
          </w:tcPr>
          <w:p w14:paraId="44DCFA3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1.发售时间：2024年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日(8:00-12:00,14:00-1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:00时止)</w:t>
            </w:r>
          </w:p>
          <w:p w14:paraId="6C77C3A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.响应文件递交截止时间及开标时间：2024年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tc>
      </w:tr>
      <w:tr w14:paraId="26C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30" w:type="dxa"/>
            <w:vMerge w:val="restart"/>
            <w:vAlign w:val="center"/>
          </w:tcPr>
          <w:p w14:paraId="5348A27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50" w:type="dxa"/>
            <w:vMerge w:val="restart"/>
            <w:vAlign w:val="center"/>
          </w:tcPr>
          <w:p w14:paraId="248E455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谈判供应商要求澄清竞争性谈判文件</w:t>
            </w:r>
          </w:p>
        </w:tc>
        <w:tc>
          <w:tcPr>
            <w:tcW w:w="6659" w:type="dxa"/>
            <w:vAlign w:val="center"/>
          </w:tcPr>
          <w:p w14:paraId="0107E43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时间：谈判截止时间三日前</w:t>
            </w:r>
          </w:p>
        </w:tc>
      </w:tr>
      <w:tr w14:paraId="2147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0" w:type="dxa"/>
            <w:vMerge w:val="continue"/>
            <w:vAlign w:val="center"/>
          </w:tcPr>
          <w:p w14:paraId="51FC4681">
            <w:pPr>
              <w:spacing w:line="360" w:lineRule="auto"/>
              <w:jc w:val="center"/>
              <w:rPr>
                <w:rFonts w:hint="eastAsia" w:ascii="宋体" w:hAnsi="宋体" w:eastAsia="宋体" w:cs="宋体"/>
                <w:sz w:val="24"/>
                <w:szCs w:val="24"/>
                <w:highlight w:val="none"/>
              </w:rPr>
            </w:pPr>
          </w:p>
        </w:tc>
        <w:tc>
          <w:tcPr>
            <w:tcW w:w="1850" w:type="dxa"/>
            <w:vMerge w:val="continue"/>
            <w:vAlign w:val="center"/>
          </w:tcPr>
          <w:p w14:paraId="5629A62E">
            <w:pPr>
              <w:spacing w:line="360" w:lineRule="auto"/>
              <w:jc w:val="center"/>
              <w:rPr>
                <w:rFonts w:hint="eastAsia" w:ascii="宋体" w:hAnsi="宋体" w:eastAsia="宋体" w:cs="宋体"/>
                <w:sz w:val="24"/>
                <w:szCs w:val="24"/>
                <w:highlight w:val="none"/>
              </w:rPr>
            </w:pPr>
          </w:p>
        </w:tc>
        <w:tc>
          <w:tcPr>
            <w:tcW w:w="6659" w:type="dxa"/>
            <w:vAlign w:val="center"/>
          </w:tcPr>
          <w:p w14:paraId="16D916A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形式：书面形式</w:t>
            </w:r>
          </w:p>
        </w:tc>
      </w:tr>
      <w:tr w14:paraId="6C47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49D857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850" w:type="dxa"/>
            <w:vAlign w:val="center"/>
          </w:tcPr>
          <w:p w14:paraId="0BADEDB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采购人书面澄清的时间</w:t>
            </w:r>
          </w:p>
        </w:tc>
        <w:tc>
          <w:tcPr>
            <w:tcW w:w="6659" w:type="dxa"/>
            <w:vAlign w:val="center"/>
          </w:tcPr>
          <w:p w14:paraId="2A85DBA1">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响应文件递交截止时间两日前</w:t>
            </w:r>
          </w:p>
        </w:tc>
      </w:tr>
      <w:tr w14:paraId="774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0A6A26D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850" w:type="dxa"/>
            <w:vAlign w:val="center"/>
          </w:tcPr>
          <w:p w14:paraId="2561E898">
            <w:pPr>
              <w:spacing w:line="360" w:lineRule="auto"/>
              <w:ind w:left="210" w:hanging="240" w:hangingChars="100"/>
              <w:rPr>
                <w:rFonts w:hint="eastAsia" w:ascii="宋体" w:hAnsi="宋体" w:eastAsia="宋体" w:cs="宋体"/>
                <w:sz w:val="24"/>
                <w:szCs w:val="24"/>
                <w:highlight w:val="none"/>
              </w:rPr>
            </w:pPr>
            <w:r>
              <w:rPr>
                <w:rFonts w:hint="eastAsia" w:ascii="宋体" w:hAnsi="宋体" w:eastAsia="宋体" w:cs="宋体"/>
                <w:sz w:val="24"/>
                <w:szCs w:val="24"/>
                <w:highlight w:val="none"/>
              </w:rPr>
              <w:t>竞争性谈判文件澄清发出的形式</w:t>
            </w:r>
          </w:p>
        </w:tc>
        <w:tc>
          <w:tcPr>
            <w:tcW w:w="6659" w:type="dxa"/>
            <w:vAlign w:val="center"/>
          </w:tcPr>
          <w:p w14:paraId="3824CFCF">
            <w:pPr>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书面形式</w:t>
            </w:r>
          </w:p>
        </w:tc>
      </w:tr>
      <w:tr w14:paraId="5B42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2D5F378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850" w:type="dxa"/>
            <w:vAlign w:val="center"/>
          </w:tcPr>
          <w:p w14:paraId="38E0EC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供应商资质要求</w:t>
            </w:r>
          </w:p>
        </w:tc>
        <w:tc>
          <w:tcPr>
            <w:tcW w:w="6659" w:type="dxa"/>
            <w:vAlign w:val="center"/>
          </w:tcPr>
          <w:p w14:paraId="27E0199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法定代表人授权书（附法定代表人身份证复印件）及被授权人身份证（法定代表人直接参加只须提供法定代表人身份证）；</w:t>
            </w:r>
            <w:r>
              <w:rPr>
                <w:rFonts w:hint="eastAsia" w:ascii="宋体" w:hAnsi="宋体" w:eastAsia="宋体" w:cs="宋体"/>
                <w:sz w:val="24"/>
                <w:szCs w:val="24"/>
                <w:highlight w:val="none"/>
              </w:rPr>
              <w:t>；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3、供应商提供2022年度或2023年度的财务审计报告(成立时间至提交响应文件截止时间不足一年的可提供成立后任意时段的资产负债表)或其基本存款账户开户银行出具的资信证明及基本存款账户开户信息；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4、税收缴纳证明：提供已缴纳的2024年至今任一月份的缴税凭证；依法免税的供应商应提供相关文件证明；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5、社会保障资金缴纳证明：提供2024年至今任意一个月的社会保障资金缴存证明或社保机构开具的社会保险参保缴费情况证明；依法不需要缴纳社会保障资金的应提供相关文件证明；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7、参加政府采购活动近三年内，在经营活动中没有重大违法记录声明函；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8、具备履行合同所必须的设备和专业技术能力的书面声明；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9、本项目不接受联合体谈判。</w:t>
            </w:r>
          </w:p>
        </w:tc>
      </w:tr>
      <w:tr w14:paraId="741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0" w:type="dxa"/>
            <w:vAlign w:val="center"/>
          </w:tcPr>
          <w:p w14:paraId="274406A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850" w:type="dxa"/>
            <w:vAlign w:val="center"/>
          </w:tcPr>
          <w:p w14:paraId="77C0498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6659" w:type="dxa"/>
            <w:vAlign w:val="center"/>
          </w:tcPr>
          <w:p w14:paraId="26D27C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tc>
      </w:tr>
      <w:tr w14:paraId="509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0" w:type="dxa"/>
            <w:vAlign w:val="center"/>
          </w:tcPr>
          <w:p w14:paraId="6C55B3A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850" w:type="dxa"/>
            <w:vAlign w:val="center"/>
          </w:tcPr>
          <w:p w14:paraId="2EDA37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谈判预备会议</w:t>
            </w:r>
          </w:p>
        </w:tc>
        <w:tc>
          <w:tcPr>
            <w:tcW w:w="6659" w:type="dxa"/>
            <w:vAlign w:val="center"/>
          </w:tcPr>
          <w:p w14:paraId="04912D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采购人不组织谈判预备会议。</w:t>
            </w:r>
          </w:p>
        </w:tc>
      </w:tr>
      <w:tr w14:paraId="23BB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161753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850" w:type="dxa"/>
            <w:vAlign w:val="center"/>
          </w:tcPr>
          <w:p w14:paraId="17EE6C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澄清答疑与踏勘现场</w:t>
            </w:r>
          </w:p>
        </w:tc>
        <w:tc>
          <w:tcPr>
            <w:tcW w:w="6659" w:type="dxa"/>
            <w:vAlign w:val="center"/>
          </w:tcPr>
          <w:p w14:paraId="30B6B7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谈判供应商需以书面形式向谈判组织机构提交需澄清或答疑的问题，同时将澄清或答疑问题的电子版发至谈判组织机构电子邮箱：</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"mailto:414769631@qq.com" </w:instrText>
            </w:r>
            <w:r>
              <w:rPr>
                <w:rFonts w:hint="eastAsia" w:ascii="宋体" w:hAnsi="宋体" w:eastAsia="宋体" w:cs="宋体"/>
                <w:sz w:val="24"/>
                <w:szCs w:val="24"/>
                <w:highlight w:val="none"/>
              </w:rPr>
              <w:fldChar w:fldCharType="separate"/>
            </w:r>
            <w:r>
              <w:rPr>
                <w:rStyle w:val="21"/>
                <w:rFonts w:hint="eastAsia" w:ascii="宋体" w:hAnsi="宋体" w:eastAsia="宋体" w:cs="宋体"/>
                <w:sz w:val="24"/>
                <w:szCs w:val="24"/>
                <w:highlight w:val="none"/>
                <w:lang w:eastAsia="zh-CN"/>
              </w:rPr>
              <w:t>hlx_zfcgzx508@163.com</w:t>
            </w:r>
            <w:r>
              <w:rPr>
                <w:rStyle w:val="21"/>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，采购人认为有必要答复的将以书面形式发至各供应商。</w:t>
            </w:r>
          </w:p>
          <w:p w14:paraId="6CB62BCE">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踏勘现场：采购人不组织现场踏勘会，若谈判供应商认为有必要时，可自行组织踏勘，但因踏勘产生的一切费用及影响由谈判供应商自行承担。</w:t>
            </w:r>
          </w:p>
        </w:tc>
      </w:tr>
      <w:tr w14:paraId="0865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693B6A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850" w:type="dxa"/>
            <w:vAlign w:val="center"/>
          </w:tcPr>
          <w:p w14:paraId="276860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w:t>
            </w:r>
          </w:p>
        </w:tc>
        <w:tc>
          <w:tcPr>
            <w:tcW w:w="6659" w:type="dxa"/>
            <w:vAlign w:val="center"/>
          </w:tcPr>
          <w:p w14:paraId="6A4D2E1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（1）本项目采用电子化远程不见面谈判的方式远程解密，相关操作流程详见全国公共资源交易平台（陕西省）网站[服务指南-下载专区]中的《陕西省公共资源交易中心政府采购项目投标指南》；      </w:t>
            </w:r>
          </w:p>
          <w:p w14:paraId="2DEDB73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（2）电子响应文件可于提交响应文件截止时间前任意时段进行提交，逾期系统将拒绝接收。</w:t>
            </w:r>
          </w:p>
          <w:p w14:paraId="1399AB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（3）纸质版响应文件递交地点：延安市为民服务中心7号楼二楼（延安市公共资源交易</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四</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厅）。</w:t>
            </w:r>
          </w:p>
          <w:p w14:paraId="094D23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（4）供应商必须在谈判文件规定的开标时间和地点，将全部纸质版响应文件递交至开标现场；</w:t>
            </w:r>
          </w:p>
          <w:p w14:paraId="6F5ABB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（5）采购代理机构项目负责人在谈判文件规定的响应文件递交截止时间前，只负责纸质版响应文件的接收、清点、造册登记工作，对其有效性不负任何责任；</w:t>
            </w:r>
          </w:p>
          <w:p w14:paraId="06DC172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（6）在递交响应文件截止时间之后，拒绝接收任何人送达、递交的纸质版响应文件；</w:t>
            </w:r>
          </w:p>
          <w:p w14:paraId="4471181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（7）无论供应商成交与否或者废标，其响应文件恕不退还。</w:t>
            </w:r>
          </w:p>
          <w:p w14:paraId="41B6444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纸质版响应文件：1套正本，2套副本</w:t>
            </w:r>
            <w:r>
              <w:rPr>
                <w:rFonts w:hint="eastAsia" w:ascii="宋体" w:hAnsi="宋体" w:eastAsia="宋体" w:cs="宋体"/>
                <w:sz w:val="24"/>
                <w:szCs w:val="24"/>
                <w:highlight w:val="none"/>
                <w:lang w:eastAsia="zh-CN"/>
              </w:rPr>
              <w:t>；</w:t>
            </w:r>
          </w:p>
        </w:tc>
      </w:tr>
      <w:tr w14:paraId="3778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37506AA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850" w:type="dxa"/>
            <w:vAlign w:val="center"/>
          </w:tcPr>
          <w:p w14:paraId="23183D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谈判特殊要求</w:t>
            </w:r>
          </w:p>
        </w:tc>
        <w:tc>
          <w:tcPr>
            <w:tcW w:w="6659" w:type="dxa"/>
            <w:vAlign w:val="center"/>
          </w:tcPr>
          <w:p w14:paraId="740D26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128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1249D54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850" w:type="dxa"/>
            <w:vAlign w:val="center"/>
          </w:tcPr>
          <w:p w14:paraId="35875C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报价采用币种</w:t>
            </w:r>
          </w:p>
        </w:tc>
        <w:tc>
          <w:tcPr>
            <w:tcW w:w="6659" w:type="dxa"/>
            <w:vAlign w:val="center"/>
          </w:tcPr>
          <w:p w14:paraId="24F97E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p>
        </w:tc>
      </w:tr>
      <w:tr w14:paraId="638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451594F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850" w:type="dxa"/>
            <w:vAlign w:val="center"/>
          </w:tcPr>
          <w:p w14:paraId="68009DB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是否允许递交备选谈判方案</w:t>
            </w:r>
          </w:p>
        </w:tc>
        <w:tc>
          <w:tcPr>
            <w:tcW w:w="6659" w:type="dxa"/>
            <w:vAlign w:val="center"/>
          </w:tcPr>
          <w:p w14:paraId="7AB0964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57FB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378C794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850" w:type="dxa"/>
            <w:vAlign w:val="center"/>
          </w:tcPr>
          <w:p w14:paraId="2314CCD1">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p w14:paraId="700240B8">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6659" w:type="dxa"/>
            <w:vAlign w:val="center"/>
          </w:tcPr>
          <w:p w14:paraId="2179C8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响应文件正、副本</w:t>
            </w:r>
            <w:r>
              <w:rPr>
                <w:rFonts w:hint="eastAsia" w:ascii="宋体" w:hAnsi="宋体" w:eastAsia="宋体" w:cs="宋体"/>
                <w:b/>
                <w:bCs/>
                <w:sz w:val="24"/>
                <w:szCs w:val="24"/>
                <w:highlight w:val="none"/>
              </w:rPr>
              <w:t>必须逐页加盖公章</w:t>
            </w:r>
            <w:r>
              <w:rPr>
                <w:rFonts w:hint="eastAsia" w:ascii="宋体" w:hAnsi="宋体" w:eastAsia="宋体" w:cs="宋体"/>
                <w:sz w:val="24"/>
                <w:szCs w:val="24"/>
                <w:highlight w:val="none"/>
              </w:rPr>
              <w:t>。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r w14:paraId="7F3A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6ED04F5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850" w:type="dxa"/>
            <w:vAlign w:val="center"/>
          </w:tcPr>
          <w:p w14:paraId="4881AD07">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6659" w:type="dxa"/>
            <w:vAlign w:val="center"/>
          </w:tcPr>
          <w:p w14:paraId="31D7C45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1、纸质版响应文件装订要求：正本、副本均须胶装，不允许活页装订；</w:t>
            </w:r>
          </w:p>
          <w:p w14:paraId="3D939B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2、封包要求：</w:t>
            </w:r>
          </w:p>
          <w:p w14:paraId="62CA779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1）正本单独封包；</w:t>
            </w:r>
          </w:p>
          <w:p w14:paraId="0C5B35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2）副本单独封包；</w:t>
            </w:r>
          </w:p>
          <w:p w14:paraId="16A7E30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）所有封套均应加贴封条，并在封套的封口处加盖供应商单位公章及法定代表人签章和其委托代理人签章。</w:t>
            </w:r>
          </w:p>
          <w:p w14:paraId="41BCB3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未按以上规定，出现任何一项未按要求编制的响应文件，采购人（或采购代理机构）不予受理，响应文件按无效文件处理。</w:t>
            </w:r>
          </w:p>
        </w:tc>
      </w:tr>
      <w:tr w14:paraId="7942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7179AEE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850" w:type="dxa"/>
            <w:vAlign w:val="center"/>
          </w:tcPr>
          <w:p w14:paraId="6437C26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密封袋封套上写明</w:t>
            </w:r>
          </w:p>
        </w:tc>
        <w:tc>
          <w:tcPr>
            <w:tcW w:w="6659" w:type="dxa"/>
            <w:vAlign w:val="center"/>
          </w:tcPr>
          <w:p w14:paraId="4A2B19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  响应文件</w:t>
            </w:r>
          </w:p>
          <w:p w14:paraId="727F3D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                      </w:t>
            </w:r>
          </w:p>
          <w:p w14:paraId="1676123F">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在  年  月  日  时  分（填谈判截止时间）前不得开启</w:t>
            </w:r>
          </w:p>
          <w:p w14:paraId="4AA6BA33">
            <w:pPr>
              <w:pStyle w:val="9"/>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未按以上规定，出现任何一项未按要求编制的响应文件，采购人（或采购代理机构）不予受理，响应文件按无效文件处理。</w:t>
            </w:r>
          </w:p>
        </w:tc>
      </w:tr>
      <w:tr w14:paraId="1F54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30" w:type="dxa"/>
            <w:vAlign w:val="center"/>
          </w:tcPr>
          <w:p w14:paraId="794677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850" w:type="dxa"/>
            <w:vAlign w:val="center"/>
          </w:tcPr>
          <w:p w14:paraId="1F67CB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659" w:type="dxa"/>
            <w:vAlign w:val="center"/>
          </w:tcPr>
          <w:p w14:paraId="6BF7DFDE">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无论成交与否，一律不退</w:t>
            </w:r>
          </w:p>
        </w:tc>
      </w:tr>
      <w:tr w14:paraId="165E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7E77F1F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850" w:type="dxa"/>
            <w:vAlign w:val="center"/>
          </w:tcPr>
          <w:p w14:paraId="5A8ACF3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纸质版响应文件递交地点及响应文件截止时间</w:t>
            </w:r>
          </w:p>
        </w:tc>
        <w:tc>
          <w:tcPr>
            <w:tcW w:w="6659" w:type="dxa"/>
            <w:vAlign w:val="center"/>
          </w:tcPr>
          <w:p w14:paraId="1A3BA72E">
            <w:pPr>
              <w:spacing w:line="360" w:lineRule="auto"/>
              <w:ind w:left="42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递交地点：延安市为民服务中心7号楼二楼（延安市公共资源交易</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厅）</w:t>
            </w:r>
          </w:p>
          <w:p w14:paraId="7D89466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截止时间：2024年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分 </w:t>
            </w:r>
          </w:p>
        </w:tc>
      </w:tr>
      <w:tr w14:paraId="4FD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53D886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1850" w:type="dxa"/>
            <w:vAlign w:val="center"/>
          </w:tcPr>
          <w:p w14:paraId="34BD6421">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谈判保证金</w:t>
            </w:r>
          </w:p>
          <w:p w14:paraId="60B70FA4">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形式</w:t>
            </w:r>
          </w:p>
        </w:tc>
        <w:tc>
          <w:tcPr>
            <w:tcW w:w="6659" w:type="dxa"/>
            <w:vAlign w:val="center"/>
          </w:tcPr>
          <w:p w14:paraId="69DFF59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本项目不收取保证金。</w:t>
            </w:r>
          </w:p>
        </w:tc>
      </w:tr>
      <w:tr w14:paraId="5494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2DF6CEF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850" w:type="dxa"/>
            <w:vAlign w:val="center"/>
          </w:tcPr>
          <w:p w14:paraId="706DDF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谈判时间和地点</w:t>
            </w:r>
          </w:p>
        </w:tc>
        <w:tc>
          <w:tcPr>
            <w:tcW w:w="6659" w:type="dxa"/>
            <w:vAlign w:val="center"/>
          </w:tcPr>
          <w:p w14:paraId="4213A87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谈判时间：2024年   月   日  时  分 </w:t>
            </w:r>
          </w:p>
          <w:p w14:paraId="073342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谈判地点：延安市公共资源交易中心交易</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厅</w:t>
            </w:r>
          </w:p>
        </w:tc>
      </w:tr>
      <w:tr w14:paraId="37F6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4EEF983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850" w:type="dxa"/>
            <w:vAlign w:val="center"/>
          </w:tcPr>
          <w:p w14:paraId="58AED8E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谈判小组成员的组建</w:t>
            </w:r>
          </w:p>
        </w:tc>
        <w:tc>
          <w:tcPr>
            <w:tcW w:w="6659" w:type="dxa"/>
            <w:vAlign w:val="center"/>
          </w:tcPr>
          <w:p w14:paraId="46C42A3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谈判小组构成：3人</w:t>
            </w:r>
          </w:p>
          <w:p w14:paraId="6E93D2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谈判专家确定方式：陕西省政府采购专家库随机抽取</w:t>
            </w:r>
          </w:p>
        </w:tc>
      </w:tr>
      <w:tr w14:paraId="4C66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0CBAD8A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p>
        </w:tc>
        <w:tc>
          <w:tcPr>
            <w:tcW w:w="1850" w:type="dxa"/>
            <w:vAlign w:val="center"/>
          </w:tcPr>
          <w:p w14:paraId="77152D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是否授权谈判小组确定成交供应商</w:t>
            </w:r>
          </w:p>
        </w:tc>
        <w:tc>
          <w:tcPr>
            <w:tcW w:w="6659" w:type="dxa"/>
            <w:vAlign w:val="center"/>
          </w:tcPr>
          <w:p w14:paraId="0289A8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是，推荐的成交候选人数：3人</w:t>
            </w:r>
          </w:p>
          <w:p w14:paraId="7612DAF1">
            <w:pPr>
              <w:pStyle w:val="6"/>
              <w:spacing w:line="360" w:lineRule="auto"/>
              <w:rPr>
                <w:rFonts w:hint="eastAsia" w:ascii="宋体" w:hAnsi="宋体" w:eastAsia="宋体" w:cs="宋体"/>
                <w:sz w:val="24"/>
                <w:szCs w:val="24"/>
                <w:highlight w:val="none"/>
              </w:rPr>
            </w:pPr>
          </w:p>
        </w:tc>
      </w:tr>
      <w:tr w14:paraId="522A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vAlign w:val="center"/>
          </w:tcPr>
          <w:p w14:paraId="0BBB2B9E">
            <w:pPr>
              <w:spacing w:line="360" w:lineRule="auto"/>
              <w:jc w:val="center"/>
              <w:rPr>
                <w:rFonts w:hint="eastAsia" w:ascii="宋体" w:hAnsi="宋体" w:eastAsia="宋体" w:cs="宋体"/>
                <w:color w:val="FFFFFF"/>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p>
        </w:tc>
        <w:tc>
          <w:tcPr>
            <w:tcW w:w="1850" w:type="dxa"/>
            <w:vAlign w:val="center"/>
          </w:tcPr>
          <w:p w14:paraId="268501C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谈判有效期</w:t>
            </w:r>
          </w:p>
        </w:tc>
        <w:tc>
          <w:tcPr>
            <w:tcW w:w="6659" w:type="dxa"/>
            <w:vAlign w:val="center"/>
          </w:tcPr>
          <w:p w14:paraId="57A0E2D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90天（日历天数）</w:t>
            </w:r>
          </w:p>
        </w:tc>
      </w:tr>
      <w:tr w14:paraId="731C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30" w:type="dxa"/>
            <w:vAlign w:val="center"/>
          </w:tcPr>
          <w:p w14:paraId="36C1100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p>
        </w:tc>
        <w:tc>
          <w:tcPr>
            <w:tcW w:w="1850" w:type="dxa"/>
            <w:vAlign w:val="center"/>
          </w:tcPr>
          <w:p w14:paraId="27915CC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供货期</w:t>
            </w:r>
          </w:p>
        </w:tc>
        <w:tc>
          <w:tcPr>
            <w:tcW w:w="6659" w:type="dxa"/>
            <w:vAlign w:val="center"/>
          </w:tcPr>
          <w:p w14:paraId="0EA1E0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30个工作日；</w:t>
            </w:r>
          </w:p>
        </w:tc>
      </w:tr>
      <w:tr w14:paraId="375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30" w:type="dxa"/>
            <w:vAlign w:val="center"/>
          </w:tcPr>
          <w:p w14:paraId="32572DD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1850" w:type="dxa"/>
            <w:vAlign w:val="center"/>
          </w:tcPr>
          <w:p w14:paraId="5587215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6659" w:type="dxa"/>
            <w:vAlign w:val="center"/>
          </w:tcPr>
          <w:p w14:paraId="3C161C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1年。</w:t>
            </w:r>
          </w:p>
        </w:tc>
      </w:tr>
      <w:tr w14:paraId="5F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5E62EFD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p>
        </w:tc>
        <w:tc>
          <w:tcPr>
            <w:tcW w:w="1850" w:type="dxa"/>
            <w:vAlign w:val="center"/>
          </w:tcPr>
          <w:p w14:paraId="1498AC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是否采用电子谈判及响应</w:t>
            </w:r>
          </w:p>
        </w:tc>
        <w:tc>
          <w:tcPr>
            <w:tcW w:w="6659" w:type="dxa"/>
            <w:vAlign w:val="center"/>
          </w:tcPr>
          <w:p w14:paraId="401AD1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tc>
      </w:tr>
      <w:tr w14:paraId="2A0C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3F01C017">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p>
        </w:tc>
        <w:tc>
          <w:tcPr>
            <w:tcW w:w="1850" w:type="dxa"/>
            <w:vAlign w:val="center"/>
          </w:tcPr>
          <w:p w14:paraId="4133168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成交候选人公示媒介及期限</w:t>
            </w:r>
          </w:p>
        </w:tc>
        <w:tc>
          <w:tcPr>
            <w:tcW w:w="6659" w:type="dxa"/>
            <w:vAlign w:val="center"/>
          </w:tcPr>
          <w:p w14:paraId="5FF459F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公示媒介：陕西省政府采购网、全国公共资源交易平台（陕西省·延安市）</w:t>
            </w:r>
          </w:p>
          <w:p w14:paraId="3C2D1F0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公示期限：1个工作日</w:t>
            </w:r>
          </w:p>
        </w:tc>
      </w:tr>
      <w:tr w14:paraId="055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46DD7A7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p>
        </w:tc>
        <w:tc>
          <w:tcPr>
            <w:tcW w:w="1850" w:type="dxa"/>
            <w:vAlign w:val="center"/>
          </w:tcPr>
          <w:p w14:paraId="39AF086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未成交补偿</w:t>
            </w:r>
          </w:p>
        </w:tc>
        <w:tc>
          <w:tcPr>
            <w:tcW w:w="6659" w:type="dxa"/>
            <w:vAlign w:val="center"/>
          </w:tcPr>
          <w:p w14:paraId="0AE16E72">
            <w:pPr>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无补偿</w:t>
            </w:r>
          </w:p>
        </w:tc>
      </w:tr>
      <w:tr w14:paraId="2C8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0" w:type="dxa"/>
            <w:vAlign w:val="center"/>
          </w:tcPr>
          <w:p w14:paraId="6EE57FF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p>
        </w:tc>
        <w:tc>
          <w:tcPr>
            <w:tcW w:w="8509" w:type="dxa"/>
            <w:gridSpan w:val="2"/>
            <w:vAlign w:val="center"/>
          </w:tcPr>
          <w:p w14:paraId="756B32B2">
            <w:pPr>
              <w:spacing w:line="360" w:lineRule="auto"/>
              <w:ind w:firstLine="1680" w:firstLineChars="700"/>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14:paraId="51A1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39" w:type="dxa"/>
            <w:gridSpan w:val="3"/>
            <w:vAlign w:val="center"/>
          </w:tcPr>
          <w:p w14:paraId="55C3BFCA">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竞争性谈判文件的最终解释权归谈判代理机构所有</w:t>
            </w:r>
          </w:p>
        </w:tc>
      </w:tr>
    </w:tbl>
    <w:p w14:paraId="3FFE88FC">
      <w:pPr>
        <w:tabs>
          <w:tab w:val="left" w:pos="760"/>
        </w:tabs>
        <w:spacing w:line="590" w:lineRule="exact"/>
        <w:ind w:left="360"/>
        <w:rPr>
          <w:rFonts w:hint="eastAsia" w:ascii="宋体" w:hAnsi="宋体" w:eastAsia="宋体" w:cs="宋体"/>
        </w:rPr>
      </w:pPr>
      <w:r>
        <w:rPr>
          <w:rFonts w:hint="eastAsia" w:ascii="宋体" w:hAnsi="宋体" w:eastAsia="宋体" w:cs="宋体"/>
          <w:b/>
          <w:sz w:val="32"/>
        </w:rPr>
        <w:t>1.总则</w:t>
      </w:r>
    </w:p>
    <w:p w14:paraId="22DA1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谈判项目概况</w:t>
      </w:r>
    </w:p>
    <w:p w14:paraId="22AE45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根据《中华人民共和国政府采购法》、《中华人民共和国政府采购法实施条例》等有关法律、法规和规章的规定，本谈判项目已具备谈判条件，现对黄陵县人民检察院2024年中央和省级政法转移支付自定采购装备项目进行谈判。</w:t>
      </w:r>
    </w:p>
    <w:p w14:paraId="12BBD8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采购人：见供应商须知前附表。</w:t>
      </w:r>
    </w:p>
    <w:p w14:paraId="4B771B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谈判组织机构：见供应商须知前附表。</w:t>
      </w:r>
    </w:p>
    <w:p w14:paraId="337786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谈判项目名称：见供应商须知前附表。</w:t>
      </w:r>
    </w:p>
    <w:p w14:paraId="0B5D8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项目预算：见供应商须知前附表。</w:t>
      </w:r>
    </w:p>
    <w:p w14:paraId="1EADD550">
      <w:pPr>
        <w:spacing w:line="360" w:lineRule="auto"/>
        <w:ind w:left="500"/>
        <w:rPr>
          <w:rFonts w:hint="eastAsia" w:ascii="宋体" w:hAnsi="宋体" w:eastAsia="宋体" w:cs="宋体"/>
          <w:sz w:val="24"/>
          <w:szCs w:val="24"/>
        </w:rPr>
      </w:pPr>
      <w:r>
        <w:rPr>
          <w:rFonts w:hint="eastAsia" w:ascii="宋体" w:hAnsi="宋体" w:eastAsia="宋体" w:cs="宋体"/>
          <w:sz w:val="24"/>
          <w:szCs w:val="24"/>
        </w:rPr>
        <w:t>1.2 供应商资格要求</w:t>
      </w:r>
    </w:p>
    <w:p w14:paraId="0DDD1D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供应商应具备承担本谈判项目资质条件：</w:t>
      </w:r>
    </w:p>
    <w:p w14:paraId="76BCD8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（1）资质要求：见供应商须知前附表；</w:t>
      </w:r>
    </w:p>
    <w:p w14:paraId="45C58E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1.2.2供应商不得存在下列情形之一：</w:t>
      </w:r>
    </w:p>
    <w:p w14:paraId="4709E3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（1）为采购人不具有独立法人资格的附属机构（单位）；</w:t>
      </w:r>
    </w:p>
    <w:p w14:paraId="6165F2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（2）与采购人存在利害关系且可能影响谈判公正性；</w:t>
      </w:r>
    </w:p>
    <w:p w14:paraId="1F163E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（3）与本谈判项目的其他供应商为同一个单位负责人；</w:t>
      </w:r>
    </w:p>
    <w:p w14:paraId="3376C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（4）与本谈判项目的其他供应商存在控股、管理关系；</w:t>
      </w:r>
    </w:p>
    <w:p w14:paraId="6EC9C4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（5）为本谈判项目的代建人；</w:t>
      </w:r>
    </w:p>
    <w:p w14:paraId="4D9553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（6）为本谈判项目的谈判组织机构；</w:t>
      </w:r>
    </w:p>
    <w:p w14:paraId="74A4C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（7）与本谈判项目的代建人或谈判组织机构同为一个法定代表人；</w:t>
      </w:r>
    </w:p>
    <w:p w14:paraId="70ABD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（8）与本谈判项目的代建人或谈判组织机构存在控股或参股关系；</w:t>
      </w:r>
    </w:p>
    <w:p w14:paraId="0B4064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（9）被依法暂停或者取消谈判资格；</w:t>
      </w:r>
    </w:p>
    <w:p w14:paraId="404F10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14:paraId="3438BA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14:paraId="7F4FA7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（12）在最近三年内发生重大工程质量问题（以相关行业主管部门的行政处罚决定或司法机关出具的有关法律文书为准）；</w:t>
      </w:r>
    </w:p>
    <w:p w14:paraId="2DCBC6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14:paraId="7D78CBFD">
      <w:pPr>
        <w:numPr>
          <w:ilvl w:val="0"/>
          <w:numId w:val="2"/>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被最高人民法院在“信用中国”网站（www.creditchina.gov.cn）或各级信用信息共享平台中列入失信被执行人名单；</w:t>
      </w:r>
    </w:p>
    <w:p w14:paraId="1E3693C3">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法律法规或供应商须知前附表规定的其他情形。</w:t>
      </w:r>
    </w:p>
    <w:p w14:paraId="2ECF5437">
      <w:pPr>
        <w:spacing w:line="360" w:lineRule="auto"/>
        <w:ind w:left="500"/>
        <w:rPr>
          <w:rFonts w:hint="eastAsia" w:ascii="宋体" w:hAnsi="宋体" w:eastAsia="宋体" w:cs="宋体"/>
          <w:sz w:val="24"/>
          <w:szCs w:val="24"/>
        </w:rPr>
      </w:pPr>
      <w:r>
        <w:rPr>
          <w:rFonts w:hint="eastAsia" w:ascii="宋体" w:hAnsi="宋体" w:eastAsia="宋体" w:cs="宋体"/>
          <w:sz w:val="24"/>
          <w:szCs w:val="24"/>
        </w:rPr>
        <w:t>1.3 费用承担</w:t>
      </w:r>
    </w:p>
    <w:p w14:paraId="62DE9A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供应商准备和参加谈判活动发生的费用自理。</w:t>
      </w:r>
    </w:p>
    <w:p w14:paraId="10DBBB2A">
      <w:pPr>
        <w:spacing w:line="360" w:lineRule="auto"/>
        <w:ind w:left="500"/>
        <w:rPr>
          <w:rFonts w:hint="eastAsia" w:ascii="宋体" w:hAnsi="宋体" w:eastAsia="宋体" w:cs="宋体"/>
          <w:sz w:val="24"/>
          <w:szCs w:val="24"/>
        </w:rPr>
      </w:pPr>
      <w:r>
        <w:rPr>
          <w:rFonts w:hint="eastAsia" w:ascii="宋体" w:hAnsi="宋体" w:eastAsia="宋体" w:cs="宋体"/>
          <w:sz w:val="24"/>
          <w:szCs w:val="24"/>
        </w:rPr>
        <w:t>1.4 保密</w:t>
      </w:r>
    </w:p>
    <w:p w14:paraId="58A7E6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参与谈判活动的各方应对谈判文件和响应文件中的商业和技术等秘密保密，否则应承担相应的法律责任。</w:t>
      </w:r>
    </w:p>
    <w:p w14:paraId="3C470341">
      <w:pPr>
        <w:spacing w:line="360" w:lineRule="auto"/>
        <w:ind w:left="500"/>
        <w:rPr>
          <w:rFonts w:hint="eastAsia" w:ascii="宋体" w:hAnsi="宋体" w:eastAsia="宋体" w:cs="宋体"/>
          <w:sz w:val="24"/>
          <w:szCs w:val="24"/>
        </w:rPr>
      </w:pPr>
      <w:r>
        <w:rPr>
          <w:rFonts w:hint="eastAsia" w:ascii="宋体" w:hAnsi="宋体" w:eastAsia="宋体" w:cs="宋体"/>
          <w:sz w:val="24"/>
          <w:szCs w:val="24"/>
        </w:rPr>
        <w:t>1.5 语言文字</w:t>
      </w:r>
    </w:p>
    <w:p w14:paraId="0B54B5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谈判响应文件使用的语言文字为中文。专用术语使用外文的，应附有中文注释。</w:t>
      </w:r>
    </w:p>
    <w:p w14:paraId="4BD1FD02">
      <w:pPr>
        <w:spacing w:line="360" w:lineRule="auto"/>
        <w:ind w:left="500"/>
        <w:rPr>
          <w:rFonts w:hint="eastAsia" w:ascii="宋体" w:hAnsi="宋体" w:eastAsia="宋体" w:cs="宋体"/>
          <w:sz w:val="24"/>
          <w:szCs w:val="24"/>
        </w:rPr>
      </w:pPr>
      <w:r>
        <w:rPr>
          <w:rFonts w:hint="eastAsia" w:ascii="宋体" w:hAnsi="宋体" w:eastAsia="宋体" w:cs="宋体"/>
          <w:sz w:val="24"/>
          <w:szCs w:val="24"/>
        </w:rPr>
        <w:t>1.6 计量单位</w:t>
      </w:r>
    </w:p>
    <w:p w14:paraId="51E41D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373E47F1">
      <w:pPr>
        <w:spacing w:line="360" w:lineRule="auto"/>
        <w:ind w:left="500"/>
        <w:rPr>
          <w:rFonts w:hint="eastAsia" w:ascii="宋体" w:hAnsi="宋体" w:eastAsia="宋体" w:cs="宋体"/>
          <w:sz w:val="24"/>
          <w:szCs w:val="24"/>
        </w:rPr>
      </w:pPr>
      <w:r>
        <w:rPr>
          <w:rFonts w:hint="eastAsia" w:ascii="宋体" w:hAnsi="宋体" w:eastAsia="宋体" w:cs="宋体"/>
          <w:sz w:val="24"/>
          <w:szCs w:val="24"/>
        </w:rPr>
        <w:t>1.7 踏勘现场</w:t>
      </w:r>
    </w:p>
    <w:p w14:paraId="6B5AB0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供应商须知前附表规定组织踏勘现场的，采购人按供应商须知前附表规定的时间、地</w:t>
      </w:r>
    </w:p>
    <w:p w14:paraId="11428623">
      <w:pPr>
        <w:spacing w:line="360" w:lineRule="auto"/>
        <w:rPr>
          <w:rFonts w:hint="eastAsia" w:ascii="宋体" w:hAnsi="宋体" w:eastAsia="宋体" w:cs="宋体"/>
          <w:sz w:val="24"/>
          <w:szCs w:val="24"/>
        </w:rPr>
      </w:pPr>
      <w:r>
        <w:rPr>
          <w:rFonts w:hint="eastAsia" w:ascii="宋体" w:hAnsi="宋体" w:eastAsia="宋体" w:cs="宋体"/>
          <w:sz w:val="24"/>
          <w:szCs w:val="24"/>
        </w:rPr>
        <w:t>点组织供应商踏勘项目现场。部分供应商未按时参加踏勘现场的，不影响踏勘现场的正常进行。</w:t>
      </w:r>
    </w:p>
    <w:p w14:paraId="4020A0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供应商踏勘现场发生的费用自理。</w:t>
      </w:r>
    </w:p>
    <w:p w14:paraId="3ECB08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1.7.3 除采购人的原因外，供应商自行负责在踏勘现场中所发生的人员伤亡和财产损失与采购人和谈判组织机构无关。</w:t>
      </w:r>
    </w:p>
    <w:p w14:paraId="0E05A3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采购人在踏勘现场中介绍的工程场地和相关的周边环境情况，供应商在编制响应文</w:t>
      </w:r>
    </w:p>
    <w:p w14:paraId="0954C697">
      <w:pPr>
        <w:spacing w:line="360" w:lineRule="auto"/>
        <w:rPr>
          <w:rFonts w:hint="eastAsia" w:ascii="宋体" w:hAnsi="宋体" w:eastAsia="宋体" w:cs="宋体"/>
          <w:sz w:val="24"/>
          <w:szCs w:val="24"/>
        </w:rPr>
      </w:pPr>
      <w:r>
        <w:rPr>
          <w:rFonts w:hint="eastAsia" w:ascii="宋体" w:hAnsi="宋体" w:eastAsia="宋体" w:cs="宋体"/>
          <w:sz w:val="24"/>
          <w:szCs w:val="24"/>
        </w:rPr>
        <w:t>件时参考，采购人不对供应商据此作出的判断和决策负责。</w:t>
      </w:r>
    </w:p>
    <w:p w14:paraId="14533765">
      <w:pPr>
        <w:spacing w:line="360" w:lineRule="auto"/>
        <w:ind w:left="500"/>
        <w:rPr>
          <w:rFonts w:hint="eastAsia" w:ascii="宋体" w:hAnsi="宋体" w:eastAsia="宋体" w:cs="宋体"/>
          <w:sz w:val="24"/>
          <w:szCs w:val="24"/>
        </w:rPr>
      </w:pPr>
      <w:r>
        <w:rPr>
          <w:rFonts w:hint="eastAsia" w:ascii="宋体" w:hAnsi="宋体" w:eastAsia="宋体" w:cs="宋体"/>
          <w:sz w:val="24"/>
          <w:szCs w:val="24"/>
        </w:rPr>
        <w:t>1.8 谈判预备会</w:t>
      </w:r>
    </w:p>
    <w:p w14:paraId="5780DB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供应商须知前附表规定召开谈判预备会的，采购人按供应商须知前附表规定的时间和</w:t>
      </w:r>
    </w:p>
    <w:p w14:paraId="056EFE94">
      <w:pPr>
        <w:spacing w:line="360" w:lineRule="auto"/>
        <w:rPr>
          <w:rFonts w:hint="eastAsia" w:ascii="宋体" w:hAnsi="宋体" w:eastAsia="宋体" w:cs="宋体"/>
          <w:sz w:val="24"/>
          <w:szCs w:val="24"/>
        </w:rPr>
      </w:pPr>
      <w:r>
        <w:rPr>
          <w:rFonts w:hint="eastAsia" w:ascii="宋体" w:hAnsi="宋体" w:eastAsia="宋体" w:cs="宋体"/>
          <w:sz w:val="24"/>
          <w:szCs w:val="24"/>
        </w:rPr>
        <w:t>地点召开谈判预备会，澄清供应商提出的问题。</w:t>
      </w:r>
    </w:p>
    <w:p w14:paraId="0E2931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供应商应按供应商须知前附表规定的时间和形式将提出的问题送达采购人，以便采购</w:t>
      </w:r>
    </w:p>
    <w:p w14:paraId="5D62D538">
      <w:pPr>
        <w:spacing w:line="360" w:lineRule="auto"/>
        <w:rPr>
          <w:rFonts w:hint="eastAsia" w:ascii="宋体" w:hAnsi="宋体" w:eastAsia="宋体" w:cs="宋体"/>
          <w:sz w:val="24"/>
          <w:szCs w:val="24"/>
        </w:rPr>
      </w:pPr>
      <w:r>
        <w:rPr>
          <w:rFonts w:hint="eastAsia" w:ascii="宋体" w:hAnsi="宋体" w:eastAsia="宋体" w:cs="宋体"/>
          <w:sz w:val="24"/>
          <w:szCs w:val="24"/>
        </w:rPr>
        <w:t>人在会议期间澄清。</w:t>
      </w:r>
    </w:p>
    <w:p w14:paraId="339AA1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谈判预备会后，采购人将对供应商所提问题的澄清，以供应商须知前附表规定的形式</w:t>
      </w:r>
    </w:p>
    <w:p w14:paraId="4E2CFBFF">
      <w:pPr>
        <w:spacing w:line="360" w:lineRule="auto"/>
        <w:rPr>
          <w:rFonts w:hint="eastAsia" w:ascii="宋体" w:hAnsi="宋体" w:eastAsia="宋体" w:cs="宋体"/>
          <w:sz w:val="24"/>
          <w:szCs w:val="24"/>
        </w:rPr>
      </w:pPr>
      <w:r>
        <w:rPr>
          <w:rFonts w:hint="eastAsia" w:ascii="宋体" w:hAnsi="宋体" w:eastAsia="宋体" w:cs="宋体"/>
          <w:sz w:val="24"/>
          <w:szCs w:val="24"/>
        </w:rPr>
        <w:t>通知所有购买谈判文件的供应商。该澄清内容为谈判文件的组成部分。</w:t>
      </w:r>
    </w:p>
    <w:p w14:paraId="2ECC3A9B">
      <w:pPr>
        <w:spacing w:line="360" w:lineRule="auto"/>
        <w:ind w:firstLine="480" w:firstLineChars="200"/>
        <w:rPr>
          <w:rFonts w:hint="eastAsia" w:ascii="宋体" w:hAnsi="宋体" w:eastAsia="宋体" w:cs="宋体"/>
          <w:sz w:val="24"/>
          <w:szCs w:val="24"/>
        </w:rPr>
      </w:pPr>
      <w:bookmarkStart w:id="8" w:name="page24"/>
      <w:bookmarkEnd w:id="8"/>
      <w:r>
        <w:rPr>
          <w:rFonts w:hint="eastAsia" w:ascii="宋体" w:hAnsi="宋体" w:eastAsia="宋体" w:cs="宋体"/>
          <w:sz w:val="24"/>
          <w:szCs w:val="24"/>
        </w:rPr>
        <w:t>1.9 分包</w:t>
      </w:r>
    </w:p>
    <w:p w14:paraId="6BF12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供应商拟在成交后将成交项目的非主体、非关键性分项工程进行分包的，应符合供应商须知前附表规定的分包内容、分包金额和资质要求等限制性条件，除供应商须知前附表规定的非主体、非关键性工程外，其他工作不得分包。</w:t>
      </w:r>
    </w:p>
    <w:p w14:paraId="1D3492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成交人不得向他人转让成交项目，接受分包的人不得再次分包。成交人应当就分包项目向采购人负责，接受分包的人就分包项目承担连带责任。</w:t>
      </w:r>
    </w:p>
    <w:p w14:paraId="04EF6BCF">
      <w:pPr>
        <w:spacing w:line="360" w:lineRule="auto"/>
        <w:ind w:left="500"/>
        <w:rPr>
          <w:rFonts w:hint="eastAsia" w:ascii="宋体" w:hAnsi="宋体" w:eastAsia="宋体" w:cs="宋体"/>
          <w:sz w:val="24"/>
          <w:szCs w:val="24"/>
        </w:rPr>
      </w:pPr>
      <w:r>
        <w:rPr>
          <w:rFonts w:hint="eastAsia" w:ascii="宋体" w:hAnsi="宋体" w:eastAsia="宋体" w:cs="宋体"/>
          <w:sz w:val="24"/>
          <w:szCs w:val="24"/>
        </w:rPr>
        <w:t>1.10 响应和偏差</w:t>
      </w:r>
    </w:p>
    <w:p w14:paraId="700788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1.10.1 响应文件应当对谈判文件的实质性要求和条件作出满足性或更有利于采购人的响应，</w:t>
      </w:r>
    </w:p>
    <w:p w14:paraId="6C055407">
      <w:pPr>
        <w:spacing w:line="360" w:lineRule="auto"/>
        <w:rPr>
          <w:rFonts w:hint="eastAsia" w:ascii="宋体" w:hAnsi="宋体" w:eastAsia="宋体" w:cs="宋体"/>
          <w:sz w:val="24"/>
          <w:szCs w:val="24"/>
        </w:rPr>
      </w:pPr>
      <w:r>
        <w:rPr>
          <w:rFonts w:hint="eastAsia" w:ascii="宋体" w:hAnsi="宋体" w:eastAsia="宋体" w:cs="宋体"/>
          <w:sz w:val="24"/>
          <w:szCs w:val="24"/>
        </w:rPr>
        <w:t>否则，供应商的谈判将被否决。</w:t>
      </w:r>
    </w:p>
    <w:p w14:paraId="237591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1.10.2 供应商应根据谈判文件的要求提供谈判项目实施等内容以对谈判文件作出响应。</w:t>
      </w:r>
    </w:p>
    <w:p w14:paraId="705000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2.谈判及谈判文件</w:t>
      </w:r>
    </w:p>
    <w:p w14:paraId="482A910E">
      <w:pPr>
        <w:overflowPunct w:val="0"/>
        <w:spacing w:line="360" w:lineRule="auto"/>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2.1谈判文件</w:t>
      </w:r>
    </w:p>
    <w:p w14:paraId="240B927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2.1.1谈判文件由本文件目录所列第一章至第六章构成。</w:t>
      </w:r>
    </w:p>
    <w:p w14:paraId="6AFDB00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2.2.2谈判文件各章内容对谈判事宜提出明确要求，供应商须仔细阅读和正确理解。因供应商在阅读、理解谈判文件方面产生疏漏和误解，而导致谈判不利后果的或者被废标的，其责任由供应商自负。</w:t>
      </w:r>
    </w:p>
    <w:p w14:paraId="2157A2A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谈判组织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14:paraId="3A071EC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b.供应商要求对谈判文件进行澄清的，必须在谈判截止时间三日前，以书面形式送达谈判组织机构；谈判组织机构将以书面形式予以答复；必要时将书面答复传送给所有谈判文件收受人。</w:t>
      </w:r>
    </w:p>
    <w:p w14:paraId="3E35ABA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谈判组织机构可以视采购具体情况，延长谈判截止时间和谈判时间，但至少在谈判文件要求的提交响应文件的截止时间二日前，将变更时间书面通知所有谈判文件收受人，并在政府采购信息发布媒体上发布变更公告。</w:t>
      </w:r>
    </w:p>
    <w:p w14:paraId="2C066E26">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2.2谈判文件由谈判组织机构登记发售，一经售出，恕不能退。</w:t>
      </w:r>
    </w:p>
    <w:p w14:paraId="0DBC6AC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2.3供应商不得擅自转让、变卖或复制谈判文件进行谈判响应。</w:t>
      </w:r>
    </w:p>
    <w:p w14:paraId="1059B010">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2.4谈判文件的解释权归谈判组织机构。</w:t>
      </w:r>
    </w:p>
    <w:p w14:paraId="5BC3FFC5">
      <w:pPr>
        <w:overflowPunct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2.5谈判保证金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本项目不收取保证金</w:t>
      </w:r>
      <w:r>
        <w:rPr>
          <w:rFonts w:hint="eastAsia" w:ascii="宋体" w:hAnsi="宋体" w:eastAsia="宋体" w:cs="宋体"/>
          <w:sz w:val="24"/>
          <w:szCs w:val="24"/>
          <w:lang w:eastAsia="zh-CN"/>
        </w:rPr>
        <w:t>）</w:t>
      </w:r>
    </w:p>
    <w:p w14:paraId="09381DF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2.5.1谈判保证金缴纳详见谈判须知前附表；</w:t>
      </w:r>
    </w:p>
    <w:p w14:paraId="48E2F1D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2.5.2查验入账后，可向采购代理机构索取收款收据，将银行转账凭证及采购代理机构开具的收款收据作为缴纳证明，复印件装置谈判文件。</w:t>
      </w:r>
    </w:p>
    <w:p w14:paraId="4565704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2.5.3供应商未交纳、或者未足额交纳、或者未按规定时限交纳保证金的，将被视为自动放弃谈判的权利。</w:t>
      </w:r>
    </w:p>
    <w:p w14:paraId="5F91D23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2.5.4保证金的退还</w:t>
      </w:r>
    </w:p>
    <w:p w14:paraId="783BB56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谈判供应商在响应文件递交截止时间撤回已提交的响应文件的，采购人或者谈判组织机构应当自收到供应商书面撤回通知之日起5个工作日内，退还已收取的谈判保证金，但因谈判供应商自身原因导致无法及时退还的除外。</w:t>
      </w:r>
    </w:p>
    <w:p w14:paraId="25AABCD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采购人或者谈判组织机构应当自成交通知书发出之日起5个工作日内退还未成交供应商的谈判保证金，自采购合同签订之日起5个工作日内退还成交供应商的保证金或者转为成交供应商的合同履约保证金（以成交价5%的标准）。若保证金不足支付的，剩余款项转至谈判保证金缴纳账户。合同履约保证金在项目验收合格后15天内退还给成交供应商（无息）。</w:t>
      </w:r>
    </w:p>
    <w:p w14:paraId="221BFD65">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2.5.5供应商有下列情形之一的，已交纳的谈判保证金不予退还：</w:t>
      </w:r>
    </w:p>
    <w:p w14:paraId="26D4CB62">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a.在响应文件有效期内，撤回响应文件或者擅自退出谈判活动的；</w:t>
      </w:r>
    </w:p>
    <w:p w14:paraId="4C8B3136">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b.成交后无正当理由不与采购人或采购代理机构签订合同的；</w:t>
      </w:r>
    </w:p>
    <w:p w14:paraId="12EBD0D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c.成交项目转让给他人，或者在响应文件中未说明，且未经采购代理机构同意，将成交项目分包给他人的；</w:t>
      </w:r>
    </w:p>
    <w:p w14:paraId="7BB6A07D">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d.供应商交纳谈判保证金后，无故不参加谈判活动的；</w:t>
      </w:r>
    </w:p>
    <w:p w14:paraId="2837CEF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e.具有欺诈、无理取闹行为谈判的。</w:t>
      </w:r>
    </w:p>
    <w:p w14:paraId="000B1D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3.响应文件的编制</w:t>
      </w:r>
    </w:p>
    <w:p w14:paraId="457FBC5D">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3.1响应的所有文件、资料、函电文字均须使用简体中文（通用缩写、代号、名称除外）。</w:t>
      </w:r>
    </w:p>
    <w:p w14:paraId="506A0F2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3.2供应商在谈判时使用的计量单位须应为公制单位（另有规定的除外）。</w:t>
      </w:r>
    </w:p>
    <w:p w14:paraId="0FD5458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供应商须依据谈判文件内容和响应文件格式的要求编制响应文件，明确表达谈判意愿，详细说明谈判方案、谈判承诺及谈判价格。供应商须保证其编制、递交的响应文件内容真实、合法、有效，并承担相应的法律责任。</w:t>
      </w:r>
    </w:p>
    <w:p w14:paraId="03DA3D5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3.4响应文件格式及构成（详见《响应文件格式及构成》章节要求）。</w:t>
      </w:r>
    </w:p>
    <w:p w14:paraId="6670FE6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3.5响应文件中未要求提供备选方案的，供应商只能提交唯一的谈判方案。否则，谈判无效。</w:t>
      </w:r>
    </w:p>
    <w:p w14:paraId="17DC017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3.6响应文件有效期</w:t>
      </w:r>
    </w:p>
    <w:p w14:paraId="6E321D55">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a.响应文件有效期（法人授权书、谈判函、谈判方案）自谈判大会之日起计算不得少于90天。</w:t>
      </w:r>
    </w:p>
    <w:p w14:paraId="139C2890">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在特殊情况下，在响应文件有效期满之前，采购代理机构可向供应商提出延长响应文件有效期的书面要求。供应商书面同意延长响应文件有效期的，供应商资格、保证金有效期相应延长。供应商也可书面拒绝延长有效期（在规定时限内无应答的视为拒绝），供应商资格则自动丧失，但保证金无息退还。</w:t>
      </w:r>
    </w:p>
    <w:p w14:paraId="68CCD854">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3.7响应文件均需打印或用不褪色、不变质的墨水书写，并由供应商的法定代表人或其授权代表在规定签章处签字或盖章。</w:t>
      </w:r>
    </w:p>
    <w:p w14:paraId="1593FB50">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3.8响应文件的打印和书写应清楚工整，任何行间插字、涂改或增删，必须由供应商的法定代表人或其授权代表签字或盖个人印鉴。字迹潦草、表达不清或可能导致非唯一理解的响应文件可能视为无效响应。</w:t>
      </w:r>
    </w:p>
    <w:p w14:paraId="691CFC02">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3.9响应文件正本和副本必须装订成册并编制连续页码（左侧胶装），不按规定制作的响应文件视为无效响应文件。</w:t>
      </w:r>
    </w:p>
    <w:p w14:paraId="17FCD1AA">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3.10响应文件统一用A4幅面纸印制。</w:t>
      </w:r>
    </w:p>
    <w:p w14:paraId="590420AD">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3.11响应文件应根据谈判文件的要求制作，签署、盖章和内容应完整，如有遗漏，供应商将自行承担其响应文件被视为无效响应文件的风险。</w:t>
      </w:r>
    </w:p>
    <w:p w14:paraId="0E66765A">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3.12响应文件正、副本需逐页加盖公章。</w:t>
      </w:r>
    </w:p>
    <w:p w14:paraId="0BD70495">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3.13响应文件的递交</w:t>
      </w:r>
    </w:p>
    <w:p w14:paraId="52D79036">
      <w:pPr>
        <w:widowControl/>
        <w:spacing w:line="360" w:lineRule="auto"/>
        <w:ind w:firstLine="560"/>
        <w:rPr>
          <w:rFonts w:hint="eastAsia" w:ascii="宋体" w:hAnsi="宋体" w:eastAsia="宋体" w:cs="宋体"/>
          <w:sz w:val="24"/>
          <w:szCs w:val="24"/>
        </w:rPr>
      </w:pPr>
      <w:r>
        <w:rPr>
          <w:rFonts w:hint="eastAsia" w:ascii="宋体" w:hAnsi="宋体" w:eastAsia="宋体" w:cs="宋体"/>
          <w:sz w:val="24"/>
          <w:szCs w:val="24"/>
        </w:rPr>
        <w:t>a.供应商须按谈判文件确定的时间和地点（详见供应商须知前附表），将全部响应文件递交至采购代理机构项目承办人。</w:t>
      </w:r>
    </w:p>
    <w:p w14:paraId="32C4376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b.谈判组织机构项目承办人仅负责响应文件的接收、清点、记录工作，并请递交人签字确认。</w:t>
      </w:r>
    </w:p>
    <w:p w14:paraId="2C8EC882">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c.递交、接收手续完毕的文件由谈判组织机构项目承办人妥善保管，任何人不得擅自拆封、调换和退回。</w:t>
      </w:r>
    </w:p>
    <w:p w14:paraId="7CAEE56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d.在宣布递交响应文件时间截止之后，任何人送达、递交的响应文件和文书资料，谈判组织机构拒绝接收。</w:t>
      </w:r>
    </w:p>
    <w:p w14:paraId="5CA2EFB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e.无论供应商成交与否，其响应文件恕不退还。</w:t>
      </w:r>
    </w:p>
    <w:p w14:paraId="71D316EB">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3.14响应文件的修改与撤回                                        </w:t>
      </w:r>
    </w:p>
    <w:p w14:paraId="4A233499">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a.供应商只能在谈判截止时间之前，对已递交的响应文件提出补充、修改或撤回的书面申请。补充、修改的内容为响应文件的组成部分。</w:t>
      </w:r>
    </w:p>
    <w:p w14:paraId="43A5BBE8">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b.谈判单位在响应文件递交截止时间后，不得对其响应文件做任何修改。</w:t>
      </w:r>
    </w:p>
    <w:p w14:paraId="48268374">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c.在谈判截止时间后，谈判单位不得申请撤销响应文件，如有发生，其谈判保证金将被没收。</w:t>
      </w:r>
    </w:p>
    <w:p w14:paraId="088DE09F">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d.对撤回的响应文件进行修改、补充、再递交的，按谈判文件规定的响应文件编制、密封及递交要求办理。</w:t>
      </w:r>
    </w:p>
    <w:p w14:paraId="45EEE151">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e.撤回响应文件应以书面的形式通知谈判单位。</w:t>
      </w:r>
    </w:p>
    <w:p w14:paraId="7846CB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4.谈判报价</w:t>
      </w:r>
    </w:p>
    <w:p w14:paraId="4EE877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（1）凡本谈判文件要求及谈判供应商认为需要进行报价的各项费用项目，若谈判时未报或未在谈判文件中予以说明，评标时将视这些费用已取，并已包含在谈判报价中。</w:t>
      </w:r>
    </w:p>
    <w:p w14:paraId="4739A7EC">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（2）供应商对所投谈判内容不得分解或只报一部分，否则视为非响应性谈判，按无效标处理。</w:t>
      </w:r>
    </w:p>
    <w:p w14:paraId="09EBEC18">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（3）谈判报价只能提交唯一、不可选择的报价。谈判货币：人民币。 </w:t>
      </w:r>
    </w:p>
    <w:p w14:paraId="3ACD02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5.谈判流程</w:t>
      </w:r>
    </w:p>
    <w:p w14:paraId="65EB816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5.1采购代理机构在谈判公告规定的时间和地点通过组织谈判大会的形式公开开标，并邀请所有购买谈判文件的供应商参加。</w:t>
      </w:r>
    </w:p>
    <w:p w14:paraId="16D04A3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5.2谈判大会在递交响应文件截止时间的同一时间举行，出席和参加大会的人员和代表，应在会议开始之前进行会议签到。</w:t>
      </w:r>
    </w:p>
    <w:p w14:paraId="4FBC45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5.3谈判程序</w:t>
      </w:r>
    </w:p>
    <w:p w14:paraId="04C5DC3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主持人按下列程序进行谈判：</w:t>
      </w:r>
    </w:p>
    <w:p w14:paraId="359DEC3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（1）宣布开标纪律；</w:t>
      </w:r>
    </w:p>
    <w:p w14:paraId="067BE9B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（2）公布在谈判截止时间前递交响应文件的供应商名称；</w:t>
      </w:r>
    </w:p>
    <w:p w14:paraId="5AC14B3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（3）宣布开标人、唱标人、记录人、监标人等有关人员姓名；</w:t>
      </w:r>
    </w:p>
    <w:p w14:paraId="446EAED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（4）报价程序。</w:t>
      </w:r>
    </w:p>
    <w:p w14:paraId="6535E9E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 依据《政府采购法》和《政府采购非招标采购方式管理办法》（财政部令第74号）等规定(陕财办采资[2016]53号)，竞争性谈判采用两次报价，主持人在谈判大会不当众宣布谈判报价内容，并将响应文件中谈判报价作为第一次报价。</w:t>
      </w:r>
    </w:p>
    <w:p w14:paraId="605B62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b.大写金额和小写金额不一致的，以大写金额为准；</w:t>
      </w:r>
    </w:p>
    <w:p w14:paraId="2CED97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c.单价金额小数点或者百分比有明显错位的，以谈判一览表（报价表）的总价为准，并修改单价；</w:t>
      </w:r>
    </w:p>
    <w:p w14:paraId="31CA84D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d.总价金额与单价汇总金额不一致的，以单价金额计算结果为准；</w:t>
      </w:r>
    </w:p>
    <w:p w14:paraId="4157992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e. 谈判小组在与供应商一对一谈判后，给各供应商第二次报价机会，即最终报价，评审以最终报价为依据。</w:t>
      </w:r>
    </w:p>
    <w:p w14:paraId="589C487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f.谈判组织机构指定专人对报价全过程进行记录，并存档备查。</w:t>
      </w:r>
    </w:p>
    <w:p w14:paraId="7E94AD08">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（5）供应商代表、采购人代表、监标人、记录人等有关人员在开标记录上签字确认；</w:t>
      </w:r>
    </w:p>
    <w:p w14:paraId="28BF07C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5.4谈判时，响应文件中出现下列情况，修正原则为。</w:t>
      </w:r>
    </w:p>
    <w:p w14:paraId="4399A76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（1）谈判报价的大写金额和小写不一致的，以大写金额为准；</w:t>
      </w:r>
    </w:p>
    <w:p w14:paraId="78B89D1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（2）单价金额小数点有明显错位的，以修改单价为准；</w:t>
      </w:r>
    </w:p>
    <w:p w14:paraId="5D6E964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（3）响应文件正本与副本不一致的，以正本为准；</w:t>
      </w:r>
    </w:p>
    <w:p w14:paraId="7687FA6E">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（4）多处内容交叉不符时，以谈判小组评审结果为准；</w:t>
      </w:r>
    </w:p>
    <w:p w14:paraId="599F4997">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（5）文字与图表不符时以文字为准。</w:t>
      </w:r>
    </w:p>
    <w:p w14:paraId="4ED71AF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5.5谈判异议</w:t>
      </w:r>
    </w:p>
    <w:p w14:paraId="2D327243">
      <w:pPr>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供应商对谈判有异议的，应当在谈判现场提出，采购人当场作出答复，并制作记录。</w:t>
      </w:r>
    </w:p>
    <w:p w14:paraId="03564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6、谈判</w:t>
      </w:r>
    </w:p>
    <w:p w14:paraId="205B53E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1.谈判工作由采购代理机构负责组织，具体评标事务由谈判小组成员负责。</w:t>
      </w:r>
    </w:p>
    <w:p w14:paraId="6AADE75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（1）谈判小组由采购人代表和有关技术、经济等方面的专家组成，人数应当为3人以上单数，其中技术、经济等方面的专家不得少于成员总数的三分之二。</w:t>
      </w:r>
    </w:p>
    <w:p w14:paraId="2C9086B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（2）评审工作由采购代理机构负责组织，具体评审事务由谈判小组成员负责。</w:t>
      </w:r>
    </w:p>
    <w:p w14:paraId="3F8DD8D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2.谈判小组成员有下列情形之一的，应当回避：</w:t>
      </w:r>
    </w:p>
    <w:p w14:paraId="3FC4F50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A.采购人或供应商的主要负责人的近亲属。</w:t>
      </w:r>
    </w:p>
    <w:p w14:paraId="01F881C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B.项目主管部门或者行政监督部门的人员。</w:t>
      </w:r>
    </w:p>
    <w:p w14:paraId="35979BA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C.与供应商有经济利益关系，可能影响对采购公正评审的。</w:t>
      </w:r>
    </w:p>
    <w:p w14:paraId="143AAF1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D.曾因在采购、响应文件评审以及其他与采购有关活动中从事违法行为而受过行政处罚或刑事处罚的。 </w:t>
      </w:r>
    </w:p>
    <w:p w14:paraId="2A5B949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3.谈判小组独立履行下列职责和义务：</w:t>
      </w:r>
    </w:p>
    <w:p w14:paraId="165F53A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A.职责：审查响应文件是否符合谈判文件要求，并作出评价；要求供应商对响应文件有关事项作出解释或者澄清；推荐成交候选供应商名单，向采购单位或者有关部门报告非法干预响应文件评审工作的行为。</w:t>
      </w:r>
    </w:p>
    <w:p w14:paraId="6218BA0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义务：遵纪守法，客观、公正、廉洁地履行职责；按照谈判文件规定的响应文件评审方法和响应文件评审标准进行响应文件评审，对评审意见承担个人责任；对响应文件评审过程和结果，以及供应商的商业秘密保密；参与响应文件评审报告的起草；配合有关部门的投诉处理工作；配合采购单位答复供应商提出的质疑。</w:t>
      </w:r>
    </w:p>
    <w:p w14:paraId="69A59D9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C.谈判小组有权就响应文件中有疑义之处或前后表述不一致的问题，向供应商提出询问或澄清。供应商必须在谈判小组规定的时间内派技术和商务人员进行澄清，有关澄清的内容应以书面形式提交，并由供应商法定代表人或委托代理人签字确认。澄清时供应商只作说明和解释，不得借此对谈判报价、优惠条件、售后服务等实质性内容做任何修改。</w:t>
      </w:r>
    </w:p>
    <w:p w14:paraId="119CB90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D.谈判小组有权对谈判、谈判过程中出现的一切问题，根据相关法律法规，本着公平、公正的原则，提出处理意见，经采购人、谈判组织机构同意后做出处理决定。</w:t>
      </w:r>
    </w:p>
    <w:p w14:paraId="4471FF7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4.评审原则</w:t>
      </w:r>
    </w:p>
    <w:p w14:paraId="6462DA4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按照《中华人民共和国政府采购法》、中华人民共和国2015年第658号国务院令--《中华人民共和国政府采购法实施条例》和中华人民共和国财政部2004年第18号部长令--《政府采购服务招标投标管理办法》的规定，依法组建谈判小组。谈判小组按照竞争性谈判文件规定的评审办法独立进行评审工作。</w:t>
      </w:r>
    </w:p>
    <w:p w14:paraId="3F5D231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4.2竞争性谈判文件和响应文件是评审的依据。在评审中，不得改变竞争性谈判文件中规定的评审标准、方法和成交条件。供应商不得在评审后使用任何方式对响应文件的实质性内容做任何更改。</w:t>
      </w:r>
    </w:p>
    <w:p w14:paraId="7318443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在评审期间，对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响应文件的范围或者改变响应文件的实质性内容。</w:t>
      </w:r>
    </w:p>
    <w:p w14:paraId="04FE769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4.4如果供应商在澄清规定期限内，未能答复或拒绝答复评委会提出的澄清要求，将由谈判小组根据其响应文件按最大风险进行评审。</w:t>
      </w:r>
    </w:p>
    <w:p w14:paraId="3118026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5.评审过程的保密</w:t>
      </w:r>
    </w:p>
    <w:p w14:paraId="01200B5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5.1谈判小组成员和与评审活动有关的工作人员不得泄露有关响应文件的评审和比较、成交供应商的推荐以及与评审有关的其他情况。</w:t>
      </w:r>
    </w:p>
    <w:p w14:paraId="455F189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5.2在评审过程中，如果供应商试图在响应文件的评审和比较、成交供应商的推荐以及与评审有关的其他方面，向评审人、采购人和采购代理机构施加任何影响，其响应将按照无效响应处理。</w:t>
      </w:r>
    </w:p>
    <w:p w14:paraId="6C3F1D7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6.评审办法</w:t>
      </w:r>
    </w:p>
    <w:p w14:paraId="4C5B386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按照中华人民共和国2015年第658号国务院令--《中华人民共和国政府采购法实施条例》和中华人民共和国财政部2017年第87号部长令--《政府采购货物和服务招标投标管理办法》的规定，本次评审采用以下评审办法中的一种： 最低评审价法，即在全部满足竞争性谈判文件实质性要求前提下，依据统一的价格要素评定最低报价，以提出最低报价的供应商作为成交候选供应商并依次排序。</w:t>
      </w:r>
    </w:p>
    <w:p w14:paraId="628F81C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7.评审程序</w:t>
      </w:r>
    </w:p>
    <w:p w14:paraId="3672E8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按照响应文件初审、澄清有关问题、比较与评价、推荐成交候选供应商名单的工作程序进行评审。</w:t>
      </w:r>
    </w:p>
    <w:p w14:paraId="7160299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8.评标保密工作</w:t>
      </w:r>
    </w:p>
    <w:p w14:paraId="11295CB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谈判组织机构必须采取必要措施，保证评标工作在严格保密的情况下进行。任何单位和个人不得非法干预、影响评审方法的确定，以及评标过程和结果。</w:t>
      </w:r>
    </w:p>
    <w:p w14:paraId="7AD72C9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谈判后，直至授予成交合同为止，谈判小组成员及全体与会工作人员不得将响应文件的审查、答疑、评价和比较的有关资料以及成交候选人的推荐情况，与评标有关的其他任何情况均严格保密。违者依法追究其责任。</w:t>
      </w:r>
    </w:p>
    <w:p w14:paraId="2BD6F26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9.响应文件计算错误的修正</w:t>
      </w:r>
    </w:p>
    <w:p w14:paraId="701E26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（1）谈判小组将对确定为实质上响应谈判文件要求的响应文件进行校核，看其是否有计算或表达上的错误，修正错误的原则如下：</w:t>
      </w:r>
    </w:p>
    <w:p w14:paraId="4FC9D1D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a.当出现合价与汇总价不符时为准，重新计算汇总价；当单价与合价不符时，以合价为准，重新调整单价；</w:t>
      </w:r>
    </w:p>
    <w:p w14:paraId="0C84AFC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b.当谈判小组认为供应商有明显的小数点错误，此时应以标书的合价为准，并修改单价。</w:t>
      </w:r>
    </w:p>
    <w:p w14:paraId="59582A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 谈判完成后，谈判小组应当向采购人提交书面评标报告和成交候选人名单。谈判小组推荐成交候选人的人数见供应商须知前附表。</w:t>
      </w:r>
    </w:p>
    <w:p w14:paraId="265E90D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7.合同授予</w:t>
      </w:r>
    </w:p>
    <w:p w14:paraId="14E7A4D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成交候选人公示</w:t>
      </w:r>
    </w:p>
    <w:p w14:paraId="15AC3F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采购人在收到评标报告后2个工作日内，按照评标报告中推荐的成交候选人顺序确定成交供应商，并函复谈判组织机构。按照供应商须知前附表规定的公示媒介和期限公示成交候选人，公示期1个工作日。</w:t>
      </w:r>
    </w:p>
    <w:p w14:paraId="0BFD7E3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成交候选人履约能力审查</w:t>
      </w:r>
    </w:p>
    <w:p w14:paraId="16E0FA6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成交候选人的经营、财务状况发生较大变化或存在违法行为，采购人认为可能影响其履约能力的，将在发出成交通知书前提请原谈判小组按照谈判文件规定的标准和方法进行审查确认。</w:t>
      </w:r>
    </w:p>
    <w:p w14:paraId="4FF2E7C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定标</w:t>
      </w:r>
    </w:p>
    <w:p w14:paraId="34B2BD7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按照供应商须知前附表的规定，采购人或采购人授权的谈判小组依法确定成交人。</w:t>
      </w:r>
    </w:p>
    <w:p w14:paraId="481C82C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成交通知</w:t>
      </w:r>
    </w:p>
    <w:p w14:paraId="08D3189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采购人以书面形式向成交人发出成交通知书，同时将成交结果通知未成交的供应商。</w:t>
      </w:r>
    </w:p>
    <w:p w14:paraId="2563271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7.5签订合同</w:t>
      </w:r>
    </w:p>
    <w:p w14:paraId="67DF1C6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采购人和成交人应当在成交通知书发出之日起15 日内，根据谈判文件和成交人的谈判文件订立书面合同。成交人无正当理由拒签合同，在签订合同时向采购人提出附加条件，或者不按照谈判文件要求提交履约保证金的，采购人有权取消其成交资格，其谈判保证金不予退还；给采购人造成的损失超过谈判保证金数额的，成交人还应当对超过部分予以赔偿。</w:t>
      </w:r>
    </w:p>
    <w:p w14:paraId="7550A7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7.5.2 发出成交通知书后，采购人无正当理由拒签合同，或者在签订合同时向成交人提出附加条件的，采购人向成交人退还谈判保证金；给成交人造成损失的，还应当赔偿损失。</w:t>
      </w:r>
    </w:p>
    <w:p w14:paraId="3239B9A6">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8.纪律和监督</w:t>
      </w:r>
    </w:p>
    <w:p w14:paraId="6B93E9E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8.1 对采购人（谈判组织机构）的纪律要求</w:t>
      </w:r>
    </w:p>
    <w:p w14:paraId="2480F92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采购人（谈判组织机构）不得泄露谈判活动中应当保密的情况和资料，不得与供应商串通损害国家利益、社会公共利益或者他人合法权益。</w:t>
      </w:r>
    </w:p>
    <w:p w14:paraId="02E3AD9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8.2 对供应商的纪律要求</w:t>
      </w:r>
    </w:p>
    <w:p w14:paraId="7386E12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不得相互串通谈判或者与采购人串通谈判，不得向采购人（谈判组织机构）或者谈判小组成员行贿谋取成交，不得以他人名义谈判或者以其他方式弄虚作假骗取成交；供应商不得以任何方式干扰、影响评标工作。</w:t>
      </w:r>
    </w:p>
    <w:p w14:paraId="18778B15">
      <w:pPr>
        <w:spacing w:line="360" w:lineRule="auto"/>
        <w:ind w:left="500"/>
        <w:rPr>
          <w:rFonts w:hint="eastAsia" w:ascii="宋体" w:hAnsi="宋体" w:eastAsia="宋体" w:cs="宋体"/>
          <w:sz w:val="24"/>
          <w:szCs w:val="24"/>
        </w:rPr>
      </w:pPr>
      <w:r>
        <w:rPr>
          <w:rFonts w:hint="eastAsia" w:ascii="宋体" w:hAnsi="宋体" w:eastAsia="宋体" w:cs="宋体"/>
          <w:sz w:val="24"/>
          <w:szCs w:val="24"/>
        </w:rPr>
        <w:t>8.3 对谈判小组成员的纪律要求</w:t>
      </w:r>
    </w:p>
    <w:p w14:paraId="3D1F51D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谈判小组成员不得收受他人的财物或者其他好处，不得向他人透露对响应文件的评审和比较、成交候选人的推荐情况以及评标有关的其他情况。在谈判活动中，谈判小组成员应当客观、公正地履行职责，遵守职业道德，不得擅离职守，影响评标程序正常进行。</w:t>
      </w:r>
    </w:p>
    <w:p w14:paraId="75926057">
      <w:pPr>
        <w:spacing w:line="360" w:lineRule="auto"/>
        <w:ind w:left="500"/>
        <w:rPr>
          <w:rFonts w:hint="eastAsia" w:ascii="宋体" w:hAnsi="宋体" w:eastAsia="宋体" w:cs="宋体"/>
          <w:sz w:val="24"/>
          <w:szCs w:val="24"/>
        </w:rPr>
      </w:pPr>
      <w:r>
        <w:rPr>
          <w:rFonts w:hint="eastAsia" w:ascii="宋体" w:hAnsi="宋体" w:eastAsia="宋体" w:cs="宋体"/>
          <w:sz w:val="24"/>
          <w:szCs w:val="24"/>
        </w:rPr>
        <w:t>8.4 对与谈判活动有关的工作人员的纪律要求</w:t>
      </w:r>
    </w:p>
    <w:p w14:paraId="0B86EA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与谈判活动有关的工作人员不得收受他人的财物或者其他好处，不得向他人透露对响应文</w:t>
      </w:r>
    </w:p>
    <w:p w14:paraId="51D5BB2B">
      <w:pPr>
        <w:spacing w:line="360" w:lineRule="auto"/>
        <w:jc w:val="left"/>
        <w:rPr>
          <w:rFonts w:hint="eastAsia" w:ascii="宋体" w:hAnsi="宋体" w:eastAsia="宋体" w:cs="宋体"/>
          <w:sz w:val="24"/>
          <w:szCs w:val="24"/>
        </w:rPr>
      </w:pPr>
      <w:r>
        <w:rPr>
          <w:rFonts w:hint="eastAsia" w:ascii="宋体" w:hAnsi="宋体" w:eastAsia="宋体" w:cs="宋体"/>
          <w:sz w:val="24"/>
          <w:szCs w:val="24"/>
        </w:rPr>
        <w:t>件的评审和比较、成交候选人的推荐情况以及评标有关的其他情况。在谈判活动中，与谈判活动有关的工作人员不得擅离职守，影响评标程序正常进行。</w:t>
      </w:r>
    </w:p>
    <w:p w14:paraId="2A82FAA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其它事项</w:t>
      </w:r>
    </w:p>
    <w:p w14:paraId="4720ED30">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中华人民共和国财政部令第74号《政府采购非招标采购方式管理办法》第三十七条之规定：出现下列情形之一的，采购人或者采购代理机构应当终止竞争性谈判采购活动，发布项目终止公告并说明原因，重新开展采购活动：</w:t>
      </w:r>
    </w:p>
    <w:p w14:paraId="005ACEF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（一）因情况变化，不再符合规定的竞争性谈判采购方式适用情形的；</w:t>
      </w:r>
    </w:p>
    <w:p w14:paraId="551C1D6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（二）出现影响采购公正的违法、违规行为的；</w:t>
      </w:r>
    </w:p>
    <w:p w14:paraId="1FBD83A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（三）在采购过程中符合竞争要求的供应商或者报价未超过采购预算的供应商不足3家的，但本办法第二十七条第二款规定的情形除外。</w:t>
      </w:r>
    </w:p>
    <w:p w14:paraId="5D7CB8C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w:t>
      </w:r>
      <w:r>
        <w:rPr>
          <w:rFonts w:hint="eastAsia" w:ascii="宋体" w:hAnsi="宋体" w:eastAsia="宋体" w:cs="宋体"/>
          <w:sz w:val="24"/>
          <w:szCs w:val="24"/>
          <w:highlight w:val="none"/>
        </w:rPr>
        <w:t>成交人应当在成交通知书发出之日起十五日内，按照竞争性谈判文件确定的事项签定政府采购合同，如成交人在法定日内无正当理由拒签合同，谈判组织机构可没收其投标保证金并取消其成交资格，同时将标的授予下一个排名最前的谈判供应商。</w:t>
      </w:r>
    </w:p>
    <w:p w14:paraId="3E623DA1">
      <w:pPr>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rPr>
        <w:t>落实政府采购政策文件具体如下：</w:t>
      </w:r>
    </w:p>
    <w:p w14:paraId="22B17F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政府采购促进中小企业发展管理办法》（财库〔2020〕46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民法典》订立劳动合同的从业人员，则参与政府采购活动时，货物和服务项目对小型和微型企业产品的价格给予6％-10％的价格扣除，工程项目给予3％-5％的价格扣除，用扣除后的价格参与评审。</w:t>
      </w:r>
    </w:p>
    <w:p w14:paraId="72D49D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在货物采购项目中，投标人提供的货物既有中小企业制造货物，也有大型企业制造货物的，不享受政府采购价格扣除优惠政策。</w:t>
      </w:r>
    </w:p>
    <w:p w14:paraId="77E4B0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大中型企业与小微企业组成联合体或者允许大中型企业向或者多家小微企业分包的采购项目，对于联合协议或者分包意向协议约定小微企业的合同份额占到合同总金额30％以上的，货物和服务项目可给予联合体或者大中型企业的报价2%-3％的扣除，工程项目为1％-2％的扣除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14:paraId="090957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5527E7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参加政府采购活动的中小微企业应提供《中小企业声明函》原件。未提供上述声明函原件的，则投标文件无效。</w:t>
      </w:r>
    </w:p>
    <w:p w14:paraId="5FE33DD9">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备注：本项目采购标的对应的中小企业划分标准所属行业为</w:t>
      </w:r>
      <w:r>
        <w:rPr>
          <w:rFonts w:hint="eastAsia" w:ascii="宋体" w:hAnsi="宋体" w:eastAsia="宋体" w:cs="宋体"/>
          <w:b/>
          <w:bCs/>
          <w:sz w:val="24"/>
          <w:szCs w:val="24"/>
          <w:highlight w:val="none"/>
          <w:u w:val="single"/>
        </w:rPr>
        <w:t xml:space="preserve">  工业  </w:t>
      </w:r>
      <w:r>
        <w:rPr>
          <w:rFonts w:hint="eastAsia" w:ascii="宋体" w:hAnsi="宋体" w:eastAsia="宋体" w:cs="宋体"/>
          <w:b/>
          <w:bCs/>
          <w:sz w:val="24"/>
          <w:szCs w:val="24"/>
          <w:highlight w:val="none"/>
        </w:rPr>
        <w:t>；{参照《中小企业划型标准规定》（工信部联企业〔2011〕300号）执行}。</w:t>
      </w:r>
    </w:p>
    <w:p w14:paraId="61B160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14:paraId="02166C8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根据财政部、民政部、中国残疾人联合会印发的《关于促进残疾人就业政府采购政策的通知》（财库〔2017〕41号）的规定，残疾人福利性单位提供本单位制造的货物、承担的工程或者服务（以下简称产品）,或者提供其他残疾人福利性单位制造的货物（不包括使用非残疾人福利性单位注册商标的货物）参与政府来购活动时，视同小型、微型企业，享受预留份额、评审中价格扣除等促进中小企业发展的政府采购政策。残疾人福利性单位属于小型、微型企业的，不重复享受政策。</w:t>
      </w:r>
    </w:p>
    <w:p w14:paraId="446784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参加政府采购活动的残疾人単位应提供《残疾人福利性单位声明函》原件。未提供上述声明函原件的，则投标文件无效。</w:t>
      </w:r>
    </w:p>
    <w:p w14:paraId="2024E5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（4）根据财政部、国家发展改革委《关于调整优化节能产品、环境标志产品政府采购执行机制的通知》（财库〔2019〕9号）规定“政府采购属于节能产品品目清单的，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在技术、服务等指标同等条件下，应当优先采购节能品目清单的节能产品。”</w:t>
      </w:r>
    </w:p>
    <w:p w14:paraId="5B21CAA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635B2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根据国务院办公厅《关于建立政府强制采购节能产品制度的通知》（国办发〔2007〕51号）有关要求，在技术、服务等指标满足采购需求的前提下，要优先采购节能产品，对部分节能效果、性能等达到要求的产品，实行强制采购。</w:t>
      </w:r>
    </w:p>
    <w:p w14:paraId="3DB8F5D9">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）节能产品政府采购品目清单详见财政部、发展改革委《关于印发节能产品政府采购品目清单的通知》（财库〔2019〕19号）。</w:t>
      </w:r>
    </w:p>
    <w:p w14:paraId="34E5069B">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）环境标志产品政府采购品目清单详见财政部、生态环境部《关于印发环境标志产品政府采购品目清单的通知》（财库〔2019〕18号）。</w:t>
      </w:r>
    </w:p>
    <w:p w14:paraId="6CC90D01">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）国家确定的节能产品、环境标志产品认证机构详见市场监管总局《关于发布参与实施政府采购节能产品、环境标志产品认证机构名录的公告》(2019年第16号）。</w:t>
      </w:r>
    </w:p>
    <w:p w14:paraId="5A687273">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）根据《财政部 农业农村部 国家乡村振兴局关于运用政府采购政策支持乡村产业振兴的通知》（财库〔2021〕19号），自2021年起，各级预算单位应当按照不低于10％的比例预留年度食堂食材采购份额，通脱贫地区农副产品网络销售平台采购脱贫地区农副产品。</w:t>
      </w:r>
    </w:p>
    <w:p w14:paraId="529014DF">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）根据《财政部 农业农村部 国家乡村振兴局中华全国供销合作总社关于印发＜关于深入开展政府采购脱贫地区农副产品工作推进乡村产业振兴的实施意见＞的通知》（财库〔2021〕20号），各级预算单位要按照不低于10％的预留比例在“832平台”填报预留份额。鼓励各级预算单位工会组织通过“832平台”采购工会福利、慰问品等，有关采购金额计入本单位年度采购总额。</w:t>
      </w:r>
    </w:p>
    <w:p w14:paraId="432557DC">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根据《陕西省财政厅关于加快推进我省中小企业政府采购信用融资工作的通知》（陕财办采〔2020〕5号）规定“有融资需求的供应商可根据自身情况，在陕西省政府采购信用融资平台（含各市分平台）自主选择金融机构及其融资产品，凭政府采购中标（成交）通知书或政府采购合同向金融机构提出融资申请”。</w:t>
      </w:r>
    </w:p>
    <w:p w14:paraId="16C463AC">
      <w:pPr>
        <w:spacing w:line="360" w:lineRule="auto"/>
        <w:ind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陕西省财政厅关于印发《陕西省中小企业政府采购信用融资办法》（陕财办采〔2018〕23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AAC4C9F">
      <w:pPr>
        <w:spacing w:line="360" w:lineRule="auto"/>
        <w:ind w:firstLine="480" w:firstLineChars="200"/>
        <w:jc w:val="left"/>
        <w:rPr>
          <w:rFonts w:hint="eastAsia" w:ascii="宋体" w:hAnsi="宋体" w:eastAsia="宋体" w:cs="宋体"/>
          <w:sz w:val="21"/>
          <w:szCs w:val="21"/>
        </w:rPr>
        <w:sectPr>
          <w:headerReference r:id="rId8" w:type="default"/>
          <w:footerReference r:id="rId9" w:type="default"/>
          <w:pgSz w:w="11905" w:h="16837"/>
          <w:pgMar w:top="1712" w:right="1418" w:bottom="1712" w:left="1418" w:header="851" w:footer="1247" w:gutter="0"/>
          <w:pgNumType w:start="1"/>
          <w:cols w:space="720" w:num="1"/>
          <w:docGrid w:linePitch="312" w:charSpace="0"/>
        </w:sect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成交供应商确定后，成交供应商无正当理由拖延或拒签合同的，采购人有权取消其成交资格，并按评审顺序重新确定成交单位。同时报请监督机构予以通报，禁止其进入政府采购市场，并没收其保证金。</w:t>
      </w:r>
    </w:p>
    <w:p w14:paraId="03985C78">
      <w:pPr>
        <w:snapToGrid w:val="0"/>
        <w:spacing w:line="480" w:lineRule="exact"/>
        <w:jc w:val="center"/>
        <w:rPr>
          <w:rFonts w:hint="eastAsia" w:ascii="宋体" w:hAnsi="宋体" w:eastAsia="宋体" w:cs="宋体"/>
          <w:b/>
          <w:bCs/>
          <w:sz w:val="32"/>
          <w:szCs w:val="32"/>
        </w:rPr>
      </w:pPr>
      <w:r>
        <w:rPr>
          <w:rFonts w:hint="eastAsia" w:ascii="宋体" w:hAnsi="宋体" w:eastAsia="宋体" w:cs="宋体"/>
          <w:b/>
          <w:bCs/>
          <w:sz w:val="32"/>
          <w:szCs w:val="32"/>
        </w:rPr>
        <w:t>第三部分  谈判内容及要求</w:t>
      </w:r>
    </w:p>
    <w:p w14:paraId="07201574">
      <w:pPr>
        <w:spacing w:line="360" w:lineRule="auto"/>
        <w:jc w:val="center"/>
        <w:rPr>
          <w:rFonts w:hint="eastAsia" w:ascii="宋体" w:hAnsi="宋体" w:eastAsia="宋体" w:cs="宋体"/>
          <w:bCs/>
          <w:sz w:val="28"/>
          <w:szCs w:val="28"/>
        </w:rPr>
      </w:pPr>
      <w:r>
        <w:rPr>
          <w:rFonts w:hint="eastAsia" w:ascii="宋体" w:hAnsi="宋体" w:eastAsia="宋体" w:cs="宋体"/>
          <w:b/>
          <w:sz w:val="32"/>
          <w:szCs w:val="32"/>
        </w:rPr>
        <w:t>（招标参数要求由采购方提供，如有不详请咨询采购人）</w:t>
      </w:r>
    </w:p>
    <w:p w14:paraId="74E3BCE8">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项目名称：黄陵县人民检察院2024年中央和省级政法转移支付自定采购装备项目</w:t>
      </w:r>
    </w:p>
    <w:p w14:paraId="5FD31235">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供货期：30个工作日</w:t>
      </w:r>
    </w:p>
    <w:p w14:paraId="3F6E53E5">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质保期：1年</w:t>
      </w:r>
    </w:p>
    <w:p w14:paraId="06954D77">
      <w:pPr>
        <w:numPr>
          <w:ilvl w:val="0"/>
          <w:numId w:val="4"/>
        </w:numPr>
        <w:spacing w:line="360" w:lineRule="auto"/>
        <w:rPr>
          <w:rFonts w:hint="eastAsia" w:ascii="宋体" w:hAnsi="宋体" w:eastAsia="宋体" w:cs="宋体"/>
          <w:bCs/>
          <w:sz w:val="24"/>
          <w:szCs w:val="24"/>
        </w:rPr>
      </w:pPr>
      <w:r>
        <w:rPr>
          <w:rFonts w:hint="eastAsia" w:ascii="宋体" w:hAnsi="宋体" w:eastAsia="宋体" w:cs="宋体"/>
          <w:bCs/>
          <w:sz w:val="24"/>
          <w:szCs w:val="24"/>
        </w:rPr>
        <w:t>采购内容：</w:t>
      </w:r>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880"/>
        <w:gridCol w:w="4880"/>
        <w:gridCol w:w="740"/>
        <w:gridCol w:w="760"/>
      </w:tblGrid>
      <w:tr w14:paraId="6B38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40" w:type="dxa"/>
            <w:shd w:val="clear" w:color="auto" w:fill="auto"/>
            <w:vAlign w:val="center"/>
          </w:tcPr>
          <w:p w14:paraId="5C43D84F">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880" w:type="dxa"/>
            <w:shd w:val="clear" w:color="auto" w:fill="auto"/>
            <w:vAlign w:val="center"/>
          </w:tcPr>
          <w:p w14:paraId="31CE39C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880" w:type="dxa"/>
            <w:shd w:val="clear" w:color="auto" w:fill="auto"/>
            <w:vAlign w:val="center"/>
          </w:tcPr>
          <w:p w14:paraId="4F8B411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设备参数</w:t>
            </w:r>
          </w:p>
        </w:tc>
        <w:tc>
          <w:tcPr>
            <w:tcW w:w="740" w:type="dxa"/>
            <w:shd w:val="clear" w:color="auto" w:fill="auto"/>
            <w:vAlign w:val="center"/>
          </w:tcPr>
          <w:p w14:paraId="2C4BDE6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60" w:type="dxa"/>
            <w:shd w:val="clear" w:color="auto" w:fill="auto"/>
            <w:vAlign w:val="center"/>
          </w:tcPr>
          <w:p w14:paraId="759EE15D">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63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0" w:type="dxa"/>
            <w:shd w:val="clear" w:color="auto" w:fill="auto"/>
            <w:vAlign w:val="center"/>
          </w:tcPr>
          <w:p w14:paraId="758B378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880" w:type="dxa"/>
            <w:shd w:val="clear" w:color="auto" w:fill="auto"/>
            <w:vAlign w:val="center"/>
          </w:tcPr>
          <w:p w14:paraId="78DDFD9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检察工作网云桌面授权（3年）</w:t>
            </w:r>
          </w:p>
        </w:tc>
        <w:tc>
          <w:tcPr>
            <w:tcW w:w="4880" w:type="dxa"/>
            <w:shd w:val="clear" w:color="auto" w:fill="auto"/>
            <w:vAlign w:val="center"/>
          </w:tcPr>
          <w:p w14:paraId="7756C26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检察工作网云桌面点位授权（40套）</w:t>
            </w:r>
          </w:p>
        </w:tc>
        <w:tc>
          <w:tcPr>
            <w:tcW w:w="740" w:type="dxa"/>
            <w:shd w:val="clear" w:color="auto" w:fill="auto"/>
            <w:vAlign w:val="center"/>
          </w:tcPr>
          <w:p w14:paraId="566CD1F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27BEF36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5F5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40" w:type="dxa"/>
            <w:shd w:val="clear" w:color="auto" w:fill="auto"/>
            <w:vAlign w:val="center"/>
          </w:tcPr>
          <w:p w14:paraId="7AF26D85">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880" w:type="dxa"/>
            <w:shd w:val="clear" w:color="auto" w:fill="auto"/>
            <w:vAlign w:val="center"/>
          </w:tcPr>
          <w:p w14:paraId="41607A1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国产化电脑操作系统（桌面版）</w:t>
            </w:r>
          </w:p>
        </w:tc>
        <w:tc>
          <w:tcPr>
            <w:tcW w:w="4880" w:type="dxa"/>
            <w:shd w:val="clear" w:color="auto" w:fill="auto"/>
            <w:vAlign w:val="center"/>
          </w:tcPr>
          <w:p w14:paraId="2D39422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文件系统管理、设备管理、用户管理、磁盘管理个性化设置等基本功能，提供软件商店、邮件客户端、图片查看、视频播放、备份还原、在线升级和系统更新等桌面工具；支持智能语音助手、语音播报、中英互译、OCR识别和集中安全管控；兼容主流整机、外设和桌面生态软件；提供全新用户交互操作界面和Kysec安全机制。</w:t>
            </w:r>
          </w:p>
        </w:tc>
        <w:tc>
          <w:tcPr>
            <w:tcW w:w="740" w:type="dxa"/>
            <w:shd w:val="clear" w:color="auto" w:fill="auto"/>
            <w:vAlign w:val="center"/>
          </w:tcPr>
          <w:p w14:paraId="08AB1AE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60" w:type="dxa"/>
            <w:shd w:val="clear" w:color="auto" w:fill="auto"/>
            <w:vAlign w:val="center"/>
          </w:tcPr>
          <w:p w14:paraId="2732B4E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6EEE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0" w:type="dxa"/>
            <w:shd w:val="clear" w:color="auto" w:fill="auto"/>
            <w:vAlign w:val="center"/>
          </w:tcPr>
          <w:p w14:paraId="09244EE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1880" w:type="dxa"/>
            <w:shd w:val="clear" w:color="auto" w:fill="auto"/>
            <w:vAlign w:val="center"/>
          </w:tcPr>
          <w:p w14:paraId="50F2F89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服务器国产操作系统升级</w:t>
            </w:r>
          </w:p>
        </w:tc>
        <w:tc>
          <w:tcPr>
            <w:tcW w:w="4880" w:type="dxa"/>
            <w:shd w:val="clear" w:color="auto" w:fill="auto"/>
            <w:vAlign w:val="center"/>
          </w:tcPr>
          <w:p w14:paraId="14376D15">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云桌面服务器系统升级服务</w:t>
            </w:r>
          </w:p>
        </w:tc>
        <w:tc>
          <w:tcPr>
            <w:tcW w:w="740" w:type="dxa"/>
            <w:shd w:val="clear" w:color="auto" w:fill="auto"/>
            <w:vAlign w:val="center"/>
          </w:tcPr>
          <w:p w14:paraId="2D60894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60" w:type="dxa"/>
            <w:shd w:val="clear" w:color="auto" w:fill="auto"/>
            <w:vAlign w:val="center"/>
          </w:tcPr>
          <w:p w14:paraId="6B7E7F8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r w14:paraId="47EB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0" w:type="dxa"/>
            <w:shd w:val="clear" w:color="auto" w:fill="auto"/>
            <w:vAlign w:val="center"/>
          </w:tcPr>
          <w:p w14:paraId="5D925CE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1880" w:type="dxa"/>
            <w:shd w:val="clear" w:color="auto" w:fill="auto"/>
            <w:vAlign w:val="center"/>
          </w:tcPr>
          <w:p w14:paraId="5304089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防火墙</w:t>
            </w:r>
          </w:p>
        </w:tc>
        <w:tc>
          <w:tcPr>
            <w:tcW w:w="4880" w:type="dxa"/>
            <w:shd w:val="clear" w:color="auto" w:fill="auto"/>
            <w:vAlign w:val="center"/>
          </w:tcPr>
          <w:p w14:paraId="5CC9E1B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对原设备技术服务升级，3年服务</w:t>
            </w:r>
          </w:p>
        </w:tc>
        <w:tc>
          <w:tcPr>
            <w:tcW w:w="740" w:type="dxa"/>
            <w:shd w:val="clear" w:color="auto" w:fill="auto"/>
            <w:vAlign w:val="center"/>
          </w:tcPr>
          <w:p w14:paraId="47E616E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610996C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r w14:paraId="7C0E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shd w:val="clear" w:color="auto" w:fill="auto"/>
            <w:vAlign w:val="center"/>
          </w:tcPr>
          <w:p w14:paraId="1F3CA5F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1880" w:type="dxa"/>
            <w:shd w:val="clear" w:color="auto" w:fill="auto"/>
            <w:vAlign w:val="center"/>
          </w:tcPr>
          <w:p w14:paraId="74B841C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网络威胁探针</w:t>
            </w:r>
          </w:p>
        </w:tc>
        <w:tc>
          <w:tcPr>
            <w:tcW w:w="4880" w:type="dxa"/>
            <w:shd w:val="clear" w:color="auto" w:fill="auto"/>
            <w:vAlign w:val="center"/>
          </w:tcPr>
          <w:p w14:paraId="5BC181C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对原设备技术服务升级，3年服务</w:t>
            </w:r>
          </w:p>
        </w:tc>
        <w:tc>
          <w:tcPr>
            <w:tcW w:w="740" w:type="dxa"/>
            <w:shd w:val="clear" w:color="auto" w:fill="auto"/>
            <w:vAlign w:val="center"/>
          </w:tcPr>
          <w:p w14:paraId="299DB35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21F62C4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r w14:paraId="3C48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shd w:val="clear" w:color="auto" w:fill="auto"/>
            <w:vAlign w:val="center"/>
          </w:tcPr>
          <w:p w14:paraId="56D3604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1880" w:type="dxa"/>
            <w:shd w:val="clear" w:color="auto" w:fill="auto"/>
            <w:vAlign w:val="center"/>
          </w:tcPr>
          <w:p w14:paraId="0621421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堡垒机</w:t>
            </w:r>
          </w:p>
        </w:tc>
        <w:tc>
          <w:tcPr>
            <w:tcW w:w="4880" w:type="dxa"/>
            <w:shd w:val="clear" w:color="auto" w:fill="auto"/>
            <w:vAlign w:val="center"/>
          </w:tcPr>
          <w:p w14:paraId="44F0111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对原设备技术服务升级，3年服务</w:t>
            </w:r>
          </w:p>
        </w:tc>
        <w:tc>
          <w:tcPr>
            <w:tcW w:w="740" w:type="dxa"/>
            <w:shd w:val="clear" w:color="auto" w:fill="auto"/>
            <w:vAlign w:val="center"/>
          </w:tcPr>
          <w:p w14:paraId="48CD734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0CCD552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r>
      <w:tr w14:paraId="227C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shd w:val="clear" w:color="auto" w:fill="auto"/>
            <w:vAlign w:val="center"/>
          </w:tcPr>
          <w:p w14:paraId="3E1E6E69">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1880" w:type="dxa"/>
            <w:shd w:val="clear" w:color="auto" w:fill="auto"/>
            <w:vAlign w:val="center"/>
          </w:tcPr>
          <w:p w14:paraId="307E943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道路交通安全领域行政处罚监督模型</w:t>
            </w:r>
          </w:p>
        </w:tc>
        <w:tc>
          <w:tcPr>
            <w:tcW w:w="4880" w:type="dxa"/>
            <w:shd w:val="clear" w:color="auto" w:fill="auto"/>
            <w:vAlign w:val="center"/>
          </w:tcPr>
          <w:p w14:paraId="030945F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数据治理：</w:t>
            </w:r>
            <w:r>
              <w:rPr>
                <w:rFonts w:hint="eastAsia" w:ascii="宋体" w:hAnsi="宋体" w:eastAsia="宋体" w:cs="宋体"/>
                <w:color w:val="000000"/>
                <w:kern w:val="0"/>
                <w:sz w:val="24"/>
                <w:szCs w:val="24"/>
              </w:rPr>
              <w:t>提供原始数据数据获取、整合以及标准格式转化存储，支持数据同步、数据交换等业务流程的封装，规范数据汇聚。</w:t>
            </w:r>
          </w:p>
          <w:p w14:paraId="15CF01B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1、支持项目任务管理同时容纳多个数据汇聚项目的运转，支撑多数据来源、多数据管道运行。</w:t>
            </w:r>
          </w:p>
          <w:p w14:paraId="41814DD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2、支持多种数据来源，支持不同数据格式，可实现多源异构数据的汇聚与流转。</w:t>
            </w:r>
          </w:p>
          <w:p w14:paraId="18939D07">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支持对管道标识、封装方式、封装地址、接收方式、发送方式、接受数据源、发送数据源以及接收和发送地址配置。</w:t>
            </w:r>
          </w:p>
          <w:p w14:paraId="71FBD54E">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满足四级人民检察机关数据联动。</w:t>
            </w:r>
          </w:p>
          <w:p w14:paraId="65330147">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支持与全国检察业务应用系统2.0数据对接。</w:t>
            </w:r>
          </w:p>
          <w:p w14:paraId="70C4E904">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支持与全省检察监督模型超市模型业务打通。</w:t>
            </w:r>
          </w:p>
          <w:p w14:paraId="4D2C31B1">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支持对接“数字黄陵”业务数据。</w:t>
            </w:r>
          </w:p>
          <w:p w14:paraId="337B3B3A">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支持与公安机关交通类案件数据信息对接。</w:t>
            </w:r>
          </w:p>
          <w:p w14:paraId="199BF770">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支持百万级案件数据要素治理能力。</w:t>
            </w:r>
          </w:p>
          <w:p w14:paraId="0F705596">
            <w:pPr>
              <w:widowControl/>
              <w:numPr>
                <w:ilvl w:val="0"/>
                <w:numId w:val="5"/>
              </w:num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支持千万级业务数据要素治理能力。</w:t>
            </w:r>
          </w:p>
          <w:p w14:paraId="6390236C">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数据管理：</w:t>
            </w:r>
          </w:p>
          <w:p w14:paraId="2BABCE7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1、数据资源目录管理：</w:t>
            </w:r>
            <w:r>
              <w:rPr>
                <w:rFonts w:hint="eastAsia" w:ascii="宋体" w:hAnsi="宋体" w:eastAsia="宋体" w:cs="宋体"/>
                <w:color w:val="000000"/>
                <w:kern w:val="0"/>
                <w:sz w:val="24"/>
                <w:szCs w:val="24"/>
              </w:rPr>
              <w:t>支持完成基础数据资源的目录梳理，构建信息数据资源目录系统以实现检察信息资源共享、业务协同为目标，为检察部门之间信息共享及检察数据向社会开放的依据。利用信息目录体系建设的方法，建立一个分布的、可扩展的、可集成的、有统一数据模型、有多种用户视角的、可交换的和安全可靠的系统，对各类政务资源进行组织和管理；帮助检察机关固化信息资源，形成数据资产，让信息资源超越应用而独立存在。</w:t>
            </w:r>
          </w:p>
          <w:p w14:paraId="791C51B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完成目录管理中的分类管理、目录编制、审核发布、目录维护、质量校验等相关功能建设。</w:t>
            </w:r>
          </w:p>
          <w:p w14:paraId="4E78CDCC">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2、数据资产分析：</w:t>
            </w:r>
            <w:r>
              <w:rPr>
                <w:rFonts w:hint="eastAsia" w:ascii="宋体" w:hAnsi="宋体" w:eastAsia="宋体" w:cs="宋体"/>
                <w:color w:val="000000"/>
                <w:kern w:val="0"/>
                <w:sz w:val="24"/>
                <w:szCs w:val="24"/>
              </w:rPr>
              <w:t>提供对数据资源整体情况、使用情况进行统计，包括已编目注册完成数据资源数目，上线数据接口数量，共享请求数量，接口被成功调用次数等信息的统计分析系统。</w:t>
            </w:r>
          </w:p>
          <w:p w14:paraId="0B7BFAFB">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3、数据标准管理：</w:t>
            </w:r>
            <w:r>
              <w:rPr>
                <w:rFonts w:hint="eastAsia" w:ascii="宋体" w:hAnsi="宋体" w:eastAsia="宋体" w:cs="宋体"/>
                <w:color w:val="000000"/>
                <w:kern w:val="0"/>
                <w:sz w:val="24"/>
                <w:szCs w:val="24"/>
              </w:rPr>
              <w:t>完成对数据项应遵循的业务属性统一定义与解释，业务应用对数据项技术属性的统一要求与定义，管理信息要明确的数据表示、取值范围、公共代码、数据长度与精度，通过标准化模板对业务规范、技术规范、管理规范内容建模，使用标准业务数据对属性阈值进行统一规范的管理，并建立与质量规则、安全规则、数据模型的关系，形成统一标准知识库。</w:t>
            </w:r>
          </w:p>
          <w:p w14:paraId="2E5829E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4、数据质量管理：</w:t>
            </w:r>
            <w:r>
              <w:rPr>
                <w:rFonts w:hint="eastAsia" w:ascii="宋体" w:hAnsi="宋体" w:eastAsia="宋体" w:cs="宋体"/>
                <w:color w:val="000000"/>
                <w:kern w:val="0"/>
                <w:sz w:val="24"/>
                <w:szCs w:val="24"/>
              </w:rPr>
              <w:t>提供对数据质量进行规则、对账、检查、维护。实现数据完整性、有效性、及时性、一致性、准确性、唯一性进行单列、跨列、跨行和跨表的质量分析，保证数据在处理前、处理后满足数据治理的标准要求。根据数据质量规则评分得出业务、技术层面的质量得分以及趋势，用于业务、技术对应责任主体的改进。</w:t>
            </w:r>
          </w:p>
          <w:p w14:paraId="074D528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5、元数据管理：</w:t>
            </w:r>
            <w:r>
              <w:rPr>
                <w:rFonts w:hint="eastAsia" w:ascii="宋体" w:hAnsi="宋体" w:eastAsia="宋体" w:cs="宋体"/>
                <w:color w:val="000000"/>
                <w:kern w:val="0"/>
                <w:sz w:val="24"/>
                <w:szCs w:val="24"/>
              </w:rPr>
              <w:t>提供元数据管理实现元数据的模型定义并存储，在功能层包装成各类元数据功能，最终对外提供应用及展现；提供元数据分类和建模、血缘关系和影响分析，方便数据的跟踪和回溯。通过数据加工的设计开发、执行处理及人工维护，主动产生或提取技术元数据、业务元数据和数据元数据，通过元数据规范数据的技术标准，开放元数据资源供前端应用使用。</w:t>
            </w:r>
          </w:p>
          <w:p w14:paraId="3C63A7F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提供元数据搜索、影响性分析、血统分析等功能，能够对系统内部的所有元数据信息进行有效管理，减轻系统维护的压力，从而更好地支持应用系统维护和运营。</w:t>
            </w:r>
          </w:p>
          <w:p w14:paraId="562F5491">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数据研判</w:t>
            </w:r>
            <w:r>
              <w:rPr>
                <w:rFonts w:hint="eastAsia" w:ascii="宋体" w:hAnsi="宋体" w:eastAsia="宋体" w:cs="宋体"/>
                <w:color w:val="000000"/>
                <w:kern w:val="0"/>
                <w:sz w:val="24"/>
                <w:szCs w:val="24"/>
              </w:rPr>
              <w:t>：</w:t>
            </w:r>
          </w:p>
          <w:p w14:paraId="70CC3476">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支持对针对交通类刑事案件中遗漏行政处罚、未执行行政处罚、执行时限超期线索的数据研判，并生成研判结果。</w:t>
            </w:r>
          </w:p>
          <w:p w14:paraId="65058162">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监督线索：1、</w:t>
            </w:r>
            <w:r>
              <w:rPr>
                <w:rFonts w:hint="eastAsia" w:ascii="宋体" w:hAnsi="宋体" w:eastAsia="宋体" w:cs="宋体"/>
                <w:color w:val="000000"/>
                <w:kern w:val="0"/>
                <w:sz w:val="24"/>
                <w:szCs w:val="24"/>
              </w:rPr>
              <w:t>支持针对交通类刑事案件中遗漏行政处罚、未执行行政处罚、执行时限超期线索模型生成的线索内容。</w:t>
            </w:r>
          </w:p>
          <w:p w14:paraId="1F4189C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2、支持查看各线索信息详情内容。支持按监督点、时间、案件号等条件查询线索。</w:t>
            </w:r>
          </w:p>
          <w:p w14:paraId="305091AF">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3、支持线索详情显示线索相关的人员信息、线索数据研判原始数据。</w:t>
            </w:r>
          </w:p>
          <w:p w14:paraId="1DF1A4F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模型设计</w:t>
            </w:r>
            <w:r>
              <w:rPr>
                <w:rFonts w:hint="eastAsia" w:ascii="宋体" w:hAnsi="宋体" w:eastAsia="宋体" w:cs="宋体"/>
                <w:color w:val="000000"/>
                <w:kern w:val="0"/>
                <w:sz w:val="24"/>
                <w:szCs w:val="24"/>
              </w:rPr>
              <w:t>：提供道路交通安全领域行政处罚监督模型逻辑图，包括但不限于数据来源、监督规则、监督点、监督步骤等内容。</w:t>
            </w:r>
          </w:p>
        </w:tc>
        <w:tc>
          <w:tcPr>
            <w:tcW w:w="740" w:type="dxa"/>
            <w:shd w:val="clear" w:color="auto" w:fill="auto"/>
            <w:vAlign w:val="center"/>
          </w:tcPr>
          <w:p w14:paraId="5A53638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4C1D7E1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413D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40" w:type="dxa"/>
            <w:shd w:val="clear" w:color="auto" w:fill="auto"/>
            <w:vAlign w:val="center"/>
          </w:tcPr>
          <w:p w14:paraId="0F69223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1880" w:type="dxa"/>
            <w:shd w:val="clear" w:color="auto" w:fill="auto"/>
            <w:vAlign w:val="center"/>
          </w:tcPr>
          <w:p w14:paraId="4F51476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应用服务器</w:t>
            </w:r>
          </w:p>
        </w:tc>
        <w:tc>
          <w:tcPr>
            <w:tcW w:w="4880" w:type="dxa"/>
            <w:shd w:val="clear" w:color="auto" w:fill="auto"/>
            <w:vAlign w:val="center"/>
          </w:tcPr>
          <w:p w14:paraId="7C2C3A1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处理器：≧1*FT2000+ 64核2.2GHz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内存：≧2*32G 2933MHz DDR4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硬盘：≧2*480G SATA SSD+4*900G SAS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阵列：≧独立PM8204-RAID-2G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电源：2*800W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网卡：≧2*GE</w:t>
            </w:r>
          </w:p>
        </w:tc>
        <w:tc>
          <w:tcPr>
            <w:tcW w:w="740" w:type="dxa"/>
            <w:shd w:val="clear" w:color="auto" w:fill="auto"/>
            <w:vAlign w:val="center"/>
          </w:tcPr>
          <w:p w14:paraId="47BC723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2377AD3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6AE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0" w:type="dxa"/>
            <w:shd w:val="clear" w:color="auto" w:fill="auto"/>
            <w:vAlign w:val="center"/>
          </w:tcPr>
          <w:p w14:paraId="748367D8">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1880" w:type="dxa"/>
            <w:shd w:val="clear" w:color="auto" w:fill="auto"/>
            <w:vAlign w:val="center"/>
          </w:tcPr>
          <w:p w14:paraId="7033BEF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网络机房防毒墙</w:t>
            </w:r>
          </w:p>
        </w:tc>
        <w:tc>
          <w:tcPr>
            <w:tcW w:w="4880" w:type="dxa"/>
            <w:shd w:val="clear" w:color="auto" w:fill="auto"/>
            <w:vAlign w:val="center"/>
          </w:tcPr>
          <w:p w14:paraId="0C318FA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性能参数：网络层吞吐量：≧4G，应用层吞吐量：≧2G，防病毒吞吐量：≧600M，IPS吞吐量：≧600M，全威胁吞吐量：≧400M，并发连接数：≧200W，HTTP新建连接数：≧4.5W，VPN吞吐量≧500M。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内存大小≧G，硬盘容量≧128G SSD，电源：单电源，接口：≧6千兆电口。</w:t>
            </w:r>
          </w:p>
        </w:tc>
        <w:tc>
          <w:tcPr>
            <w:tcW w:w="740" w:type="dxa"/>
            <w:shd w:val="clear" w:color="auto" w:fill="auto"/>
            <w:vAlign w:val="center"/>
          </w:tcPr>
          <w:p w14:paraId="6460BAA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60" w:type="dxa"/>
            <w:shd w:val="clear" w:color="auto" w:fill="auto"/>
            <w:vAlign w:val="center"/>
          </w:tcPr>
          <w:p w14:paraId="6DE49ED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14:paraId="406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40" w:type="dxa"/>
            <w:shd w:val="clear" w:color="auto" w:fill="auto"/>
            <w:vAlign w:val="center"/>
          </w:tcPr>
          <w:p w14:paraId="167CE9E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w:t>
            </w:r>
          </w:p>
        </w:tc>
        <w:tc>
          <w:tcPr>
            <w:tcW w:w="1880" w:type="dxa"/>
            <w:shd w:val="clear" w:color="auto" w:fill="auto"/>
            <w:vAlign w:val="center"/>
          </w:tcPr>
          <w:p w14:paraId="5125DB4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认罪认罚监管平台</w:t>
            </w:r>
          </w:p>
        </w:tc>
        <w:tc>
          <w:tcPr>
            <w:tcW w:w="4880" w:type="dxa"/>
            <w:shd w:val="clear" w:color="auto" w:fill="auto"/>
          </w:tcPr>
          <w:p w14:paraId="3459C12E">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1.系统应支持对用户办理的认罪认罚案件、同步录音录像文件、累计听取意见时长进行统计；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2.系统应支持预先创建听取意见案件；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3.系统应支持在开启听取意见前，对同录画面、人员和文书证据材料等内容进行确认等操作；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4.系统应支持内嵌规范性认罪认罚听取意见业务办理指引功能。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5.系统应支持在线制作电子笔录功能，并预置《认罪认罚听取意见记录》模版，实现笔录部分内容自动填充；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6.系统应支持在开展听取意见时实时查看同步录音录像画面录制情况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7.系统应支持语音宣读功能，支持对《权利义务告知书》等法律文书进行语音合成并智能播报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8.系统应支持对接示证展台，实现电子材料、实体证据材料一键上屏开示；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9.系统应支持对除《认罪认罚具结书》、《听取意见笔录》、《权利义务告知书》、《认罪认罚从宽制度告知书》等文书外，允许上传其他文书进行签名；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10.系统应支持对结束办理的案件允许文件补传功能；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11.系统应支持对完成办理的案件进行归档保存，归档数据应包含“案件信息、人员信息、文书材料、同步录音录像”等；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12.系统应支持手动上传同步录音录像文件；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13.系统应支持对同步录音录像文件进行预览、下载、查询等操作；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系统应支持自动获取同步录音录像文件名称、办案单位、案由代码、哈希值、哈希类型、采集设备唯一标识、录制时间、文件大小、录制时长、视频码率、视频帧率、音频码率、音频采样率、画面宽度、画面高度等元数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 系统应支持审录分离，实现业务用户与技术用户功能权限分离.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 系统应实现通过文件名、统一受案号、案件名等信息同步录音录像元数据进行查询检索；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17.系统应实现与检察业务应用系统2.0实现数据对接，实现案件信息、人员信息实时同步获取，同时，支持回传《认罪认罚具结书》至检察业务应用系统2.0；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18.系统应实现通过文件名、统一受案号、案件名等信息同步录音录像元数据进行查询检索；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19.系统应支持对同步录音录像文件进行刻录操作，并生成刻录记录；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20.系统应支持对同步录音录像文件进行补刻操作；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21.系统应支持对文件操作权限进行管控，用户之间实现数据隔离，确保同步录音录像文件数据安全。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22.系统应支持对固定式同录、便携式同录、执法记录仪三种同录设备的同步录音录像文件自动获取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23.所投产品软件需获得与最高人民检察院元数据采集中心完成对接。</w:t>
            </w:r>
          </w:p>
          <w:p w14:paraId="7254D6C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24.所投产品需完成国产化适配认证</w:t>
            </w:r>
          </w:p>
          <w:p w14:paraId="3BBF8A2C">
            <w:pPr>
              <w:widowControl/>
              <w:spacing w:line="360" w:lineRule="auto"/>
              <w:jc w:val="left"/>
              <w:rPr>
                <w:rFonts w:hint="eastAsia" w:ascii="宋体" w:hAnsi="宋体" w:eastAsia="宋体" w:cs="宋体"/>
                <w:color w:val="000000"/>
                <w:kern w:val="0"/>
                <w:sz w:val="24"/>
                <w:szCs w:val="24"/>
              </w:rPr>
            </w:pPr>
          </w:p>
        </w:tc>
        <w:tc>
          <w:tcPr>
            <w:tcW w:w="740" w:type="dxa"/>
            <w:shd w:val="clear" w:color="auto" w:fill="auto"/>
            <w:vAlign w:val="center"/>
          </w:tcPr>
          <w:p w14:paraId="3E248EB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0" w:type="dxa"/>
            <w:shd w:val="clear" w:color="auto" w:fill="auto"/>
            <w:vAlign w:val="center"/>
          </w:tcPr>
          <w:p w14:paraId="1B84601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749B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740" w:type="dxa"/>
            <w:shd w:val="clear" w:color="auto" w:fill="auto"/>
            <w:vAlign w:val="center"/>
          </w:tcPr>
          <w:p w14:paraId="7B04A8EE">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w:t>
            </w:r>
          </w:p>
        </w:tc>
        <w:tc>
          <w:tcPr>
            <w:tcW w:w="1880" w:type="dxa"/>
            <w:shd w:val="clear" w:color="auto" w:fill="auto"/>
            <w:vAlign w:val="center"/>
          </w:tcPr>
          <w:p w14:paraId="7CD1AD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链路路由（智能终端）</w:t>
            </w:r>
          </w:p>
        </w:tc>
        <w:tc>
          <w:tcPr>
            <w:tcW w:w="4880" w:type="dxa"/>
            <w:shd w:val="clear" w:color="auto" w:fill="auto"/>
            <w:vAlign w:val="center"/>
          </w:tcPr>
          <w:p w14:paraId="1307FDC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1、设备应最低具备≧6路RJ45网络接口；具备≧1路光纤接口；具备≧1路RS485接口；具备≧3路DC12V输出接口；具备≧1路报警输出接口。（需提供第三方权威机构出具的检测报告为准）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2、★具备网络状态检测功能，在配套软件RJ45接口的通断状态、网络延迟和实时速率信息，当网络发生故障时报警；（需提供第三方权威机构出具的检测报告为准）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3、★具备供电输出控制功能，可对供电输出进行控制通断，具备远程手动和自动控制模式。具备定时开启/关闭电源输出接口。（需提供第三方权威机构出具的检测报告为准）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4、★具备供电告警功能，各分路输出的电压电流以及功率数值，可主动报警。（需提供第三方权威机构出具的检测报告为准）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5、软件可实时显示设备功率，并统计设备累计用电量数值。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6、★基于802.1X的身份鉴别，对于已授权设备允许接入同一网络，未授权设备则禁止其接入。（需提供第三方权威机构出具的检测报告为准）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7、★防火墙模块应具备数据报文过滤功能，可制订包含源IP地址、目的IP地址、源端口、目的端口等元素的安全访问控制黑白名单。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8、★IDS模块可识别和检测端口扫描，协议异常，拒绝服务攻击，缓冲区溢出攻击和基于规则库的漏洞攻击等网络攻击行为。</w:t>
            </w:r>
          </w:p>
          <w:p w14:paraId="349FBD4B">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此产品为核心产品，供应商应进行实质性响应，否则按无效响应文件处理。</w:t>
            </w:r>
          </w:p>
        </w:tc>
        <w:tc>
          <w:tcPr>
            <w:tcW w:w="740" w:type="dxa"/>
            <w:shd w:val="clear" w:color="auto" w:fill="auto"/>
            <w:vAlign w:val="center"/>
          </w:tcPr>
          <w:p w14:paraId="6F2DC5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0" w:type="dxa"/>
            <w:shd w:val="clear" w:color="auto" w:fill="auto"/>
            <w:vAlign w:val="center"/>
          </w:tcPr>
          <w:p w14:paraId="4A0673F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69A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740" w:type="dxa"/>
            <w:shd w:val="clear" w:color="auto" w:fill="auto"/>
            <w:vAlign w:val="center"/>
          </w:tcPr>
          <w:p w14:paraId="486B4760">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p>
        </w:tc>
        <w:tc>
          <w:tcPr>
            <w:tcW w:w="1880" w:type="dxa"/>
            <w:shd w:val="clear" w:color="auto" w:fill="auto"/>
            <w:vAlign w:val="center"/>
          </w:tcPr>
          <w:p w14:paraId="569E058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链路路由物联软件</w:t>
            </w:r>
          </w:p>
        </w:tc>
        <w:tc>
          <w:tcPr>
            <w:tcW w:w="4880" w:type="dxa"/>
            <w:shd w:val="clear" w:color="auto" w:fill="auto"/>
            <w:vAlign w:val="center"/>
          </w:tcPr>
          <w:p w14:paraId="788DA179">
            <w:pPr>
              <w:spacing w:before="120" w:beforeLines="50"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1.数据采集可实时显示远程监控设备的电压、电流、网络、码流，温度、门禁、用电量等数据。 </w:t>
            </w:r>
          </w:p>
          <w:p w14:paraId="699E83BA">
            <w:pPr>
              <w:spacing w:before="120" w:beforeLines="50" w:line="360" w:lineRule="auto"/>
              <w:rPr>
                <w:rFonts w:hint="eastAsia" w:ascii="宋体" w:hAnsi="宋体" w:eastAsia="宋体" w:cs="宋体"/>
                <w:kern w:val="0"/>
                <w:sz w:val="24"/>
                <w:szCs w:val="24"/>
              </w:rPr>
            </w:pPr>
            <w:bookmarkStart w:id="9" w:name="OLE_LINK5"/>
            <w:r>
              <w:rPr>
                <w:rFonts w:hint="eastAsia" w:ascii="宋体" w:hAnsi="宋体" w:eastAsia="宋体" w:cs="宋体"/>
                <w:kern w:val="0"/>
                <w:sz w:val="24"/>
                <w:szCs w:val="24"/>
              </w:rPr>
              <w:t>2.故障定位可以精准定位设备故障、电路故障、网络故障、故障等故障原因，为管理人员提供决策支持。</w:t>
            </w:r>
          </w:p>
          <w:bookmarkEnd w:id="9"/>
          <w:p w14:paraId="71A53DC3">
            <w:pPr>
              <w:spacing w:before="120" w:beforeLines="50" w:line="360" w:lineRule="auto"/>
              <w:rPr>
                <w:rFonts w:hint="eastAsia" w:ascii="宋体" w:hAnsi="宋体" w:eastAsia="宋体" w:cs="宋体"/>
                <w:kern w:val="0"/>
                <w:sz w:val="24"/>
                <w:szCs w:val="24"/>
              </w:rPr>
            </w:pPr>
            <w:r>
              <w:rPr>
                <w:rFonts w:hint="eastAsia" w:ascii="宋体" w:hAnsi="宋体" w:eastAsia="宋体" w:cs="宋体"/>
                <w:kern w:val="0"/>
                <w:sz w:val="24"/>
                <w:szCs w:val="24"/>
              </w:rPr>
              <w:t>3.智能报警当前端网络、供电、工作环境出现异常情况，系统通过数据分析智能触发预警或报警行动，将故障原因及具体数据推送至大屏幕，精确定位报警故障点，对于设备死机等常见小故障，可远程遥控设备重启。</w:t>
            </w:r>
          </w:p>
          <w:p w14:paraId="7831FAD4">
            <w:pPr>
              <w:spacing w:before="120" w:beforeLines="50" w:line="360" w:lineRule="auto"/>
              <w:rPr>
                <w:rFonts w:hint="eastAsia" w:ascii="宋体" w:hAnsi="宋体" w:eastAsia="宋体" w:cs="宋体"/>
                <w:kern w:val="0"/>
                <w:sz w:val="24"/>
                <w:szCs w:val="24"/>
              </w:rPr>
            </w:pPr>
            <w:bookmarkStart w:id="10" w:name="OLE_LINK4"/>
            <w:r>
              <w:rPr>
                <w:rFonts w:hint="eastAsia" w:ascii="宋体" w:hAnsi="宋体" w:eastAsia="宋体" w:cs="宋体"/>
                <w:kern w:val="0"/>
                <w:sz w:val="24"/>
                <w:szCs w:val="24"/>
              </w:rPr>
              <w:t>4．系统巡检对全网设备的运行状态和实时监测数据进行快速巡检，一分钟内即可列出详细报表和分类统计。</w:t>
            </w:r>
          </w:p>
          <w:bookmarkEnd w:id="10"/>
          <w:p w14:paraId="30707F8B">
            <w:pPr>
              <w:spacing w:before="120" w:beforeLines="50" w:line="360" w:lineRule="auto"/>
              <w:rPr>
                <w:rFonts w:hint="eastAsia" w:ascii="宋体" w:hAnsi="宋体" w:eastAsia="宋体" w:cs="宋体"/>
                <w:kern w:val="0"/>
                <w:sz w:val="24"/>
                <w:szCs w:val="24"/>
              </w:rPr>
            </w:pPr>
            <w:r>
              <w:rPr>
                <w:rFonts w:hint="eastAsia" w:ascii="宋体" w:hAnsi="宋体" w:eastAsia="宋体" w:cs="宋体"/>
                <w:kern w:val="0"/>
                <w:sz w:val="24"/>
                <w:szCs w:val="24"/>
              </w:rPr>
              <w:t>数据挖掘分析</w:t>
            </w:r>
          </w:p>
          <w:p w14:paraId="66D9B9F5">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5．系统可对监管数据建档归库，经过数据挖掘整理可实现故障归类统计、趋势分析、潜在风险研判、派单优化、备件采购计划等高级应用。</w:t>
            </w:r>
          </w:p>
          <w:p w14:paraId="49BFCA43">
            <w:pPr>
              <w:spacing w:before="120" w:beforeLines="50" w:line="360" w:lineRule="auto"/>
              <w:rPr>
                <w:rFonts w:hint="eastAsia" w:ascii="宋体" w:hAnsi="宋体" w:eastAsia="宋体" w:cs="宋体"/>
                <w:kern w:val="0"/>
                <w:sz w:val="24"/>
                <w:szCs w:val="24"/>
              </w:rPr>
            </w:pPr>
            <w:r>
              <w:rPr>
                <w:rFonts w:hint="eastAsia" w:ascii="宋体" w:hAnsi="宋体" w:eastAsia="宋体" w:cs="宋体"/>
                <w:kern w:val="0"/>
                <w:sz w:val="24"/>
                <w:szCs w:val="24"/>
              </w:rPr>
              <w:t>弹性部署</w:t>
            </w:r>
          </w:p>
          <w:p w14:paraId="5DBF5982">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6.系统架构具备弹性部署能力，可轻松实现不停机平滑扩容。具备足够的可扩展性接口，能与第三方软件系统顺利对接。</w:t>
            </w:r>
          </w:p>
          <w:p w14:paraId="10D9C305">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权限管理</w:t>
            </w:r>
          </w:p>
          <w:p w14:paraId="534F00BE">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7.支持系统核心服务，提供资源划分管理、信令序列调度、数据流调度等相关能力。</w:t>
            </w:r>
          </w:p>
          <w:p w14:paraId="4F0EC2E4">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与终端建立信令与数据的可靠链路，维持呼叫保持。根据项目规模可进行在线式弹性扩容</w:t>
            </w:r>
          </w:p>
          <w:p w14:paraId="045796F3">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8.实现用户身份鉴别和访问权限匹配管理。</w:t>
            </w:r>
          </w:p>
          <w:p w14:paraId="2D7BD65D">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9.支持执行MariaDB核心数据库的读、写策略，以及日常灾备管理。</w:t>
            </w:r>
          </w:p>
          <w:p w14:paraId="24FDA9E0">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10.具备瞬时大并发报警承载能力，提供基于多线程的信息池化管理服务。</w:t>
            </w:r>
          </w:p>
          <w:p w14:paraId="41004917">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11.支持对终端的运行状态（Presence）进行动态版本化管理。</w:t>
            </w:r>
          </w:p>
          <w:p w14:paraId="34F3D152">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12.为所有在网设备提供全网统一校时服务。</w:t>
            </w:r>
          </w:p>
          <w:p w14:paraId="5733E527">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13.采集设备ID信息并进行设备网络准入控制（NAC）服务。</w:t>
            </w:r>
          </w:p>
          <w:p w14:paraId="22A0CF53">
            <w:pPr>
              <w:pStyle w:val="23"/>
              <w:spacing w:before="120"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14.提供协议转换和数据交互接口，支持与第三方系统软件对接。</w:t>
            </w:r>
          </w:p>
          <w:p w14:paraId="07476CE8">
            <w:pPr>
              <w:spacing w:before="120" w:line="360" w:lineRule="auto"/>
              <w:rPr>
                <w:rFonts w:hint="eastAsia" w:ascii="宋体" w:hAnsi="宋体" w:eastAsia="宋体" w:cs="宋体"/>
                <w:kern w:val="0"/>
                <w:sz w:val="24"/>
                <w:szCs w:val="24"/>
              </w:rPr>
            </w:pPr>
          </w:p>
        </w:tc>
        <w:tc>
          <w:tcPr>
            <w:tcW w:w="740" w:type="dxa"/>
            <w:shd w:val="clear" w:color="auto" w:fill="auto"/>
            <w:vAlign w:val="center"/>
          </w:tcPr>
          <w:p w14:paraId="5A29B7B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0" w:type="dxa"/>
            <w:shd w:val="clear" w:color="auto" w:fill="auto"/>
            <w:vAlign w:val="center"/>
          </w:tcPr>
          <w:p w14:paraId="0D7A444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03D5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40" w:type="dxa"/>
            <w:shd w:val="clear" w:color="auto" w:fill="auto"/>
            <w:vAlign w:val="center"/>
          </w:tcPr>
          <w:p w14:paraId="11A38B1C">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13</w:t>
            </w:r>
          </w:p>
        </w:tc>
        <w:tc>
          <w:tcPr>
            <w:tcW w:w="1880" w:type="dxa"/>
            <w:shd w:val="clear" w:color="auto" w:fill="auto"/>
            <w:vAlign w:val="center"/>
          </w:tcPr>
          <w:p w14:paraId="4A1C7D3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防火墙</w:t>
            </w:r>
          </w:p>
        </w:tc>
        <w:tc>
          <w:tcPr>
            <w:tcW w:w="4880" w:type="dxa"/>
            <w:shd w:val="clear" w:color="auto" w:fill="auto"/>
            <w:vAlign w:val="center"/>
          </w:tcPr>
          <w:p w14:paraId="41FCDB8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性能参数：网络层吞吐量≧10G，应用层吞吐量≧4G，防病毒吞吐量≧1G，IPS吞吐量≧1G，全威胁吞吐量≧800M，并发连接数≧400万，HTTP新建连接数≧10万，VPN 最大接入数≧1000，IPSec  VPN吞吐量≧800M。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内存大小：≧8G，硬盘容量：≧128G SSD，电源：单电源，接口：≧6千兆电口</w:t>
            </w:r>
          </w:p>
        </w:tc>
        <w:tc>
          <w:tcPr>
            <w:tcW w:w="740" w:type="dxa"/>
            <w:shd w:val="clear" w:color="auto" w:fill="auto"/>
            <w:vAlign w:val="center"/>
          </w:tcPr>
          <w:p w14:paraId="1C7FCD5A">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0" w:type="dxa"/>
            <w:shd w:val="clear" w:color="auto" w:fill="auto"/>
            <w:vAlign w:val="center"/>
          </w:tcPr>
          <w:p w14:paraId="6DF5A5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r>
      <w:tr w14:paraId="2492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0" w:type="dxa"/>
            <w:shd w:val="clear" w:color="auto" w:fill="auto"/>
            <w:vAlign w:val="center"/>
          </w:tcPr>
          <w:p w14:paraId="2568C413">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p>
        </w:tc>
        <w:tc>
          <w:tcPr>
            <w:tcW w:w="1880" w:type="dxa"/>
            <w:shd w:val="clear" w:color="auto" w:fill="auto"/>
            <w:vAlign w:val="center"/>
          </w:tcPr>
          <w:p w14:paraId="3F36CEF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网络机柜</w:t>
            </w:r>
          </w:p>
        </w:tc>
        <w:tc>
          <w:tcPr>
            <w:tcW w:w="4880" w:type="dxa"/>
            <w:shd w:val="clear" w:color="auto" w:fill="auto"/>
            <w:vAlign w:val="center"/>
          </w:tcPr>
          <w:p w14:paraId="34AFA1B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22U服务器机柜</w:t>
            </w:r>
          </w:p>
        </w:tc>
        <w:tc>
          <w:tcPr>
            <w:tcW w:w="740" w:type="dxa"/>
            <w:shd w:val="clear" w:color="auto" w:fill="auto"/>
            <w:vAlign w:val="center"/>
          </w:tcPr>
          <w:p w14:paraId="50DADEB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60" w:type="dxa"/>
            <w:shd w:val="clear" w:color="auto" w:fill="auto"/>
            <w:vAlign w:val="center"/>
          </w:tcPr>
          <w:p w14:paraId="779EDD0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14:paraId="08F65624">
      <w:pPr>
        <w:widowControl/>
        <w:spacing w:line="360" w:lineRule="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br w:type="page"/>
      </w:r>
    </w:p>
    <w:p w14:paraId="6D536589">
      <w:pPr>
        <w:pStyle w:val="10"/>
        <w:rPr>
          <w:rFonts w:hint="eastAsia" w:ascii="宋体" w:hAnsi="宋体" w:eastAsia="宋体" w:cs="宋体"/>
        </w:rPr>
      </w:pPr>
    </w:p>
    <w:p w14:paraId="336B3D65">
      <w:pPr>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36"/>
          <w:szCs w:val="36"/>
        </w:rPr>
        <w:t>第四部分  评审方法</w:t>
      </w:r>
    </w:p>
    <w:p w14:paraId="341F12A6">
      <w:pPr>
        <w:numPr>
          <w:ilvl w:val="0"/>
          <w:numId w:val="0"/>
        </w:num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评审方法：</w:t>
      </w:r>
    </w:p>
    <w:p w14:paraId="271B44AC">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1.按照相关法律法规的规定，竞争性谈判小组采用最低评标价法对提交最后报价的供应商的响应文件和最后报价进行评审，按照最后报价由低到高的顺序提出三名以上成交候选供应商。</w:t>
      </w:r>
    </w:p>
    <w:p w14:paraId="5C263035">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rPr>
        <w:t>2.竞争性谈判小组组成：依法组建。</w:t>
      </w:r>
    </w:p>
    <w:p w14:paraId="40144429">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rPr>
        <w:t>3.本次评审采用最低评标价法。</w:t>
      </w:r>
    </w:p>
    <w:p w14:paraId="6487A9BE">
      <w:pPr>
        <w:adjustRightInd w:val="0"/>
        <w:snapToGrid w:val="0"/>
        <w:spacing w:line="360" w:lineRule="auto"/>
        <w:ind w:firstLine="482" w:firstLineChars="200"/>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注：（1）根据《政府采购促进中小企业发展管理办法》的相关规定，对小型和微型企业的价格给予10%的扣除，用扣除后的价格参与评审。</w:t>
      </w:r>
    </w:p>
    <w:p w14:paraId="4387B77D">
      <w:pPr>
        <w:snapToGrid w:val="0"/>
        <w:spacing w:line="360" w:lineRule="auto"/>
        <w:ind w:firstLine="420"/>
        <w:textAlignment w:val="baseline"/>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（2）根据《财政部民政部中国残疾人联合会关于促进残疾人就业政府采购政策的通知》（财库〔2017〕141号）的规定，对符合条件的残疾人福利性单位产品的价格给予10%的扣除，用扣除后的价格参与评审。</w:t>
      </w:r>
    </w:p>
    <w:p w14:paraId="48970B9A">
      <w:pPr>
        <w:snapToGrid w:val="0"/>
        <w:spacing w:line="360" w:lineRule="auto"/>
        <w:ind w:firstLine="420"/>
        <w:textAlignment w:val="baseline"/>
        <w:rPr>
          <w:rStyle w:val="24"/>
          <w:rFonts w:hint="eastAsia" w:ascii="宋体" w:hAnsi="宋体" w:eastAsia="宋体" w:cs="宋体"/>
          <w:b/>
          <w:bCs/>
          <w:color w:val="000000"/>
          <w:sz w:val="24"/>
        </w:rPr>
      </w:pPr>
      <w:r>
        <w:rPr>
          <w:rStyle w:val="24"/>
          <w:rFonts w:hint="eastAsia" w:ascii="宋体" w:hAnsi="宋体" w:eastAsia="宋体" w:cs="宋体"/>
          <w:b/>
          <w:bCs/>
          <w:color w:val="000000"/>
          <w:sz w:val="24"/>
        </w:rPr>
        <w:t>小型、微型企业和监狱企业级符合财政部、民政部、中国残疾人联合会关于促进残疾人就业政府采购政策的通知，以上政策同时具备的仅对其进行一次10%的价格扣除，不重复扣除。</w:t>
      </w:r>
    </w:p>
    <w:p w14:paraId="65A500F0">
      <w:pPr>
        <w:pStyle w:val="10"/>
        <w:spacing w:line="360" w:lineRule="auto"/>
        <w:ind w:firstLine="420"/>
        <w:rPr>
          <w:rFonts w:hint="eastAsia" w:ascii="宋体" w:hAnsi="宋体" w:eastAsia="宋体" w:cs="宋体"/>
          <w:b/>
          <w:bCs/>
          <w:sz w:val="24"/>
          <w:szCs w:val="24"/>
        </w:rPr>
      </w:pPr>
      <w:r>
        <w:rPr>
          <w:rStyle w:val="24"/>
          <w:rFonts w:hint="eastAsia" w:ascii="宋体" w:hAnsi="宋体" w:eastAsia="宋体" w:cs="宋体"/>
          <w:b/>
          <w:bCs/>
          <w:color w:val="000000"/>
          <w:sz w:val="24"/>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b/>
          <w:spacing w:val="4"/>
          <w:sz w:val="24"/>
        </w:rPr>
        <w:t>竞争性谈判小组</w:t>
      </w:r>
      <w:r>
        <w:rPr>
          <w:rStyle w:val="24"/>
          <w:rFonts w:hint="eastAsia" w:ascii="宋体" w:hAnsi="宋体" w:eastAsia="宋体" w:cs="宋体"/>
          <w:b/>
          <w:bCs/>
          <w:color w:val="000000"/>
          <w:sz w:val="24"/>
        </w:rPr>
        <w:t>应当将其作为无效投标处理。</w:t>
      </w:r>
    </w:p>
    <w:p w14:paraId="0621E9E8">
      <w:pPr>
        <w:pStyle w:val="10"/>
        <w:rPr>
          <w:rFonts w:hint="eastAsia" w:ascii="宋体" w:hAnsi="宋体" w:eastAsia="宋体" w:cs="宋体"/>
        </w:rPr>
      </w:pPr>
    </w:p>
    <w:p w14:paraId="5E172047">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二、竞争性谈判小组负责具体评审事务，并独立履行下列职责：</w:t>
      </w:r>
    </w:p>
    <w:p w14:paraId="383E2A12">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1.遵纪守法，客观、公正、认真负责地履行职责，根据谈判文件规定的评审程序、评审方法和评审标准审查谈判响应文件是否符合竞争性谈判文件的要求，并做出评价；</w:t>
      </w:r>
    </w:p>
    <w:p w14:paraId="43E0CC0E">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2.确认或修定谈判文件；</w:t>
      </w:r>
    </w:p>
    <w:p w14:paraId="220114EC">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3.符合性审查、评价谈判响应文件是否符合谈判文件的商务、技术等实质性要求；</w:t>
      </w:r>
    </w:p>
    <w:p w14:paraId="1E8C616D">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4.谈判小组可要求供应商就竞争性谈判响应文件中含义不明确的内容进行书面说明并提供相关材料</w:t>
      </w:r>
    </w:p>
    <w:p w14:paraId="0A825536">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5.依据竞争性谈判文件的要求和评审标准进行评审，推荐成交候选单位名单，对评审意见承担个人责任；</w:t>
      </w:r>
    </w:p>
    <w:p w14:paraId="450BBE73">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6.对评审过程及各供应商的商业机密予以保密；</w:t>
      </w:r>
    </w:p>
    <w:p w14:paraId="6E9626B4">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7.拟定评审结果；</w:t>
      </w:r>
    </w:p>
    <w:p w14:paraId="1157BAEF">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8.向财政部门报告在评审过程中发现的供应商的违法违规行为；</w:t>
      </w:r>
    </w:p>
    <w:p w14:paraId="6DAB19E5">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rPr>
        <w:t>9.配合招标人、招标代理机构答复各供应商提出的质疑；</w:t>
      </w:r>
    </w:p>
    <w:p w14:paraId="580D5370">
      <w:pPr>
        <w:adjustRightInd w:val="0"/>
        <w:snapToGrid w:val="0"/>
        <w:spacing w:line="360" w:lineRule="auto"/>
        <w:ind w:firstLine="620" w:firstLineChars="250"/>
        <w:rPr>
          <w:rFonts w:hint="eastAsia" w:ascii="宋体" w:hAnsi="宋体" w:eastAsia="宋体" w:cs="宋体"/>
        </w:rPr>
      </w:pPr>
      <w:r>
        <w:rPr>
          <w:rFonts w:hint="eastAsia" w:ascii="宋体" w:hAnsi="宋体" w:eastAsia="宋体" w:cs="宋体"/>
          <w:spacing w:val="4"/>
          <w:sz w:val="24"/>
          <w:szCs w:val="22"/>
        </w:rPr>
        <w:t>10.配合各部门的投诉处理和监督检查工作。</w:t>
      </w:r>
    </w:p>
    <w:p w14:paraId="1246C33C">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三、供应商存在下列情况之一的，谈判无效:</w:t>
      </w:r>
    </w:p>
    <w:p w14:paraId="41CFB40E">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rPr>
        <w:t>1.竞争性谈判响应文件未按竞争性谈判文件要求签署、盖章的；</w:t>
      </w:r>
    </w:p>
    <w:p w14:paraId="583B5234">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2</w:t>
      </w:r>
      <w:r>
        <w:rPr>
          <w:rFonts w:hint="eastAsia" w:ascii="宋体" w:hAnsi="宋体" w:eastAsia="宋体" w:cs="宋体"/>
          <w:spacing w:val="4"/>
          <w:sz w:val="24"/>
        </w:rPr>
        <w:t>.不具备竞争性谈判文件中规定的资格要求的；</w:t>
      </w:r>
    </w:p>
    <w:p w14:paraId="76CD7BEA">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3</w:t>
      </w:r>
      <w:r>
        <w:rPr>
          <w:rFonts w:hint="eastAsia" w:ascii="宋体" w:hAnsi="宋体" w:eastAsia="宋体" w:cs="宋体"/>
          <w:spacing w:val="4"/>
          <w:sz w:val="24"/>
        </w:rPr>
        <w:t>.报价超过竞争性谈判文件中规定的预算金额或者最高限价的；</w:t>
      </w:r>
    </w:p>
    <w:p w14:paraId="4417B6D8">
      <w:pPr>
        <w:adjustRightInd w:val="0"/>
        <w:snapToGrid w:val="0"/>
        <w:spacing w:line="360" w:lineRule="auto"/>
        <w:ind w:firstLine="620" w:firstLineChars="250"/>
        <w:rPr>
          <w:rFonts w:hint="eastAsia" w:ascii="宋体" w:hAnsi="宋体" w:eastAsia="宋体" w:cs="宋体"/>
          <w:spacing w:val="4"/>
          <w:sz w:val="24"/>
        </w:rPr>
      </w:pPr>
      <w:r>
        <w:rPr>
          <w:rFonts w:hint="eastAsia" w:ascii="宋体" w:hAnsi="宋体" w:eastAsia="宋体" w:cs="宋体"/>
          <w:spacing w:val="4"/>
          <w:sz w:val="24"/>
          <w:lang w:val="en-US" w:eastAsia="zh-CN"/>
        </w:rPr>
        <w:t>4</w:t>
      </w:r>
      <w:r>
        <w:rPr>
          <w:rFonts w:hint="eastAsia" w:ascii="宋体" w:hAnsi="宋体" w:eastAsia="宋体" w:cs="宋体"/>
          <w:spacing w:val="4"/>
          <w:sz w:val="24"/>
        </w:rPr>
        <w:t>.竞争性谈判响应文件含有招标人不能接受的附加条件的；</w:t>
      </w:r>
    </w:p>
    <w:p w14:paraId="5CCE599A">
      <w:pPr>
        <w:adjustRightInd w:val="0"/>
        <w:snapToGrid w:val="0"/>
        <w:spacing w:line="360" w:lineRule="auto"/>
        <w:ind w:firstLine="620" w:firstLineChars="25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5</w:t>
      </w:r>
      <w:r>
        <w:rPr>
          <w:rFonts w:hint="eastAsia" w:ascii="宋体" w:hAnsi="宋体" w:eastAsia="宋体" w:cs="宋体"/>
          <w:spacing w:val="4"/>
          <w:sz w:val="24"/>
          <w:szCs w:val="22"/>
        </w:rPr>
        <w:t>.单位负责人为同一人或者存在直接控股、管理关系的不同供应商，参加本项目同一合同项下的谈判的；</w:t>
      </w:r>
    </w:p>
    <w:p w14:paraId="735060AE">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6</w:t>
      </w:r>
      <w:r>
        <w:rPr>
          <w:rFonts w:hint="eastAsia" w:ascii="宋体" w:hAnsi="宋体" w:eastAsia="宋体" w:cs="宋体"/>
          <w:spacing w:val="4"/>
          <w:sz w:val="24"/>
          <w:szCs w:val="22"/>
        </w:rPr>
        <w:t>.为本采购项目提供整体设计、规范编制或者项目管理、监理、检测等服务的供应商，参加本采购项目</w:t>
      </w:r>
      <w:r>
        <w:rPr>
          <w:rFonts w:hint="eastAsia" w:ascii="宋体" w:hAnsi="宋体" w:eastAsia="宋体" w:cs="宋体"/>
          <w:spacing w:val="4"/>
          <w:sz w:val="24"/>
        </w:rPr>
        <w:t>谈判</w:t>
      </w:r>
      <w:r>
        <w:rPr>
          <w:rFonts w:hint="eastAsia" w:ascii="宋体" w:hAnsi="宋体" w:eastAsia="宋体" w:cs="宋体"/>
          <w:spacing w:val="4"/>
          <w:sz w:val="24"/>
          <w:szCs w:val="22"/>
        </w:rPr>
        <w:t>的；</w:t>
      </w:r>
    </w:p>
    <w:p w14:paraId="6D99D717">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7</w:t>
      </w:r>
      <w:r>
        <w:rPr>
          <w:rFonts w:hint="eastAsia" w:ascii="宋体" w:hAnsi="宋体" w:eastAsia="宋体" w:cs="宋体"/>
          <w:spacing w:val="4"/>
          <w:sz w:val="24"/>
          <w:szCs w:val="22"/>
        </w:rPr>
        <w:t>.</w:t>
      </w:r>
      <w:r>
        <w:rPr>
          <w:rFonts w:hint="eastAsia" w:ascii="宋体" w:hAnsi="宋体" w:eastAsia="宋体" w:cs="宋体"/>
          <w:spacing w:val="4"/>
          <w:sz w:val="24"/>
        </w:rPr>
        <w:t>谈判</w:t>
      </w:r>
      <w:r>
        <w:rPr>
          <w:rFonts w:hint="eastAsia" w:ascii="宋体" w:hAnsi="宋体" w:eastAsia="宋体" w:cs="宋体"/>
          <w:spacing w:val="4"/>
          <w:sz w:val="24"/>
          <w:szCs w:val="22"/>
        </w:rPr>
        <w:t>会议现场，无法提供样品或所提供的样品经</w:t>
      </w:r>
      <w:r>
        <w:rPr>
          <w:rFonts w:hint="eastAsia" w:ascii="宋体" w:hAnsi="宋体" w:eastAsia="宋体" w:cs="宋体"/>
          <w:spacing w:val="4"/>
          <w:sz w:val="24"/>
        </w:rPr>
        <w:t>谈判</w:t>
      </w:r>
      <w:r>
        <w:rPr>
          <w:rFonts w:hint="eastAsia" w:ascii="宋体" w:hAnsi="宋体" w:eastAsia="宋体" w:cs="宋体"/>
          <w:spacing w:val="4"/>
          <w:sz w:val="24"/>
          <w:szCs w:val="22"/>
        </w:rPr>
        <w:t>小组认定未能达到本项目竞争性</w:t>
      </w:r>
      <w:r>
        <w:rPr>
          <w:rFonts w:hint="eastAsia" w:ascii="宋体" w:hAnsi="宋体" w:eastAsia="宋体" w:cs="宋体"/>
          <w:spacing w:val="4"/>
          <w:sz w:val="24"/>
        </w:rPr>
        <w:t>谈判</w:t>
      </w:r>
      <w:r>
        <w:rPr>
          <w:rFonts w:hint="eastAsia" w:ascii="宋体" w:hAnsi="宋体" w:eastAsia="宋体" w:cs="宋体"/>
          <w:spacing w:val="4"/>
          <w:sz w:val="24"/>
          <w:szCs w:val="22"/>
        </w:rPr>
        <w:t>文件要求的；（如有）</w:t>
      </w:r>
    </w:p>
    <w:p w14:paraId="41DD6C24">
      <w:pPr>
        <w:adjustRightInd w:val="0"/>
        <w:snapToGrid w:val="0"/>
        <w:spacing w:line="360" w:lineRule="auto"/>
        <w:ind w:firstLine="496" w:firstLineChars="200"/>
        <w:rPr>
          <w:rFonts w:hint="eastAsia" w:ascii="宋体" w:hAnsi="宋体" w:eastAsia="宋体" w:cs="宋体"/>
          <w:spacing w:val="4"/>
          <w:sz w:val="24"/>
          <w:szCs w:val="22"/>
        </w:rPr>
      </w:pPr>
      <w:r>
        <w:rPr>
          <w:rFonts w:hint="eastAsia" w:ascii="宋体" w:hAnsi="宋体" w:eastAsia="宋体" w:cs="宋体"/>
          <w:spacing w:val="4"/>
          <w:sz w:val="24"/>
          <w:szCs w:val="22"/>
          <w:lang w:val="en-US" w:eastAsia="zh-CN"/>
        </w:rPr>
        <w:t>8</w:t>
      </w:r>
      <w:r>
        <w:rPr>
          <w:rFonts w:hint="eastAsia" w:ascii="宋体" w:hAnsi="宋体" w:eastAsia="宋体" w:cs="宋体"/>
          <w:spacing w:val="4"/>
          <w:sz w:val="24"/>
          <w:szCs w:val="22"/>
        </w:rPr>
        <w:t>.提供虚假竞争性</w:t>
      </w:r>
      <w:r>
        <w:rPr>
          <w:rFonts w:hint="eastAsia" w:ascii="宋体" w:hAnsi="宋体" w:eastAsia="宋体" w:cs="宋体"/>
          <w:spacing w:val="4"/>
          <w:sz w:val="24"/>
        </w:rPr>
        <w:t>谈判</w:t>
      </w:r>
      <w:r>
        <w:rPr>
          <w:rFonts w:hint="eastAsia" w:ascii="宋体" w:hAnsi="宋体" w:eastAsia="宋体" w:cs="宋体"/>
          <w:spacing w:val="4"/>
          <w:sz w:val="24"/>
          <w:szCs w:val="22"/>
        </w:rPr>
        <w:t>响应文件和资料的；</w:t>
      </w:r>
    </w:p>
    <w:p w14:paraId="668A7260">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9</w:t>
      </w:r>
      <w:r>
        <w:rPr>
          <w:rFonts w:hint="eastAsia" w:ascii="宋体" w:hAnsi="宋体" w:eastAsia="宋体" w:cs="宋体"/>
          <w:spacing w:val="4"/>
          <w:sz w:val="24"/>
        </w:rPr>
        <w:t>.法律、法规和竞争性谈判文件规定的其他无效情形。</w:t>
      </w:r>
    </w:p>
    <w:p w14:paraId="6852A9C9">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四、供应商有下列情形之一的，视为供应商串通谈判，其谈判无效：</w:t>
      </w:r>
    </w:p>
    <w:p w14:paraId="464866DA">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1.不同供应商的竞争性谈判响应文件由同一单位或者个人编制；</w:t>
      </w:r>
    </w:p>
    <w:p w14:paraId="629E8313">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2.不同供应商委托同一单位或者个人办理谈判事宜；</w:t>
      </w:r>
    </w:p>
    <w:p w14:paraId="76174D7C">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3.不同供应商的竞争性谈判响应文件载明的项目管理成员或者联系人员为同一人；</w:t>
      </w:r>
    </w:p>
    <w:p w14:paraId="7704893A">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4.不同供应商的竞争性谈判响应文件异常一致或者谈判报价呈规律性差异；</w:t>
      </w:r>
    </w:p>
    <w:p w14:paraId="04116797">
      <w:pPr>
        <w:adjustRightInd w:val="0"/>
        <w:snapToGrid w:val="0"/>
        <w:spacing w:line="360" w:lineRule="auto"/>
        <w:ind w:firstLine="372" w:firstLineChars="150"/>
        <w:rPr>
          <w:rFonts w:hint="eastAsia" w:ascii="宋体" w:hAnsi="宋体" w:eastAsia="宋体" w:cs="宋体"/>
          <w:spacing w:val="4"/>
          <w:sz w:val="24"/>
        </w:rPr>
      </w:pPr>
      <w:r>
        <w:rPr>
          <w:rFonts w:hint="eastAsia" w:ascii="宋体" w:hAnsi="宋体" w:eastAsia="宋体" w:cs="宋体"/>
          <w:spacing w:val="4"/>
          <w:sz w:val="24"/>
        </w:rPr>
        <w:t>5.不同供应商的竞争性谈判响应文件相互混装；</w:t>
      </w:r>
    </w:p>
    <w:p w14:paraId="2ABFC687">
      <w:pPr>
        <w:adjustRightInd w:val="0"/>
        <w:snapToGrid w:val="0"/>
        <w:spacing w:line="360" w:lineRule="auto"/>
        <w:ind w:firstLine="364" w:firstLineChars="147"/>
        <w:rPr>
          <w:rFonts w:hint="eastAsia" w:ascii="宋体" w:hAnsi="宋体" w:eastAsia="宋体" w:cs="宋体"/>
          <w:spacing w:val="4"/>
          <w:sz w:val="24"/>
          <w:u w:val="single"/>
        </w:rPr>
      </w:pPr>
      <w:r>
        <w:rPr>
          <w:rFonts w:hint="eastAsia" w:ascii="宋体" w:hAnsi="宋体" w:eastAsia="宋体" w:cs="宋体"/>
          <w:spacing w:val="4"/>
          <w:sz w:val="24"/>
        </w:rPr>
        <w:t>6.不同供应商的竞争性谈判保证金从同一单位或者个人的账户转出。</w:t>
      </w:r>
    </w:p>
    <w:p w14:paraId="1A2FE523">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五、谈判程序</w:t>
      </w:r>
    </w:p>
    <w:p w14:paraId="3A763D1E">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1.谈判前资格检查：谈判前由采购人或招标代理机构进行资格检查，具体审查内容以本文件竞争性谈判须知前附表为准。</w:t>
      </w:r>
    </w:p>
    <w:p w14:paraId="651373B9">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2.符合性审查：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6490"/>
        <w:gridCol w:w="1837"/>
      </w:tblGrid>
      <w:tr w14:paraId="751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364B7984">
            <w:pPr>
              <w:jc w:val="center"/>
              <w:rPr>
                <w:rFonts w:hint="eastAsia" w:ascii="宋体" w:hAnsi="宋体" w:eastAsia="宋体" w:cs="宋体"/>
                <w:sz w:val="24"/>
              </w:rPr>
            </w:pPr>
            <w:r>
              <w:rPr>
                <w:rFonts w:hint="eastAsia" w:ascii="宋体" w:hAnsi="宋体" w:eastAsia="宋体" w:cs="宋体"/>
                <w:b/>
                <w:sz w:val="24"/>
              </w:rPr>
              <w:t>序号</w:t>
            </w:r>
          </w:p>
        </w:tc>
        <w:tc>
          <w:tcPr>
            <w:tcW w:w="6778" w:type="dxa"/>
            <w:vAlign w:val="center"/>
          </w:tcPr>
          <w:p w14:paraId="088199B8">
            <w:pPr>
              <w:jc w:val="center"/>
              <w:rPr>
                <w:rFonts w:hint="eastAsia" w:ascii="宋体" w:hAnsi="宋体" w:eastAsia="宋体" w:cs="宋体"/>
                <w:sz w:val="24"/>
              </w:rPr>
            </w:pPr>
            <w:r>
              <w:rPr>
                <w:rFonts w:hint="eastAsia" w:ascii="宋体" w:hAnsi="宋体" w:eastAsia="宋体" w:cs="宋体"/>
                <w:b/>
                <w:sz w:val="24"/>
              </w:rPr>
              <w:t>符合性审查内容</w:t>
            </w:r>
          </w:p>
        </w:tc>
        <w:tc>
          <w:tcPr>
            <w:tcW w:w="1906" w:type="dxa"/>
            <w:vAlign w:val="center"/>
          </w:tcPr>
          <w:p w14:paraId="6EF2D65F">
            <w:pPr>
              <w:jc w:val="center"/>
              <w:rPr>
                <w:rFonts w:hint="eastAsia" w:ascii="宋体" w:hAnsi="宋体" w:eastAsia="宋体" w:cs="宋体"/>
                <w:sz w:val="24"/>
              </w:rPr>
            </w:pPr>
            <w:r>
              <w:rPr>
                <w:rFonts w:hint="eastAsia" w:ascii="宋体" w:hAnsi="宋体" w:eastAsia="宋体" w:cs="宋体"/>
                <w:b/>
                <w:sz w:val="24"/>
              </w:rPr>
              <w:t>结论</w:t>
            </w:r>
          </w:p>
        </w:tc>
      </w:tr>
      <w:tr w14:paraId="14E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C74FD7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A</w:t>
            </w:r>
          </w:p>
        </w:tc>
        <w:tc>
          <w:tcPr>
            <w:tcW w:w="6778" w:type="dxa"/>
            <w:vAlign w:val="center"/>
          </w:tcPr>
          <w:p w14:paraId="7F2CE6E4">
            <w:pPr>
              <w:overflowPunct w:val="0"/>
              <w:adjustRightInd w:val="0"/>
              <w:snapToGrid w:val="0"/>
              <w:spacing w:line="500" w:lineRule="exact"/>
              <w:rPr>
                <w:rFonts w:hint="eastAsia" w:ascii="宋体" w:hAnsi="宋体" w:eastAsia="宋体" w:cs="宋体"/>
                <w:sz w:val="24"/>
              </w:rPr>
            </w:pPr>
            <w:r>
              <w:rPr>
                <w:rFonts w:hint="eastAsia" w:ascii="宋体" w:hAnsi="宋体" w:eastAsia="宋体" w:cs="宋体"/>
                <w:sz w:val="24"/>
              </w:rPr>
              <w:t>谈判报价是否唯一且未超过采购预算；</w:t>
            </w:r>
          </w:p>
        </w:tc>
        <w:tc>
          <w:tcPr>
            <w:tcW w:w="1906" w:type="dxa"/>
          </w:tcPr>
          <w:p w14:paraId="78A2B428">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05EA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54F9914">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B</w:t>
            </w:r>
          </w:p>
        </w:tc>
        <w:tc>
          <w:tcPr>
            <w:tcW w:w="6778" w:type="dxa"/>
            <w:vAlign w:val="center"/>
          </w:tcPr>
          <w:p w14:paraId="39B06F3B">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szCs w:val="24"/>
              </w:rPr>
              <w:t>供货期是否满足谈判文件要求；</w:t>
            </w:r>
          </w:p>
        </w:tc>
        <w:tc>
          <w:tcPr>
            <w:tcW w:w="1906" w:type="dxa"/>
          </w:tcPr>
          <w:p w14:paraId="40A7F18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15C2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25E2D2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C</w:t>
            </w:r>
          </w:p>
        </w:tc>
        <w:tc>
          <w:tcPr>
            <w:tcW w:w="6778" w:type="dxa"/>
            <w:vAlign w:val="center"/>
          </w:tcPr>
          <w:p w14:paraId="71F7AE46">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szCs w:val="24"/>
              </w:rPr>
              <w:t>质保期是否满足</w:t>
            </w:r>
            <w:r>
              <w:rPr>
                <w:rFonts w:hint="eastAsia" w:ascii="宋体" w:hAnsi="宋体" w:eastAsia="宋体" w:cs="宋体"/>
                <w:sz w:val="24"/>
              </w:rPr>
              <w:t>谈判</w:t>
            </w:r>
            <w:r>
              <w:rPr>
                <w:rFonts w:hint="eastAsia" w:ascii="宋体" w:hAnsi="宋体" w:eastAsia="宋体" w:cs="宋体"/>
                <w:sz w:val="24"/>
                <w:szCs w:val="24"/>
              </w:rPr>
              <w:t>文件要求</w:t>
            </w:r>
            <w:r>
              <w:rPr>
                <w:rFonts w:hint="eastAsia" w:ascii="宋体" w:hAnsi="宋体" w:eastAsia="宋体" w:cs="宋体"/>
                <w:sz w:val="24"/>
              </w:rPr>
              <w:t>；</w:t>
            </w:r>
          </w:p>
        </w:tc>
        <w:tc>
          <w:tcPr>
            <w:tcW w:w="1906" w:type="dxa"/>
          </w:tcPr>
          <w:p w14:paraId="45E5A39A">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6A70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14124C3">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D</w:t>
            </w:r>
          </w:p>
        </w:tc>
        <w:tc>
          <w:tcPr>
            <w:tcW w:w="6778" w:type="dxa"/>
            <w:vAlign w:val="center"/>
          </w:tcPr>
          <w:p w14:paraId="4B2C3ECE">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谈判/委托有效期是否满足谈判文件要求；</w:t>
            </w:r>
          </w:p>
        </w:tc>
        <w:tc>
          <w:tcPr>
            <w:tcW w:w="1906" w:type="dxa"/>
          </w:tcPr>
          <w:p w14:paraId="7B72493D">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7661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BA8CE5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E</w:t>
            </w:r>
          </w:p>
        </w:tc>
        <w:tc>
          <w:tcPr>
            <w:tcW w:w="6778" w:type="dxa"/>
            <w:vAlign w:val="center"/>
          </w:tcPr>
          <w:p w14:paraId="1601A971">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响应文件的签署盖章是否符合谈判文件要求；</w:t>
            </w:r>
          </w:p>
        </w:tc>
        <w:tc>
          <w:tcPr>
            <w:tcW w:w="1906" w:type="dxa"/>
          </w:tcPr>
          <w:p w14:paraId="58CE1E01">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0C7E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26643812">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F</w:t>
            </w:r>
          </w:p>
        </w:tc>
        <w:tc>
          <w:tcPr>
            <w:tcW w:w="6778" w:type="dxa"/>
            <w:vAlign w:val="center"/>
          </w:tcPr>
          <w:p w14:paraId="6DC7D624">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响应文件的正副本数量是否符合谈判文件要求；</w:t>
            </w:r>
          </w:p>
        </w:tc>
        <w:tc>
          <w:tcPr>
            <w:tcW w:w="1906" w:type="dxa"/>
          </w:tcPr>
          <w:p w14:paraId="266F077C">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r w14:paraId="66E8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7ACFF2F7">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E</w:t>
            </w:r>
          </w:p>
        </w:tc>
        <w:tc>
          <w:tcPr>
            <w:tcW w:w="6778" w:type="dxa"/>
            <w:vAlign w:val="center"/>
          </w:tcPr>
          <w:p w14:paraId="16A8F0C8">
            <w:pPr>
              <w:pStyle w:val="8"/>
              <w:overflowPunct w:val="0"/>
              <w:adjustRightInd w:val="0"/>
              <w:snapToGrid w:val="0"/>
              <w:spacing w:line="360" w:lineRule="auto"/>
              <w:rPr>
                <w:rFonts w:hint="eastAsia" w:ascii="宋体" w:hAnsi="宋体" w:eastAsia="宋体" w:cs="宋体"/>
                <w:sz w:val="24"/>
              </w:rPr>
            </w:pPr>
            <w:r>
              <w:rPr>
                <w:rFonts w:hint="eastAsia" w:ascii="宋体" w:hAnsi="宋体" w:eastAsia="宋体" w:cs="宋体"/>
                <w:sz w:val="24"/>
              </w:rPr>
              <w:t>响应文件的真实性、有效性是否符合谈判文件要求；</w:t>
            </w:r>
          </w:p>
        </w:tc>
        <w:tc>
          <w:tcPr>
            <w:tcW w:w="1906" w:type="dxa"/>
          </w:tcPr>
          <w:p w14:paraId="6A29F6A8">
            <w:pPr>
              <w:overflowPunct w:val="0"/>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合格/不合格</w:t>
            </w:r>
          </w:p>
        </w:tc>
      </w:tr>
    </w:tbl>
    <w:p w14:paraId="7CF3EADC">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w:t>
      </w:r>
      <w:r>
        <w:rPr>
          <w:rFonts w:hint="eastAsia" w:ascii="宋体" w:hAnsi="宋体" w:eastAsia="宋体" w:cs="宋体"/>
          <w:b/>
          <w:bCs/>
          <w:spacing w:val="4"/>
          <w:sz w:val="24"/>
        </w:rPr>
        <w:t>谈判</w:t>
      </w:r>
      <w:r>
        <w:rPr>
          <w:rFonts w:hint="eastAsia" w:ascii="宋体" w:hAnsi="宋体" w:eastAsia="宋体" w:cs="宋体"/>
          <w:b/>
          <w:bCs/>
          <w:sz w:val="24"/>
        </w:rPr>
        <w:t>响应文件的响应性审查。</w:t>
      </w:r>
    </w:p>
    <w:p w14:paraId="3486000B">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2.3.1</w:t>
      </w:r>
      <w:r>
        <w:rPr>
          <w:rFonts w:hint="eastAsia" w:ascii="宋体" w:hAnsi="宋体" w:eastAsia="宋体" w:cs="宋体"/>
          <w:b/>
          <w:bCs/>
          <w:spacing w:val="4"/>
          <w:sz w:val="24"/>
        </w:rPr>
        <w:t>谈判</w:t>
      </w:r>
      <w:r>
        <w:rPr>
          <w:rFonts w:hint="eastAsia" w:ascii="宋体" w:hAnsi="宋体" w:eastAsia="宋体" w:cs="宋体"/>
          <w:b/>
          <w:bCs/>
          <w:sz w:val="24"/>
        </w:rPr>
        <w:t>报价是否未超过采购预算（最高限价）价格；</w:t>
      </w:r>
    </w:p>
    <w:p w14:paraId="13BC853C">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2.3.2响应文件内容是否符合国家法律法规，是否响应了</w:t>
      </w:r>
      <w:r>
        <w:rPr>
          <w:rFonts w:hint="eastAsia" w:ascii="宋体" w:hAnsi="宋体" w:eastAsia="宋体" w:cs="宋体"/>
          <w:b/>
          <w:bCs/>
          <w:spacing w:val="4"/>
          <w:sz w:val="24"/>
        </w:rPr>
        <w:t>谈判</w:t>
      </w:r>
      <w:r>
        <w:rPr>
          <w:rFonts w:hint="eastAsia" w:ascii="宋体" w:hAnsi="宋体" w:eastAsia="宋体" w:cs="宋体"/>
          <w:b/>
          <w:bCs/>
          <w:sz w:val="24"/>
        </w:rPr>
        <w:t>文件要求的全部条款、条件和规格要求，并且提供了支持文件，没有重大偏离；</w:t>
      </w:r>
    </w:p>
    <w:p w14:paraId="424FFD1A">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2.3.3对合同中规定的双方的权利和义务是否做出了实质性响应。</w:t>
      </w:r>
    </w:p>
    <w:p w14:paraId="11ADB207">
      <w:pPr>
        <w:adjustRightInd w:val="0"/>
        <w:snapToGrid w:val="0"/>
        <w:spacing w:line="360" w:lineRule="auto"/>
        <w:ind w:firstLine="482" w:firstLineChars="200"/>
        <w:rPr>
          <w:rFonts w:hint="eastAsia" w:ascii="宋体" w:hAnsi="宋体" w:eastAsia="宋体" w:cs="宋体"/>
          <w:b/>
          <w:bCs/>
          <w:sz w:val="24"/>
        </w:rPr>
      </w:pPr>
      <w:bookmarkStart w:id="11" w:name="_Toc27224"/>
      <w:r>
        <w:rPr>
          <w:rFonts w:hint="eastAsia" w:ascii="宋体" w:hAnsi="宋体" w:eastAsia="宋体" w:cs="宋体"/>
          <w:b/>
          <w:bCs/>
          <w:sz w:val="24"/>
        </w:rPr>
        <w:t>2.4</w:t>
      </w:r>
      <w:bookmarkStart w:id="12" w:name="_Toc494316261"/>
      <w:bookmarkStart w:id="13" w:name="_Toc498271422"/>
      <w:r>
        <w:rPr>
          <w:rFonts w:hint="eastAsia" w:ascii="宋体" w:hAnsi="宋体" w:eastAsia="宋体" w:cs="宋体"/>
          <w:b/>
          <w:bCs/>
          <w:sz w:val="24"/>
        </w:rPr>
        <w:t>最低报价不是中标的唯一依据。</w:t>
      </w:r>
      <w:r>
        <w:rPr>
          <w:rFonts w:hint="eastAsia" w:ascii="宋体" w:hAnsi="宋体" w:eastAsia="宋体" w:cs="宋体"/>
          <w:b/>
          <w:bCs/>
          <w:spacing w:val="4"/>
          <w:sz w:val="24"/>
        </w:rPr>
        <w:t>谈判</w:t>
      </w:r>
      <w:r>
        <w:rPr>
          <w:rFonts w:hint="eastAsia" w:ascii="宋体" w:hAnsi="宋体" w:eastAsia="宋体" w:cs="宋体"/>
          <w:b/>
          <w:bCs/>
          <w:sz w:val="24"/>
        </w:rPr>
        <w:t>小组认为</w:t>
      </w:r>
      <w:r>
        <w:rPr>
          <w:rFonts w:hint="eastAsia" w:ascii="宋体" w:hAnsi="宋体" w:eastAsia="宋体" w:cs="宋体"/>
          <w:b/>
          <w:bCs/>
          <w:spacing w:val="4"/>
          <w:sz w:val="24"/>
        </w:rPr>
        <w:t>供应商</w:t>
      </w:r>
      <w:r>
        <w:rPr>
          <w:rFonts w:hint="eastAsia" w:ascii="宋体" w:hAnsi="宋体" w:eastAsia="宋体" w:cs="宋体"/>
          <w:b/>
          <w:bCs/>
          <w:sz w:val="24"/>
        </w:rPr>
        <w:t>的报价明显低于其他通过符合性审查</w:t>
      </w:r>
      <w:r>
        <w:rPr>
          <w:rFonts w:hint="eastAsia" w:ascii="宋体" w:hAnsi="宋体" w:eastAsia="宋体" w:cs="宋体"/>
          <w:b/>
          <w:bCs/>
          <w:spacing w:val="4"/>
          <w:sz w:val="24"/>
        </w:rPr>
        <w:t>供应商</w:t>
      </w:r>
      <w:r>
        <w:rPr>
          <w:rFonts w:hint="eastAsia" w:ascii="宋体" w:hAnsi="宋体" w:eastAsia="宋体" w:cs="宋体"/>
          <w:b/>
          <w:bCs/>
          <w:sz w:val="24"/>
        </w:rPr>
        <w:t>的报价，有可能影响产品质量或者不能诚信履约的，应当要求其在评标现场合理的时间内提供书面说明，必要时提交相关证明材料；</w:t>
      </w:r>
      <w:r>
        <w:rPr>
          <w:rFonts w:hint="eastAsia" w:ascii="宋体" w:hAnsi="宋体" w:eastAsia="宋体" w:cs="宋体"/>
          <w:b/>
          <w:bCs/>
          <w:spacing w:val="4"/>
          <w:sz w:val="24"/>
        </w:rPr>
        <w:t>供应商</w:t>
      </w:r>
      <w:r>
        <w:rPr>
          <w:rFonts w:hint="eastAsia" w:ascii="宋体" w:hAnsi="宋体" w:eastAsia="宋体" w:cs="宋体"/>
          <w:b/>
          <w:bCs/>
          <w:sz w:val="24"/>
        </w:rPr>
        <w:t>不能证明其报价合理性的，</w:t>
      </w:r>
      <w:r>
        <w:rPr>
          <w:rFonts w:hint="eastAsia" w:ascii="宋体" w:hAnsi="宋体" w:eastAsia="宋体" w:cs="宋体"/>
          <w:b/>
          <w:bCs/>
          <w:spacing w:val="4"/>
          <w:sz w:val="24"/>
        </w:rPr>
        <w:t>谈判</w:t>
      </w:r>
      <w:r>
        <w:rPr>
          <w:rFonts w:hint="eastAsia" w:ascii="宋体" w:hAnsi="宋体" w:eastAsia="宋体" w:cs="宋体"/>
          <w:b/>
          <w:bCs/>
          <w:sz w:val="24"/>
        </w:rPr>
        <w:t>小组应当将其作为无效投标处理。</w:t>
      </w:r>
      <w:bookmarkEnd w:id="11"/>
      <w:bookmarkEnd w:id="12"/>
      <w:bookmarkEnd w:id="13"/>
    </w:p>
    <w:p w14:paraId="70868E69">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2.4.1对谈判文件所规定的技术参数未进行实质性响应的。</w:t>
      </w:r>
    </w:p>
    <w:p w14:paraId="4F937961">
      <w:pPr>
        <w:adjustRightInd w:val="0"/>
        <w:snapToGrid w:val="0"/>
        <w:spacing w:line="360" w:lineRule="auto"/>
        <w:ind w:firstLine="482" w:firstLineChars="200"/>
        <w:rPr>
          <w:rFonts w:hint="eastAsia" w:ascii="宋体" w:hAnsi="宋体" w:eastAsia="宋体" w:cs="宋体"/>
          <w:b/>
          <w:bCs/>
          <w:spacing w:val="4"/>
          <w:sz w:val="24"/>
          <w:szCs w:val="22"/>
        </w:rPr>
      </w:pPr>
      <w:r>
        <w:rPr>
          <w:rFonts w:hint="eastAsia" w:ascii="宋体" w:hAnsi="宋体" w:eastAsia="宋体" w:cs="宋体"/>
          <w:b/>
          <w:sz w:val="24"/>
        </w:rPr>
        <w:t>3.竞争性谈判响应文件密封检查：</w:t>
      </w:r>
      <w:r>
        <w:rPr>
          <w:rFonts w:hint="eastAsia" w:ascii="宋体" w:hAnsi="宋体" w:eastAsia="宋体" w:cs="宋体"/>
          <w:b/>
          <w:bCs/>
          <w:spacing w:val="4"/>
          <w:sz w:val="24"/>
          <w:szCs w:val="22"/>
        </w:rPr>
        <w:t>由供应商合法授权代表及监标人共同检查</w:t>
      </w:r>
      <w:r>
        <w:rPr>
          <w:rFonts w:hint="eastAsia" w:ascii="宋体" w:hAnsi="宋体" w:eastAsia="宋体" w:cs="宋体"/>
          <w:b/>
          <w:bCs/>
          <w:spacing w:val="4"/>
          <w:sz w:val="24"/>
        </w:rPr>
        <w:t>谈判</w:t>
      </w:r>
      <w:r>
        <w:rPr>
          <w:rFonts w:hint="eastAsia" w:ascii="宋体" w:hAnsi="宋体" w:eastAsia="宋体" w:cs="宋体"/>
          <w:b/>
          <w:bCs/>
          <w:spacing w:val="4"/>
          <w:sz w:val="24"/>
          <w:szCs w:val="22"/>
        </w:rPr>
        <w:t>文件密封完整性。</w:t>
      </w:r>
    </w:p>
    <w:p w14:paraId="67A458F9">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4.澄清有关问题：</w:t>
      </w:r>
    </w:p>
    <w:p w14:paraId="26F6476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4.1竞争性</w:t>
      </w:r>
      <w:r>
        <w:rPr>
          <w:rFonts w:hint="eastAsia" w:ascii="宋体" w:hAnsi="宋体" w:eastAsia="宋体" w:cs="宋体"/>
          <w:spacing w:val="4"/>
          <w:sz w:val="24"/>
        </w:rPr>
        <w:t>谈判</w:t>
      </w:r>
      <w:r>
        <w:rPr>
          <w:rFonts w:hint="eastAsia" w:ascii="宋体" w:hAnsi="宋体" w:eastAsia="宋体" w:cs="宋体"/>
          <w:kern w:val="0"/>
          <w:sz w:val="24"/>
        </w:rPr>
        <w:t>小组</w:t>
      </w:r>
      <w:r>
        <w:rPr>
          <w:rFonts w:hint="eastAsia" w:ascii="宋体" w:hAnsi="宋体" w:eastAsia="宋体" w:cs="宋体"/>
          <w:sz w:val="24"/>
        </w:rPr>
        <w:t>在对响应文件的有效性、完整性和响应程度进行审查时，可以要求供应商对响应文件中含义不明确、同类问题表述不一致或者有明显文字和计算错误的内容等作出必要的澄清、说明或者更正。</w:t>
      </w:r>
    </w:p>
    <w:p w14:paraId="511D6F4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竞争性</w:t>
      </w:r>
      <w:r>
        <w:rPr>
          <w:rFonts w:hint="eastAsia" w:ascii="宋体" w:hAnsi="宋体" w:eastAsia="宋体" w:cs="宋体"/>
          <w:spacing w:val="4"/>
          <w:sz w:val="24"/>
        </w:rPr>
        <w:t>谈判</w:t>
      </w:r>
      <w:r>
        <w:rPr>
          <w:rFonts w:hint="eastAsia" w:ascii="宋体" w:hAnsi="宋体" w:eastAsia="宋体" w:cs="宋体"/>
          <w:kern w:val="0"/>
          <w:sz w:val="24"/>
        </w:rPr>
        <w:t>小组</w:t>
      </w:r>
      <w:r>
        <w:rPr>
          <w:rFonts w:hint="eastAsia" w:ascii="宋体" w:hAnsi="宋体" w:eastAsia="宋体" w:cs="宋体"/>
          <w:sz w:val="24"/>
        </w:rPr>
        <w:t>要求供应商澄清、说明或者更正响应文件的，应当以书面形式提出。供应商的澄清、说明或者更正应当由法定代表人或其授权代表签字或者加盖公章。由授权代表签字的，应当提供法定代表人授权书。</w:t>
      </w:r>
    </w:p>
    <w:p w14:paraId="7142566C">
      <w:pPr>
        <w:adjustRightInd w:val="0"/>
        <w:snapToGrid w:val="0"/>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 xml:space="preserve"> 4.2竞争性</w:t>
      </w:r>
      <w:r>
        <w:rPr>
          <w:rFonts w:hint="eastAsia" w:ascii="宋体" w:hAnsi="宋体" w:eastAsia="宋体" w:cs="宋体"/>
          <w:spacing w:val="4"/>
          <w:sz w:val="24"/>
        </w:rPr>
        <w:t>谈判</w:t>
      </w:r>
      <w:r>
        <w:rPr>
          <w:rFonts w:hint="eastAsia" w:ascii="宋体" w:hAnsi="宋体" w:eastAsia="宋体" w:cs="宋体"/>
          <w:kern w:val="0"/>
          <w:sz w:val="24"/>
        </w:rPr>
        <w:t>响应文件报价出现前后不一致的，按照下列规定修正：</w:t>
      </w:r>
    </w:p>
    <w:p w14:paraId="18FA5B7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①竞争性谈判响应文件中谈判一览表内容与竞争性谈判响应文件中相应内容不一致的，以谈判一览表为准；</w:t>
      </w:r>
    </w:p>
    <w:p w14:paraId="57935279">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②大写金额和小写金额不一致的，以大写金额为准；</w:t>
      </w:r>
    </w:p>
    <w:p w14:paraId="49CFC3EC">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③单价金额小数点或者百分比有明显错位的，以谈判一览表的总价为准，并修改单价；</w:t>
      </w:r>
    </w:p>
    <w:p w14:paraId="429C1804">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④总价金额与按单价汇总金额不一致的，以单价金额计算结果为准。</w:t>
      </w:r>
    </w:p>
    <w:p w14:paraId="79521EC7">
      <w:pPr>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⑤同时出现两种以上不一致的，按照前款规定的顺序修正。修正后的报价经供应商书面确认后产生约束力，供应商不确认的，其</w:t>
      </w:r>
      <w:r>
        <w:rPr>
          <w:rFonts w:hint="eastAsia" w:ascii="宋体" w:hAnsi="宋体" w:eastAsia="宋体" w:cs="宋体"/>
          <w:spacing w:val="4"/>
          <w:sz w:val="24"/>
        </w:rPr>
        <w:t>谈判</w:t>
      </w:r>
      <w:r>
        <w:rPr>
          <w:rFonts w:hint="eastAsia" w:ascii="宋体" w:hAnsi="宋体" w:eastAsia="宋体" w:cs="宋体"/>
          <w:kern w:val="0"/>
          <w:sz w:val="24"/>
        </w:rPr>
        <w:t>无效。</w:t>
      </w:r>
    </w:p>
    <w:p w14:paraId="5E73A384">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rPr>
        <w:t>5.竞争性谈判小组</w:t>
      </w:r>
      <w:r>
        <w:rPr>
          <w:rFonts w:hint="eastAsia" w:ascii="宋体" w:hAnsi="宋体" w:eastAsia="宋体" w:cs="宋体"/>
          <w:b/>
          <w:sz w:val="24"/>
        </w:rPr>
        <w:t>逐一与实质性响应竞争性谈判文件要求的供应商进行谈判。谈判结束后有效供应商要求提交第二次报价。</w:t>
      </w:r>
    </w:p>
    <w:p w14:paraId="1554D61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根据</w:t>
      </w:r>
      <w:r>
        <w:rPr>
          <w:rFonts w:hint="eastAsia" w:ascii="宋体" w:hAnsi="宋体" w:eastAsia="宋体" w:cs="宋体"/>
          <w:sz w:val="24"/>
        </w:rPr>
        <w:t>相关法律法规的规定，在</w:t>
      </w:r>
      <w:r>
        <w:rPr>
          <w:rFonts w:hint="eastAsia" w:ascii="宋体" w:hAnsi="宋体" w:eastAsia="宋体" w:cs="宋体"/>
          <w:spacing w:val="4"/>
          <w:sz w:val="24"/>
        </w:rPr>
        <w:t>谈判</w:t>
      </w:r>
      <w:r>
        <w:rPr>
          <w:rFonts w:hint="eastAsia" w:ascii="宋体" w:hAnsi="宋体" w:eastAsia="宋体" w:cs="宋体"/>
          <w:sz w:val="24"/>
        </w:rPr>
        <w:t>过程中，</w:t>
      </w:r>
      <w:r>
        <w:rPr>
          <w:rFonts w:hint="eastAsia" w:ascii="宋体" w:hAnsi="宋体" w:eastAsia="宋体" w:cs="宋体"/>
          <w:spacing w:val="4"/>
          <w:sz w:val="24"/>
        </w:rPr>
        <w:t>谈判</w:t>
      </w:r>
      <w:r>
        <w:rPr>
          <w:rFonts w:hint="eastAsia" w:ascii="宋体" w:hAnsi="宋体" w:eastAsia="宋体" w:cs="宋体"/>
          <w:sz w:val="24"/>
        </w:rPr>
        <w:t>小组可以根据竞争性</w:t>
      </w:r>
      <w:r>
        <w:rPr>
          <w:rFonts w:hint="eastAsia" w:ascii="宋体" w:hAnsi="宋体" w:eastAsia="宋体" w:cs="宋体"/>
          <w:spacing w:val="4"/>
          <w:sz w:val="24"/>
        </w:rPr>
        <w:t>谈判</w:t>
      </w:r>
      <w:r>
        <w:rPr>
          <w:rFonts w:hint="eastAsia" w:ascii="宋体" w:hAnsi="宋体" w:eastAsia="宋体" w:cs="宋体"/>
          <w:sz w:val="24"/>
        </w:rPr>
        <w:t>文件和</w:t>
      </w:r>
      <w:r>
        <w:rPr>
          <w:rFonts w:hint="eastAsia" w:ascii="宋体" w:hAnsi="宋体" w:eastAsia="宋体" w:cs="宋体"/>
          <w:spacing w:val="4"/>
          <w:sz w:val="24"/>
        </w:rPr>
        <w:t>谈判</w:t>
      </w:r>
      <w:r>
        <w:rPr>
          <w:rFonts w:hint="eastAsia" w:ascii="宋体" w:hAnsi="宋体" w:eastAsia="宋体" w:cs="宋体"/>
          <w:sz w:val="24"/>
        </w:rPr>
        <w:t>情况实质性变动采购需求中的技术、服务要求以及合同草案条款，但不得变动竞争性</w:t>
      </w:r>
      <w:r>
        <w:rPr>
          <w:rFonts w:hint="eastAsia" w:ascii="宋体" w:hAnsi="宋体" w:eastAsia="宋体" w:cs="宋体"/>
          <w:spacing w:val="4"/>
          <w:sz w:val="24"/>
        </w:rPr>
        <w:t>谈判</w:t>
      </w:r>
      <w:r>
        <w:rPr>
          <w:rFonts w:hint="eastAsia" w:ascii="宋体" w:hAnsi="宋体" w:eastAsia="宋体" w:cs="宋体"/>
          <w:sz w:val="24"/>
        </w:rPr>
        <w:t>文件中的其他内容。</w:t>
      </w:r>
    </w:p>
    <w:p w14:paraId="72A63A12">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注：第二次报价为本项目</w:t>
      </w:r>
      <w:r>
        <w:rPr>
          <w:rFonts w:hint="eastAsia" w:ascii="宋体" w:hAnsi="宋体" w:eastAsia="宋体" w:cs="宋体"/>
          <w:b/>
          <w:bCs/>
          <w:spacing w:val="4"/>
          <w:sz w:val="24"/>
        </w:rPr>
        <w:t>谈判</w:t>
      </w:r>
      <w:r>
        <w:rPr>
          <w:rFonts w:hint="eastAsia" w:ascii="宋体" w:hAnsi="宋体" w:eastAsia="宋体" w:cs="宋体"/>
          <w:b/>
          <w:bCs/>
          <w:sz w:val="24"/>
        </w:rPr>
        <w:t>活动的最终商务报价。</w:t>
      </w:r>
    </w:p>
    <w:p w14:paraId="6E0EBF32">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6.比较与评价</w:t>
      </w:r>
    </w:p>
    <w:p w14:paraId="46C9C857">
      <w:pPr>
        <w:adjustRightInd w:val="0"/>
        <w:snapToGrid w:val="0"/>
        <w:spacing w:line="360" w:lineRule="auto"/>
        <w:ind w:firstLine="480" w:firstLineChars="200"/>
        <w:rPr>
          <w:rFonts w:hint="eastAsia" w:ascii="宋体" w:hAnsi="宋体" w:eastAsia="宋体" w:cs="宋体"/>
          <w:spacing w:val="4"/>
          <w:sz w:val="24"/>
        </w:rPr>
      </w:pPr>
      <w:r>
        <w:rPr>
          <w:rFonts w:hint="eastAsia" w:ascii="宋体" w:hAnsi="宋体" w:eastAsia="宋体" w:cs="宋体"/>
          <w:sz w:val="24"/>
        </w:rPr>
        <w:t>（1）谈判小组评审竞争性谈判响应文件的响应性及符合性，并对供应商编制的竞争性谈判响应文件进行详细评审，对本项目谈判文件中要求的“采购内容和要求”和“商务要求”进行逐一核实，如供应商未对本项目谈判文件中要求的“采购内容和要求”和“商务要求”逐一进行实质性响应的，将按照无效谈判处理，不得继续参与后续的第二次商务报价。谈判小组</w:t>
      </w:r>
      <w:r>
        <w:rPr>
          <w:rFonts w:hint="eastAsia" w:ascii="宋体" w:hAnsi="宋体" w:eastAsia="宋体" w:cs="宋体"/>
          <w:spacing w:val="4"/>
          <w:sz w:val="24"/>
        </w:rPr>
        <w:t>只根据竞争性谈判响应文件本身的内容及本项目竞争性谈判文件的内容进行评审，而不寻求其他外部证据。</w:t>
      </w:r>
    </w:p>
    <w:p w14:paraId="46179017">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（2）谈判小组所有成员应当集中与单一供应商分别进行谈判，并给予所有参加谈判的供应商平等谈判的机会。</w:t>
      </w:r>
    </w:p>
    <w:p w14:paraId="10FF9E12">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3）在谈判过程中，谈判小组应根据谈判文件的“采购内容和要求”和供应商就“采购内容和要求”中的技术、服务、商务要求以及合同主要条款内容是不是进行了实质性响应，是否变动了谈判文件中“采购内容和要求”的内容。如发现实质性变动的内容，必须经招标人代表书面确认。</w:t>
      </w:r>
    </w:p>
    <w:p w14:paraId="395FD89A">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（4）谈判结束后，谈判小组应当要求所有实质性响应的供应商在规定时间内提交最后报价。</w:t>
      </w:r>
    </w:p>
    <w:p w14:paraId="2D057166">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5）评审采取逐项分步评审方式，每一步评审不符合者或不实质性响应采购内容和要求的，均不得进入下一步评审。谈判小组应当从质量和服务均能满足本谈判文件实质性响应要求的供应商中，按照谈判会议中最终报价由低到高的顺序，推荐成交供应商（中标单位）候选人。</w:t>
      </w:r>
    </w:p>
    <w:p w14:paraId="44DC2DA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（6）其他需说明的情况：</w:t>
      </w:r>
    </w:p>
    <w:p w14:paraId="4DCFF9BE">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A.对于竞争性谈判响应文件中不构成实质性偏差的小的不正规、不一致或不规则，招标人可以接受，但这种接受不能损害或影响任何供应商的相对排序；</w:t>
      </w:r>
    </w:p>
    <w:p w14:paraId="3EACCFF5">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B.如果谈判响应实质上没有响应竞争性谈判文件的要求，其谈判响应将被拒绝，供应商不得通过修正或撤消不合要求的偏离或保留从而使其谈判响应成为实质上响应的谈判响应。</w:t>
      </w:r>
    </w:p>
    <w:p w14:paraId="06B2ACFE">
      <w:pPr>
        <w:adjustRightInd w:val="0"/>
        <w:snapToGrid w:val="0"/>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C.无论谈判的结果如何，谈判期间一切费用自理。</w:t>
      </w:r>
    </w:p>
    <w:p w14:paraId="0FA34E97">
      <w:pPr>
        <w:adjustRightInd w:val="0"/>
        <w:snapToGrid w:val="0"/>
        <w:spacing w:line="360" w:lineRule="auto"/>
        <w:ind w:firstLine="498" w:firstLineChars="200"/>
        <w:rPr>
          <w:rFonts w:hint="eastAsia" w:ascii="宋体" w:hAnsi="宋体" w:eastAsia="宋体" w:cs="宋体"/>
          <w:b/>
          <w:spacing w:val="4"/>
          <w:sz w:val="24"/>
        </w:rPr>
      </w:pPr>
      <w:r>
        <w:rPr>
          <w:rFonts w:hint="eastAsia" w:ascii="宋体" w:hAnsi="宋体" w:eastAsia="宋体" w:cs="宋体"/>
          <w:b/>
          <w:spacing w:val="4"/>
          <w:sz w:val="24"/>
        </w:rPr>
        <w:t>7.推荐成交候选供应商名单</w:t>
      </w:r>
    </w:p>
    <w:p w14:paraId="070AA0D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谈判小组依据谈判文件的要求，对供应商进行认真评审。经过评审、谈判、澄清、最后报价等程序后，从质量和服务均能满足谈判文件实质性响应要求的供应商中，按照最后报价由低到高的顺序推荐3名以上成交候选人。</w:t>
      </w:r>
    </w:p>
    <w:p w14:paraId="3DC840FA">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8.供应商及竞争性谈判响应文件（包括但不限于）出现下列情况之一者，按无效标处理：</w:t>
      </w:r>
    </w:p>
    <w:p w14:paraId="4671827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8.1供应商未通过谈判流程正规渠道下载本竞争性谈判文件或供应商的名称与下载本竞争性谈判文件时登记下载本竞争性谈判文件单位的名称不符；</w:t>
      </w:r>
    </w:p>
    <w:p w14:paraId="0BA82D8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8.2竞争性谈判响应文件中未提供法定代表人授权书（法定代表人直接应标的除外，但须提供身份证原件）或授权书的合法性或有效性不符合竞争性谈判文件规定；</w:t>
      </w:r>
    </w:p>
    <w:p w14:paraId="4DE6B93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8.3竞争性谈判响应文件未加盖供应商单位公章，未提供谈判有效期或有效期达不到本竞争性谈判文件要求的；</w:t>
      </w:r>
    </w:p>
    <w:p w14:paraId="275CE09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8.4竞争性谈判响应文件及资格证明材料未按照本竞争性谈判文件的规定进行盖章、编制、密封、装订、标识的；</w:t>
      </w:r>
    </w:p>
    <w:p w14:paraId="312066E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8.5未按本竞争性谈判文件规定的格式填写，内容不全或字迹模糊辨认不清；</w:t>
      </w:r>
    </w:p>
    <w:p w14:paraId="4319982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8.6必备资质的有效性或符合性不符合本竞争性谈判文件规定的；</w:t>
      </w:r>
    </w:p>
    <w:p w14:paraId="47EE9B8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8.7供应商针对同一项目递交两份或多份内容不同的竞争性谈判响应文件，未书面声明哪一份是有效的；出现选择性报价的；谈判报价超出采购预算的；</w:t>
      </w:r>
    </w:p>
    <w:p w14:paraId="27D287C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8.8竞争性谈判响应文件与竞争性谈判文件要求不一致（交货、付款、验收、售后服务等项），附加了招标人难以接受条件的；</w:t>
      </w:r>
    </w:p>
    <w:p w14:paraId="5F33595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8.9供应商超出自身经营范围的；</w:t>
      </w:r>
    </w:p>
    <w:p w14:paraId="4FF754F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0</w:t>
      </w:r>
      <w:r>
        <w:rPr>
          <w:rFonts w:hint="eastAsia" w:ascii="宋体" w:hAnsi="宋体" w:eastAsia="宋体" w:cs="宋体"/>
          <w:sz w:val="24"/>
        </w:rPr>
        <w:t>供应商的必备资格证明文件或谈判产品的资质证明材料不全、无效或达不到本竞争性谈判文件规定要求的；</w:t>
      </w:r>
    </w:p>
    <w:p w14:paraId="5E846DD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谈判内容的技术要求不能达到本竞争性谈判文件的要求，少报、漏报、降低产品档次或影响了性能、功能、谈判目的实现的；</w:t>
      </w:r>
    </w:p>
    <w:p w14:paraId="1975A0B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未按本竞争性谈判文件指定格式填写、签署、盖章及递交“谈判一览表”，或“分项报价表”出现漏项或谈判产品品目、数量与竞争性谈判文件要求不符的(数量不足的)；</w:t>
      </w:r>
    </w:p>
    <w:p w14:paraId="50A3C31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供应商拒不按照要求对竞争性谈判响应文件进行澄清、说明或者补正的，谈判小组可以否决其谈判；</w:t>
      </w:r>
    </w:p>
    <w:p w14:paraId="357FC95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竞争性谈判响应文件中含有招标人不能接受的附加条件的；</w:t>
      </w:r>
    </w:p>
    <w:p w14:paraId="025C81E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供应商提供虚假证明，开具虚假资质，除按无效标处理外，还进行相应的申报及处罚；</w:t>
      </w:r>
    </w:p>
    <w:p w14:paraId="31F0263A">
      <w:pPr>
        <w:adjustRightInd w:val="0"/>
        <w:snapToGrid w:val="0"/>
        <w:spacing w:line="360" w:lineRule="auto"/>
        <w:ind w:firstLine="480" w:firstLineChars="200"/>
        <w:rPr>
          <w:rFonts w:hint="eastAsia" w:ascii="宋体" w:hAnsi="宋体" w:eastAsia="宋体" w:cs="宋体"/>
          <w:spacing w:val="4"/>
          <w:sz w:val="24"/>
        </w:rPr>
      </w:pPr>
      <w:r>
        <w:rPr>
          <w:rFonts w:hint="eastAsia" w:ascii="宋体" w:hAnsi="宋体" w:eastAsia="宋体" w:cs="宋体"/>
          <w:sz w:val="24"/>
        </w:rPr>
        <w:t>8.1</w:t>
      </w:r>
      <w:r>
        <w:rPr>
          <w:rFonts w:hint="eastAsia" w:ascii="宋体" w:hAnsi="宋体" w:eastAsia="宋体" w:cs="宋体"/>
          <w:sz w:val="24"/>
          <w:lang w:val="en-US" w:eastAsia="zh-CN"/>
        </w:rPr>
        <w:t>6</w:t>
      </w:r>
      <w:r>
        <w:rPr>
          <w:rFonts w:hint="eastAsia" w:ascii="宋体" w:hAnsi="宋体" w:eastAsia="宋体" w:cs="宋体"/>
          <w:sz w:val="24"/>
        </w:rPr>
        <w:t xml:space="preserve"> 经证实，供应商在招标人以往项目中有不良记录影响谈判或谈判资格的。</w:t>
      </w:r>
    </w:p>
    <w:p w14:paraId="64F7587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 xml:space="preserve">  </w:t>
      </w:r>
    </w:p>
    <w:p w14:paraId="00098C19">
      <w:pPr>
        <w:rPr>
          <w:rFonts w:hint="eastAsia" w:ascii="宋体" w:hAnsi="宋体" w:eastAsia="宋体" w:cs="宋体"/>
          <w:b/>
          <w:bCs/>
          <w:sz w:val="36"/>
          <w:szCs w:val="36"/>
        </w:rPr>
      </w:pPr>
      <w:r>
        <w:rPr>
          <w:rFonts w:hint="eastAsia" w:ascii="宋体" w:hAnsi="宋体" w:eastAsia="宋体" w:cs="宋体"/>
          <w:b/>
          <w:bCs/>
          <w:sz w:val="36"/>
          <w:szCs w:val="36"/>
        </w:rPr>
        <w:br w:type="page"/>
      </w:r>
    </w:p>
    <w:p w14:paraId="09505DC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第五部分  合同主要条款</w:t>
      </w:r>
    </w:p>
    <w:p w14:paraId="6B2A1B5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        （仅供参考）</w:t>
      </w:r>
    </w:p>
    <w:p w14:paraId="4968D39C">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根据《中华人民共和国政府采购法》、《中华人民共和国民法典》及相关规定，为明确甲、乙双方责任，经甲、乙双方充分协商，特订立本合同，以便共同遵守。 </w:t>
      </w:r>
      <w:bookmarkStart w:id="14" w:name="f_gp191"/>
      <w:bookmarkEnd w:id="14"/>
      <w:bookmarkStart w:id="15" w:name="f_gp193"/>
      <w:bookmarkEnd w:id="15"/>
      <w:bookmarkStart w:id="16" w:name="f_gp190"/>
      <w:bookmarkEnd w:id="16"/>
      <w:bookmarkStart w:id="17" w:name="f_gp192"/>
      <w:bookmarkEnd w:id="17"/>
    </w:p>
    <w:p w14:paraId="558AF60A">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一、合同价款：</w:t>
      </w:r>
    </w:p>
    <w:p w14:paraId="4F0DCCD3">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1.合同总价包括：即供应商的谈判具体内容及其成交金额；</w:t>
      </w:r>
    </w:p>
    <w:p w14:paraId="5F77A9C5">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2.合同价不受市场价格变化因素的影响；</w:t>
      </w:r>
    </w:p>
    <w:p w14:paraId="0CB8D2B8">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3.付款方式：合同签订后甲方支付乙方30%合同金额预付款，项目验收完成后支付合同金额70%剩余款项。</w:t>
      </w:r>
    </w:p>
    <w:p w14:paraId="2978A2C1">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二、知识产权：即供应商应保证采购人在使用管理过程中，不承担任何涉及知识产权法律诉讼的责任。</w:t>
      </w:r>
    </w:p>
    <w:p w14:paraId="14088BA6">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三、供货期：30个工作日，质保期：1年。</w:t>
      </w:r>
    </w:p>
    <w:p w14:paraId="26E2285D">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四、交付地点：黄陵县人民检察院指定地点。</w:t>
      </w:r>
    </w:p>
    <w:p w14:paraId="4D332F15">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五、采购内容和要求：详见采购内容</w:t>
      </w:r>
    </w:p>
    <w:p w14:paraId="3FA2146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六、质保措施</w:t>
      </w:r>
    </w:p>
    <w:p w14:paraId="47F613E7">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供应商在项目内有义务在质保期内监督承建单位的售后服务。</w:t>
      </w:r>
    </w:p>
    <w:p w14:paraId="46666640">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七、违约责任：</w:t>
      </w:r>
    </w:p>
    <w:p w14:paraId="616D7D37">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7.1按照《民法典》中的相关条款执行；</w:t>
      </w:r>
    </w:p>
    <w:p w14:paraId="40698A43">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7.2未按合同要求提供服务或服务服务质量不能满足技术要求的，采购单位会同有关单位，有权终止合同和对供货方违约进行追究。</w:t>
      </w:r>
    </w:p>
    <w:p w14:paraId="2BE9F9A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八、验收：验收须以竞争性谈判文件、响应文件、合同、国家相应的标准、规范等为依据。</w:t>
      </w:r>
    </w:p>
    <w:p w14:paraId="4A1BD9FB">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九、合同争议的解决：合同执行中发生争议的，当事人双方应协商解决，协商达不成一致时，可向延安仲裁委员会申请仲裁或者向采购人所在地的人民法院提请诉讼。</w:t>
      </w:r>
    </w:p>
    <w:p w14:paraId="29864941">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十、合同一经签订，不得擅自变更、中止或者终止合同。对确需变更、调整或者中止、终止合同的，应按规定履行相应的手续。</w:t>
      </w:r>
    </w:p>
    <w:p w14:paraId="1FB4F8A4">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十一、本合同从签订之日起生效，合同规定的全部事宜和程序结束后终止。本合同一式三份，甲、乙双方和采购代理机构各一份。</w:t>
      </w:r>
    </w:p>
    <w:p w14:paraId="7CB35DA0">
      <w:pPr>
        <w:pStyle w:val="25"/>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十二、合同期内，未尽事宜，双方可根据服务需要，另立补充协议，补充协议是本合同的重要组成部分，具有同等法律效力。</w:t>
      </w:r>
    </w:p>
    <w:p w14:paraId="081BD038">
      <w:pPr>
        <w:autoSpaceDE w:val="0"/>
        <w:autoSpaceDN w:val="0"/>
        <w:adjustRightInd w:val="0"/>
        <w:spacing w:line="336" w:lineRule="auto"/>
        <w:ind w:firstLine="645"/>
        <w:rPr>
          <w:rFonts w:hint="eastAsia" w:ascii="宋体" w:hAnsi="宋体" w:eastAsia="宋体" w:cs="宋体"/>
          <w:sz w:val="24"/>
        </w:rPr>
      </w:pPr>
      <w:r>
        <w:rPr>
          <w:rFonts w:hint="eastAsia" w:ascii="宋体" w:hAnsi="宋体" w:eastAsia="宋体" w:cs="宋体"/>
          <w:bCs/>
          <w:sz w:val="24"/>
        </w:rPr>
        <w:t>本合同须经黄陵县政府采购中心确认，否则无效。（合同的服务承诺则长期有效）。</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8"/>
        <w:gridCol w:w="3018"/>
      </w:tblGrid>
      <w:tr w14:paraId="5672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2E0FA905">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甲  方</w:t>
            </w:r>
          </w:p>
        </w:tc>
        <w:tc>
          <w:tcPr>
            <w:tcW w:w="3018" w:type="dxa"/>
          </w:tcPr>
          <w:p w14:paraId="29D3F2E5">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乙  方</w:t>
            </w:r>
          </w:p>
        </w:tc>
        <w:tc>
          <w:tcPr>
            <w:tcW w:w="3018" w:type="dxa"/>
          </w:tcPr>
          <w:p w14:paraId="4319F902">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确 认 方</w:t>
            </w:r>
          </w:p>
        </w:tc>
      </w:tr>
      <w:tr w14:paraId="42CB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018" w:type="dxa"/>
            <w:vAlign w:val="center"/>
          </w:tcPr>
          <w:p w14:paraId="04EF450D">
            <w:pPr>
              <w:spacing w:line="420" w:lineRule="exact"/>
              <w:jc w:val="center"/>
              <w:rPr>
                <w:rFonts w:hint="eastAsia" w:ascii="宋体" w:hAnsi="宋体" w:eastAsia="宋体" w:cs="宋体"/>
                <w:bCs/>
                <w:color w:val="000000"/>
                <w:sz w:val="24"/>
              </w:rPr>
            </w:pPr>
          </w:p>
          <w:p w14:paraId="6A38B8EB">
            <w:pPr>
              <w:spacing w:line="420" w:lineRule="exact"/>
              <w:jc w:val="center"/>
              <w:rPr>
                <w:rFonts w:hint="eastAsia" w:ascii="宋体" w:hAnsi="宋体" w:eastAsia="宋体" w:cs="宋体"/>
                <w:bCs/>
                <w:color w:val="000000"/>
                <w:sz w:val="24"/>
              </w:rPr>
            </w:pPr>
          </w:p>
          <w:p w14:paraId="1D1B0E3A">
            <w:pPr>
              <w:spacing w:line="420" w:lineRule="exact"/>
              <w:jc w:val="center"/>
              <w:rPr>
                <w:rFonts w:hint="eastAsia" w:ascii="宋体" w:hAnsi="宋体" w:eastAsia="宋体" w:cs="宋体"/>
                <w:bCs/>
                <w:color w:val="000000"/>
                <w:sz w:val="24"/>
              </w:rPr>
            </w:pPr>
          </w:p>
          <w:p w14:paraId="31FD8E67">
            <w:pPr>
              <w:spacing w:line="420" w:lineRule="exact"/>
              <w:jc w:val="center"/>
              <w:rPr>
                <w:rFonts w:hint="eastAsia" w:ascii="宋体" w:hAnsi="宋体" w:eastAsia="宋体" w:cs="宋体"/>
                <w:bCs/>
                <w:color w:val="000000"/>
                <w:sz w:val="24"/>
              </w:rPr>
            </w:pPr>
          </w:p>
          <w:p w14:paraId="674CDC42">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c>
          <w:tcPr>
            <w:tcW w:w="3018" w:type="dxa"/>
            <w:vAlign w:val="center"/>
          </w:tcPr>
          <w:p w14:paraId="0AAABDD3">
            <w:pPr>
              <w:spacing w:line="420" w:lineRule="exact"/>
              <w:jc w:val="center"/>
              <w:rPr>
                <w:rFonts w:hint="eastAsia" w:ascii="宋体" w:hAnsi="宋体" w:eastAsia="宋体" w:cs="宋体"/>
                <w:bCs/>
                <w:color w:val="000000"/>
                <w:sz w:val="24"/>
              </w:rPr>
            </w:pPr>
          </w:p>
          <w:p w14:paraId="53410611">
            <w:pPr>
              <w:spacing w:line="420" w:lineRule="exact"/>
              <w:jc w:val="center"/>
              <w:rPr>
                <w:rFonts w:hint="eastAsia" w:ascii="宋体" w:hAnsi="宋体" w:eastAsia="宋体" w:cs="宋体"/>
                <w:bCs/>
                <w:color w:val="000000"/>
                <w:sz w:val="24"/>
              </w:rPr>
            </w:pPr>
          </w:p>
          <w:p w14:paraId="00929FC8">
            <w:pPr>
              <w:spacing w:line="420" w:lineRule="exact"/>
              <w:jc w:val="center"/>
              <w:rPr>
                <w:rFonts w:hint="eastAsia" w:ascii="宋体" w:hAnsi="宋体" w:eastAsia="宋体" w:cs="宋体"/>
                <w:bCs/>
                <w:color w:val="000000"/>
                <w:sz w:val="24"/>
              </w:rPr>
            </w:pPr>
          </w:p>
          <w:p w14:paraId="14087AD3">
            <w:pPr>
              <w:spacing w:line="420" w:lineRule="exact"/>
              <w:jc w:val="center"/>
              <w:rPr>
                <w:rFonts w:hint="eastAsia" w:ascii="宋体" w:hAnsi="宋体" w:eastAsia="宋体" w:cs="宋体"/>
                <w:bCs/>
                <w:color w:val="000000"/>
                <w:sz w:val="24"/>
              </w:rPr>
            </w:pPr>
          </w:p>
          <w:p w14:paraId="245CA8DA">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c>
          <w:tcPr>
            <w:tcW w:w="3018" w:type="dxa"/>
            <w:vAlign w:val="center"/>
          </w:tcPr>
          <w:p w14:paraId="11C67B04">
            <w:pPr>
              <w:spacing w:line="420" w:lineRule="exact"/>
              <w:jc w:val="center"/>
              <w:rPr>
                <w:rFonts w:hint="eastAsia" w:ascii="宋体" w:hAnsi="宋体" w:eastAsia="宋体" w:cs="宋体"/>
                <w:bCs/>
                <w:color w:val="000000"/>
                <w:sz w:val="24"/>
              </w:rPr>
            </w:pPr>
          </w:p>
          <w:p w14:paraId="066A130C">
            <w:pPr>
              <w:spacing w:line="420" w:lineRule="exact"/>
              <w:jc w:val="center"/>
              <w:rPr>
                <w:rFonts w:hint="eastAsia" w:ascii="宋体" w:hAnsi="宋体" w:eastAsia="宋体" w:cs="宋体"/>
                <w:bCs/>
                <w:color w:val="000000"/>
                <w:sz w:val="24"/>
              </w:rPr>
            </w:pPr>
          </w:p>
          <w:p w14:paraId="2E69733D">
            <w:pPr>
              <w:spacing w:line="420" w:lineRule="exact"/>
              <w:jc w:val="center"/>
              <w:rPr>
                <w:rFonts w:hint="eastAsia" w:ascii="宋体" w:hAnsi="宋体" w:eastAsia="宋体" w:cs="宋体"/>
                <w:bCs/>
                <w:color w:val="000000"/>
                <w:sz w:val="24"/>
              </w:rPr>
            </w:pPr>
          </w:p>
          <w:p w14:paraId="1E76AC03">
            <w:pPr>
              <w:spacing w:line="420" w:lineRule="exact"/>
              <w:jc w:val="center"/>
              <w:rPr>
                <w:rFonts w:hint="eastAsia" w:ascii="宋体" w:hAnsi="宋体" w:eastAsia="宋体" w:cs="宋体"/>
                <w:bCs/>
                <w:color w:val="000000"/>
                <w:sz w:val="24"/>
              </w:rPr>
            </w:pPr>
          </w:p>
          <w:p w14:paraId="49B1BDCD">
            <w:pPr>
              <w:spacing w:line="420" w:lineRule="exact"/>
              <w:jc w:val="center"/>
              <w:rPr>
                <w:rFonts w:hint="eastAsia" w:ascii="宋体" w:hAnsi="宋体" w:eastAsia="宋体" w:cs="宋体"/>
                <w:bCs/>
                <w:color w:val="000000"/>
                <w:sz w:val="24"/>
              </w:rPr>
            </w:pPr>
            <w:r>
              <w:rPr>
                <w:rFonts w:hint="eastAsia" w:ascii="宋体" w:hAnsi="宋体" w:eastAsia="宋体" w:cs="宋体"/>
                <w:bCs/>
                <w:color w:val="000000"/>
                <w:sz w:val="24"/>
              </w:rPr>
              <w:t>（盖章）</w:t>
            </w:r>
          </w:p>
        </w:tc>
      </w:tr>
      <w:tr w14:paraId="654D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018" w:type="dxa"/>
          </w:tcPr>
          <w:p w14:paraId="0B7C98F2">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c>
          <w:tcPr>
            <w:tcW w:w="3018" w:type="dxa"/>
          </w:tcPr>
          <w:p w14:paraId="4604223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c>
          <w:tcPr>
            <w:tcW w:w="3018" w:type="dxa"/>
          </w:tcPr>
          <w:p w14:paraId="27A0F7C3">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地址：</w:t>
            </w:r>
          </w:p>
        </w:tc>
      </w:tr>
      <w:tr w14:paraId="196F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743D24D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c>
          <w:tcPr>
            <w:tcW w:w="3018" w:type="dxa"/>
          </w:tcPr>
          <w:p w14:paraId="68BC2A65">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c>
          <w:tcPr>
            <w:tcW w:w="3018" w:type="dxa"/>
          </w:tcPr>
          <w:p w14:paraId="15B34521">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邮编：</w:t>
            </w:r>
          </w:p>
        </w:tc>
      </w:tr>
      <w:tr w14:paraId="01CF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6C677408">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 xml:space="preserve">法定代表人： </w:t>
            </w:r>
          </w:p>
        </w:tc>
        <w:tc>
          <w:tcPr>
            <w:tcW w:w="3018" w:type="dxa"/>
          </w:tcPr>
          <w:p w14:paraId="57DB461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法定代表人：</w:t>
            </w:r>
          </w:p>
        </w:tc>
        <w:tc>
          <w:tcPr>
            <w:tcW w:w="3018" w:type="dxa"/>
          </w:tcPr>
          <w:p w14:paraId="121D1C34">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法定代表人：</w:t>
            </w:r>
          </w:p>
        </w:tc>
      </w:tr>
      <w:tr w14:paraId="689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018" w:type="dxa"/>
          </w:tcPr>
          <w:p w14:paraId="18ECB11F">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tcPr>
          <w:p w14:paraId="4B53B7CC">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被授权代表：</w:t>
            </w:r>
          </w:p>
        </w:tc>
        <w:tc>
          <w:tcPr>
            <w:tcW w:w="3018" w:type="dxa"/>
          </w:tcPr>
          <w:p w14:paraId="65BEED2A">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承办人：</w:t>
            </w:r>
          </w:p>
        </w:tc>
      </w:tr>
      <w:tr w14:paraId="6606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tcPr>
          <w:p w14:paraId="785A9D9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3018" w:type="dxa"/>
          </w:tcPr>
          <w:p w14:paraId="475C972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c>
          <w:tcPr>
            <w:tcW w:w="3018" w:type="dxa"/>
          </w:tcPr>
          <w:p w14:paraId="462073C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电话：</w:t>
            </w:r>
          </w:p>
        </w:tc>
      </w:tr>
      <w:tr w14:paraId="5BCF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018" w:type="dxa"/>
          </w:tcPr>
          <w:p w14:paraId="2D5CBCB0">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3018" w:type="dxa"/>
          </w:tcPr>
          <w:p w14:paraId="59BF7D29">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c>
          <w:tcPr>
            <w:tcW w:w="3018" w:type="dxa"/>
          </w:tcPr>
          <w:p w14:paraId="223163D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传真：</w:t>
            </w:r>
          </w:p>
        </w:tc>
      </w:tr>
      <w:tr w14:paraId="5B63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018" w:type="dxa"/>
          </w:tcPr>
          <w:p w14:paraId="532B492B">
            <w:pPr>
              <w:spacing w:line="420" w:lineRule="exact"/>
              <w:rPr>
                <w:rFonts w:hint="eastAsia" w:ascii="宋体" w:hAnsi="宋体" w:eastAsia="宋体" w:cs="宋体"/>
                <w:bCs/>
                <w:color w:val="000000"/>
                <w:sz w:val="24"/>
              </w:rPr>
            </w:pPr>
          </w:p>
        </w:tc>
        <w:tc>
          <w:tcPr>
            <w:tcW w:w="3018" w:type="dxa"/>
          </w:tcPr>
          <w:p w14:paraId="3EA2D7BB">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开户银行：</w:t>
            </w:r>
          </w:p>
          <w:p w14:paraId="083AE400">
            <w:pPr>
              <w:spacing w:line="420" w:lineRule="exact"/>
              <w:rPr>
                <w:rFonts w:hint="eastAsia" w:ascii="宋体" w:hAnsi="宋体" w:eastAsia="宋体" w:cs="宋体"/>
                <w:bCs/>
                <w:color w:val="000000"/>
                <w:sz w:val="24"/>
              </w:rPr>
            </w:pPr>
          </w:p>
        </w:tc>
        <w:tc>
          <w:tcPr>
            <w:tcW w:w="3018" w:type="dxa"/>
          </w:tcPr>
          <w:p w14:paraId="564976EA">
            <w:pPr>
              <w:spacing w:line="420" w:lineRule="exact"/>
              <w:rPr>
                <w:rFonts w:hint="eastAsia" w:ascii="宋体" w:hAnsi="宋体" w:eastAsia="宋体" w:cs="宋体"/>
                <w:bCs/>
                <w:color w:val="000000"/>
                <w:sz w:val="24"/>
              </w:rPr>
            </w:pPr>
          </w:p>
        </w:tc>
      </w:tr>
      <w:tr w14:paraId="4D90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18" w:type="dxa"/>
          </w:tcPr>
          <w:p w14:paraId="21D193D4">
            <w:pPr>
              <w:spacing w:line="420" w:lineRule="exact"/>
              <w:rPr>
                <w:rFonts w:hint="eastAsia" w:ascii="宋体" w:hAnsi="宋体" w:eastAsia="宋体" w:cs="宋体"/>
                <w:bCs/>
                <w:color w:val="000000"/>
                <w:sz w:val="24"/>
              </w:rPr>
            </w:pPr>
          </w:p>
        </w:tc>
        <w:tc>
          <w:tcPr>
            <w:tcW w:w="3018" w:type="dxa"/>
          </w:tcPr>
          <w:p w14:paraId="0020F42D">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帐号：</w:t>
            </w:r>
          </w:p>
        </w:tc>
        <w:tc>
          <w:tcPr>
            <w:tcW w:w="3018" w:type="dxa"/>
          </w:tcPr>
          <w:p w14:paraId="0B4412C1">
            <w:pPr>
              <w:spacing w:line="420" w:lineRule="exact"/>
              <w:rPr>
                <w:rFonts w:hint="eastAsia" w:ascii="宋体" w:hAnsi="宋体" w:eastAsia="宋体" w:cs="宋体"/>
                <w:bCs/>
                <w:color w:val="000000"/>
                <w:sz w:val="24"/>
              </w:rPr>
            </w:pPr>
          </w:p>
        </w:tc>
      </w:tr>
      <w:tr w14:paraId="1AEC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18" w:type="dxa"/>
          </w:tcPr>
          <w:p w14:paraId="308C8F6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tcPr>
          <w:p w14:paraId="1B663391">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c>
          <w:tcPr>
            <w:tcW w:w="3018" w:type="dxa"/>
          </w:tcPr>
          <w:p w14:paraId="3AD510A7">
            <w:pPr>
              <w:spacing w:line="420" w:lineRule="exact"/>
              <w:rPr>
                <w:rFonts w:hint="eastAsia" w:ascii="宋体" w:hAnsi="宋体" w:eastAsia="宋体" w:cs="宋体"/>
                <w:bCs/>
                <w:color w:val="000000"/>
                <w:sz w:val="24"/>
              </w:rPr>
            </w:pPr>
            <w:r>
              <w:rPr>
                <w:rFonts w:hint="eastAsia" w:ascii="宋体" w:hAnsi="宋体" w:eastAsia="宋体" w:cs="宋体"/>
                <w:bCs/>
                <w:color w:val="000000"/>
                <w:sz w:val="24"/>
              </w:rPr>
              <w:t>日期：     年   月   日</w:t>
            </w:r>
          </w:p>
        </w:tc>
      </w:tr>
    </w:tbl>
    <w:p w14:paraId="0211A15F">
      <w:pPr>
        <w:rPr>
          <w:rFonts w:hint="eastAsia" w:ascii="宋体" w:hAnsi="宋体" w:eastAsia="宋体" w:cs="宋体"/>
          <w:b/>
          <w:sz w:val="44"/>
          <w:szCs w:val="44"/>
        </w:rPr>
      </w:pPr>
      <w:r>
        <w:rPr>
          <w:rFonts w:hint="eastAsia" w:ascii="宋体" w:hAnsi="宋体" w:eastAsia="宋体" w:cs="宋体"/>
          <w:b/>
          <w:sz w:val="44"/>
          <w:szCs w:val="44"/>
        </w:rPr>
        <w:br w:type="page"/>
      </w:r>
    </w:p>
    <w:p w14:paraId="796877C6">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第五部分 响应文件格式</w:t>
      </w:r>
    </w:p>
    <w:p w14:paraId="37C7E4F6">
      <w:pPr>
        <w:tabs>
          <w:tab w:val="left" w:pos="840"/>
        </w:tabs>
        <w:kinsoku w:val="0"/>
        <w:spacing w:line="360" w:lineRule="auto"/>
        <w:ind w:firstLine="6505" w:firstLineChars="1800"/>
        <w:jc w:val="left"/>
        <w:rPr>
          <w:rFonts w:hint="eastAsia" w:ascii="宋体" w:hAnsi="宋体" w:eastAsia="宋体" w:cs="宋体"/>
          <w:b/>
          <w:bCs/>
          <w:sz w:val="36"/>
          <w:szCs w:val="44"/>
        </w:rPr>
      </w:pPr>
      <w:r>
        <w:rPr>
          <w:rFonts w:hint="eastAsia" w:ascii="宋体" w:hAnsi="宋体" w:eastAsia="宋体" w:cs="宋体"/>
          <w:b/>
          <w:bCs/>
          <w:sz w:val="36"/>
          <w:szCs w:val="44"/>
        </w:rPr>
        <w:t xml:space="preserve"> </w:t>
      </w:r>
    </w:p>
    <w:p w14:paraId="0AA78FDB">
      <w:pPr>
        <w:tabs>
          <w:tab w:val="left" w:pos="840"/>
        </w:tabs>
        <w:kinsoku w:val="0"/>
        <w:spacing w:line="360" w:lineRule="auto"/>
        <w:ind w:firstLine="5060" w:firstLineChars="1800"/>
        <w:jc w:val="right"/>
        <w:rPr>
          <w:rFonts w:hint="eastAsia" w:ascii="宋体" w:hAnsi="宋体" w:eastAsia="宋体" w:cs="宋体"/>
          <w:b/>
          <w:sz w:val="44"/>
          <w:szCs w:val="44"/>
        </w:rPr>
      </w:pPr>
      <w:r>
        <w:rPr>
          <w:rFonts w:hint="eastAsia" w:ascii="宋体" w:hAnsi="宋体" w:eastAsia="宋体" w:cs="宋体"/>
          <w:b/>
          <w:sz w:val="28"/>
          <w:szCs w:val="28"/>
        </w:rPr>
        <w:t>（正本／副本）</w:t>
      </w:r>
    </w:p>
    <w:p w14:paraId="594679E8">
      <w:pPr>
        <w:tabs>
          <w:tab w:val="left" w:pos="840"/>
        </w:tabs>
        <w:kinsoku w:val="0"/>
        <w:snapToGrid w:val="0"/>
        <w:spacing w:line="500" w:lineRule="exact"/>
        <w:rPr>
          <w:rFonts w:hint="eastAsia" w:ascii="宋体" w:hAnsi="宋体" w:eastAsia="宋体" w:cs="宋体"/>
          <w:b/>
          <w:sz w:val="44"/>
          <w:szCs w:val="44"/>
        </w:rPr>
      </w:pPr>
    </w:p>
    <w:p w14:paraId="7FBF9FB4">
      <w:pPr>
        <w:overflowPunct w:val="0"/>
        <w:topLinePunct/>
        <w:jc w:val="center"/>
        <w:rPr>
          <w:rFonts w:hint="eastAsia" w:ascii="宋体" w:hAnsi="宋体" w:eastAsia="宋体" w:cs="宋体"/>
          <w:b/>
          <w:color w:val="000000"/>
          <w:sz w:val="52"/>
          <w:szCs w:val="144"/>
        </w:rPr>
      </w:pPr>
      <w:r>
        <w:rPr>
          <w:rFonts w:hint="eastAsia" w:ascii="宋体" w:hAnsi="宋体" w:eastAsia="宋体" w:cs="宋体"/>
          <w:b/>
          <w:color w:val="000000"/>
          <w:sz w:val="52"/>
          <w:szCs w:val="144"/>
        </w:rPr>
        <w:t>黄陵县人民检察院2024年中央和省级政法转移支付自定采购装备项目</w:t>
      </w:r>
    </w:p>
    <w:p w14:paraId="755EC834">
      <w:pPr>
        <w:pStyle w:val="10"/>
        <w:rPr>
          <w:rFonts w:hint="eastAsia" w:ascii="宋体" w:hAnsi="宋体" w:eastAsia="宋体" w:cs="宋体"/>
        </w:rPr>
      </w:pPr>
    </w:p>
    <w:p w14:paraId="503370FF">
      <w:pPr>
        <w:pStyle w:val="6"/>
        <w:rPr>
          <w:rFonts w:hint="eastAsia" w:ascii="宋体" w:hAnsi="宋体" w:eastAsia="宋体" w:cs="宋体"/>
          <w:b/>
          <w:color w:val="000000"/>
          <w:sz w:val="52"/>
          <w:szCs w:val="144"/>
        </w:rPr>
      </w:pPr>
    </w:p>
    <w:p w14:paraId="6082B516">
      <w:pPr>
        <w:rPr>
          <w:rFonts w:hint="eastAsia" w:ascii="宋体" w:hAnsi="宋体" w:eastAsia="宋体" w:cs="宋体"/>
        </w:rPr>
      </w:pPr>
    </w:p>
    <w:p w14:paraId="1169EDA7">
      <w:pPr>
        <w:rPr>
          <w:rFonts w:hint="eastAsia" w:ascii="宋体" w:hAnsi="宋体" w:eastAsia="宋体" w:cs="宋体"/>
        </w:rPr>
      </w:pPr>
    </w:p>
    <w:p w14:paraId="27CEDF49">
      <w:pPr>
        <w:overflowPunct w:val="0"/>
        <w:topLinePunct/>
        <w:jc w:val="center"/>
        <w:rPr>
          <w:rFonts w:hint="eastAsia" w:ascii="宋体" w:hAnsi="宋体" w:eastAsia="宋体" w:cs="宋体"/>
          <w:b/>
          <w:color w:val="000000"/>
          <w:sz w:val="52"/>
          <w:szCs w:val="144"/>
        </w:rPr>
      </w:pPr>
    </w:p>
    <w:p w14:paraId="4658AF2A">
      <w:pPr>
        <w:overflowPunct w:val="0"/>
        <w:topLinePunct/>
        <w:jc w:val="center"/>
        <w:rPr>
          <w:rFonts w:hint="eastAsia" w:ascii="宋体" w:hAnsi="宋体" w:eastAsia="宋体" w:cs="宋体"/>
          <w:b/>
          <w:color w:val="000000"/>
          <w:sz w:val="52"/>
          <w:szCs w:val="144"/>
        </w:rPr>
      </w:pPr>
    </w:p>
    <w:p w14:paraId="5344A836">
      <w:pPr>
        <w:overflowPunct w:val="0"/>
        <w:topLinePunct/>
        <w:jc w:val="center"/>
        <w:rPr>
          <w:rFonts w:hint="eastAsia" w:ascii="宋体" w:hAnsi="宋体" w:eastAsia="宋体" w:cs="宋体"/>
          <w:b/>
          <w:color w:val="000000"/>
          <w:sz w:val="52"/>
          <w:szCs w:val="144"/>
        </w:rPr>
      </w:pPr>
      <w:r>
        <w:rPr>
          <w:rFonts w:hint="eastAsia" w:ascii="宋体" w:hAnsi="宋体" w:eastAsia="宋体" w:cs="宋体"/>
          <w:b/>
          <w:color w:val="000000"/>
          <w:sz w:val="52"/>
          <w:szCs w:val="144"/>
        </w:rPr>
        <w:t>响 应 文 件</w:t>
      </w:r>
    </w:p>
    <w:p w14:paraId="0BF6042D">
      <w:pPr>
        <w:overflowPunct w:val="0"/>
        <w:topLinePunct/>
        <w:jc w:val="center"/>
        <w:rPr>
          <w:rFonts w:hint="eastAsia" w:ascii="宋体" w:hAnsi="宋体" w:eastAsia="宋体" w:cs="宋体"/>
          <w:b/>
          <w:bCs/>
          <w:spacing w:val="20"/>
          <w:sz w:val="24"/>
          <w:highlight w:val="none"/>
        </w:rPr>
      </w:pPr>
      <w:r>
        <w:rPr>
          <w:rFonts w:hint="eastAsia" w:ascii="宋体" w:hAnsi="宋体" w:eastAsia="宋体" w:cs="宋体"/>
          <w:b/>
          <w:bCs/>
          <w:sz w:val="24"/>
          <w:highlight w:val="none"/>
        </w:rPr>
        <w:t>（项目编号：HLZC-TP-2024-15）</w:t>
      </w:r>
    </w:p>
    <w:p w14:paraId="780ADCAE">
      <w:pPr>
        <w:pStyle w:val="9"/>
        <w:ind w:firstLine="1706" w:firstLineChars="500"/>
        <w:rPr>
          <w:rFonts w:hint="eastAsia" w:ascii="宋体" w:hAnsi="宋体" w:eastAsia="宋体" w:cs="宋体"/>
          <w:b/>
          <w:bCs/>
          <w:spacing w:val="20"/>
          <w:sz w:val="30"/>
          <w:szCs w:val="30"/>
        </w:rPr>
      </w:pPr>
      <w:r>
        <w:rPr>
          <w:rFonts w:hint="eastAsia" w:ascii="宋体" w:hAnsi="宋体" w:eastAsia="宋体" w:cs="宋体"/>
          <w:b/>
          <w:bCs/>
          <w:spacing w:val="20"/>
          <w:sz w:val="30"/>
          <w:szCs w:val="30"/>
        </w:rPr>
        <w:t xml:space="preserve">              </w:t>
      </w:r>
    </w:p>
    <w:p w14:paraId="53C0F11A">
      <w:pPr>
        <w:pStyle w:val="9"/>
        <w:ind w:firstLine="1706" w:firstLineChars="500"/>
        <w:rPr>
          <w:rFonts w:hint="eastAsia" w:ascii="宋体" w:hAnsi="宋体" w:eastAsia="宋体" w:cs="宋体"/>
          <w:b/>
          <w:bCs/>
          <w:spacing w:val="20"/>
          <w:sz w:val="30"/>
          <w:szCs w:val="30"/>
        </w:rPr>
      </w:pPr>
      <w:r>
        <w:rPr>
          <w:rFonts w:hint="eastAsia" w:ascii="宋体" w:hAnsi="宋体" w:eastAsia="宋体" w:cs="宋体"/>
          <w:b/>
          <w:bCs/>
          <w:spacing w:val="20"/>
          <w:sz w:val="30"/>
          <w:szCs w:val="30"/>
        </w:rPr>
        <w:t xml:space="preserve"> </w:t>
      </w:r>
    </w:p>
    <w:p w14:paraId="2BEE4FE2">
      <w:pPr>
        <w:pStyle w:val="9"/>
        <w:ind w:left="0" w:leftChars="0"/>
        <w:rPr>
          <w:rFonts w:hint="eastAsia" w:ascii="宋体" w:hAnsi="宋体" w:eastAsia="宋体" w:cs="宋体"/>
          <w:b/>
          <w:bCs/>
          <w:spacing w:val="20"/>
          <w:sz w:val="22"/>
          <w:szCs w:val="22"/>
        </w:rPr>
      </w:pPr>
    </w:p>
    <w:p w14:paraId="707B57FB">
      <w:pPr>
        <w:pStyle w:val="9"/>
        <w:ind w:left="0" w:leftChars="0"/>
        <w:rPr>
          <w:rFonts w:hint="eastAsia" w:ascii="宋体" w:hAnsi="宋体" w:eastAsia="宋体" w:cs="宋体"/>
          <w:b/>
          <w:bCs/>
          <w:spacing w:val="20"/>
          <w:sz w:val="22"/>
          <w:szCs w:val="22"/>
        </w:rPr>
      </w:pPr>
    </w:p>
    <w:p w14:paraId="46EB31F1">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供   应  商：</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（盖单位公章）</w:t>
      </w:r>
    </w:p>
    <w:p w14:paraId="47E7CAD5">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法定代表人或</w:t>
      </w:r>
    </w:p>
    <w:p w14:paraId="225D36E1">
      <w:pPr>
        <w:spacing w:line="360" w:lineRule="auto"/>
        <w:ind w:firstLine="167" w:firstLineChars="49"/>
        <w:rPr>
          <w:rFonts w:hint="eastAsia" w:ascii="宋体" w:hAnsi="宋体" w:eastAsia="宋体" w:cs="宋体"/>
          <w:b/>
          <w:bCs/>
          <w:spacing w:val="20"/>
          <w:sz w:val="30"/>
          <w:szCs w:val="30"/>
        </w:rPr>
      </w:pPr>
      <w:r>
        <w:rPr>
          <w:rFonts w:hint="eastAsia" w:ascii="宋体" w:hAnsi="宋体" w:eastAsia="宋体" w:cs="宋体"/>
          <w:b/>
          <w:bCs/>
          <w:spacing w:val="20"/>
          <w:sz w:val="30"/>
          <w:szCs w:val="30"/>
        </w:rPr>
        <w:t>其委托代理人：</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 xml:space="preserve"> （签字或盖章）</w:t>
      </w:r>
    </w:p>
    <w:p w14:paraId="6D0F25FC">
      <w:pPr>
        <w:spacing w:line="360" w:lineRule="auto"/>
        <w:ind w:firstLine="167" w:firstLineChars="49"/>
        <w:rPr>
          <w:rFonts w:hint="eastAsia" w:ascii="宋体" w:hAnsi="宋体" w:eastAsia="宋体" w:cs="宋体"/>
          <w:b/>
          <w:sz w:val="32"/>
          <w:szCs w:val="32"/>
        </w:rPr>
      </w:pPr>
      <w:r>
        <w:rPr>
          <w:rFonts w:hint="eastAsia" w:ascii="宋体" w:hAnsi="宋体" w:eastAsia="宋体" w:cs="宋体"/>
          <w:b/>
          <w:bCs/>
          <w:spacing w:val="20"/>
          <w:sz w:val="30"/>
          <w:szCs w:val="30"/>
        </w:rPr>
        <w:t>日       期：</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年</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月</w:t>
      </w:r>
      <w:r>
        <w:rPr>
          <w:rFonts w:hint="eastAsia" w:ascii="宋体" w:hAnsi="宋体" w:eastAsia="宋体" w:cs="宋体"/>
          <w:b/>
          <w:bCs/>
          <w:spacing w:val="20"/>
          <w:sz w:val="30"/>
          <w:szCs w:val="30"/>
          <w:u w:val="single"/>
        </w:rPr>
        <w:t xml:space="preserve">     </w:t>
      </w:r>
      <w:r>
        <w:rPr>
          <w:rFonts w:hint="eastAsia" w:ascii="宋体" w:hAnsi="宋体" w:eastAsia="宋体" w:cs="宋体"/>
          <w:b/>
          <w:bCs/>
          <w:spacing w:val="20"/>
          <w:sz w:val="30"/>
          <w:szCs w:val="30"/>
        </w:rPr>
        <w:t>日</w:t>
      </w:r>
    </w:p>
    <w:p w14:paraId="793122FD">
      <w:pPr>
        <w:spacing w:line="700" w:lineRule="exact"/>
        <w:jc w:val="center"/>
        <w:rPr>
          <w:rFonts w:hint="eastAsia" w:ascii="宋体" w:hAnsi="宋体" w:eastAsia="宋体" w:cs="宋体"/>
          <w:b/>
          <w:bCs/>
        </w:rPr>
      </w:pPr>
      <w:r>
        <w:rPr>
          <w:rFonts w:hint="eastAsia" w:ascii="宋体" w:hAnsi="宋体" w:eastAsia="宋体" w:cs="宋体"/>
          <w:b/>
          <w:bCs/>
          <w:sz w:val="48"/>
          <w:szCs w:val="48"/>
        </w:rPr>
        <w:t>目    录</w:t>
      </w:r>
    </w:p>
    <w:p w14:paraId="6D183A38">
      <w:pPr>
        <w:spacing w:line="200" w:lineRule="exact"/>
        <w:rPr>
          <w:rFonts w:hint="eastAsia" w:ascii="宋体" w:hAnsi="宋体" w:eastAsia="宋体" w:cs="宋体"/>
        </w:rPr>
      </w:pPr>
    </w:p>
    <w:p w14:paraId="557E6F5A">
      <w:pPr>
        <w:spacing w:line="200" w:lineRule="exact"/>
        <w:rPr>
          <w:rFonts w:hint="eastAsia" w:ascii="宋体" w:hAnsi="宋体" w:eastAsia="宋体" w:cs="宋体"/>
        </w:rPr>
      </w:pPr>
    </w:p>
    <w:p w14:paraId="6E82B705">
      <w:pPr>
        <w:spacing w:line="200" w:lineRule="exact"/>
        <w:rPr>
          <w:rFonts w:hint="eastAsia" w:ascii="宋体" w:hAnsi="宋体" w:eastAsia="宋体" w:cs="宋体"/>
        </w:rPr>
      </w:pPr>
    </w:p>
    <w:p w14:paraId="27B4272A">
      <w:pPr>
        <w:spacing w:line="200" w:lineRule="exact"/>
        <w:rPr>
          <w:rFonts w:hint="eastAsia" w:ascii="宋体" w:hAnsi="宋体" w:eastAsia="宋体" w:cs="宋体"/>
        </w:rPr>
      </w:pPr>
    </w:p>
    <w:p w14:paraId="454F42E9">
      <w:pPr>
        <w:spacing w:line="200" w:lineRule="exact"/>
        <w:rPr>
          <w:rFonts w:hint="eastAsia" w:ascii="宋体" w:hAnsi="宋体" w:eastAsia="宋体" w:cs="宋体"/>
        </w:rPr>
      </w:pPr>
    </w:p>
    <w:p w14:paraId="0CC6B785">
      <w:pPr>
        <w:ind w:left="360"/>
        <w:rPr>
          <w:rFonts w:hint="eastAsia" w:ascii="宋体" w:hAnsi="宋体" w:eastAsia="宋体" w:cs="宋体"/>
          <w:sz w:val="28"/>
          <w:szCs w:val="28"/>
        </w:rPr>
      </w:pPr>
      <w:r>
        <w:rPr>
          <w:rFonts w:hint="eastAsia" w:ascii="宋体" w:hAnsi="宋体" w:eastAsia="宋体" w:cs="宋体"/>
          <w:sz w:val="28"/>
          <w:szCs w:val="28"/>
        </w:rPr>
        <w:t>一、谈判响应函</w:t>
      </w:r>
    </w:p>
    <w:p w14:paraId="3E7B18BF">
      <w:pPr>
        <w:ind w:left="360"/>
        <w:rPr>
          <w:rFonts w:hint="eastAsia" w:ascii="宋体" w:hAnsi="宋体" w:eastAsia="宋体" w:cs="宋体"/>
          <w:sz w:val="28"/>
          <w:szCs w:val="28"/>
        </w:rPr>
      </w:pPr>
    </w:p>
    <w:p w14:paraId="13713068">
      <w:pPr>
        <w:ind w:left="360"/>
        <w:rPr>
          <w:rFonts w:hint="eastAsia" w:ascii="宋体" w:hAnsi="宋体" w:eastAsia="宋体" w:cs="宋体"/>
          <w:sz w:val="28"/>
          <w:szCs w:val="28"/>
        </w:rPr>
      </w:pPr>
      <w:r>
        <w:rPr>
          <w:rFonts w:hint="eastAsia" w:ascii="宋体" w:hAnsi="宋体" w:eastAsia="宋体" w:cs="宋体"/>
          <w:sz w:val="28"/>
          <w:szCs w:val="28"/>
        </w:rPr>
        <w:t>二、法定代表人证明书与授权书</w:t>
      </w:r>
    </w:p>
    <w:p w14:paraId="785AB129">
      <w:pPr>
        <w:ind w:left="360"/>
        <w:rPr>
          <w:rFonts w:hint="eastAsia" w:ascii="宋体" w:hAnsi="宋体" w:eastAsia="宋体" w:cs="宋体"/>
          <w:sz w:val="28"/>
          <w:szCs w:val="28"/>
        </w:rPr>
      </w:pPr>
    </w:p>
    <w:p w14:paraId="4A4B789E">
      <w:pPr>
        <w:ind w:left="360"/>
        <w:rPr>
          <w:rFonts w:hint="eastAsia" w:ascii="宋体" w:hAnsi="宋体" w:eastAsia="宋体" w:cs="宋体"/>
          <w:sz w:val="28"/>
          <w:szCs w:val="28"/>
        </w:rPr>
      </w:pPr>
      <w:r>
        <w:rPr>
          <w:rFonts w:hint="eastAsia" w:ascii="宋体" w:hAnsi="宋体" w:eastAsia="宋体" w:cs="宋体"/>
          <w:sz w:val="28"/>
          <w:szCs w:val="28"/>
        </w:rPr>
        <w:t>三、响应报价表</w:t>
      </w:r>
    </w:p>
    <w:p w14:paraId="4C5F0FA7">
      <w:pPr>
        <w:ind w:left="360"/>
        <w:rPr>
          <w:rFonts w:hint="eastAsia" w:ascii="宋体" w:hAnsi="宋体" w:eastAsia="宋体" w:cs="宋体"/>
          <w:sz w:val="28"/>
          <w:szCs w:val="28"/>
        </w:rPr>
      </w:pPr>
    </w:p>
    <w:p w14:paraId="75E853BB">
      <w:pPr>
        <w:ind w:left="360"/>
        <w:rPr>
          <w:rFonts w:hint="eastAsia" w:ascii="宋体" w:hAnsi="宋体" w:eastAsia="宋体" w:cs="宋体"/>
          <w:sz w:val="28"/>
          <w:szCs w:val="28"/>
        </w:rPr>
      </w:pPr>
      <w:r>
        <w:rPr>
          <w:rFonts w:hint="eastAsia" w:ascii="宋体" w:hAnsi="宋体" w:eastAsia="宋体" w:cs="宋体"/>
          <w:sz w:val="28"/>
          <w:szCs w:val="28"/>
        </w:rPr>
        <w:t>四、商务响应方案</w:t>
      </w:r>
    </w:p>
    <w:p w14:paraId="6CE11382">
      <w:pPr>
        <w:ind w:left="360"/>
        <w:rPr>
          <w:rFonts w:hint="eastAsia" w:ascii="宋体" w:hAnsi="宋体" w:eastAsia="宋体" w:cs="宋体"/>
          <w:sz w:val="28"/>
          <w:szCs w:val="28"/>
        </w:rPr>
      </w:pPr>
    </w:p>
    <w:p w14:paraId="11B655B2">
      <w:pPr>
        <w:ind w:left="360"/>
        <w:rPr>
          <w:rFonts w:hint="eastAsia" w:ascii="宋体" w:hAnsi="宋体" w:eastAsia="宋体" w:cs="宋体"/>
          <w:sz w:val="28"/>
          <w:szCs w:val="28"/>
        </w:rPr>
      </w:pPr>
      <w:r>
        <w:rPr>
          <w:rFonts w:hint="eastAsia" w:ascii="宋体" w:hAnsi="宋体" w:eastAsia="宋体" w:cs="宋体"/>
          <w:sz w:val="28"/>
          <w:szCs w:val="28"/>
        </w:rPr>
        <w:t>五、资格证明文件</w:t>
      </w:r>
    </w:p>
    <w:p w14:paraId="1B023DB2">
      <w:pPr>
        <w:ind w:left="360"/>
        <w:rPr>
          <w:rFonts w:hint="eastAsia" w:ascii="宋体" w:hAnsi="宋体" w:eastAsia="宋体" w:cs="宋体"/>
          <w:sz w:val="28"/>
          <w:szCs w:val="28"/>
        </w:rPr>
      </w:pPr>
    </w:p>
    <w:p w14:paraId="400599B3">
      <w:pPr>
        <w:ind w:left="360"/>
        <w:rPr>
          <w:rFonts w:hint="eastAsia" w:ascii="宋体" w:hAnsi="宋体" w:eastAsia="宋体" w:cs="宋体"/>
          <w:sz w:val="28"/>
          <w:szCs w:val="28"/>
        </w:rPr>
      </w:pPr>
      <w:r>
        <w:rPr>
          <w:rFonts w:hint="eastAsia" w:ascii="宋体" w:hAnsi="宋体" w:eastAsia="宋体" w:cs="宋体"/>
          <w:sz w:val="28"/>
          <w:szCs w:val="28"/>
        </w:rPr>
        <w:t>六、技术服务方案</w:t>
      </w:r>
    </w:p>
    <w:p w14:paraId="31E63F2C">
      <w:pPr>
        <w:ind w:left="360"/>
        <w:rPr>
          <w:rFonts w:hint="eastAsia" w:ascii="宋体" w:hAnsi="宋体" w:eastAsia="宋体" w:cs="宋体"/>
          <w:sz w:val="28"/>
          <w:szCs w:val="28"/>
        </w:rPr>
      </w:pPr>
    </w:p>
    <w:p w14:paraId="691237F9">
      <w:pPr>
        <w:ind w:left="360"/>
        <w:rPr>
          <w:rFonts w:hint="eastAsia" w:ascii="宋体" w:hAnsi="宋体" w:eastAsia="宋体" w:cs="宋体"/>
          <w:sz w:val="28"/>
          <w:szCs w:val="28"/>
        </w:rPr>
      </w:pPr>
      <w:r>
        <w:rPr>
          <w:rFonts w:hint="eastAsia" w:ascii="宋体" w:hAnsi="宋体" w:eastAsia="宋体" w:cs="宋体"/>
          <w:sz w:val="28"/>
          <w:szCs w:val="28"/>
        </w:rPr>
        <w:t>七、供应商承诺</w:t>
      </w:r>
    </w:p>
    <w:p w14:paraId="7AFA461D">
      <w:pPr>
        <w:ind w:left="360"/>
        <w:rPr>
          <w:rFonts w:hint="eastAsia" w:ascii="宋体" w:hAnsi="宋体" w:eastAsia="宋体" w:cs="宋体"/>
          <w:sz w:val="28"/>
          <w:szCs w:val="28"/>
        </w:rPr>
      </w:pPr>
    </w:p>
    <w:p w14:paraId="6E60ADA2">
      <w:pPr>
        <w:ind w:left="360"/>
        <w:rPr>
          <w:rFonts w:hint="eastAsia" w:ascii="宋体" w:hAnsi="宋体" w:eastAsia="宋体" w:cs="宋体"/>
          <w:sz w:val="28"/>
          <w:szCs w:val="28"/>
        </w:rPr>
      </w:pPr>
      <w:r>
        <w:rPr>
          <w:rFonts w:hint="eastAsia" w:ascii="宋体" w:hAnsi="宋体" w:eastAsia="宋体" w:cs="宋体"/>
          <w:sz w:val="28"/>
          <w:szCs w:val="28"/>
        </w:rPr>
        <w:t>八、供应商认为有必要补充说明的事项</w:t>
      </w:r>
    </w:p>
    <w:p w14:paraId="0DF21DA9">
      <w:pPr>
        <w:widowControl/>
        <w:tabs>
          <w:tab w:val="right" w:leader="dot" w:pos="9072"/>
        </w:tabs>
        <w:jc w:val="center"/>
        <w:rPr>
          <w:rFonts w:hint="eastAsia" w:ascii="宋体" w:hAnsi="宋体" w:eastAsia="宋体" w:cs="宋体"/>
          <w:b/>
          <w:kern w:val="0"/>
          <w:sz w:val="24"/>
          <w:szCs w:val="20"/>
        </w:rPr>
      </w:pPr>
      <w:r>
        <w:rPr>
          <w:rFonts w:hint="eastAsia" w:ascii="宋体" w:hAnsi="宋体" w:eastAsia="宋体" w:cs="宋体"/>
          <w:color w:val="000000"/>
          <w:kern w:val="0"/>
          <w:sz w:val="28"/>
          <w:szCs w:val="28"/>
        </w:rPr>
        <w:br w:type="page"/>
      </w:r>
    </w:p>
    <w:p w14:paraId="1C688EF9">
      <w:pPr>
        <w:spacing w:line="366" w:lineRule="exact"/>
        <w:jc w:val="center"/>
        <w:rPr>
          <w:rFonts w:hint="eastAsia" w:ascii="宋体" w:hAnsi="宋体" w:eastAsia="宋体" w:cs="宋体"/>
          <w:b/>
          <w:sz w:val="32"/>
        </w:rPr>
      </w:pPr>
      <w:r>
        <w:rPr>
          <w:rFonts w:hint="eastAsia" w:ascii="宋体" w:hAnsi="宋体" w:eastAsia="宋体" w:cs="宋体"/>
          <w:b/>
          <w:sz w:val="32"/>
        </w:rPr>
        <w:t>一、谈判</w:t>
      </w:r>
      <w:r>
        <w:rPr>
          <w:rFonts w:hint="eastAsia" w:ascii="宋体" w:hAnsi="宋体" w:eastAsia="宋体" w:cs="宋体"/>
          <w:b/>
          <w:sz w:val="32"/>
          <w:szCs w:val="32"/>
        </w:rPr>
        <w:t>响应函</w:t>
      </w:r>
    </w:p>
    <w:p w14:paraId="7241B13C">
      <w:pPr>
        <w:tabs>
          <w:tab w:val="left" w:pos="1260"/>
        </w:tabs>
        <w:spacing w:line="300" w:lineRule="exact"/>
        <w:jc w:val="center"/>
        <w:rPr>
          <w:rFonts w:hint="eastAsia" w:ascii="宋体" w:hAnsi="宋体" w:eastAsia="宋体" w:cs="宋体"/>
          <w:b/>
          <w:sz w:val="32"/>
          <w:szCs w:val="32"/>
          <w:u w:val="single"/>
        </w:rPr>
      </w:pPr>
    </w:p>
    <w:p w14:paraId="5D392F46">
      <w:pPr>
        <w:kinsoku w:val="0"/>
        <w:spacing w:line="500" w:lineRule="exact"/>
        <w:rPr>
          <w:rFonts w:hint="eastAsia" w:ascii="宋体" w:hAnsi="宋体" w:eastAsia="宋体" w:cs="宋体"/>
          <w:sz w:val="24"/>
        </w:rPr>
      </w:pPr>
      <w:r>
        <w:rPr>
          <w:rFonts w:hint="eastAsia" w:ascii="宋体" w:hAnsi="宋体" w:eastAsia="宋体" w:cs="宋体"/>
          <w:spacing w:val="-6"/>
          <w:sz w:val="24"/>
        </w:rPr>
        <w:t>黄陵县政府采购中心</w:t>
      </w:r>
      <w:r>
        <w:rPr>
          <w:rFonts w:hint="eastAsia" w:ascii="宋体" w:hAnsi="宋体" w:eastAsia="宋体" w:cs="宋体"/>
          <w:sz w:val="24"/>
        </w:rPr>
        <w:t>：</w:t>
      </w:r>
    </w:p>
    <w:p w14:paraId="75D78098">
      <w:pPr>
        <w:spacing w:line="560" w:lineRule="exact"/>
        <w:ind w:firstLine="307" w:firstLineChars="128"/>
        <w:rPr>
          <w:rFonts w:hint="eastAsia" w:ascii="宋体" w:hAnsi="宋体" w:eastAsia="宋体" w:cs="宋体"/>
          <w:sz w:val="24"/>
        </w:rPr>
      </w:pPr>
      <w:r>
        <w:rPr>
          <w:rFonts w:hint="eastAsia" w:ascii="宋体" w:hAnsi="宋体" w:eastAsia="宋体" w:cs="宋体"/>
          <w:sz w:val="24"/>
        </w:rPr>
        <w:t>我公司收到贵单位</w:t>
      </w:r>
      <w:r>
        <w:rPr>
          <w:rFonts w:hint="eastAsia" w:ascii="宋体" w:hAnsi="宋体" w:eastAsia="宋体" w:cs="宋体"/>
          <w:sz w:val="24"/>
          <w:u w:val="single"/>
        </w:rPr>
        <w:t xml:space="preserve">        </w:t>
      </w:r>
      <w:r>
        <w:rPr>
          <w:rFonts w:hint="eastAsia" w:ascii="宋体" w:hAnsi="宋体" w:eastAsia="宋体" w:cs="宋体"/>
          <w:sz w:val="24"/>
        </w:rPr>
        <w:t>号谈判文件，经详细研究，决定参加本次谈判活动。为此，我方郑重声明以下几点，并愿负法律责任。</w:t>
      </w:r>
    </w:p>
    <w:p w14:paraId="676D4432">
      <w:pPr>
        <w:spacing w:line="560" w:lineRule="exact"/>
        <w:ind w:firstLine="307" w:firstLineChars="128"/>
        <w:rPr>
          <w:rFonts w:hint="eastAsia" w:ascii="宋体" w:hAnsi="宋体" w:eastAsia="宋体" w:cs="宋体"/>
          <w:sz w:val="24"/>
        </w:rPr>
      </w:pPr>
      <w:r>
        <w:rPr>
          <w:rFonts w:hint="eastAsia" w:ascii="宋体" w:hAnsi="宋体" w:eastAsia="宋体" w:cs="宋体"/>
          <w:sz w:val="24"/>
        </w:rPr>
        <w:t>1．按照谈判文件中的一切要求，提供完全满足采购需求的合格货物和全面技术、售后货物保障。</w:t>
      </w:r>
    </w:p>
    <w:p w14:paraId="65DE3177">
      <w:pPr>
        <w:spacing w:line="560" w:lineRule="exact"/>
        <w:ind w:firstLine="307" w:firstLineChars="128"/>
        <w:rPr>
          <w:rFonts w:hint="eastAsia" w:ascii="宋体" w:hAnsi="宋体" w:eastAsia="宋体" w:cs="宋体"/>
          <w:sz w:val="24"/>
        </w:rPr>
      </w:pPr>
      <w:r>
        <w:rPr>
          <w:rFonts w:hint="eastAsia" w:ascii="宋体" w:hAnsi="宋体" w:eastAsia="宋体" w:cs="宋体"/>
          <w:sz w:val="24"/>
        </w:rPr>
        <w:t>2．如若成交，将根据谈判文件的要求、响应文件及承诺条件，全面签约并履行合同规定的责任和义务。</w:t>
      </w:r>
    </w:p>
    <w:p w14:paraId="181C9360">
      <w:pPr>
        <w:spacing w:line="560" w:lineRule="exact"/>
        <w:ind w:firstLine="307" w:firstLineChars="128"/>
        <w:rPr>
          <w:rFonts w:hint="eastAsia" w:ascii="宋体" w:hAnsi="宋体" w:eastAsia="宋体" w:cs="宋体"/>
          <w:sz w:val="24"/>
        </w:rPr>
      </w:pPr>
      <w:r>
        <w:rPr>
          <w:rFonts w:hint="eastAsia" w:ascii="宋体" w:hAnsi="宋体" w:eastAsia="宋体" w:cs="宋体"/>
          <w:sz w:val="24"/>
        </w:rPr>
        <w:t>3．我方提交的谈判响应文件共</w:t>
      </w:r>
      <w:r>
        <w:rPr>
          <w:rFonts w:hint="eastAsia" w:ascii="宋体" w:hAnsi="宋体" w:eastAsia="宋体" w:cs="宋体"/>
          <w:sz w:val="24"/>
          <w:u w:val="single"/>
        </w:rPr>
        <w:t xml:space="preserve">    </w:t>
      </w:r>
      <w:r>
        <w:rPr>
          <w:rFonts w:hint="eastAsia" w:ascii="宋体" w:hAnsi="宋体" w:eastAsia="宋体" w:cs="宋体"/>
          <w:sz w:val="24"/>
        </w:rPr>
        <w:t>份，其中正本</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rPr>
        <w:t>份。</w:t>
      </w:r>
    </w:p>
    <w:p w14:paraId="2EC3E501">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．我方已详细阅读和核实谈判文件全部内容，完全理解并同意放弃提出含糊不清和误解问题的权力。</w:t>
      </w:r>
    </w:p>
    <w:p w14:paraId="2C352703">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．同意提供贵方要求的与本次谈判有关的任何证明资料。</w:t>
      </w:r>
    </w:p>
    <w:p w14:paraId="0E267B27">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．我方的谈判响应文件自谈判大会之日计算有效为</w:t>
      </w:r>
      <w:r>
        <w:rPr>
          <w:rFonts w:hint="eastAsia" w:ascii="宋体" w:hAnsi="宋体" w:eastAsia="宋体" w:cs="宋体"/>
          <w:sz w:val="24"/>
          <w:u w:val="single"/>
        </w:rPr>
        <w:t xml:space="preserve">   </w:t>
      </w:r>
      <w:r>
        <w:rPr>
          <w:rFonts w:hint="eastAsia" w:ascii="宋体" w:hAnsi="宋体" w:eastAsia="宋体" w:cs="宋体"/>
          <w:sz w:val="24"/>
        </w:rPr>
        <w:t>个日历日。</w:t>
      </w:r>
    </w:p>
    <w:p w14:paraId="754F5192">
      <w:pPr>
        <w:spacing w:line="560" w:lineRule="exact"/>
        <w:ind w:firstLine="307" w:firstLineChars="128"/>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．所有关于本次谈判的函电，请按下列地址、方式联系：</w:t>
      </w:r>
    </w:p>
    <w:p w14:paraId="7EF93609">
      <w:pPr>
        <w:spacing w:line="560" w:lineRule="exact"/>
        <w:ind w:firstLine="307" w:firstLineChars="128"/>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99AFBF8">
      <w:pPr>
        <w:spacing w:line="560" w:lineRule="exact"/>
        <w:ind w:firstLine="307" w:firstLineChars="128"/>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9C126F3">
      <w:pPr>
        <w:spacing w:line="560" w:lineRule="exact"/>
        <w:ind w:firstLine="307" w:firstLineChars="128"/>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51FFE130">
      <w:pPr>
        <w:spacing w:line="560" w:lineRule="exact"/>
        <w:ind w:firstLine="307" w:firstLineChars="128"/>
        <w:rPr>
          <w:rFonts w:hint="eastAsia" w:ascii="宋体" w:hAnsi="宋体" w:eastAsia="宋体" w:cs="宋体"/>
          <w:sz w:val="24"/>
        </w:rPr>
      </w:pPr>
      <w:r>
        <w:rPr>
          <w:rFonts w:hint="eastAsia" w:ascii="宋体" w:hAnsi="宋体" w:eastAsia="宋体" w:cs="宋体"/>
          <w:sz w:val="24"/>
        </w:rPr>
        <w:t>邮    编：</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06ECF05">
      <w:pPr>
        <w:spacing w:line="560" w:lineRule="exact"/>
        <w:ind w:firstLine="307" w:firstLineChars="128"/>
        <w:rPr>
          <w:rFonts w:hint="eastAsia" w:ascii="宋体" w:hAnsi="宋体" w:eastAsia="宋体" w:cs="宋体"/>
          <w:sz w:val="24"/>
        </w:rPr>
      </w:pPr>
      <w:r>
        <w:rPr>
          <w:rFonts w:hint="eastAsia" w:ascii="宋体" w:hAnsi="宋体" w:eastAsia="宋体" w:cs="宋体"/>
          <w:sz w:val="24"/>
        </w:rPr>
        <w:t>谈判供应商：</w:t>
      </w:r>
      <w:r>
        <w:rPr>
          <w:rFonts w:hint="eastAsia" w:ascii="宋体" w:hAnsi="宋体" w:eastAsia="宋体" w:cs="宋体"/>
          <w:sz w:val="24"/>
          <w:u w:val="single"/>
        </w:rPr>
        <w:t xml:space="preserve">                   </w:t>
      </w:r>
      <w:r>
        <w:rPr>
          <w:rFonts w:hint="eastAsia" w:ascii="宋体" w:hAnsi="宋体" w:eastAsia="宋体" w:cs="宋体"/>
          <w:sz w:val="24"/>
        </w:rPr>
        <w:t xml:space="preserve"> （公章）</w:t>
      </w:r>
    </w:p>
    <w:p w14:paraId="1608D1D4">
      <w:pPr>
        <w:spacing w:line="560" w:lineRule="exact"/>
        <w:ind w:firstLine="307" w:firstLineChars="128"/>
        <w:rPr>
          <w:rFonts w:hint="eastAsia" w:ascii="宋体" w:hAnsi="宋体" w:eastAsia="宋体" w:cs="宋体"/>
          <w:sz w:val="24"/>
          <w:u w:val="single"/>
        </w:rPr>
      </w:pPr>
      <w:r>
        <w:rPr>
          <w:rFonts w:hint="eastAsia" w:ascii="宋体" w:hAnsi="宋体" w:eastAsia="宋体" w:cs="宋体"/>
          <w:sz w:val="24"/>
        </w:rPr>
        <w:t xml:space="preserve">法定代表人/被授权人（签字或盖章）：  </w:t>
      </w:r>
      <w:r>
        <w:rPr>
          <w:rFonts w:hint="eastAsia" w:ascii="宋体" w:hAnsi="宋体" w:eastAsia="宋体" w:cs="宋体"/>
          <w:sz w:val="24"/>
          <w:u w:val="single"/>
        </w:rPr>
        <w:t xml:space="preserve">            </w:t>
      </w:r>
    </w:p>
    <w:p w14:paraId="6B6671C7">
      <w:pPr>
        <w:spacing w:line="560" w:lineRule="exact"/>
        <w:ind w:firstLine="307" w:firstLineChars="128"/>
        <w:rPr>
          <w:rFonts w:hint="eastAsia" w:ascii="宋体" w:hAnsi="宋体" w:eastAsia="宋体" w:cs="宋体"/>
          <w:sz w:val="24"/>
        </w:rPr>
      </w:pPr>
      <w:r>
        <w:rPr>
          <w:rFonts w:hint="eastAsia" w:ascii="宋体" w:hAnsi="宋体" w:eastAsia="宋体" w:cs="宋体"/>
          <w:sz w:val="24"/>
        </w:rPr>
        <w:t xml:space="preserve">                                                年   月   日</w:t>
      </w:r>
    </w:p>
    <w:p w14:paraId="5427CF3C">
      <w:pPr>
        <w:overflowPunct w:val="0"/>
        <w:spacing w:line="480" w:lineRule="auto"/>
        <w:ind w:firstLine="480" w:firstLineChars="200"/>
        <w:rPr>
          <w:rFonts w:hint="eastAsia" w:ascii="宋体" w:hAnsi="宋体" w:eastAsia="宋体" w:cs="宋体"/>
          <w:color w:val="000000"/>
          <w:sz w:val="24"/>
        </w:rPr>
      </w:pPr>
    </w:p>
    <w:p w14:paraId="16461906">
      <w:pPr>
        <w:pStyle w:val="26"/>
        <w:tabs>
          <w:tab w:val="right" w:leader="dot" w:pos="9072"/>
        </w:tabs>
        <w:jc w:val="center"/>
        <w:rPr>
          <w:rFonts w:hint="eastAsia" w:ascii="宋体" w:hAnsi="宋体" w:eastAsia="宋体" w:cs="宋体"/>
          <w:b/>
          <w:kern w:val="2"/>
          <w:sz w:val="28"/>
          <w:szCs w:val="28"/>
        </w:rPr>
      </w:pPr>
      <w:r>
        <w:rPr>
          <w:rFonts w:hint="eastAsia" w:ascii="宋体" w:hAnsi="宋体" w:eastAsia="宋体" w:cs="宋体"/>
          <w:sz w:val="32"/>
          <w:szCs w:val="32"/>
        </w:rPr>
        <w:br w:type="page"/>
      </w:r>
      <w:r>
        <w:rPr>
          <w:rFonts w:hint="eastAsia" w:ascii="宋体" w:hAnsi="宋体" w:eastAsia="宋体" w:cs="宋体"/>
          <w:b/>
          <w:kern w:val="2"/>
          <w:sz w:val="32"/>
          <w:szCs w:val="24"/>
        </w:rPr>
        <w:t>二、法定代表人证明书与授权书</w:t>
      </w:r>
    </w:p>
    <w:p w14:paraId="1A3AC80F">
      <w:pPr>
        <w:pStyle w:val="14"/>
        <w:ind w:firstLine="0"/>
        <w:jc w:val="center"/>
        <w:rPr>
          <w:rFonts w:hint="eastAsia" w:ascii="宋体" w:hAnsi="宋体" w:eastAsia="宋体" w:cs="宋体"/>
          <w:bCs/>
          <w:szCs w:val="21"/>
        </w:rPr>
      </w:pPr>
    </w:p>
    <w:p w14:paraId="5C19A8DC">
      <w:pPr>
        <w:pStyle w:val="14"/>
        <w:ind w:firstLine="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法定代表人证明书</w:t>
      </w:r>
    </w:p>
    <w:p w14:paraId="5F6FEFB7">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单位名称：</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644C199E">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567FAFF1">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地    址：</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thick"/>
        </w:rPr>
        <w:t>.</w:t>
      </w:r>
    </w:p>
    <w:p w14:paraId="7B8D9FD1">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成立时间：</w:t>
      </w:r>
      <w:r>
        <w:rPr>
          <w:rFonts w:hint="eastAsia" w:ascii="宋体" w:hAnsi="宋体" w:eastAsia="宋体" w:cs="宋体"/>
          <w:color w:val="000000"/>
          <w:sz w:val="24"/>
          <w:u w:val="single"/>
        </w:rPr>
        <w:t xml:space="preserve">               </w:t>
      </w:r>
      <w:r>
        <w:rPr>
          <w:rFonts w:hint="eastAsia" w:ascii="宋体" w:hAnsi="宋体" w:eastAsia="宋体" w:cs="宋体"/>
          <w:sz w:val="24"/>
        </w:rPr>
        <w:t>年</w:t>
      </w:r>
      <w:r>
        <w:rPr>
          <w:rFonts w:hint="eastAsia" w:ascii="宋体" w:hAnsi="宋体" w:eastAsia="宋体" w:cs="宋体"/>
          <w:color w:val="000000"/>
          <w:sz w:val="24"/>
          <w:u w:val="single"/>
        </w:rPr>
        <w:t xml:space="preserve">              </w:t>
      </w:r>
      <w:r>
        <w:rPr>
          <w:rFonts w:hint="eastAsia" w:ascii="宋体" w:hAnsi="宋体" w:eastAsia="宋体" w:cs="宋体"/>
          <w:sz w:val="24"/>
        </w:rPr>
        <w:t>月</w:t>
      </w:r>
      <w:r>
        <w:rPr>
          <w:rFonts w:hint="eastAsia" w:ascii="宋体" w:hAnsi="宋体" w:eastAsia="宋体" w:cs="宋体"/>
          <w:color w:val="000000"/>
          <w:sz w:val="24"/>
          <w:u w:val="single"/>
        </w:rPr>
        <w:t xml:space="preserve">                 </w:t>
      </w:r>
      <w:r>
        <w:rPr>
          <w:rFonts w:hint="eastAsia" w:ascii="宋体" w:hAnsi="宋体" w:eastAsia="宋体" w:cs="宋体"/>
          <w:sz w:val="24"/>
        </w:rPr>
        <w:t>日</w:t>
      </w:r>
    </w:p>
    <w:p w14:paraId="03390B04">
      <w:pPr>
        <w:spacing w:line="560" w:lineRule="exact"/>
        <w:ind w:firstLine="307" w:firstLineChars="128"/>
        <w:rPr>
          <w:rFonts w:hint="eastAsia" w:ascii="宋体" w:hAnsi="宋体" w:eastAsia="宋体" w:cs="宋体"/>
          <w:color w:val="000000"/>
          <w:sz w:val="24"/>
        </w:rPr>
      </w:pPr>
      <w:r>
        <w:rPr>
          <w:rFonts w:hint="eastAsia" w:ascii="宋体" w:hAnsi="宋体" w:eastAsia="宋体" w:cs="宋体"/>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3E68561F">
      <w:pPr>
        <w:spacing w:line="560" w:lineRule="exact"/>
        <w:ind w:firstLine="307" w:firstLineChars="128"/>
        <w:rPr>
          <w:rFonts w:hint="eastAsia" w:ascii="宋体" w:hAnsi="宋体" w:eastAsia="宋体" w:cs="宋体"/>
          <w:color w:val="000000"/>
          <w:sz w:val="24"/>
          <w:u w:val="thick"/>
        </w:rPr>
      </w:pPr>
      <w:r>
        <w:rPr>
          <w:rFonts w:hint="eastAsia" w:ascii="宋体" w:hAnsi="宋体" w:eastAsia="宋体" w:cs="宋体"/>
          <w:sz w:val="24"/>
        </w:rPr>
        <w:t>姓    名</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sz w:val="24"/>
        </w:rPr>
        <w:t>性别：</w:t>
      </w:r>
      <w:r>
        <w:rPr>
          <w:rFonts w:hint="eastAsia" w:ascii="宋体" w:hAnsi="宋体" w:eastAsia="宋体" w:cs="宋体"/>
          <w:color w:val="000000"/>
          <w:sz w:val="24"/>
          <w:u w:val="single"/>
        </w:rPr>
        <w:t xml:space="preserve">        </w:t>
      </w:r>
      <w:r>
        <w:rPr>
          <w:rFonts w:hint="eastAsia" w:ascii="宋体" w:hAnsi="宋体" w:eastAsia="宋体" w:cs="宋体"/>
          <w:sz w:val="24"/>
        </w:rPr>
        <w:t>年龄：</w:t>
      </w:r>
      <w:r>
        <w:rPr>
          <w:rFonts w:hint="eastAsia" w:ascii="宋体" w:hAnsi="宋体" w:eastAsia="宋体" w:cs="宋体"/>
          <w:color w:val="000000"/>
          <w:sz w:val="24"/>
          <w:u w:val="single"/>
        </w:rPr>
        <w:t xml:space="preserve">        </w:t>
      </w:r>
      <w:r>
        <w:rPr>
          <w:rFonts w:hint="eastAsia" w:ascii="宋体" w:hAnsi="宋体" w:eastAsia="宋体" w:cs="宋体"/>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FFFFFF"/>
          <w:sz w:val="24"/>
          <w:u w:val="single"/>
        </w:rPr>
        <w:t>.</w:t>
      </w:r>
    </w:p>
    <w:p w14:paraId="43BCA98C">
      <w:pPr>
        <w:spacing w:line="560" w:lineRule="exact"/>
        <w:ind w:firstLine="240" w:firstLineChars="100"/>
        <w:rPr>
          <w:rFonts w:hint="eastAsia" w:ascii="宋体" w:hAnsi="宋体" w:eastAsia="宋体" w:cs="宋体"/>
          <w:color w:val="000000"/>
          <w:sz w:val="24"/>
          <w:u w:val="thick"/>
        </w:rPr>
      </w:pPr>
      <w:r>
        <w:rPr>
          <w:rFonts w:hint="eastAsia" w:ascii="宋体" w:hAnsi="宋体" w:eastAsia="宋体" w:cs="宋体"/>
          <w:sz w:val="24"/>
        </w:rPr>
        <w:t>系</w:t>
      </w:r>
      <w:r>
        <w:rPr>
          <w:rFonts w:hint="eastAsia" w:ascii="宋体" w:hAnsi="宋体" w:eastAsia="宋体" w:cs="宋体"/>
          <w:color w:val="000000"/>
          <w:sz w:val="24"/>
          <w:u w:val="single"/>
        </w:rPr>
        <w:t xml:space="preserve">                            </w:t>
      </w:r>
      <w:r>
        <w:rPr>
          <w:rFonts w:hint="eastAsia" w:ascii="宋体" w:hAnsi="宋体" w:eastAsia="宋体" w:cs="宋体"/>
          <w:sz w:val="24"/>
        </w:rPr>
        <w:t>的法定代表人。</w:t>
      </w:r>
    </w:p>
    <w:p w14:paraId="37C138E0">
      <w:pPr>
        <w:spacing w:line="560" w:lineRule="exact"/>
        <w:ind w:firstLine="307" w:firstLineChars="128"/>
        <w:rPr>
          <w:rFonts w:hint="eastAsia" w:ascii="宋体" w:hAnsi="宋体" w:eastAsia="宋体" w:cs="宋体"/>
          <w:color w:val="000000"/>
          <w:sz w:val="24"/>
        </w:rPr>
      </w:pPr>
    </w:p>
    <w:p w14:paraId="0AAFBB20">
      <w:pPr>
        <w:spacing w:line="560" w:lineRule="exact"/>
        <w:ind w:firstLine="307" w:firstLineChars="128"/>
        <w:rPr>
          <w:rFonts w:hint="eastAsia" w:ascii="宋体" w:hAnsi="宋体" w:eastAsia="宋体" w:cs="宋体"/>
          <w:sz w:val="24"/>
        </w:rPr>
      </w:pPr>
      <w:r>
        <w:rPr>
          <w:rFonts w:hint="eastAsia" w:ascii="宋体" w:hAnsi="宋体" w:eastAsia="宋体" w:cs="宋体"/>
          <w:sz w:val="24"/>
        </w:rPr>
        <w:t>特此证明。</w:t>
      </w:r>
    </w:p>
    <w:p w14:paraId="12AA749F">
      <w:pPr>
        <w:spacing w:line="560" w:lineRule="exact"/>
        <w:rPr>
          <w:rFonts w:hint="eastAsia" w:ascii="宋体" w:hAnsi="宋体" w:eastAsia="宋体" w:cs="宋体"/>
          <w:color w:val="000000"/>
          <w:sz w:val="24"/>
        </w:rPr>
      </w:pPr>
    </w:p>
    <w:p w14:paraId="3048C1DE">
      <w:pPr>
        <w:pStyle w:val="14"/>
        <w:rPr>
          <w:rFonts w:hint="eastAsia" w:ascii="宋体" w:hAnsi="宋体" w:eastAsia="宋体" w:cs="宋体"/>
        </w:rPr>
      </w:pPr>
    </w:p>
    <w:p w14:paraId="72422DC6">
      <w:pPr>
        <w:spacing w:line="560" w:lineRule="exact"/>
        <w:rPr>
          <w:rFonts w:hint="eastAsia" w:ascii="宋体" w:hAnsi="宋体" w:eastAsia="宋体" w:cs="宋体"/>
          <w:color w:val="000000"/>
          <w:sz w:val="24"/>
        </w:rPr>
      </w:pPr>
    </w:p>
    <w:p w14:paraId="6FE2F3BF">
      <w:pPr>
        <w:autoSpaceDE w:val="0"/>
        <w:autoSpaceDN w:val="0"/>
        <w:adjustRightInd w:val="0"/>
        <w:spacing w:line="480" w:lineRule="auto"/>
        <w:ind w:left="2520" w:leftChars="1200"/>
        <w:rPr>
          <w:rFonts w:hint="eastAsia" w:ascii="宋体" w:hAnsi="宋体" w:eastAsia="宋体" w:cs="宋体"/>
          <w:sz w:val="24"/>
          <w:u w:val="single"/>
          <w:lang w:val="zh-CN"/>
        </w:rPr>
      </w:pPr>
      <w:r>
        <w:rPr>
          <w:rFonts w:hint="eastAsia" w:ascii="宋体" w:hAnsi="宋体" w:eastAsia="宋体" w:cs="宋体"/>
          <w:sz w:val="24"/>
          <w:lang w:val="zh-CN"/>
        </w:rPr>
        <w:t>供</w:t>
      </w:r>
      <w:r>
        <w:rPr>
          <w:rFonts w:hint="eastAsia" w:ascii="宋体" w:hAnsi="宋体" w:eastAsia="宋体" w:cs="宋体"/>
          <w:sz w:val="24"/>
        </w:rPr>
        <w:t xml:space="preserve">   </w:t>
      </w:r>
      <w:r>
        <w:rPr>
          <w:rFonts w:hint="eastAsia" w:ascii="宋体" w:hAnsi="宋体" w:eastAsia="宋体" w:cs="宋体"/>
          <w:sz w:val="24"/>
          <w:lang w:val="zh-CN"/>
        </w:rPr>
        <w:t>应</w:t>
      </w:r>
      <w:r>
        <w:rPr>
          <w:rFonts w:hint="eastAsia" w:ascii="宋体" w:hAnsi="宋体" w:eastAsia="宋体" w:cs="宋体"/>
          <w:sz w:val="24"/>
        </w:rPr>
        <w:t xml:space="preserve">   </w:t>
      </w:r>
      <w:r>
        <w:rPr>
          <w:rFonts w:hint="eastAsia" w:ascii="宋体" w:hAnsi="宋体" w:eastAsia="宋体" w:cs="宋体"/>
          <w:sz w:val="24"/>
          <w:lang w:val="zh-CN"/>
        </w:rPr>
        <w:t>商：</w:t>
      </w:r>
      <w:r>
        <w:rPr>
          <w:rFonts w:hint="eastAsia" w:ascii="宋体" w:hAnsi="宋体" w:eastAsia="宋体" w:cs="宋体"/>
          <w:color w:val="000000"/>
          <w:sz w:val="24"/>
          <w:u w:val="single"/>
        </w:rPr>
        <w:t xml:space="preserve">                             </w:t>
      </w:r>
      <w:r>
        <w:rPr>
          <w:rFonts w:hint="eastAsia" w:ascii="宋体" w:hAnsi="宋体" w:eastAsia="宋体" w:cs="宋体"/>
          <w:sz w:val="24"/>
          <w:lang w:val="zh-CN"/>
        </w:rPr>
        <w:t>（盖单位公章）</w:t>
      </w:r>
    </w:p>
    <w:p w14:paraId="70ADD919">
      <w:pPr>
        <w:autoSpaceDE w:val="0"/>
        <w:autoSpaceDN w:val="0"/>
        <w:adjustRightInd w:val="0"/>
        <w:spacing w:line="480" w:lineRule="auto"/>
        <w:ind w:left="2520" w:leftChars="1200"/>
        <w:rPr>
          <w:rFonts w:hint="eastAsia" w:ascii="宋体" w:hAnsi="宋体" w:eastAsia="宋体" w:cs="宋体"/>
          <w:sz w:val="24"/>
          <w:lang w:val="zh-CN"/>
        </w:rPr>
      </w:pPr>
      <w:r>
        <w:rPr>
          <w:rFonts w:hint="eastAsia" w:ascii="宋体" w:hAnsi="宋体" w:eastAsia="宋体" w:cs="宋体"/>
          <w:sz w:val="24"/>
          <w:lang w:val="zh-CN"/>
        </w:rPr>
        <w:t>法定代表人：</w:t>
      </w:r>
      <w:r>
        <w:rPr>
          <w:rFonts w:hint="eastAsia" w:ascii="宋体" w:hAnsi="宋体" w:eastAsia="宋体" w:cs="宋体"/>
          <w:color w:val="000000"/>
          <w:sz w:val="24"/>
          <w:u w:val="single"/>
        </w:rPr>
        <w:t xml:space="preserve">                  </w:t>
      </w:r>
      <w:r>
        <w:rPr>
          <w:rFonts w:hint="eastAsia" w:ascii="宋体" w:hAnsi="宋体" w:eastAsia="宋体" w:cs="宋体"/>
          <w:sz w:val="24"/>
          <w:lang w:val="zh-CN"/>
        </w:rPr>
        <w:t>（签字</w:t>
      </w:r>
      <w:r>
        <w:rPr>
          <w:rFonts w:hint="eastAsia" w:ascii="宋体" w:hAnsi="宋体" w:eastAsia="宋体" w:cs="宋体"/>
          <w:sz w:val="24"/>
        </w:rPr>
        <w:t>或</w:t>
      </w:r>
      <w:r>
        <w:rPr>
          <w:rFonts w:hint="eastAsia" w:ascii="宋体" w:hAnsi="宋体" w:eastAsia="宋体" w:cs="宋体"/>
          <w:sz w:val="24"/>
          <w:lang w:val="zh-CN"/>
        </w:rPr>
        <w:t>盖章）</w:t>
      </w:r>
    </w:p>
    <w:p w14:paraId="586E97E1">
      <w:pPr>
        <w:spacing w:line="480" w:lineRule="auto"/>
        <w:ind w:left="2520" w:leftChars="1200"/>
        <w:rPr>
          <w:rFonts w:hint="eastAsia" w:ascii="宋体" w:hAnsi="宋体" w:eastAsia="宋体" w:cs="宋体"/>
          <w:sz w:val="28"/>
          <w:szCs w:val="28"/>
        </w:rPr>
      </w:pPr>
      <w:r>
        <w:rPr>
          <w:rFonts w:hint="eastAsia" w:ascii="宋体" w:hAnsi="宋体" w:eastAsia="宋体" w:cs="宋体"/>
          <w:sz w:val="24"/>
          <w:lang w:val="zh-CN"/>
        </w:rPr>
        <w:t xml:space="preserve">日      </w:t>
      </w:r>
      <w:r>
        <w:rPr>
          <w:rFonts w:hint="eastAsia" w:ascii="宋体" w:hAnsi="宋体" w:eastAsia="宋体" w:cs="宋体"/>
          <w:sz w:val="24"/>
        </w:rPr>
        <w:t xml:space="preserve"> </w:t>
      </w:r>
      <w:r>
        <w:rPr>
          <w:rFonts w:hint="eastAsia" w:ascii="宋体" w:hAnsi="宋体" w:eastAsia="宋体" w:cs="宋体"/>
          <w:sz w:val="24"/>
          <w:lang w:val="zh-CN"/>
        </w:rPr>
        <w:t xml:space="preserve"> 期：</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p>
    <w:p w14:paraId="00E2E3AC">
      <w:pPr>
        <w:pStyle w:val="27"/>
        <w:jc w:val="right"/>
        <w:rPr>
          <w:rFonts w:hint="eastAsia" w:ascii="宋体" w:hAnsi="宋体" w:eastAsia="宋体" w:cs="宋体"/>
          <w:bCs/>
          <w:color w:val="000000"/>
          <w:sz w:val="32"/>
          <w:szCs w:val="32"/>
        </w:rPr>
        <w:sectPr>
          <w:pgSz w:w="11905" w:h="16837"/>
          <w:pgMar w:top="1712" w:right="1418" w:bottom="1712" w:left="1418" w:header="851" w:footer="1247" w:gutter="0"/>
          <w:cols w:space="720" w:num="1"/>
          <w:docGrid w:linePitch="312" w:charSpace="0"/>
        </w:sectPr>
      </w:pPr>
    </w:p>
    <w:p w14:paraId="24CE99D1">
      <w:pPr>
        <w:tabs>
          <w:tab w:val="left" w:pos="210"/>
        </w:tabs>
        <w:spacing w:line="320" w:lineRule="exact"/>
        <w:jc w:val="center"/>
        <w:rPr>
          <w:rFonts w:hint="eastAsia" w:ascii="宋体" w:hAnsi="宋体" w:eastAsia="宋体" w:cs="宋体"/>
          <w:b/>
          <w:color w:val="000000"/>
          <w:kern w:val="0"/>
          <w:sz w:val="32"/>
          <w:szCs w:val="32"/>
        </w:rPr>
      </w:pPr>
      <w:bookmarkStart w:id="18" w:name="_Toc17330_WPSOffice_Level1"/>
      <w:r>
        <w:rPr>
          <w:rFonts w:hint="eastAsia" w:ascii="宋体" w:hAnsi="宋体" w:eastAsia="宋体" w:cs="宋体"/>
          <w:b/>
          <w:color w:val="000000"/>
          <w:kern w:val="0"/>
          <w:sz w:val="32"/>
          <w:szCs w:val="32"/>
        </w:rPr>
        <w:t>法定代表人授权书</w:t>
      </w:r>
    </w:p>
    <w:p w14:paraId="24EF9CA7">
      <w:pPr>
        <w:pStyle w:val="8"/>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黄陵县政府采购中心：</w:t>
      </w:r>
    </w:p>
    <w:p w14:paraId="17596F36">
      <w:pPr>
        <w:pStyle w:val="8"/>
        <w:spacing w:line="50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本授权书声明：注册于（</w:t>
      </w:r>
      <w:r>
        <w:rPr>
          <w:rFonts w:hint="eastAsia" w:ascii="宋体" w:hAnsi="宋体" w:eastAsia="宋体" w:cs="宋体"/>
          <w:color w:val="000000"/>
          <w:sz w:val="24"/>
          <w:szCs w:val="24"/>
          <w:u w:val="single"/>
        </w:rPr>
        <w:t xml:space="preserve"> 工商行政管理局名称）之（委托单位全称） </w:t>
      </w:r>
      <w:r>
        <w:rPr>
          <w:rFonts w:hint="eastAsia" w:ascii="宋体" w:hAnsi="宋体" w:eastAsia="宋体" w:cs="宋体"/>
          <w:color w:val="000000"/>
          <w:sz w:val="24"/>
          <w:szCs w:val="24"/>
        </w:rPr>
        <w:t>的法定代表人</w:t>
      </w:r>
      <w:r>
        <w:rPr>
          <w:rFonts w:hint="eastAsia" w:ascii="宋体" w:hAnsi="宋体" w:eastAsia="宋体" w:cs="宋体"/>
          <w:color w:val="000000"/>
          <w:sz w:val="24"/>
          <w:szCs w:val="24"/>
          <w:u w:val="single"/>
        </w:rPr>
        <w:t>（姓名、性别、职务）</w:t>
      </w:r>
      <w:r>
        <w:rPr>
          <w:rFonts w:hint="eastAsia" w:ascii="宋体" w:hAnsi="宋体" w:eastAsia="宋体" w:cs="宋体"/>
          <w:color w:val="000000"/>
          <w:sz w:val="24"/>
          <w:szCs w:val="24"/>
        </w:rPr>
        <w:t>授权本公司的</w:t>
      </w:r>
      <w:r>
        <w:rPr>
          <w:rFonts w:hint="eastAsia" w:ascii="宋体" w:hAnsi="宋体" w:eastAsia="宋体" w:cs="宋体"/>
          <w:color w:val="000000"/>
          <w:sz w:val="24"/>
          <w:szCs w:val="24"/>
          <w:u w:val="single"/>
        </w:rPr>
        <w:t>（被授权人姓名、性别、职务）</w:t>
      </w:r>
      <w:r>
        <w:rPr>
          <w:rFonts w:hint="eastAsia" w:ascii="宋体" w:hAnsi="宋体" w:eastAsia="宋体" w:cs="宋体"/>
          <w:color w:val="000000"/>
          <w:sz w:val="24"/>
          <w:szCs w:val="24"/>
        </w:rPr>
        <w:t>为合法代理人，就贵方组织的有关</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rPr>
        <w:t>谈判</w:t>
      </w:r>
      <w:r>
        <w:rPr>
          <w:rFonts w:hint="eastAsia" w:ascii="宋体" w:hAnsi="宋体" w:eastAsia="宋体" w:cs="宋体"/>
          <w:color w:val="000000"/>
          <w:sz w:val="24"/>
          <w:szCs w:val="24"/>
        </w:rPr>
        <w:t>、洽谈、执行等具体事务，签署全部有关文件、文书、协议、合同，本公司对被授权人在本项目中的签名承担全部法律责任。本授权书自</w:t>
      </w:r>
      <w:r>
        <w:rPr>
          <w:rFonts w:hint="eastAsia" w:ascii="宋体" w:hAnsi="宋体" w:eastAsia="宋体" w:cs="宋体"/>
          <w:color w:val="000000"/>
          <w:sz w:val="24"/>
        </w:rPr>
        <w:t>谈判</w:t>
      </w:r>
      <w:r>
        <w:rPr>
          <w:rFonts w:hint="eastAsia" w:ascii="宋体" w:hAnsi="宋体" w:eastAsia="宋体" w:cs="宋体"/>
          <w:color w:val="000000"/>
          <w:sz w:val="24"/>
          <w:szCs w:val="24"/>
        </w:rPr>
        <w:t>大会之日起计算有效期为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w:t>
      </w:r>
    </w:p>
    <w:p w14:paraId="5D0C3B77">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委托单位（公章）：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法定代表人（签字或盖章）：</w:t>
      </w:r>
    </w:p>
    <w:p w14:paraId="39521DB2">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E4A0ADC">
      <w:pPr>
        <w:rPr>
          <w:rFonts w:hint="eastAsia" w:ascii="宋体" w:hAnsi="宋体" w:eastAsia="宋体" w:cs="宋体"/>
        </w:rPr>
      </w:pPr>
      <w:r>
        <w:rPr>
          <w:rFonts w:hint="eastAsia" w:ascii="宋体" w:hAnsi="宋体" w:eastAsia="宋体" w:cs="宋体"/>
        </w:rPr>
        <w:t xml:space="preserve"> </w:t>
      </w:r>
    </w:p>
    <w:p w14:paraId="198F618E">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2C9E50F0">
      <w:pPr>
        <w:pStyle w:val="8"/>
        <w:spacing w:line="500" w:lineRule="exact"/>
        <w:ind w:firstLine="960" w:firstLineChars="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 xml:space="preserve">                                                      </w:t>
      </w:r>
    </w:p>
    <w:p w14:paraId="5093E48C">
      <w:pPr>
        <w:pStyle w:val="8"/>
        <w:spacing w:line="500" w:lineRule="exact"/>
        <w:ind w:firstLine="960" w:firstLineChars="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14:paraId="54B3B523">
      <w:pPr>
        <w:pStyle w:val="8"/>
        <w:spacing w:line="500" w:lineRule="exact"/>
        <w:ind w:firstLine="2760" w:firstLineChars="1150"/>
        <w:rPr>
          <w:rFonts w:hint="eastAsia" w:ascii="宋体" w:hAnsi="宋体" w:eastAsia="宋体" w:cs="宋体"/>
          <w:color w:val="000000"/>
          <w:sz w:val="24"/>
          <w:szCs w:val="24"/>
        </w:rPr>
      </w:pPr>
      <w:r>
        <w:rPr>
          <w:rFonts w:hint="eastAsia" w:ascii="宋体" w:hAnsi="宋体" w:eastAsia="宋体" w:cs="宋体"/>
          <w:sz w:val="24"/>
        </w:rPr>
        <w:t>法定代表人</w:t>
      </w:r>
      <w:r>
        <w:rPr>
          <w:rFonts w:hint="eastAsia" w:ascii="宋体" w:hAnsi="宋体" w:eastAsia="宋体" w:cs="宋体"/>
          <w:color w:val="000000"/>
          <w:sz w:val="24"/>
          <w:szCs w:val="24"/>
        </w:rPr>
        <w:t>/被授权人身份证正反面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644"/>
        <w:gridCol w:w="4644"/>
      </w:tblGrid>
      <w:tr w14:paraId="6C80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644" w:type="dxa"/>
            <w:shd w:val="clear" w:color="auto" w:fill="E0E0E0"/>
            <w:vAlign w:val="center"/>
          </w:tcPr>
          <w:p w14:paraId="0D38D73C">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法定代表人身份证</w:t>
            </w:r>
          </w:p>
        </w:tc>
        <w:tc>
          <w:tcPr>
            <w:tcW w:w="4644" w:type="dxa"/>
            <w:shd w:val="clear" w:color="auto" w:fill="E0E0E0"/>
            <w:vAlign w:val="center"/>
          </w:tcPr>
          <w:p w14:paraId="58A5D244">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被授权人身份证</w:t>
            </w:r>
          </w:p>
        </w:tc>
      </w:tr>
      <w:tr w14:paraId="02E6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92" w:hRule="atLeast"/>
          <w:jc w:val="center"/>
        </w:trPr>
        <w:tc>
          <w:tcPr>
            <w:tcW w:w="4644" w:type="dxa"/>
            <w:shd w:val="clear" w:color="auto" w:fill="E0E0E0"/>
            <w:vAlign w:val="center"/>
          </w:tcPr>
          <w:p w14:paraId="140CB517">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法定代表人身份证</w:t>
            </w:r>
          </w:p>
        </w:tc>
        <w:tc>
          <w:tcPr>
            <w:tcW w:w="4644" w:type="dxa"/>
            <w:shd w:val="clear" w:color="auto" w:fill="E0E0E0"/>
            <w:vAlign w:val="center"/>
          </w:tcPr>
          <w:p w14:paraId="468BF943">
            <w:pPr>
              <w:pStyle w:val="8"/>
              <w:spacing w:line="500" w:lineRule="exact"/>
              <w:jc w:val="center"/>
              <w:rPr>
                <w:rFonts w:hint="eastAsia" w:ascii="宋体" w:hAnsi="宋体" w:eastAsia="宋体" w:cs="宋体"/>
                <w:color w:val="000000"/>
                <w:sz w:val="24"/>
                <w:szCs w:val="24"/>
                <w:shd w:val="pct10" w:color="auto" w:fill="FFFFFF"/>
              </w:rPr>
            </w:pPr>
            <w:r>
              <w:rPr>
                <w:rFonts w:hint="eastAsia" w:ascii="宋体" w:hAnsi="宋体" w:eastAsia="宋体" w:cs="宋体"/>
                <w:color w:val="000000"/>
                <w:sz w:val="24"/>
                <w:szCs w:val="24"/>
                <w:shd w:val="pct10" w:color="auto" w:fill="FFFFFF"/>
              </w:rPr>
              <w:t>被授权人身份证</w:t>
            </w:r>
          </w:p>
        </w:tc>
      </w:tr>
    </w:tbl>
    <w:p w14:paraId="5CACCC37">
      <w:pPr>
        <w:pStyle w:val="8"/>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说明：授权书内容填写要明确，文字要工整清楚，涂改无效。</w:t>
      </w:r>
    </w:p>
    <w:p w14:paraId="6C2337A4">
      <w:pPr>
        <w:snapToGrid w:val="0"/>
        <w:spacing w:line="500" w:lineRule="exact"/>
        <w:jc w:val="center"/>
        <w:rPr>
          <w:rFonts w:hint="eastAsia" w:ascii="宋体" w:hAnsi="宋体" w:eastAsia="宋体" w:cs="宋体"/>
          <w:b/>
          <w:sz w:val="32"/>
          <w:szCs w:val="32"/>
        </w:rPr>
      </w:pPr>
    </w:p>
    <w:p w14:paraId="1E1A815F">
      <w:pPr>
        <w:spacing w:line="366" w:lineRule="exact"/>
        <w:jc w:val="center"/>
        <w:rPr>
          <w:rFonts w:hint="eastAsia" w:ascii="宋体" w:hAnsi="宋体" w:eastAsia="宋体" w:cs="宋体"/>
          <w:b/>
          <w:sz w:val="32"/>
        </w:rPr>
      </w:pPr>
      <w:r>
        <w:rPr>
          <w:rFonts w:hint="eastAsia" w:ascii="宋体" w:hAnsi="宋体" w:eastAsia="宋体" w:cs="宋体"/>
          <w:b/>
          <w:sz w:val="32"/>
        </w:rPr>
        <w:t>三、响应报价表</w:t>
      </w:r>
      <w:bookmarkEnd w:id="18"/>
    </w:p>
    <w:p w14:paraId="79E1D779">
      <w:pPr>
        <w:tabs>
          <w:tab w:val="left" w:pos="7920"/>
        </w:tabs>
        <w:jc w:val="center"/>
        <w:rPr>
          <w:rFonts w:hint="eastAsia" w:ascii="宋体" w:hAnsi="宋体" w:eastAsia="宋体" w:cs="宋体"/>
          <w:sz w:val="24"/>
        </w:rPr>
      </w:pPr>
      <w:r>
        <w:rPr>
          <w:rFonts w:hint="eastAsia" w:ascii="宋体" w:hAnsi="宋体" w:eastAsia="宋体" w:cs="宋体"/>
          <w:sz w:val="24"/>
        </w:rPr>
        <w:t xml:space="preserve"> </w:t>
      </w:r>
    </w:p>
    <w:p w14:paraId="68144579">
      <w:pPr>
        <w:tabs>
          <w:tab w:val="left" w:pos="7920"/>
        </w:tabs>
        <w:jc w:val="center"/>
        <w:rPr>
          <w:rFonts w:hint="eastAsia" w:ascii="宋体" w:hAnsi="宋体" w:eastAsia="宋体" w:cs="宋体"/>
          <w:b/>
          <w:bCs/>
          <w:sz w:val="32"/>
          <w:szCs w:val="44"/>
        </w:rPr>
      </w:pPr>
      <w:r>
        <w:rPr>
          <w:rFonts w:hint="eastAsia" w:ascii="宋体" w:hAnsi="宋体" w:eastAsia="宋体" w:cs="宋体"/>
          <w:sz w:val="24"/>
        </w:rPr>
        <w:t xml:space="preserve">   </w:t>
      </w:r>
      <w:r>
        <w:rPr>
          <w:rFonts w:hint="eastAsia" w:ascii="宋体" w:hAnsi="宋体" w:eastAsia="宋体" w:cs="宋体"/>
          <w:b/>
          <w:bCs/>
          <w:sz w:val="32"/>
          <w:szCs w:val="44"/>
        </w:rPr>
        <w:t>3.1响应报价总表</w:t>
      </w:r>
    </w:p>
    <w:tbl>
      <w:tblPr>
        <w:tblStyle w:val="16"/>
        <w:tblpPr w:leftFromText="181" w:rightFromText="181" w:vertAnchor="text" w:horzAnchor="page" w:tblpXSpec="center" w:tblpY="461"/>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65"/>
      </w:tblGrid>
      <w:tr w14:paraId="4DC9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35" w:type="dxa"/>
            <w:vAlign w:val="center"/>
          </w:tcPr>
          <w:p w14:paraId="6CBA315C">
            <w:pPr>
              <w:ind w:left="1320" w:hanging="1320" w:hangingChars="500"/>
              <w:jc w:val="center"/>
              <w:rPr>
                <w:rFonts w:hint="eastAsia" w:ascii="宋体" w:hAnsi="宋体" w:eastAsia="宋体" w:cs="宋体"/>
                <w:spacing w:val="12"/>
                <w:sz w:val="24"/>
              </w:rPr>
            </w:pPr>
            <w:r>
              <w:rPr>
                <w:rFonts w:hint="eastAsia" w:ascii="宋体" w:hAnsi="宋体" w:eastAsia="宋体" w:cs="宋体"/>
                <w:spacing w:val="12"/>
                <w:sz w:val="24"/>
              </w:rPr>
              <w:t>项目名称</w:t>
            </w:r>
          </w:p>
        </w:tc>
        <w:tc>
          <w:tcPr>
            <w:tcW w:w="7065" w:type="dxa"/>
            <w:vAlign w:val="center"/>
          </w:tcPr>
          <w:p w14:paraId="3E0480AC">
            <w:pPr>
              <w:rPr>
                <w:rFonts w:hint="eastAsia" w:ascii="宋体" w:hAnsi="宋体" w:eastAsia="宋体" w:cs="宋体"/>
                <w:sz w:val="24"/>
              </w:rPr>
            </w:pPr>
          </w:p>
        </w:tc>
      </w:tr>
      <w:tr w14:paraId="2F2F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35" w:type="dxa"/>
            <w:vAlign w:val="center"/>
          </w:tcPr>
          <w:p w14:paraId="35717E47">
            <w:pPr>
              <w:jc w:val="center"/>
              <w:rPr>
                <w:rFonts w:hint="eastAsia" w:ascii="宋体" w:hAnsi="宋体" w:eastAsia="宋体" w:cs="宋体"/>
                <w:spacing w:val="12"/>
                <w:sz w:val="24"/>
              </w:rPr>
            </w:pPr>
            <w:r>
              <w:rPr>
                <w:rFonts w:hint="eastAsia" w:ascii="宋体" w:hAnsi="宋体" w:eastAsia="宋体" w:cs="宋体"/>
                <w:spacing w:val="12"/>
                <w:sz w:val="24"/>
              </w:rPr>
              <w:t>供应商名称</w:t>
            </w:r>
          </w:p>
        </w:tc>
        <w:tc>
          <w:tcPr>
            <w:tcW w:w="7065" w:type="dxa"/>
            <w:vAlign w:val="center"/>
          </w:tcPr>
          <w:p w14:paraId="5E063518">
            <w:pPr>
              <w:rPr>
                <w:rFonts w:hint="eastAsia" w:ascii="宋体" w:hAnsi="宋体" w:eastAsia="宋体" w:cs="宋体"/>
                <w:spacing w:val="12"/>
                <w:sz w:val="24"/>
              </w:rPr>
            </w:pPr>
          </w:p>
        </w:tc>
      </w:tr>
      <w:tr w14:paraId="5804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vAlign w:val="center"/>
          </w:tcPr>
          <w:p w14:paraId="57300248">
            <w:pPr>
              <w:jc w:val="center"/>
              <w:rPr>
                <w:rFonts w:hint="eastAsia" w:ascii="宋体" w:hAnsi="宋体" w:eastAsia="宋体" w:cs="宋体"/>
                <w:spacing w:val="12"/>
                <w:sz w:val="24"/>
              </w:rPr>
            </w:pPr>
            <w:r>
              <w:rPr>
                <w:rFonts w:hint="eastAsia" w:ascii="宋体" w:hAnsi="宋体" w:eastAsia="宋体" w:cs="宋体"/>
                <w:spacing w:val="12"/>
                <w:sz w:val="24"/>
              </w:rPr>
              <w:t>报价(小写元)</w:t>
            </w:r>
          </w:p>
        </w:tc>
        <w:tc>
          <w:tcPr>
            <w:tcW w:w="7065" w:type="dxa"/>
            <w:vAlign w:val="center"/>
          </w:tcPr>
          <w:p w14:paraId="67D4566D">
            <w:pPr>
              <w:rPr>
                <w:rFonts w:hint="eastAsia" w:ascii="宋体" w:hAnsi="宋体" w:eastAsia="宋体" w:cs="宋体"/>
                <w:spacing w:val="12"/>
                <w:sz w:val="24"/>
              </w:rPr>
            </w:pPr>
          </w:p>
        </w:tc>
      </w:tr>
      <w:tr w14:paraId="6071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vAlign w:val="center"/>
          </w:tcPr>
          <w:p w14:paraId="3F70D622">
            <w:pPr>
              <w:jc w:val="center"/>
              <w:rPr>
                <w:rFonts w:hint="eastAsia" w:ascii="宋体" w:hAnsi="宋体" w:eastAsia="宋体" w:cs="宋体"/>
                <w:spacing w:val="12"/>
                <w:sz w:val="24"/>
              </w:rPr>
            </w:pPr>
            <w:r>
              <w:rPr>
                <w:rFonts w:hint="eastAsia" w:ascii="宋体" w:hAnsi="宋体" w:eastAsia="宋体" w:cs="宋体"/>
                <w:spacing w:val="12"/>
                <w:sz w:val="24"/>
              </w:rPr>
              <w:t>报价(大写元)</w:t>
            </w:r>
          </w:p>
        </w:tc>
        <w:tc>
          <w:tcPr>
            <w:tcW w:w="7065" w:type="dxa"/>
            <w:vAlign w:val="center"/>
          </w:tcPr>
          <w:p w14:paraId="66D3A519">
            <w:pPr>
              <w:rPr>
                <w:rFonts w:hint="eastAsia" w:ascii="宋体" w:hAnsi="宋体" w:eastAsia="宋体" w:cs="宋体"/>
                <w:spacing w:val="12"/>
                <w:sz w:val="24"/>
              </w:rPr>
            </w:pPr>
          </w:p>
        </w:tc>
      </w:tr>
      <w:tr w14:paraId="20AE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35" w:type="dxa"/>
            <w:vAlign w:val="center"/>
          </w:tcPr>
          <w:p w14:paraId="03F7D888">
            <w:pPr>
              <w:jc w:val="center"/>
              <w:rPr>
                <w:rFonts w:hint="eastAsia" w:ascii="宋体" w:hAnsi="宋体" w:eastAsia="宋体" w:cs="宋体"/>
                <w:spacing w:val="12"/>
                <w:sz w:val="24"/>
              </w:rPr>
            </w:pPr>
            <w:r>
              <w:rPr>
                <w:rFonts w:hint="eastAsia" w:ascii="宋体" w:hAnsi="宋体" w:eastAsia="宋体" w:cs="宋体"/>
                <w:spacing w:val="12"/>
                <w:sz w:val="24"/>
              </w:rPr>
              <w:t>供货期</w:t>
            </w:r>
          </w:p>
        </w:tc>
        <w:tc>
          <w:tcPr>
            <w:tcW w:w="7065" w:type="dxa"/>
            <w:vAlign w:val="center"/>
          </w:tcPr>
          <w:p w14:paraId="563A968C">
            <w:pPr>
              <w:rPr>
                <w:rFonts w:hint="eastAsia" w:ascii="宋体" w:hAnsi="宋体" w:eastAsia="宋体" w:cs="宋体"/>
                <w:spacing w:val="12"/>
                <w:sz w:val="24"/>
              </w:rPr>
            </w:pPr>
          </w:p>
        </w:tc>
      </w:tr>
      <w:tr w14:paraId="291C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vAlign w:val="center"/>
          </w:tcPr>
          <w:p w14:paraId="5BE96037">
            <w:pPr>
              <w:jc w:val="center"/>
              <w:rPr>
                <w:rFonts w:hint="eastAsia" w:ascii="宋体" w:hAnsi="宋体" w:eastAsia="宋体" w:cs="宋体"/>
                <w:spacing w:val="12"/>
                <w:sz w:val="24"/>
              </w:rPr>
            </w:pPr>
            <w:r>
              <w:rPr>
                <w:rFonts w:hint="eastAsia" w:ascii="宋体" w:hAnsi="宋体" w:eastAsia="宋体" w:cs="宋体"/>
                <w:spacing w:val="12"/>
                <w:sz w:val="24"/>
              </w:rPr>
              <w:t>质保期</w:t>
            </w:r>
          </w:p>
        </w:tc>
        <w:tc>
          <w:tcPr>
            <w:tcW w:w="7065" w:type="dxa"/>
            <w:vAlign w:val="center"/>
          </w:tcPr>
          <w:p w14:paraId="231CF62C">
            <w:pPr>
              <w:rPr>
                <w:rFonts w:hint="eastAsia" w:ascii="宋体" w:hAnsi="宋体" w:eastAsia="宋体" w:cs="宋体"/>
                <w:spacing w:val="12"/>
                <w:sz w:val="24"/>
              </w:rPr>
            </w:pPr>
          </w:p>
        </w:tc>
      </w:tr>
      <w:tr w14:paraId="275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1935" w:type="dxa"/>
            <w:textDirection w:val="tbRlV"/>
            <w:vAlign w:val="center"/>
          </w:tcPr>
          <w:p w14:paraId="502A1129">
            <w:pPr>
              <w:spacing w:before="558" w:beforeLines="179" w:after="517" w:afterLines="166"/>
              <w:ind w:right="113"/>
              <w:jc w:val="center"/>
              <w:rPr>
                <w:rFonts w:hint="eastAsia" w:ascii="宋体" w:hAnsi="宋体" w:eastAsia="宋体" w:cs="宋体"/>
                <w:spacing w:val="12"/>
                <w:sz w:val="24"/>
              </w:rPr>
            </w:pPr>
            <w:r>
              <w:rPr>
                <w:rFonts w:hint="eastAsia" w:ascii="宋体" w:hAnsi="宋体" w:eastAsia="宋体" w:cs="宋体"/>
                <w:spacing w:val="12"/>
                <w:sz w:val="24"/>
              </w:rPr>
              <w:t>说   明</w:t>
            </w:r>
          </w:p>
        </w:tc>
        <w:tc>
          <w:tcPr>
            <w:tcW w:w="7065" w:type="dxa"/>
          </w:tcPr>
          <w:p w14:paraId="78E13E3D">
            <w:pPr>
              <w:spacing w:line="360" w:lineRule="auto"/>
              <w:ind w:left="5250"/>
              <w:rPr>
                <w:rFonts w:hint="eastAsia" w:ascii="宋体" w:hAnsi="宋体" w:eastAsia="宋体" w:cs="宋体"/>
                <w:bCs/>
                <w:spacing w:val="12"/>
                <w:sz w:val="24"/>
                <w:szCs w:val="20"/>
              </w:rPr>
            </w:pPr>
          </w:p>
          <w:p w14:paraId="741D9D06">
            <w:pPr>
              <w:rPr>
                <w:rFonts w:hint="eastAsia" w:ascii="宋体" w:hAnsi="宋体" w:eastAsia="宋体" w:cs="宋体"/>
                <w:spacing w:val="12"/>
                <w:sz w:val="24"/>
              </w:rPr>
            </w:pPr>
          </w:p>
          <w:p w14:paraId="2F1DDA8E">
            <w:pPr>
              <w:rPr>
                <w:rFonts w:hint="eastAsia" w:ascii="宋体" w:hAnsi="宋体" w:eastAsia="宋体" w:cs="宋体"/>
                <w:spacing w:val="12"/>
                <w:sz w:val="24"/>
              </w:rPr>
            </w:pPr>
          </w:p>
        </w:tc>
      </w:tr>
    </w:tbl>
    <w:p w14:paraId="31BABD16">
      <w:pPr>
        <w:snapToGrid w:val="0"/>
        <w:spacing w:line="500" w:lineRule="exact"/>
        <w:rPr>
          <w:rFonts w:hint="eastAsia" w:ascii="宋体" w:hAnsi="宋体" w:eastAsia="宋体" w:cs="宋体"/>
          <w:b/>
          <w:bCs/>
          <w:sz w:val="24"/>
        </w:rPr>
      </w:pPr>
      <w:r>
        <w:rPr>
          <w:rFonts w:hint="eastAsia" w:ascii="宋体" w:hAnsi="宋体" w:eastAsia="宋体" w:cs="宋体"/>
          <w:sz w:val="24"/>
        </w:rPr>
        <w:t>供应商（公章）：             法定代表人/被授权人（签字或盖章）：</w:t>
      </w:r>
    </w:p>
    <w:p w14:paraId="63F4CA09">
      <w:pPr>
        <w:snapToGrid w:val="0"/>
        <w:spacing w:line="500" w:lineRule="exact"/>
        <w:ind w:firstLine="723" w:firstLineChars="300"/>
        <w:rPr>
          <w:rFonts w:hint="eastAsia" w:ascii="宋体" w:hAnsi="宋体" w:eastAsia="宋体" w:cs="宋体"/>
          <w:b/>
          <w:bCs/>
          <w:sz w:val="24"/>
        </w:rPr>
      </w:pPr>
      <w:r>
        <w:rPr>
          <w:rFonts w:hint="eastAsia" w:ascii="宋体" w:hAnsi="宋体" w:eastAsia="宋体" w:cs="宋体"/>
          <w:b/>
          <w:bCs/>
          <w:sz w:val="24"/>
        </w:rPr>
        <w:t>注：</w:t>
      </w:r>
    </w:p>
    <w:p w14:paraId="40F79B54">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本表价应保证响应文件的正、副本中仍有此表，且一致。</w:t>
      </w:r>
    </w:p>
    <w:p w14:paraId="760EBA1B">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此表中任何信息与响应文件其他处不一致时以此表为准。</w:t>
      </w:r>
    </w:p>
    <w:p w14:paraId="2E06A0C9">
      <w:pPr>
        <w:numPr>
          <w:ilvl w:val="0"/>
          <w:numId w:val="6"/>
        </w:numPr>
        <w:snapToGrid w:val="0"/>
        <w:spacing w:line="500" w:lineRule="exact"/>
        <w:ind w:firstLine="630" w:firstLineChars="300"/>
        <w:rPr>
          <w:rFonts w:hint="eastAsia" w:ascii="宋体" w:hAnsi="宋体" w:eastAsia="宋体" w:cs="宋体"/>
          <w:szCs w:val="21"/>
        </w:rPr>
      </w:pPr>
      <w:r>
        <w:rPr>
          <w:rFonts w:hint="eastAsia" w:ascii="宋体" w:hAnsi="宋体" w:eastAsia="宋体" w:cs="宋体"/>
          <w:szCs w:val="21"/>
        </w:rPr>
        <w:t>此表为规范格式，严格按此表格填列，不填列或不按此表格填列，按无效标对待。</w:t>
      </w:r>
    </w:p>
    <w:p w14:paraId="4F5305FA">
      <w:pPr>
        <w:snapToGrid w:val="0"/>
        <w:spacing w:line="500" w:lineRule="exact"/>
        <w:rPr>
          <w:rFonts w:hint="eastAsia" w:ascii="宋体" w:hAnsi="宋体" w:eastAsia="宋体" w:cs="宋体"/>
          <w:szCs w:val="21"/>
        </w:rPr>
      </w:pPr>
      <w:r>
        <w:rPr>
          <w:rFonts w:hint="eastAsia" w:ascii="宋体" w:hAnsi="宋体" w:eastAsia="宋体" w:cs="宋体"/>
          <w:szCs w:val="21"/>
        </w:rPr>
        <w:t>分项报价后附。</w:t>
      </w:r>
    </w:p>
    <w:p w14:paraId="3F19222F">
      <w:pPr>
        <w:rPr>
          <w:rFonts w:hint="eastAsia" w:ascii="宋体" w:hAnsi="宋体" w:eastAsia="宋体" w:cs="宋体"/>
          <w:szCs w:val="21"/>
        </w:rPr>
      </w:pPr>
      <w:r>
        <w:rPr>
          <w:rFonts w:hint="eastAsia" w:ascii="宋体" w:hAnsi="宋体" w:eastAsia="宋体" w:cs="宋体"/>
          <w:szCs w:val="21"/>
        </w:rPr>
        <w:br w:type="page"/>
      </w:r>
    </w:p>
    <w:p w14:paraId="42414129">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3.2分项报价表</w:t>
      </w:r>
    </w:p>
    <w:p w14:paraId="5C6DA4CC">
      <w:pPr>
        <w:snapToGrid w:val="0"/>
        <w:spacing w:line="480" w:lineRule="auto"/>
        <w:rPr>
          <w:rFonts w:hint="eastAsia" w:ascii="宋体" w:hAnsi="宋体" w:eastAsia="宋体" w:cs="宋体"/>
          <w:sz w:val="24"/>
        </w:rPr>
      </w:pPr>
      <w:r>
        <w:rPr>
          <w:rFonts w:hint="eastAsia" w:ascii="宋体" w:hAnsi="宋体" w:eastAsia="宋体" w:cs="宋体"/>
          <w:sz w:val="24"/>
        </w:rPr>
        <w:t>项目名称：</w:t>
      </w:r>
    </w:p>
    <w:p w14:paraId="75581D51">
      <w:pPr>
        <w:snapToGrid w:val="0"/>
        <w:spacing w:line="480" w:lineRule="auto"/>
        <w:rPr>
          <w:rFonts w:hint="eastAsia" w:ascii="宋体" w:hAnsi="宋体" w:eastAsia="宋体" w:cs="宋体"/>
          <w:sz w:val="24"/>
        </w:rPr>
      </w:pPr>
      <w:r>
        <w:rPr>
          <w:rFonts w:hint="eastAsia" w:ascii="宋体" w:hAnsi="宋体" w:eastAsia="宋体" w:cs="宋体"/>
          <w:sz w:val="24"/>
        </w:rPr>
        <w:t>项目编号：</w:t>
      </w:r>
    </w:p>
    <w:tbl>
      <w:tblPr>
        <w:tblStyle w:val="16"/>
        <w:tblpPr w:vertAnchor="text" w:horzAnchor="margin" w:tblpY="26"/>
        <w:tblW w:w="9146" w:type="dxa"/>
        <w:tblInd w:w="0" w:type="dxa"/>
        <w:tblLayout w:type="fixed"/>
        <w:tblCellMar>
          <w:top w:w="0" w:type="dxa"/>
          <w:left w:w="0" w:type="dxa"/>
          <w:bottom w:w="0" w:type="dxa"/>
          <w:right w:w="0" w:type="dxa"/>
        </w:tblCellMar>
      </w:tblPr>
      <w:tblGrid>
        <w:gridCol w:w="701"/>
        <w:gridCol w:w="1254"/>
        <w:gridCol w:w="1109"/>
        <w:gridCol w:w="1230"/>
        <w:gridCol w:w="1095"/>
        <w:gridCol w:w="1440"/>
        <w:gridCol w:w="1305"/>
        <w:gridCol w:w="1012"/>
      </w:tblGrid>
      <w:tr w14:paraId="4282F5E3">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5069AC41">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254" w:type="dxa"/>
            <w:tcBorders>
              <w:top w:val="double" w:color="000000" w:sz="4"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01020EF6">
            <w:pPr>
              <w:jc w:val="center"/>
              <w:rPr>
                <w:rFonts w:hint="eastAsia" w:ascii="宋体" w:hAnsi="宋体" w:eastAsia="宋体" w:cs="宋体"/>
                <w:b/>
                <w:color w:val="000000"/>
                <w:szCs w:val="21"/>
              </w:rPr>
            </w:pPr>
            <w:r>
              <w:rPr>
                <w:rFonts w:hint="eastAsia" w:ascii="宋体" w:hAnsi="宋体" w:eastAsia="宋体" w:cs="宋体"/>
                <w:b/>
                <w:color w:val="000000"/>
                <w:szCs w:val="21"/>
              </w:rPr>
              <w:t>产品名称</w:t>
            </w:r>
          </w:p>
        </w:tc>
        <w:tc>
          <w:tcPr>
            <w:tcW w:w="1109" w:type="dxa"/>
            <w:tcBorders>
              <w:top w:val="double" w:color="000000" w:sz="4"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4704A292">
            <w:pPr>
              <w:jc w:val="center"/>
              <w:rPr>
                <w:rFonts w:hint="eastAsia" w:ascii="宋体" w:hAnsi="宋体" w:eastAsia="宋体" w:cs="宋体"/>
                <w:b/>
                <w:color w:val="000000"/>
                <w:szCs w:val="21"/>
              </w:rPr>
            </w:pPr>
          </w:p>
          <w:p w14:paraId="17DDA584">
            <w:pPr>
              <w:jc w:val="center"/>
              <w:rPr>
                <w:rFonts w:hint="eastAsia" w:ascii="宋体" w:hAnsi="宋体" w:eastAsia="宋体" w:cs="宋体"/>
                <w:b/>
                <w:color w:val="000000"/>
                <w:szCs w:val="21"/>
              </w:rPr>
            </w:pPr>
            <w:r>
              <w:rPr>
                <w:rFonts w:hint="eastAsia" w:ascii="宋体" w:hAnsi="宋体" w:eastAsia="宋体" w:cs="宋体"/>
                <w:b/>
                <w:color w:val="000000"/>
                <w:szCs w:val="21"/>
              </w:rPr>
              <w:t>品牌</w:t>
            </w:r>
          </w:p>
          <w:p w14:paraId="2D237C2A">
            <w:pPr>
              <w:jc w:val="center"/>
              <w:rPr>
                <w:rFonts w:hint="eastAsia" w:ascii="宋体" w:hAnsi="宋体" w:eastAsia="宋体" w:cs="宋体"/>
                <w:b/>
                <w:color w:val="000000"/>
                <w:szCs w:val="21"/>
              </w:rPr>
            </w:pPr>
          </w:p>
        </w:tc>
        <w:tc>
          <w:tcPr>
            <w:tcW w:w="1230" w:type="dxa"/>
            <w:tcBorders>
              <w:top w:val="double" w:color="000000" w:sz="4" w:space="0"/>
              <w:left w:val="single" w:color="auto" w:sz="4" w:space="0"/>
              <w:bottom w:val="single" w:color="000000" w:sz="6" w:space="0"/>
              <w:right w:val="single" w:color="auto" w:sz="4" w:space="0"/>
            </w:tcBorders>
            <w:vAlign w:val="center"/>
          </w:tcPr>
          <w:p w14:paraId="455F2E79">
            <w:pPr>
              <w:jc w:val="center"/>
              <w:rPr>
                <w:rFonts w:hint="eastAsia" w:ascii="宋体" w:hAnsi="宋体" w:eastAsia="宋体" w:cs="宋体"/>
                <w:b/>
                <w:color w:val="000000"/>
                <w:szCs w:val="21"/>
              </w:rPr>
            </w:pPr>
            <w:r>
              <w:rPr>
                <w:rFonts w:hint="eastAsia" w:ascii="宋体" w:hAnsi="宋体" w:eastAsia="宋体" w:cs="宋体"/>
                <w:b/>
                <w:color w:val="000000"/>
                <w:szCs w:val="21"/>
              </w:rPr>
              <w:t>型号</w:t>
            </w:r>
          </w:p>
        </w:tc>
        <w:tc>
          <w:tcPr>
            <w:tcW w:w="1095" w:type="dxa"/>
            <w:tcBorders>
              <w:top w:val="double" w:color="000000" w:sz="4" w:space="0"/>
              <w:left w:val="single" w:color="auto" w:sz="4" w:space="0"/>
              <w:bottom w:val="single" w:color="000000" w:sz="6" w:space="0"/>
              <w:right w:val="single" w:color="000000" w:sz="6" w:space="0"/>
            </w:tcBorders>
            <w:vAlign w:val="center"/>
          </w:tcPr>
          <w:p w14:paraId="6F86C247">
            <w:pPr>
              <w:jc w:val="center"/>
              <w:rPr>
                <w:rFonts w:hint="eastAsia" w:ascii="宋体" w:hAnsi="宋体" w:eastAsia="宋体" w:cs="宋体"/>
                <w:b/>
                <w:color w:val="000000"/>
                <w:szCs w:val="21"/>
              </w:rPr>
            </w:pPr>
            <w:r>
              <w:rPr>
                <w:rFonts w:hint="eastAsia" w:ascii="宋体" w:hAnsi="宋体" w:eastAsia="宋体" w:cs="宋体"/>
                <w:b/>
                <w:color w:val="000000"/>
                <w:szCs w:val="21"/>
              </w:rPr>
              <w:t>数量/单位</w:t>
            </w:r>
          </w:p>
        </w:tc>
        <w:tc>
          <w:tcPr>
            <w:tcW w:w="1440" w:type="dxa"/>
            <w:tcBorders>
              <w:top w:val="double" w:color="000000" w:sz="4"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1FD81455">
            <w:pPr>
              <w:jc w:val="center"/>
              <w:rPr>
                <w:rFonts w:hint="eastAsia" w:ascii="宋体" w:hAnsi="宋体" w:eastAsia="宋体" w:cs="宋体"/>
                <w:b/>
                <w:color w:val="000000"/>
                <w:szCs w:val="21"/>
              </w:rPr>
            </w:pPr>
            <w:r>
              <w:rPr>
                <w:rFonts w:hint="eastAsia" w:ascii="宋体" w:hAnsi="宋体" w:eastAsia="宋体" w:cs="宋体"/>
                <w:b/>
                <w:color w:val="000000"/>
                <w:szCs w:val="21"/>
              </w:rPr>
              <w:t>单价</w:t>
            </w:r>
          </w:p>
          <w:p w14:paraId="3F90C224">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1305" w:type="dxa"/>
            <w:tcBorders>
              <w:top w:val="double" w:color="000000" w:sz="4"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2F74C0F0">
            <w:pPr>
              <w:jc w:val="center"/>
              <w:rPr>
                <w:rFonts w:hint="eastAsia" w:ascii="宋体" w:hAnsi="宋体" w:eastAsia="宋体" w:cs="宋体"/>
                <w:b/>
                <w:color w:val="000000"/>
                <w:szCs w:val="21"/>
              </w:rPr>
            </w:pPr>
            <w:r>
              <w:rPr>
                <w:rFonts w:hint="eastAsia" w:ascii="宋体" w:hAnsi="宋体" w:eastAsia="宋体" w:cs="宋体"/>
                <w:b/>
                <w:color w:val="000000"/>
                <w:szCs w:val="21"/>
              </w:rPr>
              <w:t>合计</w:t>
            </w:r>
          </w:p>
          <w:p w14:paraId="2D1A7335">
            <w:pPr>
              <w:jc w:val="center"/>
              <w:rPr>
                <w:rFonts w:hint="eastAsia" w:ascii="宋体" w:hAnsi="宋体" w:eastAsia="宋体" w:cs="宋体"/>
                <w:b/>
                <w:color w:val="000000"/>
                <w:szCs w:val="21"/>
              </w:rPr>
            </w:pPr>
            <w:r>
              <w:rPr>
                <w:rFonts w:hint="eastAsia" w:ascii="宋体" w:hAnsi="宋体" w:eastAsia="宋体" w:cs="宋体"/>
                <w:b/>
                <w:color w:val="000000"/>
                <w:szCs w:val="21"/>
              </w:rPr>
              <w:t>（人民币元）</w:t>
            </w:r>
          </w:p>
        </w:tc>
        <w:tc>
          <w:tcPr>
            <w:tcW w:w="1012" w:type="dxa"/>
            <w:tcBorders>
              <w:top w:val="double" w:color="000000" w:sz="4"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6AC27EAF">
            <w:pPr>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1B0BC976">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351FD809">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21AFB18E">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6C3B57B8">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3BA12475">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300064A9">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1A227E2A">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384ED1C6">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42D25B77">
            <w:pPr>
              <w:jc w:val="center"/>
              <w:rPr>
                <w:rFonts w:hint="eastAsia" w:ascii="宋体" w:hAnsi="宋体" w:eastAsia="宋体" w:cs="宋体"/>
                <w:color w:val="000000"/>
                <w:szCs w:val="21"/>
              </w:rPr>
            </w:pPr>
          </w:p>
        </w:tc>
      </w:tr>
      <w:tr w14:paraId="38BD40A2">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2E3C768E">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609CF263">
            <w:pPr>
              <w:tabs>
                <w:tab w:val="center" w:pos="1694"/>
              </w:tabs>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000BA0C7">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5923997B">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45C3DD73">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06135D1F">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2FE827A8">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7846371D">
            <w:pPr>
              <w:jc w:val="center"/>
              <w:rPr>
                <w:rFonts w:hint="eastAsia" w:ascii="宋体" w:hAnsi="宋体" w:eastAsia="宋体" w:cs="宋体"/>
                <w:color w:val="000000"/>
                <w:szCs w:val="21"/>
              </w:rPr>
            </w:pPr>
          </w:p>
        </w:tc>
      </w:tr>
      <w:tr w14:paraId="5F40BCE0">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4F654C4F">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C2D5B25">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730EA295">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13802FFC">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37BD81C8">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7C28A813">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3EC4D99D">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20DD277D">
            <w:pPr>
              <w:jc w:val="center"/>
              <w:rPr>
                <w:rFonts w:hint="eastAsia" w:ascii="宋体" w:hAnsi="宋体" w:eastAsia="宋体" w:cs="宋体"/>
                <w:color w:val="000000"/>
                <w:szCs w:val="21"/>
              </w:rPr>
            </w:pPr>
          </w:p>
        </w:tc>
      </w:tr>
      <w:tr w14:paraId="0B4B92BD">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519ACEBE">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3AFA220B">
            <w:pPr>
              <w:jc w:val="center"/>
              <w:rPr>
                <w:rFonts w:hint="eastAsia" w:ascii="宋体" w:hAnsi="宋体" w:eastAsia="宋体" w:cs="宋体"/>
                <w:color w:val="000000"/>
                <w:szCs w:val="21"/>
              </w:rPr>
            </w:pPr>
          </w:p>
        </w:tc>
        <w:tc>
          <w:tcPr>
            <w:tcW w:w="1109" w:type="dxa"/>
            <w:tcBorders>
              <w:top w:val="single" w:color="000000" w:sz="6" w:space="0"/>
              <w:left w:val="single" w:color="000000" w:sz="6" w:space="0"/>
              <w:bottom w:val="single" w:color="000000" w:sz="6" w:space="0"/>
              <w:right w:val="single" w:color="auto" w:sz="4" w:space="0"/>
            </w:tcBorders>
            <w:tcMar>
              <w:top w:w="28" w:type="dxa"/>
              <w:left w:w="28" w:type="dxa"/>
              <w:bottom w:w="28" w:type="dxa"/>
              <w:right w:w="28" w:type="dxa"/>
            </w:tcMar>
            <w:vAlign w:val="center"/>
          </w:tcPr>
          <w:p w14:paraId="28F8E3BA">
            <w:pPr>
              <w:jc w:val="center"/>
              <w:rPr>
                <w:rFonts w:hint="eastAsia" w:ascii="宋体" w:hAnsi="宋体" w:eastAsia="宋体" w:cs="宋体"/>
                <w:color w:val="000000"/>
                <w:szCs w:val="21"/>
              </w:rPr>
            </w:pPr>
          </w:p>
        </w:tc>
        <w:tc>
          <w:tcPr>
            <w:tcW w:w="1230" w:type="dxa"/>
            <w:tcBorders>
              <w:top w:val="single" w:color="000000" w:sz="6" w:space="0"/>
              <w:left w:val="single" w:color="auto" w:sz="4" w:space="0"/>
              <w:bottom w:val="single" w:color="000000" w:sz="6" w:space="0"/>
              <w:right w:val="single" w:color="auto" w:sz="4" w:space="0"/>
            </w:tcBorders>
            <w:vAlign w:val="center"/>
          </w:tcPr>
          <w:p w14:paraId="6F452757">
            <w:pPr>
              <w:jc w:val="center"/>
              <w:rPr>
                <w:rFonts w:hint="eastAsia" w:ascii="宋体" w:hAnsi="宋体" w:eastAsia="宋体" w:cs="宋体"/>
                <w:color w:val="000000"/>
                <w:szCs w:val="21"/>
              </w:rPr>
            </w:pPr>
          </w:p>
        </w:tc>
        <w:tc>
          <w:tcPr>
            <w:tcW w:w="1095" w:type="dxa"/>
            <w:tcBorders>
              <w:top w:val="single" w:color="000000" w:sz="6" w:space="0"/>
              <w:left w:val="single" w:color="auto" w:sz="4" w:space="0"/>
              <w:bottom w:val="single" w:color="000000" w:sz="6" w:space="0"/>
              <w:right w:val="single" w:color="000000" w:sz="6" w:space="0"/>
            </w:tcBorders>
            <w:vAlign w:val="center"/>
          </w:tcPr>
          <w:p w14:paraId="4B032D77">
            <w:pPr>
              <w:jc w:val="center"/>
              <w:rPr>
                <w:rFonts w:hint="eastAsia" w:ascii="宋体" w:hAnsi="宋体" w:eastAsia="宋体" w:cs="宋体"/>
                <w:color w:val="000000"/>
                <w:szCs w:val="21"/>
              </w:rPr>
            </w:pPr>
          </w:p>
        </w:tc>
        <w:tc>
          <w:tcPr>
            <w:tcW w:w="1440"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53F4079E">
            <w:pPr>
              <w:jc w:val="center"/>
              <w:rPr>
                <w:rFonts w:hint="eastAsia" w:ascii="宋体" w:hAnsi="宋体" w:eastAsia="宋体" w:cs="宋体"/>
                <w:color w:val="000000"/>
                <w:szCs w:val="21"/>
              </w:rPr>
            </w:pPr>
          </w:p>
        </w:tc>
        <w:tc>
          <w:tcPr>
            <w:tcW w:w="130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53D52CFC">
            <w:pPr>
              <w:jc w:val="center"/>
              <w:rPr>
                <w:rFonts w:hint="eastAsia" w:ascii="宋体" w:hAnsi="宋体" w:eastAsia="宋体" w:cs="宋体"/>
                <w:color w:val="000000"/>
                <w:szCs w:val="21"/>
              </w:rPr>
            </w:pPr>
          </w:p>
        </w:tc>
        <w:tc>
          <w:tcPr>
            <w:tcW w:w="1012" w:type="dxa"/>
            <w:tcBorders>
              <w:top w:val="single" w:color="000000" w:sz="6" w:space="0"/>
              <w:left w:val="single" w:color="000000" w:sz="6" w:space="0"/>
              <w:bottom w:val="single" w:color="000000" w:sz="6" w:space="0"/>
              <w:right w:val="double" w:color="000000" w:sz="4" w:space="0"/>
            </w:tcBorders>
            <w:tcMar>
              <w:top w:w="28" w:type="dxa"/>
              <w:left w:w="28" w:type="dxa"/>
              <w:bottom w:w="28" w:type="dxa"/>
              <w:right w:w="28" w:type="dxa"/>
            </w:tcMar>
            <w:vAlign w:val="center"/>
          </w:tcPr>
          <w:p w14:paraId="342BB1AA">
            <w:pPr>
              <w:jc w:val="center"/>
              <w:rPr>
                <w:rFonts w:hint="eastAsia" w:ascii="宋体" w:hAnsi="宋体" w:eastAsia="宋体" w:cs="宋体"/>
                <w:color w:val="000000"/>
                <w:szCs w:val="21"/>
              </w:rPr>
            </w:pPr>
          </w:p>
        </w:tc>
      </w:tr>
      <w:tr w14:paraId="280B143B">
        <w:tblPrEx>
          <w:tblCellMar>
            <w:top w:w="0" w:type="dxa"/>
            <w:left w:w="0" w:type="dxa"/>
            <w:bottom w:w="0" w:type="dxa"/>
            <w:right w:w="0" w:type="dxa"/>
          </w:tblCellMar>
        </w:tblPrEx>
        <w:trPr>
          <w:trHeight w:val="340" w:hRule="atLeast"/>
        </w:trPr>
        <w:tc>
          <w:tcPr>
            <w:tcW w:w="9146" w:type="dxa"/>
            <w:gridSpan w:val="8"/>
            <w:tcBorders>
              <w:top w:val="single" w:color="000000" w:sz="6" w:space="0"/>
              <w:left w:val="single" w:color="000000" w:sz="4" w:space="0"/>
              <w:bottom w:val="double" w:color="000000" w:sz="4" w:space="0"/>
              <w:right w:val="double" w:color="000000" w:sz="4" w:space="0"/>
            </w:tcBorders>
            <w:tcMar>
              <w:top w:w="28" w:type="dxa"/>
              <w:left w:w="28" w:type="dxa"/>
              <w:bottom w:w="28" w:type="dxa"/>
              <w:right w:w="28" w:type="dxa"/>
            </w:tcMar>
            <w:vAlign w:val="center"/>
          </w:tcPr>
          <w:p w14:paraId="6D49172D">
            <w:pPr>
              <w:jc w:val="left"/>
              <w:rPr>
                <w:rFonts w:hint="eastAsia" w:ascii="宋体" w:hAnsi="宋体" w:eastAsia="宋体" w:cs="宋体"/>
                <w:color w:val="000000"/>
                <w:szCs w:val="21"/>
              </w:rPr>
            </w:pPr>
            <w:r>
              <w:rPr>
                <w:rFonts w:hint="eastAsia" w:ascii="宋体" w:hAnsi="宋体" w:eastAsia="宋体" w:cs="宋体"/>
                <w:color w:val="000000"/>
                <w:szCs w:val="21"/>
              </w:rPr>
              <w:t>大写：                                        （小写）¥：</w:t>
            </w:r>
          </w:p>
        </w:tc>
      </w:tr>
    </w:tbl>
    <w:p w14:paraId="4C13F114">
      <w:pPr>
        <w:snapToGrid w:val="0"/>
        <w:spacing w:line="500" w:lineRule="exact"/>
        <w:rPr>
          <w:rFonts w:hint="eastAsia" w:ascii="宋体" w:hAnsi="宋体" w:eastAsia="宋体" w:cs="宋体"/>
          <w:sz w:val="24"/>
        </w:rPr>
      </w:pPr>
    </w:p>
    <w:p w14:paraId="34145758">
      <w:pPr>
        <w:snapToGrid w:val="0"/>
        <w:spacing w:line="500" w:lineRule="exact"/>
        <w:jc w:val="center"/>
        <w:rPr>
          <w:rFonts w:hint="eastAsia" w:ascii="宋体" w:hAnsi="宋体" w:eastAsia="宋体" w:cs="宋体"/>
          <w:b/>
          <w:bCs/>
          <w:sz w:val="24"/>
        </w:rPr>
      </w:pPr>
    </w:p>
    <w:p w14:paraId="0B67A4F6">
      <w:pPr>
        <w:snapToGrid w:val="0"/>
        <w:spacing w:line="500" w:lineRule="exact"/>
        <w:jc w:val="center"/>
        <w:rPr>
          <w:rFonts w:hint="eastAsia" w:ascii="宋体" w:hAnsi="宋体" w:eastAsia="宋体" w:cs="宋体"/>
          <w:b/>
          <w:bCs/>
          <w:sz w:val="24"/>
        </w:rPr>
      </w:pPr>
    </w:p>
    <w:p w14:paraId="22302A9D">
      <w:pPr>
        <w:snapToGrid w:val="0"/>
        <w:spacing w:line="500" w:lineRule="exact"/>
        <w:jc w:val="center"/>
        <w:rPr>
          <w:rFonts w:hint="eastAsia" w:ascii="宋体" w:hAnsi="宋体" w:eastAsia="宋体" w:cs="宋体"/>
          <w:b/>
          <w:bCs/>
          <w:sz w:val="24"/>
        </w:rPr>
      </w:pPr>
    </w:p>
    <w:p w14:paraId="2CDF9A2F">
      <w:pPr>
        <w:snapToGrid w:val="0"/>
        <w:spacing w:line="480" w:lineRule="auto"/>
        <w:ind w:firstLine="4320" w:firstLineChars="1800"/>
        <w:rPr>
          <w:rFonts w:hint="eastAsia" w:ascii="宋体" w:hAnsi="宋体" w:eastAsia="宋体" w:cs="宋体"/>
          <w:sz w:val="24"/>
        </w:rPr>
      </w:pPr>
      <w:r>
        <w:rPr>
          <w:rFonts w:hint="eastAsia" w:ascii="宋体" w:hAnsi="宋体" w:eastAsia="宋体" w:cs="宋体"/>
          <w:sz w:val="24"/>
        </w:rPr>
        <w:t>供应商（公章）：</w:t>
      </w:r>
    </w:p>
    <w:p w14:paraId="192ACC0D">
      <w:pPr>
        <w:pStyle w:val="6"/>
        <w:spacing w:line="480" w:lineRule="auto"/>
        <w:jc w:val="right"/>
        <w:rPr>
          <w:rFonts w:hint="eastAsia" w:ascii="宋体" w:hAnsi="宋体" w:eastAsia="宋体" w:cs="宋体"/>
          <w:color w:val="auto"/>
        </w:rPr>
      </w:pPr>
      <w:r>
        <w:rPr>
          <w:rFonts w:hint="eastAsia" w:ascii="宋体" w:hAnsi="宋体" w:eastAsia="宋体" w:cs="宋体"/>
          <w:color w:val="auto"/>
        </w:rPr>
        <w:t>法定代表人/被授权人（签字或盖章）：</w:t>
      </w:r>
    </w:p>
    <w:p w14:paraId="19E2D36F">
      <w:pPr>
        <w:spacing w:line="480" w:lineRule="auto"/>
        <w:jc w:val="right"/>
        <w:rPr>
          <w:rFonts w:hint="eastAsia" w:ascii="宋体" w:hAnsi="宋体" w:eastAsia="宋体" w:cs="宋体"/>
          <w:sz w:val="24"/>
        </w:rPr>
      </w:pPr>
      <w:r>
        <w:rPr>
          <w:rFonts w:hint="eastAsia" w:ascii="宋体" w:hAnsi="宋体" w:eastAsia="宋体" w:cs="宋体"/>
          <w:sz w:val="24"/>
        </w:rPr>
        <w:t>年    月      日</w:t>
      </w:r>
    </w:p>
    <w:p w14:paraId="2DD61275">
      <w:pPr>
        <w:snapToGrid w:val="0"/>
        <w:spacing w:line="500" w:lineRule="exact"/>
        <w:jc w:val="center"/>
        <w:rPr>
          <w:rFonts w:hint="eastAsia" w:ascii="宋体" w:hAnsi="宋体" w:eastAsia="宋体" w:cs="宋体"/>
          <w:sz w:val="24"/>
        </w:rPr>
      </w:pPr>
      <w:r>
        <w:rPr>
          <w:rFonts w:hint="eastAsia" w:ascii="宋体" w:hAnsi="宋体" w:eastAsia="宋体" w:cs="宋体"/>
          <w:sz w:val="24"/>
        </w:rPr>
        <w:br w:type="page"/>
      </w:r>
    </w:p>
    <w:p w14:paraId="1541A84A">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3.2技术响应偏离表</w:t>
      </w:r>
    </w:p>
    <w:p w14:paraId="0198CA5F">
      <w:pPr>
        <w:snapToGrid w:val="0"/>
        <w:spacing w:line="480" w:lineRule="auto"/>
        <w:rPr>
          <w:rFonts w:hint="eastAsia" w:ascii="宋体" w:hAnsi="宋体" w:eastAsia="宋体" w:cs="宋体"/>
          <w:sz w:val="24"/>
        </w:rPr>
      </w:pPr>
      <w:r>
        <w:rPr>
          <w:rFonts w:hint="eastAsia" w:ascii="宋体" w:hAnsi="宋体" w:eastAsia="宋体" w:cs="宋体"/>
          <w:sz w:val="24"/>
        </w:rPr>
        <w:t>项目名称：</w:t>
      </w:r>
    </w:p>
    <w:p w14:paraId="03953905">
      <w:pPr>
        <w:snapToGrid w:val="0"/>
        <w:spacing w:line="480" w:lineRule="auto"/>
        <w:rPr>
          <w:rFonts w:hint="eastAsia" w:ascii="宋体" w:hAnsi="宋体" w:eastAsia="宋体" w:cs="宋体"/>
          <w:sz w:val="24"/>
        </w:rPr>
      </w:pPr>
      <w:r>
        <w:rPr>
          <w:rFonts w:hint="eastAsia" w:ascii="宋体" w:hAnsi="宋体" w:eastAsia="宋体" w:cs="宋体"/>
          <w:sz w:val="24"/>
        </w:rPr>
        <w:t>项目编号：</w:t>
      </w:r>
    </w:p>
    <w:tbl>
      <w:tblPr>
        <w:tblStyle w:val="16"/>
        <w:tblpPr w:vertAnchor="text" w:horzAnchor="margin" w:tblpY="26"/>
        <w:tblW w:w="8817" w:type="dxa"/>
        <w:tblInd w:w="0" w:type="dxa"/>
        <w:tblLayout w:type="fixed"/>
        <w:tblCellMar>
          <w:top w:w="0" w:type="dxa"/>
          <w:left w:w="0" w:type="dxa"/>
          <w:bottom w:w="0" w:type="dxa"/>
          <w:right w:w="0" w:type="dxa"/>
        </w:tblCellMar>
      </w:tblPr>
      <w:tblGrid>
        <w:gridCol w:w="701"/>
        <w:gridCol w:w="1254"/>
        <w:gridCol w:w="2468"/>
        <w:gridCol w:w="2409"/>
        <w:gridCol w:w="1985"/>
      </w:tblGrid>
      <w:tr w14:paraId="3A3106C0">
        <w:tblPrEx>
          <w:tblCellMar>
            <w:top w:w="0" w:type="dxa"/>
            <w:left w:w="0" w:type="dxa"/>
            <w:bottom w:w="0" w:type="dxa"/>
            <w:right w:w="0" w:type="dxa"/>
          </w:tblCellMar>
        </w:tblPrEx>
        <w:trPr>
          <w:trHeight w:val="340" w:hRule="atLeast"/>
        </w:trPr>
        <w:tc>
          <w:tcPr>
            <w:tcW w:w="701" w:type="dxa"/>
            <w:tcBorders>
              <w:top w:val="double" w:color="000000" w:sz="4"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167FCF1D">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254" w:type="dxa"/>
            <w:tcBorders>
              <w:top w:val="double" w:color="000000" w:sz="4"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40394169">
            <w:pPr>
              <w:jc w:val="center"/>
              <w:rPr>
                <w:rFonts w:hint="eastAsia" w:ascii="宋体" w:hAnsi="宋体" w:eastAsia="宋体" w:cs="宋体"/>
                <w:b/>
                <w:color w:val="000000"/>
                <w:szCs w:val="21"/>
              </w:rPr>
            </w:pPr>
            <w:r>
              <w:rPr>
                <w:rFonts w:hint="eastAsia" w:ascii="宋体" w:hAnsi="宋体" w:eastAsia="宋体" w:cs="宋体"/>
                <w:b/>
                <w:color w:val="000000"/>
                <w:szCs w:val="21"/>
              </w:rPr>
              <w:t>产品名称</w:t>
            </w:r>
          </w:p>
        </w:tc>
        <w:tc>
          <w:tcPr>
            <w:tcW w:w="2468" w:type="dxa"/>
            <w:tcBorders>
              <w:top w:val="double" w:color="000000" w:sz="4" w:space="0"/>
              <w:left w:val="single" w:color="auto" w:sz="4" w:space="0"/>
              <w:bottom w:val="single" w:color="000000" w:sz="6" w:space="0"/>
              <w:right w:val="single" w:color="000000" w:sz="6" w:space="0"/>
            </w:tcBorders>
            <w:vAlign w:val="center"/>
          </w:tcPr>
          <w:p w14:paraId="6EBA45AD">
            <w:pPr>
              <w:jc w:val="center"/>
              <w:rPr>
                <w:rFonts w:hint="eastAsia" w:ascii="宋体" w:hAnsi="宋体" w:eastAsia="宋体" w:cs="宋体"/>
                <w:b/>
                <w:color w:val="000000"/>
                <w:szCs w:val="21"/>
              </w:rPr>
            </w:pPr>
            <w:r>
              <w:rPr>
                <w:rFonts w:hint="eastAsia" w:ascii="宋体" w:hAnsi="宋体" w:eastAsia="宋体" w:cs="宋体"/>
                <w:b/>
                <w:color w:val="000000"/>
                <w:szCs w:val="21"/>
              </w:rPr>
              <w:t>谈判文件技术要求</w:t>
            </w:r>
          </w:p>
        </w:tc>
        <w:tc>
          <w:tcPr>
            <w:tcW w:w="2409" w:type="dxa"/>
            <w:tcBorders>
              <w:top w:val="double" w:color="000000" w:sz="4"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2E2ABAB6">
            <w:pPr>
              <w:jc w:val="center"/>
              <w:rPr>
                <w:rFonts w:hint="eastAsia" w:ascii="宋体" w:hAnsi="宋体" w:eastAsia="宋体" w:cs="宋体"/>
                <w:b/>
                <w:color w:val="000000"/>
                <w:szCs w:val="21"/>
              </w:rPr>
            </w:pPr>
            <w:r>
              <w:rPr>
                <w:rFonts w:hint="eastAsia" w:ascii="宋体" w:hAnsi="宋体" w:eastAsia="宋体" w:cs="宋体"/>
                <w:b/>
                <w:color w:val="000000"/>
                <w:szCs w:val="21"/>
              </w:rPr>
              <w:t>响应文件技术要求</w:t>
            </w:r>
          </w:p>
        </w:tc>
        <w:tc>
          <w:tcPr>
            <w:tcW w:w="1985" w:type="dxa"/>
            <w:tcBorders>
              <w:top w:val="double" w:color="000000" w:sz="4"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7CFAE428">
            <w:pPr>
              <w:jc w:val="center"/>
              <w:rPr>
                <w:rFonts w:hint="eastAsia" w:ascii="宋体" w:hAnsi="宋体" w:eastAsia="宋体" w:cs="宋体"/>
                <w:b/>
                <w:color w:val="000000"/>
                <w:szCs w:val="21"/>
              </w:rPr>
            </w:pPr>
            <w:r>
              <w:rPr>
                <w:rFonts w:hint="eastAsia" w:ascii="宋体" w:hAnsi="宋体" w:eastAsia="宋体" w:cs="宋体"/>
                <w:b/>
                <w:color w:val="000000"/>
                <w:szCs w:val="21"/>
              </w:rPr>
              <w:t>响应情况</w:t>
            </w:r>
          </w:p>
        </w:tc>
      </w:tr>
      <w:tr w14:paraId="4A88BAC4">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05DCD144">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0354C532">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2B79380F">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64687482">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164A8FFF">
            <w:pPr>
              <w:jc w:val="center"/>
              <w:rPr>
                <w:rFonts w:hint="eastAsia" w:ascii="宋体" w:hAnsi="宋体" w:eastAsia="宋体" w:cs="宋体"/>
                <w:color w:val="000000"/>
                <w:szCs w:val="21"/>
              </w:rPr>
            </w:pPr>
          </w:p>
        </w:tc>
      </w:tr>
      <w:tr w14:paraId="4FD3FBC5">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7A71BEFA">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8B86B7C">
            <w:pPr>
              <w:tabs>
                <w:tab w:val="center" w:pos="1694"/>
              </w:tabs>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1EE5709">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7F8DA857">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78801B05">
            <w:pPr>
              <w:jc w:val="center"/>
              <w:rPr>
                <w:rFonts w:hint="eastAsia" w:ascii="宋体" w:hAnsi="宋体" w:eastAsia="宋体" w:cs="宋体"/>
                <w:color w:val="000000"/>
                <w:szCs w:val="21"/>
              </w:rPr>
            </w:pPr>
          </w:p>
        </w:tc>
      </w:tr>
      <w:tr w14:paraId="60C54B5A">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126E893D">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3593A661">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F885D38">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4D6D02B0">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6A0CEF81">
            <w:pPr>
              <w:jc w:val="center"/>
              <w:rPr>
                <w:rFonts w:hint="eastAsia" w:ascii="宋体" w:hAnsi="宋体" w:eastAsia="宋体" w:cs="宋体"/>
                <w:color w:val="000000"/>
                <w:szCs w:val="21"/>
              </w:rPr>
            </w:pPr>
          </w:p>
        </w:tc>
      </w:tr>
      <w:tr w14:paraId="5FA44BEF">
        <w:tblPrEx>
          <w:tblCellMar>
            <w:top w:w="0" w:type="dxa"/>
            <w:left w:w="0" w:type="dxa"/>
            <w:bottom w:w="0" w:type="dxa"/>
            <w:right w:w="0" w:type="dxa"/>
          </w:tblCellMar>
        </w:tblPrEx>
        <w:trPr>
          <w:trHeight w:val="340" w:hRule="atLeast"/>
        </w:trPr>
        <w:tc>
          <w:tcPr>
            <w:tcW w:w="701" w:type="dxa"/>
            <w:tcBorders>
              <w:top w:val="single" w:color="000000" w:sz="6" w:space="0"/>
              <w:left w:val="double" w:color="000000" w:sz="4" w:space="0"/>
              <w:bottom w:val="single" w:color="000000" w:sz="6" w:space="0"/>
              <w:right w:val="single" w:color="000000" w:sz="6" w:space="0"/>
            </w:tcBorders>
            <w:tcMar>
              <w:top w:w="28" w:type="dxa"/>
              <w:left w:w="28" w:type="dxa"/>
              <w:bottom w:w="28" w:type="dxa"/>
              <w:right w:w="28" w:type="dxa"/>
            </w:tcMar>
            <w:vAlign w:val="center"/>
          </w:tcPr>
          <w:p w14:paraId="0BE89AEF">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54"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14:paraId="758C7121">
            <w:pPr>
              <w:jc w:val="center"/>
              <w:rPr>
                <w:rFonts w:hint="eastAsia" w:ascii="宋体" w:hAnsi="宋体" w:eastAsia="宋体" w:cs="宋体"/>
                <w:color w:val="000000"/>
                <w:szCs w:val="21"/>
              </w:rPr>
            </w:pPr>
          </w:p>
        </w:tc>
        <w:tc>
          <w:tcPr>
            <w:tcW w:w="2468" w:type="dxa"/>
            <w:tcBorders>
              <w:top w:val="single" w:color="000000" w:sz="6" w:space="0"/>
              <w:left w:val="single" w:color="auto" w:sz="4" w:space="0"/>
              <w:bottom w:val="single" w:color="000000" w:sz="6" w:space="0"/>
              <w:right w:val="single" w:color="000000" w:sz="6" w:space="0"/>
            </w:tcBorders>
            <w:vAlign w:val="center"/>
          </w:tcPr>
          <w:p w14:paraId="183FF4FD">
            <w:pPr>
              <w:jc w:val="center"/>
              <w:rPr>
                <w:rFonts w:hint="eastAsia" w:ascii="宋体" w:hAnsi="宋体" w:eastAsia="宋体" w:cs="宋体"/>
                <w:color w:val="000000"/>
                <w:szCs w:val="21"/>
              </w:rPr>
            </w:pPr>
          </w:p>
        </w:tc>
        <w:tc>
          <w:tcPr>
            <w:tcW w:w="2409" w:type="dxa"/>
            <w:tcBorders>
              <w:top w:val="single" w:color="000000" w:sz="6" w:space="0"/>
              <w:left w:val="single" w:color="000000" w:sz="6" w:space="0"/>
              <w:bottom w:val="single" w:color="000000" w:sz="6" w:space="0"/>
              <w:right w:val="single" w:color="000000" w:sz="4" w:space="0"/>
            </w:tcBorders>
            <w:tcMar>
              <w:top w:w="28" w:type="dxa"/>
              <w:left w:w="28" w:type="dxa"/>
              <w:bottom w:w="28" w:type="dxa"/>
              <w:right w:w="28" w:type="dxa"/>
            </w:tcMar>
            <w:vAlign w:val="center"/>
          </w:tcPr>
          <w:p w14:paraId="68A63BFD">
            <w:pPr>
              <w:jc w:val="center"/>
              <w:rPr>
                <w:rFonts w:hint="eastAsia" w:ascii="宋体" w:hAnsi="宋体" w:eastAsia="宋体" w:cs="宋体"/>
                <w:color w:val="000000"/>
                <w:szCs w:val="21"/>
              </w:rPr>
            </w:pPr>
          </w:p>
        </w:tc>
        <w:tc>
          <w:tcPr>
            <w:tcW w:w="1985" w:type="dxa"/>
            <w:tcBorders>
              <w:top w:val="single" w:color="000000" w:sz="6" w:space="0"/>
              <w:left w:val="single" w:color="000000" w:sz="4" w:space="0"/>
              <w:bottom w:val="single" w:color="000000" w:sz="6" w:space="0"/>
              <w:right w:val="single" w:color="000000" w:sz="6" w:space="0"/>
            </w:tcBorders>
            <w:tcMar>
              <w:top w:w="28" w:type="dxa"/>
              <w:left w:w="28" w:type="dxa"/>
              <w:bottom w:w="28" w:type="dxa"/>
              <w:right w:w="28" w:type="dxa"/>
            </w:tcMar>
            <w:vAlign w:val="center"/>
          </w:tcPr>
          <w:p w14:paraId="4C584DF3">
            <w:pPr>
              <w:jc w:val="center"/>
              <w:rPr>
                <w:rFonts w:hint="eastAsia" w:ascii="宋体" w:hAnsi="宋体" w:eastAsia="宋体" w:cs="宋体"/>
                <w:color w:val="000000"/>
                <w:szCs w:val="21"/>
              </w:rPr>
            </w:pPr>
          </w:p>
        </w:tc>
      </w:tr>
    </w:tbl>
    <w:p w14:paraId="6141AADA">
      <w:pPr>
        <w:widowControl/>
        <w:jc w:val="left"/>
        <w:rPr>
          <w:rFonts w:hint="eastAsia" w:ascii="宋体" w:hAnsi="宋体" w:eastAsia="宋体" w:cs="宋体"/>
          <w:sz w:val="24"/>
        </w:rPr>
      </w:pPr>
    </w:p>
    <w:p w14:paraId="6E201F7E">
      <w:pPr>
        <w:widowControl/>
        <w:jc w:val="left"/>
        <w:rPr>
          <w:rFonts w:hint="eastAsia" w:ascii="宋体" w:hAnsi="宋体" w:eastAsia="宋体" w:cs="宋体"/>
          <w:sz w:val="24"/>
        </w:rPr>
      </w:pPr>
    </w:p>
    <w:p w14:paraId="6BBB2950">
      <w:pPr>
        <w:widowControl/>
        <w:jc w:val="left"/>
        <w:rPr>
          <w:rFonts w:hint="eastAsia" w:ascii="宋体" w:hAnsi="宋体" w:eastAsia="宋体" w:cs="宋体"/>
          <w:szCs w:val="21"/>
        </w:rPr>
      </w:pPr>
      <w:r>
        <w:rPr>
          <w:rFonts w:hint="eastAsia" w:ascii="宋体" w:hAnsi="宋体" w:eastAsia="宋体" w:cs="宋体"/>
          <w:szCs w:val="21"/>
        </w:rPr>
        <w:t>注：1.填写此表以“招标内容及采购要求”为准。</w:t>
      </w:r>
    </w:p>
    <w:p w14:paraId="05058AA8">
      <w:pPr>
        <w:pStyle w:val="23"/>
        <w:widowControl/>
        <w:numPr>
          <w:ilvl w:val="0"/>
          <w:numId w:val="1"/>
        </w:numPr>
        <w:ind w:firstLineChars="0"/>
        <w:jc w:val="left"/>
        <w:rPr>
          <w:rFonts w:hint="eastAsia" w:ascii="宋体" w:hAnsi="宋体" w:eastAsia="宋体" w:cs="宋体"/>
          <w:szCs w:val="21"/>
        </w:rPr>
      </w:pPr>
      <w:r>
        <w:rPr>
          <w:rFonts w:hint="eastAsia" w:ascii="宋体" w:hAnsi="宋体" w:eastAsia="宋体" w:cs="宋体"/>
          <w:szCs w:val="21"/>
        </w:rPr>
        <w:t>禁止完全复制谈判文件中的技术参数要求，否则视为无效响应。</w:t>
      </w:r>
    </w:p>
    <w:p w14:paraId="5C406039">
      <w:pPr>
        <w:pStyle w:val="23"/>
        <w:widowControl/>
        <w:numPr>
          <w:ilvl w:val="0"/>
          <w:numId w:val="1"/>
        </w:numPr>
        <w:ind w:firstLineChars="0"/>
        <w:jc w:val="left"/>
        <w:rPr>
          <w:rFonts w:hint="eastAsia" w:ascii="宋体" w:hAnsi="宋体" w:eastAsia="宋体" w:cs="宋体"/>
          <w:szCs w:val="21"/>
        </w:rPr>
      </w:pPr>
      <w:r>
        <w:rPr>
          <w:rFonts w:hint="eastAsia" w:ascii="宋体" w:hAnsi="宋体" w:eastAsia="宋体" w:cs="宋体"/>
          <w:szCs w:val="21"/>
        </w:rPr>
        <w:t>带★项技术参数为实质性响应参数，供应商应进行实质性响应，</w:t>
      </w:r>
      <w:r>
        <w:rPr>
          <w:rFonts w:hint="eastAsia" w:ascii="宋体" w:hAnsi="宋体" w:eastAsia="宋体" w:cs="宋体"/>
          <w:szCs w:val="21"/>
        </w:rPr>
        <w:t>提供相关证明材料，</w:t>
      </w:r>
      <w:r>
        <w:rPr>
          <w:rFonts w:hint="eastAsia" w:ascii="宋体" w:hAnsi="宋体" w:eastAsia="宋体" w:cs="宋体"/>
          <w:szCs w:val="21"/>
        </w:rPr>
        <w:t>否则视为无效响应。</w:t>
      </w:r>
    </w:p>
    <w:p w14:paraId="384FA7BC">
      <w:pPr>
        <w:pStyle w:val="23"/>
        <w:widowControl/>
        <w:numPr>
          <w:ilvl w:val="0"/>
          <w:numId w:val="1"/>
        </w:numPr>
        <w:ind w:firstLineChars="0"/>
        <w:jc w:val="left"/>
        <w:rPr>
          <w:rFonts w:hint="eastAsia" w:ascii="宋体" w:hAnsi="宋体" w:eastAsia="宋体" w:cs="宋体"/>
          <w:szCs w:val="21"/>
        </w:rPr>
      </w:pPr>
      <w:r>
        <w:rPr>
          <w:rFonts w:hint="eastAsia" w:ascii="宋体" w:hAnsi="宋体" w:eastAsia="宋体" w:cs="宋体"/>
          <w:szCs w:val="21"/>
        </w:rPr>
        <w:t>响应情况应填“满足”“不满足”“优于”</w:t>
      </w:r>
    </w:p>
    <w:p w14:paraId="30101AEB">
      <w:pPr>
        <w:widowControl/>
        <w:jc w:val="left"/>
        <w:rPr>
          <w:rFonts w:hint="eastAsia" w:ascii="宋体" w:hAnsi="宋体" w:eastAsia="宋体" w:cs="宋体"/>
          <w:sz w:val="24"/>
        </w:rPr>
      </w:pPr>
    </w:p>
    <w:p w14:paraId="1FD6EF1B">
      <w:pPr>
        <w:snapToGrid w:val="0"/>
        <w:spacing w:line="480" w:lineRule="auto"/>
        <w:ind w:firstLine="3840" w:firstLineChars="1600"/>
        <w:rPr>
          <w:rFonts w:hint="eastAsia" w:ascii="宋体" w:hAnsi="宋体" w:eastAsia="宋体" w:cs="宋体"/>
          <w:sz w:val="24"/>
        </w:rPr>
      </w:pPr>
    </w:p>
    <w:p w14:paraId="70C39240">
      <w:pPr>
        <w:snapToGrid w:val="0"/>
        <w:spacing w:line="480" w:lineRule="auto"/>
        <w:ind w:firstLine="3840" w:firstLineChars="1600"/>
        <w:rPr>
          <w:rFonts w:hint="eastAsia" w:ascii="宋体" w:hAnsi="宋体" w:eastAsia="宋体" w:cs="宋体"/>
          <w:sz w:val="24"/>
        </w:rPr>
      </w:pPr>
    </w:p>
    <w:p w14:paraId="264B79F1">
      <w:pPr>
        <w:snapToGrid w:val="0"/>
        <w:spacing w:line="480" w:lineRule="auto"/>
        <w:ind w:firstLine="3840" w:firstLineChars="1600"/>
        <w:rPr>
          <w:rFonts w:hint="eastAsia" w:ascii="宋体" w:hAnsi="宋体" w:eastAsia="宋体" w:cs="宋体"/>
          <w:sz w:val="24"/>
        </w:rPr>
      </w:pPr>
    </w:p>
    <w:p w14:paraId="35371831">
      <w:pPr>
        <w:snapToGrid w:val="0"/>
        <w:spacing w:line="480" w:lineRule="auto"/>
        <w:ind w:firstLine="4320" w:firstLineChars="1800"/>
        <w:rPr>
          <w:rFonts w:hint="eastAsia" w:ascii="宋体" w:hAnsi="宋体" w:eastAsia="宋体" w:cs="宋体"/>
          <w:sz w:val="24"/>
        </w:rPr>
      </w:pPr>
      <w:r>
        <w:rPr>
          <w:rFonts w:hint="eastAsia" w:ascii="宋体" w:hAnsi="宋体" w:eastAsia="宋体" w:cs="宋体"/>
          <w:sz w:val="24"/>
        </w:rPr>
        <w:t>供应商（公章）：</w:t>
      </w:r>
    </w:p>
    <w:p w14:paraId="1DA7CF44">
      <w:pPr>
        <w:pStyle w:val="6"/>
        <w:spacing w:line="480" w:lineRule="auto"/>
        <w:jc w:val="right"/>
        <w:rPr>
          <w:rFonts w:hint="eastAsia" w:ascii="宋体" w:hAnsi="宋体" w:eastAsia="宋体" w:cs="宋体"/>
          <w:color w:val="auto"/>
        </w:rPr>
      </w:pPr>
      <w:r>
        <w:rPr>
          <w:rFonts w:hint="eastAsia" w:ascii="宋体" w:hAnsi="宋体" w:eastAsia="宋体" w:cs="宋体"/>
          <w:color w:val="auto"/>
        </w:rPr>
        <w:t>法定代表人/被授权人（签字或盖章）：</w:t>
      </w:r>
    </w:p>
    <w:p w14:paraId="49C737C6">
      <w:pPr>
        <w:spacing w:line="480" w:lineRule="auto"/>
        <w:jc w:val="right"/>
        <w:rPr>
          <w:rFonts w:hint="eastAsia" w:ascii="宋体" w:hAnsi="宋体" w:eastAsia="宋体" w:cs="宋体"/>
          <w:sz w:val="24"/>
        </w:rPr>
      </w:pPr>
      <w:r>
        <w:rPr>
          <w:rFonts w:hint="eastAsia" w:ascii="宋体" w:hAnsi="宋体" w:eastAsia="宋体" w:cs="宋体"/>
          <w:sz w:val="24"/>
        </w:rPr>
        <w:t>年    月    日</w:t>
      </w:r>
    </w:p>
    <w:p w14:paraId="1C8BAB4B">
      <w:pPr>
        <w:widowControl/>
        <w:jc w:val="left"/>
        <w:rPr>
          <w:rFonts w:hint="eastAsia" w:ascii="宋体" w:hAnsi="宋体" w:eastAsia="宋体" w:cs="宋体"/>
          <w:b/>
          <w:bCs/>
          <w:sz w:val="28"/>
          <w:szCs w:val="28"/>
        </w:rPr>
      </w:pPr>
    </w:p>
    <w:p w14:paraId="1A36E373">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14:paraId="088ED0C6">
      <w:pPr>
        <w:spacing w:line="480" w:lineRule="auto"/>
        <w:jc w:val="center"/>
        <w:rPr>
          <w:rFonts w:hint="eastAsia" w:ascii="宋体" w:hAnsi="宋体" w:eastAsia="宋体" w:cs="宋体"/>
          <w:b/>
          <w:sz w:val="32"/>
        </w:rPr>
      </w:pPr>
      <w:bookmarkStart w:id="19" w:name="_Toc23984_WPSOffice_Level1"/>
      <w:r>
        <w:rPr>
          <w:rFonts w:hint="eastAsia" w:ascii="宋体" w:hAnsi="宋体" w:eastAsia="宋体" w:cs="宋体"/>
          <w:b/>
          <w:sz w:val="32"/>
        </w:rPr>
        <w:t>四、</w:t>
      </w:r>
      <w:bookmarkEnd w:id="19"/>
      <w:bookmarkStart w:id="20" w:name="_Toc13218_WPSOffice_Level1"/>
      <w:r>
        <w:rPr>
          <w:rFonts w:hint="eastAsia" w:ascii="宋体" w:hAnsi="宋体" w:eastAsia="宋体" w:cs="宋体"/>
          <w:b/>
          <w:sz w:val="32"/>
        </w:rPr>
        <w:t>资格证明文件</w:t>
      </w:r>
      <w:bookmarkEnd w:id="20"/>
    </w:p>
    <w:p w14:paraId="69EBED3B">
      <w:pPr>
        <w:spacing w:line="360" w:lineRule="auto"/>
        <w:rPr>
          <w:rFonts w:hint="eastAsia" w:ascii="宋体" w:hAnsi="宋体" w:eastAsia="宋体" w:cs="宋体"/>
          <w:b/>
          <w:sz w:val="32"/>
        </w:rPr>
      </w:pPr>
      <w:r>
        <w:rPr>
          <w:rFonts w:hint="eastAsia" w:ascii="宋体" w:hAnsi="宋体" w:eastAsia="宋体" w:cs="宋体"/>
          <w:bCs/>
          <w:sz w:val="24"/>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bCs/>
          <w:sz w:val="24"/>
        </w:rPr>
        <w:br w:type="textWrapping"/>
      </w:r>
      <w:r>
        <w:rPr>
          <w:rFonts w:hint="eastAsia" w:ascii="宋体" w:hAnsi="宋体" w:eastAsia="宋体" w:cs="宋体"/>
          <w:bCs/>
          <w:sz w:val="24"/>
        </w:rPr>
        <w:t>2、</w:t>
      </w:r>
      <w:r>
        <w:rPr>
          <w:rFonts w:hint="eastAsia" w:ascii="宋体" w:hAnsi="宋体" w:eastAsia="宋体" w:cs="宋体"/>
          <w:bCs/>
          <w:sz w:val="24"/>
          <w:lang w:eastAsia="zh-CN"/>
        </w:rPr>
        <w:t>法定代表人授权书（附法定代表人身份证复印件）及被授权人身份证（法定代表人直接参加只须提供法定代表人身份证）；</w:t>
      </w:r>
      <w:r>
        <w:rPr>
          <w:rFonts w:hint="eastAsia" w:ascii="宋体" w:hAnsi="宋体" w:eastAsia="宋体" w:cs="宋体"/>
          <w:bCs/>
          <w:sz w:val="24"/>
        </w:rPr>
        <w:br w:type="textWrapping"/>
      </w:r>
      <w:r>
        <w:rPr>
          <w:rFonts w:hint="eastAsia" w:ascii="宋体" w:hAnsi="宋体" w:eastAsia="宋体" w:cs="宋体"/>
          <w:bCs/>
          <w:sz w:val="24"/>
        </w:rPr>
        <w:t>3、供应商提供2022年度或2023年度的财务审计报告(成立时间至提交响应文件截止时间不足一年的可提供成立后任意时段的资产负债表)或其基本存款账户开户银行出具的资信证明及基本存款账户开户信息；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bCs/>
          <w:sz w:val="24"/>
        </w:rPr>
        <w:br w:type="textWrapping"/>
      </w:r>
      <w:r>
        <w:rPr>
          <w:rFonts w:hint="eastAsia" w:ascii="宋体" w:hAnsi="宋体" w:eastAsia="宋体" w:cs="宋体"/>
          <w:bCs/>
          <w:sz w:val="24"/>
        </w:rPr>
        <w:t>4、税收缴纳证明：提供已缴纳的2024年至今任一月份的缴税凭证；依法免税的供应商应提供相关文件证明；</w:t>
      </w:r>
      <w:r>
        <w:rPr>
          <w:rFonts w:hint="eastAsia" w:ascii="宋体" w:hAnsi="宋体" w:eastAsia="宋体" w:cs="宋体"/>
          <w:bCs/>
          <w:sz w:val="24"/>
        </w:rPr>
        <w:br w:type="textWrapping"/>
      </w:r>
      <w:r>
        <w:rPr>
          <w:rFonts w:hint="eastAsia" w:ascii="宋体" w:hAnsi="宋体" w:eastAsia="宋体" w:cs="宋体"/>
          <w:bCs/>
          <w:sz w:val="24"/>
        </w:rPr>
        <w:t>5、社会保障资金缴纳证明：提供2024年至今任意一个月的社会保障资金缴存证明或社保机构开具的社会保险参保缴费情况证明；依法不需要缴纳社会保障资金的应提供相关文件证明；</w:t>
      </w:r>
      <w:r>
        <w:rPr>
          <w:rFonts w:hint="eastAsia" w:ascii="宋体" w:hAnsi="宋体" w:eastAsia="宋体" w:cs="宋体"/>
          <w:bCs/>
          <w:sz w:val="24"/>
        </w:rPr>
        <w:br w:type="textWrapping"/>
      </w:r>
      <w:r>
        <w:rPr>
          <w:rFonts w:hint="eastAsia" w:ascii="宋体" w:hAnsi="宋体" w:eastAsia="宋体" w:cs="宋体"/>
          <w:bCs/>
          <w:sz w:val="24"/>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bCs/>
          <w:sz w:val="24"/>
        </w:rPr>
        <w:br w:type="textWrapping"/>
      </w:r>
      <w:r>
        <w:rPr>
          <w:rFonts w:hint="eastAsia" w:ascii="宋体" w:hAnsi="宋体" w:eastAsia="宋体" w:cs="宋体"/>
          <w:bCs/>
          <w:sz w:val="24"/>
        </w:rPr>
        <w:t>7、参加政府采购活动近三年内，在经营活动中没有重大违法记录声明函；</w:t>
      </w:r>
      <w:r>
        <w:rPr>
          <w:rFonts w:hint="eastAsia" w:ascii="宋体" w:hAnsi="宋体" w:eastAsia="宋体" w:cs="宋体"/>
          <w:bCs/>
          <w:sz w:val="24"/>
        </w:rPr>
        <w:br w:type="textWrapping"/>
      </w:r>
      <w:r>
        <w:rPr>
          <w:rFonts w:hint="eastAsia" w:ascii="宋体" w:hAnsi="宋体" w:eastAsia="宋体" w:cs="宋体"/>
          <w:bCs/>
          <w:sz w:val="24"/>
        </w:rPr>
        <w:t>8、具备履行合同所必须的设备和专业技术能力的书面声明；</w:t>
      </w:r>
      <w:r>
        <w:rPr>
          <w:rFonts w:hint="eastAsia" w:ascii="宋体" w:hAnsi="宋体" w:eastAsia="宋体" w:cs="宋体"/>
          <w:bCs/>
          <w:sz w:val="24"/>
        </w:rPr>
        <w:br w:type="textWrapping"/>
      </w:r>
      <w:r>
        <w:rPr>
          <w:rFonts w:hint="eastAsia" w:ascii="宋体" w:hAnsi="宋体" w:eastAsia="宋体" w:cs="宋体"/>
          <w:bCs/>
          <w:sz w:val="24"/>
        </w:rPr>
        <w:t>9、本项目不接受联合体谈判。</w:t>
      </w:r>
      <w:r>
        <w:rPr>
          <w:rFonts w:hint="eastAsia" w:ascii="宋体" w:hAnsi="宋体" w:eastAsia="宋体" w:cs="宋体"/>
          <w:b/>
          <w:sz w:val="32"/>
        </w:rPr>
        <w:br w:type="page"/>
      </w:r>
    </w:p>
    <w:p w14:paraId="1AF8DE35">
      <w:pPr>
        <w:spacing w:line="366" w:lineRule="exact"/>
        <w:jc w:val="center"/>
        <w:rPr>
          <w:rFonts w:hint="eastAsia" w:ascii="宋体" w:hAnsi="宋体" w:eastAsia="宋体" w:cs="宋体"/>
          <w:b/>
          <w:sz w:val="32"/>
        </w:rPr>
      </w:pPr>
      <w:r>
        <w:rPr>
          <w:rFonts w:hint="eastAsia" w:ascii="宋体" w:hAnsi="宋体" w:eastAsia="宋体" w:cs="宋体"/>
          <w:b/>
          <w:sz w:val="32"/>
        </w:rPr>
        <w:t>五、谈判响应技术方案</w:t>
      </w:r>
    </w:p>
    <w:p w14:paraId="58714EB3">
      <w:pPr>
        <w:tabs>
          <w:tab w:val="left" w:pos="1260"/>
        </w:tabs>
        <w:spacing w:line="56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2"/>
        </w:rPr>
        <w:t>供应商完成供货的实施方案；</w:t>
      </w:r>
    </w:p>
    <w:p w14:paraId="0DE512C1">
      <w:pPr>
        <w:tabs>
          <w:tab w:val="left" w:pos="1260"/>
        </w:tabs>
        <w:spacing w:line="560" w:lineRule="exact"/>
        <w:rPr>
          <w:rFonts w:hint="eastAsia" w:ascii="宋体" w:hAnsi="宋体" w:eastAsia="宋体" w:cs="宋体"/>
          <w:sz w:val="24"/>
        </w:rPr>
      </w:pPr>
      <w:r>
        <w:rPr>
          <w:rFonts w:hint="eastAsia" w:ascii="宋体" w:hAnsi="宋体" w:eastAsia="宋体" w:cs="宋体"/>
          <w:sz w:val="24"/>
        </w:rPr>
        <w:t>2、质量保障措施；</w:t>
      </w:r>
    </w:p>
    <w:p w14:paraId="280D34E8">
      <w:pPr>
        <w:tabs>
          <w:tab w:val="left" w:pos="1260"/>
        </w:tabs>
        <w:spacing w:line="560" w:lineRule="exact"/>
        <w:rPr>
          <w:rFonts w:hint="eastAsia" w:ascii="宋体" w:hAnsi="宋体" w:eastAsia="宋体" w:cs="宋体"/>
          <w:sz w:val="24"/>
        </w:rPr>
      </w:pPr>
      <w:r>
        <w:rPr>
          <w:rFonts w:hint="eastAsia" w:ascii="宋体" w:hAnsi="宋体" w:eastAsia="宋体" w:cs="宋体"/>
          <w:sz w:val="24"/>
        </w:rPr>
        <w:t>3、售后服务承诺；</w:t>
      </w:r>
    </w:p>
    <w:p w14:paraId="1DB36400">
      <w:pPr>
        <w:tabs>
          <w:tab w:val="left" w:pos="1260"/>
        </w:tabs>
        <w:spacing w:line="560" w:lineRule="exact"/>
        <w:rPr>
          <w:rFonts w:hint="eastAsia" w:ascii="宋体" w:hAnsi="宋体" w:eastAsia="宋体" w:cs="宋体"/>
          <w:sz w:val="24"/>
        </w:rPr>
      </w:pPr>
      <w:r>
        <w:rPr>
          <w:rFonts w:hint="eastAsia" w:ascii="宋体" w:hAnsi="宋体" w:eastAsia="宋体" w:cs="宋体"/>
          <w:sz w:val="24"/>
        </w:rPr>
        <w:t>4、供应商认为有必要说明的问题。</w:t>
      </w:r>
    </w:p>
    <w:p w14:paraId="061024ED">
      <w:pPr>
        <w:tabs>
          <w:tab w:val="left" w:pos="1260"/>
        </w:tabs>
        <w:spacing w:line="560" w:lineRule="exact"/>
        <w:rPr>
          <w:rFonts w:hint="eastAsia" w:ascii="宋体" w:hAnsi="宋体" w:eastAsia="宋体" w:cs="宋体"/>
          <w:sz w:val="24"/>
        </w:rPr>
      </w:pPr>
      <w:r>
        <w:rPr>
          <w:rFonts w:hint="eastAsia" w:ascii="宋体" w:hAnsi="宋体" w:eastAsia="宋体" w:cs="宋体"/>
          <w:b/>
          <w:bCs/>
          <w:sz w:val="24"/>
        </w:rPr>
        <w:t>注：</w:t>
      </w:r>
      <w:r>
        <w:rPr>
          <w:rFonts w:hint="eastAsia" w:ascii="宋体" w:hAnsi="宋体" w:eastAsia="宋体" w:cs="宋体"/>
          <w:b/>
          <w:sz w:val="24"/>
        </w:rPr>
        <w:t>（各供应商根据采购内容及要求，可自主编写方案说明，包含但不限于以上内容）</w:t>
      </w:r>
    </w:p>
    <w:p w14:paraId="3465522B">
      <w:pPr>
        <w:tabs>
          <w:tab w:val="left" w:pos="1260"/>
        </w:tabs>
        <w:spacing w:line="360" w:lineRule="auto"/>
        <w:ind w:firstLine="560" w:firstLineChars="200"/>
        <w:rPr>
          <w:rFonts w:hint="eastAsia" w:ascii="宋体" w:hAnsi="宋体" w:eastAsia="宋体" w:cs="宋体"/>
          <w:bCs/>
          <w:sz w:val="28"/>
          <w:szCs w:val="22"/>
        </w:rPr>
      </w:pPr>
    </w:p>
    <w:p w14:paraId="2E0E0CB2">
      <w:pPr>
        <w:pStyle w:val="6"/>
        <w:rPr>
          <w:rFonts w:hint="eastAsia" w:ascii="宋体" w:hAnsi="宋体" w:eastAsia="宋体" w:cs="宋体"/>
          <w:bCs/>
          <w:sz w:val="28"/>
          <w:szCs w:val="28"/>
        </w:rPr>
      </w:pPr>
    </w:p>
    <w:p w14:paraId="6C09D0AB">
      <w:pPr>
        <w:pStyle w:val="6"/>
        <w:rPr>
          <w:rFonts w:hint="eastAsia" w:ascii="宋体" w:hAnsi="宋体" w:eastAsia="宋体" w:cs="宋体"/>
          <w:bCs/>
          <w:sz w:val="28"/>
          <w:szCs w:val="28"/>
        </w:rPr>
      </w:pPr>
    </w:p>
    <w:p w14:paraId="4F971F50">
      <w:pPr>
        <w:pStyle w:val="6"/>
        <w:rPr>
          <w:rFonts w:hint="eastAsia" w:ascii="宋体" w:hAnsi="宋体" w:eastAsia="宋体" w:cs="宋体"/>
          <w:bCs/>
          <w:sz w:val="28"/>
          <w:szCs w:val="28"/>
        </w:rPr>
      </w:pPr>
    </w:p>
    <w:p w14:paraId="73992F2E">
      <w:pPr>
        <w:pStyle w:val="6"/>
        <w:rPr>
          <w:rFonts w:hint="eastAsia" w:ascii="宋体" w:hAnsi="宋体" w:eastAsia="宋体" w:cs="宋体"/>
          <w:bCs/>
          <w:sz w:val="28"/>
          <w:szCs w:val="28"/>
        </w:rPr>
      </w:pPr>
    </w:p>
    <w:p w14:paraId="56B3DFDC">
      <w:pPr>
        <w:spacing w:after="120" w:line="480" w:lineRule="auto"/>
        <w:ind w:left="420" w:leftChars="200"/>
        <w:rPr>
          <w:rFonts w:hint="eastAsia" w:ascii="宋体" w:hAnsi="宋体" w:eastAsia="宋体" w:cs="宋体"/>
          <w:bCs/>
          <w:sz w:val="28"/>
          <w:szCs w:val="28"/>
        </w:rPr>
      </w:pPr>
    </w:p>
    <w:p w14:paraId="4D9FE758">
      <w:pPr>
        <w:spacing w:after="120" w:line="480" w:lineRule="auto"/>
        <w:ind w:left="420" w:leftChars="200"/>
        <w:rPr>
          <w:rFonts w:hint="eastAsia" w:ascii="宋体" w:hAnsi="宋体" w:eastAsia="宋体" w:cs="宋体"/>
          <w:bCs/>
          <w:sz w:val="28"/>
          <w:szCs w:val="28"/>
        </w:rPr>
      </w:pPr>
    </w:p>
    <w:p w14:paraId="0A7AEE71">
      <w:pPr>
        <w:spacing w:after="120" w:line="480" w:lineRule="auto"/>
        <w:ind w:left="420" w:leftChars="200"/>
        <w:rPr>
          <w:rFonts w:hint="eastAsia" w:ascii="宋体" w:hAnsi="宋体" w:eastAsia="宋体" w:cs="宋体"/>
          <w:bCs/>
          <w:sz w:val="28"/>
          <w:szCs w:val="28"/>
        </w:rPr>
      </w:pPr>
    </w:p>
    <w:p w14:paraId="291A25DE">
      <w:pPr>
        <w:spacing w:after="120" w:line="480" w:lineRule="auto"/>
        <w:ind w:left="420" w:leftChars="200"/>
        <w:rPr>
          <w:rFonts w:hint="eastAsia" w:ascii="宋体" w:hAnsi="宋体" w:eastAsia="宋体" w:cs="宋体"/>
          <w:bCs/>
          <w:sz w:val="28"/>
          <w:szCs w:val="28"/>
        </w:rPr>
      </w:pPr>
    </w:p>
    <w:p w14:paraId="6B2B6DB1">
      <w:pPr>
        <w:pStyle w:val="28"/>
        <w:ind w:firstLine="560"/>
        <w:rPr>
          <w:rFonts w:hint="eastAsia" w:ascii="宋体" w:hAnsi="宋体" w:eastAsia="宋体" w:cs="宋体"/>
          <w:bCs/>
          <w:sz w:val="28"/>
          <w:szCs w:val="28"/>
        </w:rPr>
      </w:pPr>
    </w:p>
    <w:p w14:paraId="7C1C1A68">
      <w:pPr>
        <w:pStyle w:val="28"/>
        <w:ind w:firstLine="560"/>
        <w:rPr>
          <w:rFonts w:hint="eastAsia" w:ascii="宋体" w:hAnsi="宋体" w:eastAsia="宋体" w:cs="宋体"/>
          <w:bCs/>
          <w:sz w:val="28"/>
          <w:szCs w:val="28"/>
        </w:rPr>
      </w:pPr>
    </w:p>
    <w:p w14:paraId="5D2DF267">
      <w:pPr>
        <w:jc w:val="center"/>
        <w:rPr>
          <w:rFonts w:hint="eastAsia" w:ascii="宋体" w:hAnsi="宋体" w:eastAsia="宋体" w:cs="宋体"/>
          <w:sz w:val="28"/>
        </w:rPr>
      </w:pPr>
      <w:bookmarkStart w:id="21" w:name="_Toc15619_WPSOffice_Level1"/>
      <w:r>
        <w:rPr>
          <w:rFonts w:hint="eastAsia" w:ascii="宋体" w:hAnsi="宋体" w:eastAsia="宋体" w:cs="宋体"/>
          <w:b/>
          <w:sz w:val="32"/>
          <w:szCs w:val="32"/>
        </w:rPr>
        <w:br w:type="page"/>
      </w:r>
      <w:r>
        <w:rPr>
          <w:rFonts w:hint="eastAsia" w:ascii="宋体" w:hAnsi="宋体" w:eastAsia="宋体" w:cs="宋体"/>
          <w:b/>
          <w:sz w:val="32"/>
          <w:szCs w:val="32"/>
        </w:rPr>
        <w:t>六、</w:t>
      </w:r>
      <w:r>
        <w:rPr>
          <w:rFonts w:hint="eastAsia" w:ascii="宋体" w:hAnsi="宋体" w:eastAsia="宋体" w:cs="宋体"/>
          <w:b/>
          <w:sz w:val="32"/>
        </w:rPr>
        <w:t>商务响应方案</w:t>
      </w:r>
    </w:p>
    <w:p w14:paraId="46B9458A">
      <w:pPr>
        <w:spacing w:line="760" w:lineRule="exact"/>
        <w:rPr>
          <w:rFonts w:hint="eastAsia" w:ascii="宋体" w:hAnsi="宋体" w:eastAsia="宋体" w:cs="宋体"/>
          <w:sz w:val="24"/>
        </w:rPr>
      </w:pPr>
      <w:r>
        <w:rPr>
          <w:rFonts w:hint="eastAsia" w:ascii="宋体" w:hAnsi="宋体" w:eastAsia="宋体" w:cs="宋体"/>
          <w:sz w:val="24"/>
        </w:rPr>
        <w:t>商务响应方案的主要内容：</w:t>
      </w:r>
    </w:p>
    <w:p w14:paraId="4CAD9D18">
      <w:pPr>
        <w:spacing w:line="360" w:lineRule="auto"/>
        <w:outlineLvl w:val="2"/>
        <w:rPr>
          <w:rFonts w:hint="eastAsia" w:ascii="宋体" w:hAnsi="宋体" w:eastAsia="宋体" w:cs="宋体"/>
          <w:color w:val="222222"/>
          <w:sz w:val="24"/>
        </w:rPr>
      </w:pPr>
      <w:r>
        <w:rPr>
          <w:rFonts w:hint="eastAsia" w:ascii="宋体" w:hAnsi="宋体" w:eastAsia="宋体" w:cs="宋体"/>
          <w:color w:val="222222"/>
          <w:sz w:val="24"/>
        </w:rPr>
        <w:t>（1）企业简介；</w:t>
      </w:r>
    </w:p>
    <w:p w14:paraId="3B707304">
      <w:pPr>
        <w:spacing w:line="360" w:lineRule="auto"/>
        <w:outlineLvl w:val="2"/>
        <w:rPr>
          <w:rFonts w:hint="eastAsia" w:ascii="宋体" w:hAnsi="宋体" w:eastAsia="宋体" w:cs="宋体"/>
          <w:color w:val="222222"/>
          <w:sz w:val="24"/>
        </w:rPr>
      </w:pPr>
      <w:r>
        <w:rPr>
          <w:rFonts w:hint="eastAsia" w:ascii="宋体" w:hAnsi="宋体" w:eastAsia="宋体" w:cs="宋体"/>
          <w:color w:val="222222"/>
          <w:sz w:val="24"/>
        </w:rPr>
        <w:t>（2）商务响应（供货期、付款方式、价款结算、违约责任等）与合同条款说明；</w:t>
      </w:r>
    </w:p>
    <w:p w14:paraId="63F93D5D">
      <w:pPr>
        <w:rPr>
          <w:rFonts w:hint="eastAsia" w:ascii="宋体" w:hAnsi="宋体" w:eastAsia="宋体" w:cs="宋体"/>
          <w:b/>
          <w:sz w:val="32"/>
          <w:szCs w:val="32"/>
        </w:rPr>
      </w:pPr>
      <w:r>
        <w:rPr>
          <w:rFonts w:hint="eastAsia" w:ascii="宋体" w:hAnsi="宋体" w:eastAsia="宋体" w:cs="宋体"/>
          <w:color w:val="222222"/>
          <w:sz w:val="24"/>
        </w:rPr>
        <w:t>（3）类似业绩。</w:t>
      </w:r>
    </w:p>
    <w:p w14:paraId="6BB3FB9D">
      <w:pPr>
        <w:rPr>
          <w:rFonts w:hint="eastAsia" w:ascii="宋体" w:hAnsi="宋体" w:eastAsia="宋体" w:cs="宋体"/>
          <w:b/>
          <w:sz w:val="32"/>
          <w:szCs w:val="32"/>
        </w:rPr>
      </w:pPr>
      <w:r>
        <w:rPr>
          <w:rFonts w:hint="eastAsia" w:ascii="宋体" w:hAnsi="宋体" w:eastAsia="宋体" w:cs="宋体"/>
          <w:b/>
          <w:sz w:val="32"/>
          <w:szCs w:val="32"/>
        </w:rPr>
        <w:br w:type="page"/>
      </w:r>
    </w:p>
    <w:p w14:paraId="72C8A646">
      <w:pPr>
        <w:spacing w:line="366" w:lineRule="exact"/>
        <w:jc w:val="center"/>
        <w:rPr>
          <w:rFonts w:hint="eastAsia" w:ascii="宋体" w:hAnsi="宋体" w:eastAsia="宋体" w:cs="宋体"/>
          <w:b/>
          <w:sz w:val="32"/>
        </w:rPr>
      </w:pPr>
      <w:r>
        <w:rPr>
          <w:rFonts w:hint="eastAsia" w:ascii="宋体" w:hAnsi="宋体" w:eastAsia="宋体" w:cs="宋体"/>
          <w:b/>
          <w:sz w:val="32"/>
        </w:rPr>
        <w:t>七、供应商承诺</w:t>
      </w:r>
      <w:bookmarkEnd w:id="21"/>
    </w:p>
    <w:p w14:paraId="169FCF88">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.1供应商签署承诺书</w:t>
      </w:r>
    </w:p>
    <w:p w14:paraId="0BE950E0">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.1.1 未签署或者虚假承诺签署本承诺书的，其责任由供应商自行承担。</w:t>
      </w:r>
    </w:p>
    <w:p w14:paraId="10D06B42">
      <w:pPr>
        <w:spacing w:line="360"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.1.2 编制的响应文件正本须装订本原件，副本可装订复印件。</w:t>
      </w:r>
    </w:p>
    <w:p w14:paraId="26AF7A33">
      <w:pPr>
        <w:spacing w:line="360" w:lineRule="auto"/>
        <w:ind w:right="480" w:firstLine="482" w:firstLineChars="1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承诺书Ⅱ</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6E58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vAlign w:val="center"/>
          </w:tcPr>
          <w:p w14:paraId="34EFCB59">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0226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vAlign w:val="center"/>
          </w:tcPr>
          <w:p w14:paraId="62A8D601">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作为参加贵公司组织的谈判采购项目的供应商，本公司承诺：在参加本项目谈判之前不存在被依法禁止经营行为、财产被接管或冻结的情况，如有隐瞒实情，愿承担一切责任及后果。</w:t>
            </w:r>
          </w:p>
        </w:tc>
      </w:tr>
      <w:tr w14:paraId="5B83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vAlign w:val="center"/>
          </w:tcPr>
          <w:p w14:paraId="23A09F76">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614" w:type="dxa"/>
            <w:vAlign w:val="center"/>
          </w:tcPr>
          <w:p w14:paraId="64123514">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890" w:type="dxa"/>
            <w:vAlign w:val="center"/>
          </w:tcPr>
          <w:p w14:paraId="298B2E7D">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0050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3023" w:type="dxa"/>
            <w:vAlign w:val="center"/>
          </w:tcPr>
          <w:p w14:paraId="52477D55">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614" w:type="dxa"/>
            <w:vAlign w:val="center"/>
          </w:tcPr>
          <w:p w14:paraId="1BA00D48">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890" w:type="dxa"/>
            <w:vAlign w:val="center"/>
          </w:tcPr>
          <w:p w14:paraId="662A501B">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19B1AEE6">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承诺书Ⅲ</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14:paraId="27A4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vAlign w:val="center"/>
          </w:tcPr>
          <w:p w14:paraId="508F61B5">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2A0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vAlign w:val="center"/>
          </w:tcPr>
          <w:p w14:paraId="60A38C64">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作为参加贵公司组织的谈判采购项目的供应商，本公司郑重申告：近三年因产品（设备）供货问题（水货、替代品、次品、翻新品等）的不法行为记录为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次（没有填零），如有隐瞒实情，愿承担一切责任及后果。</w:t>
            </w:r>
          </w:p>
          <w:p w14:paraId="7D4DBB15">
            <w:pPr>
              <w:spacing w:line="360" w:lineRule="atLeast"/>
              <w:ind w:firstLine="360" w:firstLineChars="150"/>
              <w:rPr>
                <w:rFonts w:hint="eastAsia" w:ascii="宋体" w:hAnsi="宋体" w:eastAsia="宋体" w:cs="宋体"/>
                <w:color w:val="000000"/>
                <w:sz w:val="24"/>
              </w:rPr>
            </w:pPr>
            <w:r>
              <w:rPr>
                <w:rFonts w:hint="eastAsia" w:ascii="宋体" w:hAnsi="宋体" w:eastAsia="宋体" w:cs="宋体"/>
                <w:color w:val="000000"/>
                <w:sz w:val="24"/>
              </w:rPr>
              <w:t>本公司承诺：本次磋商标的物为正品行货。</w:t>
            </w:r>
          </w:p>
        </w:tc>
      </w:tr>
      <w:tr w14:paraId="1C30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vAlign w:val="center"/>
          </w:tcPr>
          <w:p w14:paraId="1C2F68B4">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765" w:type="dxa"/>
            <w:vAlign w:val="center"/>
          </w:tcPr>
          <w:p w14:paraId="61D07670">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577" w:type="dxa"/>
            <w:vAlign w:val="center"/>
          </w:tcPr>
          <w:p w14:paraId="155C979B">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502C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3132" w:type="dxa"/>
            <w:vAlign w:val="center"/>
          </w:tcPr>
          <w:p w14:paraId="1AC98832">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765" w:type="dxa"/>
            <w:vAlign w:val="center"/>
          </w:tcPr>
          <w:p w14:paraId="407AB4B0">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577" w:type="dxa"/>
            <w:vAlign w:val="center"/>
          </w:tcPr>
          <w:p w14:paraId="3E72AB90">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59637500">
      <w:pPr>
        <w:spacing w:line="360" w:lineRule="atLeast"/>
        <w:jc w:val="center"/>
        <w:rPr>
          <w:rFonts w:hint="eastAsia" w:ascii="宋体" w:hAnsi="宋体" w:eastAsia="宋体" w:cs="宋体"/>
          <w:b/>
          <w:color w:val="000000"/>
          <w:sz w:val="24"/>
        </w:rPr>
      </w:pPr>
    </w:p>
    <w:p w14:paraId="578C6DCB">
      <w:pPr>
        <w:spacing w:line="360" w:lineRule="atLeas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承诺书Ⅳ</w:t>
      </w:r>
    </w:p>
    <w:p w14:paraId="415CFB0F">
      <w:pPr>
        <w:spacing w:line="360" w:lineRule="atLeast"/>
        <w:jc w:val="center"/>
        <w:rPr>
          <w:rFonts w:hint="eastAsia" w:ascii="宋体" w:hAnsi="宋体" w:eastAsia="宋体" w:cs="宋体"/>
          <w:b/>
          <w:color w:val="00000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6883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vAlign w:val="center"/>
          </w:tcPr>
          <w:p w14:paraId="27184106">
            <w:pPr>
              <w:spacing w:line="360" w:lineRule="atLeast"/>
              <w:rPr>
                <w:rFonts w:hint="eastAsia" w:ascii="宋体" w:hAnsi="宋体" w:eastAsia="宋体" w:cs="宋体"/>
                <w:color w:val="000000"/>
                <w:sz w:val="24"/>
              </w:rPr>
            </w:pPr>
            <w:r>
              <w:rPr>
                <w:rFonts w:hint="eastAsia" w:ascii="宋体" w:hAnsi="宋体" w:eastAsia="宋体" w:cs="宋体"/>
                <w:color w:val="000000"/>
                <w:sz w:val="24"/>
              </w:rPr>
              <w:t>致：黄陵县政府采购中心</w:t>
            </w:r>
          </w:p>
        </w:tc>
      </w:tr>
      <w:tr w14:paraId="5F34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vAlign w:val="center"/>
          </w:tcPr>
          <w:p w14:paraId="0DCBD196">
            <w:pPr>
              <w:spacing w:line="36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作为参加贵公司组织的谈判采购项目的供应商，本公司承诺：参加本次谈判提交的所有资质证明文件及业绩证明文件是真实的、有效的，如有隐瞒实情，愿承担一切责任及后果。</w:t>
            </w:r>
          </w:p>
        </w:tc>
      </w:tr>
      <w:tr w14:paraId="1B4F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vAlign w:val="center"/>
          </w:tcPr>
          <w:p w14:paraId="6B8B7E51">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3725" w:type="dxa"/>
            <w:vAlign w:val="center"/>
          </w:tcPr>
          <w:p w14:paraId="6179DF96">
            <w:pPr>
              <w:spacing w:line="360" w:lineRule="atLeast"/>
              <w:jc w:val="center"/>
              <w:rPr>
                <w:rFonts w:hint="eastAsia" w:ascii="宋体" w:hAnsi="宋体" w:eastAsia="宋体" w:cs="宋体"/>
                <w:color w:val="000000"/>
                <w:sz w:val="24"/>
              </w:rPr>
            </w:pPr>
            <w:r>
              <w:rPr>
                <w:rFonts w:hint="eastAsia" w:ascii="宋体" w:hAnsi="宋体" w:eastAsia="宋体" w:cs="宋体"/>
                <w:sz w:val="24"/>
              </w:rPr>
              <w:t>法定代表人</w:t>
            </w:r>
          </w:p>
        </w:tc>
        <w:tc>
          <w:tcPr>
            <w:tcW w:w="2635" w:type="dxa"/>
            <w:vAlign w:val="center"/>
          </w:tcPr>
          <w:p w14:paraId="1B836891">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日   期</w:t>
            </w:r>
          </w:p>
        </w:tc>
      </w:tr>
      <w:tr w14:paraId="46B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3171" w:type="dxa"/>
            <w:vAlign w:val="center"/>
          </w:tcPr>
          <w:p w14:paraId="4C1C0277">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（公章）</w:t>
            </w:r>
          </w:p>
        </w:tc>
        <w:tc>
          <w:tcPr>
            <w:tcW w:w="3725" w:type="dxa"/>
            <w:vAlign w:val="center"/>
          </w:tcPr>
          <w:p w14:paraId="699766E5">
            <w:pPr>
              <w:spacing w:line="360" w:lineRule="atLeast"/>
              <w:jc w:val="center"/>
              <w:rPr>
                <w:rFonts w:hint="eastAsia" w:ascii="宋体" w:hAnsi="宋体" w:eastAsia="宋体" w:cs="宋体"/>
                <w:color w:val="000000"/>
                <w:sz w:val="24"/>
              </w:rPr>
            </w:pPr>
            <w:r>
              <w:rPr>
                <w:rFonts w:hint="eastAsia" w:ascii="宋体" w:hAnsi="宋体" w:eastAsia="宋体" w:cs="宋体"/>
                <w:color w:val="000000"/>
                <w:sz w:val="24"/>
              </w:rPr>
              <w:t>（签字或盖章）</w:t>
            </w:r>
          </w:p>
        </w:tc>
        <w:tc>
          <w:tcPr>
            <w:tcW w:w="2635" w:type="dxa"/>
            <w:vAlign w:val="center"/>
          </w:tcPr>
          <w:p w14:paraId="70534CF5">
            <w:pPr>
              <w:spacing w:line="360" w:lineRule="atLeast"/>
              <w:ind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42694312">
      <w:pPr>
        <w:spacing w:line="360" w:lineRule="atLeast"/>
        <w:rPr>
          <w:rFonts w:hint="eastAsia" w:ascii="宋体" w:hAnsi="宋体" w:eastAsia="宋体" w:cs="宋体"/>
          <w:b/>
          <w:color w:val="000000"/>
          <w:sz w:val="42"/>
          <w:szCs w:val="42"/>
        </w:rPr>
      </w:pPr>
    </w:p>
    <w:p w14:paraId="5B3EEEB1">
      <w:pPr>
        <w:rPr>
          <w:rFonts w:hint="eastAsia" w:ascii="宋体" w:hAnsi="宋体" w:eastAsia="宋体" w:cs="宋体"/>
          <w:b/>
          <w:sz w:val="32"/>
          <w:szCs w:val="32"/>
        </w:rPr>
      </w:pPr>
      <w:r>
        <w:rPr>
          <w:rFonts w:hint="eastAsia" w:ascii="宋体" w:hAnsi="宋体" w:eastAsia="宋体" w:cs="宋体"/>
          <w:b/>
          <w:sz w:val="32"/>
          <w:szCs w:val="32"/>
        </w:rPr>
        <w:br w:type="page"/>
      </w:r>
    </w:p>
    <w:p w14:paraId="1857DE62">
      <w:pPr>
        <w:spacing w:line="360" w:lineRule="atLeast"/>
        <w:jc w:val="center"/>
        <w:rPr>
          <w:rFonts w:hint="eastAsia" w:ascii="宋体" w:hAnsi="宋体" w:eastAsia="宋体" w:cs="宋体"/>
          <w:b/>
          <w:sz w:val="32"/>
          <w:szCs w:val="32"/>
        </w:rPr>
      </w:pPr>
      <w:r>
        <w:rPr>
          <w:rFonts w:hint="eastAsia" w:ascii="宋体" w:hAnsi="宋体" w:eastAsia="宋体" w:cs="宋体"/>
          <w:b/>
          <w:sz w:val="32"/>
          <w:szCs w:val="32"/>
        </w:rPr>
        <w:t>承诺书</w:t>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 5 \* ROMAN </w:instrText>
      </w:r>
      <w:r>
        <w:rPr>
          <w:rFonts w:hint="eastAsia" w:ascii="宋体" w:hAnsi="宋体" w:eastAsia="宋体" w:cs="宋体"/>
          <w:b/>
          <w:sz w:val="36"/>
          <w:szCs w:val="36"/>
        </w:rPr>
        <w:fldChar w:fldCharType="separate"/>
      </w:r>
      <w:r>
        <w:rPr>
          <w:rFonts w:hint="eastAsia" w:ascii="宋体" w:hAnsi="宋体" w:eastAsia="宋体" w:cs="宋体"/>
          <w:b/>
          <w:sz w:val="36"/>
          <w:szCs w:val="36"/>
        </w:rPr>
        <w:t>V</w:t>
      </w:r>
      <w:r>
        <w:rPr>
          <w:rFonts w:hint="eastAsia" w:ascii="宋体" w:hAnsi="宋体" w:eastAsia="宋体" w:cs="宋体"/>
          <w:b/>
          <w:sz w:val="36"/>
          <w:szCs w:val="36"/>
        </w:rPr>
        <w:fldChar w:fldCharType="end"/>
      </w:r>
    </w:p>
    <w:p w14:paraId="7DFB2685">
      <w:pPr>
        <w:widowControl/>
        <w:spacing w:line="640" w:lineRule="exact"/>
        <w:jc w:val="center"/>
        <w:rPr>
          <w:rFonts w:hint="eastAsia" w:ascii="宋体" w:hAnsi="宋体" w:eastAsia="宋体" w:cs="宋体"/>
          <w:bCs/>
          <w:sz w:val="32"/>
          <w:szCs w:val="32"/>
        </w:rPr>
      </w:pPr>
      <w:r>
        <w:rPr>
          <w:rFonts w:hint="eastAsia" w:ascii="宋体" w:hAnsi="宋体" w:eastAsia="宋体" w:cs="宋体"/>
          <w:bCs/>
          <w:sz w:val="32"/>
          <w:szCs w:val="32"/>
        </w:rPr>
        <w:t>陕西省政府采购供应商</w:t>
      </w:r>
    </w:p>
    <w:p w14:paraId="2701C31D">
      <w:pPr>
        <w:widowControl/>
        <w:spacing w:line="640" w:lineRule="exact"/>
        <w:jc w:val="center"/>
        <w:rPr>
          <w:rFonts w:hint="eastAsia" w:ascii="宋体" w:hAnsi="宋体" w:eastAsia="宋体" w:cs="宋体"/>
          <w:bCs/>
          <w:sz w:val="32"/>
          <w:szCs w:val="32"/>
        </w:rPr>
      </w:pPr>
      <w:r>
        <w:rPr>
          <w:rFonts w:hint="eastAsia" w:ascii="宋体" w:hAnsi="宋体" w:eastAsia="宋体" w:cs="宋体"/>
          <w:bCs/>
          <w:sz w:val="32"/>
          <w:szCs w:val="32"/>
        </w:rPr>
        <w:t>拒绝政府采购领域商业贿赂承诺书</w:t>
      </w:r>
    </w:p>
    <w:p w14:paraId="09A700B0">
      <w:pPr>
        <w:jc w:val="center"/>
        <w:rPr>
          <w:rFonts w:hint="eastAsia" w:ascii="宋体" w:hAnsi="宋体" w:eastAsia="宋体" w:cs="宋体"/>
          <w:bCs/>
          <w:sz w:val="32"/>
          <w:szCs w:val="32"/>
        </w:rPr>
      </w:pPr>
      <w:r>
        <w:rPr>
          <w:rFonts w:hint="eastAsia" w:ascii="宋体" w:hAnsi="宋体" w:eastAsia="宋体" w:cs="宋体"/>
          <w:bCs/>
          <w:sz w:val="32"/>
          <w:szCs w:val="32"/>
        </w:rPr>
        <w:t>（执行陕财办采管[2006]21号文件）</w:t>
      </w:r>
    </w:p>
    <w:p w14:paraId="66D2088C">
      <w:pPr>
        <w:jc w:val="center"/>
        <w:rPr>
          <w:rFonts w:hint="eastAsia" w:ascii="宋体" w:hAnsi="宋体" w:eastAsia="宋体" w:cs="宋体"/>
          <w:bCs/>
          <w:sz w:val="24"/>
        </w:rPr>
      </w:pPr>
    </w:p>
    <w:p w14:paraId="229ECDEF">
      <w:pPr>
        <w:spacing w:line="360" w:lineRule="exact"/>
        <w:ind w:firstLine="480" w:firstLineChars="200"/>
        <w:rPr>
          <w:rFonts w:hint="eastAsia" w:ascii="宋体" w:hAnsi="宋体" w:eastAsia="宋体" w:cs="宋体"/>
          <w:sz w:val="24"/>
        </w:rPr>
      </w:pPr>
      <w:r>
        <w:rPr>
          <w:rFonts w:hint="eastAsia" w:ascii="宋体" w:hAnsi="宋体" w:eastAsia="宋体" w:cs="宋体"/>
          <w:sz w:val="24"/>
        </w:rPr>
        <w:t>为响应党中央、国务院关于治理政府采购领域商业贿赂行为的号召，我公司在此庄严承诺：</w:t>
      </w:r>
    </w:p>
    <w:p w14:paraId="414F12F4">
      <w:pPr>
        <w:spacing w:line="360" w:lineRule="exact"/>
        <w:ind w:firstLine="480" w:firstLineChars="200"/>
        <w:rPr>
          <w:rFonts w:hint="eastAsia" w:ascii="宋体" w:hAnsi="宋体" w:eastAsia="宋体" w:cs="宋体"/>
          <w:sz w:val="24"/>
        </w:rPr>
      </w:pPr>
      <w:r>
        <w:rPr>
          <w:rFonts w:hint="eastAsia" w:ascii="宋体" w:hAnsi="宋体" w:eastAsia="宋体" w:cs="宋体"/>
          <w:sz w:val="24"/>
        </w:rPr>
        <w:t>1、在参与政府采购活动中遵纪守法、诚信经营、公平竞标。</w:t>
      </w:r>
    </w:p>
    <w:p w14:paraId="1196FF46">
      <w:pPr>
        <w:spacing w:line="360" w:lineRule="exact"/>
        <w:ind w:firstLine="480" w:firstLineChars="200"/>
        <w:rPr>
          <w:rFonts w:hint="eastAsia" w:ascii="宋体" w:hAnsi="宋体" w:eastAsia="宋体" w:cs="宋体"/>
          <w:sz w:val="24"/>
        </w:rPr>
      </w:pPr>
      <w:r>
        <w:rPr>
          <w:rFonts w:hint="eastAsia" w:ascii="宋体" w:hAnsi="宋体" w:eastAsia="宋体" w:cs="宋体"/>
          <w:sz w:val="24"/>
        </w:rPr>
        <w:t>2、不向政府采购人、采购代理机构和政府采购评审专家进行任何形式的商业贿赂以谋取交易机会。</w:t>
      </w:r>
    </w:p>
    <w:p w14:paraId="68CBD1BB">
      <w:pPr>
        <w:spacing w:line="360" w:lineRule="exact"/>
        <w:ind w:firstLine="480" w:firstLineChars="200"/>
        <w:rPr>
          <w:rFonts w:hint="eastAsia" w:ascii="宋体" w:hAnsi="宋体" w:eastAsia="宋体" w:cs="宋体"/>
          <w:sz w:val="24"/>
        </w:rPr>
      </w:pPr>
      <w:r>
        <w:rPr>
          <w:rFonts w:hint="eastAsia" w:ascii="宋体" w:hAnsi="宋体" w:eastAsia="宋体" w:cs="宋体"/>
          <w:sz w:val="24"/>
        </w:rPr>
        <w:t>3、不向政府采购代理机构和采购人提供虚假资格文件或采用虚假应标方式参与政府采购市场竞争并谋取成交。</w:t>
      </w:r>
    </w:p>
    <w:p w14:paraId="6E39E0B3">
      <w:pPr>
        <w:spacing w:line="360" w:lineRule="exact"/>
        <w:ind w:firstLine="480" w:firstLineChars="200"/>
        <w:rPr>
          <w:rFonts w:hint="eastAsia" w:ascii="宋体" w:hAnsi="宋体" w:eastAsia="宋体" w:cs="宋体"/>
          <w:sz w:val="24"/>
        </w:rPr>
      </w:pPr>
      <w:r>
        <w:rPr>
          <w:rFonts w:hint="eastAsia" w:ascii="宋体" w:hAnsi="宋体" w:eastAsia="宋体" w:cs="宋体"/>
          <w:sz w:val="24"/>
        </w:rPr>
        <w:t>4、不采取“围标、陪标”等商业欺诈手段获得政府采购定单。</w:t>
      </w:r>
    </w:p>
    <w:p w14:paraId="3D6E3734">
      <w:pPr>
        <w:spacing w:line="360" w:lineRule="exact"/>
        <w:ind w:firstLine="480" w:firstLineChars="200"/>
        <w:rPr>
          <w:rFonts w:hint="eastAsia" w:ascii="宋体" w:hAnsi="宋体" w:eastAsia="宋体" w:cs="宋体"/>
          <w:sz w:val="24"/>
        </w:rPr>
      </w:pPr>
      <w:r>
        <w:rPr>
          <w:rFonts w:hint="eastAsia" w:ascii="宋体" w:hAnsi="宋体" w:eastAsia="宋体" w:cs="宋体"/>
          <w:sz w:val="24"/>
        </w:rPr>
        <w:t>5、不采取不正当手段诋毁、排挤其他供应商。</w:t>
      </w:r>
    </w:p>
    <w:p w14:paraId="48488940">
      <w:pPr>
        <w:spacing w:line="360" w:lineRule="exact"/>
        <w:ind w:firstLine="480" w:firstLineChars="200"/>
        <w:rPr>
          <w:rFonts w:hint="eastAsia" w:ascii="宋体" w:hAnsi="宋体" w:eastAsia="宋体" w:cs="宋体"/>
          <w:sz w:val="24"/>
        </w:rPr>
      </w:pPr>
      <w:r>
        <w:rPr>
          <w:rFonts w:hint="eastAsia" w:ascii="宋体" w:hAnsi="宋体" w:eastAsia="宋体" w:cs="宋体"/>
          <w:sz w:val="24"/>
        </w:rPr>
        <w:t>6、不在提供商品和服务时“偷梁换柱、以次充好”损害采购人的合法权益。</w:t>
      </w:r>
    </w:p>
    <w:p w14:paraId="21C64168">
      <w:pPr>
        <w:spacing w:line="360" w:lineRule="exact"/>
        <w:ind w:firstLine="480" w:firstLineChars="200"/>
        <w:rPr>
          <w:rFonts w:hint="eastAsia" w:ascii="宋体" w:hAnsi="宋体" w:eastAsia="宋体" w:cs="宋体"/>
          <w:sz w:val="24"/>
        </w:rPr>
      </w:pPr>
      <w:r>
        <w:rPr>
          <w:rFonts w:hint="eastAsia" w:ascii="宋体" w:hAnsi="宋体" w:eastAsia="宋体" w:cs="宋体"/>
          <w:sz w:val="24"/>
        </w:rPr>
        <w:t>7、不与采购人、采购代理机构政府采购评审专家或其它供应商恶意串通，进行质疑和投诉，维护政府采购市场秩序。</w:t>
      </w:r>
    </w:p>
    <w:p w14:paraId="4DC7EE80">
      <w:pPr>
        <w:spacing w:line="360" w:lineRule="exact"/>
        <w:ind w:firstLine="480" w:firstLineChars="200"/>
        <w:rPr>
          <w:rFonts w:hint="eastAsia" w:ascii="宋体" w:hAnsi="宋体" w:eastAsia="宋体" w:cs="宋体"/>
          <w:sz w:val="24"/>
        </w:rPr>
      </w:pPr>
      <w:r>
        <w:rPr>
          <w:rFonts w:hint="eastAsia" w:ascii="宋体" w:hAnsi="宋体" w:eastAsia="宋体" w:cs="宋体"/>
          <w:sz w:val="24"/>
        </w:rPr>
        <w:t>8、尊重和接受政府采购监督管理部门的监督和政府采购代理机构询价采购要求，承担因违约行为给采购人造成的损失。</w:t>
      </w:r>
    </w:p>
    <w:p w14:paraId="0A15756D">
      <w:pPr>
        <w:spacing w:line="360" w:lineRule="exact"/>
        <w:ind w:firstLine="480" w:firstLineChars="200"/>
        <w:rPr>
          <w:rFonts w:hint="eastAsia" w:ascii="宋体" w:hAnsi="宋体" w:eastAsia="宋体" w:cs="宋体"/>
          <w:sz w:val="24"/>
        </w:rPr>
      </w:pPr>
      <w:r>
        <w:rPr>
          <w:rFonts w:hint="eastAsia" w:ascii="宋体" w:hAnsi="宋体" w:eastAsia="宋体" w:cs="宋体"/>
          <w:sz w:val="24"/>
        </w:rPr>
        <w:t>9、不发生其他有悖于政府采购公开、公平、公正和诚信原则的行为。</w:t>
      </w:r>
    </w:p>
    <w:p w14:paraId="744690AA">
      <w:pPr>
        <w:spacing w:line="360" w:lineRule="exact"/>
        <w:ind w:firstLine="480" w:firstLineChars="200"/>
        <w:rPr>
          <w:rFonts w:hint="eastAsia" w:ascii="宋体" w:hAnsi="宋体" w:eastAsia="宋体" w:cs="宋体"/>
          <w:sz w:val="24"/>
        </w:rPr>
      </w:pPr>
    </w:p>
    <w:p w14:paraId="5228C131">
      <w:pPr>
        <w:spacing w:line="360" w:lineRule="exact"/>
        <w:ind w:firstLine="480" w:firstLineChars="200"/>
        <w:rPr>
          <w:rFonts w:hint="eastAsia" w:ascii="宋体" w:hAnsi="宋体" w:eastAsia="宋体" w:cs="宋体"/>
          <w:sz w:val="24"/>
        </w:rPr>
      </w:pPr>
    </w:p>
    <w:p w14:paraId="00886353">
      <w:pPr>
        <w:spacing w:line="500" w:lineRule="exact"/>
        <w:ind w:firstLine="480" w:firstLineChars="200"/>
        <w:rPr>
          <w:rFonts w:hint="eastAsia"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14:paraId="0B57178F">
      <w:pPr>
        <w:spacing w:line="500" w:lineRule="exact"/>
        <w:ind w:firstLine="420" w:firstLineChars="175"/>
        <w:rPr>
          <w:rFonts w:hint="eastAsia" w:ascii="宋体" w:hAnsi="宋体" w:eastAsia="宋体" w:cs="宋体"/>
          <w:sz w:val="24"/>
        </w:rPr>
      </w:pPr>
      <w:r>
        <w:rPr>
          <w:rFonts w:hint="eastAsia" w:ascii="宋体" w:hAnsi="宋体" w:eastAsia="宋体" w:cs="宋体"/>
          <w:sz w:val="24"/>
        </w:rPr>
        <w:t>全权代表：</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272F8977">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地  址：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5B96844">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电  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4E1EC95">
      <w:pPr>
        <w:spacing w:line="500" w:lineRule="exact"/>
        <w:ind w:firstLine="480" w:firstLineChars="200"/>
        <w:rPr>
          <w:rFonts w:hint="eastAsia" w:ascii="宋体" w:hAnsi="宋体" w:eastAsia="宋体" w:cs="宋体"/>
          <w:sz w:val="24"/>
        </w:rPr>
      </w:pPr>
      <w:r>
        <w:rPr>
          <w:rFonts w:hint="eastAsia" w:ascii="宋体" w:hAnsi="宋体" w:eastAsia="宋体" w:cs="宋体"/>
          <w:sz w:val="24"/>
        </w:rPr>
        <w:t>邮  编：</w:t>
      </w:r>
      <w:r>
        <w:rPr>
          <w:rFonts w:hint="eastAsia" w:ascii="宋体" w:hAnsi="宋体" w:eastAsia="宋体" w:cs="宋体"/>
          <w:sz w:val="24"/>
          <w:u w:val="single"/>
        </w:rPr>
        <w:t xml:space="preserve">                                   </w:t>
      </w:r>
    </w:p>
    <w:p w14:paraId="3A3DD344">
      <w:pPr>
        <w:spacing w:line="50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日</w:t>
      </w:r>
    </w:p>
    <w:p w14:paraId="70DEA7F3">
      <w:pPr>
        <w:rPr>
          <w:rFonts w:hint="eastAsia" w:ascii="宋体" w:hAnsi="宋体" w:eastAsia="宋体" w:cs="宋体"/>
          <w:b/>
          <w:bCs/>
          <w:sz w:val="30"/>
          <w:szCs w:val="30"/>
        </w:rPr>
      </w:pPr>
      <w:r>
        <w:rPr>
          <w:rFonts w:hint="eastAsia" w:ascii="宋体" w:hAnsi="宋体" w:eastAsia="宋体" w:cs="宋体"/>
          <w:b/>
          <w:bCs/>
          <w:sz w:val="30"/>
          <w:szCs w:val="30"/>
        </w:rPr>
        <w:br w:type="page"/>
      </w:r>
    </w:p>
    <w:p w14:paraId="28DE03B9">
      <w:pPr>
        <w:jc w:val="center"/>
        <w:rPr>
          <w:rFonts w:hint="eastAsia" w:ascii="宋体" w:hAnsi="宋体" w:eastAsia="宋体" w:cs="宋体"/>
          <w:b/>
          <w:bCs/>
          <w:sz w:val="30"/>
          <w:szCs w:val="30"/>
        </w:rPr>
      </w:pPr>
      <w:r>
        <w:rPr>
          <w:rFonts w:hint="eastAsia" w:ascii="宋体" w:hAnsi="宋体" w:eastAsia="宋体" w:cs="宋体"/>
          <w:b/>
          <w:bCs/>
          <w:sz w:val="30"/>
          <w:szCs w:val="30"/>
        </w:rPr>
        <w:t>八、供应商认为有必要补充说明的事项</w:t>
      </w:r>
    </w:p>
    <w:p w14:paraId="6841A027">
      <w:pPr>
        <w:rPr>
          <w:rFonts w:hint="eastAsia" w:ascii="宋体" w:hAnsi="宋体" w:eastAsia="宋体" w:cs="宋体"/>
          <w:b/>
          <w:bCs/>
          <w:sz w:val="28"/>
          <w:szCs w:val="28"/>
        </w:rPr>
      </w:pPr>
      <w:r>
        <w:rPr>
          <w:rFonts w:hint="eastAsia" w:ascii="宋体" w:hAnsi="宋体" w:eastAsia="宋体" w:cs="宋体"/>
          <w:b/>
          <w:bCs/>
          <w:sz w:val="28"/>
          <w:szCs w:val="28"/>
        </w:rPr>
        <w:br w:type="page"/>
      </w:r>
    </w:p>
    <w:p w14:paraId="38A9F11A">
      <w:pPr>
        <w:pStyle w:val="3"/>
        <w:jc w:val="both"/>
        <w:rPr>
          <w:rFonts w:hint="eastAsia" w:ascii="宋体" w:hAnsi="宋体" w:eastAsia="宋体" w:cs="宋体"/>
          <w:szCs w:val="28"/>
        </w:rPr>
      </w:pPr>
      <w:r>
        <w:rPr>
          <w:rFonts w:hint="eastAsia" w:ascii="宋体" w:hAnsi="宋体" w:eastAsia="宋体" w:cs="宋体"/>
          <w:spacing w:val="4"/>
          <w:szCs w:val="28"/>
        </w:rPr>
        <w:t>附件：</w:t>
      </w:r>
    </w:p>
    <w:p w14:paraId="6A9352BA">
      <w:pPr>
        <w:pStyle w:val="3"/>
        <w:rPr>
          <w:rFonts w:hint="eastAsia" w:ascii="宋体" w:hAnsi="宋体" w:eastAsia="宋体" w:cs="宋体"/>
        </w:rPr>
      </w:pPr>
      <w:r>
        <w:rPr>
          <w:rFonts w:hint="eastAsia" w:ascii="宋体" w:hAnsi="宋体" w:eastAsia="宋体" w:cs="宋体"/>
          <w:szCs w:val="28"/>
        </w:rPr>
        <w:t>一、</w:t>
      </w:r>
      <w:bookmarkStart w:id="22" w:name="_Toc7134"/>
      <w:r>
        <w:rPr>
          <w:rFonts w:hint="eastAsia" w:ascii="宋体" w:hAnsi="宋体" w:eastAsia="宋体" w:cs="宋体"/>
        </w:rPr>
        <w:t>中小企业声明函（货物）</w:t>
      </w:r>
      <w:bookmarkEnd w:id="22"/>
    </w:p>
    <w:p w14:paraId="30D99312">
      <w:pPr>
        <w:pStyle w:val="6"/>
        <w:spacing w:before="1" w:line="360" w:lineRule="auto"/>
        <w:ind w:right="288" w:firstLine="480" w:firstLineChars="20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（企业名称）</w:t>
      </w:r>
      <w:r>
        <w:rPr>
          <w:rFonts w:hint="eastAsia" w:ascii="宋体" w:hAnsi="宋体" w:eastAsia="宋体" w:cs="宋体"/>
          <w:color w:val="auto"/>
        </w:rPr>
        <w:t>的</w:t>
      </w:r>
      <w:r>
        <w:rPr>
          <w:rFonts w:hint="eastAsia" w:ascii="宋体" w:hAnsi="宋体" w:eastAsia="宋体" w:cs="宋体"/>
          <w:color w:val="auto"/>
          <w:u w:val="single"/>
        </w:rPr>
        <w:t>（采购项目名称）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14:paraId="25EBE9CA">
      <w:pPr>
        <w:widowControl/>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kern w:val="0"/>
          <w:sz w:val="24"/>
          <w:lang w:bidi="ar"/>
        </w:rPr>
        <w:t>1.</w:t>
      </w:r>
      <w:r>
        <w:rPr>
          <w:rFonts w:hint="eastAsia" w:ascii="宋体" w:hAnsi="宋体" w:eastAsia="宋体" w:cs="宋体"/>
          <w:kern w:val="0"/>
          <w:sz w:val="24"/>
          <w:u w:val="single"/>
          <w:lang w:bidi="ar"/>
        </w:rPr>
        <w:t xml:space="preserve">（标的名称） </w:t>
      </w:r>
      <w:r>
        <w:rPr>
          <w:rFonts w:hint="eastAsia" w:ascii="宋体" w:hAnsi="宋体" w:eastAsia="宋体" w:cs="宋体"/>
          <w:kern w:val="0"/>
          <w:sz w:val="24"/>
          <w:lang w:bidi="ar"/>
        </w:rPr>
        <w:t>，属于</w:t>
      </w:r>
      <w:r>
        <w:rPr>
          <w:rFonts w:hint="eastAsia" w:ascii="宋体" w:hAnsi="宋体" w:eastAsia="宋体" w:cs="宋体"/>
          <w:kern w:val="0"/>
          <w:sz w:val="24"/>
          <w:u w:val="single"/>
          <w:lang w:bidi="ar"/>
        </w:rPr>
        <w:t>（采购文件中明确的所属行业）行业</w:t>
      </w:r>
      <w:r>
        <w:rPr>
          <w:rFonts w:hint="eastAsia" w:ascii="宋体" w:hAnsi="宋体" w:eastAsia="宋体" w:cs="宋体"/>
          <w:kern w:val="0"/>
          <w:sz w:val="24"/>
          <w:lang w:bidi="ar"/>
        </w:rPr>
        <w:t>；制造商为</w:t>
      </w:r>
      <w:r>
        <w:rPr>
          <w:rFonts w:hint="eastAsia" w:ascii="宋体" w:hAnsi="宋体" w:eastAsia="宋体" w:cs="宋体"/>
          <w:kern w:val="0"/>
          <w:sz w:val="24"/>
          <w:u w:val="single"/>
          <w:lang w:bidi="ar"/>
        </w:rPr>
        <w:t>（企业名称）</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万元，属于</w:t>
      </w:r>
      <w:r>
        <w:rPr>
          <w:rFonts w:hint="eastAsia" w:ascii="宋体" w:hAnsi="宋体" w:eastAsia="宋体" w:cs="宋体"/>
          <w:kern w:val="0"/>
          <w:sz w:val="24"/>
          <w:u w:val="single"/>
          <w:lang w:bidi="ar"/>
        </w:rPr>
        <w:t>（中型企业、小型企业、微型企业）</w:t>
      </w:r>
      <w:r>
        <w:rPr>
          <w:rFonts w:hint="eastAsia" w:ascii="宋体" w:hAnsi="宋体" w:eastAsia="宋体" w:cs="宋体"/>
          <w:kern w:val="0"/>
          <w:sz w:val="24"/>
          <w:lang w:bidi="ar"/>
        </w:rPr>
        <w:t xml:space="preserve">； </w:t>
      </w:r>
    </w:p>
    <w:p w14:paraId="6674B276">
      <w:pPr>
        <w:widowControl/>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kern w:val="0"/>
          <w:sz w:val="24"/>
          <w:lang w:bidi="ar"/>
        </w:rPr>
        <w:t>2.</w:t>
      </w:r>
      <w:r>
        <w:rPr>
          <w:rFonts w:hint="eastAsia" w:ascii="宋体" w:hAnsi="宋体" w:eastAsia="宋体" w:cs="宋体"/>
          <w:kern w:val="0"/>
          <w:sz w:val="24"/>
          <w:u w:val="single"/>
          <w:lang w:bidi="ar"/>
        </w:rPr>
        <w:t xml:space="preserve">（标的名称） </w:t>
      </w:r>
      <w:r>
        <w:rPr>
          <w:rFonts w:hint="eastAsia" w:ascii="宋体" w:hAnsi="宋体" w:eastAsia="宋体" w:cs="宋体"/>
          <w:kern w:val="0"/>
          <w:sz w:val="24"/>
          <w:lang w:bidi="ar"/>
        </w:rPr>
        <w:t>，属于</w:t>
      </w:r>
      <w:r>
        <w:rPr>
          <w:rFonts w:hint="eastAsia" w:ascii="宋体" w:hAnsi="宋体" w:eastAsia="宋体" w:cs="宋体"/>
          <w:kern w:val="0"/>
          <w:sz w:val="24"/>
          <w:u w:val="single"/>
          <w:lang w:bidi="ar"/>
        </w:rPr>
        <w:t>（采购文件中明确的所属行业）行业</w:t>
      </w:r>
      <w:r>
        <w:rPr>
          <w:rFonts w:hint="eastAsia" w:ascii="宋体" w:hAnsi="宋体" w:eastAsia="宋体" w:cs="宋体"/>
          <w:kern w:val="0"/>
          <w:sz w:val="24"/>
          <w:lang w:bidi="ar"/>
        </w:rPr>
        <w:t>；制造商为</w:t>
      </w:r>
      <w:r>
        <w:rPr>
          <w:rFonts w:hint="eastAsia" w:ascii="宋体" w:hAnsi="宋体" w:eastAsia="宋体" w:cs="宋体"/>
          <w:kern w:val="0"/>
          <w:sz w:val="24"/>
          <w:u w:val="single"/>
          <w:lang w:bidi="ar"/>
        </w:rPr>
        <w:t>（企业名称）</w:t>
      </w:r>
      <w:r>
        <w:rPr>
          <w:rFonts w:hint="eastAsia" w:ascii="宋体" w:hAnsi="宋体" w:eastAsia="宋体" w:cs="宋体"/>
          <w:kern w:val="0"/>
          <w:sz w:val="24"/>
          <w:lang w:bidi="ar"/>
        </w:rPr>
        <w:t>，从业人员</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人，营业收入为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万元，资产总额为</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万元，属于</w:t>
      </w:r>
      <w:r>
        <w:rPr>
          <w:rFonts w:hint="eastAsia" w:ascii="宋体" w:hAnsi="宋体" w:eastAsia="宋体" w:cs="宋体"/>
          <w:kern w:val="0"/>
          <w:sz w:val="24"/>
          <w:u w:val="single"/>
          <w:lang w:bidi="ar"/>
        </w:rPr>
        <w:t>（中型企业、小型企业、微型企业）</w:t>
      </w:r>
      <w:r>
        <w:rPr>
          <w:rFonts w:hint="eastAsia" w:ascii="宋体" w:hAnsi="宋体" w:eastAsia="宋体" w:cs="宋体"/>
          <w:kern w:val="0"/>
          <w:sz w:val="24"/>
          <w:lang w:bidi="ar"/>
        </w:rPr>
        <w:t xml:space="preserve">； </w:t>
      </w:r>
    </w:p>
    <w:p w14:paraId="25EF4F08">
      <w:pPr>
        <w:pStyle w:val="6"/>
        <w:spacing w:line="360" w:lineRule="auto"/>
        <w:ind w:left="218" w:right="256" w:rightChars="122"/>
        <w:rPr>
          <w:rFonts w:hint="eastAsia" w:ascii="宋体" w:hAnsi="宋体" w:eastAsia="宋体" w:cs="宋体"/>
          <w:color w:val="auto"/>
        </w:rPr>
      </w:pPr>
      <w:r>
        <w:rPr>
          <w:rFonts w:hint="eastAsia" w:ascii="宋体" w:hAnsi="宋体" w:eastAsia="宋体" w:cs="宋体"/>
          <w:color w:val="auto"/>
        </w:rPr>
        <w:t>……</w:t>
      </w:r>
    </w:p>
    <w:p w14:paraId="68B7AA8A">
      <w:pPr>
        <w:pStyle w:val="6"/>
        <w:spacing w:before="155" w:line="360" w:lineRule="auto"/>
        <w:ind w:right="363"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691658A8">
      <w:pPr>
        <w:pStyle w:val="6"/>
        <w:spacing w:line="360" w:lineRule="auto"/>
        <w:ind w:right="368" w:rightChars="175"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19540DC9">
      <w:pPr>
        <w:pStyle w:val="6"/>
        <w:spacing w:before="172" w:line="360" w:lineRule="auto"/>
        <w:ind w:left="227" w:leftChars="108" w:right="-54" w:firstLine="2620" w:firstLineChars="1092"/>
        <w:rPr>
          <w:rFonts w:hint="eastAsia" w:ascii="宋体" w:hAnsi="宋体" w:eastAsia="宋体" w:cs="宋体"/>
          <w:color w:val="auto"/>
          <w:u w:val="single"/>
        </w:rPr>
      </w:pPr>
      <w:r>
        <w:rPr>
          <w:rFonts w:hint="eastAsia" w:ascii="宋体" w:hAnsi="宋体" w:eastAsia="宋体" w:cs="宋体"/>
          <w:color w:val="auto"/>
        </w:rPr>
        <w:t>企业名称（盖章）：</w:t>
      </w:r>
      <w:r>
        <w:rPr>
          <w:rFonts w:hint="eastAsia" w:ascii="宋体" w:hAnsi="宋体" w:eastAsia="宋体" w:cs="宋体"/>
          <w:color w:val="auto"/>
          <w:u w:val="single"/>
        </w:rPr>
        <w:t xml:space="preserve">                  </w:t>
      </w:r>
    </w:p>
    <w:p w14:paraId="48A188F3">
      <w:pPr>
        <w:pStyle w:val="6"/>
        <w:spacing w:before="172" w:line="360" w:lineRule="auto"/>
        <w:ind w:left="227" w:leftChars="108" w:right="-54" w:firstLine="2620" w:firstLineChars="1092"/>
        <w:rPr>
          <w:rFonts w:hint="eastAsia" w:ascii="宋体" w:hAnsi="宋体" w:eastAsia="宋体" w:cs="宋体"/>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14:paraId="780F9D34">
      <w:pPr>
        <w:spacing w:line="480" w:lineRule="exact"/>
        <w:ind w:firstLine="480" w:firstLineChars="200"/>
        <w:jc w:val="left"/>
        <w:rPr>
          <w:rFonts w:hint="eastAsia" w:ascii="宋体" w:hAnsi="宋体" w:eastAsia="宋体" w:cs="宋体"/>
          <w:bCs/>
          <w:sz w:val="24"/>
        </w:rPr>
      </w:pPr>
      <w:r>
        <w:rPr>
          <w:rFonts w:hint="eastAsia" w:ascii="宋体" w:hAnsi="宋体" w:eastAsia="宋体" w:cs="宋体"/>
          <w:bCs/>
          <w:sz w:val="24"/>
        </w:rPr>
        <w:t>注：¹从业人员、营业收入、资产总额填报上一年度数据，无上一年度数据的新成立企业可不填报。</w:t>
      </w:r>
    </w:p>
    <w:p w14:paraId="0A0EC64F">
      <w:pPr>
        <w:jc w:val="left"/>
        <w:rPr>
          <w:rFonts w:hint="eastAsia" w:ascii="宋体" w:hAnsi="宋体" w:eastAsia="宋体" w:cs="宋体"/>
          <w:b/>
          <w:sz w:val="24"/>
        </w:rPr>
      </w:pPr>
      <w:r>
        <w:rPr>
          <w:rFonts w:hint="eastAsia" w:ascii="宋体" w:hAnsi="宋体" w:eastAsia="宋体" w:cs="宋体"/>
          <w:b/>
          <w:bCs/>
          <w:sz w:val="32"/>
          <w:szCs w:val="32"/>
        </w:rPr>
        <w:t xml:space="preserve">   </w:t>
      </w:r>
      <w:r>
        <w:rPr>
          <w:rFonts w:hint="eastAsia" w:ascii="宋体" w:hAnsi="宋体" w:eastAsia="宋体" w:cs="宋体"/>
          <w:b/>
          <w:sz w:val="24"/>
        </w:rPr>
        <w:t>备注：</w:t>
      </w:r>
    </w:p>
    <w:p w14:paraId="215D8FB5">
      <w:pPr>
        <w:spacing w:line="360" w:lineRule="auto"/>
        <w:ind w:firstLine="482"/>
        <w:rPr>
          <w:rFonts w:hint="eastAsia" w:ascii="宋体" w:hAnsi="宋体" w:eastAsia="宋体" w:cs="宋体"/>
          <w:b/>
          <w:sz w:val="24"/>
          <w:szCs w:val="22"/>
        </w:rPr>
      </w:pPr>
      <w:r>
        <w:rPr>
          <w:rFonts w:hint="eastAsia" w:ascii="宋体" w:hAnsi="宋体" w:eastAsia="宋体" w:cs="宋体"/>
          <w:b/>
          <w:sz w:val="24"/>
        </w:rPr>
        <w:t>1.</w:t>
      </w:r>
      <w:r>
        <w:rPr>
          <w:rFonts w:hint="eastAsia" w:ascii="宋体" w:hAnsi="宋体" w:eastAsia="宋体" w:cs="宋体"/>
          <w:b/>
          <w:sz w:val="24"/>
          <w:szCs w:val="22"/>
        </w:rPr>
        <w:t>供应商提供《中小企业声明函》的需保证其真实性，如经查实存在虚假证明的情况，由供应商承担相应责任。由供应商承担相应责任。</w:t>
      </w:r>
    </w:p>
    <w:p w14:paraId="1D5EE4CE">
      <w:pPr>
        <w:pStyle w:val="13"/>
        <w:spacing w:line="360" w:lineRule="auto"/>
        <w:ind w:firstLine="482" w:firstLineChars="200"/>
        <w:jc w:val="both"/>
        <w:rPr>
          <w:rFonts w:hint="eastAsia" w:ascii="宋体" w:hAnsi="宋体" w:eastAsia="宋体" w:cs="宋体"/>
          <w:sz w:val="24"/>
          <w:szCs w:val="22"/>
        </w:rPr>
      </w:pPr>
      <w:r>
        <w:rPr>
          <w:rFonts w:hint="eastAsia" w:ascii="宋体" w:hAnsi="宋体" w:eastAsia="宋体" w:cs="宋体"/>
          <w:sz w:val="24"/>
          <w:szCs w:val="22"/>
          <w:lang w:val="en-US" w:eastAsia="zh-CN"/>
        </w:rPr>
        <w:t>2</w:t>
      </w:r>
      <w:r>
        <w:rPr>
          <w:rFonts w:hint="eastAsia" w:ascii="宋体" w:hAnsi="宋体" w:eastAsia="宋体" w:cs="宋体"/>
          <w:sz w:val="24"/>
          <w:szCs w:val="22"/>
        </w:rPr>
        <w:t>.本项目不专门面向中小企业。</w:t>
      </w:r>
    </w:p>
    <w:p w14:paraId="2D463BCE">
      <w:pPr>
        <w:pStyle w:val="13"/>
        <w:spacing w:line="360" w:lineRule="auto"/>
        <w:ind w:firstLine="482" w:firstLineChars="200"/>
        <w:jc w:val="both"/>
        <w:rPr>
          <w:rFonts w:hint="eastAsia" w:ascii="宋体" w:hAnsi="宋体" w:eastAsia="宋体" w:cs="宋体"/>
          <w:sz w:val="24"/>
          <w:szCs w:val="22"/>
        </w:rPr>
        <w:sectPr>
          <w:headerReference r:id="rId10" w:type="default"/>
          <w:footerReference r:id="rId11" w:type="default"/>
          <w:footerReference r:id="rId12" w:type="even"/>
          <w:pgSz w:w="11906" w:h="16838"/>
          <w:pgMar w:top="1440" w:right="1800" w:bottom="1440" w:left="1800" w:header="851" w:footer="992" w:gutter="0"/>
          <w:cols w:space="720" w:num="1"/>
          <w:titlePg/>
          <w:docGrid w:type="lines" w:linePitch="312" w:charSpace="0"/>
        </w:sectPr>
      </w:pPr>
      <w:r>
        <w:rPr>
          <w:rFonts w:hint="eastAsia" w:ascii="宋体" w:hAnsi="宋体" w:eastAsia="宋体" w:cs="宋体"/>
          <w:sz w:val="24"/>
          <w:szCs w:val="22"/>
          <w:lang w:val="en-US" w:eastAsia="zh-CN"/>
        </w:rPr>
        <w:t>3</w:t>
      </w:r>
      <w:r>
        <w:rPr>
          <w:rFonts w:hint="eastAsia" w:ascii="宋体" w:hAnsi="宋体" w:eastAsia="宋体" w:cs="宋体"/>
          <w:sz w:val="24"/>
          <w:szCs w:val="22"/>
        </w:rPr>
        <w:t>.本项目所属行业：</w:t>
      </w:r>
      <w:r>
        <w:rPr>
          <w:rFonts w:hint="eastAsia" w:ascii="宋体" w:hAnsi="宋体" w:eastAsia="宋体" w:cs="宋体"/>
          <w:sz w:val="24"/>
          <w:szCs w:val="22"/>
          <w:lang w:val="en-US" w:eastAsia="zh-CN"/>
        </w:rPr>
        <w:t>工业</w:t>
      </w:r>
      <w:r>
        <w:rPr>
          <w:rFonts w:hint="eastAsia" w:ascii="宋体" w:hAnsi="宋体" w:eastAsia="宋体" w:cs="宋体"/>
          <w:sz w:val="24"/>
          <w:szCs w:val="22"/>
        </w:rPr>
        <w:t>。</w:t>
      </w:r>
    </w:p>
    <w:p w14:paraId="2AD58397">
      <w:pPr>
        <w:tabs>
          <w:tab w:val="left" w:pos="1755"/>
        </w:tab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kern w:val="0"/>
          <w:sz w:val="28"/>
          <w:szCs w:val="28"/>
          <w:lang w:val="zh-CN"/>
        </w:rPr>
        <w:t>残疾人福利性单位声明函（非</w:t>
      </w:r>
      <w:r>
        <w:rPr>
          <w:rFonts w:hint="eastAsia" w:ascii="宋体" w:hAnsi="宋体" w:eastAsia="宋体" w:cs="宋体"/>
          <w:b/>
          <w:bCs/>
          <w:sz w:val="28"/>
          <w:szCs w:val="28"/>
        </w:rPr>
        <w:t>残疾人福利企业</w:t>
      </w:r>
      <w:r>
        <w:rPr>
          <w:rFonts w:hint="eastAsia" w:ascii="宋体" w:hAnsi="宋体" w:eastAsia="宋体" w:cs="宋体"/>
          <w:b/>
          <w:kern w:val="0"/>
          <w:sz w:val="28"/>
          <w:szCs w:val="28"/>
          <w:lang w:val="zh-CN"/>
        </w:rPr>
        <w:t>不</w:t>
      </w:r>
      <w:r>
        <w:rPr>
          <w:rFonts w:hint="eastAsia" w:ascii="宋体" w:hAnsi="宋体" w:eastAsia="宋体" w:cs="宋体"/>
          <w:b/>
          <w:bCs/>
          <w:kern w:val="0"/>
          <w:sz w:val="28"/>
          <w:szCs w:val="28"/>
        </w:rPr>
        <w:t>填写</w:t>
      </w:r>
      <w:r>
        <w:rPr>
          <w:rFonts w:hint="eastAsia" w:ascii="宋体" w:hAnsi="宋体" w:eastAsia="宋体" w:cs="宋体"/>
          <w:b/>
          <w:kern w:val="0"/>
          <w:sz w:val="28"/>
          <w:szCs w:val="28"/>
          <w:lang w:val="zh-CN"/>
        </w:rPr>
        <w:t>）</w:t>
      </w:r>
    </w:p>
    <w:p w14:paraId="5C26057B">
      <w:pPr>
        <w:spacing w:line="360" w:lineRule="auto"/>
        <w:rPr>
          <w:rFonts w:hint="eastAsia" w:ascii="宋体" w:hAnsi="宋体" w:eastAsia="宋体" w:cs="宋体"/>
          <w:b/>
          <w:spacing w:val="6"/>
          <w:sz w:val="32"/>
          <w:szCs w:val="32"/>
          <w:shd w:val="pct10" w:color="auto" w:fill="FFFFFF"/>
        </w:rPr>
      </w:pPr>
    </w:p>
    <w:p w14:paraId="39AD206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项目采购活动提供本单位制造的服务（由本单位承担工程/提供服务），或者提供其他残疾人福利性单位制造的服务（不包括使用非残疾人福利性单位注册商标的服务）。</w:t>
      </w:r>
    </w:p>
    <w:p w14:paraId="41C16F7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4DD9307">
      <w:pPr>
        <w:spacing w:line="360" w:lineRule="auto"/>
        <w:ind w:firstLine="480" w:firstLineChars="200"/>
        <w:rPr>
          <w:rFonts w:hint="eastAsia" w:ascii="宋体" w:hAnsi="宋体" w:eastAsia="宋体" w:cs="宋体"/>
          <w:sz w:val="24"/>
        </w:rPr>
      </w:pPr>
    </w:p>
    <w:p w14:paraId="335E3DDF">
      <w:pPr>
        <w:spacing w:line="360" w:lineRule="auto"/>
        <w:ind w:firstLine="480" w:firstLineChars="200"/>
        <w:rPr>
          <w:rFonts w:hint="eastAsia" w:ascii="宋体" w:hAnsi="宋体" w:eastAsia="宋体" w:cs="宋体"/>
          <w:sz w:val="24"/>
        </w:rPr>
      </w:pPr>
    </w:p>
    <w:p w14:paraId="4178750B">
      <w:pPr>
        <w:tabs>
          <w:tab w:val="left" w:pos="4860"/>
          <w:tab w:val="left" w:pos="8040"/>
          <w:tab w:val="left" w:pos="8160"/>
        </w:tabs>
        <w:spacing w:line="360" w:lineRule="auto"/>
        <w:ind w:right="862" w:firstLine="480" w:firstLineChars="200"/>
        <w:jc w:val="center"/>
        <w:rPr>
          <w:rFonts w:hint="eastAsia" w:ascii="宋体" w:hAnsi="宋体" w:eastAsia="宋体" w:cs="宋体"/>
          <w:sz w:val="24"/>
          <w:u w:val="single"/>
        </w:rPr>
      </w:pPr>
      <w:r>
        <w:rPr>
          <w:rFonts w:hint="eastAsia" w:ascii="宋体" w:hAnsi="宋体" w:eastAsia="宋体" w:cs="宋体"/>
          <w:sz w:val="24"/>
        </w:rPr>
        <w:t xml:space="preserve">               单位名称（盖章）：</w:t>
      </w:r>
      <w:r>
        <w:rPr>
          <w:rFonts w:hint="eastAsia" w:ascii="宋体" w:hAnsi="宋体" w:eastAsia="宋体" w:cs="宋体"/>
          <w:sz w:val="24"/>
          <w:u w:val="single"/>
        </w:rPr>
        <w:t xml:space="preserve">                   </w:t>
      </w:r>
    </w:p>
    <w:p w14:paraId="452F0974">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388A748B">
      <w:pPr>
        <w:tabs>
          <w:tab w:val="left" w:pos="4860"/>
        </w:tabs>
        <w:spacing w:line="360" w:lineRule="auto"/>
        <w:ind w:right="67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2A5C453">
      <w:pPr>
        <w:tabs>
          <w:tab w:val="left" w:pos="4860"/>
        </w:tabs>
        <w:spacing w:line="360" w:lineRule="auto"/>
        <w:ind w:right="1560" w:firstLine="480" w:firstLineChars="200"/>
        <w:jc w:val="center"/>
        <w:rPr>
          <w:rFonts w:hint="eastAsia" w:ascii="宋体" w:hAnsi="宋体" w:eastAsia="宋体" w:cs="宋体"/>
          <w:sz w:val="24"/>
        </w:rPr>
      </w:pPr>
    </w:p>
    <w:p w14:paraId="1C69771A">
      <w:pPr>
        <w:spacing w:line="360" w:lineRule="auto"/>
        <w:ind w:firstLine="506" w:firstLineChars="200"/>
        <w:rPr>
          <w:rFonts w:hint="eastAsia" w:ascii="宋体" w:hAnsi="宋体" w:eastAsia="宋体" w:cs="宋体"/>
          <w:b/>
          <w:spacing w:val="6"/>
          <w:sz w:val="24"/>
          <w:shd w:val="pct10" w:color="auto" w:fill="FFFFFF"/>
        </w:rPr>
      </w:pPr>
    </w:p>
    <w:p w14:paraId="150AD6D9">
      <w:pPr>
        <w:spacing w:line="360" w:lineRule="auto"/>
        <w:ind w:firstLine="506" w:firstLineChars="200"/>
        <w:rPr>
          <w:rFonts w:hint="eastAsia" w:ascii="宋体" w:hAnsi="宋体" w:eastAsia="宋体" w:cs="宋体"/>
          <w:b/>
          <w:spacing w:val="6"/>
          <w:sz w:val="24"/>
          <w:shd w:val="pct10" w:color="auto" w:fill="FFFFFF"/>
        </w:rPr>
      </w:pPr>
    </w:p>
    <w:p w14:paraId="5BE0F15C">
      <w:pPr>
        <w:kinsoku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备注：投标单位提供的《残疾人福利性单位声明函》必须真实有效，如果被举报经查实出具虚假声明函的，将被取消投标资格，并按有关规定予以处理。</w:t>
      </w:r>
    </w:p>
    <w:p w14:paraId="5F984EE8">
      <w:pPr>
        <w:tabs>
          <w:tab w:val="left" w:pos="1620"/>
          <w:tab w:val="left" w:pos="1800"/>
        </w:tabs>
        <w:spacing w:line="440" w:lineRule="exact"/>
        <w:ind w:right="540" w:rightChars="257"/>
        <w:rPr>
          <w:rFonts w:hint="eastAsia" w:ascii="宋体" w:hAnsi="宋体" w:eastAsia="宋体" w:cs="宋体"/>
        </w:rPr>
      </w:pPr>
    </w:p>
    <w:p w14:paraId="7117F71D">
      <w:pPr>
        <w:tabs>
          <w:tab w:val="left" w:pos="1620"/>
          <w:tab w:val="left" w:pos="1800"/>
        </w:tabs>
        <w:spacing w:line="440" w:lineRule="exact"/>
        <w:ind w:right="540" w:rightChars="257"/>
        <w:rPr>
          <w:rFonts w:hint="eastAsia" w:ascii="宋体" w:hAnsi="宋体" w:eastAsia="宋体" w:cs="宋体"/>
        </w:rPr>
      </w:pPr>
    </w:p>
    <w:p w14:paraId="3F7015C3">
      <w:pPr>
        <w:spacing w:line="520" w:lineRule="exact"/>
        <w:ind w:right="620"/>
        <w:jc w:val="right"/>
        <w:rPr>
          <w:rFonts w:hint="eastAsia" w:ascii="宋体" w:hAnsi="宋体" w:eastAsia="宋体" w:cs="宋体"/>
        </w:rPr>
      </w:pPr>
    </w:p>
    <w:p w14:paraId="49FFA7FD">
      <w:pPr>
        <w:pStyle w:val="6"/>
        <w:rPr>
          <w:rFonts w:hint="eastAsia" w:ascii="宋体" w:hAnsi="宋体" w:eastAsia="宋体" w:cs="宋体"/>
          <w:color w:val="auto"/>
        </w:rPr>
      </w:pPr>
    </w:p>
    <w:p w14:paraId="6FDC800E">
      <w:pPr>
        <w:pStyle w:val="6"/>
        <w:rPr>
          <w:rFonts w:hint="eastAsia" w:ascii="宋体" w:hAnsi="宋体" w:eastAsia="宋体" w:cs="宋体"/>
          <w:color w:val="auto"/>
        </w:rPr>
      </w:pPr>
    </w:p>
    <w:p w14:paraId="79298F8B">
      <w:pPr>
        <w:pStyle w:val="6"/>
        <w:rPr>
          <w:rFonts w:hint="eastAsia" w:ascii="宋体" w:hAnsi="宋体" w:eastAsia="宋体" w:cs="宋体"/>
          <w:color w:val="auto"/>
        </w:rPr>
      </w:pPr>
    </w:p>
    <w:p w14:paraId="4A74CE71">
      <w:pPr>
        <w:rPr>
          <w:rFonts w:hint="eastAsia" w:ascii="宋体" w:hAnsi="宋体" w:eastAsia="宋体" w:cs="宋体"/>
        </w:rPr>
      </w:pPr>
    </w:p>
    <w:p w14:paraId="7E20A422">
      <w:pPr>
        <w:pStyle w:val="9"/>
        <w:rPr>
          <w:rFonts w:hint="eastAsia" w:ascii="宋体" w:hAnsi="宋体" w:eastAsia="宋体" w:cs="宋体"/>
        </w:rPr>
      </w:pPr>
    </w:p>
    <w:p w14:paraId="45459972">
      <w:pPr>
        <w:pStyle w:val="9"/>
        <w:rPr>
          <w:rFonts w:hint="eastAsia" w:ascii="宋体" w:hAnsi="宋体" w:eastAsia="宋体" w:cs="宋体"/>
        </w:rPr>
      </w:pPr>
    </w:p>
    <w:p w14:paraId="1A1C963D">
      <w:pPr>
        <w:pStyle w:val="6"/>
        <w:rPr>
          <w:rFonts w:hint="eastAsia" w:ascii="宋体" w:hAnsi="宋体" w:eastAsia="宋体" w:cs="宋体"/>
          <w:color w:val="auto"/>
        </w:rPr>
      </w:pPr>
    </w:p>
    <w:p w14:paraId="55BC643F">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375EA6AB">
      <w:pPr>
        <w:tabs>
          <w:tab w:val="left" w:pos="1755"/>
        </w:tabs>
        <w:spacing w:line="360" w:lineRule="auto"/>
        <w:jc w:val="center"/>
        <w:outlineLvl w:val="2"/>
        <w:rPr>
          <w:rFonts w:hint="eastAsia" w:ascii="宋体" w:hAnsi="宋体" w:eastAsia="宋体" w:cs="宋体"/>
          <w:b/>
          <w:kern w:val="0"/>
          <w:sz w:val="28"/>
          <w:szCs w:val="28"/>
          <w:lang w:val="zh-CN"/>
        </w:rPr>
      </w:pPr>
      <w:r>
        <w:rPr>
          <w:rFonts w:hint="eastAsia" w:ascii="宋体" w:hAnsi="宋体" w:eastAsia="宋体" w:cs="宋体"/>
          <w:b/>
          <w:bCs/>
          <w:sz w:val="28"/>
          <w:szCs w:val="28"/>
        </w:rPr>
        <w:t>（三）</w:t>
      </w:r>
      <w:r>
        <w:rPr>
          <w:rFonts w:hint="eastAsia" w:ascii="宋体" w:hAnsi="宋体" w:eastAsia="宋体" w:cs="宋体"/>
          <w:b/>
          <w:kern w:val="0"/>
          <w:sz w:val="28"/>
          <w:szCs w:val="28"/>
          <w:lang w:val="zh-CN"/>
        </w:rPr>
        <w:t>监狱企业声明函</w:t>
      </w:r>
    </w:p>
    <w:p w14:paraId="452CC989">
      <w:pPr>
        <w:tabs>
          <w:tab w:val="left" w:pos="1755"/>
        </w:tabs>
        <w:spacing w:line="360" w:lineRule="auto"/>
        <w:jc w:val="center"/>
        <w:outlineLvl w:val="2"/>
        <w:rPr>
          <w:rFonts w:hint="eastAsia" w:ascii="宋体" w:hAnsi="宋体" w:eastAsia="宋体" w:cs="宋体"/>
          <w:b/>
          <w:bCs/>
          <w:sz w:val="28"/>
          <w:szCs w:val="28"/>
        </w:rPr>
      </w:pPr>
      <w:r>
        <w:rPr>
          <w:rFonts w:hint="eastAsia" w:ascii="宋体" w:hAnsi="宋体" w:eastAsia="宋体" w:cs="宋体"/>
          <w:b/>
          <w:kern w:val="0"/>
          <w:sz w:val="28"/>
          <w:szCs w:val="28"/>
          <w:lang w:val="zh-CN"/>
        </w:rPr>
        <w:t>（非监狱企业不</w:t>
      </w:r>
      <w:r>
        <w:rPr>
          <w:rFonts w:hint="eastAsia" w:ascii="宋体" w:hAnsi="宋体" w:eastAsia="宋体" w:cs="宋体"/>
          <w:b/>
          <w:bCs/>
          <w:kern w:val="0"/>
          <w:sz w:val="28"/>
          <w:szCs w:val="28"/>
        </w:rPr>
        <w:t>填写，但必须提交空表</w:t>
      </w:r>
      <w:r>
        <w:rPr>
          <w:rFonts w:hint="eastAsia" w:ascii="宋体" w:hAnsi="宋体" w:eastAsia="宋体" w:cs="宋体"/>
          <w:b/>
          <w:kern w:val="0"/>
          <w:sz w:val="28"/>
          <w:szCs w:val="28"/>
          <w:lang w:val="zh-CN"/>
        </w:rPr>
        <w:t>）</w:t>
      </w:r>
    </w:p>
    <w:p w14:paraId="623C5752">
      <w:pPr>
        <w:spacing w:line="360" w:lineRule="atLeast"/>
        <w:rPr>
          <w:rFonts w:hint="eastAsia" w:ascii="宋体" w:hAnsi="宋体" w:eastAsia="宋体" w:cs="宋体"/>
          <w:sz w:val="32"/>
          <w:szCs w:val="32"/>
        </w:rPr>
      </w:pPr>
    </w:p>
    <w:p w14:paraId="3FEEDABA">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符合《关于政府采购支持监狱企业发展有关问题的通知》（财库〔2014〕68号）条件的监狱企业参加政府采购活动时，应当提供由省级以上监狱管理局、戒毒管理局（含新疆生产建设兵团）出具的属于监狱企业的证明文件。</w:t>
      </w:r>
    </w:p>
    <w:p w14:paraId="4949E7AA">
      <w:pPr>
        <w:spacing w:line="360" w:lineRule="atLeast"/>
        <w:rPr>
          <w:rFonts w:hint="eastAsia" w:ascii="宋体" w:hAnsi="宋体" w:eastAsia="宋体" w:cs="宋体"/>
          <w:sz w:val="32"/>
          <w:szCs w:val="32"/>
        </w:rPr>
      </w:pPr>
    </w:p>
    <w:p w14:paraId="33493349">
      <w:pPr>
        <w:pStyle w:val="15"/>
        <w:rPr>
          <w:rFonts w:hint="eastAsia" w:ascii="宋体" w:hAnsi="宋体" w:eastAsia="宋体" w:cs="宋体"/>
        </w:rPr>
      </w:pPr>
    </w:p>
    <w:p w14:paraId="1A4138C9">
      <w:pPr>
        <w:tabs>
          <w:tab w:val="left" w:pos="4860"/>
          <w:tab w:val="left" w:pos="8040"/>
          <w:tab w:val="left" w:pos="8160"/>
        </w:tabs>
        <w:spacing w:line="360" w:lineRule="auto"/>
        <w:ind w:right="862" w:firstLine="480" w:firstLineChars="200"/>
        <w:jc w:val="center"/>
        <w:rPr>
          <w:rFonts w:hint="eastAsia" w:ascii="宋体" w:hAnsi="宋体" w:eastAsia="宋体" w:cs="宋体"/>
          <w:sz w:val="24"/>
          <w:u w:val="single"/>
        </w:rPr>
      </w:pPr>
      <w:r>
        <w:rPr>
          <w:rFonts w:hint="eastAsia" w:ascii="宋体" w:hAnsi="宋体" w:eastAsia="宋体" w:cs="宋体"/>
          <w:sz w:val="24"/>
        </w:rPr>
        <w:t xml:space="preserve">        单位名称（盖章）：</w:t>
      </w:r>
      <w:r>
        <w:rPr>
          <w:rFonts w:hint="eastAsia" w:ascii="宋体" w:hAnsi="宋体" w:eastAsia="宋体" w:cs="宋体"/>
          <w:sz w:val="24"/>
          <w:u w:val="single"/>
        </w:rPr>
        <w:t xml:space="preserve">                   </w:t>
      </w:r>
    </w:p>
    <w:p w14:paraId="532C3283">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619AADF8">
      <w:pPr>
        <w:tabs>
          <w:tab w:val="left" w:pos="4860"/>
        </w:tabs>
        <w:spacing w:line="360" w:lineRule="auto"/>
        <w:ind w:right="67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610EFE5">
      <w:pPr>
        <w:tabs>
          <w:tab w:val="left" w:pos="1755"/>
        </w:tabs>
        <w:spacing w:line="500" w:lineRule="atLeast"/>
        <w:jc w:val="center"/>
        <w:outlineLvl w:val="1"/>
        <w:rPr>
          <w:rFonts w:hint="eastAsia" w:ascii="宋体" w:hAnsi="宋体" w:eastAsia="宋体" w:cs="宋体"/>
          <w:b/>
          <w:bCs/>
          <w:sz w:val="32"/>
          <w:szCs w:val="32"/>
        </w:rPr>
      </w:pPr>
    </w:p>
    <w:p w14:paraId="52CFCDC7">
      <w:pPr>
        <w:tabs>
          <w:tab w:val="left" w:pos="1755"/>
        </w:tabs>
        <w:spacing w:line="500" w:lineRule="atLeast"/>
        <w:jc w:val="center"/>
        <w:outlineLvl w:val="1"/>
        <w:rPr>
          <w:rFonts w:hint="eastAsia" w:ascii="宋体" w:hAnsi="宋体" w:eastAsia="宋体" w:cs="宋体"/>
          <w:b/>
          <w:bCs/>
          <w:sz w:val="32"/>
          <w:szCs w:val="32"/>
        </w:rPr>
      </w:pPr>
    </w:p>
    <w:p w14:paraId="09161DDE">
      <w:pPr>
        <w:tabs>
          <w:tab w:val="left" w:pos="1755"/>
        </w:tabs>
        <w:spacing w:line="500" w:lineRule="atLeast"/>
        <w:jc w:val="center"/>
        <w:outlineLvl w:val="1"/>
        <w:rPr>
          <w:rFonts w:hint="eastAsia" w:ascii="宋体" w:hAnsi="宋体" w:eastAsia="宋体" w:cs="宋体"/>
          <w:b/>
          <w:bCs/>
          <w:sz w:val="32"/>
          <w:szCs w:val="32"/>
        </w:rPr>
      </w:pPr>
    </w:p>
    <w:p w14:paraId="30848792">
      <w:pPr>
        <w:tabs>
          <w:tab w:val="left" w:pos="1755"/>
        </w:tabs>
        <w:spacing w:line="500" w:lineRule="atLeast"/>
        <w:jc w:val="center"/>
        <w:outlineLvl w:val="1"/>
        <w:rPr>
          <w:rFonts w:hint="eastAsia" w:ascii="宋体" w:hAnsi="宋体" w:eastAsia="宋体" w:cs="宋体"/>
          <w:b/>
          <w:bCs/>
          <w:sz w:val="32"/>
          <w:szCs w:val="32"/>
        </w:rPr>
      </w:pPr>
    </w:p>
    <w:p w14:paraId="6751AF2C">
      <w:pPr>
        <w:tabs>
          <w:tab w:val="left" w:pos="1755"/>
        </w:tabs>
        <w:spacing w:line="500" w:lineRule="atLeast"/>
        <w:outlineLvl w:val="1"/>
        <w:rPr>
          <w:rFonts w:hint="eastAsia" w:ascii="宋体" w:hAnsi="宋体" w:eastAsia="宋体" w:cs="宋体"/>
          <w:b/>
          <w:bCs/>
          <w:sz w:val="32"/>
          <w:szCs w:val="32"/>
        </w:rPr>
      </w:pPr>
    </w:p>
    <w:p w14:paraId="43BA2199">
      <w:pPr>
        <w:pStyle w:val="29"/>
        <w:ind w:firstLine="480"/>
        <w:rPr>
          <w:rFonts w:hint="eastAsia" w:ascii="宋体" w:hAnsi="宋体" w:eastAsia="宋体" w:cs="宋体"/>
        </w:rPr>
      </w:pPr>
    </w:p>
    <w:p w14:paraId="56A7B2A9">
      <w:pPr>
        <w:tabs>
          <w:tab w:val="left" w:pos="1755"/>
        </w:tabs>
        <w:spacing w:line="500" w:lineRule="atLeast"/>
        <w:outlineLvl w:val="1"/>
        <w:rPr>
          <w:rFonts w:hint="eastAsia" w:ascii="宋体" w:hAnsi="宋体" w:eastAsia="宋体" w:cs="宋体"/>
          <w:b/>
          <w:bCs/>
          <w:sz w:val="32"/>
          <w:szCs w:val="32"/>
        </w:rPr>
      </w:pPr>
    </w:p>
    <w:p w14:paraId="7A7DF38E">
      <w:pPr>
        <w:tabs>
          <w:tab w:val="left" w:pos="1755"/>
        </w:tabs>
        <w:spacing w:line="500" w:lineRule="atLeast"/>
        <w:outlineLvl w:val="1"/>
        <w:rPr>
          <w:rFonts w:hint="eastAsia" w:ascii="宋体" w:hAnsi="宋体" w:eastAsia="宋体" w:cs="宋体"/>
          <w:b/>
          <w:bCs/>
          <w:sz w:val="32"/>
          <w:szCs w:val="32"/>
        </w:rPr>
      </w:pPr>
    </w:p>
    <w:p w14:paraId="4CF57995">
      <w:pPr>
        <w:rPr>
          <w:rFonts w:hint="eastAsia" w:ascii="宋体" w:hAnsi="宋体" w:eastAsia="宋体" w:cs="宋体"/>
          <w:sz w:val="32"/>
          <w:szCs w:val="32"/>
        </w:rPr>
      </w:pPr>
      <w:r>
        <w:rPr>
          <w:rFonts w:hint="eastAsia" w:ascii="宋体" w:hAnsi="宋体" w:eastAsia="宋体" w:cs="宋体"/>
          <w:sz w:val="32"/>
          <w:szCs w:val="32"/>
        </w:rPr>
        <w:br w:type="page"/>
      </w:r>
    </w:p>
    <w:p w14:paraId="004631A8">
      <w:pPr>
        <w:jc w:val="center"/>
        <w:outlineLvl w:val="1"/>
        <w:rPr>
          <w:rFonts w:hint="eastAsia" w:ascii="宋体" w:hAnsi="宋体" w:eastAsia="宋体" w:cs="宋体"/>
          <w:b/>
          <w:bCs/>
          <w:sz w:val="32"/>
          <w:szCs w:val="32"/>
        </w:rPr>
      </w:pPr>
      <w:r>
        <w:rPr>
          <w:rFonts w:hint="eastAsia" w:ascii="宋体" w:hAnsi="宋体" w:eastAsia="宋体" w:cs="宋体"/>
          <w:b/>
          <w:bCs/>
          <w:sz w:val="32"/>
          <w:szCs w:val="32"/>
        </w:rPr>
        <w:t>第六部分  响应文件封袋正面标识式样</w:t>
      </w:r>
    </w:p>
    <w:p w14:paraId="1FEBBC6C">
      <w:pPr>
        <w:rPr>
          <w:rFonts w:hint="eastAsia" w:ascii="宋体" w:hAnsi="宋体" w:eastAsia="宋体" w:cs="宋体"/>
          <w:sz w:val="32"/>
          <w:szCs w:val="32"/>
        </w:rPr>
      </w:pPr>
      <w:r>
        <w:rPr>
          <w:rFonts w:hint="eastAsia" w:ascii="宋体" w:hAnsi="宋体" w:eastAsia="宋体" w:cs="宋体"/>
          <w:sz w:val="36"/>
          <w:szCs w:val="36"/>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137795</wp:posOffset>
                </wp:positionV>
                <wp:extent cx="5393055" cy="3292475"/>
                <wp:effectExtent l="5080" t="4445" r="12065" b="177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14:paraId="1FEEA7DC">
                            <w:pPr>
                              <w:rPr>
                                <w:rFonts w:hint="eastAsia" w:ascii="仿宋" w:hAnsi="仿宋" w:eastAsia="仿宋" w:cs="仿宋"/>
                                <w:sz w:val="28"/>
                                <w:szCs w:val="28"/>
                              </w:rPr>
                            </w:pPr>
                            <w:r>
                              <w:rPr>
                                <w:rFonts w:hint="eastAsia" w:ascii="仿宋" w:hAnsi="仿宋" w:eastAsia="仿宋" w:cs="仿宋"/>
                                <w:sz w:val="28"/>
                                <w:szCs w:val="28"/>
                              </w:rPr>
                              <w:t>致：黄陵县政府采购中心</w:t>
                            </w:r>
                          </w:p>
                          <w:p w14:paraId="21AA5A12">
                            <w:pPr>
                              <w:rPr>
                                <w:rFonts w:hint="eastAsia" w:ascii="仿宋" w:hAnsi="仿宋" w:eastAsia="仿宋" w:cs="仿宋"/>
                                <w:sz w:val="28"/>
                                <w:szCs w:val="28"/>
                              </w:rPr>
                            </w:pPr>
                            <w:r>
                              <w:rPr>
                                <w:rFonts w:hint="eastAsia" w:ascii="仿宋" w:hAnsi="仿宋" w:eastAsia="仿宋" w:cs="仿宋"/>
                                <w:sz w:val="28"/>
                                <w:szCs w:val="28"/>
                              </w:rPr>
                              <w:t>项目编号：</w:t>
                            </w:r>
                          </w:p>
                          <w:p w14:paraId="1F4E3264">
                            <w:pPr>
                              <w:rPr>
                                <w:rFonts w:hint="eastAsia" w:ascii="仿宋" w:hAnsi="仿宋" w:eastAsia="仿宋" w:cs="仿宋"/>
                                <w:sz w:val="28"/>
                                <w:szCs w:val="28"/>
                              </w:rPr>
                            </w:pPr>
                            <w:r>
                              <w:rPr>
                                <w:rFonts w:hint="eastAsia" w:ascii="仿宋" w:hAnsi="仿宋" w:eastAsia="仿宋" w:cs="仿宋"/>
                                <w:sz w:val="28"/>
                                <w:szCs w:val="28"/>
                              </w:rPr>
                              <w:t>项目名称：</w:t>
                            </w:r>
                          </w:p>
                          <w:p w14:paraId="15EFF59B">
                            <w:pPr>
                              <w:spacing w:line="440" w:lineRule="exact"/>
                              <w:jc w:val="center"/>
                              <w:rPr>
                                <w:rFonts w:hint="eastAsia" w:ascii="宋体" w:hAnsi="宋体" w:cs="宋体"/>
                                <w:sz w:val="36"/>
                                <w:szCs w:val="36"/>
                              </w:rPr>
                            </w:pPr>
                          </w:p>
                          <w:p w14:paraId="31ADF587">
                            <w:pPr>
                              <w:jc w:val="center"/>
                              <w:rPr>
                                <w:rFonts w:hint="eastAsia" w:ascii="仿宋" w:hAnsi="仿宋" w:eastAsia="仿宋" w:cs="仿宋"/>
                                <w:b/>
                                <w:sz w:val="44"/>
                                <w:szCs w:val="44"/>
                              </w:rPr>
                            </w:pPr>
                          </w:p>
                          <w:p w14:paraId="79B11B0D">
                            <w:pPr>
                              <w:jc w:val="center"/>
                              <w:rPr>
                                <w:rFonts w:hint="eastAsia" w:ascii="仿宋" w:hAnsi="仿宋" w:eastAsia="仿宋" w:cs="仿宋"/>
                                <w:b/>
                                <w:sz w:val="44"/>
                                <w:szCs w:val="44"/>
                              </w:rPr>
                            </w:pPr>
                            <w:r>
                              <w:rPr>
                                <w:rFonts w:hint="eastAsia" w:ascii="仿宋" w:hAnsi="仿宋" w:eastAsia="仿宋" w:cs="仿宋"/>
                                <w:b/>
                                <w:sz w:val="44"/>
                                <w:szCs w:val="44"/>
                              </w:rPr>
                              <w:t>响 应 文 件（正本或副本）</w:t>
                            </w:r>
                          </w:p>
                          <w:p w14:paraId="1A67A7DA">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14:paraId="159F1FDA">
                            <w:pPr>
                              <w:pStyle w:val="9"/>
                            </w:pPr>
                          </w:p>
                          <w:p w14:paraId="1495B6E1">
                            <w:pPr>
                              <w:rPr>
                                <w:rFonts w:hint="eastAsia" w:ascii="仿宋" w:hAnsi="仿宋" w:eastAsia="仿宋" w:cs="仿宋"/>
                                <w:sz w:val="28"/>
                                <w:szCs w:val="28"/>
                              </w:rPr>
                            </w:pPr>
                          </w:p>
                          <w:p w14:paraId="4E95908E">
                            <w:pPr>
                              <w:rPr>
                                <w:rFonts w:hint="eastAsia" w:ascii="仿宋" w:hAnsi="仿宋" w:eastAsia="仿宋" w:cs="仿宋"/>
                                <w:sz w:val="28"/>
                                <w:szCs w:val="28"/>
                              </w:rPr>
                            </w:pPr>
                            <w:r>
                              <w:rPr>
                                <w:rFonts w:hint="eastAsia" w:ascii="仿宋" w:hAnsi="仿宋" w:eastAsia="仿宋" w:cs="仿宋"/>
                                <w:sz w:val="28"/>
                                <w:szCs w:val="28"/>
                              </w:rPr>
                              <w:t>供应商名称：               （公章）</w:t>
                            </w:r>
                          </w:p>
                          <w:p w14:paraId="5AD787FA">
                            <w:pPr>
                              <w:rPr>
                                <w:rFonts w:hint="eastAsia" w:ascii="仿宋" w:hAnsi="仿宋" w:eastAsia="仿宋" w:cs="仿宋"/>
                                <w:b/>
                                <w:color w:val="FF0000"/>
                                <w:sz w:val="28"/>
                                <w:szCs w:val="28"/>
                              </w:rPr>
                            </w:pPr>
                            <w:r>
                              <w:rPr>
                                <w:rFonts w:hint="eastAsia" w:ascii="仿宋" w:hAnsi="仿宋" w:eastAsia="仿宋" w:cs="仿宋"/>
                                <w:sz w:val="28"/>
                                <w:szCs w:val="28"/>
                              </w:rPr>
                              <w:t xml:space="preserve">封袋内容：响应文件  </w:t>
                            </w:r>
                          </w:p>
                          <w:p w14:paraId="19886D58">
                            <w:pPr>
                              <w:spacing w:line="440" w:lineRule="exact"/>
                              <w:rPr>
                                <w:rFonts w:hint="eastAsia" w:ascii="宋体" w:hAnsi="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pt;margin-top:10.85pt;height:259.25pt;width:424.65pt;z-index:251660288;mso-width-relative:page;mso-height-relative:page;" fillcolor="#FFFFFF" filled="t" stroked="t" coordsize="21600,21600" o:gfxdata="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Z+T9gAAAAJAQAA&#10;DwAAAAAAAAABACAAAAAiAAAAZHJzL2Rvd25yZXYueG1sUEsBAhQAFAAAAAgAh07iQFnVtilSAgAA&#10;owQAAA4AAAAAAAAAAQAgAAAAJwEAAGRycy9lMm9Eb2MueG1sUEsFBgAAAAAGAAYAWQEAAOsFAAAA&#10;AA==&#10;">
                <v:fill on="t" focussize="0,0"/>
                <v:stroke color="#000000" linestyle="thinThin" miterlimit="2" joinstyle="miter"/>
                <v:imagedata o:title=""/>
                <o:lock v:ext="edit" aspectratio="f"/>
                <v:textbox>
                  <w:txbxContent>
                    <w:p w14:paraId="1FEEA7DC">
                      <w:pPr>
                        <w:rPr>
                          <w:rFonts w:hint="eastAsia" w:ascii="仿宋" w:hAnsi="仿宋" w:eastAsia="仿宋" w:cs="仿宋"/>
                          <w:sz w:val="28"/>
                          <w:szCs w:val="28"/>
                        </w:rPr>
                      </w:pPr>
                      <w:r>
                        <w:rPr>
                          <w:rFonts w:hint="eastAsia" w:ascii="仿宋" w:hAnsi="仿宋" w:eastAsia="仿宋" w:cs="仿宋"/>
                          <w:sz w:val="28"/>
                          <w:szCs w:val="28"/>
                        </w:rPr>
                        <w:t>致：黄陵县政府采购中心</w:t>
                      </w:r>
                    </w:p>
                    <w:p w14:paraId="21AA5A12">
                      <w:pPr>
                        <w:rPr>
                          <w:rFonts w:hint="eastAsia" w:ascii="仿宋" w:hAnsi="仿宋" w:eastAsia="仿宋" w:cs="仿宋"/>
                          <w:sz w:val="28"/>
                          <w:szCs w:val="28"/>
                        </w:rPr>
                      </w:pPr>
                      <w:r>
                        <w:rPr>
                          <w:rFonts w:hint="eastAsia" w:ascii="仿宋" w:hAnsi="仿宋" w:eastAsia="仿宋" w:cs="仿宋"/>
                          <w:sz w:val="28"/>
                          <w:szCs w:val="28"/>
                        </w:rPr>
                        <w:t>项目编号：</w:t>
                      </w:r>
                    </w:p>
                    <w:p w14:paraId="1F4E3264">
                      <w:pPr>
                        <w:rPr>
                          <w:rFonts w:hint="eastAsia" w:ascii="仿宋" w:hAnsi="仿宋" w:eastAsia="仿宋" w:cs="仿宋"/>
                          <w:sz w:val="28"/>
                          <w:szCs w:val="28"/>
                        </w:rPr>
                      </w:pPr>
                      <w:r>
                        <w:rPr>
                          <w:rFonts w:hint="eastAsia" w:ascii="仿宋" w:hAnsi="仿宋" w:eastAsia="仿宋" w:cs="仿宋"/>
                          <w:sz w:val="28"/>
                          <w:szCs w:val="28"/>
                        </w:rPr>
                        <w:t>项目名称：</w:t>
                      </w:r>
                    </w:p>
                    <w:p w14:paraId="15EFF59B">
                      <w:pPr>
                        <w:spacing w:line="440" w:lineRule="exact"/>
                        <w:jc w:val="center"/>
                        <w:rPr>
                          <w:rFonts w:hint="eastAsia" w:ascii="宋体" w:hAnsi="宋体" w:cs="宋体"/>
                          <w:sz w:val="36"/>
                          <w:szCs w:val="36"/>
                        </w:rPr>
                      </w:pPr>
                    </w:p>
                    <w:p w14:paraId="31ADF587">
                      <w:pPr>
                        <w:jc w:val="center"/>
                        <w:rPr>
                          <w:rFonts w:hint="eastAsia" w:ascii="仿宋" w:hAnsi="仿宋" w:eastAsia="仿宋" w:cs="仿宋"/>
                          <w:b/>
                          <w:sz w:val="44"/>
                          <w:szCs w:val="44"/>
                        </w:rPr>
                      </w:pPr>
                    </w:p>
                    <w:p w14:paraId="79B11B0D">
                      <w:pPr>
                        <w:jc w:val="center"/>
                        <w:rPr>
                          <w:rFonts w:hint="eastAsia" w:ascii="仿宋" w:hAnsi="仿宋" w:eastAsia="仿宋" w:cs="仿宋"/>
                          <w:b/>
                          <w:sz w:val="44"/>
                          <w:szCs w:val="44"/>
                        </w:rPr>
                      </w:pPr>
                      <w:r>
                        <w:rPr>
                          <w:rFonts w:hint="eastAsia" w:ascii="仿宋" w:hAnsi="仿宋" w:eastAsia="仿宋" w:cs="仿宋"/>
                          <w:b/>
                          <w:sz w:val="44"/>
                          <w:szCs w:val="44"/>
                        </w:rPr>
                        <w:t>响 应 文 件（正本或副本）</w:t>
                      </w:r>
                    </w:p>
                    <w:p w14:paraId="1A67A7DA">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14:paraId="159F1FDA">
                      <w:pPr>
                        <w:pStyle w:val="9"/>
                      </w:pPr>
                    </w:p>
                    <w:p w14:paraId="1495B6E1">
                      <w:pPr>
                        <w:rPr>
                          <w:rFonts w:hint="eastAsia" w:ascii="仿宋" w:hAnsi="仿宋" w:eastAsia="仿宋" w:cs="仿宋"/>
                          <w:sz w:val="28"/>
                          <w:szCs w:val="28"/>
                        </w:rPr>
                      </w:pPr>
                    </w:p>
                    <w:p w14:paraId="4E95908E">
                      <w:pPr>
                        <w:rPr>
                          <w:rFonts w:hint="eastAsia" w:ascii="仿宋" w:hAnsi="仿宋" w:eastAsia="仿宋" w:cs="仿宋"/>
                          <w:sz w:val="28"/>
                          <w:szCs w:val="28"/>
                        </w:rPr>
                      </w:pPr>
                      <w:r>
                        <w:rPr>
                          <w:rFonts w:hint="eastAsia" w:ascii="仿宋" w:hAnsi="仿宋" w:eastAsia="仿宋" w:cs="仿宋"/>
                          <w:sz w:val="28"/>
                          <w:szCs w:val="28"/>
                        </w:rPr>
                        <w:t>供应商名称：               （公章）</w:t>
                      </w:r>
                    </w:p>
                    <w:p w14:paraId="5AD787FA">
                      <w:pPr>
                        <w:rPr>
                          <w:rFonts w:hint="eastAsia" w:ascii="仿宋" w:hAnsi="仿宋" w:eastAsia="仿宋" w:cs="仿宋"/>
                          <w:b/>
                          <w:color w:val="FF0000"/>
                          <w:sz w:val="28"/>
                          <w:szCs w:val="28"/>
                        </w:rPr>
                      </w:pPr>
                      <w:r>
                        <w:rPr>
                          <w:rFonts w:hint="eastAsia" w:ascii="仿宋" w:hAnsi="仿宋" w:eastAsia="仿宋" w:cs="仿宋"/>
                          <w:sz w:val="28"/>
                          <w:szCs w:val="28"/>
                        </w:rPr>
                        <w:t xml:space="preserve">封袋内容：响应文件  </w:t>
                      </w:r>
                    </w:p>
                    <w:p w14:paraId="19886D58">
                      <w:pPr>
                        <w:spacing w:line="440" w:lineRule="exact"/>
                        <w:rPr>
                          <w:rFonts w:hint="eastAsia" w:ascii="宋体" w:hAnsi="宋体" w:cs="宋体"/>
                          <w:sz w:val="32"/>
                          <w:szCs w:val="32"/>
                        </w:rPr>
                      </w:pPr>
                    </w:p>
                  </w:txbxContent>
                </v:textbox>
              </v:shape>
            </w:pict>
          </mc:Fallback>
        </mc:AlternateContent>
      </w:r>
    </w:p>
    <w:p w14:paraId="31A82C2A">
      <w:pPr>
        <w:rPr>
          <w:rFonts w:hint="eastAsia" w:ascii="宋体" w:hAnsi="宋体" w:eastAsia="宋体" w:cs="宋体"/>
          <w:sz w:val="32"/>
          <w:szCs w:val="32"/>
        </w:rPr>
      </w:pPr>
    </w:p>
    <w:p w14:paraId="1BB32093">
      <w:pPr>
        <w:rPr>
          <w:rFonts w:hint="eastAsia" w:ascii="宋体" w:hAnsi="宋体" w:eastAsia="宋体" w:cs="宋体"/>
          <w:sz w:val="32"/>
          <w:szCs w:val="32"/>
        </w:rPr>
      </w:pPr>
    </w:p>
    <w:p w14:paraId="41F56EA9">
      <w:pPr>
        <w:rPr>
          <w:rFonts w:hint="eastAsia" w:ascii="宋体" w:hAnsi="宋体" w:eastAsia="宋体" w:cs="宋体"/>
          <w:sz w:val="32"/>
          <w:szCs w:val="32"/>
        </w:rPr>
      </w:pPr>
    </w:p>
    <w:p w14:paraId="7FA31944">
      <w:pPr>
        <w:rPr>
          <w:rFonts w:hint="eastAsia" w:ascii="宋体" w:hAnsi="宋体" w:eastAsia="宋体" w:cs="宋体"/>
          <w:sz w:val="32"/>
          <w:szCs w:val="32"/>
        </w:rPr>
      </w:pPr>
    </w:p>
    <w:p w14:paraId="2F0D37AC">
      <w:pPr>
        <w:rPr>
          <w:rFonts w:hint="eastAsia" w:ascii="宋体" w:hAnsi="宋体" w:eastAsia="宋体" w:cs="宋体"/>
          <w:sz w:val="32"/>
          <w:szCs w:val="32"/>
        </w:rPr>
      </w:pPr>
    </w:p>
    <w:p w14:paraId="291D7F9A">
      <w:pPr>
        <w:rPr>
          <w:rFonts w:hint="eastAsia" w:ascii="宋体" w:hAnsi="宋体" w:eastAsia="宋体" w:cs="宋体"/>
          <w:sz w:val="32"/>
          <w:szCs w:val="32"/>
        </w:rPr>
      </w:pPr>
    </w:p>
    <w:p w14:paraId="6BB500AC">
      <w:pPr>
        <w:rPr>
          <w:rFonts w:hint="eastAsia" w:ascii="宋体" w:hAnsi="宋体" w:eastAsia="宋体" w:cs="宋体"/>
          <w:sz w:val="32"/>
          <w:szCs w:val="32"/>
        </w:rPr>
      </w:pPr>
    </w:p>
    <w:p w14:paraId="19E7BC80">
      <w:pPr>
        <w:rPr>
          <w:rFonts w:hint="eastAsia" w:ascii="宋体" w:hAnsi="宋体" w:eastAsia="宋体" w:cs="宋体"/>
          <w:sz w:val="32"/>
          <w:szCs w:val="32"/>
        </w:rPr>
      </w:pPr>
    </w:p>
    <w:p w14:paraId="6A373145">
      <w:pPr>
        <w:jc w:val="center"/>
        <w:rPr>
          <w:rFonts w:hint="eastAsia" w:ascii="宋体" w:hAnsi="宋体" w:eastAsia="宋体" w:cs="宋体"/>
          <w:b/>
          <w:bCs/>
          <w:sz w:val="44"/>
          <w:szCs w:val="44"/>
        </w:rPr>
      </w:pPr>
    </w:p>
    <w:p w14:paraId="2F6BBB79">
      <w:pPr>
        <w:rPr>
          <w:rFonts w:hint="eastAsia" w:ascii="宋体" w:hAnsi="宋体" w:eastAsia="宋体" w:cs="宋体"/>
        </w:rPr>
      </w:pPr>
    </w:p>
    <w:sectPr>
      <w:headerReference r:id="rId13" w:type="default"/>
      <w:footerReference r:id="rId14" w:type="default"/>
      <w:pgSz w:w="11907" w:h="16840"/>
      <w:pgMar w:top="1701" w:right="1134" w:bottom="1701" w:left="1134" w:header="851" w:footer="992" w:gutter="567"/>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E4FD">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14:paraId="58B65CC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F623">
    <w:pPr>
      <w:pStyle w:val="10"/>
      <w:rPr>
        <w:u w:val="single"/>
      </w:rPr>
    </w:pPr>
  </w:p>
  <w:p w14:paraId="29A96EFD">
    <w:pPr>
      <w:pStyle w:val="10"/>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425D">
    <w:pPr>
      <w:pStyle w:val="1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7A2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F676E">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5FF676E">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844B">
    <w:pPr>
      <w:pStyle w:val="10"/>
      <w:rPr>
        <w:rStyle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33C94">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8A33C94">
                    <w:pPr>
                      <w:pStyle w:val="10"/>
                    </w:pPr>
                    <w:r>
                      <w:fldChar w:fldCharType="begin"/>
                    </w:r>
                    <w:r>
                      <w:instrText xml:space="preserve"> PAGE  \* MERGEFORMAT </w:instrText>
                    </w:r>
                    <w:r>
                      <w:fldChar w:fldCharType="separate"/>
                    </w:r>
                    <w:r>
                      <w:t>57</w:t>
                    </w:r>
                    <w:r>
                      <w:fldChar w:fldCharType="end"/>
                    </w:r>
                  </w:p>
                </w:txbxContent>
              </v:textbox>
            </v:shape>
          </w:pict>
        </mc:Fallback>
      </mc:AlternateContent>
    </w:r>
  </w:p>
  <w:p w14:paraId="454720E4">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D206">
    <w:pPr>
      <w:pStyle w:val="10"/>
      <w:framePr w:wrap="around" w:vAnchor="text" w:hAnchor="margin" w:xAlign="center" w:y="1"/>
      <w:rPr>
        <w:rStyle w:val="20"/>
      </w:rPr>
    </w:pPr>
    <w:r>
      <w:fldChar w:fldCharType="begin"/>
    </w:r>
    <w:r>
      <w:rPr>
        <w:rStyle w:val="20"/>
      </w:rPr>
      <w:instrText xml:space="preserve">PAGE  </w:instrText>
    </w:r>
    <w:r>
      <w:fldChar w:fldCharType="end"/>
    </w:r>
  </w:p>
  <w:p w14:paraId="6B7E18A1">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0609">
    <w:pPr>
      <w:pStyle w:val="10"/>
      <w:rPr>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0F88">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710F88">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34E0">
    <w:pPr>
      <w:pStyle w:val="11"/>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B168">
    <w:pPr>
      <w:pStyle w:val="11"/>
      <w:pBdr>
        <w:bottom w:val="none" w:color="auto" w:sz="0" w:space="2"/>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2C84">
    <w:pPr>
      <w:pStyle w:val="11"/>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5733">
    <w:pPr>
      <w:pStyle w:val="11"/>
      <w:pBdr>
        <w:bottom w:val="none" w:color="auto" w:sz="0" w:space="1"/>
      </w:pBdr>
      <w:jc w:val="right"/>
    </w:pPr>
    <w:r>
      <w:rPr>
        <w:rFonts w:hint="eastAsia"/>
      </w:rPr>
      <w:t xml:space="preserve"> </w:t>
    </w:r>
  </w:p>
  <w:p w14:paraId="3D3B1E9D">
    <w:pPr>
      <w:pStyle w:val="11"/>
      <w:pBdr>
        <w:bottom w:val="none" w:color="auto" w:sz="0" w:space="0"/>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DD5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BA193"/>
    <w:multiLevelType w:val="singleLevel"/>
    <w:tmpl w:val="DABBA193"/>
    <w:lvl w:ilvl="0" w:tentative="0">
      <w:start w:val="15"/>
      <w:numFmt w:val="decimal"/>
      <w:suff w:val="nothing"/>
      <w:lvlText w:val="（%1）"/>
      <w:lvlJc w:val="left"/>
    </w:lvl>
  </w:abstractNum>
  <w:abstractNum w:abstractNumId="1">
    <w:nsid w:val="0DE79D02"/>
    <w:multiLevelType w:val="singleLevel"/>
    <w:tmpl w:val="0DE79D02"/>
    <w:lvl w:ilvl="0" w:tentative="0">
      <w:start w:val="1"/>
      <w:numFmt w:val="decimal"/>
      <w:lvlText w:val="%1."/>
      <w:lvlJc w:val="left"/>
      <w:pPr>
        <w:tabs>
          <w:tab w:val="left" w:pos="312"/>
        </w:tabs>
      </w:pPr>
    </w:lvl>
  </w:abstractNum>
  <w:abstractNum w:abstractNumId="2">
    <w:nsid w:val="101EEF1C"/>
    <w:multiLevelType w:val="singleLevel"/>
    <w:tmpl w:val="101EEF1C"/>
    <w:lvl w:ilvl="0" w:tentative="0">
      <w:start w:val="3"/>
      <w:numFmt w:val="decimal"/>
      <w:suff w:val="nothing"/>
      <w:lvlText w:val="%1、"/>
      <w:lvlJc w:val="left"/>
    </w:lvl>
  </w:abstractNum>
  <w:abstractNum w:abstractNumId="3">
    <w:nsid w:val="54D1C6D8"/>
    <w:multiLevelType w:val="singleLevel"/>
    <w:tmpl w:val="54D1C6D8"/>
    <w:lvl w:ilvl="0" w:tentative="0">
      <w:start w:val="14"/>
      <w:numFmt w:val="decimal"/>
      <w:suff w:val="nothing"/>
      <w:lvlText w:val="（%1）"/>
      <w:lvlJc w:val="left"/>
    </w:lvl>
  </w:abstractNum>
  <w:abstractNum w:abstractNumId="4">
    <w:nsid w:val="5694B7E5"/>
    <w:multiLevelType w:val="singleLevel"/>
    <w:tmpl w:val="5694B7E5"/>
    <w:lvl w:ilvl="0" w:tentative="0">
      <w:start w:val="1"/>
      <w:numFmt w:val="decimal"/>
      <w:suff w:val="nothing"/>
      <w:lvlText w:val="%1、"/>
      <w:lvlJc w:val="left"/>
    </w:lvl>
  </w:abstractNum>
  <w:abstractNum w:abstractNumId="5">
    <w:nsid w:val="78740701"/>
    <w:multiLevelType w:val="singleLevel"/>
    <w:tmpl w:val="78740701"/>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MTUzODk3NzRjYjBjYzcwZjFkZjAzNmQ1MGY2NzkifQ=="/>
  </w:docVars>
  <w:rsids>
    <w:rsidRoot w:val="17C75F98"/>
    <w:rsid w:val="002B2C17"/>
    <w:rsid w:val="00345950"/>
    <w:rsid w:val="003D62DD"/>
    <w:rsid w:val="00443FC6"/>
    <w:rsid w:val="004E085F"/>
    <w:rsid w:val="00572333"/>
    <w:rsid w:val="009341AA"/>
    <w:rsid w:val="009804E4"/>
    <w:rsid w:val="00C37189"/>
    <w:rsid w:val="00C93659"/>
    <w:rsid w:val="00CA7F86"/>
    <w:rsid w:val="00DA1E3F"/>
    <w:rsid w:val="00DF5AC4"/>
    <w:rsid w:val="00F34129"/>
    <w:rsid w:val="04C63BF2"/>
    <w:rsid w:val="0BA649A2"/>
    <w:rsid w:val="10736965"/>
    <w:rsid w:val="11125C8E"/>
    <w:rsid w:val="114C494B"/>
    <w:rsid w:val="131E7C21"/>
    <w:rsid w:val="17C75F98"/>
    <w:rsid w:val="18DD4CA7"/>
    <w:rsid w:val="1DB36121"/>
    <w:rsid w:val="20424AE1"/>
    <w:rsid w:val="2A1F4553"/>
    <w:rsid w:val="328A3CBF"/>
    <w:rsid w:val="37D54F27"/>
    <w:rsid w:val="401B7113"/>
    <w:rsid w:val="4F85611F"/>
    <w:rsid w:val="4FE02B99"/>
    <w:rsid w:val="586116FB"/>
    <w:rsid w:val="63876E11"/>
    <w:rsid w:val="67A10C80"/>
    <w:rsid w:val="6BBA6576"/>
    <w:rsid w:val="6BD14133"/>
    <w:rsid w:val="6C754E49"/>
    <w:rsid w:val="6D937005"/>
    <w:rsid w:val="732C6185"/>
    <w:rsid w:val="73A66718"/>
    <w:rsid w:val="74AF0645"/>
    <w:rsid w:val="7509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line="360" w:lineRule="auto"/>
      <w:jc w:val="center"/>
      <w:outlineLvl w:val="0"/>
    </w:pPr>
    <w:rPr>
      <w:b/>
      <w:bCs/>
      <w:kern w:val="44"/>
      <w:sz w:val="30"/>
      <w:szCs w:val="44"/>
    </w:rPr>
  </w:style>
  <w:style w:type="paragraph" w:styleId="3">
    <w:name w:val="heading 2"/>
    <w:basedOn w:val="1"/>
    <w:next w:val="1"/>
    <w:autoRedefine/>
    <w:unhideWhenUsed/>
    <w:qFormat/>
    <w:uiPriority w:val="0"/>
    <w:pPr>
      <w:keepNext/>
      <w:keepLines/>
      <w:spacing w:before="120" w:after="120" w:line="360" w:lineRule="auto"/>
      <w:jc w:val="center"/>
      <w:outlineLvl w:val="1"/>
    </w:pPr>
    <w:rPr>
      <w:rFonts w:ascii="Arial" w:hAnsi="Arial"/>
      <w:b/>
      <w:bCs/>
      <w:sz w:val="28"/>
      <w:szCs w:val="32"/>
    </w:rPr>
  </w:style>
  <w:style w:type="paragraph" w:styleId="4">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autoRedefine/>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30"/>
    <w:autoRedefine/>
    <w:qFormat/>
    <w:uiPriority w:val="0"/>
    <w:rPr>
      <w:color w:val="993300"/>
      <w:sz w:val="24"/>
    </w:rPr>
  </w:style>
  <w:style w:type="paragraph" w:styleId="7">
    <w:name w:val="Body Text Indent"/>
    <w:basedOn w:val="1"/>
    <w:autoRedefine/>
    <w:qFormat/>
    <w:uiPriority w:val="0"/>
    <w:pPr>
      <w:ind w:firstLine="480"/>
    </w:pPr>
    <w:rPr>
      <w:rFonts w:ascii="宋体" w:hAnsi="宋体"/>
    </w:rPr>
  </w:style>
  <w:style w:type="paragraph" w:styleId="8">
    <w:name w:val="Plain Text"/>
    <w:basedOn w:val="1"/>
    <w:autoRedefine/>
    <w:qFormat/>
    <w:uiPriority w:val="0"/>
    <w:rPr>
      <w:rFonts w:ascii="宋体" w:hAnsi="Courier New" w:cs="Courier New"/>
      <w:szCs w:val="21"/>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autoRedefine/>
    <w:qFormat/>
    <w:uiPriority w:val="0"/>
    <w:pPr>
      <w:jc w:val="center"/>
      <w:outlineLvl w:val="0"/>
    </w:pPr>
    <w:rPr>
      <w:rFonts w:ascii="Cambria" w:hAnsi="Cambria"/>
      <w:b/>
      <w:sz w:val="32"/>
    </w:rPr>
  </w:style>
  <w:style w:type="paragraph" w:styleId="14">
    <w:name w:val="Body Text First Indent"/>
    <w:basedOn w:val="6"/>
    <w:autoRedefine/>
    <w:qFormat/>
    <w:uiPriority w:val="0"/>
    <w:pPr>
      <w:adjustRightInd w:val="0"/>
      <w:spacing w:line="360" w:lineRule="auto"/>
      <w:ind w:firstLine="420"/>
      <w:textAlignment w:val="baseline"/>
    </w:pPr>
    <w:rPr>
      <w:rFonts w:ascii="Times New Roman" w:hAnsi="Times New Roman" w:eastAsia="楷体_GB2312"/>
      <w:kern w:val="0"/>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Hyperlink"/>
    <w:basedOn w:val="18"/>
    <w:autoRedefine/>
    <w:qFormat/>
    <w:uiPriority w:val="0"/>
    <w:rPr>
      <w:color w:val="0000FF"/>
      <w:u w:val="single"/>
    </w:rPr>
  </w:style>
  <w:style w:type="paragraph" w:customStyle="1" w:styleId="22">
    <w:name w:val="正文文本 31"/>
    <w:basedOn w:val="1"/>
    <w:autoRedefine/>
    <w:qFormat/>
    <w:uiPriority w:val="0"/>
    <w:rPr>
      <w:sz w:val="16"/>
      <w:szCs w:val="16"/>
    </w:rPr>
  </w:style>
  <w:style w:type="paragraph" w:styleId="23">
    <w:name w:val="List Paragraph"/>
    <w:basedOn w:val="1"/>
    <w:link w:val="31"/>
    <w:autoRedefine/>
    <w:unhideWhenUsed/>
    <w:qFormat/>
    <w:uiPriority w:val="34"/>
    <w:pPr>
      <w:ind w:firstLine="420" w:firstLineChars="200"/>
    </w:pPr>
  </w:style>
  <w:style w:type="character" w:customStyle="1" w:styleId="24">
    <w:name w:val="NormalCharacter"/>
    <w:autoRedefine/>
    <w:qFormat/>
    <w:uiPriority w:val="0"/>
    <w:rPr>
      <w:kern w:val="2"/>
      <w:sz w:val="21"/>
      <w:szCs w:val="24"/>
      <w:lang w:val="en-US" w:eastAsia="zh-CN" w:bidi="ar-SA"/>
    </w:rPr>
  </w:style>
  <w:style w:type="paragraph" w:customStyle="1" w:styleId="25">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目录"/>
    <w:basedOn w:val="1"/>
    <w:autoRedefine/>
    <w:qFormat/>
    <w:uiPriority w:val="0"/>
    <w:pPr>
      <w:widowControl/>
      <w:jc w:val="center"/>
    </w:pPr>
    <w:rPr>
      <w:rFonts w:ascii="宋体"/>
      <w:b/>
      <w:kern w:val="0"/>
      <w:sz w:val="36"/>
      <w:szCs w:val="20"/>
    </w:rPr>
  </w:style>
  <w:style w:type="paragraph" w:customStyle="1" w:styleId="28">
    <w:name w:val="正文缩进1"/>
    <w:basedOn w:val="1"/>
    <w:autoRedefine/>
    <w:qFormat/>
    <w:uiPriority w:val="0"/>
    <w:pPr>
      <w:ind w:firstLine="420" w:firstLineChars="200"/>
    </w:pPr>
  </w:style>
  <w:style w:type="paragraph" w:customStyle="1" w:styleId="29">
    <w:name w:val="1正文"/>
    <w:basedOn w:val="12"/>
    <w:autoRedefine/>
    <w:qFormat/>
    <w:uiPriority w:val="0"/>
    <w:pPr>
      <w:spacing w:beforeAutospacing="0" w:afterAutospacing="0" w:line="360" w:lineRule="auto"/>
      <w:ind w:firstLine="960" w:firstLineChars="200"/>
      <w:jc w:val="both"/>
    </w:pPr>
    <w:rPr>
      <w:rFonts w:ascii="Times New Roman" w:hAnsi="Times New Roman" w:cs="Times New Roman"/>
    </w:rPr>
  </w:style>
  <w:style w:type="character" w:customStyle="1" w:styleId="30">
    <w:name w:val="正文文本 字符"/>
    <w:basedOn w:val="18"/>
    <w:link w:val="6"/>
    <w:qFormat/>
    <w:uiPriority w:val="0"/>
    <w:rPr>
      <w:color w:val="993300"/>
      <w:kern w:val="2"/>
      <w:sz w:val="24"/>
      <w:szCs w:val="24"/>
    </w:rPr>
  </w:style>
  <w:style w:type="character" w:customStyle="1" w:styleId="31">
    <w:name w:val="列表段落 字符"/>
    <w:basedOn w:val="18"/>
    <w:link w:val="23"/>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27594</Words>
  <Characters>28908</Characters>
  <Lines>35</Lines>
  <Paragraphs>59</Paragraphs>
  <TotalTime>0</TotalTime>
  <ScaleCrop>false</ScaleCrop>
  <LinksUpToDate>false</LinksUpToDate>
  <CharactersWithSpaces>30690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2024-08-22T06:36:00Z</dcterms:created>
  <dc:creator>lenovo</dc:creator>
  <cp:lastModifiedBy>。</cp:lastModifiedBy>
  <dcterms:modified xsi:type="dcterms:W3CDTF">2024-08-28T10:58:47Z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5D5BAD27A9BD4E0C9E5E938AABE2C07D_13</vt:lpwstr>
  </property>
</Properties>
</file>