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960"/>
          <w:tab w:val="left" w:pos="8460"/>
        </w:tabs>
        <w:spacing w:line="360" w:lineRule="auto"/>
        <w:rPr>
          <w:rFonts w:hint="eastAsia"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eastAsia="宋体" w:cs="宋体"/>
          <w:b/>
          <w:color w:val="000000" w:themeColor="text1"/>
          <w:sz w:val="30"/>
          <w:szCs w:val="30"/>
          <w14:textFill>
            <w14:solidFill>
              <w14:schemeClr w14:val="tx1"/>
            </w14:solidFill>
          </w14:textFill>
        </w:rPr>
        <w:t>SXYR202</w:t>
      </w:r>
      <w:r>
        <w:rPr>
          <w:rFonts w:hint="eastAsia" w:ascii="宋体" w:hAnsi="宋体" w:eastAsia="宋体" w:cs="宋体"/>
          <w:b/>
          <w:color w:val="000000" w:themeColor="text1"/>
          <w:sz w:val="30"/>
          <w:szCs w:val="30"/>
          <w:lang w:val="en-US" w:eastAsia="zh-CN"/>
          <w14:textFill>
            <w14:solidFill>
              <w14:schemeClr w14:val="tx1"/>
            </w14:solidFill>
          </w14:textFill>
        </w:rPr>
        <w:t>4</w:t>
      </w:r>
      <w:r>
        <w:rPr>
          <w:rFonts w:hint="eastAsia" w:ascii="宋体" w:hAnsi="宋体" w:eastAsia="宋体" w:cs="宋体"/>
          <w:b/>
          <w:color w:val="000000" w:themeColor="text1"/>
          <w:sz w:val="30"/>
          <w:szCs w:val="30"/>
          <w14:textFill>
            <w14:solidFill>
              <w14:schemeClr w14:val="tx1"/>
            </w14:solidFill>
          </w14:textFill>
        </w:rPr>
        <w:t>-0</w:t>
      </w:r>
      <w:r>
        <w:rPr>
          <w:rFonts w:hint="eastAsia" w:ascii="宋体" w:hAnsi="宋体" w:eastAsia="宋体" w:cs="宋体"/>
          <w:b/>
          <w:color w:val="000000" w:themeColor="text1"/>
          <w:sz w:val="30"/>
          <w:szCs w:val="30"/>
          <w:lang w:val="en-US" w:eastAsia="zh-CN"/>
          <w14:textFill>
            <w14:solidFill>
              <w14:schemeClr w14:val="tx1"/>
            </w14:solidFill>
          </w14:textFill>
        </w:rPr>
        <w:t>12</w:t>
      </w:r>
    </w:p>
    <w:p>
      <w:pPr>
        <w:pStyle w:val="32"/>
        <w:rPr>
          <w:rFonts w:hint="eastAsia" w:ascii="宋体" w:hAnsi="宋体" w:eastAsia="宋体" w:cs="宋体"/>
          <w:b/>
          <w:bCs w:val="0"/>
          <w:color w:val="000000" w:themeColor="text1"/>
          <w:sz w:val="30"/>
          <w:szCs w:val="30"/>
          <w:lang w:val="en-US" w:eastAsia="zh-CN"/>
          <w14:textFill>
            <w14:solidFill>
              <w14:schemeClr w14:val="tx1"/>
            </w14:solidFill>
          </w14:textFill>
        </w:rPr>
      </w:pPr>
    </w:p>
    <w:p>
      <w:pPr>
        <w:pStyle w:val="33"/>
        <w:rPr>
          <w:rFonts w:hint="eastAsia" w:ascii="宋体" w:hAnsi="宋体" w:eastAsia="宋体" w:cs="宋体"/>
          <w:lang w:val="en-US" w:eastAsia="zh-CN"/>
        </w:rPr>
      </w:pPr>
    </w:p>
    <w:p>
      <w:pPr>
        <w:pStyle w:val="33"/>
        <w:rPr>
          <w:rFonts w:hint="eastAsia" w:ascii="宋体" w:hAnsi="宋体" w:eastAsia="宋体" w:cs="宋体"/>
          <w:lang w:val="en-US" w:eastAsia="zh-CN"/>
        </w:rPr>
      </w:pPr>
    </w:p>
    <w:p>
      <w:pPr>
        <w:pStyle w:val="33"/>
        <w:rPr>
          <w:rFonts w:hint="eastAsia" w:ascii="宋体" w:hAnsi="宋体" w:eastAsia="宋体" w:cs="宋体"/>
          <w:lang w:val="en-US" w:eastAsia="zh-CN"/>
        </w:rPr>
      </w:pPr>
    </w:p>
    <w:p>
      <w:pPr>
        <w:spacing w:line="360" w:lineRule="auto"/>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r>
        <w:rPr>
          <w:rFonts w:hint="eastAsia" w:ascii="宋体" w:hAnsi="宋体" w:eastAsia="宋体" w:cs="宋体"/>
          <w:b/>
          <w:color w:val="000000" w:themeColor="text1"/>
          <w:sz w:val="48"/>
          <w:szCs w:val="48"/>
          <w:lang w:val="en-US" w:eastAsia="zh-CN"/>
          <w14:textFill>
            <w14:solidFill>
              <w14:schemeClr w14:val="tx1"/>
            </w14:solidFill>
          </w14:textFill>
        </w:rPr>
        <w:t>延安市煤矿安全生产监测监控中心煤矿安全生产监测监控系统平台网络专线租赁项目</w:t>
      </w:r>
    </w:p>
    <w:p>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bCs/>
          <w:i w:val="0"/>
          <w:iCs w:val="0"/>
          <w:caps w:val="0"/>
          <w:color w:val="000000"/>
          <w:spacing w:val="0"/>
          <w:kern w:val="0"/>
          <w:sz w:val="36"/>
          <w:szCs w:val="36"/>
          <w:shd w:val="clear" w:color="auto" w:fill="FFFFFF"/>
          <w:lang w:val="en-US" w:eastAsia="zh-CN" w:bidi="ar"/>
        </w:rPr>
      </w:pPr>
      <w:r>
        <w:rPr>
          <w:rFonts w:hint="eastAsia" w:ascii="宋体" w:hAnsi="宋体" w:eastAsia="宋体" w:cs="宋体"/>
          <w:b/>
          <w:color w:val="000000" w:themeColor="text1"/>
          <w:sz w:val="32"/>
          <w:szCs w:val="32"/>
          <w:lang w:val="en-US" w:eastAsia="zh-CN"/>
          <w14:textFill>
            <w14:solidFill>
              <w14:schemeClr w14:val="tx1"/>
            </w14:solidFill>
          </w14:textFill>
        </w:rPr>
        <w:t>采   购   人： 延安市煤矿安全生产监测监控中心</w:t>
      </w: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陕西悦荣项目管理有限公司           </w:t>
      </w: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二〇二四年九月</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440" w:bottom="1440" w:left="1440" w:header="851" w:footer="992" w:gutter="0"/>
          <w:pgNumType w:fmt="decimal"/>
          <w:cols w:space="720" w:num="1"/>
          <w:titlePg/>
          <w:docGrid w:linePitch="312" w:charSpace="0"/>
        </w:sectPr>
      </w:pPr>
      <w:bookmarkStart w:id="1" w:name="_Toc438073527"/>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rFonts w:hint="eastAsia" w:ascii="宋体" w:hAnsi="宋体" w:eastAsia="宋体" w:cs="宋体"/>
          <w:b/>
          <w:bCs/>
          <w:sz w:val="28"/>
        </w:rPr>
        <w:tab/>
      </w:r>
      <w:r>
        <w:rPr>
          <w:rFonts w:hint="eastAsia" w:ascii="宋体" w:hAnsi="宋体" w:eastAsia="宋体" w:cs="宋体"/>
          <w:b/>
          <w:bCs/>
          <w:sz w:val="28"/>
          <w:lang w:val="en-US" w:eastAsia="zh-CN"/>
        </w:rPr>
        <w:t>3</w:t>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rFonts w:hint="eastAsia" w:ascii="宋体" w:hAnsi="宋体" w:eastAsia="宋体" w:cs="宋体"/>
          <w:b/>
          <w:bCs/>
          <w:sz w:val="28"/>
        </w:rPr>
        <w:tab/>
      </w:r>
      <w:r>
        <w:rPr>
          <w:rFonts w:hint="eastAsia" w:ascii="宋体" w:hAnsi="宋体" w:eastAsia="宋体" w:cs="宋体"/>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rFonts w:hint="eastAsia" w:ascii="宋体" w:hAnsi="宋体" w:eastAsia="宋体" w:cs="宋体"/>
          <w:b/>
          <w:bCs/>
          <w:sz w:val="28"/>
        </w:rPr>
        <w:tab/>
      </w:r>
      <w:r>
        <w:rPr>
          <w:rFonts w:hint="eastAsia" w:ascii="宋体" w:hAnsi="宋体" w:eastAsia="宋体" w:cs="宋体"/>
          <w:b/>
          <w:bCs/>
          <w:sz w:val="28"/>
        </w:rPr>
        <w:fldChar w:fldCharType="begin"/>
      </w:r>
      <w:r>
        <w:rPr>
          <w:rFonts w:hint="eastAsia" w:ascii="宋体" w:hAnsi="宋体" w:eastAsia="宋体" w:cs="宋体"/>
          <w:b/>
          <w:bCs/>
          <w:sz w:val="28"/>
        </w:rPr>
        <w:instrText xml:space="preserve"> PAGEREF _Toc9686 </w:instrText>
      </w:r>
      <w:r>
        <w:rPr>
          <w:rFonts w:hint="eastAsia" w:ascii="宋体" w:hAnsi="宋体" w:eastAsia="宋体" w:cs="宋体"/>
          <w:b/>
          <w:bCs/>
          <w:sz w:val="28"/>
        </w:rPr>
        <w:fldChar w:fldCharType="separate"/>
      </w:r>
      <w:r>
        <w:rPr>
          <w:rFonts w:hint="eastAsia" w:ascii="宋体" w:hAnsi="宋体" w:eastAsia="宋体" w:cs="宋体"/>
          <w:b/>
          <w:bCs/>
          <w:sz w:val="28"/>
        </w:rPr>
        <w:t>55</w:t>
      </w:r>
      <w:r>
        <w:rPr>
          <w:rFonts w:hint="eastAsia" w:ascii="宋体" w:hAnsi="宋体" w:eastAsia="宋体" w:cs="宋体"/>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第四章 合同</w:t>
      </w:r>
      <w:r>
        <w:rPr>
          <w:rFonts w:hint="eastAsia" w:ascii="宋体" w:hAnsi="宋体" w:eastAsia="宋体" w:cs="宋体"/>
          <w:b/>
          <w:bCs/>
          <w:sz w:val="28"/>
          <w:szCs w:val="44"/>
          <w:lang w:eastAsia="zh-CN"/>
        </w:rPr>
        <w:t>（</w:t>
      </w:r>
      <w:r>
        <w:rPr>
          <w:rFonts w:hint="eastAsia" w:ascii="宋体" w:hAnsi="宋体" w:eastAsia="宋体" w:cs="宋体"/>
          <w:b/>
          <w:bCs/>
          <w:sz w:val="28"/>
          <w:szCs w:val="44"/>
          <w:lang w:val="en-US" w:eastAsia="zh-CN"/>
        </w:rPr>
        <w:t>拟签订文本</w:t>
      </w:r>
      <w:r>
        <w:rPr>
          <w:rFonts w:hint="eastAsia" w:ascii="宋体" w:hAnsi="宋体" w:eastAsia="宋体" w:cs="宋体"/>
          <w:b/>
          <w:bCs/>
          <w:sz w:val="28"/>
          <w:szCs w:val="44"/>
          <w:lang w:eastAsia="zh-CN"/>
        </w:rPr>
        <w:t>）</w:t>
      </w:r>
      <w:r>
        <w:rPr>
          <w:rFonts w:hint="eastAsia" w:ascii="宋体" w:hAnsi="宋体" w:eastAsia="宋体" w:cs="宋体"/>
          <w:b/>
          <w:bCs/>
          <w:sz w:val="28"/>
        </w:rPr>
        <w:tab/>
      </w:r>
      <w:r>
        <w:rPr>
          <w:rFonts w:hint="eastAsia" w:ascii="宋体" w:hAnsi="宋体" w:eastAsia="宋体" w:cs="宋体"/>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eastAsia="宋体" w:cs="宋体"/>
          <w:b/>
          <w:bCs/>
          <w:color w:val="000000" w:themeColor="text1"/>
          <w:sz w:val="28"/>
          <w:szCs w:val="24"/>
          <w:lang w:val="en-US" w:eastAsia="zh-CN"/>
          <w14:textFill>
            <w14:solidFill>
              <w14:schemeClr w14:val="tx1"/>
            </w14:solidFill>
          </w14:textFill>
        </w:rPr>
        <w:t>9</w:t>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lang w:eastAsia="zh-CN"/>
        </w:rPr>
        <w:t>第五章</w:t>
      </w:r>
      <w:r>
        <w:rPr>
          <w:rFonts w:hint="eastAsia" w:ascii="宋体" w:hAnsi="宋体" w:eastAsia="宋体" w:cs="宋体"/>
          <w:b/>
          <w:bCs/>
          <w:sz w:val="28"/>
          <w:szCs w:val="44"/>
          <w:lang w:val="en-US" w:eastAsia="zh-CN"/>
        </w:rPr>
        <w:t xml:space="preserve"> </w:t>
      </w:r>
      <w:r>
        <w:rPr>
          <w:rFonts w:hint="eastAsia" w:ascii="宋体" w:hAnsi="宋体" w:eastAsia="宋体" w:cs="宋体"/>
          <w:b/>
          <w:bCs/>
          <w:sz w:val="28"/>
          <w:szCs w:val="44"/>
        </w:rPr>
        <w:t>采购内容和</w:t>
      </w:r>
      <w:r>
        <w:rPr>
          <w:rFonts w:hint="eastAsia" w:ascii="宋体" w:hAnsi="宋体" w:eastAsia="宋体" w:cs="宋体"/>
          <w:b/>
          <w:bCs/>
          <w:sz w:val="28"/>
          <w:szCs w:val="48"/>
        </w:rPr>
        <w:t>技术</w:t>
      </w:r>
      <w:r>
        <w:rPr>
          <w:rFonts w:hint="eastAsia" w:ascii="宋体" w:hAnsi="宋体" w:eastAsia="宋体" w:cs="宋体"/>
          <w:b/>
          <w:bCs/>
          <w:sz w:val="28"/>
          <w:szCs w:val="44"/>
        </w:rPr>
        <w:t>要求</w:t>
      </w:r>
      <w:r>
        <w:rPr>
          <w:rFonts w:hint="eastAsia" w:ascii="宋体" w:hAnsi="宋体" w:eastAsia="宋体" w:cs="宋体"/>
          <w:b/>
          <w:bCs/>
          <w:sz w:val="28"/>
        </w:rPr>
        <w:tab/>
      </w:r>
      <w:r>
        <w:rPr>
          <w:rFonts w:hint="eastAsia" w:ascii="宋体" w:hAnsi="宋体" w:eastAsia="宋体" w:cs="宋体"/>
          <w:b/>
          <w:bCs/>
          <w:sz w:val="28"/>
        </w:rPr>
        <w:fldChar w:fldCharType="begin"/>
      </w:r>
      <w:r>
        <w:rPr>
          <w:rFonts w:hint="eastAsia" w:ascii="宋体" w:hAnsi="宋体" w:eastAsia="宋体" w:cs="宋体"/>
          <w:b/>
          <w:bCs/>
          <w:sz w:val="28"/>
        </w:rPr>
        <w:instrText xml:space="preserve"> PAGEREF _Toc22897 </w:instrText>
      </w:r>
      <w:r>
        <w:rPr>
          <w:rFonts w:hint="eastAsia" w:ascii="宋体" w:hAnsi="宋体" w:eastAsia="宋体" w:cs="宋体"/>
          <w:b/>
          <w:bCs/>
          <w:sz w:val="28"/>
        </w:rPr>
        <w:fldChar w:fldCharType="separate"/>
      </w:r>
      <w:r>
        <w:rPr>
          <w:rFonts w:hint="eastAsia" w:ascii="宋体" w:hAnsi="宋体" w:eastAsia="宋体" w:cs="宋体"/>
          <w:b/>
          <w:bCs/>
          <w:sz w:val="28"/>
        </w:rPr>
        <w:t>7</w:t>
      </w:r>
      <w:r>
        <w:rPr>
          <w:rFonts w:hint="eastAsia" w:ascii="宋体" w:hAnsi="宋体" w:eastAsia="宋体" w:cs="宋体"/>
          <w:b/>
          <w:bCs/>
          <w:sz w:val="28"/>
          <w:lang w:val="en-US" w:eastAsia="zh-CN"/>
        </w:rPr>
        <w:t>2</w:t>
      </w:r>
      <w:r>
        <w:rPr>
          <w:rFonts w:hint="eastAsia" w:ascii="宋体" w:hAnsi="宋体" w:eastAsia="宋体" w:cs="宋体"/>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lang w:eastAsia="zh-CN"/>
        </w:rPr>
        <w:t>第六章</w:t>
      </w:r>
      <w:r>
        <w:rPr>
          <w:rFonts w:hint="eastAsia" w:ascii="宋体" w:hAnsi="宋体" w:eastAsia="宋体" w:cs="宋体"/>
          <w:b/>
          <w:bCs/>
          <w:sz w:val="28"/>
          <w:szCs w:val="44"/>
          <w:lang w:val="en-US" w:eastAsia="zh-CN"/>
        </w:rPr>
        <w:t xml:space="preserve"> </w:t>
      </w:r>
      <w:r>
        <w:rPr>
          <w:rFonts w:hint="eastAsia" w:ascii="宋体" w:hAnsi="宋体" w:eastAsia="宋体" w:cs="宋体"/>
          <w:b/>
          <w:bCs/>
          <w:sz w:val="28"/>
          <w:szCs w:val="44"/>
        </w:rPr>
        <w:t>磋商响应文件格式</w:t>
      </w:r>
      <w:r>
        <w:rPr>
          <w:rFonts w:hint="eastAsia" w:ascii="宋体" w:hAnsi="宋体" w:eastAsia="宋体" w:cs="宋体"/>
          <w:b/>
          <w:bCs/>
          <w:sz w:val="28"/>
        </w:rPr>
        <w:tab/>
      </w:r>
      <w:r>
        <w:rPr>
          <w:rFonts w:hint="eastAsia" w:ascii="宋体" w:hAnsi="宋体" w:eastAsia="宋体" w:cs="宋体"/>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eastAsia="宋体" w:cs="宋体"/>
          <w:b/>
          <w:bCs/>
          <w:color w:val="000000" w:themeColor="text1"/>
          <w:sz w:val="28"/>
          <w:szCs w:val="24"/>
          <w:lang w:val="en-US" w:eastAsia="zh-CN"/>
          <w14:textFill>
            <w14:solidFill>
              <w14:schemeClr w14:val="tx1"/>
            </w14:solidFill>
          </w14:textFill>
        </w:rPr>
        <w:t>5</w:t>
      </w:r>
    </w:p>
    <w:p>
      <w:pPr>
        <w:pStyle w:val="28"/>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rPr>
      </w:pPr>
    </w:p>
    <w:p>
      <w:pPr>
        <w:pStyle w:val="76"/>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8" w:type="first"/>
          <w:footerReference r:id="rId7"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bookmarkEnd w:id="1"/>
    <w:p>
      <w:pPr>
        <w:pStyle w:val="2"/>
        <w:bidi w:val="0"/>
        <w:jc w:val="center"/>
        <w:rPr>
          <w:rFonts w:hint="eastAsia" w:ascii="宋体" w:hAnsi="宋体" w:eastAsia="宋体" w:cs="宋体"/>
          <w:b/>
          <w:color w:val="auto"/>
          <w:kern w:val="44"/>
          <w:szCs w:val="20"/>
          <w:lang w:val="en-US" w:eastAsia="zh-CN" w:bidi="ar-SA"/>
        </w:rPr>
      </w:pPr>
      <w:bookmarkStart w:id="2" w:name="_Toc15554"/>
      <w:bookmarkStart w:id="3" w:name="_Toc97"/>
      <w:r>
        <w:rPr>
          <w:rFonts w:hint="eastAsia" w:ascii="宋体" w:hAnsi="宋体" w:eastAsia="宋体" w:cs="宋体"/>
          <w:color w:val="auto"/>
          <w:lang w:val="en-US" w:eastAsia="zh-CN"/>
        </w:rPr>
        <w:t xml:space="preserve">第一章  </w:t>
      </w:r>
      <w:bookmarkEnd w:id="2"/>
      <w:r>
        <w:rPr>
          <w:rFonts w:hint="eastAsia" w:ascii="宋体" w:hAnsi="宋体" w:eastAsia="宋体" w:cs="宋体"/>
          <w:color w:val="auto"/>
          <w:lang w:val="en-US" w:eastAsia="zh-CN"/>
        </w:rPr>
        <w:t>竞争性磋商公告</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36"/>
          <w:szCs w:val="36"/>
        </w:rPr>
      </w:pPr>
      <w:bookmarkStart w:id="4" w:name="_Toc10488"/>
      <w:bookmarkStart w:id="5" w:name="_Toc421778363"/>
      <w:r>
        <w:rPr>
          <w:rFonts w:hint="eastAsia" w:ascii="宋体" w:hAnsi="宋体" w:eastAsia="宋体" w:cs="宋体"/>
          <w:b/>
          <w:bCs/>
          <w:i w:val="0"/>
          <w:iCs w:val="0"/>
          <w:caps w:val="0"/>
          <w:color w:val="333333"/>
          <w:spacing w:val="0"/>
          <w:kern w:val="0"/>
          <w:sz w:val="36"/>
          <w:szCs w:val="36"/>
          <w:shd w:val="clear" w:fill="FFFFFF"/>
          <w:lang w:val="en-US" w:eastAsia="zh-CN" w:bidi="ar"/>
        </w:rPr>
        <w:t>延安市煤矿安全生产监测监控中心煤矿安全生产监测监控系统平台网络专线租赁项目竞争性磋商公告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项目概况</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煤矿安全生产监测监控系统平台网络专线租赁项目采购项目的潜在供应商应在《全国公共资源交易平台（陕西省·延安市）》获取采购文件，并于2024</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ascii="宋体" w:hAnsi="宋体" w:eastAsia="宋体" w:cs="宋体"/>
          <w:i w:val="0"/>
          <w:iCs w:val="0"/>
          <w:caps w:val="0"/>
          <w:color w:val="333333"/>
          <w:spacing w:val="0"/>
          <w:sz w:val="24"/>
          <w:szCs w:val="24"/>
          <w:shd w:val="clear" w:fill="FFFFFF"/>
        </w:rPr>
        <w:t>09</w:t>
      </w:r>
      <w:r>
        <w:rPr>
          <w:rFonts w:hint="eastAsia" w:ascii="宋体" w:hAnsi="宋体" w:eastAsia="宋体" w:cs="宋体"/>
          <w:i w:val="0"/>
          <w:iCs w:val="0"/>
          <w:caps w:val="0"/>
          <w:color w:val="333333"/>
          <w:spacing w:val="0"/>
          <w:sz w:val="24"/>
          <w:szCs w:val="24"/>
          <w:shd w:val="clear" w:fill="FFFFFF"/>
          <w:lang w:val="en-US" w:eastAsia="zh-CN"/>
        </w:rPr>
        <w:t>月</w:t>
      </w:r>
      <w:r>
        <w:rPr>
          <w:rFonts w:hint="eastAsia" w:ascii="宋体" w:hAnsi="宋体" w:eastAsia="宋体" w:cs="宋体"/>
          <w:i w:val="0"/>
          <w:iCs w:val="0"/>
          <w:caps w:val="0"/>
          <w:color w:val="333333"/>
          <w:spacing w:val="0"/>
          <w:sz w:val="24"/>
          <w:szCs w:val="24"/>
          <w:shd w:val="clear" w:fill="FFFFFF"/>
        </w:rPr>
        <w:t>18</w:t>
      </w:r>
      <w:r>
        <w:rPr>
          <w:rFonts w:hint="eastAsia" w:ascii="宋体" w:hAnsi="宋体" w:eastAsia="宋体" w:cs="宋体"/>
          <w:i w:val="0"/>
          <w:iCs w:val="0"/>
          <w:caps w:val="0"/>
          <w:color w:val="333333"/>
          <w:spacing w:val="0"/>
          <w:sz w:val="24"/>
          <w:szCs w:val="24"/>
          <w:shd w:val="clear" w:fill="FFFFFF"/>
          <w:lang w:val="en-US" w:eastAsia="zh-CN"/>
        </w:rPr>
        <w:t>日</w:t>
      </w:r>
      <w:r>
        <w:rPr>
          <w:rFonts w:hint="eastAsia" w:ascii="宋体" w:hAnsi="宋体" w:eastAsia="宋体" w:cs="宋体"/>
          <w:i w:val="0"/>
          <w:iCs w:val="0"/>
          <w:caps w:val="0"/>
          <w:color w:val="333333"/>
          <w:spacing w:val="0"/>
          <w:sz w:val="24"/>
          <w:szCs w:val="24"/>
          <w:shd w:val="clear" w:fill="FFFFFF"/>
        </w:rPr>
        <w:t>14</w:t>
      </w:r>
      <w:r>
        <w:rPr>
          <w:rFonts w:hint="eastAsia" w:ascii="宋体" w:hAnsi="宋体" w:eastAsia="宋体" w:cs="宋体"/>
          <w:i w:val="0"/>
          <w:iCs w:val="0"/>
          <w:caps w:val="0"/>
          <w:color w:val="333333"/>
          <w:spacing w:val="0"/>
          <w:sz w:val="24"/>
          <w:szCs w:val="24"/>
          <w:shd w:val="clear" w:fill="FFFFFF"/>
          <w:lang w:val="en-US" w:eastAsia="zh-CN"/>
        </w:rPr>
        <w:t>时</w:t>
      </w:r>
      <w:r>
        <w:rPr>
          <w:rFonts w:hint="eastAsia" w:ascii="宋体" w:hAnsi="宋体" w:eastAsia="宋体" w:cs="宋体"/>
          <w:i w:val="0"/>
          <w:iCs w:val="0"/>
          <w:caps w:val="0"/>
          <w:color w:val="333333"/>
          <w:spacing w:val="0"/>
          <w:sz w:val="24"/>
          <w:szCs w:val="24"/>
          <w:shd w:val="clear" w:fill="FFFFFF"/>
        </w:rPr>
        <w:t>30</w:t>
      </w:r>
      <w:r>
        <w:rPr>
          <w:rFonts w:hint="eastAsia" w:ascii="宋体" w:hAnsi="宋体" w:eastAsia="宋体" w:cs="宋体"/>
          <w:i w:val="0"/>
          <w:iCs w:val="0"/>
          <w:caps w:val="0"/>
          <w:color w:val="333333"/>
          <w:spacing w:val="0"/>
          <w:sz w:val="24"/>
          <w:szCs w:val="24"/>
          <w:shd w:val="clear" w:fill="FFFFFF"/>
          <w:lang w:val="en-US" w:eastAsia="zh-CN"/>
        </w:rPr>
        <w:t>分</w:t>
      </w:r>
      <w:r>
        <w:rPr>
          <w:rFonts w:hint="eastAsia" w:ascii="宋体" w:hAnsi="宋体" w:eastAsia="宋体" w:cs="宋体"/>
          <w:i w:val="0"/>
          <w:iCs w:val="0"/>
          <w:caps w:val="0"/>
          <w:color w:val="333333"/>
          <w:spacing w:val="0"/>
          <w:sz w:val="24"/>
          <w:szCs w:val="24"/>
          <w:shd w:val="clear" w:fill="FFFFFF"/>
        </w:rPr>
        <w:t>（北京时间）前提交响应文件。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一、项目基本情况</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项目编号：SXYR2024-012</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项目名称：煤矿安全生产监测监控系统平台网络专线租赁项目</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预算金额：500,000.00元</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合同包1(延安市煤矿安全生产监测监控中心煤矿安全生产监测监控系统平台网络专线租赁项目):</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合同包预算金额：500,000.00元</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合同包最高限价：500,000.00元</w:t>
      </w:r>
    </w:p>
    <w:tbl>
      <w:tblPr>
        <w:tblStyle w:val="34"/>
        <w:tblW w:w="88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1"/>
        <w:gridCol w:w="1611"/>
        <w:gridCol w:w="1611"/>
        <w:gridCol w:w="802"/>
        <w:gridCol w:w="1371"/>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9" w:hRule="atLeast"/>
          <w:tblHeader/>
        </w:trPr>
        <w:tc>
          <w:tcPr>
            <w:tcW w:w="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基础电信服务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网络专线服务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500,000.00</w:t>
            </w:r>
          </w:p>
        </w:tc>
      </w:tr>
    </w:tbl>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合同履行期限：一年(具体服务起止日期可按合同约定的时间执行)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二、申请人的资格要求：</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合同包1(延安市煤矿安全生产监测监控中心煤矿安全生产监测监控系统平台网络专线租赁项目)落实政府采购政策需满足的资格要求如下:</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2.1《政府采购促进中小企业发展管理办法》（财库〔2020〕46号）；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2.2《财政部 司法部关于政府采购支持监狱企业发展有关问题的通知》（财库〔2014〕68号）；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2.3《财政部 民政部 中国残疾人联合会关于促进残疾人就业政府采购政策的通知》（财库〔2017〕141号）；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2.4《国务院办公厅关于建立政府强制采购节能产品制度的通知》(国办发〔2007〕51号)；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《财政部 发展改革委 生态环境部 市场监管总局关于调整优化节能产品、环境标志产品政府采购执行机制的通知》（财库〔2019〕9号）；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《关于印发环境标志产品政府采购品目清单的通知》（财库〔2019〕18号）；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《关于印发节能产品政府采购品目清单的通知》（财库〔2019〕19号）；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《财政部 农业农村部 国家乡村振兴局关于运用政府采购政策支持乡村产业振兴的通知》（财库〔2021〕19号）；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《陕西省财政厅关于印发陕西省中小企业政府采购信用融资办法》（陕财办采〔2018〕23号）； </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2.1</w:t>
      </w:r>
      <w:r>
        <w:rPr>
          <w:rFonts w:hint="eastAsia" w:ascii="宋体" w:hAnsi="宋体" w:eastAsia="宋体"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如有最新颁布的政府采购政策，按最新的文件执行。</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合同包1(延安市煤矿安全生产监测监控中心煤矿安全生产监测监控系统平台网络专线租赁项目)特定资格要求如下:</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3.1具有独立承担民事责任能力的法人或其他组织，提供合法有效的统一社会信用代码的营业执照（含年度报告）；</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3.2法定代表人（负责人）授权书（附法定代表人身份证复印件）及被授权人身份证（法定代表人（负责人）直接参加</w:t>
      </w:r>
      <w:r>
        <w:rPr>
          <w:rFonts w:hint="eastAsia" w:ascii="宋体" w:hAnsi="宋体" w:eastAsia="宋体" w:cs="宋体"/>
          <w:i w:val="0"/>
          <w:iCs w:val="0"/>
          <w:caps w:val="0"/>
          <w:color w:val="333333"/>
          <w:spacing w:val="0"/>
          <w:sz w:val="24"/>
          <w:szCs w:val="24"/>
          <w:shd w:val="clear" w:fill="FFFFFF"/>
          <w:lang w:val="en-US" w:eastAsia="zh-CN"/>
        </w:rPr>
        <w:t>磋商</w:t>
      </w:r>
      <w:r>
        <w:rPr>
          <w:rFonts w:hint="eastAsia" w:ascii="宋体" w:hAnsi="宋体" w:eastAsia="宋体" w:cs="宋体"/>
          <w:i w:val="0"/>
          <w:iCs w:val="0"/>
          <w:caps w:val="0"/>
          <w:color w:val="333333"/>
          <w:spacing w:val="0"/>
          <w:sz w:val="24"/>
          <w:szCs w:val="24"/>
          <w:shd w:val="clear" w:fill="FFFFFF"/>
        </w:rPr>
        <w:t>只须提供法定代表人身份证）；</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3.3税收缴纳证明：提供本年度已缴纳的至少连续 3 个月的纳税证明或完税证明，依法免税的单位应提供相关证明材料；</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3.5财务状况报告：提供2022年度或2023年的财务审计报告(成立时间至提交投标文件截止时间不足一年的成立后任意时段的资产负债表或提供开标日期前 3 个月内其基本开户银行出具的资信证明）；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3.6供应商应出具参加政府采购活动前 3 年内在经营活动中没有重大违法记录的书面声明；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3.8单位负责人为同一人或者存在直接控股、管理关系的不同供应商，不得参加同一合同项下的政府采购活动；</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3.9提供磋商保证金的银行转账或电汇凭证并确保响应文件递交截止时间前到达采购文件指定账户；</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3.10本项目不接受联合体</w:t>
      </w:r>
      <w:r>
        <w:rPr>
          <w:rFonts w:hint="eastAsia" w:ascii="宋体" w:hAnsi="宋体" w:eastAsia="宋体" w:cs="宋体"/>
          <w:i w:val="0"/>
          <w:iCs w:val="0"/>
          <w:caps w:val="0"/>
          <w:color w:val="333333"/>
          <w:spacing w:val="0"/>
          <w:sz w:val="24"/>
          <w:szCs w:val="24"/>
          <w:shd w:val="clear" w:fill="FFFFFF"/>
          <w:lang w:val="en-US" w:eastAsia="zh-CN"/>
        </w:rPr>
        <w:t>磋商</w:t>
      </w:r>
      <w:r>
        <w:rPr>
          <w:rFonts w:hint="eastAsia" w:ascii="宋体" w:hAnsi="宋体" w:eastAsia="宋体" w:cs="宋体"/>
          <w:i w:val="0"/>
          <w:iCs w:val="0"/>
          <w:caps w:val="0"/>
          <w:color w:val="333333"/>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三、获取采购文件</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时间：2024</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ascii="宋体" w:hAnsi="宋体" w:eastAsia="宋体" w:cs="宋体"/>
          <w:i w:val="0"/>
          <w:iCs w:val="0"/>
          <w:caps w:val="0"/>
          <w:color w:val="333333"/>
          <w:spacing w:val="0"/>
          <w:sz w:val="24"/>
          <w:szCs w:val="24"/>
          <w:shd w:val="clear" w:fill="FFFFFF"/>
        </w:rPr>
        <w:t>09</w:t>
      </w:r>
      <w:r>
        <w:rPr>
          <w:rFonts w:hint="eastAsia" w:ascii="宋体" w:hAnsi="宋体" w:eastAsia="宋体" w:cs="宋体"/>
          <w:i w:val="0"/>
          <w:iCs w:val="0"/>
          <w:caps w:val="0"/>
          <w:color w:val="333333"/>
          <w:spacing w:val="0"/>
          <w:sz w:val="24"/>
          <w:szCs w:val="24"/>
          <w:shd w:val="clear" w:fill="FFFFFF"/>
          <w:lang w:val="en-US" w:eastAsia="zh-CN"/>
        </w:rPr>
        <w:t>月03日</w:t>
      </w:r>
      <w:r>
        <w:rPr>
          <w:rFonts w:hint="eastAsia" w:ascii="宋体" w:hAnsi="宋体" w:eastAsia="宋体" w:cs="宋体"/>
          <w:i w:val="0"/>
          <w:iCs w:val="0"/>
          <w:caps w:val="0"/>
          <w:color w:val="333333"/>
          <w:spacing w:val="0"/>
          <w:sz w:val="24"/>
          <w:szCs w:val="24"/>
          <w:shd w:val="clear" w:fill="FFFFFF"/>
        </w:rPr>
        <w:t>至2024</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ascii="宋体" w:hAnsi="宋体" w:eastAsia="宋体" w:cs="宋体"/>
          <w:i w:val="0"/>
          <w:iCs w:val="0"/>
          <w:caps w:val="0"/>
          <w:color w:val="333333"/>
          <w:spacing w:val="0"/>
          <w:sz w:val="24"/>
          <w:szCs w:val="24"/>
          <w:shd w:val="clear" w:fill="FFFFFF"/>
        </w:rPr>
        <w:t>09</w:t>
      </w:r>
      <w:r>
        <w:rPr>
          <w:rFonts w:hint="eastAsia" w:ascii="宋体" w:hAnsi="宋体" w:eastAsia="宋体" w:cs="宋体"/>
          <w:i w:val="0"/>
          <w:iCs w:val="0"/>
          <w:caps w:val="0"/>
          <w:color w:val="333333"/>
          <w:spacing w:val="0"/>
          <w:sz w:val="24"/>
          <w:szCs w:val="24"/>
          <w:shd w:val="clear" w:fill="FFFFFF"/>
          <w:lang w:val="en-US" w:eastAsia="zh-CN"/>
        </w:rPr>
        <w:t>月09日</w:t>
      </w:r>
      <w:r>
        <w:rPr>
          <w:rFonts w:hint="eastAsia" w:ascii="宋体" w:hAnsi="宋体" w:eastAsia="宋体" w:cs="宋体"/>
          <w:i w:val="0"/>
          <w:iCs w:val="0"/>
          <w:caps w:val="0"/>
          <w:color w:val="333333"/>
          <w:spacing w:val="0"/>
          <w:sz w:val="24"/>
          <w:szCs w:val="24"/>
          <w:shd w:val="clear" w:fill="FFFFFF"/>
        </w:rPr>
        <w:t>，每天上午0</w:t>
      </w:r>
      <w:r>
        <w:rPr>
          <w:rFonts w:hint="eastAsia" w:ascii="宋体" w:hAnsi="宋体" w:eastAsia="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:00:00至12:00:00，下午1</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:00:00至1</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:00:00（北京时间）</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途径：《全国公共资源交易平台（陕西省·延安市）》</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四、响应文件提交</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截止时间：2024</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ascii="宋体" w:hAnsi="宋体" w:eastAsia="宋体" w:cs="宋体"/>
          <w:i w:val="0"/>
          <w:iCs w:val="0"/>
          <w:caps w:val="0"/>
          <w:color w:val="333333"/>
          <w:spacing w:val="0"/>
          <w:sz w:val="24"/>
          <w:szCs w:val="24"/>
          <w:shd w:val="clear" w:fill="FFFFFF"/>
        </w:rPr>
        <w:t>09</w:t>
      </w:r>
      <w:r>
        <w:rPr>
          <w:rFonts w:hint="eastAsia" w:ascii="宋体" w:hAnsi="宋体" w:eastAsia="宋体" w:cs="宋体"/>
          <w:i w:val="0"/>
          <w:iCs w:val="0"/>
          <w:caps w:val="0"/>
          <w:color w:val="333333"/>
          <w:spacing w:val="0"/>
          <w:sz w:val="24"/>
          <w:szCs w:val="24"/>
          <w:shd w:val="clear" w:fill="FFFFFF"/>
          <w:lang w:val="en-US" w:eastAsia="zh-CN"/>
        </w:rPr>
        <w:t>月</w:t>
      </w:r>
      <w:r>
        <w:rPr>
          <w:rFonts w:hint="eastAsia" w:ascii="宋体" w:hAnsi="宋体" w:eastAsia="宋体" w:cs="宋体"/>
          <w:i w:val="0"/>
          <w:iCs w:val="0"/>
          <w:caps w:val="0"/>
          <w:color w:val="333333"/>
          <w:spacing w:val="0"/>
          <w:sz w:val="24"/>
          <w:szCs w:val="24"/>
          <w:shd w:val="clear" w:fill="FFFFFF"/>
        </w:rPr>
        <w:t>18</w:t>
      </w:r>
      <w:r>
        <w:rPr>
          <w:rFonts w:hint="eastAsia" w:ascii="宋体" w:hAnsi="宋体" w:eastAsia="宋体" w:cs="宋体"/>
          <w:i w:val="0"/>
          <w:iCs w:val="0"/>
          <w:caps w:val="0"/>
          <w:color w:val="333333"/>
          <w:spacing w:val="0"/>
          <w:sz w:val="24"/>
          <w:szCs w:val="24"/>
          <w:shd w:val="clear" w:fill="FFFFFF"/>
          <w:lang w:val="en-US" w:eastAsia="zh-CN"/>
        </w:rPr>
        <w:t>日</w:t>
      </w:r>
      <w:r>
        <w:rPr>
          <w:rFonts w:hint="eastAsia" w:ascii="宋体" w:hAnsi="宋体" w:eastAsia="宋体" w:cs="宋体"/>
          <w:i w:val="0"/>
          <w:iCs w:val="0"/>
          <w:caps w:val="0"/>
          <w:color w:val="333333"/>
          <w:spacing w:val="0"/>
          <w:sz w:val="24"/>
          <w:szCs w:val="24"/>
          <w:shd w:val="clear" w:fill="FFFFFF"/>
        </w:rPr>
        <w:t>14</w:t>
      </w:r>
      <w:r>
        <w:rPr>
          <w:rFonts w:hint="eastAsia" w:ascii="宋体" w:hAnsi="宋体" w:eastAsia="宋体" w:cs="宋体"/>
          <w:i w:val="0"/>
          <w:iCs w:val="0"/>
          <w:caps w:val="0"/>
          <w:color w:val="333333"/>
          <w:spacing w:val="0"/>
          <w:sz w:val="24"/>
          <w:szCs w:val="24"/>
          <w:shd w:val="clear" w:fill="FFFFFF"/>
          <w:lang w:val="en-US" w:eastAsia="zh-CN"/>
        </w:rPr>
        <w:t>时</w:t>
      </w:r>
      <w:r>
        <w:rPr>
          <w:rFonts w:hint="eastAsia" w:ascii="宋体" w:hAnsi="宋体" w:eastAsia="宋体" w:cs="宋体"/>
          <w:i w:val="0"/>
          <w:iCs w:val="0"/>
          <w:caps w:val="0"/>
          <w:color w:val="333333"/>
          <w:spacing w:val="0"/>
          <w:sz w:val="24"/>
          <w:szCs w:val="24"/>
          <w:shd w:val="clear" w:fill="FFFFFF"/>
        </w:rPr>
        <w:t>30</w:t>
      </w:r>
      <w:r>
        <w:rPr>
          <w:rFonts w:hint="eastAsia" w:ascii="宋体" w:hAnsi="宋体" w:eastAsia="宋体" w:cs="宋体"/>
          <w:i w:val="0"/>
          <w:iCs w:val="0"/>
          <w:caps w:val="0"/>
          <w:color w:val="333333"/>
          <w:spacing w:val="0"/>
          <w:sz w:val="24"/>
          <w:szCs w:val="24"/>
          <w:shd w:val="clear" w:fill="FFFFFF"/>
          <w:lang w:val="en-US" w:eastAsia="zh-CN"/>
        </w:rPr>
        <w:t>分</w:t>
      </w:r>
      <w:r>
        <w:rPr>
          <w:rFonts w:hint="eastAsia" w:ascii="宋体" w:hAnsi="宋体" w:eastAsia="宋体" w:cs="宋体"/>
          <w:i w:val="0"/>
          <w:iCs w:val="0"/>
          <w:caps w:val="0"/>
          <w:color w:val="333333"/>
          <w:spacing w:val="0"/>
          <w:sz w:val="24"/>
          <w:szCs w:val="24"/>
          <w:shd w:val="clear" w:fill="FFFFFF"/>
        </w:rPr>
        <w:t>（北京时间）</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地点：延安市公共资源交易中心</w:t>
      </w:r>
      <w:r>
        <w:rPr>
          <w:rFonts w:hint="eastAsia" w:ascii="宋体" w:hAnsi="宋体" w:eastAsia="宋体" w:cs="宋体"/>
          <w:i w:val="0"/>
          <w:iCs w:val="0"/>
          <w:caps w:val="0"/>
          <w:color w:val="333333"/>
          <w:spacing w:val="0"/>
          <w:sz w:val="24"/>
          <w:szCs w:val="24"/>
          <w:shd w:val="clear" w:fill="FFFFFF"/>
          <w:lang w:val="en-US" w:eastAsia="zh-CN"/>
        </w:rPr>
        <w:t>交易一厅洽谈二室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五、开启</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ascii="宋体" w:hAnsi="宋体" w:eastAsia="宋体" w:cs="宋体"/>
          <w:i w:val="0"/>
          <w:iCs w:val="0"/>
          <w:caps w:val="0"/>
          <w:color w:val="333333"/>
          <w:spacing w:val="0"/>
          <w:sz w:val="24"/>
          <w:szCs w:val="24"/>
          <w:shd w:val="clear" w:fill="FFFFFF"/>
        </w:rPr>
        <w:t>09</w:t>
      </w:r>
      <w:r>
        <w:rPr>
          <w:rFonts w:hint="eastAsia" w:ascii="宋体" w:hAnsi="宋体" w:eastAsia="宋体" w:cs="宋体"/>
          <w:i w:val="0"/>
          <w:iCs w:val="0"/>
          <w:caps w:val="0"/>
          <w:color w:val="333333"/>
          <w:spacing w:val="0"/>
          <w:sz w:val="24"/>
          <w:szCs w:val="24"/>
          <w:shd w:val="clear" w:fill="FFFFFF"/>
          <w:lang w:val="en-US" w:eastAsia="zh-CN"/>
        </w:rPr>
        <w:t>月</w:t>
      </w:r>
      <w:r>
        <w:rPr>
          <w:rFonts w:hint="eastAsia" w:ascii="宋体" w:hAnsi="宋体" w:eastAsia="宋体" w:cs="宋体"/>
          <w:i w:val="0"/>
          <w:iCs w:val="0"/>
          <w:caps w:val="0"/>
          <w:color w:val="333333"/>
          <w:spacing w:val="0"/>
          <w:sz w:val="24"/>
          <w:szCs w:val="24"/>
          <w:shd w:val="clear" w:fill="FFFFFF"/>
        </w:rPr>
        <w:t>18</w:t>
      </w:r>
      <w:r>
        <w:rPr>
          <w:rFonts w:hint="eastAsia" w:ascii="宋体" w:hAnsi="宋体" w:eastAsia="宋体" w:cs="宋体"/>
          <w:i w:val="0"/>
          <w:iCs w:val="0"/>
          <w:caps w:val="0"/>
          <w:color w:val="333333"/>
          <w:spacing w:val="0"/>
          <w:sz w:val="24"/>
          <w:szCs w:val="24"/>
          <w:shd w:val="clear" w:fill="FFFFFF"/>
          <w:lang w:val="en-US" w:eastAsia="zh-CN"/>
        </w:rPr>
        <w:t>日</w:t>
      </w:r>
      <w:r>
        <w:rPr>
          <w:rFonts w:hint="eastAsia" w:ascii="宋体" w:hAnsi="宋体" w:eastAsia="宋体" w:cs="宋体"/>
          <w:i w:val="0"/>
          <w:iCs w:val="0"/>
          <w:caps w:val="0"/>
          <w:color w:val="333333"/>
          <w:spacing w:val="0"/>
          <w:sz w:val="24"/>
          <w:szCs w:val="24"/>
          <w:shd w:val="clear" w:fill="FFFFFF"/>
        </w:rPr>
        <w:t>14</w:t>
      </w:r>
      <w:r>
        <w:rPr>
          <w:rFonts w:hint="eastAsia" w:ascii="宋体" w:hAnsi="宋体" w:eastAsia="宋体" w:cs="宋体"/>
          <w:i w:val="0"/>
          <w:iCs w:val="0"/>
          <w:caps w:val="0"/>
          <w:color w:val="333333"/>
          <w:spacing w:val="0"/>
          <w:sz w:val="24"/>
          <w:szCs w:val="24"/>
          <w:shd w:val="clear" w:fill="FFFFFF"/>
          <w:lang w:val="en-US" w:eastAsia="zh-CN"/>
        </w:rPr>
        <w:t>时</w:t>
      </w:r>
      <w:r>
        <w:rPr>
          <w:rFonts w:hint="eastAsia" w:ascii="宋体" w:hAnsi="宋体" w:eastAsia="宋体" w:cs="宋体"/>
          <w:i w:val="0"/>
          <w:iCs w:val="0"/>
          <w:caps w:val="0"/>
          <w:color w:val="333333"/>
          <w:spacing w:val="0"/>
          <w:sz w:val="24"/>
          <w:szCs w:val="24"/>
          <w:shd w:val="clear" w:fill="FFFFFF"/>
        </w:rPr>
        <w:t>30</w:t>
      </w:r>
      <w:r>
        <w:rPr>
          <w:rFonts w:hint="eastAsia" w:ascii="宋体" w:hAnsi="宋体" w:eastAsia="宋体" w:cs="宋体"/>
          <w:i w:val="0"/>
          <w:iCs w:val="0"/>
          <w:caps w:val="0"/>
          <w:color w:val="333333"/>
          <w:spacing w:val="0"/>
          <w:sz w:val="24"/>
          <w:szCs w:val="24"/>
          <w:shd w:val="clear" w:fill="FFFFFF"/>
          <w:lang w:val="en-US" w:eastAsia="zh-CN"/>
        </w:rPr>
        <w:t>分</w:t>
      </w:r>
      <w:r>
        <w:rPr>
          <w:rFonts w:hint="eastAsia" w:ascii="宋体" w:hAnsi="宋体" w:eastAsia="宋体" w:cs="宋体"/>
          <w:i w:val="0"/>
          <w:iCs w:val="0"/>
          <w:caps w:val="0"/>
          <w:color w:val="333333"/>
          <w:spacing w:val="0"/>
          <w:sz w:val="24"/>
          <w:szCs w:val="24"/>
          <w:shd w:val="clear" w:fill="FFFFFF"/>
        </w:rPr>
        <w:t>（北京时间）</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地点：延安市公共资源交易中心</w:t>
      </w:r>
      <w:r>
        <w:rPr>
          <w:rFonts w:hint="eastAsia" w:ascii="宋体" w:hAnsi="宋体" w:eastAsia="宋体" w:cs="宋体"/>
          <w:i w:val="0"/>
          <w:iCs w:val="0"/>
          <w:caps w:val="0"/>
          <w:color w:val="333333"/>
          <w:spacing w:val="0"/>
          <w:sz w:val="24"/>
          <w:szCs w:val="24"/>
          <w:shd w:val="clear" w:fill="FFFFFF"/>
          <w:lang w:val="en-US" w:eastAsia="zh-CN"/>
        </w:rPr>
        <w:t>交易一厅洽谈二室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六、公告期限</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七、其他补充事宜</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1、请供应商按照陕西省财政厅关于政府采购供应商注册登记有关事项的通知中的要求，通过陕西省政府采购网注册登记加入陕西省政府采购供应商库；</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投标人须完成数字认证证书（CA锁）办理（包括法人锁、主锁、副锁）及信息绑定。数字认证证书（CA锁）办理地址：延安市新区为民服务中心7号楼2楼B205室，CA锁企业信息绑定在1号服务窗口（7号楼2楼大厅）办理；</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4、下载文件：供应商登录“全国公共资源交易平台（陕西省·延安市）延安市公共资源交易中心 ”，选择“交易乙方”身份进入供应商界面下载采购文件；</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5、本项目采用电子化投标的方式，相关操作流程详见全国公共资源交易平台（陕西省）网站[服务指南-下载专区]中的《陕西省公共资源交易中心政府采购项目投标指南》；</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6、本次公告同时在《陕西省政府采购网》和《全国公共资源交易平台（陕西省·延安市）》上发布；</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7、本项目不专门面向中小企业采购；</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8、本项目采用线上不见面形式解密；</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9、公告期限：</w:t>
      </w:r>
      <w:r>
        <w:rPr>
          <w:rFonts w:hint="eastAsia" w:ascii="宋体" w:hAnsi="宋体" w:eastAsia="宋体" w:cs="宋体"/>
          <w:i w:val="0"/>
          <w:iCs w:val="0"/>
          <w:caps w:val="0"/>
          <w:color w:val="000000"/>
          <w:spacing w:val="0"/>
          <w:sz w:val="24"/>
          <w:szCs w:val="24"/>
          <w:shd w:val="clear" w:fill="FFFFFF"/>
        </w:rPr>
        <w:t>自本公告发布之日起5个工作日。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37"/>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名称：延安市煤矿安全生产监测监控中心</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地址：延安市宝塔区杨家湾路109号</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联系方式：0911-2329500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名称：陕西悦荣项目管理有限公司</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地址：延安市新区鲁艺三号苑24号楼1单元1101室</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联系方式：17309114663</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项目联系人：高工</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电话：17309114663</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陕西悦荣项目管理有限公司</w:t>
      </w:r>
    </w:p>
    <w:p>
      <w:pPr>
        <w:rPr>
          <w:rFonts w:hint="eastAsia" w:ascii="宋体" w:hAnsi="宋体" w:eastAsia="宋体" w:cs="宋体"/>
          <w:sz w:val="22"/>
          <w:szCs w:val="24"/>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4"/>
        <w:wordWrap/>
        <w:rPr>
          <w:rFonts w:hint="eastAsia" w:ascii="宋体" w:hAnsi="宋体" w:eastAsia="宋体" w:cs="宋体"/>
          <w:b w:val="0"/>
          <w:color w:val="000000"/>
          <w:kern w:val="2"/>
          <w:sz w:val="24"/>
          <w:szCs w:val="24"/>
          <w:lang w:val="en-US" w:eastAsia="zh-CN" w:bidi="ar-SA"/>
        </w:rPr>
      </w:pPr>
    </w:p>
    <w:p>
      <w:pPr>
        <w:pStyle w:val="2"/>
        <w:jc w:val="center"/>
        <w:rPr>
          <w:rFonts w:hint="eastAsia" w:ascii="宋体" w:hAnsi="宋体" w:eastAsia="宋体" w:cs="宋体"/>
          <w:b w:val="0"/>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第二章 供应商须知</w:t>
      </w:r>
      <w:bookmarkEnd w:id="4"/>
      <w:bookmarkEnd w:id="5"/>
    </w:p>
    <w:p>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6" w:name="_Toc420591642"/>
      <w:bookmarkStart w:id="7" w:name="_Toc500323094"/>
      <w:bookmarkStart w:id="8" w:name="_Toc421778364"/>
      <w:bookmarkStart w:id="9" w:name="_Toc15103"/>
      <w:bookmarkStart w:id="10" w:name="_Toc526842682"/>
      <w:r>
        <w:rPr>
          <w:rFonts w:hint="eastAsia" w:ascii="宋体" w:hAnsi="宋体" w:eastAsia="宋体" w:cs="宋体"/>
          <w:b/>
          <w:color w:val="000000" w:themeColor="text1"/>
          <w:sz w:val="28"/>
          <w14:textFill>
            <w14:solidFill>
              <w14:schemeClr w14:val="tx1"/>
            </w14:solidFill>
          </w14:textFill>
        </w:rPr>
        <w:t>供应商须知前附表</w:t>
      </w:r>
      <w:bookmarkEnd w:id="6"/>
      <w:bookmarkEnd w:id="7"/>
      <w:bookmarkEnd w:id="8"/>
      <w:bookmarkEnd w:id="9"/>
      <w:bookmarkEnd w:id="10"/>
    </w:p>
    <w:tbl>
      <w:tblPr>
        <w:tblStyle w:val="3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87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采购人名称：延安市煤矿安全生产监测监控中心</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地址：延安市宝塔区杨家湾路109号</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联系人：宜主任   </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联系方式：0911-2329500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采购代理机构：陕西悦荣项目管理有限公司</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地址：延安市新区鲁艺三号苑24号楼1单元1101室</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联系人：高女士              </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联系方式：17309114663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延安市煤矿安全生产监测监控中心煤矿安全生产监测监控系统平台网络专线租赁项目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延安市煤矿安全生产监测监控中心煤矿安全生产监测监控系统平台网络专线租赁项目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1.3.2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一年</w:t>
            </w:r>
            <w:r>
              <w:rPr>
                <w:rFonts w:hint="eastAsia" w:ascii="宋体" w:hAnsi="宋体" w:eastAsia="宋体" w:cs="宋体"/>
                <w:color w:val="000000"/>
                <w:sz w:val="24"/>
                <w:szCs w:val="24"/>
                <w:lang w:eastAsia="zh-CN"/>
              </w:rPr>
              <w:t>(具体服务起止日期可按合同约定的时间执行)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1.具有独立承担民事责任能力的法人或其他组织，提供合法有效的统一社会信用代码的营业执照（含年度报告）；</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2.法定代表人（负责人）授权书（附法定代表人身份证复印件）及被授权人身份证（法定代表人（负责人）直接参加磋商只须提供法定代表人身份证）；</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3.税收缴纳证明：提供本年度已缴纳的至少连续 3 个月的纳税证明或完税证明，依法免税的单位应提供相关证明材料；</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5.财务状况报告：提供2022年度或2023年的财务审计报告(成立时间至提交投标文件截止时间不足一年的成立后任意时段的资产负债表或提供开标日期前 3 个月内其基本开户银行出具的资信证明）；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6.供应商应出具参加政府采购活动前 3 年内在经营活动中没有重大违法记录的书面声明；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8.单位负责人为同一人或者存在直接控股、管理关系的不同供应商，不得参加同一合同项下的政府采购活动；</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9.提供磋商保证金的银行转账或电汇凭证并确保响应文件递交截止时间前到达采购文件指定账户；</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bookmarkStart w:id="11"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99078451@qq.com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，采购人和代理机构负责做出统一解答和必要澄清后，以书面的《答疑纪要》发送各供应商</w:t>
            </w:r>
            <w:bookmarkEnd w:id="11"/>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99078451@qq.com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rPr>
            </w:pPr>
            <w:r>
              <w:rPr>
                <w:rFonts w:hint="eastAsia" w:ascii="宋体" w:hAnsi="宋体" w:eastAsia="宋体" w:cs="宋体"/>
                <w:kern w:val="2"/>
                <w:sz w:val="24"/>
                <w:szCs w:val="24"/>
              </w:rPr>
              <w:t>2024</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rPr>
              <w:t>09</w:t>
            </w:r>
            <w:r>
              <w:rPr>
                <w:rFonts w:hint="eastAsia" w:ascii="宋体" w:hAnsi="宋体" w:eastAsia="宋体" w:cs="宋体"/>
                <w:kern w:val="2"/>
                <w:sz w:val="24"/>
                <w:szCs w:val="24"/>
                <w:lang w:val="en-US" w:eastAsia="zh-CN"/>
              </w:rPr>
              <w:t>月</w:t>
            </w:r>
            <w:r>
              <w:rPr>
                <w:rFonts w:hint="eastAsia" w:ascii="宋体" w:hAnsi="宋体" w:eastAsia="宋体" w:cs="宋体"/>
                <w:kern w:val="2"/>
                <w:sz w:val="24"/>
                <w:szCs w:val="24"/>
              </w:rPr>
              <w:t>18</w:t>
            </w:r>
            <w:r>
              <w:rPr>
                <w:rFonts w:hint="eastAsia" w:ascii="宋体" w:hAnsi="宋体" w:eastAsia="宋体" w:cs="宋体"/>
                <w:kern w:val="2"/>
                <w:sz w:val="24"/>
                <w:szCs w:val="24"/>
                <w:lang w:val="en-US" w:eastAsia="zh-CN"/>
              </w:rPr>
              <w:t>日</w:t>
            </w:r>
            <w:r>
              <w:rPr>
                <w:rFonts w:hint="eastAsia" w:ascii="宋体" w:hAnsi="宋体" w:eastAsia="宋体" w:cs="宋体"/>
                <w:kern w:val="2"/>
                <w:sz w:val="24"/>
                <w:szCs w:val="24"/>
              </w:rPr>
              <w:t>14</w:t>
            </w:r>
            <w:r>
              <w:rPr>
                <w:rFonts w:hint="eastAsia" w:ascii="宋体" w:hAnsi="宋体" w:eastAsia="宋体" w:cs="宋体"/>
                <w:kern w:val="2"/>
                <w:sz w:val="24"/>
                <w:szCs w:val="24"/>
                <w:lang w:val="en-US" w:eastAsia="zh-CN"/>
              </w:rPr>
              <w:t>时</w:t>
            </w:r>
            <w:r>
              <w:rPr>
                <w:rFonts w:hint="eastAsia" w:ascii="宋体" w:hAnsi="宋体" w:eastAsia="宋体" w:cs="宋体"/>
                <w:kern w:val="2"/>
                <w:sz w:val="24"/>
                <w:szCs w:val="24"/>
              </w:rPr>
              <w:t>30分</w:t>
            </w:r>
            <w:bookmarkStart w:id="292" w:name="_GoBack"/>
            <w:bookmarkEnd w:id="2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￥：1000.00元整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形式：银行转账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符合陕西省财政厅陕财办采资〔2013〕5号文件规定的磋商担保函。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重要提示：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保证金不接受现金或支票形式。供应商转账、电汇凭证请打印或者复印后，装订在磋商响应文件资格部分正本中，提供磋商担保函的请将原件密封至磋商响应文件资格部分正本中，所有副本中均应附有磋商保证金的复印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2、转账、汇款时必须写明项目编号、项目名称（简称也可）和磋商保证金字样，便于</w:t>
            </w:r>
            <w:r>
              <w:rPr>
                <w:rFonts w:hint="eastAsia" w:ascii="宋体" w:hAnsi="宋体" w:eastAsia="宋体" w:cs="宋体"/>
                <w:color w:val="auto"/>
                <w:sz w:val="24"/>
                <w:szCs w:val="24"/>
                <w:highlight w:val="none"/>
                <w:lang w:val="en-US" w:eastAsia="zh-CN"/>
              </w:rPr>
              <w:t>陕西悦荣项目管理有限公司</w:t>
            </w:r>
            <w:r>
              <w:rPr>
                <w:rFonts w:hint="eastAsia" w:ascii="宋体" w:hAnsi="宋体" w:eastAsia="宋体" w:cs="宋体"/>
                <w:color w:val="auto"/>
                <w:sz w:val="24"/>
                <w:szCs w:val="24"/>
                <w:highlight w:val="none"/>
              </w:rPr>
              <w:t>财务部查询登记。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交纳办法和交纳时间：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磋商保证金必须在提交首次响应文件截止时间之前交纳至以下账户：</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val="en-US" w:eastAsia="zh-CN"/>
              </w:rPr>
              <w:t>陕西悦荣项目管理有限公司</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 xml:space="preserve">61050168920000001079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000000" w:themeColor="text1"/>
                <w:sz w:val="24"/>
                <w:szCs w:val="24"/>
                <w:lang w:val="en-US" w:eastAsia="zh-CN"/>
                <w14:textFill>
                  <w14:solidFill>
                    <w14:schemeClr w14:val="tx1"/>
                  </w14:solidFill>
                </w14:textFill>
              </w:rPr>
              <w:t>国建设银行股份有限公司延安迎宾路支行</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重要提示：磋商保证金必须在提交首次响应文件截止时间之前交纳方为有效。请供应商考虑资金在银行之间的转账要求和时间成本，确保在提交首次响应文件截止时间之前</w:t>
            </w:r>
            <w:r>
              <w:rPr>
                <w:rFonts w:hint="eastAsia" w:ascii="宋体" w:hAnsi="宋体" w:eastAsia="宋体" w:cs="宋体"/>
                <w:color w:val="000000" w:themeColor="text1"/>
                <w:sz w:val="24"/>
                <w:szCs w:val="24"/>
                <w:lang w:val="en-US" w:eastAsia="zh-CN"/>
                <w14:textFill>
                  <w14:solidFill>
                    <w14:schemeClr w14:val="tx1"/>
                  </w14:solidFill>
                </w14:textFill>
              </w:rPr>
              <w:t>陕西悦荣项目管理有限公司</w:t>
            </w:r>
            <w:r>
              <w:rPr>
                <w:rFonts w:hint="eastAsia" w:ascii="宋体" w:hAnsi="宋体" w:eastAsia="宋体" w:cs="宋体"/>
                <w:color w:val="000000" w:themeColor="text1"/>
                <w:sz w:val="24"/>
                <w:szCs w:val="24"/>
                <w:lang w:eastAsia="zh-CN"/>
                <w14:textFill>
                  <w14:solidFill>
                    <w14:schemeClr w14:val="tx1"/>
                  </w14:solidFill>
                </w14:textFill>
              </w:rPr>
              <w:t>上述指定的账户能收到所交的磋商保证金，如果在提交首次响应文件截止时间</w:t>
            </w:r>
            <w:r>
              <w:rPr>
                <w:rFonts w:hint="eastAsia" w:ascii="宋体" w:hAnsi="宋体" w:eastAsia="宋体" w:cs="宋体"/>
                <w:color w:val="000000" w:themeColor="text1"/>
                <w:sz w:val="24"/>
                <w:szCs w:val="24"/>
                <w:lang w:val="en-US" w:eastAsia="zh-CN"/>
                <w14:textFill>
                  <w14:solidFill>
                    <w14:schemeClr w14:val="tx1"/>
                  </w14:solidFill>
                </w14:textFill>
              </w:rPr>
              <w:t>陕西悦荣项目管理有限公司</w:t>
            </w:r>
            <w:r>
              <w:rPr>
                <w:rFonts w:hint="eastAsia" w:ascii="宋体" w:hAnsi="宋体" w:eastAsia="宋体" w:cs="宋体"/>
                <w:color w:val="000000" w:themeColor="text1"/>
                <w:sz w:val="24"/>
                <w:szCs w:val="24"/>
                <w:lang w:eastAsia="zh-CN"/>
                <w14:textFill>
                  <w14:solidFill>
                    <w14:schemeClr w14:val="tx1"/>
                  </w14:solidFill>
                </w14:textFill>
              </w:rPr>
              <w:t>上述账户未能收到磋商保证金，则该响应文件按照无效处理。</w:t>
            </w:r>
          </w:p>
          <w:p>
            <w:pPr>
              <w:spacing w:line="360" w:lineRule="auto"/>
              <w:jc w:val="left"/>
              <w:rPr>
                <w:rFonts w:hint="eastAsia" w:ascii="宋体" w:hAnsi="宋体" w:eastAsia="宋体" w:cs="宋体"/>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参加磋商的供应商在缴纳保证金及成交供应商缴纳履约保证金时可自愿选择通过担保机构保函的形式缴纳；供应商如果需要融资贷款服务的，可凭成交通知书、政府采购合同等相关资料，按照文件规定的程序申请办理，具体规定可登陆陕西省政府采购网(www.ccgp-shaanxi.gov.cn/)重要通知专栏中查询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响应文件正、副本必须逐页加盖公章并经法定代表人或其委托代理人</w:t>
            </w:r>
            <w:r>
              <w:rPr>
                <w:rFonts w:hint="eastAsia" w:ascii="宋体" w:hAnsi="宋体" w:eastAsia="宋体" w:cs="宋体"/>
                <w:color w:val="000000"/>
                <w:sz w:val="24"/>
                <w:szCs w:val="24"/>
                <w:lang w:eastAsia="zh-CN"/>
              </w:rPr>
              <w:t>在指定页面</w:t>
            </w:r>
            <w:r>
              <w:rPr>
                <w:rFonts w:hint="eastAsia" w:ascii="宋体" w:hAnsi="宋体" w:eastAsia="宋体" w:cs="宋体"/>
                <w:color w:val="000000"/>
                <w:sz w:val="24"/>
                <w:szCs w:val="24"/>
              </w:rPr>
              <w:t>签字或盖章</w:t>
            </w:r>
            <w:r>
              <w:rPr>
                <w:rFonts w:hint="eastAsia" w:ascii="宋体" w:hAnsi="宋体" w:eastAsia="宋体" w:cs="宋体"/>
                <w:color w:val="000000" w:themeColor="text1"/>
                <w:sz w:val="24"/>
                <w:szCs w:val="24"/>
                <w14:textFill>
                  <w14:solidFill>
                    <w14:schemeClr w14:val="tx1"/>
                  </w14:solidFill>
                </w14:textFill>
              </w:rPr>
              <w:t>。由委托代理人签字或盖章的在响应文件中须同时提交响应文件签署授权委托书。除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供应商对错误处须修改外，全套响应文件应无涂改或行间插字和增删。如有修改，修改处应由</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供应商加盖单位公章或由公司法人或授权代理签字或盖章。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eastAsia="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Word和PDF各叁份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rPr>
              <w:t>）</w:t>
            </w:r>
          </w:p>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pPr>
              <w:widowControl w:val="0"/>
              <w:numPr>
                <w:ilvl w:val="0"/>
                <w:numId w:val="2"/>
              </w:numPr>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rPr>
              <w:t>在2024</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rPr>
              <w:t>09</w:t>
            </w:r>
            <w:r>
              <w:rPr>
                <w:rFonts w:hint="eastAsia" w:ascii="宋体" w:hAnsi="宋体" w:eastAsia="宋体" w:cs="宋体"/>
                <w:kern w:val="2"/>
                <w:sz w:val="24"/>
                <w:szCs w:val="24"/>
                <w:lang w:val="en-US" w:eastAsia="zh-CN"/>
              </w:rPr>
              <w:t>月</w:t>
            </w:r>
            <w:r>
              <w:rPr>
                <w:rFonts w:hint="eastAsia" w:ascii="宋体" w:hAnsi="宋体" w:eastAsia="宋体" w:cs="宋体"/>
                <w:kern w:val="2"/>
                <w:sz w:val="24"/>
                <w:szCs w:val="24"/>
              </w:rPr>
              <w:t>18</w:t>
            </w:r>
            <w:r>
              <w:rPr>
                <w:rFonts w:hint="eastAsia" w:ascii="宋体" w:hAnsi="宋体" w:eastAsia="宋体" w:cs="宋体"/>
                <w:kern w:val="2"/>
                <w:sz w:val="24"/>
                <w:szCs w:val="24"/>
                <w:lang w:val="en-US" w:eastAsia="zh-CN"/>
              </w:rPr>
              <w:t>日</w:t>
            </w:r>
            <w:r>
              <w:rPr>
                <w:rFonts w:hint="eastAsia" w:ascii="宋体" w:hAnsi="宋体" w:eastAsia="宋体" w:cs="宋体"/>
                <w:kern w:val="2"/>
                <w:sz w:val="24"/>
                <w:szCs w:val="24"/>
              </w:rPr>
              <w:t>14</w:t>
            </w:r>
            <w:r>
              <w:rPr>
                <w:rFonts w:hint="eastAsia" w:ascii="宋体" w:hAnsi="宋体" w:eastAsia="宋体" w:cs="宋体"/>
                <w:kern w:val="2"/>
                <w:sz w:val="24"/>
                <w:szCs w:val="24"/>
                <w:lang w:val="en-US" w:eastAsia="zh-CN"/>
              </w:rPr>
              <w:t>时</w:t>
            </w:r>
            <w:r>
              <w:rPr>
                <w:rFonts w:hint="eastAsia" w:ascii="宋体" w:hAnsi="宋体" w:eastAsia="宋体" w:cs="宋体"/>
                <w:kern w:val="2"/>
                <w:sz w:val="24"/>
                <w:szCs w:val="24"/>
              </w:rPr>
              <w:t>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kern w:val="2"/>
                <w:sz w:val="24"/>
                <w:szCs w:val="24"/>
                <w:lang w:val="en-US" w:eastAsia="zh-CN"/>
              </w:rPr>
              <w:t>延安市公共资源交易中心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磋商时间</w:t>
            </w:r>
            <w:r>
              <w:rPr>
                <w:rFonts w:hint="eastAsia" w:ascii="宋体" w:hAnsi="宋体" w:eastAsia="宋体" w:cs="宋体"/>
                <w:kern w:val="2"/>
                <w:sz w:val="24"/>
                <w:szCs w:val="24"/>
              </w:rPr>
              <w:t>：2024</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rPr>
              <w:t>09</w:t>
            </w:r>
            <w:r>
              <w:rPr>
                <w:rFonts w:hint="eastAsia" w:ascii="宋体" w:hAnsi="宋体" w:eastAsia="宋体" w:cs="宋体"/>
                <w:kern w:val="2"/>
                <w:sz w:val="24"/>
                <w:szCs w:val="24"/>
                <w:lang w:val="en-US" w:eastAsia="zh-CN"/>
              </w:rPr>
              <w:t>月</w:t>
            </w:r>
            <w:r>
              <w:rPr>
                <w:rFonts w:hint="eastAsia" w:ascii="宋体" w:hAnsi="宋体" w:eastAsia="宋体" w:cs="宋体"/>
                <w:kern w:val="2"/>
                <w:sz w:val="24"/>
                <w:szCs w:val="24"/>
              </w:rPr>
              <w:t>18</w:t>
            </w:r>
            <w:r>
              <w:rPr>
                <w:rFonts w:hint="eastAsia" w:ascii="宋体" w:hAnsi="宋体" w:eastAsia="宋体" w:cs="宋体"/>
                <w:kern w:val="2"/>
                <w:sz w:val="24"/>
                <w:szCs w:val="24"/>
                <w:lang w:val="en-US" w:eastAsia="zh-CN"/>
              </w:rPr>
              <w:t>日</w:t>
            </w:r>
            <w:r>
              <w:rPr>
                <w:rFonts w:hint="eastAsia" w:ascii="宋体" w:hAnsi="宋体" w:eastAsia="宋体" w:cs="宋体"/>
                <w:kern w:val="2"/>
                <w:sz w:val="24"/>
                <w:szCs w:val="24"/>
              </w:rPr>
              <w:t>14</w:t>
            </w:r>
            <w:r>
              <w:rPr>
                <w:rFonts w:hint="eastAsia" w:ascii="宋体" w:hAnsi="宋体" w:eastAsia="宋体" w:cs="宋体"/>
                <w:kern w:val="2"/>
                <w:sz w:val="24"/>
                <w:szCs w:val="24"/>
                <w:lang w:val="en-US" w:eastAsia="zh-CN"/>
              </w:rPr>
              <w:t>时</w:t>
            </w:r>
            <w:r>
              <w:rPr>
                <w:rFonts w:hint="eastAsia" w:ascii="宋体" w:hAnsi="宋体" w:eastAsia="宋体" w:cs="宋体"/>
                <w:kern w:val="2"/>
                <w:sz w:val="24"/>
                <w:szCs w:val="24"/>
              </w:rPr>
              <w:t>30</w:t>
            </w:r>
            <w:r>
              <w:rPr>
                <w:rFonts w:hint="eastAsia" w:ascii="宋体" w:hAnsi="宋体" w:eastAsia="宋体" w:cs="宋体"/>
                <w:kern w:val="2"/>
                <w:sz w:val="24"/>
                <w:szCs w:val="24"/>
                <w:lang w:val="en-US" w:eastAsia="zh-CN"/>
              </w:rPr>
              <w:t>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磋商地点：</w:t>
            </w:r>
            <w:r>
              <w:rPr>
                <w:rFonts w:hint="eastAsia" w:ascii="宋体" w:hAnsi="宋体" w:eastAsia="宋体" w:cs="宋体"/>
                <w:color w:val="auto"/>
                <w:kern w:val="2"/>
                <w:sz w:val="24"/>
                <w:szCs w:val="24"/>
                <w:lang w:val="en-US" w:eastAsia="zh-CN"/>
              </w:rPr>
              <w:t>延安市公共资源交易中心交易一厅洽谈二室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具有独立承担民事责任能力的法人或其他组织，提供合法有效的统一社会信用代码的营业执照（含年度报告）；</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2.法定代表人（负责人）授权书（附法定代表人身份证复印件）及被授权人身份证（法定代表人（负责人）直接参加磋商只须提供法定代表人身份证）；</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3.税收缴纳证明：提供本年度已缴纳的至少连续 3 个月的纳税证明或完税证明，依法免税的单位应提供相关证明材料；</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5.财务状况报告：提供2022年度或2023年的财务审计报告(成立时间至提交投标文件截止时间不足一年的成立后任意时段的资产负债表或提供开标日期前 3 个月内其基本开户银行出具的资信证明）；</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6.供应商应出具参加政府采购活动前 3 年内在经营活动中没有重大违法记录的书面声明；</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8.单位负责人为同一人或者存在直接控股、管理关系的不同供应商，不得参加同一合同项下的政府采购活动；</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9.提供磋商保证金的银行转账或电汇凭证并确保响应文件递交截止时间前到达采购文件指定账户；</w:t>
            </w:r>
          </w:p>
          <w:p>
            <w:pPr>
              <w:numPr>
                <w:ilvl w:val="0"/>
                <w:numId w:val="3"/>
              </w:numPr>
              <w:autoSpaceDE w:val="0"/>
              <w:autoSpaceDN w:val="0"/>
              <w:adjustRightInd w:val="0"/>
              <w:spacing w:line="360" w:lineRule="auto"/>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10.本项目不接受联合体磋商。</w:t>
            </w:r>
          </w:p>
          <w:p>
            <w:pPr>
              <w:numPr>
                <w:ilvl w:val="0"/>
                <w:numId w:val="3"/>
              </w:numPr>
              <w:autoSpaceDE w:val="0"/>
              <w:autoSpaceDN w:val="0"/>
              <w:adjustRightInd w:val="0"/>
              <w:spacing w:line="360" w:lineRule="auto"/>
              <w:ind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以上资格证明文件为供应商的必备文件，开标当天，请将上述资格证明文件复印件胶装加盖公章同</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文件一起单独密封递交（密封要求同</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文件），以便对其磋商资格进行审查。有给定格式的需按照</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文件给定格式提供，原件备查，未提供按无效响应处理。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1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rPr>
              <w:t>10</w:t>
            </w:r>
          </w:p>
        </w:tc>
        <w:tc>
          <w:tcPr>
            <w:tcW w:w="924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kern w:val="2"/>
                <w:sz w:val="24"/>
                <w:szCs w:val="24"/>
                <w:lang w:val="en-US" w:eastAsia="zh-CN"/>
              </w:rPr>
            </w:pPr>
            <w:r>
              <w:rPr>
                <w:rFonts w:hint="eastAsia" w:ascii="宋体" w:hAnsi="宋体" w:eastAsia="宋体" w:cs="宋体"/>
                <w:color w:val="auto"/>
                <w:sz w:val="24"/>
                <w:szCs w:val="24"/>
                <w:lang w:val="en-US" w:eastAsia="zh-CN"/>
              </w:rPr>
              <w:t>20</w:t>
            </w:r>
          </w:p>
        </w:tc>
        <w:tc>
          <w:tcPr>
            <w:tcW w:w="924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①支持中小企业：</w:t>
            </w:r>
            <w:r>
              <w:rPr>
                <w:rFonts w:hint="eastAsia" w:ascii="宋体" w:hAnsi="宋体" w:eastAsia="宋体" w:cs="宋体"/>
                <w:color w:val="auto"/>
                <w:sz w:val="24"/>
                <w:lang w:val="en-US" w:eastAsia="zh-CN"/>
              </w:rPr>
              <w:t>本项目不专门面向中小企业采购，执行价格分扣除。（监狱企业可视同小微企业），小微企业报价予以6%的扣除。享受扶持政策获得政府采购合同的，小微企业不得将合同分包给大中型企业，中型企业不得将合同分包给大型企业。</w:t>
            </w:r>
          </w:p>
          <w:p>
            <w:pPr>
              <w:spacing w:line="460" w:lineRule="exact"/>
              <w:jc w:val="both"/>
              <w:rPr>
                <w:rFonts w:hint="eastAsia" w:ascii="宋体" w:hAnsi="宋体" w:eastAsia="宋体" w:cs="宋体"/>
                <w:color w:val="000000"/>
                <w:sz w:val="24"/>
                <w:szCs w:val="24"/>
              </w:rPr>
            </w:pPr>
            <w:r>
              <w:rPr>
                <w:rFonts w:hint="eastAsia" w:ascii="宋体" w:hAnsi="宋体" w:eastAsia="宋体" w:cs="宋体"/>
                <w:color w:val="auto"/>
                <w:sz w:val="24"/>
                <w:lang w:val="en-US" w:eastAsia="zh-CN"/>
              </w:rPr>
              <w:t>②采购标的对应的中小企业划分标准所属行业：信息传输业。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eastAsia="zh-CN"/>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落实政府采购信用融资政策：</w:t>
            </w:r>
          </w:p>
          <w:p>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陕西省财政厅关于印发《陕西省中小企业政府采购信用融资办法》（陕财办采〔2018〕23号）</w:t>
            </w:r>
          </w:p>
          <w:p>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p>
          <w:p>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网址：http://www.ccgp-shaanxi.gov.cn/zcdservice/zcd/shanxi/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pPr>
        <w:spacing w:line="360" w:lineRule="auto"/>
        <w:jc w:val="left"/>
        <w:rPr>
          <w:rFonts w:hint="eastAsia" w:ascii="宋体" w:hAnsi="宋体" w:eastAsia="宋体" w:cs="宋体"/>
          <w:color w:val="000000" w:themeColor="text1"/>
          <w14:textFill>
            <w14:solidFill>
              <w14:schemeClr w14:val="tx1"/>
            </w14:solidFill>
          </w14:textFill>
        </w:rPr>
        <w:sectPr>
          <w:footerReference r:id="rId10" w:type="first"/>
          <w:footerReference r:id="rId9" w:type="default"/>
          <w:pgSz w:w="11906" w:h="16838"/>
          <w:pgMar w:top="1440" w:right="1440" w:bottom="1440" w:left="1440" w:header="851" w:footer="992" w:gutter="0"/>
          <w:pgNumType w:fmt="decimal"/>
          <w:cols w:space="720" w:num="1"/>
          <w:titlePg/>
          <w:docGrid w:linePitch="312" w:charSpace="0"/>
        </w:sectPr>
      </w:pP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2" w:name="_Toc526842683"/>
      <w:bookmarkStart w:id="13" w:name="_Toc425240464"/>
      <w:bookmarkStart w:id="14" w:name="_Toc13586"/>
      <w:bookmarkStart w:id="15" w:name="_Toc421778365"/>
      <w:bookmarkStart w:id="16" w:name="_Toc420591643"/>
      <w:r>
        <w:rPr>
          <w:rFonts w:hint="eastAsia" w:ascii="宋体" w:hAnsi="宋体" w:eastAsia="宋体" w:cs="宋体"/>
          <w:b/>
          <w:color w:val="000000" w:themeColor="text1"/>
          <w:sz w:val="28"/>
          <w:szCs w:val="28"/>
          <w14:textFill>
            <w14:solidFill>
              <w14:schemeClr w14:val="tx1"/>
            </w14:solidFill>
          </w14:textFill>
        </w:rPr>
        <w:t>1．总则</w:t>
      </w:r>
      <w:bookmarkEnd w:id="12"/>
      <w:bookmarkEnd w:id="13"/>
      <w:bookmarkEnd w:id="14"/>
      <w:bookmarkEnd w:id="15"/>
      <w:bookmarkEnd w:id="16"/>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pPr>
        <w:pStyle w:val="14"/>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招标投标法》、《中华人民共和国招标投标法实施条例》、《中华人民共和国政府采购法》、《中华人民共和国政府采购法实施条例》、《政府采购货物和服务招标投标管理办法--财政部令第87号》、《财政部关于印发《政府采购竞争性磋商采购方式管理暂行办法》的通知--财库〔2014〕214号》等有关法律、法规和规章的规定，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val="en-US" w:eastAsia="zh-CN"/>
          <w14:textFill>
            <w14:solidFill>
              <w14:schemeClr w14:val="tx1"/>
            </w14:solidFill>
          </w14:textFill>
        </w:rPr>
        <w:t>服务</w:t>
      </w:r>
      <w:r>
        <w:rPr>
          <w:rFonts w:hint="eastAsia" w:ascii="宋体" w:hAnsi="宋体" w:eastAsia="宋体" w:cs="宋体"/>
          <w:b/>
          <w:color w:val="000000" w:themeColor="text1"/>
          <w:sz w:val="28"/>
          <w:szCs w:val="28"/>
          <w:lang w:eastAsia="zh-CN"/>
          <w14:textFill>
            <w14:solidFill>
              <w14:schemeClr w14:val="tx1"/>
            </w14:solidFill>
          </w14:textFill>
        </w:rPr>
        <w:t>期、质保期</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val="en-US" w:eastAsia="zh-CN"/>
          <w14:textFill>
            <w14:solidFill>
              <w14:schemeClr w14:val="tx1"/>
            </w14:solidFill>
          </w14:textFill>
        </w:rPr>
        <w:t>服务</w:t>
      </w:r>
      <w:r>
        <w:rPr>
          <w:rFonts w:hint="eastAsia" w:ascii="宋体" w:hAnsi="宋体" w:eastAsia="宋体" w:cs="宋体"/>
          <w:color w:val="000000" w:themeColor="text1"/>
          <w:sz w:val="28"/>
          <w:szCs w:val="28"/>
          <w:lang w:eastAsia="zh-CN"/>
          <w14:textFill>
            <w14:solidFill>
              <w14:schemeClr w14:val="tx1"/>
            </w14:solidFill>
          </w14:textFill>
        </w:rPr>
        <w:t>期</w:t>
      </w:r>
      <w:r>
        <w:rPr>
          <w:rFonts w:hint="eastAsia" w:ascii="宋体" w:hAnsi="宋体" w:eastAsia="宋体" w:cs="宋体"/>
          <w:color w:val="000000" w:themeColor="text1"/>
          <w:sz w:val="28"/>
          <w:szCs w:val="28"/>
          <w14:textFill>
            <w14:solidFill>
              <w14:schemeClr w14:val="tx1"/>
            </w14:solidFill>
          </w14:textFill>
        </w:rPr>
        <w:t>：见供应商须知前附表。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eastAsia="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eastAsia="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7"/>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8"/>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9"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9"/>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0" w:name="_Toc420591644"/>
      <w:bookmarkStart w:id="21" w:name="_Toc425240465"/>
      <w:bookmarkStart w:id="22" w:name="_Toc526842684"/>
      <w:bookmarkStart w:id="23" w:name="_Toc32145"/>
      <w:bookmarkStart w:id="24" w:name="_Toc421778366"/>
      <w:r>
        <w:rPr>
          <w:rFonts w:hint="eastAsia" w:ascii="宋体" w:hAnsi="宋体" w:eastAsia="宋体" w:cs="宋体"/>
          <w:b/>
          <w:color w:val="000000" w:themeColor="text1"/>
          <w:sz w:val="28"/>
          <w:szCs w:val="28"/>
          <w14:textFill>
            <w14:solidFill>
              <w14:schemeClr w14:val="tx1"/>
            </w14:solidFill>
          </w14:textFill>
        </w:rPr>
        <w:t>2．磋商文件</w:t>
      </w:r>
      <w:bookmarkEnd w:id="20"/>
      <w:bookmarkEnd w:id="21"/>
      <w:bookmarkEnd w:id="22"/>
      <w:bookmarkEnd w:id="23"/>
      <w:bookmarkEnd w:id="24"/>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（5）技术标准和要求；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根据本章第1.10 款、第2.2 款和第2.3 款对磋商文件所作的澄清、修改，构成磋商文件的组成部分。</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5"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5"/>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99078451@qq.com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6"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7"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7"/>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8" w:name="_Hlk525809582"/>
      <w:r>
        <w:rPr>
          <w:rFonts w:hint="eastAsia" w:ascii="宋体" w:hAnsi="宋体" w:eastAsia="宋体" w:cs="宋体"/>
          <w:b/>
          <w:color w:val="000000" w:themeColor="text1"/>
          <w:sz w:val="28"/>
          <w:szCs w:val="28"/>
          <w14:textFill>
            <w14:solidFill>
              <w14:schemeClr w14:val="tx1"/>
            </w14:solidFill>
          </w14:textFill>
        </w:rPr>
        <w:t>2.4.1 中华人民共和国财政部令第87号--政府采购货物和服务招标投标管理办法</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第二十七条 采购人或者采购代理机构可以对已发出的</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、资格预审文件、投标邀请书的组成部分。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编制的，采购人或者采购代理机构应当在投标截止时间至少15日前，以书面形式通知所有获取</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的潜在投标人；不足15日的，采购人或者采购代理机构应当顺延提交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的截止时间。</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bookmarkEnd w:id="28"/>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2.4.2 关于做好政府采购信息公开工作的通知--财库[2015]135号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2.4.3财政部关于印发《政府采购竞争性磋商采购方式管理暂行办法》的通知--财库〔2014〕214号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9" w:name="_Toc421778367"/>
      <w:bookmarkStart w:id="30" w:name="_Toc425240466"/>
      <w:bookmarkStart w:id="31" w:name="_Toc27230"/>
      <w:bookmarkStart w:id="32" w:name="_Toc526842685"/>
      <w:r>
        <w:rPr>
          <w:rFonts w:hint="eastAsia" w:ascii="宋体" w:hAnsi="宋体" w:eastAsia="宋体" w:cs="宋体"/>
          <w:b/>
          <w:color w:val="000000" w:themeColor="text1"/>
          <w:sz w:val="28"/>
          <w:szCs w:val="28"/>
          <w14:textFill>
            <w14:solidFill>
              <w14:schemeClr w14:val="tx1"/>
            </w14:solidFill>
          </w14:textFill>
        </w:rPr>
        <w:t>3．磋商响应文件</w:t>
      </w:r>
      <w:bookmarkEnd w:id="26"/>
      <w:bookmarkEnd w:id="29"/>
      <w:bookmarkEnd w:id="30"/>
      <w:bookmarkEnd w:id="31"/>
      <w:bookmarkEnd w:id="32"/>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1）投标函</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2）磋商一览表（首次）</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3）法定代表人身份证明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4）法定代表人授权委托书</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）技术方案</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）商务方案</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）供应商承诺书</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）资格审查资料</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）其它资料</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以二次报价为最终成交价（二次报价单由代理公司提供）。</w:t>
      </w:r>
      <w:r>
        <w:rPr>
          <w:rFonts w:hint="eastAsia" w:ascii="宋体" w:hAnsi="宋体" w:eastAsia="宋体" w:cs="宋体"/>
          <w:color w:val="000000"/>
          <w:sz w:val="28"/>
          <w:szCs w:val="28"/>
        </w:rPr>
        <w:t xml:space="preserve">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5"/>
      <w:bookmarkStart w:id="34" w:name="_Hlk522170699"/>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8"/>
          <w:szCs w:val="28"/>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3"/>
    <w:bookmarkEnd w:id="34"/>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5" w:name="_Toc343511517"/>
      <w:r>
        <w:rPr>
          <w:rFonts w:hint="eastAsia" w:ascii="宋体" w:hAnsi="宋体" w:eastAsia="宋体" w:cs="宋体"/>
          <w:color w:val="000000" w:themeColor="text1"/>
          <w:sz w:val="28"/>
          <w:szCs w:val="28"/>
          <w14:textFill>
            <w14:solidFill>
              <w14:schemeClr w14:val="tx1"/>
            </w14:solidFill>
          </w14:textFill>
        </w:rPr>
        <w:t>3.4.3</w:t>
      </w:r>
      <w:bookmarkEnd w:id="35"/>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6" w:name="_Toc343511518"/>
      <w:bookmarkStart w:id="37"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6"/>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8"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7"/>
    <w:bookmarkEnd w:id="38"/>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3.5 资格审查内容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1.具有独立承担民事责任能力的法人或其他组织，提供合法有效的统一社会信用代码的营业执照（含年度报告）；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2.法定代表人（负责人）授权书（附法定代表人身份证复印件）及被授权人身份证（法定代表人（负责人）直接参加磋商只须提供法定代表人身份证）；</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3.税收缴纳证明：提供本年度已缴纳的至少连续 3 个月的纳税证明或完税证明，依法免税的单位应提供相关证明材料；</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5.财务状况报告：提供2022年度或2023年的财务审计报告(成立时间至提交投标文件截止时间不足一年的成立后任意时段的资产负债表或提供开标日期前3个月内其基本开户银行出具的资信证明）；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6.供应商应出具参加政府采购活动前 3 年内在经营活动中没有重大违法记录的书面声明；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8.单位负责人为同一人或者存在直接控股、管理关系的不同供应商，不得参加同一合同项下的政府采购活动；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9.提供磋商保证金的银行转账或电汇凭证并确保响应文件递交截止时间前到达采购文件指定账户；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10.本项目不接受联合体磋商。</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sz w:val="28"/>
          <w:szCs w:val="28"/>
          <w:highlight w:val="none"/>
          <w:lang w:eastAsia="zh-CN"/>
        </w:rPr>
        <w:t>以上资格证明文件为供应商的必备文件，开标当天，请将上述资格证明文件胶装同</w:t>
      </w:r>
      <w:r>
        <w:rPr>
          <w:rFonts w:hint="eastAsia" w:ascii="宋体" w:hAnsi="宋体" w:eastAsia="宋体" w:cs="宋体"/>
          <w:b/>
          <w:color w:val="000000"/>
          <w:sz w:val="28"/>
          <w:szCs w:val="28"/>
          <w:highlight w:val="none"/>
          <w:lang w:val="en-US" w:eastAsia="zh-CN"/>
        </w:rPr>
        <w:t>磋商</w:t>
      </w:r>
      <w:r>
        <w:rPr>
          <w:rFonts w:hint="eastAsia" w:ascii="宋体" w:hAnsi="宋体" w:eastAsia="宋体" w:cs="宋体"/>
          <w:b/>
          <w:color w:val="000000"/>
          <w:sz w:val="28"/>
          <w:szCs w:val="28"/>
          <w:highlight w:val="none"/>
          <w:lang w:eastAsia="zh-CN"/>
        </w:rPr>
        <w:t>文件一起单独密封递交（密封要求同</w:t>
      </w:r>
      <w:r>
        <w:rPr>
          <w:rFonts w:hint="eastAsia" w:ascii="宋体" w:hAnsi="宋体" w:eastAsia="宋体" w:cs="宋体"/>
          <w:b/>
          <w:color w:val="000000"/>
          <w:sz w:val="28"/>
          <w:szCs w:val="28"/>
          <w:highlight w:val="none"/>
          <w:lang w:val="en-US" w:eastAsia="zh-CN"/>
        </w:rPr>
        <w:t>磋商</w:t>
      </w:r>
      <w:r>
        <w:rPr>
          <w:rFonts w:hint="eastAsia" w:ascii="宋体" w:hAnsi="宋体" w:eastAsia="宋体" w:cs="宋体"/>
          <w:b/>
          <w:color w:val="000000"/>
          <w:sz w:val="28"/>
          <w:szCs w:val="28"/>
          <w:highlight w:val="none"/>
          <w:lang w:eastAsia="zh-CN"/>
        </w:rPr>
        <w:t>文件），以便对其磋商资格进行审查。有给定格式的需按照</w:t>
      </w:r>
      <w:r>
        <w:rPr>
          <w:rFonts w:hint="eastAsia" w:ascii="宋体" w:hAnsi="宋体" w:eastAsia="宋体" w:cs="宋体"/>
          <w:b/>
          <w:color w:val="000000"/>
          <w:sz w:val="28"/>
          <w:szCs w:val="28"/>
          <w:highlight w:val="none"/>
          <w:lang w:val="en-US" w:eastAsia="zh-CN"/>
        </w:rPr>
        <w:t>磋商</w:t>
      </w:r>
      <w:r>
        <w:rPr>
          <w:rFonts w:hint="eastAsia" w:ascii="宋体" w:hAnsi="宋体" w:eastAsia="宋体" w:cs="宋体"/>
          <w:b/>
          <w:color w:val="000000"/>
          <w:sz w:val="28"/>
          <w:szCs w:val="28"/>
          <w:highlight w:val="none"/>
          <w:lang w:eastAsia="zh-CN"/>
        </w:rPr>
        <w:t>文件给定格式提供，若供应商资格证明文件不符合审查要求，将按无效处理</w:t>
      </w:r>
      <w:r>
        <w:rPr>
          <w:rFonts w:hint="eastAsia" w:ascii="宋体" w:hAnsi="宋体" w:eastAsia="宋体" w:cs="宋体"/>
          <w:b/>
          <w:color w:val="000000"/>
          <w:sz w:val="28"/>
          <w:szCs w:val="28"/>
          <w:highlight w:val="none"/>
        </w:rPr>
        <w:t>。</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3.7.2 磋商响应文件应当对磋商文件有关</w:t>
      </w:r>
      <w:r>
        <w:rPr>
          <w:rFonts w:hint="eastAsia" w:ascii="宋体" w:hAnsi="宋体" w:eastAsia="宋体" w:cs="宋体"/>
          <w:color w:val="000000" w:themeColor="text1"/>
          <w:sz w:val="28"/>
          <w:szCs w:val="28"/>
          <w:lang w:val="en-US" w:eastAsia="zh-CN"/>
          <w14:textFill>
            <w14:solidFill>
              <w14:schemeClr w14:val="tx1"/>
            </w14:solidFill>
          </w14:textFill>
        </w:rPr>
        <w:t>服务</w:t>
      </w:r>
      <w:r>
        <w:rPr>
          <w:rFonts w:hint="eastAsia" w:ascii="宋体" w:hAnsi="宋体" w:eastAsia="宋体" w:cs="宋体"/>
          <w:color w:val="000000" w:themeColor="text1"/>
          <w:sz w:val="28"/>
          <w:szCs w:val="28"/>
          <w:lang w:eastAsia="zh-CN"/>
          <w14:textFill>
            <w14:solidFill>
              <w14:schemeClr w14:val="tx1"/>
            </w14:solidFill>
          </w14:textFill>
        </w:rPr>
        <w:t>期</w:t>
      </w:r>
      <w:r>
        <w:rPr>
          <w:rFonts w:hint="eastAsia" w:ascii="宋体" w:hAnsi="宋体" w:eastAsia="宋体" w:cs="宋体"/>
          <w:color w:val="000000" w:themeColor="text1"/>
          <w:sz w:val="28"/>
          <w:szCs w:val="28"/>
          <w14:textFill>
            <w14:solidFill>
              <w14:schemeClr w14:val="tx1"/>
            </w14:solidFill>
          </w14:textFill>
        </w:rPr>
        <w:t>、投标有效期、技术标准和要求、磋商范围等实质性内容作出响应。</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9" w:name="_Hlk525815536"/>
      <w:r>
        <w:rPr>
          <w:rFonts w:hint="eastAsia" w:ascii="宋体" w:hAnsi="宋体" w:eastAsia="宋体" w:cs="宋体"/>
          <w:color w:val="000000" w:themeColor="text1"/>
          <w:sz w:val="28"/>
          <w:szCs w:val="28"/>
          <w14:textFill>
            <w14:solidFill>
              <w14:schemeClr w14:val="tx1"/>
            </w14:solidFill>
          </w14:textFill>
        </w:rPr>
        <w:t>3.7.5磋商响应文件的正本和所有的副本必须全部打印装订成册，并编制目录，统一装订、编码，必须在每一页的下方清楚标明。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3.7.6磋商响应文件的正本和所有的副本必须逐页加盖供应商单位公章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鲜章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未按本章第3.7.1项至第3.7.</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39"/>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0" w:name="_Toc421778368"/>
      <w:bookmarkStart w:id="41" w:name="_Toc20940"/>
      <w:bookmarkStart w:id="42" w:name="_Toc425240467"/>
      <w:bookmarkStart w:id="43" w:name="_Toc420591646"/>
      <w:bookmarkStart w:id="44" w:name="_Toc526842686"/>
      <w:r>
        <w:rPr>
          <w:rFonts w:hint="eastAsia" w:ascii="宋体" w:hAnsi="宋体" w:eastAsia="宋体" w:cs="宋体"/>
          <w:b/>
          <w:color w:val="000000" w:themeColor="text1"/>
          <w:sz w:val="28"/>
          <w:szCs w:val="28"/>
          <w14:textFill>
            <w14:solidFill>
              <w14:schemeClr w14:val="tx1"/>
            </w14:solidFill>
          </w14:textFill>
        </w:rPr>
        <w:t>4．投标</w:t>
      </w:r>
      <w:bookmarkEnd w:id="40"/>
      <w:bookmarkEnd w:id="41"/>
      <w:bookmarkEnd w:id="42"/>
      <w:bookmarkEnd w:id="43"/>
      <w:bookmarkEnd w:id="44"/>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4.1 磋商响应文件的密封和标记</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4.1.1</w:t>
      </w:r>
      <w:bookmarkStart w:id="45" w:name="_Hlk518638585"/>
      <w:r>
        <w:rPr>
          <w:rFonts w:hint="eastAsia" w:ascii="宋体" w:hAnsi="宋体" w:eastAsia="宋体" w:cs="宋体"/>
          <w:b w:val="0"/>
          <w:bCs/>
          <w:color w:val="000000"/>
          <w:sz w:val="28"/>
          <w:szCs w:val="28"/>
        </w:rPr>
        <w:t>磋商响应文件</w:t>
      </w:r>
      <w:bookmarkEnd w:id="45"/>
      <w:r>
        <w:rPr>
          <w:rFonts w:hint="eastAsia" w:ascii="宋体" w:hAnsi="宋体" w:eastAsia="宋体" w:cs="宋体"/>
          <w:b w:val="0"/>
          <w:bCs/>
          <w:color w:val="000000"/>
          <w:sz w:val="28"/>
          <w:szCs w:val="28"/>
        </w:rPr>
        <w:t>的正本须单独包装</w:t>
      </w:r>
      <w:r>
        <w:rPr>
          <w:rFonts w:hint="eastAsia" w:ascii="宋体" w:hAnsi="宋体" w:eastAsia="宋体" w:cs="宋体"/>
          <w:b w:val="0"/>
          <w:bCs/>
          <w:color w:val="000000"/>
          <w:sz w:val="28"/>
          <w:szCs w:val="28"/>
          <w:lang w:eastAsia="zh-CN"/>
        </w:rPr>
        <w:t>在</w:t>
      </w:r>
      <w:r>
        <w:rPr>
          <w:rFonts w:hint="eastAsia" w:ascii="宋体" w:hAnsi="宋体" w:eastAsia="宋体" w:cs="宋体"/>
          <w:b w:val="0"/>
          <w:bCs/>
          <w:color w:val="000000"/>
          <w:sz w:val="28"/>
          <w:szCs w:val="28"/>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sz w:val="28"/>
          <w:szCs w:val="28"/>
          <w:lang w:eastAsia="zh-CN"/>
        </w:rPr>
        <w:t>签字或盖章和其委托代理人签字或盖章</w:t>
      </w:r>
      <w:r>
        <w:rPr>
          <w:rFonts w:hint="eastAsia" w:ascii="宋体" w:hAnsi="宋体" w:eastAsia="宋体" w:cs="宋体"/>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4.1.2 磋商响应</w:t>
      </w:r>
      <w:bookmarkStart w:id="46" w:name="_Hlk518638885"/>
      <w:r>
        <w:rPr>
          <w:rFonts w:hint="eastAsia" w:ascii="宋体" w:hAnsi="宋体" w:eastAsia="宋体" w:cs="宋体"/>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6"/>
      <w:r>
        <w:rPr>
          <w:rFonts w:hint="eastAsia" w:ascii="宋体" w:hAnsi="宋体" w:eastAsia="宋体" w:cs="宋体"/>
          <w:color w:val="000000" w:themeColor="text1"/>
          <w:sz w:val="28"/>
          <w:szCs w:val="28"/>
          <w14:textFill>
            <w14:solidFill>
              <w14:schemeClr w14:val="tx1"/>
            </w14:solidFill>
          </w14:textFill>
        </w:rPr>
        <w:t>，其他内容见供应商须知前附表。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4.2 磋商响应文件的递交</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000000"/>
          <w:sz w:val="28"/>
          <w:szCs w:val="28"/>
        </w:rPr>
        <w:t>4.2.1 供应商应在供应商须知前附表第4.2.2 项规定的提交首次响应文件截止之日前递交磋商响应文件。</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4.2.2 供应商递交磋商响应文件的地点：见供应商须知前附表。</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4.2.3 除供应商须知前附表另有规定外，供应商所递交的磋商响应文件不予退还。</w:t>
      </w:r>
    </w:p>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4.2.4 </w:t>
      </w:r>
      <w:bookmarkStart w:id="47" w:name="_Hlk522174718"/>
      <w:r>
        <w:rPr>
          <w:rFonts w:hint="eastAsia" w:ascii="宋体" w:hAnsi="宋体" w:eastAsia="宋体" w:cs="宋体"/>
          <w:color w:val="000000"/>
          <w:sz w:val="28"/>
          <w:szCs w:val="28"/>
        </w:rPr>
        <w:t>采购人收到磋商响应文件后，供应商须登记填写《磋商响应文件递交登记表》。</w:t>
      </w:r>
    </w:p>
    <w:bookmarkEnd w:id="47"/>
    <w:p>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4.2.5逾期送达的或者未送达指定地点的磋商响应文件，采购人不予受理。</w:t>
      </w:r>
    </w:p>
    <w:p>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4.2.6每家单位只允许提交壹套《磋商响应文件》。否则，采购人有权取消其</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资格。</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4.3 磋商响应文件的修改与撤回</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项的要求必须由供应商加盖供应商单位公章。采购人收到书面通知后，供应商须在其登记填写的《磋商响应文件提交登记表》“备注”栏注明，此《磋商响应文件提交登记表》作为向供应商出具的签收凭证存根。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8" w:name="_Toc421778369"/>
      <w:bookmarkStart w:id="49" w:name="_Toc526842687"/>
      <w:bookmarkStart w:id="50" w:name="_Toc20463"/>
      <w:bookmarkStart w:id="51" w:name="_Toc420591647"/>
      <w:bookmarkStart w:id="52" w:name="_Toc425240468"/>
      <w:r>
        <w:rPr>
          <w:rFonts w:hint="eastAsia" w:ascii="宋体" w:hAnsi="宋体" w:eastAsia="宋体" w:cs="宋体"/>
          <w:b/>
          <w:color w:val="000000" w:themeColor="text1"/>
          <w:sz w:val="28"/>
          <w:szCs w:val="28"/>
          <w14:textFill>
            <w14:solidFill>
              <w14:schemeClr w14:val="tx1"/>
            </w14:solidFill>
          </w14:textFill>
        </w:rPr>
        <w:t>5．磋商</w:t>
      </w:r>
      <w:bookmarkEnd w:id="48"/>
      <w:bookmarkEnd w:id="49"/>
      <w:bookmarkEnd w:id="50"/>
      <w:bookmarkEnd w:id="51"/>
      <w:bookmarkEnd w:id="52"/>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5.1 磋商时间和地点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3" w:name="_Hlk522256941"/>
      <w:r>
        <w:rPr>
          <w:rFonts w:hint="eastAsia" w:ascii="宋体" w:hAnsi="宋体" w:eastAsia="宋体" w:cs="宋体"/>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5.1.2</w:t>
      </w:r>
      <w:r>
        <w:rPr>
          <w:rFonts w:hint="eastAsia" w:ascii="宋体" w:hAnsi="宋体" w:eastAsia="宋体" w:cs="宋体"/>
          <w:color w:val="000000" w:themeColor="text1"/>
          <w:sz w:val="28"/>
          <w:szCs w:val="28"/>
          <w:lang w:eastAsia="zh-CN"/>
          <w14:textFill>
            <w14:solidFill>
              <w14:schemeClr w14:val="tx1"/>
            </w14:solidFill>
          </w14:textFill>
        </w:rPr>
        <w:t>磋商供应商</w:t>
      </w:r>
      <w:r>
        <w:rPr>
          <w:rFonts w:hint="eastAsia" w:ascii="宋体" w:hAnsi="宋体" w:eastAsia="宋体" w:cs="宋体"/>
          <w:color w:val="000000" w:themeColor="text1"/>
          <w:sz w:val="28"/>
          <w:szCs w:val="28"/>
          <w14:textFill>
            <w14:solidFill>
              <w14:schemeClr w14:val="tx1"/>
            </w14:solidFill>
          </w14:textFill>
        </w:rPr>
        <w:t>未参加开标的，视同认可开标结果。</w:t>
      </w:r>
    </w:p>
    <w:bookmarkEnd w:id="53"/>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5.2磋商程序（摘要）</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主持人按下列程序进行磋商：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（2）宣布磋商会议纪律。</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（3）介绍政府采购监督管理部门、采购人、监标人、采购代理机构工作人员。</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（4）宣布本项目供应商签到名单，确认供应商身份。</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（6）由采购人和监标人对供应商进行资格审查。开标现场，由监标人对各供应商进行资格审查，并公布资格审查结果，资格审查不通过，该供应商无权进入下一步开标程序。</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（10）将磋商响应文件送交磋商小组评审； </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（12）磋商结束。</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5.3磋商现场需带的原件：见供应商须知前附表。</w:t>
      </w: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54" w:name="_Toc425240469"/>
      <w:bookmarkStart w:id="55" w:name="_Toc421778370"/>
      <w:bookmarkStart w:id="56" w:name="_Toc420591648"/>
      <w:bookmarkStart w:id="57" w:name="_Toc526842688"/>
      <w:bookmarkStart w:id="58" w:name="_Toc15987"/>
      <w:r>
        <w:rPr>
          <w:rFonts w:hint="eastAsia" w:ascii="宋体" w:hAnsi="宋体" w:eastAsia="宋体" w:cs="宋体"/>
          <w:b/>
          <w:color w:val="000000" w:themeColor="text1"/>
          <w:sz w:val="28"/>
          <w:szCs w:val="28"/>
          <w14:textFill>
            <w14:solidFill>
              <w14:schemeClr w14:val="tx1"/>
            </w14:solidFill>
          </w14:textFill>
        </w:rPr>
        <w:t>6．评标</w:t>
      </w:r>
      <w:bookmarkEnd w:id="54"/>
      <w:bookmarkEnd w:id="55"/>
      <w:bookmarkEnd w:id="56"/>
      <w:bookmarkEnd w:id="57"/>
      <w:bookmarkEnd w:id="58"/>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6.1.1 评标由采购人依法组建的磋商小组负责。磋商小组由采购人或其委托的采购代理机构熟悉相关业务的代表，以及有关技术、经济等方面的专家组成。</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9" w:name="_Toc425240470"/>
      <w:bookmarkStart w:id="60" w:name="_Toc421778371"/>
      <w:bookmarkStart w:id="61"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2"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2"/>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3" w:name="_Toc26000"/>
      <w:bookmarkStart w:id="64" w:name="_Toc526842689"/>
      <w:r>
        <w:rPr>
          <w:rFonts w:hint="eastAsia" w:ascii="宋体" w:hAnsi="宋体" w:eastAsia="宋体" w:cs="宋体"/>
          <w:b/>
          <w:color w:val="000000" w:themeColor="text1"/>
          <w:sz w:val="28"/>
          <w:szCs w:val="28"/>
          <w14:textFill>
            <w14:solidFill>
              <w14:schemeClr w14:val="tx1"/>
            </w14:solidFill>
          </w14:textFill>
        </w:rPr>
        <w:t>7．合同授予</w:t>
      </w:r>
      <w:bookmarkEnd w:id="59"/>
      <w:bookmarkEnd w:id="60"/>
      <w:bookmarkEnd w:id="61"/>
      <w:bookmarkEnd w:id="63"/>
      <w:bookmarkEnd w:id="64"/>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7.1.2评标完成后，评标委员会应当向招标人提交书面评标报告和</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5"/>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6"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6"/>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7.3 履约担保</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7" w:name="_Hlk522179747"/>
      <w:r>
        <w:rPr>
          <w:rFonts w:hint="eastAsia" w:ascii="宋体" w:hAnsi="宋体" w:eastAsia="宋体" w:cs="宋体"/>
          <w:color w:val="000000" w:themeColor="text1"/>
          <w:sz w:val="28"/>
          <w:szCs w:val="28"/>
          <w14:textFill>
            <w14:solidFill>
              <w14:schemeClr w14:val="tx1"/>
            </w14:solidFill>
          </w14:textFill>
        </w:rPr>
        <w:t>7.3.1在签订合同前，成交供应商应按供应商须知前附表规定的金额、担保形式和磋商文件第四章“合同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7"/>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7.4 签订合同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 采购人和成交供应商应当自成交通知书发出之日起30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指定账户。</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8" w:name="_Hlk522179758"/>
      <w:bookmarkStart w:id="69" w:name="_Toc421778372"/>
      <w:bookmarkStart w:id="70" w:name="_Toc420591650"/>
      <w:bookmarkStart w:id="71" w:name="_Toc425240471"/>
      <w:r>
        <w:rPr>
          <w:rFonts w:hint="eastAsia" w:ascii="宋体" w:hAnsi="宋体" w:eastAsia="宋体" w:cs="宋体"/>
          <w:color w:val="000000" w:themeColor="text1"/>
          <w:sz w:val="28"/>
          <w:szCs w:val="28"/>
          <w14:textFill>
            <w14:solidFill>
              <w14:schemeClr w14:val="tx1"/>
            </w14:solidFill>
          </w14:textFill>
        </w:rPr>
        <w:t>7.4.2 发出中标通知书后，采购人无正当理由拒签合同的，采购人向中标供应商退还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 xml:space="preserve">；给中标供应商造成损失的，还应当赔偿损失。 </w:t>
      </w:r>
    </w:p>
    <w:bookmarkEnd w:id="68"/>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7.4.3国务院财政部门应当会同国务院有关部门制定政府采购合同标准文本。</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7.4.4采购文件要求中标或者成交供应商提交履约保证金的，供应商应当以支票、汇票、本票或者金融机构、担保机构出具的保函等非现金形式提交。履约保证金的数额不得超过政府采购合同金额的10%。</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7.4.5中标或者成交供应商拒绝与采购人签订合同的，采购人可以按照评审报告推荐的中标或者成交候选人名单排序，确定下一候选人为中标或者成交供应商，也可以重新开展政府采购活动。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7.4.6采购人应当自政府采购合同签订之日起2个工作日内，将政府采购合同在省级以上人民政府财政部门指定的媒体上公告，但政府采购合同中涉及国家秘密、商业秘密的内容除外。</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7.4.7采购人应当按照政府采购合同规定，及时向中标或者成交供应商支付采购资金。</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7.4.8政府</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资金支付程序，按照国家有关</w:t>
      </w:r>
      <w:r>
        <w:rPr>
          <w:rFonts w:hint="eastAsia" w:ascii="宋体" w:hAnsi="宋体" w:eastAsia="宋体" w:cs="宋体"/>
          <w:color w:val="000000" w:themeColor="text1"/>
          <w:sz w:val="28"/>
          <w:szCs w:val="28"/>
          <w:lang w:eastAsia="zh-CN"/>
          <w14:textFill>
            <w14:solidFill>
              <w14:schemeClr w14:val="tx1"/>
            </w14:solidFill>
          </w14:textFill>
        </w:rPr>
        <w:t>财政资金</w:t>
      </w:r>
      <w:r>
        <w:rPr>
          <w:rFonts w:hint="eastAsia" w:ascii="宋体" w:hAnsi="宋体" w:eastAsia="宋体" w:cs="宋体"/>
          <w:color w:val="000000" w:themeColor="text1"/>
          <w:sz w:val="28"/>
          <w:szCs w:val="28"/>
          <w14:textFill>
            <w14:solidFill>
              <w14:schemeClr w14:val="tx1"/>
            </w14:solidFill>
          </w14:textFill>
        </w:rPr>
        <w:t>支付管理的规定执行。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2" w:name="_Hlk522179832"/>
      <w:r>
        <w:rPr>
          <w:rFonts w:hint="eastAsia" w:ascii="宋体" w:hAnsi="宋体" w:eastAsia="宋体" w:cs="宋体"/>
          <w:color w:val="000000" w:themeColor="text1"/>
          <w:sz w:val="28"/>
          <w:szCs w:val="28"/>
          <w14:textFill>
            <w14:solidFill>
              <w14:schemeClr w14:val="tx1"/>
            </w14:solidFill>
          </w14:textFill>
        </w:rPr>
        <w:t>7.4.9招标人和中标人应当依照招标投标法和本条例的规定签订书面合同，合同的标的、价款、质量、履行期限等主要条款应当与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和中标人的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的内容一致。招标人和中标人不得再行订立背离合同实质性内容的其他协议。</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7.4.10</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人提交履约保证金的，中标人应当按照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的要求提交。履约保证金不得超过</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合同金额的10%。</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7.4.11</w:t>
      </w:r>
      <w:r>
        <w:rPr>
          <w:rFonts w:hint="eastAsia" w:ascii="宋体" w:hAnsi="宋体" w:eastAsia="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应当按照合同约定履行义务，完成</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eastAsia="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不得向他人转让</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项目，也不得将</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项目肢解后分别向他人转让。</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应当就分包项目向招标人负责，接受分包的人就分包项目承担连带责任。</w:t>
      </w:r>
    </w:p>
    <w:bookmarkEnd w:id="72"/>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20459"/>
      <w:bookmarkStart w:id="74" w:name="_Toc526842690"/>
      <w:r>
        <w:rPr>
          <w:rFonts w:hint="eastAsia" w:ascii="宋体" w:hAnsi="宋体" w:eastAsia="宋体" w:cs="宋体"/>
          <w:b/>
          <w:color w:val="000000" w:themeColor="text1"/>
          <w:sz w:val="28"/>
          <w:szCs w:val="28"/>
          <w14:textFill>
            <w14:solidFill>
              <w14:schemeClr w14:val="tx1"/>
            </w14:solidFill>
          </w14:textFill>
        </w:rPr>
        <w:t>8．重新招标和不再招标</w:t>
      </w:r>
      <w:bookmarkEnd w:id="69"/>
      <w:bookmarkEnd w:id="70"/>
      <w:bookmarkEnd w:id="71"/>
      <w:bookmarkEnd w:id="73"/>
      <w:bookmarkEnd w:id="74"/>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5" w:name="_Toc420591651"/>
      <w:bookmarkStart w:id="76" w:name="_Toc421778373"/>
      <w:bookmarkStart w:id="77" w:name="_Toc526842691"/>
      <w:bookmarkStart w:id="78" w:name="_Toc2742"/>
      <w:bookmarkStart w:id="79" w:name="_Toc425240472"/>
      <w:r>
        <w:rPr>
          <w:rFonts w:hint="eastAsia" w:ascii="宋体" w:hAnsi="宋体" w:eastAsia="宋体" w:cs="宋体"/>
          <w:b/>
          <w:color w:val="000000" w:themeColor="text1"/>
          <w:sz w:val="28"/>
          <w:szCs w:val="28"/>
          <w14:textFill>
            <w14:solidFill>
              <w14:schemeClr w14:val="tx1"/>
            </w14:solidFill>
          </w14:textFill>
        </w:rPr>
        <w:t>9．纪律和监督</w:t>
      </w:r>
      <w:bookmarkEnd w:id="75"/>
      <w:bookmarkEnd w:id="76"/>
      <w:bookmarkEnd w:id="77"/>
      <w:bookmarkEnd w:id="78"/>
      <w:bookmarkEnd w:id="79"/>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80"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80"/>
    </w:p>
    <w:p>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8"/>
          <w:szCs w:val="28"/>
          <w14:textFill>
            <w14:solidFill>
              <w14:schemeClr w14:val="tx1"/>
            </w14:solidFill>
          </w14:textFill>
        </w:rPr>
      </w:pP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2" w:type="first"/>
          <w:footerReference r:id="rId11" w:type="default"/>
          <w:pgSz w:w="11906" w:h="16838"/>
          <w:pgMar w:top="1440" w:right="1440" w:bottom="1440" w:left="1440" w:header="851" w:footer="992" w:gutter="0"/>
          <w:lnNumType w:countBy="0" w:distance="360"/>
          <w:pgNumType w:fmt="decimal"/>
          <w:cols w:space="720" w:num="1"/>
          <w:titlePg/>
          <w:docGrid w:linePitch="312" w:charSpace="0"/>
        </w:sectPr>
      </w:pPr>
    </w:p>
    <w:p>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81" w:name="_Toc25074"/>
      <w:bookmarkStart w:id="82" w:name="_Toc526842692"/>
      <w:bookmarkStart w:id="83" w:name="_Toc421778374"/>
      <w:bookmarkStart w:id="84" w:name="_Toc420591652"/>
      <w:bookmarkStart w:id="85" w:name="_Toc425240473"/>
      <w:r>
        <w:rPr>
          <w:rFonts w:hint="eastAsia" w:ascii="宋体" w:hAnsi="宋体" w:eastAsia="宋体" w:cs="宋体"/>
          <w:b/>
          <w:color w:val="000000" w:themeColor="text1"/>
          <w:sz w:val="28"/>
          <w:szCs w:val="28"/>
          <w14:textFill>
            <w14:solidFill>
              <w14:schemeClr w14:val="tx1"/>
            </w14:solidFill>
          </w14:textFill>
        </w:rPr>
        <w:t>10、需要补充的其他内容</w:t>
      </w:r>
      <w:bookmarkEnd w:id="81"/>
      <w:bookmarkEnd w:id="82"/>
      <w:bookmarkStart w:id="86" w:name="_Toc356305901"/>
    </w:p>
    <w:bookmarkEnd w:id="83"/>
    <w:bookmarkEnd w:id="84"/>
    <w:bookmarkEnd w:id="85"/>
    <w:bookmarkEnd w:id="86"/>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10.1</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bookmarkStart w:id="87" w:name="_Toc454100766"/>
      <w:bookmarkStart w:id="88" w:name="_Toc363113718"/>
      <w:bookmarkStart w:id="89" w:name="_Toc359828156"/>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bookmarkEnd w:id="87"/>
      <w:bookmarkEnd w:id="88"/>
      <w:bookmarkEnd w:id="89"/>
    </w:p>
    <w:p>
      <w:pPr>
        <w:spacing w:line="360" w:lineRule="auto"/>
        <w:ind w:firstLine="560" w:firstLineChars="200"/>
        <w:rPr>
          <w:rFonts w:hint="eastAsia" w:ascii="宋体" w:hAnsi="宋体" w:eastAsia="宋体" w:cs="宋体"/>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规定向中标（成交）供应商收取代理服务费。</w:t>
      </w:r>
    </w:p>
    <w:p>
      <w:pPr>
        <w:pStyle w:val="2"/>
        <w:numPr>
          <w:ilvl w:val="0"/>
          <w:numId w:val="4"/>
        </w:numPr>
        <w:jc w:val="center"/>
        <w:rPr>
          <w:rFonts w:hint="eastAsia" w:ascii="宋体" w:hAnsi="宋体" w:eastAsia="宋体" w:cs="宋体"/>
          <w:color w:val="000000" w:themeColor="text1"/>
          <w:sz w:val="44"/>
          <w:szCs w:val="44"/>
          <w14:textFill>
            <w14:solidFill>
              <w14:schemeClr w14:val="tx1"/>
            </w14:solidFill>
          </w14:textFill>
        </w:rPr>
      </w:pPr>
      <w:bookmarkStart w:id="90" w:name="_Toc9686"/>
      <w:bookmarkStart w:id="91" w:name="_Toc421778376"/>
      <w:r>
        <w:rPr>
          <w:rFonts w:hint="eastAsia" w:ascii="宋体" w:hAnsi="宋体" w:eastAsia="宋体" w:cs="宋体"/>
          <w:color w:val="000000" w:themeColor="text1"/>
          <w:sz w:val="44"/>
          <w:szCs w:val="44"/>
          <w14:textFill>
            <w14:solidFill>
              <w14:schemeClr w14:val="tx1"/>
            </w14:solidFill>
          </w14:textFill>
        </w:rPr>
        <w:t>评标办法</w:t>
      </w:r>
      <w:bookmarkEnd w:id="90"/>
      <w:bookmarkEnd w:id="91"/>
    </w:p>
    <w:p>
      <w:pPr>
        <w:rPr>
          <w:rFonts w:hint="eastAsia" w:ascii="宋体" w:hAnsi="宋体" w:eastAsia="宋体" w:cs="宋体"/>
          <w:b/>
          <w:bCs/>
          <w:color w:val="auto"/>
          <w:sz w:val="28"/>
          <w:szCs w:val="28"/>
        </w:rPr>
      </w:pPr>
      <w:bookmarkStart w:id="92" w:name="_Toc7185"/>
      <w:r>
        <w:rPr>
          <w:rFonts w:hint="eastAsia" w:ascii="宋体" w:hAnsi="宋体" w:eastAsia="宋体" w:cs="宋体"/>
          <w:b/>
          <w:bCs/>
          <w:color w:val="auto"/>
          <w:sz w:val="28"/>
          <w:szCs w:val="28"/>
        </w:rPr>
        <w:t>1.初步审查表</w:t>
      </w:r>
    </w:p>
    <w:tbl>
      <w:tblPr>
        <w:tblStyle w:val="34"/>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1"/>
        <w:gridCol w:w="697"/>
        <w:gridCol w:w="1472"/>
        <w:gridCol w:w="933"/>
        <w:gridCol w:w="651"/>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520" w:type="pct"/>
            <w:gridSpan w:val="2"/>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60" w:type="pct"/>
            <w:gridSpan w:val="3"/>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审查因素</w:t>
            </w:r>
          </w:p>
        </w:tc>
        <w:tc>
          <w:tcPr>
            <w:tcW w:w="2819" w:type="pct"/>
            <w:gridSpan w:val="2"/>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0" w:type="pct"/>
            <w:gridSpan w:val="2"/>
            <w:vMerge w:val="restart"/>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72" w:type="pct"/>
            <w:vMerge w:val="restart"/>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查</w:t>
            </w:r>
          </w:p>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独立法人或负责人资格或其他团体组织</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具有独立承担民事责任能力的法人或其他组织，提供合法有效的统一社会信用代码的营业执照（含年度报告）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授权委托书</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法定代表人（负责人）授权书（附法定代表人身份证复印件）及被授权人身份证（法定代表人（负责人）直接参加磋商只须提供法定代表人身份证）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三年内在经营活动中没有重大违法记录的书面声明</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供应商应出具参加政府采购活动前3年内在经营活动中没有重大违法记录的书面声明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税收缴纳证明</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提供本年度已缴纳的至少连续3个月的纳税证明或完税证明，依法免税的单位应提供相关证明材料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社会保障资金缴纳证明</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财务状况报告</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提供2022年度或2023年的财务审计报告(成立时间至提交投标文件截止时间不足一年的成立后任意时段的资产负债表或提供开标日期前3个月内其基本开户银行出具的资信证明）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信誉要求</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保证金</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提供磋商保证金的银行转账或电汇凭证并确保响应文件递交截止时间前到达采购文件指定账户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联合体要求</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中小微企业性质</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是否符合本次磋商要求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0" w:type="pct"/>
            <w:gridSpan w:val="2"/>
            <w:vMerge w:val="continue"/>
            <w:noWrap w:val="0"/>
            <w:vAlign w:val="center"/>
          </w:tcPr>
          <w:p>
            <w:pPr>
              <w:snapToGrid w:val="0"/>
              <w:jc w:val="center"/>
              <w:rPr>
                <w:rFonts w:hint="eastAsia" w:ascii="宋体" w:hAnsi="宋体" w:eastAsia="宋体" w:cs="宋体"/>
                <w:color w:val="auto"/>
                <w:sz w:val="24"/>
                <w:szCs w:val="24"/>
                <w:lang w:val="en-US" w:eastAsia="zh-CN"/>
              </w:rPr>
            </w:pPr>
          </w:p>
        </w:tc>
        <w:tc>
          <w:tcPr>
            <w:tcW w:w="372" w:type="pct"/>
            <w:vMerge w:val="continue"/>
            <w:noWrap w:val="0"/>
            <w:vAlign w:val="center"/>
          </w:tcPr>
          <w:p>
            <w:pPr>
              <w:snapToGrid w:val="0"/>
              <w:spacing w:line="360" w:lineRule="auto"/>
              <w:jc w:val="center"/>
              <w:rPr>
                <w:rFonts w:hint="eastAsia" w:ascii="宋体" w:hAnsi="宋体" w:eastAsia="宋体" w:cs="宋体"/>
                <w:color w:val="auto"/>
                <w:sz w:val="24"/>
                <w:szCs w:val="24"/>
              </w:rPr>
            </w:pPr>
          </w:p>
        </w:tc>
        <w:tc>
          <w:tcPr>
            <w:tcW w:w="1287"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控股关系</w:t>
            </w:r>
          </w:p>
        </w:tc>
        <w:tc>
          <w:tcPr>
            <w:tcW w:w="2819" w:type="pct"/>
            <w:gridSpan w:val="2"/>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7"/>
            <w:noWrap w:val="0"/>
            <w:vAlign w:val="center"/>
          </w:tcPr>
          <w:p>
            <w:pPr>
              <w:tabs>
                <w:tab w:val="left" w:pos="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注：以上为必备资质，缺一项或某项达不到要求，按无效投标处理。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44" w:type="pct"/>
            <w:vMerge w:val="restart"/>
            <w:noWrap w:val="0"/>
            <w:vAlign w:val="center"/>
          </w:tcPr>
          <w:p>
            <w:pPr>
              <w:tabs>
                <w:tab w:val="left" w:pos="0"/>
              </w:tabs>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w:t>
            </w:r>
          </w:p>
        </w:tc>
        <w:tc>
          <w:tcPr>
            <w:tcW w:w="448" w:type="pct"/>
            <w:gridSpan w:val="2"/>
            <w:vMerge w:val="restar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符合性评审标准</w:t>
            </w:r>
          </w:p>
        </w:tc>
        <w:tc>
          <w:tcPr>
            <w:tcW w:w="787" w:type="pct"/>
            <w:vMerge w:val="restart"/>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形式</w:t>
            </w:r>
            <w:r>
              <w:rPr>
                <w:rFonts w:hint="eastAsia" w:ascii="宋体" w:hAnsi="宋体" w:eastAsia="宋体" w:cs="宋体"/>
                <w:bCs/>
                <w:sz w:val="24"/>
                <w:szCs w:val="24"/>
                <w:highlight w:val="none"/>
              </w:rPr>
              <w:t>性审查</w:t>
            </w:r>
          </w:p>
        </w:tc>
        <w:tc>
          <w:tcPr>
            <w:tcW w:w="847" w:type="pct"/>
            <w:gridSpan w:val="2"/>
            <w:noWrap w:val="0"/>
            <w:vAlign w:val="center"/>
          </w:tcPr>
          <w:p>
            <w:pPr>
              <w:jc w:val="center"/>
              <w:rPr>
                <w:rFonts w:hint="eastAsia" w:ascii="宋体" w:hAnsi="宋体" w:eastAsia="宋体" w:cs="宋体"/>
                <w:bCs/>
                <w:sz w:val="24"/>
                <w:szCs w:val="24"/>
                <w:highlight w:val="none"/>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名称</w:t>
            </w:r>
          </w:p>
        </w:tc>
        <w:tc>
          <w:tcPr>
            <w:tcW w:w="2471" w:type="pct"/>
            <w:noWrap w:val="0"/>
            <w:vAlign w:val="center"/>
          </w:tcPr>
          <w:p>
            <w:pPr>
              <w:rPr>
                <w:rFonts w:hint="eastAsia" w:ascii="宋体" w:hAnsi="宋体" w:eastAsia="宋体" w:cs="宋体"/>
                <w:bCs/>
                <w:sz w:val="24"/>
                <w:szCs w:val="24"/>
                <w:highlight w:val="none"/>
              </w:rPr>
            </w:pPr>
            <w:r>
              <w:rPr>
                <w:rFonts w:hint="eastAsia" w:ascii="宋体" w:hAnsi="宋体" w:eastAsia="宋体" w:cs="宋体"/>
                <w:color w:val="auto"/>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44" w:type="pct"/>
            <w:vMerge w:val="continue"/>
            <w:noWrap w:val="0"/>
            <w:vAlign w:val="center"/>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center"/>
          </w:tcPr>
          <w:p>
            <w:pPr>
              <w:tabs>
                <w:tab w:val="left" w:pos="0"/>
              </w:tabs>
              <w:adjustRightInd w:val="0"/>
              <w:snapToGrid w:val="0"/>
              <w:rPr>
                <w:rFonts w:hint="eastAsia" w:ascii="宋体" w:hAnsi="宋体" w:eastAsia="宋体" w:cs="宋体"/>
                <w:bCs/>
                <w:sz w:val="24"/>
                <w:szCs w:val="24"/>
                <w:highlight w:val="none"/>
              </w:rPr>
            </w:pPr>
          </w:p>
        </w:tc>
        <w:tc>
          <w:tcPr>
            <w:tcW w:w="787" w:type="pct"/>
            <w:vMerge w:val="continue"/>
            <w:noWrap w:val="0"/>
            <w:vAlign w:val="center"/>
          </w:tcPr>
          <w:p>
            <w:pPr>
              <w:tabs>
                <w:tab w:val="left" w:pos="0"/>
              </w:tabs>
              <w:adjustRightInd w:val="0"/>
              <w:snapToGrid w:val="0"/>
              <w:jc w:val="center"/>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文件的签署盖章</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文件上法定代表人</w:t>
            </w:r>
            <w:r>
              <w:rPr>
                <w:rFonts w:hint="eastAsia" w:ascii="宋体" w:hAnsi="宋体" w:eastAsia="宋体" w:cs="宋体"/>
                <w:bCs/>
                <w:sz w:val="24"/>
                <w:szCs w:val="24"/>
                <w:highlight w:val="none"/>
                <w:lang w:val="en-US" w:eastAsia="zh-CN"/>
              </w:rPr>
              <w:t>或负责人</w:t>
            </w:r>
            <w:r>
              <w:rPr>
                <w:rFonts w:hint="eastAsia" w:ascii="宋体" w:hAnsi="宋体" w:eastAsia="宋体" w:cs="宋体"/>
                <w:bCs/>
                <w:sz w:val="24"/>
                <w:szCs w:val="24"/>
                <w:highlight w:val="none"/>
              </w:rPr>
              <w:t>或被授权人的签字齐全</w:t>
            </w:r>
            <w:r>
              <w:rPr>
                <w:rFonts w:hint="eastAsia" w:ascii="宋体" w:hAnsi="宋体" w:eastAsia="宋体" w:cs="宋体"/>
                <w:bCs/>
                <w:sz w:val="24"/>
                <w:szCs w:val="24"/>
                <w:highlight w:val="none"/>
                <w:lang w:val="en-US" w:eastAsia="zh-CN"/>
              </w:rPr>
              <w:t>或</w:t>
            </w:r>
            <w:r>
              <w:rPr>
                <w:rFonts w:hint="eastAsia" w:ascii="宋体" w:hAnsi="宋体" w:eastAsia="宋体" w:cs="宋体"/>
                <w:bCs/>
                <w:sz w:val="24"/>
                <w:szCs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44" w:type="pct"/>
            <w:vMerge w:val="continue"/>
            <w:noWrap w:val="0"/>
            <w:vAlign w:val="center"/>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center"/>
          </w:tcPr>
          <w:p>
            <w:pPr>
              <w:tabs>
                <w:tab w:val="left" w:pos="0"/>
              </w:tabs>
              <w:adjustRightInd w:val="0"/>
              <w:snapToGrid w:val="0"/>
              <w:rPr>
                <w:rFonts w:hint="eastAsia" w:ascii="宋体" w:hAnsi="宋体" w:eastAsia="宋体" w:cs="宋体"/>
                <w:bCs/>
                <w:sz w:val="24"/>
                <w:szCs w:val="24"/>
                <w:highlight w:val="none"/>
              </w:rPr>
            </w:pPr>
          </w:p>
        </w:tc>
        <w:tc>
          <w:tcPr>
            <w:tcW w:w="787" w:type="pct"/>
            <w:vMerge w:val="continue"/>
            <w:noWrap w:val="0"/>
            <w:vAlign w:val="center"/>
          </w:tcPr>
          <w:p>
            <w:pPr>
              <w:tabs>
                <w:tab w:val="left" w:pos="0"/>
              </w:tabs>
              <w:adjustRightInd w:val="0"/>
              <w:snapToGrid w:val="0"/>
              <w:jc w:val="center"/>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color w:val="auto"/>
                <w:sz w:val="24"/>
                <w:szCs w:val="24"/>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文件格式</w:t>
            </w:r>
          </w:p>
        </w:tc>
        <w:tc>
          <w:tcPr>
            <w:tcW w:w="2471" w:type="pct"/>
            <w:noWrap w:val="0"/>
            <w:vAlign w:val="center"/>
          </w:tcPr>
          <w:p>
            <w:pPr>
              <w:tabs>
                <w:tab w:val="left" w:pos="0"/>
              </w:tabs>
              <w:adjustRightInd w:val="0"/>
              <w:snapToGrid w:val="0"/>
              <w:rPr>
                <w:rFonts w:hint="eastAsia" w:ascii="宋体" w:hAnsi="宋体" w:eastAsia="宋体" w:cs="宋体"/>
                <w:color w:val="auto"/>
                <w:sz w:val="24"/>
                <w:szCs w:val="24"/>
              </w:rPr>
            </w:pPr>
            <w:r>
              <w:rPr>
                <w:rFonts w:hint="eastAsia" w:ascii="宋体" w:hAnsi="宋体" w:eastAsia="宋体" w:cs="宋体"/>
                <w:bCs/>
                <w:sz w:val="24"/>
                <w:szCs w:val="24"/>
                <w:highlight w:val="none"/>
              </w:rPr>
              <w:t>应符合“</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磋商报价</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同时满足以下条款：</w:t>
            </w:r>
          </w:p>
          <w:p>
            <w:pPr>
              <w:tabs>
                <w:tab w:val="left" w:pos="0"/>
              </w:tabs>
              <w:adjustRightInd w:val="0"/>
              <w:snapToGrid w:val="0"/>
              <w:rPr>
                <w:rFonts w:hint="eastAsia" w:ascii="宋体" w:hAnsi="宋体" w:eastAsia="宋体" w:cs="宋体"/>
                <w:bCs/>
                <w:sz w:val="24"/>
                <w:szCs w:val="24"/>
                <w:highlight w:val="none"/>
                <w:lang w:val="en-US" w:eastAsia="zh-CN"/>
              </w:rPr>
            </w:pPr>
          </w:p>
          <w:p>
            <w:pPr>
              <w:tabs>
                <w:tab w:val="left" w:pos="0"/>
              </w:tabs>
              <w:adjustRightInd w:val="0"/>
              <w:snapToGrid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（1）磋商报价符合唯一性要求；</w:t>
            </w:r>
          </w:p>
          <w:p>
            <w:pPr>
              <w:tabs>
                <w:tab w:val="left" w:pos="0"/>
              </w:tabs>
              <w:adjustRightInd w:val="0"/>
              <w:snapToGrid w:val="0"/>
              <w:rPr>
                <w:rFonts w:hint="eastAsia" w:ascii="宋体" w:hAnsi="宋体" w:eastAsia="宋体" w:cs="宋体"/>
                <w:bCs/>
                <w:sz w:val="24"/>
                <w:szCs w:val="24"/>
                <w:highlight w:val="none"/>
                <w:lang w:val="en-US" w:eastAsia="zh-CN"/>
              </w:rPr>
            </w:pPr>
          </w:p>
          <w:p>
            <w:pPr>
              <w:tabs>
                <w:tab w:val="left" w:pos="0"/>
              </w:tabs>
              <w:adjustRightInd w:val="0"/>
              <w:snapToGrid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（2）第一次磋商报价表填写符合要求；</w:t>
            </w:r>
          </w:p>
          <w:p>
            <w:pPr>
              <w:tabs>
                <w:tab w:val="left" w:pos="0"/>
              </w:tabs>
              <w:adjustRightInd w:val="0"/>
              <w:snapToGrid w:val="0"/>
              <w:rPr>
                <w:rFonts w:hint="eastAsia" w:ascii="宋体" w:hAnsi="宋体" w:eastAsia="宋体" w:cs="宋体"/>
                <w:bCs/>
                <w:sz w:val="24"/>
                <w:szCs w:val="24"/>
                <w:highlight w:val="none"/>
                <w:lang w:val="en-US" w:eastAsia="zh-CN"/>
              </w:rPr>
            </w:pPr>
          </w:p>
          <w:p>
            <w:pPr>
              <w:tabs>
                <w:tab w:val="left" w:pos="0"/>
              </w:tabs>
              <w:adjustRightInd w:val="0"/>
              <w:snapToGrid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（3）报价货币符合磋商文件要求；</w:t>
            </w:r>
          </w:p>
          <w:p>
            <w:pPr>
              <w:tabs>
                <w:tab w:val="left" w:pos="0"/>
              </w:tabs>
              <w:adjustRightInd w:val="0"/>
              <w:snapToGrid w:val="0"/>
              <w:rPr>
                <w:rFonts w:hint="eastAsia" w:ascii="宋体" w:hAnsi="宋体" w:eastAsia="宋体" w:cs="宋体"/>
                <w:bCs/>
                <w:sz w:val="24"/>
                <w:szCs w:val="24"/>
                <w:highlight w:val="none"/>
                <w:lang w:val="en-US" w:eastAsia="zh-CN"/>
              </w:rPr>
            </w:pPr>
          </w:p>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（4）未超出采购预算或磋商文件规定的最高限价；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文件份数</w:t>
            </w:r>
          </w:p>
        </w:tc>
        <w:tc>
          <w:tcPr>
            <w:tcW w:w="2471" w:type="pct"/>
            <w:noWrap w:val="0"/>
            <w:vAlign w:val="center"/>
          </w:tcPr>
          <w:p>
            <w:pPr>
              <w:pStyle w:val="14"/>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应符合</w:t>
            </w:r>
            <w:r>
              <w:rPr>
                <w:rFonts w:hint="eastAsia" w:ascii="宋体" w:hAnsi="宋体" w:eastAsia="宋体" w:cs="宋体"/>
                <w:bCs/>
                <w:sz w:val="24"/>
                <w:szCs w:val="24"/>
                <w:highlight w:val="none"/>
                <w:lang w:val="en-US" w:eastAsia="zh-CN"/>
              </w:rPr>
              <w:t>磋商文件</w:t>
            </w:r>
            <w:r>
              <w:rPr>
                <w:rFonts w:hint="eastAsia" w:ascii="宋体" w:hAnsi="宋体" w:eastAsia="宋体" w:cs="宋体"/>
                <w:bCs/>
                <w:sz w:val="24"/>
                <w:szCs w:val="24"/>
                <w:highlight w:val="none"/>
              </w:rPr>
              <w:t>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44" w:type="pct"/>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448" w:type="pct"/>
            <w:gridSpan w:val="2"/>
            <w:vMerge w:val="continue"/>
            <w:noWrap w:val="0"/>
            <w:vAlign w:val="center"/>
          </w:tcPr>
          <w:p>
            <w:pPr>
              <w:tabs>
                <w:tab w:val="left" w:pos="0"/>
              </w:tabs>
              <w:adjustRightInd w:val="0"/>
              <w:snapToGrid w:val="0"/>
              <w:jc w:val="center"/>
              <w:rPr>
                <w:rFonts w:hint="eastAsia" w:ascii="宋体" w:hAnsi="宋体" w:eastAsia="宋体" w:cs="宋体"/>
                <w:bCs/>
                <w:sz w:val="24"/>
                <w:szCs w:val="24"/>
                <w:highlight w:val="none"/>
              </w:rPr>
            </w:pPr>
          </w:p>
        </w:tc>
        <w:tc>
          <w:tcPr>
            <w:tcW w:w="787" w:type="pct"/>
            <w:vMerge w:val="restart"/>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完整性审查</w:t>
            </w: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文件内容</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对</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文件响应程度</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44" w:type="pct"/>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448" w:type="pct"/>
            <w:gridSpan w:val="2"/>
            <w:vMerge w:val="continue"/>
            <w:noWrap w:val="0"/>
            <w:vAlign w:val="center"/>
          </w:tcPr>
          <w:p>
            <w:pPr>
              <w:tabs>
                <w:tab w:val="left" w:pos="0"/>
              </w:tabs>
              <w:adjustRightInd w:val="0"/>
              <w:snapToGrid w:val="0"/>
              <w:jc w:val="center"/>
              <w:rPr>
                <w:rFonts w:hint="eastAsia" w:ascii="宋体" w:hAnsi="宋体" w:eastAsia="宋体" w:cs="宋体"/>
                <w:bCs/>
                <w:sz w:val="24"/>
                <w:szCs w:val="24"/>
                <w:highlight w:val="none"/>
              </w:rPr>
            </w:pPr>
          </w:p>
        </w:tc>
        <w:tc>
          <w:tcPr>
            <w:tcW w:w="787" w:type="pct"/>
            <w:vMerge w:val="restart"/>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响应性审查</w:t>
            </w: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有无否决投标情形</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应满足</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服务期</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应满足</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文件中要求的</w:t>
            </w:r>
            <w:r>
              <w:rPr>
                <w:rFonts w:hint="eastAsia" w:ascii="宋体" w:hAnsi="宋体" w:eastAsia="宋体" w:cs="宋体"/>
                <w:bCs/>
                <w:sz w:val="24"/>
                <w:szCs w:val="24"/>
                <w:highlight w:val="none"/>
                <w:lang w:val="en-US" w:eastAsia="zh-CN"/>
              </w:rPr>
              <w:t>服务期</w:t>
            </w:r>
            <w:r>
              <w:rPr>
                <w:rFonts w:hint="eastAsia" w:ascii="宋体" w:hAnsi="宋体" w:eastAsia="宋体" w:cs="宋体"/>
                <w:bCs/>
                <w:sz w:val="24"/>
                <w:szCs w:val="24"/>
                <w:highlight w:val="none"/>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有效期</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应满足</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4"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448" w:type="pct"/>
            <w:gridSpan w:val="2"/>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787" w:type="pct"/>
            <w:vMerge w:val="continue"/>
            <w:noWrap w:val="0"/>
            <w:vAlign w:val="top"/>
          </w:tcPr>
          <w:p>
            <w:pPr>
              <w:tabs>
                <w:tab w:val="left" w:pos="0"/>
              </w:tabs>
              <w:adjustRightInd w:val="0"/>
              <w:snapToGrid w:val="0"/>
              <w:spacing w:line="360" w:lineRule="auto"/>
              <w:rPr>
                <w:rFonts w:hint="eastAsia" w:ascii="宋体" w:hAnsi="宋体" w:eastAsia="宋体" w:cs="宋体"/>
                <w:bCs/>
                <w:sz w:val="24"/>
                <w:szCs w:val="24"/>
                <w:highlight w:val="none"/>
              </w:rPr>
            </w:pPr>
          </w:p>
        </w:tc>
        <w:tc>
          <w:tcPr>
            <w:tcW w:w="847" w:type="pct"/>
            <w:gridSpan w:val="2"/>
            <w:noWrap w:val="0"/>
            <w:vAlign w:val="center"/>
          </w:tcPr>
          <w:p>
            <w:pPr>
              <w:tabs>
                <w:tab w:val="left" w:pos="0"/>
              </w:tabs>
              <w:adjustRightInd w:val="0"/>
              <w:snapToGrid w:val="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磋商保证金</w:t>
            </w:r>
          </w:p>
        </w:tc>
        <w:tc>
          <w:tcPr>
            <w:tcW w:w="2471" w:type="pct"/>
            <w:noWrap w:val="0"/>
            <w:vAlign w:val="center"/>
          </w:tcPr>
          <w:p>
            <w:pPr>
              <w:tabs>
                <w:tab w:val="left" w:pos="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应满足</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文件中的规定</w:t>
            </w:r>
          </w:p>
        </w:tc>
      </w:tr>
    </w:tbl>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8"/>
          <w:szCs w:val="24"/>
        </w:rPr>
        <w:t>注：根据审查因素、审查标准，在最终结论栏中填写“合格”或“不合格”，评标委员会全体成员签字确认。如有一项不合格则最终结论为“不合格”。</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2.评分明细表</w:t>
      </w:r>
    </w:p>
    <w:p>
      <w:pPr>
        <w:spacing w:line="312" w:lineRule="auto"/>
        <w:ind w:firstLine="361" w:firstLineChars="150"/>
        <w:jc w:val="center"/>
        <w:rPr>
          <w:rFonts w:hint="eastAsia" w:ascii="宋体" w:hAnsi="宋体" w:eastAsia="宋体" w:cs="宋体"/>
          <w:highlight w:val="yellow"/>
        </w:rPr>
      </w:pPr>
      <w:r>
        <w:rPr>
          <w:rFonts w:hint="eastAsia" w:ascii="宋体" w:hAnsi="宋体" w:eastAsia="宋体" w:cs="宋体"/>
          <w:b/>
          <w:bCs/>
          <w:color w:val="auto"/>
          <w:sz w:val="24"/>
          <w:szCs w:val="24"/>
        </w:rPr>
        <w:t>评分细则</w:t>
      </w:r>
      <w:bookmarkEnd w:id="92"/>
    </w:p>
    <w:tbl>
      <w:tblPr>
        <w:tblStyle w:val="34"/>
        <w:tblW w:w="9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
        <w:gridCol w:w="7464"/>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bookmarkStart w:id="93" w:name="_Toc152042376"/>
            <w:bookmarkStart w:id="94" w:name="_Toc18142"/>
            <w:bookmarkStart w:id="95" w:name="_Toc225592722"/>
            <w:bookmarkStart w:id="96" w:name="_Toc397585167"/>
            <w:bookmarkStart w:id="97" w:name="_Toc152045599"/>
            <w:bookmarkStart w:id="98" w:name="_Toc394320898"/>
            <w:bookmarkStart w:id="99" w:name="_Toc397410656"/>
            <w:bookmarkStart w:id="100" w:name="_Toc246996242"/>
            <w:bookmarkStart w:id="101" w:name="_Toc123211617"/>
            <w:bookmarkStart w:id="102" w:name="_Toc456197085"/>
            <w:bookmarkStart w:id="103" w:name="_Toc246996985"/>
            <w:bookmarkStart w:id="104" w:name="_Toc343511682"/>
            <w:bookmarkStart w:id="105" w:name="_Toc221523517"/>
            <w:bookmarkStart w:id="106" w:name="_Toc397585236"/>
            <w:bookmarkStart w:id="107" w:name="_Toc112236889"/>
            <w:bookmarkStart w:id="108" w:name="_Toc132684599"/>
            <w:bookmarkStart w:id="109" w:name="_Toc145989485"/>
            <w:bookmarkStart w:id="110" w:name="_Toc169940988"/>
            <w:bookmarkStart w:id="111" w:name="_Toc179632617"/>
            <w:bookmarkStart w:id="112" w:name="_Toc361406429"/>
            <w:bookmarkStart w:id="113" w:name="_Toc397410469"/>
            <w:bookmarkStart w:id="114" w:name="_Toc247085757"/>
            <w:bookmarkStart w:id="115" w:name="_Toc395711817"/>
            <w:bookmarkStart w:id="116" w:name="_Toc361406350"/>
            <w:bookmarkStart w:id="117" w:name="_Toc144974566"/>
            <w:r>
              <w:rPr>
                <w:rFonts w:hint="eastAsia" w:ascii="宋体" w:hAnsi="宋体" w:eastAsia="宋体" w:cs="宋体"/>
                <w:i w:val="0"/>
                <w:iCs w:val="0"/>
                <w:color w:val="000000"/>
                <w:kern w:val="0"/>
                <w:sz w:val="22"/>
                <w:szCs w:val="22"/>
                <w:u w:val="none"/>
                <w:lang w:val="en-US" w:eastAsia="zh-CN" w:bidi="ar"/>
              </w:rPr>
              <w:t>评分项</w:t>
            </w:r>
          </w:p>
        </w:tc>
        <w:tc>
          <w:tcPr>
            <w:tcW w:w="74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分项</w:t>
            </w:r>
          </w:p>
        </w:tc>
        <w:tc>
          <w:tcPr>
            <w:tcW w:w="13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jc w:val="center"/>
        </w:trPr>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74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1.经初审合格的投标文件，其投标报价为有效投标报价，并对有效投标报价进行政策性扣减，并依据扣减后的价格（评审价格）进行价格评审。</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2.满足招标文件实质性要求且报价最低的投标人的价格为投标基准价，其价格分为满分20分。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3.投标报价得分=（投标基准价/投标报价）×20的公式计算得分。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4.投标报价不完整的，不进入评标标准价的计算，本项得0分。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5.经评委一致认定，投标人的投标总报价低于公认市场成本，或超过采购预算,其投标将被拒绝。</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6.符合招标文件规定的小微企业、监狱企业优惠条件的供应商，价格给予 6%的扣除，用扣除后的价格参与评审。</w:t>
            </w:r>
          </w:p>
        </w:tc>
        <w:tc>
          <w:tcPr>
            <w:tcW w:w="130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商务评审</w:t>
            </w:r>
          </w:p>
        </w:tc>
        <w:tc>
          <w:tcPr>
            <w:tcW w:w="7464" w:type="dxa"/>
            <w:tcBorders>
              <w:top w:val="nil"/>
              <w:left w:val="nil"/>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经过有符合性审核合格的单位，对服务、成果交付等商务要求进行响应。</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完全响应且逐项详细说明的计10分；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未做详细响应的，按响应程度计1～9分。</w:t>
            </w:r>
          </w:p>
        </w:tc>
        <w:tc>
          <w:tcPr>
            <w:tcW w:w="13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服务方案评审</w:t>
            </w:r>
          </w:p>
        </w:tc>
        <w:tc>
          <w:tcPr>
            <w:tcW w:w="7464" w:type="dxa"/>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供应商根据采购人的需求和项目具体内容并结合自身情况制定服务方案（突出投标人优势），评标小组按照各服务方案的详尽、完善等方面进行综合评定：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1.针对本项目及采购人需求提供详细具体可行的售后服务承诺（0～5分）；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2.方案的详尽、完善，包含实施方案（含工作流程）、质量保证及措施、服务响应时间、本地化服务、合理化建议等方面；（0～10分）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3.具有服务承诺，应急解决方案、服务监督管理机制完善周到，按其响应程度（0～5分）；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4.优惠条件，评委比较供应商优惠承诺打分（0～5分）。</w:t>
            </w:r>
          </w:p>
        </w:tc>
        <w:tc>
          <w:tcPr>
            <w:tcW w:w="13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60"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质量承诺及保证措施</w:t>
            </w:r>
          </w:p>
        </w:tc>
        <w:tc>
          <w:tcPr>
            <w:tcW w:w="7464"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1.有完善的服务质量保障措施，包括组织保障、质量保障、设备保障，按其响应程度得1～5分；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2.项目实施进度安排具体、合理。按其响应程度得1～5分；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3.服务响应时要能在最短时间内赶到现场，说明流程、响应时间及人员安排，得1～5分</w:t>
            </w:r>
          </w:p>
        </w:tc>
        <w:tc>
          <w:tcPr>
            <w:tcW w:w="130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项目实施进度计划</w:t>
            </w:r>
          </w:p>
        </w:tc>
        <w:tc>
          <w:tcPr>
            <w:tcW w:w="7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项目实施进度计划合理，细致详尽，时间节点任务安排周密，可操作性强，有具体的违约承诺的计11～15分；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基本满足招标文件要求的计6～10分；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较差的计0～5分。</w:t>
            </w:r>
          </w:p>
        </w:tc>
        <w:tc>
          <w:tcPr>
            <w:tcW w:w="1308"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项目团队</w:t>
            </w:r>
          </w:p>
        </w:tc>
        <w:tc>
          <w:tcPr>
            <w:tcW w:w="7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组织机构设置合理技术人员配备数量充足、人员职责明确、分工清晰合理、相关项目实施经验丰富，得7～10分；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组织机构设置较为合理，调查人员及技术人员配备数量较充足、职责较明确、分工较清晰合理、相关项目实施经验较丰富，得4～6分；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组织机构设置一般，调查人员及技术人员配备数量不够充足、职责不够明确、分工不够清晰合理，不具备相关项目实施经验，得0～3分。</w:t>
            </w:r>
          </w:p>
        </w:tc>
        <w:tc>
          <w:tcPr>
            <w:tcW w:w="1308"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960" w:type="dxa"/>
            <w:tcBorders>
              <w:top w:val="single" w:color="auto" w:sz="4" w:space="0"/>
              <w:left w:val="single" w:color="000000" w:sz="8" w:space="0"/>
              <w:bottom w:val="single" w:color="000000" w:sz="8" w:space="0"/>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服务承诺</w:t>
            </w:r>
          </w:p>
        </w:tc>
        <w:tc>
          <w:tcPr>
            <w:tcW w:w="746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后期服务配合计划完备、可行性强、可提供驻地服务的得4～5分；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后期服务配合计划具有一定的可行性，可提供驻地服务的得2～3分；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后期服务配合计划内容空洞，可行性较差的得0～1分。</w:t>
            </w:r>
          </w:p>
        </w:tc>
        <w:tc>
          <w:tcPr>
            <w:tcW w:w="13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4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100分</w:t>
            </w:r>
          </w:p>
        </w:tc>
      </w:tr>
    </w:tbl>
    <w:p>
      <w:pPr>
        <w:rPr>
          <w:rFonts w:hint="eastAsia" w:ascii="宋体" w:hAnsi="宋体" w:eastAsia="宋体" w:cs="宋体"/>
          <w:lang w:eastAsia="zh-CN"/>
        </w:rPr>
      </w:pP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1"/>
        <w:jc w:val="both"/>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本项目磋</w:t>
      </w:r>
      <w:r>
        <w:rPr>
          <w:rFonts w:hint="eastAsia" w:ascii="宋体" w:hAnsi="宋体" w:eastAsia="宋体" w:cs="宋体"/>
          <w:color w:val="000000" w:themeColor="text1"/>
          <w:sz w:val="28"/>
          <w:szCs w:val="28"/>
          <w:lang w:eastAsia="zh-CN"/>
          <w14:textFill>
            <w14:solidFill>
              <w14:schemeClr w14:val="tx1"/>
            </w14:solidFill>
          </w14:textFill>
        </w:rPr>
        <w:t>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eastAsia="宋体" w:cs="宋体"/>
          <w:color w:val="000000" w:themeColor="text1"/>
          <w:sz w:val="28"/>
          <w:szCs w:val="28"/>
          <w:lang w:val="en-US" w:eastAsia="zh-CN"/>
          <w14:textFill>
            <w14:solidFill>
              <w14:schemeClr w14:val="tx1"/>
            </w14:solidFill>
          </w14:textFill>
        </w:rPr>
        <w:t>采购代理机构</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18" w:name="_Toc526842695"/>
      <w:bookmarkStart w:id="119" w:name="_Toc22424"/>
      <w:r>
        <w:rPr>
          <w:rFonts w:hint="eastAsia" w:ascii="宋体" w:hAnsi="宋体" w:eastAsia="宋体" w:cs="宋体"/>
          <w:color w:val="000000" w:themeColor="text1"/>
          <w:sz w:val="28"/>
          <w:szCs w:val="28"/>
          <w14:textFill>
            <w14:solidFill>
              <w14:schemeClr w14:val="tx1"/>
            </w14:solidFill>
          </w14:textFill>
        </w:rPr>
        <w:t>1. 评标方法</w:t>
      </w:r>
      <w:bookmarkEnd w:id="118"/>
      <w:bookmarkEnd w:id="119"/>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服务期</w:t>
      </w:r>
      <w:r>
        <w:rPr>
          <w:rFonts w:hint="eastAsia" w:ascii="宋体" w:hAnsi="宋体" w:eastAsia="宋体" w:cs="宋体"/>
          <w:color w:val="000000" w:themeColor="text1"/>
          <w:sz w:val="28"/>
          <w:szCs w:val="28"/>
          <w14:textFill>
            <w14:solidFill>
              <w14:schemeClr w14:val="tx1"/>
            </w14:solidFill>
          </w14:textFill>
        </w:rPr>
        <w:t>合理、方案可行；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按照《中华人民共和国招标投标法》的规定，本次评标采用“综合评估法”，即在最大限度地满足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val="en-US" w:eastAsia="zh-CN"/>
          <w14:textFill>
            <w14:solidFill>
              <w14:schemeClr w14:val="tx1"/>
            </w14:solidFill>
          </w14:textFill>
        </w:rPr>
        <w:t>服务期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20" w:name="_Toc24205"/>
      <w:bookmarkStart w:id="121" w:name="_Toc526842696"/>
      <w:r>
        <w:rPr>
          <w:rFonts w:hint="eastAsia" w:ascii="宋体" w:hAnsi="宋体" w:eastAsia="宋体" w:cs="宋体"/>
          <w:color w:val="000000" w:themeColor="text1"/>
          <w:sz w:val="28"/>
          <w:szCs w:val="28"/>
          <w14:textFill>
            <w14:solidFill>
              <w14:schemeClr w14:val="tx1"/>
            </w14:solidFill>
          </w14:textFill>
        </w:rPr>
        <w:t>2. 评审标准</w:t>
      </w:r>
      <w:bookmarkEnd w:id="120"/>
      <w:bookmarkEnd w:id="121"/>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22" w:name="_Toc526842697"/>
      <w:bookmarkStart w:id="123"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22"/>
      <w:bookmarkEnd w:id="123"/>
    </w:p>
    <w:p>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24" w:name="_Toc526842698"/>
      <w:bookmarkStart w:id="125" w:name="_Toc526842699"/>
      <w:r>
        <w:rPr>
          <w:rFonts w:hint="eastAsia" w:ascii="宋体" w:hAnsi="宋体" w:eastAsia="宋体" w:cs="宋体"/>
          <w:color w:val="000000"/>
          <w:sz w:val="28"/>
          <w:szCs w:val="28"/>
        </w:rPr>
        <w:t>2.1.1形式评审标准：见评标办法前附表。</w:t>
      </w:r>
    </w:p>
    <w:p>
      <w:pPr>
        <w:pStyle w:val="4"/>
        <w:ind w:firstLine="560" w:firstLineChars="200"/>
        <w:rPr>
          <w:rFonts w:hint="eastAsia" w:ascii="宋体" w:hAnsi="宋体" w:eastAsia="宋体" w:cs="宋体"/>
          <w:b w:val="0"/>
          <w:bCs/>
          <w:color w:val="000000"/>
          <w:sz w:val="28"/>
          <w:szCs w:val="28"/>
        </w:rPr>
      </w:pPr>
      <w:bookmarkStart w:id="126" w:name="_Toc3038"/>
      <w:r>
        <w:rPr>
          <w:rFonts w:hint="eastAsia" w:ascii="宋体" w:hAnsi="宋体" w:eastAsia="宋体" w:cs="宋体"/>
          <w:b w:val="0"/>
          <w:bCs/>
          <w:color w:val="000000"/>
          <w:sz w:val="28"/>
          <w:szCs w:val="28"/>
        </w:rPr>
        <w:t>2.1.2响应性评审标准：见评标办法前附表。</w:t>
      </w:r>
      <w:bookmarkEnd w:id="126"/>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27"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24"/>
      <w:bookmarkEnd w:id="127"/>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28" w:name="_Toc15104"/>
      <w:r>
        <w:rPr>
          <w:rFonts w:hint="eastAsia" w:ascii="宋体" w:hAnsi="宋体" w:eastAsia="宋体" w:cs="宋体"/>
          <w:color w:val="000000" w:themeColor="text1"/>
          <w:sz w:val="28"/>
          <w:szCs w:val="28"/>
          <w14:textFill>
            <w14:solidFill>
              <w14:schemeClr w14:val="tx1"/>
            </w14:solidFill>
          </w14:textFill>
        </w:rPr>
        <w:t>3. 评标程序</w:t>
      </w:r>
      <w:bookmarkEnd w:id="125"/>
      <w:bookmarkEnd w:id="128"/>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29" w:name="_Toc526842700"/>
      <w:bookmarkStart w:id="130" w:name="_Toc23340"/>
      <w:r>
        <w:rPr>
          <w:rFonts w:hint="eastAsia" w:ascii="宋体" w:hAnsi="宋体" w:eastAsia="宋体" w:cs="宋体"/>
          <w:color w:val="000000" w:themeColor="text1"/>
          <w:sz w:val="28"/>
          <w:szCs w:val="28"/>
          <w14:textFill>
            <w14:solidFill>
              <w14:schemeClr w14:val="tx1"/>
            </w14:solidFill>
          </w14:textFill>
        </w:rPr>
        <w:t>3.2初步评审</w:t>
      </w:r>
      <w:bookmarkEnd w:id="129"/>
      <w:bookmarkEnd w:id="130"/>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31" w:name="_Toc526842701"/>
      <w:bookmarkStart w:id="132" w:name="_Toc272"/>
      <w:r>
        <w:rPr>
          <w:rFonts w:hint="eastAsia" w:ascii="宋体" w:hAnsi="宋体" w:eastAsia="宋体" w:cs="宋体"/>
          <w:color w:val="000000" w:themeColor="text1"/>
          <w:sz w:val="28"/>
          <w:szCs w:val="28"/>
          <w14:textFill>
            <w14:solidFill>
              <w14:schemeClr w14:val="tx1"/>
            </w14:solidFill>
          </w14:textFill>
        </w:rPr>
        <w:t>3.3 详细评审</w:t>
      </w:r>
      <w:bookmarkEnd w:id="131"/>
      <w:bookmarkEnd w:id="132"/>
    </w:p>
    <w:p>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评标前磋商小组需先对供应商磋商响应文件中的资格证明文件（加盖单位公章的复印件、原件备查）进行资格审查和符合性评审，然后再对通过资格审查和符合性评审的供应商进行技术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pPr>
        <w:pStyle w:val="21"/>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33" w:name="_Toc17944"/>
      <w:bookmarkStart w:id="134"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33"/>
      <w:bookmarkEnd w:id="134"/>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35" w:name="_Toc526842703"/>
      <w:bookmarkStart w:id="136" w:name="_Toc13592"/>
      <w:r>
        <w:rPr>
          <w:rFonts w:hint="eastAsia" w:ascii="宋体" w:hAnsi="宋体" w:eastAsia="宋体" w:cs="宋体"/>
          <w:color w:val="000000" w:themeColor="text1"/>
          <w:sz w:val="28"/>
          <w:szCs w:val="28"/>
          <w14:textFill>
            <w14:solidFill>
              <w14:schemeClr w14:val="tx1"/>
            </w14:solidFill>
          </w14:textFill>
        </w:rPr>
        <w:t>3.5 评标结果</w:t>
      </w:r>
      <w:bookmarkEnd w:id="135"/>
      <w:bookmarkEnd w:id="136"/>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37"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3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38" w:name="_Toc6400"/>
      <w:bookmarkStart w:id="139" w:name="_Toc332199024"/>
      <w:bookmarkStart w:id="140" w:name="_Toc526842704"/>
      <w:bookmarkStart w:id="141" w:name="_Toc290389727"/>
      <w:bookmarkStart w:id="142" w:name="_Toc369361291"/>
      <w:bookmarkStart w:id="143" w:name="_Toc332199115"/>
      <w:bookmarkStart w:id="144" w:name="_Toc9257"/>
      <w:bookmarkStart w:id="145" w:name="_Toc360604917"/>
      <w:bookmarkStart w:id="146" w:name="_Toc500323106"/>
      <w:bookmarkStart w:id="147" w:name="_Toc15026"/>
      <w:bookmarkStart w:id="148" w:name="_Toc487726885"/>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《政府采购促进中小企业发展管理办法》的通知（财库〔2020〕46号）</w:t>
      </w:r>
      <w:bookmarkEnd w:id="13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49" w:name="_Toc28308"/>
      <w:r>
        <w:rPr>
          <w:rFonts w:hint="eastAsia" w:ascii="宋体" w:hAnsi="宋体" w:eastAsia="宋体" w:cs="宋体"/>
          <w:b w:val="0"/>
          <w:bCs/>
          <w:color w:val="000000"/>
          <w:sz w:val="28"/>
          <w:szCs w:val="28"/>
        </w:rPr>
        <w:t>在政府采购活动中，供应商提供的货物、工程或者服务符合下列情形的，享受《办法》规定的中小企业扶持政策:</w:t>
      </w:r>
      <w:bookmarkEnd w:id="14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0" w:name="_Toc29610"/>
      <w:r>
        <w:rPr>
          <w:rFonts w:hint="eastAsia" w:ascii="宋体" w:hAnsi="宋体" w:eastAsia="宋体" w:cs="宋体"/>
          <w:b w:val="0"/>
          <w:bCs/>
          <w:color w:val="000000"/>
          <w:sz w:val="28"/>
          <w:szCs w:val="28"/>
        </w:rPr>
        <w:t>(一)在货物采购项目中，货物由中小企业制造，即货物由中小企业生产且使用该中小企业商号或者注册商标；</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1" w:name="_Toc2212"/>
      <w:r>
        <w:rPr>
          <w:rFonts w:hint="eastAsia" w:ascii="宋体" w:hAnsi="宋体" w:eastAsia="宋体" w:cs="宋体"/>
          <w:b w:val="0"/>
          <w:bCs/>
          <w:color w:val="000000"/>
          <w:sz w:val="28"/>
          <w:szCs w:val="28"/>
        </w:rPr>
        <w:t>(二)在工程采购项目中，工程由中小企业承建，即工程施工单位为中小企业；</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2" w:name="_Toc31732"/>
      <w:r>
        <w:rPr>
          <w:rFonts w:hint="eastAsia" w:ascii="宋体" w:hAnsi="宋体" w:eastAsia="宋体" w:cs="宋体"/>
          <w:b w:val="0"/>
          <w:bCs/>
          <w:color w:val="000000"/>
          <w:sz w:val="28"/>
          <w:szCs w:val="28"/>
        </w:rPr>
        <w:t>(三)在服务采购项目中，服务由中小企业承接，即提供服务的人员为中小企业依照《中华人民共和国劳动合同法》订立劳动合同的从业人员。</w:t>
      </w:r>
      <w:bookmarkEnd w:id="15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3" w:name="_Toc28280"/>
      <w:r>
        <w:rPr>
          <w:rFonts w:hint="eastAsia" w:ascii="宋体" w:hAnsi="宋体" w:eastAsia="宋体" w:cs="宋体"/>
          <w:b w:val="0"/>
          <w:bCs/>
          <w:color w:val="000000"/>
          <w:sz w:val="28"/>
          <w:szCs w:val="28"/>
        </w:rPr>
        <w:t>在货物采购项目中，供应商提供的货物既有中小企业制造货物，也有大型企业制造货物的，不享受《办法》规定的中小企业扶持政策。</w:t>
      </w:r>
      <w:bookmarkEnd w:id="15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4" w:name="_Toc18434"/>
      <w:r>
        <w:rPr>
          <w:rFonts w:hint="eastAsia" w:ascii="宋体" w:hAnsi="宋体" w:eastAsia="宋体" w:cs="宋体"/>
          <w:b w:val="0"/>
          <w:bCs/>
          <w:color w:val="000000"/>
          <w:sz w:val="28"/>
          <w:szCs w:val="28"/>
        </w:rPr>
        <w:t>以联合体形式参加政府采购活动，联合体各方均为中小企业的，联合体视同中小企业。其中，联合体各方均为小微企业的，联合体视同小微企业。</w:t>
      </w:r>
      <w:bookmarkEnd w:id="15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eastAsia="zh-CN"/>
        </w:rPr>
      </w:pPr>
      <w:bookmarkStart w:id="155" w:name="_Toc9423"/>
      <w:r>
        <w:rPr>
          <w:rFonts w:hint="eastAsia" w:ascii="宋体" w:hAnsi="宋体" w:eastAsia="宋体" w:cs="宋体"/>
          <w:b w:val="0"/>
          <w:bCs/>
          <w:color w:val="000000"/>
          <w:sz w:val="28"/>
          <w:szCs w:val="28"/>
        </w:rPr>
        <w:t>依据</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rPr>
        <w:t>办法</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rPr>
        <w:t>规定享受扶持政策获得政府采购合同的，小微企业不得将合同分包给大中型企业，中型企业不得将合同分包给大型企业</w:t>
      </w:r>
      <w:r>
        <w:rPr>
          <w:rFonts w:hint="eastAsia" w:ascii="宋体" w:hAnsi="宋体" w:eastAsia="宋体" w:cs="宋体"/>
          <w:b w:val="0"/>
          <w:bCs/>
          <w:color w:val="000000"/>
          <w:sz w:val="28"/>
          <w:szCs w:val="28"/>
          <w:lang w:eastAsia="zh-CN"/>
        </w:rPr>
        <w:t>。</w:t>
      </w:r>
      <w:bookmarkEnd w:id="15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6" w:name="_Toc7194"/>
      <w:r>
        <w:rPr>
          <w:rFonts w:hint="eastAsia" w:ascii="宋体" w:hAnsi="宋体" w:eastAsia="宋体" w:cs="宋体"/>
          <w:b w:val="0"/>
          <w:bCs/>
          <w:color w:val="000000"/>
          <w:sz w:val="28"/>
          <w:szCs w:val="28"/>
        </w:rPr>
        <w:t>根据《政府采购促进中小企业发展管理办法》的通知（财库〔2020〕46号）规定，参加政府采购活动的中小企业应当提供《中小企业声明函》</w:t>
      </w:r>
      <w:r>
        <w:rPr>
          <w:rFonts w:hint="eastAsia" w:ascii="宋体" w:hAnsi="宋体" w:eastAsia="宋体" w:cs="宋体"/>
          <w:b w:val="0"/>
          <w:bCs/>
          <w:color w:val="000000"/>
          <w:sz w:val="28"/>
          <w:szCs w:val="28"/>
          <w:lang w:eastAsia="zh-CN"/>
        </w:rPr>
        <w:t>（见附件）</w:t>
      </w:r>
      <w:r>
        <w:rPr>
          <w:rFonts w:hint="eastAsia" w:ascii="宋体" w:hAnsi="宋体" w:eastAsia="宋体" w:cs="宋体"/>
          <w:b w:val="0"/>
          <w:bCs/>
          <w:color w:val="000000"/>
          <w:sz w:val="28"/>
          <w:szCs w:val="28"/>
        </w:rPr>
        <w:t>。供应商提供的《中小企业声明函》资料必须真实，否则，按照有关规定予以处理。</w:t>
      </w:r>
      <w:bookmarkEnd w:id="15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7" w:name="_Toc28497"/>
      <w:r>
        <w:rPr>
          <w:rFonts w:hint="eastAsia" w:ascii="宋体" w:hAnsi="宋体" w:eastAsia="宋体" w:cs="宋体"/>
          <w:b w:val="0"/>
          <w:bCs/>
          <w:color w:val="000000"/>
          <w:sz w:val="28"/>
          <w:szCs w:val="28"/>
        </w:rPr>
        <w:t>评标委员会根据《政府采购促进中小企业发展管理办法》的相关规定，小微企业报价给予</w:t>
      </w:r>
      <w:r>
        <w:rPr>
          <w:rFonts w:hint="eastAsia" w:ascii="宋体" w:hAnsi="宋体" w:eastAsia="宋体" w:cs="宋体"/>
          <w:b w:val="0"/>
          <w:bCs/>
          <w:color w:val="FF0000"/>
          <w:sz w:val="28"/>
          <w:szCs w:val="28"/>
          <w:lang w:val="en-US" w:eastAsia="zh-CN"/>
        </w:rPr>
        <w:t>6</w:t>
      </w:r>
      <w:r>
        <w:rPr>
          <w:rFonts w:hint="eastAsia" w:ascii="宋体" w:hAnsi="宋体" w:eastAsia="宋体" w:cs="宋体"/>
          <w:b w:val="0"/>
          <w:bCs/>
          <w:color w:val="FF0000"/>
          <w:sz w:val="28"/>
          <w:szCs w:val="28"/>
        </w:rPr>
        <w:t>%(工程项目为</w:t>
      </w:r>
      <w:r>
        <w:rPr>
          <w:rFonts w:hint="eastAsia" w:ascii="宋体" w:hAnsi="宋体" w:eastAsia="宋体" w:cs="宋体"/>
          <w:b w:val="0"/>
          <w:bCs/>
          <w:color w:val="FF0000"/>
          <w:sz w:val="28"/>
          <w:szCs w:val="28"/>
          <w:lang w:val="en-US" w:eastAsia="zh-CN"/>
        </w:rPr>
        <w:t>4</w:t>
      </w:r>
      <w:r>
        <w:rPr>
          <w:rFonts w:hint="eastAsia" w:ascii="宋体" w:hAnsi="宋体" w:eastAsia="宋体" w:cs="宋体"/>
          <w:b w:val="0"/>
          <w:bCs/>
          <w:color w:val="FF0000"/>
          <w:sz w:val="28"/>
          <w:szCs w:val="28"/>
        </w:rPr>
        <w:t>%</w:t>
      </w:r>
      <w:r>
        <w:rPr>
          <w:rFonts w:hint="eastAsia" w:ascii="宋体" w:hAnsi="宋体" w:eastAsia="宋体" w:cs="宋体"/>
          <w:b w:val="0"/>
          <w:bCs/>
          <w:color w:val="000000"/>
          <w:sz w:val="28"/>
          <w:szCs w:val="28"/>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b w:val="0"/>
          <w:bCs/>
          <w:color w:val="000000"/>
          <w:sz w:val="28"/>
          <w:szCs w:val="28"/>
          <w:lang w:val="en-US" w:eastAsia="zh-CN"/>
        </w:rPr>
        <w:t>6</w:t>
      </w:r>
      <w:r>
        <w:rPr>
          <w:rFonts w:hint="eastAsia" w:ascii="宋体" w:hAnsi="宋体" w:eastAsia="宋体" w:cs="宋体"/>
          <w:b w:val="0"/>
          <w:bCs/>
          <w:color w:val="000000"/>
          <w:sz w:val="28"/>
          <w:szCs w:val="28"/>
        </w:rPr>
        <w:t>%作为其价格分。</w:t>
      </w:r>
      <w:bookmarkEnd w:id="15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8" w:name="_Toc25557"/>
      <w:r>
        <w:rPr>
          <w:rFonts w:hint="eastAsia" w:ascii="宋体" w:hAnsi="宋体" w:eastAsia="宋体" w:cs="宋体"/>
          <w:b w:val="0"/>
          <w:bCs/>
          <w:color w:val="00000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color w:val="000000"/>
          <w:sz w:val="28"/>
          <w:szCs w:val="28"/>
          <w:lang w:val="en-US" w:eastAsia="zh-CN"/>
        </w:rPr>
        <w:t>2</w:t>
      </w:r>
      <w:r>
        <w:rPr>
          <w:rFonts w:hint="eastAsia" w:ascii="宋体" w:hAnsi="宋体" w:eastAsia="宋体" w:cs="宋体"/>
          <w:b w:val="0"/>
          <w:bCs/>
          <w:color w:val="000000"/>
          <w:sz w:val="28"/>
          <w:szCs w:val="28"/>
        </w:rPr>
        <w:t>%(工程项目为</w:t>
      </w:r>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%作为其价格分。组成联合体或者接受分包的小微企业与联合体内其他企业、分包企业之间存在直接控股、管理关系的，不享受价格扣除优惠政策。</w:t>
      </w:r>
      <w:bookmarkEnd w:id="15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59" w:name="_Toc12159"/>
      <w:r>
        <w:rPr>
          <w:rFonts w:hint="eastAsia" w:ascii="宋体" w:hAnsi="宋体" w:eastAsia="宋体" w:cs="宋体"/>
          <w:b w:val="0"/>
          <w:bCs/>
          <w:color w:val="000000"/>
          <w:sz w:val="28"/>
          <w:szCs w:val="28"/>
          <w:lang w:val="en-US" w:eastAsia="zh-CN"/>
        </w:rPr>
        <w:t>2.</w:t>
      </w:r>
      <w:r>
        <w:rPr>
          <w:rFonts w:hint="eastAsia" w:ascii="宋体" w:hAnsi="宋体" w:eastAsia="宋体" w:cs="宋体"/>
          <w:b w:val="0"/>
          <w:bCs/>
          <w:color w:val="000000"/>
          <w:sz w:val="28"/>
          <w:szCs w:val="28"/>
        </w:rPr>
        <w:t>财政部司法部关于政府采购支持监狱企业发展有关问题的通知—财库〔2014〕68号</w:t>
      </w:r>
      <w:bookmarkEnd w:id="159"/>
      <w:r>
        <w:rPr>
          <w:rFonts w:hint="eastAsia" w:ascii="宋体" w:hAnsi="宋体" w:eastAsia="宋体" w:cs="宋体"/>
          <w:b w:val="0"/>
          <w:bCs/>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0"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16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1" w:name="_Toc30736"/>
      <w:r>
        <w:rPr>
          <w:rFonts w:hint="eastAsia" w:ascii="宋体" w:hAnsi="宋体" w:eastAsia="宋体" w:cs="宋体"/>
          <w:b w:val="0"/>
          <w:bCs/>
          <w:color w:val="000000"/>
          <w:sz w:val="28"/>
          <w:szCs w:val="28"/>
        </w:rPr>
        <w:t>评标委员会对监狱企业的价格给予</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16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2" w:name="_Toc15904"/>
      <w:r>
        <w:rPr>
          <w:rFonts w:hint="eastAsia" w:ascii="宋体" w:hAnsi="宋体" w:eastAsia="宋体" w:cs="宋体"/>
          <w:b w:val="0"/>
          <w:bCs/>
          <w:color w:val="000000"/>
          <w:sz w:val="28"/>
          <w:szCs w:val="28"/>
          <w:lang w:val="en-US" w:eastAsia="zh-CN"/>
        </w:rPr>
        <w:t>3.</w:t>
      </w:r>
      <w:r>
        <w:rPr>
          <w:rFonts w:hint="eastAsia" w:ascii="宋体" w:hAnsi="宋体" w:eastAsia="宋体" w:cs="宋体"/>
          <w:b w:val="0"/>
          <w:bCs/>
          <w:color w:val="000000"/>
          <w:sz w:val="28"/>
          <w:szCs w:val="28"/>
        </w:rPr>
        <w:t>《国务院办公厅关于建立政府强制采购节能产品制度的通知》—国办发〔2007〕51号</w:t>
      </w:r>
      <w:bookmarkEnd w:id="1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3"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16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4" w:name="_Toc3243"/>
      <w:r>
        <w:rPr>
          <w:rFonts w:hint="eastAsia" w:ascii="宋体" w:hAnsi="宋体" w:eastAsia="宋体" w:cs="宋体"/>
          <w:b w:val="0"/>
          <w:bCs/>
          <w:color w:val="000000"/>
          <w:sz w:val="28"/>
          <w:szCs w:val="28"/>
          <w:lang w:val="en-US" w:eastAsia="zh-CN"/>
        </w:rPr>
        <w:t>4.</w:t>
      </w:r>
      <w:r>
        <w:rPr>
          <w:rFonts w:hint="eastAsia" w:ascii="宋体" w:hAnsi="宋体" w:eastAsia="宋体" w:cs="宋体"/>
          <w:b w:val="0"/>
          <w:bCs/>
          <w:color w:val="000000"/>
          <w:sz w:val="28"/>
          <w:szCs w:val="28"/>
        </w:rPr>
        <w:t>《环境标志产品政府采购实施的意见》--财库[2006]90号</w:t>
      </w:r>
      <w:bookmarkEnd w:id="16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5"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16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6"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16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7" w:name="_Toc29696"/>
      <w:r>
        <w:rPr>
          <w:rFonts w:hint="eastAsia" w:ascii="宋体" w:hAnsi="宋体" w:eastAsia="宋体" w:cs="宋体"/>
          <w:b w:val="0"/>
          <w:bCs/>
          <w:color w:val="000000"/>
          <w:sz w:val="28"/>
          <w:szCs w:val="28"/>
          <w:lang w:val="en-US" w:eastAsia="zh-CN"/>
        </w:rPr>
        <w:t>5.</w:t>
      </w:r>
      <w:r>
        <w:rPr>
          <w:rFonts w:hint="eastAsia" w:ascii="宋体" w:hAnsi="宋体" w:eastAsia="宋体" w:cs="宋体"/>
          <w:b w:val="0"/>
          <w:bCs/>
          <w:color w:val="000000"/>
          <w:sz w:val="28"/>
          <w:szCs w:val="28"/>
        </w:rPr>
        <w:t>《节能产品政府采购实施意见》--（财库[2004]185号）</w:t>
      </w:r>
      <w:bookmarkEnd w:id="167"/>
      <w:r>
        <w:rPr>
          <w:rFonts w:hint="eastAsia" w:ascii="宋体" w:hAnsi="宋体" w:eastAsia="宋体" w:cs="宋体"/>
          <w:b w:val="0"/>
          <w:bCs/>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8"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16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69"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16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0"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17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1" w:name="_Toc17122"/>
      <w:r>
        <w:rPr>
          <w:rFonts w:hint="eastAsia" w:ascii="宋体" w:hAnsi="宋体" w:eastAsia="宋体" w:cs="宋体"/>
          <w:b w:val="0"/>
          <w:bCs/>
          <w:color w:val="000000"/>
          <w:sz w:val="28"/>
          <w:szCs w:val="28"/>
          <w:lang w:val="en-US" w:eastAsia="zh-CN"/>
        </w:rPr>
        <w:t>6.</w:t>
      </w:r>
      <w:r>
        <w:rPr>
          <w:rFonts w:hint="eastAsia" w:ascii="宋体" w:hAnsi="宋体" w:eastAsia="宋体" w:cs="宋体"/>
          <w:b w:val="0"/>
          <w:bCs/>
          <w:color w:val="000000"/>
          <w:sz w:val="28"/>
          <w:szCs w:val="28"/>
        </w:rPr>
        <w:t>《关于促进残疾人就业政府采购政策的通知》财库〔2017〕141号</w:t>
      </w:r>
      <w:bookmarkEnd w:id="17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2"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17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73" w:name="_Toc10614"/>
      <w:r>
        <w:rPr>
          <w:rFonts w:hint="eastAsia" w:ascii="宋体" w:hAnsi="宋体" w:eastAsia="宋体" w:cs="宋体"/>
          <w:b w:val="0"/>
          <w:bCs/>
          <w:color w:val="000000"/>
          <w:sz w:val="28"/>
          <w:szCs w:val="28"/>
          <w:lang w:val="en-US" w:eastAsia="zh-CN"/>
        </w:rPr>
        <w:t>7.《财政部国务院扶贫办关于运用政府采购政策支持脱贫攻坚的通知》（财库〔2019〕27号）。</w:t>
      </w:r>
      <w:bookmarkEnd w:id="17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74" w:name="_Toc1806"/>
      <w:r>
        <w:rPr>
          <w:rFonts w:hint="eastAsia" w:ascii="宋体" w:hAnsi="宋体" w:eastAsia="宋体" w:cs="宋体"/>
          <w:b w:val="0"/>
          <w:bCs/>
          <w:color w:val="000000"/>
          <w:sz w:val="28"/>
          <w:szCs w:val="28"/>
          <w:lang w:val="en-US" w:eastAsia="zh-CN"/>
        </w:rPr>
        <w:t>充分认识运用好政府采购政策支持打赢脱贫攻坚战的重要性，鼓励采用优先采购、预留采购份额方式采购贫困地区农副产品，鼓励优先采购聘用建档立卡贫困人员物业公司提供的物业服务。</w:t>
      </w:r>
      <w:bookmarkEnd w:id="17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75" w:name="_Toc20174"/>
      <w:r>
        <w:rPr>
          <w:rFonts w:hint="eastAsia" w:ascii="宋体" w:hAnsi="宋体" w:eastAsia="宋体" w:cs="宋体"/>
          <w:b w:val="0"/>
          <w:bCs/>
          <w:color w:val="000000"/>
          <w:sz w:val="28"/>
          <w:szCs w:val="28"/>
          <w:lang w:val="en-US" w:eastAsia="zh-CN"/>
        </w:rPr>
        <w:t>8.陕西省财政厅关于印发《陕西省中小企业政府采购信用融资办法》（陕财办采〔2018〕23号）</w:t>
      </w:r>
      <w:bookmarkEnd w:id="17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76" w:name="_Toc802"/>
      <w:r>
        <w:rPr>
          <w:rFonts w:hint="eastAsia" w:ascii="宋体" w:hAnsi="宋体" w:eastAsia="宋体" w:cs="宋体"/>
          <w:b w:val="0"/>
          <w:bCs/>
          <w:color w:val="000000"/>
          <w:sz w:val="28"/>
          <w:szCs w:val="28"/>
          <w:lang w:val="en-US"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176"/>
    </w:p>
    <w:p>
      <w:pPr>
        <w:spacing w:line="360" w:lineRule="auto"/>
        <w:outlineLvl w:val="1"/>
        <w:rPr>
          <w:rFonts w:hint="eastAsia" w:ascii="宋体" w:hAnsi="宋体" w:eastAsia="宋体" w:cs="宋体"/>
          <w:b w:val="0"/>
          <w:bCs/>
          <w:color w:val="000000"/>
          <w:sz w:val="28"/>
          <w:szCs w:val="28"/>
          <w:lang w:val="en-US" w:eastAsia="zh-CN"/>
        </w:rPr>
      </w:pPr>
      <w:bookmarkStart w:id="177" w:name="_Toc31707"/>
      <w:r>
        <w:rPr>
          <w:rFonts w:hint="eastAsia" w:ascii="宋体" w:hAnsi="宋体" w:eastAsia="宋体" w:cs="宋体"/>
          <w:b w:val="0"/>
          <w:bCs/>
          <w:color w:val="000000"/>
          <w:sz w:val="28"/>
          <w:szCs w:val="28"/>
          <w:lang w:val="en-US" w:eastAsia="zh-CN"/>
        </w:rPr>
        <w:t>网址：</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HYPERLINK "http://www.ccgp-shaanxi.gov.cn/zcdservice/zcd/shanxi/" </w:instrText>
      </w:r>
      <w:r>
        <w:rPr>
          <w:rFonts w:hint="eastAsia" w:ascii="宋体" w:hAnsi="宋体" w:eastAsia="宋体" w:cs="宋体"/>
          <w:b w:val="0"/>
          <w:bCs/>
          <w:color w:val="000000"/>
          <w:sz w:val="28"/>
          <w:szCs w:val="28"/>
          <w:lang w:val="en-US" w:eastAsia="zh-CN"/>
        </w:rPr>
        <w:fldChar w:fldCharType="separate"/>
      </w:r>
      <w:r>
        <w:rPr>
          <w:rStyle w:val="45"/>
          <w:rFonts w:hint="eastAsia" w:ascii="宋体" w:hAnsi="宋体" w:eastAsia="宋体" w:cs="宋体"/>
          <w:b w:val="0"/>
          <w:bCs/>
          <w:color w:val="000000"/>
          <w:sz w:val="28"/>
          <w:szCs w:val="28"/>
          <w:lang w:val="en-US" w:eastAsia="zh-CN"/>
        </w:rPr>
        <w:t>http://www.ccgp-shaanxi.gov.cn/zcdservice/zcd/shanxi/</w:t>
      </w:r>
      <w:bookmarkEnd w:id="177"/>
      <w:r>
        <w:rPr>
          <w:rFonts w:hint="eastAsia" w:ascii="宋体" w:hAnsi="宋体" w:eastAsia="宋体" w:cs="宋体"/>
          <w:b w:val="0"/>
          <w:bCs/>
          <w:color w:val="000000"/>
          <w:sz w:val="28"/>
          <w:szCs w:val="28"/>
          <w:lang w:val="en-US" w:eastAsia="zh-CN"/>
        </w:rPr>
        <w:fldChar w:fldCharType="end"/>
      </w:r>
    </w:p>
    <w:p>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39"/>
      <w:bookmarkEnd w:id="140"/>
      <w:bookmarkEnd w:id="141"/>
      <w:bookmarkEnd w:id="142"/>
      <w:bookmarkEnd w:id="143"/>
      <w:bookmarkEnd w:id="144"/>
      <w:bookmarkEnd w:id="145"/>
      <w:bookmarkEnd w:id="146"/>
      <w:bookmarkEnd w:id="147"/>
      <w:bookmarkEnd w:id="148"/>
    </w:p>
    <w:p>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规定要求密封、签署、盖章的；无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val="en-US" w:eastAsia="zh-CN"/>
          <w14:textFill>
            <w14:solidFill>
              <w14:schemeClr w14:val="tx1"/>
            </w14:solidFill>
          </w14:textFill>
        </w:rPr>
        <w:t>服务期</w:t>
      </w:r>
      <w:r>
        <w:rPr>
          <w:rFonts w:hint="eastAsia" w:ascii="宋体" w:hAnsi="宋体" w:eastAsia="宋体" w:cs="宋体"/>
          <w:color w:val="000000" w:themeColor="text1"/>
          <w:spacing w:val="4"/>
          <w:sz w:val="28"/>
          <w:szCs w:val="28"/>
          <w:lang w:eastAsia="zh-CN"/>
          <w14:textFill>
            <w14:solidFill>
              <w14:schemeClr w14:val="tx1"/>
            </w14:solidFill>
          </w14:textFill>
        </w:rPr>
        <w:t>、履约验收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pPr>
        <w:pStyle w:val="51"/>
        <w:rPr>
          <w:rFonts w:hint="eastAsia" w:ascii="宋体" w:hAnsi="宋体" w:eastAsia="宋体" w:cs="宋体"/>
          <w:color w:val="000000" w:themeColor="text1"/>
          <w:spacing w:val="4"/>
          <w:sz w:val="28"/>
          <w:szCs w:val="28"/>
          <w14:textFill>
            <w14:solidFill>
              <w14:schemeClr w14:val="tx1"/>
            </w14:solidFill>
          </w14:textFill>
        </w:rPr>
      </w:pPr>
    </w:p>
    <w:p>
      <w:pPr>
        <w:rPr>
          <w:rFonts w:hint="eastAsia" w:ascii="宋体" w:hAnsi="宋体" w:eastAsia="宋体" w:cs="宋体"/>
          <w:color w:val="000000" w:themeColor="text1"/>
          <w:spacing w:val="4"/>
          <w:sz w:val="28"/>
          <w:szCs w:val="28"/>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Pr>
        <w:pStyle w:val="2"/>
        <w:bidi w:val="0"/>
        <w:jc w:val="center"/>
        <w:rPr>
          <w:rFonts w:hint="eastAsia" w:ascii="宋体" w:hAnsi="宋体" w:eastAsia="宋体" w:cs="宋体"/>
          <w:sz w:val="44"/>
          <w:szCs w:val="44"/>
          <w:lang w:eastAsia="zh-CN"/>
        </w:rPr>
      </w:pPr>
      <w:bookmarkStart w:id="178" w:name="_Toc30610"/>
      <w:bookmarkStart w:id="179" w:name="_Toc30671"/>
      <w:bookmarkStart w:id="180" w:name="_Toc406150410"/>
      <w:bookmarkStart w:id="181" w:name="_Toc457826139"/>
      <w:r>
        <w:rPr>
          <w:rFonts w:hint="eastAsia" w:ascii="宋体" w:hAnsi="宋体" w:eastAsia="宋体" w:cs="宋体"/>
          <w:sz w:val="44"/>
          <w:szCs w:val="44"/>
        </w:rPr>
        <w:t>第四章 合同</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拟签订文本</w:t>
      </w:r>
      <w:r>
        <w:rPr>
          <w:rFonts w:hint="eastAsia" w:ascii="宋体" w:hAnsi="宋体" w:eastAsia="宋体" w:cs="宋体"/>
          <w:sz w:val="44"/>
          <w:szCs w:val="44"/>
          <w:lang w:eastAsia="zh-CN"/>
        </w:rPr>
        <w:t>）</w:t>
      </w:r>
      <w:bookmarkEnd w:id="178"/>
      <w:bookmarkEnd w:id="179"/>
    </w:p>
    <w:bookmarkEnd w:id="180"/>
    <w:bookmarkEnd w:id="181"/>
    <w:p>
      <w:pPr>
        <w:kinsoku w:val="0"/>
        <w:spacing w:line="480" w:lineRule="auto"/>
        <w:ind w:firstLine="480" w:firstLineChars="200"/>
        <w:rPr>
          <w:rFonts w:hint="eastAsia" w:ascii="宋体" w:hAnsi="宋体" w:eastAsia="宋体" w:cs="宋体"/>
          <w:bCs/>
          <w:color w:val="auto"/>
          <w:sz w:val="24"/>
          <w:szCs w:val="24"/>
        </w:rPr>
      </w:pPr>
      <w:bookmarkStart w:id="182" w:name="_Toc22897"/>
      <w:r>
        <w:rPr>
          <w:rFonts w:hint="eastAsia" w:ascii="宋体" w:hAnsi="宋体" w:eastAsia="宋体" w:cs="宋体"/>
          <w:bCs/>
          <w:color w:val="auto"/>
          <w:sz w:val="24"/>
          <w:szCs w:val="24"/>
        </w:rPr>
        <w:t>甲方：</w:t>
      </w:r>
      <w:r>
        <w:rPr>
          <w:rFonts w:hint="eastAsia" w:ascii="宋体" w:hAnsi="宋体" w:eastAsia="宋体" w:cs="宋体"/>
          <w:color w:val="auto"/>
          <w:sz w:val="24"/>
          <w:szCs w:val="24"/>
        </w:rPr>
        <w:t xml:space="preserve"> </w:t>
      </w:r>
    </w:p>
    <w:p>
      <w:pPr>
        <w:kinsoku w:val="0"/>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乙方：</w:t>
      </w:r>
    </w:p>
    <w:p>
      <w:pPr>
        <w:kinsoku w:val="0"/>
        <w:spacing w:line="480" w:lineRule="auto"/>
        <w:ind w:firstLine="480" w:firstLineChars="200"/>
        <w:rPr>
          <w:rFonts w:hint="eastAsia" w:ascii="宋体" w:hAnsi="宋体" w:eastAsia="宋体" w:cs="宋体"/>
          <w:bCs/>
          <w:color w:val="auto"/>
          <w:spacing w:val="0"/>
          <w:sz w:val="24"/>
          <w:szCs w:val="24"/>
        </w:rPr>
      </w:pPr>
      <w:r>
        <w:rPr>
          <w:rStyle w:val="115"/>
          <w:rFonts w:hint="eastAsia" w:ascii="宋体" w:hAnsi="宋体" w:eastAsia="宋体" w:cs="宋体"/>
          <w:color w:val="auto"/>
          <w:spacing w:val="0"/>
          <w:sz w:val="24"/>
          <w:szCs w:val="24"/>
          <w:u w:val="single"/>
          <w:lang w:val="en-US"/>
        </w:rPr>
        <w:t xml:space="preserve">                           </w:t>
      </w:r>
      <w:r>
        <w:rPr>
          <w:rStyle w:val="115"/>
          <w:rFonts w:hint="eastAsia" w:ascii="宋体" w:hAnsi="宋体" w:eastAsia="宋体" w:cs="宋体"/>
          <w:color w:val="auto"/>
          <w:spacing w:val="0"/>
          <w:sz w:val="24"/>
          <w:szCs w:val="24"/>
          <w:u w:val="none"/>
          <w:lang w:val="en-US"/>
        </w:rPr>
        <w:t>(项目名称)</w:t>
      </w:r>
      <w:r>
        <w:rPr>
          <w:rFonts w:hint="eastAsia" w:ascii="宋体" w:hAnsi="宋体" w:eastAsia="宋体" w:cs="宋体"/>
          <w:color w:val="auto"/>
          <w:spacing w:val="0"/>
          <w:sz w:val="24"/>
          <w:szCs w:val="24"/>
        </w:rPr>
        <w:t>，按照政府采购程序，采用公开招标采购的方式，选定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公司（以下简称乙方）为中标供应</w:t>
      </w:r>
      <w:r>
        <w:rPr>
          <w:rFonts w:hint="eastAsia" w:ascii="宋体" w:hAnsi="宋体" w:eastAsia="宋体" w:cs="宋体"/>
          <w:bCs/>
          <w:color w:val="auto"/>
          <w:spacing w:val="0"/>
          <w:sz w:val="24"/>
          <w:szCs w:val="24"/>
        </w:rPr>
        <w:t>商。依据国家《</w:t>
      </w:r>
      <w:r>
        <w:rPr>
          <w:rFonts w:hint="eastAsia" w:ascii="宋体" w:hAnsi="宋体" w:eastAsia="宋体" w:cs="宋体"/>
          <w:bCs/>
          <w:color w:val="auto"/>
          <w:spacing w:val="0"/>
          <w:sz w:val="24"/>
          <w:szCs w:val="24"/>
          <w:lang w:val="en-US" w:eastAsia="zh-CN"/>
        </w:rPr>
        <w:t>民法典</w:t>
      </w:r>
      <w:r>
        <w:rPr>
          <w:rFonts w:hint="eastAsia" w:ascii="宋体" w:hAnsi="宋体" w:eastAsia="宋体" w:cs="宋体"/>
          <w:bCs/>
          <w:color w:val="auto"/>
          <w:spacing w:val="0"/>
          <w:sz w:val="24"/>
          <w:szCs w:val="24"/>
        </w:rPr>
        <w:t>》、《政府采购法》及招标文件和乙方的投标文件，经甲、乙双方协商，达成如下合同条款。</w:t>
      </w:r>
    </w:p>
    <w:p>
      <w:pPr>
        <w:tabs>
          <w:tab w:val="left" w:pos="540"/>
        </w:tabs>
        <w:adjustRightInd w:val="0"/>
        <w:snapToGrid w:val="0"/>
        <w:spacing w:line="560" w:lineRule="exact"/>
        <w:ind w:firstLine="482" w:firstLineChars="200"/>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一、项目概况</w:t>
      </w:r>
    </w:p>
    <w:p>
      <w:pPr>
        <w:kinsoku w:val="0"/>
        <w:spacing w:line="48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1.项目名称：______________________________________________</w:t>
      </w:r>
    </w:p>
    <w:p>
      <w:pPr>
        <w:kinsoku w:val="0"/>
        <w:spacing w:line="480" w:lineRule="auto"/>
        <w:ind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2.标段名称：</w:t>
      </w:r>
      <w:r>
        <w:rPr>
          <w:rFonts w:hint="eastAsia" w:ascii="宋体" w:hAnsi="宋体" w:eastAsia="宋体" w:cs="宋体"/>
          <w:color w:val="auto"/>
          <w:spacing w:val="0"/>
          <w:sz w:val="24"/>
          <w:szCs w:val="24"/>
        </w:rPr>
        <w:t>______________________________________________</w:t>
      </w:r>
    </w:p>
    <w:p>
      <w:pPr>
        <w:kinsoku w:val="0"/>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.项目地点：_________</w:t>
      </w:r>
      <w:r>
        <w:rPr>
          <w:rFonts w:hint="eastAsia" w:ascii="宋体" w:hAnsi="宋体" w:eastAsia="宋体" w:cs="宋体"/>
          <w:color w:val="auto"/>
          <w:kern w:val="0"/>
          <w:sz w:val="24"/>
          <w:szCs w:val="24"/>
        </w:rPr>
        <w:t>_____________________________________</w:t>
      </w:r>
    </w:p>
    <w:p>
      <w:pPr>
        <w:tabs>
          <w:tab w:val="left" w:pos="540"/>
        </w:tabs>
        <w:adjustRightInd w:val="0"/>
        <w:snapToGrid w:val="0"/>
        <w:spacing w:line="360" w:lineRule="auto"/>
        <w:ind w:firstLine="482" w:firstLineChars="200"/>
        <w:jc w:val="left"/>
        <w:outlineLvl w:val="1"/>
        <w:rPr>
          <w:rFonts w:hint="eastAsia" w:ascii="宋体" w:hAnsi="宋体" w:eastAsia="宋体" w:cs="宋体"/>
          <w:b/>
          <w:color w:val="auto"/>
          <w:kern w:val="0"/>
          <w:sz w:val="24"/>
          <w:szCs w:val="24"/>
          <w:lang w:val="en-US" w:eastAsia="zh-CN"/>
        </w:rPr>
      </w:pPr>
      <w:bookmarkStart w:id="183" w:name="_Toc457826141"/>
      <w:bookmarkStart w:id="184" w:name="_Toc406150412"/>
      <w:r>
        <w:rPr>
          <w:rFonts w:hint="eastAsia" w:ascii="宋体" w:hAnsi="宋体" w:eastAsia="宋体" w:cs="宋体"/>
          <w:b/>
          <w:color w:val="auto"/>
          <w:kern w:val="0"/>
          <w:sz w:val="24"/>
          <w:szCs w:val="24"/>
        </w:rPr>
        <w:t>二、合同</w:t>
      </w:r>
      <w:bookmarkEnd w:id="183"/>
      <w:bookmarkEnd w:id="184"/>
      <w:r>
        <w:rPr>
          <w:rFonts w:hint="eastAsia" w:ascii="宋体" w:hAnsi="宋体" w:eastAsia="宋体" w:cs="宋体"/>
          <w:b/>
          <w:color w:val="auto"/>
          <w:kern w:val="0"/>
          <w:sz w:val="24"/>
          <w:szCs w:val="24"/>
          <w:lang w:val="en-US" w:eastAsia="zh-CN"/>
        </w:rPr>
        <w:t>履行期限</w:t>
      </w:r>
    </w:p>
    <w:p>
      <w:pPr>
        <w:tabs>
          <w:tab w:val="left" w:pos="540"/>
        </w:tabs>
        <w:adjustRightInd w:val="0"/>
        <w:snapToGrid w:val="0"/>
        <w:spacing w:line="360" w:lineRule="auto"/>
        <w:ind w:firstLine="422" w:firstLineChars="200"/>
        <w:jc w:val="left"/>
        <w:outlineLvl w:val="1"/>
        <w:rPr>
          <w:rFonts w:hint="eastAsia" w:ascii="宋体" w:hAnsi="宋体" w:eastAsia="宋体" w:cs="宋体"/>
          <w:b/>
          <w:color w:val="auto"/>
          <w:szCs w:val="22"/>
          <w:lang w:val="en-US" w:eastAsia="zh-CN"/>
        </w:rPr>
      </w:pPr>
      <w:bookmarkStart w:id="185" w:name="_Toc406150414"/>
      <w:bookmarkStart w:id="186" w:name="_Toc457826143"/>
      <w:r>
        <w:rPr>
          <w:rFonts w:hint="eastAsia" w:ascii="宋体" w:hAnsi="宋体" w:eastAsia="宋体" w:cs="宋体"/>
          <w:b/>
          <w:color w:val="auto"/>
          <w:szCs w:val="22"/>
          <w:lang w:val="en-US" w:eastAsia="zh-CN"/>
        </w:rPr>
        <w:t>合同签订之日起</w:t>
      </w:r>
      <w:r>
        <w:rPr>
          <w:rFonts w:hint="eastAsia" w:ascii="宋体" w:hAnsi="宋体" w:eastAsia="宋体" w:cs="宋体"/>
          <w:b/>
          <w:color w:val="auto"/>
          <w:szCs w:val="22"/>
          <w:u w:val="single"/>
          <w:lang w:val="en-US" w:eastAsia="zh-CN"/>
        </w:rPr>
        <w:t xml:space="preserve"> 一年 </w:t>
      </w:r>
      <w:r>
        <w:rPr>
          <w:rFonts w:hint="eastAsia" w:ascii="宋体" w:hAnsi="宋体" w:eastAsia="宋体" w:cs="宋体"/>
          <w:b/>
          <w:color w:val="auto"/>
          <w:szCs w:val="22"/>
          <w:lang w:val="en-US" w:eastAsia="zh-CN"/>
        </w:rPr>
        <w:t>。</w:t>
      </w:r>
    </w:p>
    <w:p>
      <w:pPr>
        <w:tabs>
          <w:tab w:val="left" w:pos="540"/>
        </w:tabs>
        <w:adjustRightInd w:val="0"/>
        <w:snapToGrid w:val="0"/>
        <w:spacing w:line="360" w:lineRule="auto"/>
        <w:ind w:firstLine="482" w:firstLineChars="200"/>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三、合同价款</w:t>
      </w:r>
      <w:bookmarkEnd w:id="185"/>
      <w:bookmarkEnd w:id="186"/>
    </w:p>
    <w:p>
      <w:pPr>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1.合同价款金额：人民币（大写）_________ (¥______元)</w:t>
      </w:r>
    </w:p>
    <w:p>
      <w:pPr>
        <w:kinsoku w:val="0"/>
        <w:spacing w:line="48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2.合同价不受市场价格变化因素的影响。</w:t>
      </w:r>
    </w:p>
    <w:p>
      <w:pPr>
        <w:kinsoku w:val="0"/>
        <w:spacing w:line="48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3.付款方式：</w:t>
      </w:r>
      <w:r>
        <w:rPr>
          <w:rFonts w:hint="eastAsia" w:ascii="宋体" w:hAnsi="宋体" w:eastAsia="宋体" w:cs="宋体"/>
          <w:color w:val="auto"/>
          <w:spacing w:val="0"/>
          <w:sz w:val="24"/>
          <w:szCs w:val="24"/>
          <w:lang w:val="en-US" w:eastAsia="zh-CN"/>
        </w:rPr>
        <w:t>预付款：授予中小企业合同预付款为：自签订采购合同之日起15日内完成支付合同总价的40%，其中对以人工投入为主且实行按月定期支付款项的项目预付款另行约定</w:t>
      </w:r>
      <w:r>
        <w:rPr>
          <w:rFonts w:hint="eastAsia" w:ascii="宋体" w:hAnsi="宋体" w:eastAsia="宋体" w:cs="宋体"/>
          <w:color w:val="auto"/>
          <w:spacing w:val="0"/>
          <w:sz w:val="24"/>
          <w:szCs w:val="24"/>
        </w:rPr>
        <w:t>。</w:t>
      </w:r>
    </w:p>
    <w:p>
      <w:pPr>
        <w:kinsoku w:val="0"/>
        <w:spacing w:line="480" w:lineRule="auto"/>
        <w:ind w:firstLine="480" w:firstLineChars="200"/>
        <w:rPr>
          <w:rFonts w:hint="eastAsia" w:ascii="宋体" w:hAnsi="宋体" w:eastAsia="宋体" w:cs="宋体"/>
          <w:b/>
          <w:color w:val="auto"/>
          <w:kern w:val="0"/>
          <w:sz w:val="24"/>
          <w:szCs w:val="24"/>
          <w:lang w:val="en-US" w:eastAsia="zh-CN"/>
        </w:rPr>
      </w:pPr>
      <w:r>
        <w:rPr>
          <w:rFonts w:hint="eastAsia" w:ascii="宋体" w:hAnsi="宋体" w:eastAsia="宋体" w:cs="宋体"/>
          <w:color w:val="auto"/>
          <w:spacing w:val="0"/>
          <w:sz w:val="24"/>
          <w:szCs w:val="24"/>
          <w:lang w:val="en-US" w:eastAsia="zh-CN"/>
        </w:rPr>
        <w:t>付款期限：根据项目进度支付且满足自收到发票之日起15日内完成支付。</w:t>
      </w:r>
      <w:r>
        <w:rPr>
          <w:rFonts w:hint="eastAsia" w:ascii="宋体" w:hAnsi="宋体" w:eastAsia="宋体" w:cs="宋体"/>
          <w:b/>
          <w:color w:val="auto"/>
          <w:kern w:val="0"/>
          <w:sz w:val="24"/>
          <w:szCs w:val="24"/>
          <w:lang w:val="en-US" w:eastAsia="zh-CN"/>
        </w:rPr>
        <w:t>四、质保期：</w:t>
      </w:r>
      <w:r>
        <w:rPr>
          <w:rFonts w:hint="eastAsia" w:ascii="宋体" w:hAnsi="宋体" w:eastAsia="宋体" w:cs="宋体"/>
          <w:b/>
          <w:color w:val="auto"/>
          <w:kern w:val="0"/>
          <w:sz w:val="24"/>
          <w:szCs w:val="24"/>
          <w:u w:val="single"/>
          <w:lang w:val="en-US" w:eastAsia="zh-CN"/>
        </w:rPr>
        <w:t xml:space="preserve">  /  </w:t>
      </w:r>
      <w:r>
        <w:rPr>
          <w:rFonts w:hint="eastAsia" w:ascii="宋体" w:hAnsi="宋体" w:eastAsia="宋体" w:cs="宋体"/>
          <w:b/>
          <w:color w:val="auto"/>
          <w:kern w:val="0"/>
          <w:sz w:val="24"/>
          <w:szCs w:val="24"/>
          <w:lang w:val="en-US" w:eastAsia="zh-CN"/>
        </w:rPr>
        <w:t>年。</w:t>
      </w:r>
    </w:p>
    <w:p>
      <w:pPr>
        <w:tabs>
          <w:tab w:val="left" w:pos="540"/>
        </w:tabs>
        <w:adjustRightInd w:val="0"/>
        <w:snapToGrid w:val="0"/>
        <w:spacing w:line="360" w:lineRule="auto"/>
        <w:ind w:firstLine="482" w:firstLineChars="200"/>
        <w:jc w:val="left"/>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五</w:t>
      </w:r>
      <w:r>
        <w:rPr>
          <w:rFonts w:hint="eastAsia" w:ascii="宋体" w:hAnsi="宋体" w:eastAsia="宋体" w:cs="宋体"/>
          <w:b/>
          <w:color w:val="auto"/>
          <w:kern w:val="0"/>
          <w:sz w:val="24"/>
          <w:szCs w:val="24"/>
        </w:rPr>
        <w:t>、内容及要求</w:t>
      </w:r>
    </w:p>
    <w:p>
      <w:pPr>
        <w:tabs>
          <w:tab w:val="left" w:pos="540"/>
        </w:tabs>
        <w:adjustRightInd w:val="0"/>
        <w:snapToGrid w:val="0"/>
        <w:spacing w:line="360" w:lineRule="auto"/>
        <w:ind w:firstLine="480" w:firstLineChars="200"/>
        <w:jc w:val="left"/>
        <w:outlineLvl w:val="1"/>
        <w:rPr>
          <w:rFonts w:hint="eastAsia" w:ascii="宋体" w:hAnsi="宋体" w:eastAsia="宋体" w:cs="宋体"/>
          <w:b w:val="0"/>
          <w:bCs/>
          <w:color w:val="auto"/>
          <w:kern w:val="0"/>
          <w:sz w:val="24"/>
          <w:szCs w:val="24"/>
        </w:rPr>
      </w:pPr>
      <w:r>
        <w:rPr>
          <w:rFonts w:hint="eastAsia" w:ascii="宋体" w:hAnsi="宋体" w:eastAsia="宋体" w:cs="宋体"/>
          <w:color w:val="auto"/>
          <w:kern w:val="0"/>
          <w:sz w:val="24"/>
          <w:szCs w:val="24"/>
          <w:u w:val="single"/>
          <w:lang w:val="en-US" w:eastAsia="zh-CN"/>
        </w:rPr>
        <w:t xml:space="preserve">                                                              </w:t>
      </w:r>
    </w:p>
    <w:p>
      <w:pPr>
        <w:kinsoku w:val="0"/>
        <w:spacing w:line="59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、履行合同</w:t>
      </w:r>
    </w:p>
    <w:p>
      <w:pPr>
        <w:kinsoku w:val="0"/>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1、乙方与甲方签订合同后，合同双方应严格执行合同条款，履行合同规定的义务，保证合同的顺利完成。</w:t>
      </w:r>
    </w:p>
    <w:p>
      <w:pPr>
        <w:kinsoku w:val="0"/>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2、在合同履行过程中，如发生合同纠纷，合同双方应按照《</w:t>
      </w:r>
      <w:r>
        <w:rPr>
          <w:rFonts w:hint="eastAsia" w:ascii="宋体" w:hAnsi="宋体" w:eastAsia="宋体" w:cs="宋体"/>
          <w:bCs/>
          <w:color w:val="auto"/>
          <w:sz w:val="24"/>
          <w:szCs w:val="24"/>
          <w:lang w:val="en-US" w:eastAsia="zh-CN"/>
        </w:rPr>
        <w:t>民法典</w:t>
      </w:r>
      <w:r>
        <w:rPr>
          <w:rFonts w:hint="eastAsia" w:ascii="宋体" w:hAnsi="宋体" w:eastAsia="宋体" w:cs="宋体"/>
          <w:bCs/>
          <w:color w:val="auto"/>
          <w:sz w:val="24"/>
          <w:szCs w:val="24"/>
        </w:rPr>
        <w:t>》的有关规定进行处理。</w:t>
      </w:r>
    </w:p>
    <w:p>
      <w:pPr>
        <w:tabs>
          <w:tab w:val="left" w:pos="942"/>
        </w:tabs>
        <w:spacing w:line="590" w:lineRule="exact"/>
        <w:ind w:firstLine="482" w:firstLineChars="200"/>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、验收</w:t>
      </w:r>
    </w:p>
    <w:p>
      <w:pPr>
        <w:tabs>
          <w:tab w:val="left" w:pos="942"/>
        </w:tabs>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1、由甲方即时负责进行验收，验收依据主要包括：乙方与甲方应严格按照招标文件、投标文件、采购合同、《中华人民共和国政府采购法》,《中华人民共和国政府采购法实施条例》等的相关要求进行验收。</w:t>
      </w:r>
    </w:p>
    <w:p>
      <w:pPr>
        <w:tabs>
          <w:tab w:val="left" w:pos="942"/>
        </w:tabs>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2、验收合格后须交接项目实施的全部资料，并填写政府采购项目验收报告单。</w:t>
      </w:r>
    </w:p>
    <w:p>
      <w:pPr>
        <w:tabs>
          <w:tab w:val="left" w:pos="942"/>
        </w:tabs>
        <w:spacing w:line="59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3、对于不按照双方签订的合同及采购单位相关标准规范履约，采购单位有权终止合同。</w:t>
      </w:r>
    </w:p>
    <w:p>
      <w:pPr>
        <w:kinsoku w:val="0"/>
        <w:spacing w:line="590" w:lineRule="exact"/>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、违约责任</w:t>
      </w:r>
    </w:p>
    <w:p>
      <w:pPr>
        <w:kinsoku w:val="0"/>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1、按照《</w:t>
      </w:r>
      <w:r>
        <w:rPr>
          <w:rFonts w:hint="eastAsia" w:ascii="宋体" w:hAnsi="宋体" w:eastAsia="宋体" w:cs="宋体"/>
          <w:bCs/>
          <w:color w:val="auto"/>
          <w:sz w:val="24"/>
          <w:szCs w:val="24"/>
          <w:lang w:val="en-US" w:eastAsia="zh-CN"/>
        </w:rPr>
        <w:t>民法典</w:t>
      </w:r>
      <w:r>
        <w:rPr>
          <w:rFonts w:hint="eastAsia" w:ascii="宋体" w:hAnsi="宋体" w:eastAsia="宋体" w:cs="宋体"/>
          <w:bCs/>
          <w:color w:val="auto"/>
          <w:sz w:val="24"/>
          <w:szCs w:val="24"/>
        </w:rPr>
        <w:t>》中的相关条款执行。</w:t>
      </w:r>
    </w:p>
    <w:p>
      <w:pPr>
        <w:kinsoku w:val="0"/>
        <w:spacing w:line="59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、合同争议的解决：合同执行中发生争议的，当事人双方应协商解决，协商达不成一致时，可向当地人民法院提请诉讼。</w:t>
      </w:r>
    </w:p>
    <w:p>
      <w:pPr>
        <w:kinsoku w:val="0"/>
        <w:spacing w:line="59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、合同生效及其他</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1.本合同双方签字盖章即生效，一式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份</w:t>
      </w:r>
      <w:r>
        <w:rPr>
          <w:rFonts w:hint="eastAsia" w:ascii="宋体" w:hAnsi="宋体" w:eastAsia="宋体" w:cs="宋体"/>
          <w:color w:val="auto"/>
          <w:sz w:val="24"/>
          <w:szCs w:val="24"/>
        </w:rPr>
        <w:t>。</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2.由于不可抗力因素致使合同无法履行时，双方应及时协商解决。 </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3.双方可认的来往传真、电报、会议纪要等，均为合同的组成部分，与本合同具有同等法律效力。</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4.未尽事宜，经双方协商一致，签订补充协议，补充协议与本合同具有同等效力。</w:t>
      </w:r>
    </w:p>
    <w:p>
      <w:pPr>
        <w:bidi w:val="0"/>
        <w:rPr>
          <w:rFonts w:hint="eastAsia" w:ascii="宋体" w:hAnsi="宋体" w:eastAsia="宋体" w:cs="宋体"/>
          <w:color w:val="auto"/>
        </w:rPr>
      </w:pP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采购人：</w:t>
      </w:r>
      <w:r>
        <w:rPr>
          <w:rFonts w:hint="eastAsia" w:ascii="宋体" w:hAnsi="宋体" w:eastAsia="宋体" w:cs="宋体"/>
          <w:color w:val="auto"/>
          <w:sz w:val="24"/>
          <w:szCs w:val="24"/>
          <w:u w:val="single"/>
        </w:rPr>
        <w:t xml:space="preserve">   （盖章）      </w:t>
      </w:r>
      <w:r>
        <w:rPr>
          <w:rFonts w:hint="eastAsia" w:ascii="宋体" w:hAnsi="宋体" w:eastAsia="宋体" w:cs="宋体"/>
          <w:color w:val="auto"/>
          <w:sz w:val="24"/>
          <w:szCs w:val="24"/>
        </w:rPr>
        <w:t xml:space="preserve">            供应商：</w:t>
      </w:r>
      <w:r>
        <w:rPr>
          <w:rFonts w:hint="eastAsia" w:ascii="宋体" w:hAnsi="宋体" w:eastAsia="宋体" w:cs="宋体"/>
          <w:color w:val="auto"/>
          <w:sz w:val="24"/>
          <w:szCs w:val="24"/>
          <w:u w:val="single"/>
        </w:rPr>
        <w:t xml:space="preserve">   （盖章）         </w:t>
      </w:r>
    </w:p>
    <w:p>
      <w:pPr>
        <w:adjustRightInd w:val="0"/>
        <w:snapToGrid w:val="0"/>
        <w:spacing w:line="360" w:lineRule="auto"/>
        <w:ind w:firstLine="475" w:firstLineChars="198"/>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地 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法定代表人或其授权                   法定代表人或其授权 </w:t>
      </w: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的代理人：</w:t>
      </w:r>
      <w:r>
        <w:rPr>
          <w:rFonts w:hint="eastAsia" w:ascii="宋体" w:hAnsi="宋体" w:eastAsia="宋体" w:cs="宋体"/>
          <w:color w:val="auto"/>
          <w:sz w:val="24"/>
          <w:szCs w:val="24"/>
          <w:u w:val="single"/>
        </w:rPr>
        <w:t xml:space="preserve">（签字）      </w:t>
      </w:r>
      <w:r>
        <w:rPr>
          <w:rFonts w:hint="eastAsia" w:ascii="宋体" w:hAnsi="宋体" w:eastAsia="宋体" w:cs="宋体"/>
          <w:color w:val="auto"/>
          <w:sz w:val="24"/>
          <w:szCs w:val="24"/>
        </w:rPr>
        <w:t xml:space="preserve">             的代理人：</w:t>
      </w:r>
      <w:r>
        <w:rPr>
          <w:rFonts w:hint="eastAsia" w:ascii="宋体" w:hAnsi="宋体" w:eastAsia="宋体" w:cs="宋体"/>
          <w:color w:val="auto"/>
          <w:sz w:val="24"/>
          <w:szCs w:val="24"/>
          <w:u w:val="single"/>
        </w:rPr>
        <w:t xml:space="preserve">（签字）           </w:t>
      </w: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u w:val="single"/>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电子邮箱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u w:val="single"/>
        </w:rPr>
      </w:pPr>
    </w:p>
    <w:p>
      <w:pPr>
        <w:adjustRightInd w:val="0"/>
        <w:snapToGrid w:val="0"/>
        <w:spacing w:line="360" w:lineRule="auto"/>
        <w:ind w:firstLine="475" w:firstLineChars="198"/>
        <w:rPr>
          <w:rFonts w:hint="eastAsia" w:ascii="宋体" w:hAnsi="宋体" w:eastAsia="宋体" w:cs="宋体"/>
          <w:color w:val="auto"/>
          <w:sz w:val="24"/>
          <w:szCs w:val="24"/>
          <w:u w:val="single"/>
        </w:rPr>
      </w:pPr>
    </w:p>
    <w:p>
      <w:pPr>
        <w:adjustRightInd w:val="0"/>
        <w:snapToGrid w:val="0"/>
        <w:spacing w:line="360" w:lineRule="auto"/>
        <w:ind w:firstLine="475" w:firstLineChars="198"/>
        <w:rPr>
          <w:rFonts w:hint="eastAsia" w:ascii="宋体" w:hAnsi="宋体" w:eastAsia="宋体" w:cs="宋体"/>
          <w:color w:val="auto"/>
          <w:sz w:val="24"/>
          <w:szCs w:val="24"/>
          <w:u w:val="single"/>
        </w:rPr>
      </w:pPr>
    </w:p>
    <w:p>
      <w:pPr>
        <w:adjustRightInd w:val="0"/>
        <w:snapToGrid w:val="0"/>
        <w:spacing w:line="360" w:lineRule="auto"/>
        <w:ind w:firstLine="475" w:firstLineChars="198"/>
        <w:rPr>
          <w:rFonts w:hint="eastAsia" w:ascii="宋体" w:hAnsi="宋体" w:eastAsia="宋体" w:cs="宋体"/>
          <w:color w:val="auto"/>
          <w:sz w:val="24"/>
          <w:szCs w:val="24"/>
          <w:u w:val="single"/>
        </w:rPr>
      </w:pPr>
    </w:p>
    <w:p>
      <w:pPr>
        <w:adjustRightInd w:val="0"/>
        <w:snapToGrid w:val="0"/>
        <w:spacing w:line="360" w:lineRule="auto"/>
        <w:rPr>
          <w:rFonts w:hint="eastAsia" w:ascii="宋体" w:hAnsi="宋体" w:eastAsia="宋体" w:cs="宋体"/>
          <w:color w:val="auto"/>
          <w:sz w:val="24"/>
          <w:szCs w:val="24"/>
          <w:u w:val="single"/>
        </w:rPr>
      </w:pPr>
    </w:p>
    <w:p>
      <w:pPr>
        <w:pStyle w:val="2"/>
        <w:keepNext w:val="0"/>
        <w:pageBreakBefore/>
        <w:numPr>
          <w:ilvl w:val="0"/>
          <w:numId w:val="0"/>
        </w:numPr>
        <w:ind w:leftChars="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t xml:space="preserve">第五章  </w:t>
      </w:r>
      <w:r>
        <w:rPr>
          <w:rFonts w:hint="eastAsia" w:ascii="宋体" w:hAnsi="宋体" w:eastAsia="宋体" w:cs="宋体"/>
          <w:color w:val="000000" w:themeColor="text1"/>
          <w:sz w:val="44"/>
          <w:szCs w:val="44"/>
          <w14:textFill>
            <w14:solidFill>
              <w14:schemeClr w14:val="tx1"/>
            </w14:solidFill>
          </w14:textFill>
        </w:rPr>
        <w:t>采购内容和</w:t>
      </w:r>
      <w:r>
        <w:rPr>
          <w:rFonts w:hint="eastAsia" w:ascii="宋体" w:hAnsi="宋体" w:eastAsia="宋体" w:cs="宋体"/>
          <w:color w:val="000000" w:themeColor="text1"/>
          <w:sz w:val="48"/>
          <w:szCs w:val="48"/>
          <w14:textFill>
            <w14:solidFill>
              <w14:schemeClr w14:val="tx1"/>
            </w14:solidFill>
          </w14:textFill>
        </w:rPr>
        <w:t>技术</w:t>
      </w:r>
      <w:r>
        <w:rPr>
          <w:rFonts w:hint="eastAsia" w:ascii="宋体" w:hAnsi="宋体" w:eastAsia="宋体" w:cs="宋体"/>
          <w:color w:val="000000" w:themeColor="text1"/>
          <w:sz w:val="44"/>
          <w:szCs w:val="44"/>
          <w14:textFill>
            <w14:solidFill>
              <w14:schemeClr w14:val="tx1"/>
            </w14:solidFill>
          </w14:textFill>
        </w:rPr>
        <w:t>要求</w:t>
      </w:r>
      <w:bookmarkEnd w:id="18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bookmarkStart w:id="187" w:name="_Toc3645"/>
      <w:r>
        <w:rPr>
          <w:rFonts w:hint="eastAsia" w:ascii="宋体" w:hAnsi="宋体" w:eastAsia="宋体" w:cs="宋体"/>
          <w:b w:val="0"/>
          <w:bCs/>
          <w:color w:val="000000"/>
          <w:sz w:val="28"/>
          <w:szCs w:val="28"/>
          <w:lang w:val="en-US" w:eastAsia="zh-CN"/>
        </w:rPr>
        <w:t xml:space="preserve">一、网络线路数量：共 51 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二、服务内容：各县区 49 个煤矿至延安新区大数据中心 49 条电路，延安新区大数据中心至延安市煤矿安全生产监测监控中心 1 条互联网专线，延安新区大数据中心至延安市网信办 1 条电路。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三、带宽要求：各煤矿至延安新区新区大数据中心 49 条和延安新区大数据中心至网信办 1 条为 50M，延安新区大数据中心至延安煤矿安全生产监测监控中心 1 条为 100M。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四、技术指标：数字电路、互联网专线的技术要求为：丢包率小于等于 0.1%，时延小于 40ms。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五、服务期限：1 年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六、启用时间：2024年9月底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七、煤矿明细: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陕西陕煤黄陵矿业有限公司一号煤矿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陕西双龙煤业开发有限公司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陕西瑞能煤业有限责任公司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陕西红石岩矿业有限责任公司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延安市禾草沟一号煤矿有限公司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陕西先和实业有限公司前进煤矿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陕西永明煤矿有限公司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子长县洪水沟煤矿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子长县甄家沟煤业有限公司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子长县羊马河矿业有限公司子长县南家咀煤矿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子长县自备煤矿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子长县永兴煤矿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陕西兴旺煤矿有限公司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延川县泰丰煤矿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延川县新泰煤矿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延安市华龙煤业有限公司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陕西富源煤业有限责任公司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富县矿业开发有限公司芦村一号煤矿分公司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富县矿业开发有限公司芦村二号煤矿分公司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富县牛武镇郭家洼煤矿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富县德馨煤矿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富县牛武镇安喆煤矿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陕西建新煤化有限责任公司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陕西煤业集团黄陵建庄煤业有限公司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陕西黄陵二号煤矿有限公司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黄龙县小寺庄煤矿有限责任公司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延安市禾草沟煤业有限公司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延安市禾草沟二号煤矿有限公司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延安市车村煤矿一号井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陕西鑫志安煤业有限公司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子长县天任煤矿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子长县恒发煤炭有限责任公司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子长县双富煤矿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子长县扇咀湾煤矿子长县中达焦家沟煤业有限公司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延安市宝塔区四咀煤炭有限责任公司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宝塔区宝贸煤矿有限责任公司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延安市宝塔区向华煤矿有限公司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延安市宝塔区红安煤业有限责任公司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延安市宝塔区新鑫源煤矿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富县华恒煤业有限公司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黄陵县南川一号煤炭实业有限责任公司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黄陵县南川二号煤炭实业有限责任公司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黄陵县太贤乡石牛沟煤矿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黄陵县宏兴煤业有限公司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黄陵县明星煤业有限公司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陕西聚众福煤业有限责任公司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 xml:space="preserve">黄陵县中瑞成煤业有限责任公司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八、售后服务：提供 7×24 小时故障报修受理服务，一般故障应在半 小时内响应，2 小时内处理完毕；如遇重大故障，应在半小时内响应，维护人员需 1 小时内赶到用户现场，线路故障应在 4 小时内排除，恢复线路服务；对中断超过 1 小时的服务方原因故障，提供故障处理报告；提供联席会议服务，1 次/年（客户选择时间）；根据客户需求提供技术业务培训及研讨交流。</w:t>
      </w:r>
    </w:p>
    <w:p>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第六章</w:t>
      </w: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14:textFill>
            <w14:solidFill>
              <w14:schemeClr w14:val="tx1"/>
            </w14:solidFill>
          </w14:textFill>
        </w:rPr>
        <w:t>磋商响应文件格式</w:t>
      </w:r>
      <w:bookmarkEnd w:id="1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1.</w:t>
      </w:r>
      <w:r>
        <w:rPr>
          <w:rFonts w:hint="eastAsia" w:ascii="宋体" w:hAnsi="宋体" w:eastAsia="宋体" w:cs="宋体"/>
          <w:b w:val="0"/>
          <w:bCs/>
          <w:color w:val="000000"/>
          <w:sz w:val="28"/>
          <w:szCs w:val="28"/>
          <w:lang w:eastAsia="zh-CN"/>
        </w:rPr>
        <w:t>响应</w:t>
      </w:r>
      <w:r>
        <w:rPr>
          <w:rFonts w:hint="eastAsia" w:ascii="宋体" w:hAnsi="宋体" w:eastAsia="宋体" w:cs="宋体"/>
          <w:b w:val="0"/>
          <w:bCs/>
          <w:color w:val="000000"/>
          <w:sz w:val="28"/>
          <w:szCs w:val="28"/>
        </w:rPr>
        <w:t>文件格式由本章目录所列第1部分至第</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部分构成。</w:t>
      </w:r>
      <w:r>
        <w:rPr>
          <w:rFonts w:hint="eastAsia" w:ascii="宋体" w:hAnsi="宋体" w:eastAsia="宋体" w:cs="宋体"/>
          <w:b w:val="0"/>
          <w:bCs/>
          <w:color w:val="000000"/>
          <w:sz w:val="28"/>
          <w:szCs w:val="28"/>
          <w:lang w:eastAsia="zh-CN"/>
        </w:rPr>
        <w:t>不得缺项漏项，否则按废标处理，其中资格证明文件还应单独提供，相应要求详见资格审查内容。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2.供应商应认真审阅本章内容，并参照格式要求编制</w:t>
      </w:r>
      <w:r>
        <w:rPr>
          <w:rFonts w:hint="eastAsia" w:ascii="宋体" w:hAnsi="宋体" w:eastAsia="宋体" w:cs="宋体"/>
          <w:b w:val="0"/>
          <w:bCs/>
          <w:color w:val="000000"/>
          <w:sz w:val="28"/>
          <w:szCs w:val="28"/>
          <w:lang w:eastAsia="zh-CN"/>
        </w:rPr>
        <w:t>响应</w:t>
      </w:r>
      <w:r>
        <w:rPr>
          <w:rFonts w:hint="eastAsia" w:ascii="宋体" w:hAnsi="宋体" w:eastAsia="宋体" w:cs="宋体"/>
          <w:b w:val="0"/>
          <w:bCs/>
          <w:color w:val="000000"/>
          <w:sz w:val="28"/>
          <w:szCs w:val="28"/>
        </w:rPr>
        <w:t>文件。凡未按格式要求编制</w:t>
      </w:r>
      <w:r>
        <w:rPr>
          <w:rFonts w:hint="eastAsia" w:ascii="宋体" w:hAnsi="宋体" w:eastAsia="宋体" w:cs="宋体"/>
          <w:b w:val="0"/>
          <w:bCs/>
          <w:color w:val="000000"/>
          <w:sz w:val="28"/>
          <w:szCs w:val="28"/>
          <w:lang w:eastAsia="zh-CN"/>
        </w:rPr>
        <w:t>响应</w:t>
      </w:r>
      <w:r>
        <w:rPr>
          <w:rFonts w:hint="eastAsia" w:ascii="宋体" w:hAnsi="宋体" w:eastAsia="宋体" w:cs="宋体"/>
          <w:b w:val="0"/>
          <w:bCs/>
          <w:color w:val="000000"/>
          <w:sz w:val="28"/>
          <w:szCs w:val="28"/>
        </w:rPr>
        <w:t>文件而造成的不利后果，由供应商自行承担。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3.</w:t>
      </w:r>
      <w:r>
        <w:rPr>
          <w:rFonts w:hint="eastAsia" w:ascii="宋体" w:hAnsi="宋体" w:eastAsia="宋体" w:cs="宋体"/>
          <w:b w:val="0"/>
          <w:bCs/>
          <w:color w:val="000000"/>
          <w:sz w:val="28"/>
          <w:szCs w:val="28"/>
          <w:lang w:eastAsia="zh-CN"/>
        </w:rPr>
        <w:t>响应</w:t>
      </w:r>
      <w:r>
        <w:rPr>
          <w:rFonts w:hint="eastAsia" w:ascii="宋体" w:hAnsi="宋体" w:eastAsia="宋体" w:cs="宋体"/>
          <w:b w:val="0"/>
          <w:bCs/>
          <w:color w:val="000000"/>
          <w:sz w:val="28"/>
          <w:szCs w:val="28"/>
        </w:rPr>
        <w:t>文件的正、副本必须按照要求编制，凡正、副本不相符的，以正本为准。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b w:val="0"/>
          <w:bCs/>
          <w:color w:val="000000"/>
          <w:sz w:val="28"/>
          <w:szCs w:val="28"/>
          <w:lang w:val="en-US" w:eastAsia="zh-CN"/>
        </w:rPr>
        <w:t>4.响应文件的正本和所有的副本、资格文件必须全部打印并分别装订成册，并编制目录，统一装订、编码，必须在每一页的下方清楚标明。</w:t>
      </w:r>
      <w:r>
        <w:rPr>
          <w:rFonts w:hint="eastAsia" w:ascii="宋体" w:hAnsi="宋体" w:eastAsia="宋体" w:cs="宋体"/>
        </w:rPr>
        <w:br w:type="page"/>
      </w:r>
    </w:p>
    <w:tbl>
      <w:tblPr>
        <w:tblStyle w:val="34"/>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正本/副本</w:t>
            </w:r>
          </w:p>
        </w:tc>
      </w:tr>
    </w:tbl>
    <w:p>
      <w:pPr>
        <w:spacing w:line="360" w:lineRule="auto"/>
        <w:rPr>
          <w:rFonts w:hint="eastAsia" w:ascii="宋体" w:hAnsi="宋体" w:eastAsia="宋体" w:cs="宋体"/>
          <w:b/>
          <w:color w:val="000000" w:themeColor="text1"/>
          <w:sz w:val="30"/>
          <w:szCs w:val="30"/>
          <w14:textFill>
            <w14:solidFill>
              <w14:schemeClr w14:val="tx1"/>
            </w14:solidFill>
          </w14:textFill>
        </w:rPr>
      </w:pPr>
    </w:p>
    <w:p>
      <w:pPr>
        <w:spacing w:line="360" w:lineRule="auto"/>
        <w:rPr>
          <w:rFonts w:hint="eastAsia"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eastAsia="宋体" w:cs="宋体"/>
          <w:b/>
          <w:color w:val="000000" w:themeColor="text1"/>
          <w:sz w:val="30"/>
          <w:szCs w:val="30"/>
          <w14:textFill>
            <w14:solidFill>
              <w14:schemeClr w14:val="tx1"/>
            </w14:solidFill>
          </w14:textFill>
        </w:rPr>
        <w:t>：SXYR202</w:t>
      </w:r>
      <w:r>
        <w:rPr>
          <w:rFonts w:hint="eastAsia" w:ascii="宋体" w:hAnsi="宋体" w:eastAsia="宋体" w:cs="宋体"/>
          <w:b/>
          <w:color w:val="000000" w:themeColor="text1"/>
          <w:sz w:val="30"/>
          <w:szCs w:val="30"/>
          <w:lang w:val="en-US" w:eastAsia="zh-CN"/>
          <w14:textFill>
            <w14:solidFill>
              <w14:schemeClr w14:val="tx1"/>
            </w14:solidFill>
          </w14:textFill>
        </w:rPr>
        <w:t>4</w:t>
      </w:r>
      <w:r>
        <w:rPr>
          <w:rFonts w:hint="eastAsia" w:ascii="宋体" w:hAnsi="宋体" w:eastAsia="宋体" w:cs="宋体"/>
          <w:b/>
          <w:color w:val="000000" w:themeColor="text1"/>
          <w:sz w:val="30"/>
          <w:szCs w:val="30"/>
          <w14:textFill>
            <w14:solidFill>
              <w14:schemeClr w14:val="tx1"/>
            </w14:solidFill>
          </w14:textFill>
        </w:rPr>
        <w:t>-0</w:t>
      </w:r>
      <w:r>
        <w:rPr>
          <w:rFonts w:hint="eastAsia" w:ascii="宋体" w:hAnsi="宋体" w:eastAsia="宋体" w:cs="宋体"/>
          <w:b/>
          <w:color w:val="000000" w:themeColor="text1"/>
          <w:sz w:val="30"/>
          <w:szCs w:val="30"/>
          <w:lang w:val="en-US" w:eastAsia="zh-CN"/>
          <w14:textFill>
            <w14:solidFill>
              <w14:schemeClr w14:val="tx1"/>
            </w14:solidFill>
          </w14:textFill>
        </w:rPr>
        <w:t>12</w:t>
      </w: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pStyle w:val="29"/>
        <w:rPr>
          <w:rFonts w:hint="eastAsia" w:ascii="宋体" w:hAnsi="宋体" w:eastAsia="宋体" w:cs="宋体"/>
          <w:b/>
          <w:color w:val="000000" w:themeColor="text1"/>
          <w:sz w:val="30"/>
          <w:szCs w:val="30"/>
          <w14:textFill>
            <w14:solidFill>
              <w14:schemeClr w14:val="tx1"/>
            </w14:solidFill>
          </w14:textFill>
        </w:rPr>
      </w:pPr>
    </w:p>
    <w:p>
      <w:pPr>
        <w:pStyle w:val="29"/>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延安市煤矿安全生产监测监控中心煤矿安全生产监测监控系统平台网络专线租赁项目</w:t>
      </w:r>
    </w:p>
    <w:p>
      <w:pPr>
        <w:rPr>
          <w:rFonts w:hint="eastAsia" w:ascii="宋体" w:hAnsi="宋体" w:eastAsia="宋体" w:cs="宋体"/>
        </w:rPr>
      </w:pPr>
    </w:p>
    <w:p>
      <w:pPr>
        <w:pStyle w:val="16"/>
        <w:rPr>
          <w:rFonts w:hint="eastAsia" w:ascii="宋体" w:hAnsi="宋体" w:eastAsia="宋体" w:cs="宋体"/>
          <w:b/>
          <w:color w:val="000000" w:themeColor="text1"/>
          <w:sz w:val="30"/>
          <w:szCs w:val="30"/>
          <w14:textFill>
            <w14:solidFill>
              <w14:schemeClr w14:val="tx1"/>
            </w14:solidFill>
          </w14:textFill>
        </w:rPr>
      </w:pPr>
    </w:p>
    <w:p>
      <w:pPr>
        <w:rPr>
          <w:rFonts w:hint="eastAsia" w:ascii="宋体" w:hAnsi="宋体" w:eastAsia="宋体" w:cs="宋体"/>
          <w:b/>
          <w:color w:val="000000" w:themeColor="text1"/>
          <w:sz w:val="30"/>
          <w:szCs w:val="30"/>
          <w14:textFill>
            <w14:solidFill>
              <w14:schemeClr w14:val="tx1"/>
            </w14:solidFill>
          </w14:textFill>
        </w:rPr>
      </w:pPr>
    </w:p>
    <w:p>
      <w:pPr>
        <w:pStyle w:val="16"/>
        <w:rPr>
          <w:rFonts w:hint="eastAsia" w:ascii="宋体" w:hAnsi="宋体" w:eastAsia="宋体" w:cs="宋体"/>
        </w:rPr>
      </w:pPr>
    </w:p>
    <w:p>
      <w:pPr>
        <w:pStyle w:val="16"/>
        <w:rPr>
          <w:rFonts w:hint="eastAsia" w:ascii="宋体" w:hAnsi="宋体" w:eastAsia="宋体" w:cs="宋体"/>
        </w:rPr>
      </w:pPr>
    </w:p>
    <w:p>
      <w:pPr>
        <w:pStyle w:val="16"/>
        <w:rPr>
          <w:rFonts w:hint="eastAsia" w:ascii="宋体" w:hAnsi="宋体" w:eastAsia="宋体" w:cs="宋体"/>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pPr>
        <w:spacing w:line="360" w:lineRule="auto"/>
        <w:rPr>
          <w:rFonts w:hint="eastAsia" w:ascii="宋体" w:hAnsi="宋体" w:eastAsia="宋体" w:cs="宋体"/>
          <w:color w:val="000000" w:themeColor="text1"/>
          <w14:textFill>
            <w14:solidFill>
              <w14:schemeClr w14:val="tx1"/>
            </w14:solidFill>
          </w14:textFill>
        </w:rPr>
      </w:pPr>
    </w:p>
    <w:p>
      <w:pPr>
        <w:pStyle w:val="16"/>
        <w:jc w:val="both"/>
        <w:rPr>
          <w:rFonts w:hint="eastAsia" w:ascii="宋体" w:hAnsi="宋体" w:eastAsia="宋体" w:cs="宋体"/>
          <w:color w:val="000000" w:themeColor="text1"/>
          <w:lang w:val="en-US"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16"/>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rPr>
      </w:pPr>
    </w:p>
    <w:p>
      <w:pPr>
        <w:pStyle w:val="16"/>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188"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eastAsia="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188"/>
    </w:p>
    <w:p>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189" w:name="_Toc343512254"/>
      <w:r>
        <w:rPr>
          <w:rFonts w:hint="eastAsia" w:ascii="宋体" w:hAnsi="宋体" w:eastAsia="宋体" w:cs="宋体"/>
          <w:b/>
          <w:color w:val="000000" w:themeColor="text1"/>
          <w:sz w:val="30"/>
          <w:szCs w:val="30"/>
          <w:u w:val="none"/>
          <w:lang w:eastAsia="zh-CN"/>
          <w14:textFill>
            <w14:solidFill>
              <w14:schemeClr w14:val="tx1"/>
            </w14:solidFill>
          </w14:textFill>
        </w:rPr>
        <w:t>日</w:t>
      </w:r>
      <w:r>
        <w:rPr>
          <w:rFonts w:hint="eastAsia" w:ascii="宋体" w:hAnsi="宋体" w:eastAsia="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189"/>
    </w:p>
    <w:p>
      <w:pPr>
        <w:spacing w:line="360" w:lineRule="auto"/>
        <w:rPr>
          <w:rFonts w:hint="eastAsia" w:ascii="宋体" w:hAnsi="宋体" w:eastAsia="宋体" w:cs="宋体"/>
          <w:color w:val="000000" w:themeColor="text1"/>
          <w14:textFill>
            <w14:solidFill>
              <w14:schemeClr w14:val="tx1"/>
            </w14:solidFill>
          </w14:textFill>
        </w:rPr>
        <w:sectPr>
          <w:footerReference r:id="rId13" w:type="default"/>
          <w:pgSz w:w="11906" w:h="16838"/>
          <w:pgMar w:top="1440" w:right="1440" w:bottom="1440" w:left="1440" w:header="851" w:footer="992" w:gutter="0"/>
          <w:pgNumType w:fmt="decimal"/>
          <w:cols w:space="720" w:num="1"/>
          <w:titlePg/>
          <w:docGrid w:linePitch="312" w:charSpace="0"/>
        </w:sectPr>
      </w:pP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190" w:name="_Toc420591500"/>
      <w:bookmarkStart w:id="191" w:name="_Toc372885969"/>
      <w:bookmarkStart w:id="192" w:name="_Toc421778385"/>
      <w:bookmarkStart w:id="193" w:name="_Toc420591666"/>
      <w:r>
        <w:rPr>
          <w:rFonts w:hint="eastAsia" w:ascii="宋体" w:hAnsi="宋体" w:eastAsia="宋体" w:cs="宋体"/>
          <w:b/>
          <w:color w:val="000000" w:themeColor="text1"/>
          <w:sz w:val="44"/>
          <w:szCs w:val="44"/>
          <w14:textFill>
            <w14:solidFill>
              <w14:schemeClr w14:val="tx1"/>
            </w14:solidFill>
          </w14:textFill>
        </w:rPr>
        <w:t>目    录</w:t>
      </w:r>
      <w:bookmarkEnd w:id="190"/>
      <w:bookmarkEnd w:id="191"/>
      <w:bookmarkEnd w:id="192"/>
      <w:bookmarkEnd w:id="193"/>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eastAsia="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eastAsia="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194" w:name="_Toc421778387"/>
      <w:bookmarkStart w:id="195" w:name="_Toc425240482"/>
      <w:bookmarkStart w:id="196" w:name="_Toc2157"/>
      <w:bookmarkStart w:id="197" w:name="_Toc420591668"/>
      <w:bookmarkStart w:id="198" w:name="_Toc500323111"/>
      <w:bookmarkStart w:id="199" w:name="_Toc3816"/>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pPr>
        <w:spacing w:line="208" w:lineRule="exact"/>
        <w:rPr>
          <w:rFonts w:hint="eastAsia" w:ascii="宋体" w:hAnsi="宋体" w:eastAsia="宋体" w:cs="宋体"/>
        </w:rPr>
      </w:pPr>
    </w:p>
    <w:tbl>
      <w:tblPr>
        <w:tblStyle w:val="34"/>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color w:val="auto"/>
                <w:spacing w:val="0"/>
                <w:sz w:val="24"/>
                <w:szCs w:val="24"/>
                <w:lang w:val="en-US" w:eastAsia="zh-CN"/>
              </w:rPr>
              <w:t>陕西悦荣项目管理有限公司</w:t>
            </w:r>
          </w:p>
        </w:tc>
      </w:tr>
      <w:tr>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3份，资质证明文件1份</w:t>
            </w:r>
            <w:r>
              <w:rPr>
                <w:rFonts w:hint="eastAsia" w:ascii="宋体" w:hAnsi="宋体" w:eastAsia="宋体" w:cs="宋体"/>
                <w:sz w:val="24"/>
              </w:rPr>
              <w:t>。</w:t>
            </w: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ascii="宋体" w:hAnsi="宋体" w:eastAsia="宋体" w:cs="宋体"/>
                <w:color w:val="000000"/>
                <w:sz w:val="24"/>
              </w:rPr>
            </w:pPr>
            <w:r>
              <w:rPr>
                <w:rFonts w:hint="eastAsia" w:ascii="宋体" w:hAnsi="宋体" w:eastAsia="宋体" w:cs="宋体"/>
                <w:color w:val="000000"/>
                <w:sz w:val="24"/>
              </w:rPr>
              <w:t>RMB</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元。</w:t>
            </w: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color w:val="auto"/>
                <w:sz w:val="24"/>
                <w:lang w:val="en-US" w:eastAsia="zh-CN"/>
              </w:rPr>
              <w:t>磋商</w:t>
            </w:r>
            <w:r>
              <w:rPr>
                <w:rFonts w:hint="eastAsia" w:ascii="宋体" w:hAnsi="宋体" w:eastAsia="宋体" w:cs="宋体"/>
                <w:sz w:val="24"/>
              </w:rPr>
              <w:t>采购活动相关的其他任何证据和资料。</w:t>
            </w: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color w:val="auto"/>
                <w:sz w:val="24"/>
                <w:lang w:val="en-US" w:eastAsia="zh-CN"/>
              </w:rPr>
              <w:t>磋商</w:t>
            </w:r>
            <w:r>
              <w:rPr>
                <w:rFonts w:hint="eastAsia" w:ascii="宋体" w:hAnsi="宋体" w:eastAsia="宋体" w:cs="宋体"/>
                <w:sz w:val="24"/>
              </w:rPr>
              <w:t>小组的评审结论及成交结果。</w:t>
            </w:r>
          </w:p>
        </w:tc>
      </w:tr>
      <w:tr>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eastAsia="宋体" w:cs="宋体"/>
                <w:spacing w:val="-10"/>
                <w:sz w:val="24"/>
                <w:lang w:eastAsia="zh-CN"/>
              </w:rPr>
              <w:t>自本委托书签署之日起至投标有效期期满</w:t>
            </w:r>
          </w:p>
        </w:tc>
      </w:tr>
      <w:tr>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color w:val="auto"/>
                <w:sz w:val="24"/>
                <w:lang w:val="en-US" w:eastAsia="zh-CN"/>
              </w:rPr>
              <w:t>磋商</w:t>
            </w:r>
            <w:r>
              <w:rPr>
                <w:rFonts w:hint="eastAsia" w:ascii="宋体" w:hAnsi="宋体" w:eastAsia="宋体" w:cs="宋体"/>
                <w:sz w:val="24"/>
              </w:rPr>
              <w:t>的所有联络函电，请按下列方式联系：</w:t>
            </w:r>
          </w:p>
        </w:tc>
      </w:tr>
      <w:tr>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00" w:name="_Toc526842726"/>
      <w:bookmarkStart w:id="201" w:name="_Toc21622"/>
      <w:r>
        <w:rPr>
          <w:rFonts w:hint="eastAsia" w:ascii="宋体" w:hAnsi="宋体" w:eastAsia="宋体" w:cs="宋体"/>
          <w:b/>
          <w:color w:val="000000" w:themeColor="text1"/>
          <w:sz w:val="44"/>
          <w:szCs w:val="44"/>
          <w14:textFill>
            <w14:solidFill>
              <w14:schemeClr w14:val="tx1"/>
            </w14:solidFill>
          </w14:textFill>
        </w:rPr>
        <w:t>二、磋商一览表</w:t>
      </w:r>
      <w:bookmarkEnd w:id="194"/>
      <w:bookmarkEnd w:id="195"/>
      <w:bookmarkEnd w:id="196"/>
      <w:bookmarkEnd w:id="197"/>
      <w:bookmarkEnd w:id="198"/>
      <w:bookmarkEnd w:id="199"/>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eastAsia="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00"/>
      <w:bookmarkEnd w:id="201"/>
    </w:p>
    <w:p>
      <w:pPr>
        <w:tabs>
          <w:tab w:val="left" w:pos="7920"/>
        </w:tabs>
        <w:jc w:val="center"/>
        <w:rPr>
          <w:rFonts w:hint="eastAsia" w:ascii="宋体" w:hAnsi="宋体" w:eastAsia="宋体" w:cs="宋体"/>
          <w:sz w:val="32"/>
          <w:szCs w:val="44"/>
          <w:u w:val="single"/>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.1</w:t>
      </w:r>
      <w:r>
        <w:rPr>
          <w:rFonts w:hint="eastAsia" w:ascii="宋体" w:hAnsi="宋体" w:eastAsia="宋体" w:cs="宋体"/>
          <w:sz w:val="32"/>
          <w:szCs w:val="44"/>
          <w:u w:val="single"/>
          <w:lang w:val="en-US" w:eastAsia="zh-CN"/>
        </w:rPr>
        <w:t>磋商</w:t>
      </w:r>
      <w:r>
        <w:rPr>
          <w:rFonts w:hint="eastAsia" w:ascii="宋体" w:hAnsi="宋体" w:eastAsia="宋体" w:cs="宋体"/>
          <w:sz w:val="32"/>
          <w:szCs w:val="44"/>
          <w:u w:val="single"/>
        </w:rPr>
        <w:t>报价总表</w:t>
      </w:r>
    </w:p>
    <w:p>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4"/>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3936"/>
        <w:gridCol w:w="1817"/>
        <w:gridCol w:w="155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066" w:type="dxa"/>
            <w:noWrap w:val="0"/>
            <w:vAlign w:val="center"/>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供应商</w:t>
            </w:r>
          </w:p>
        </w:tc>
        <w:tc>
          <w:tcPr>
            <w:tcW w:w="3936" w:type="dxa"/>
            <w:noWrap w:val="0"/>
            <w:vAlign w:val="center"/>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pPr>
              <w:jc w:val="center"/>
              <w:rPr>
                <w:rFonts w:hint="eastAsia" w:ascii="宋体" w:hAnsi="宋体" w:eastAsia="宋体" w:cs="宋体"/>
                <w:sz w:val="24"/>
              </w:rPr>
            </w:pPr>
            <w:r>
              <w:rPr>
                <w:rFonts w:hint="eastAsia" w:ascii="宋体" w:hAnsi="宋体" w:eastAsia="宋体" w:cs="宋体"/>
                <w:sz w:val="24"/>
              </w:rPr>
              <w:t>（小写、元）</w:t>
            </w:r>
          </w:p>
          <w:p>
            <w:pPr>
              <w:jc w:val="center"/>
              <w:rPr>
                <w:rFonts w:hint="eastAsia" w:ascii="宋体" w:hAnsi="宋体" w:eastAsia="宋体" w:cs="宋体"/>
                <w:color w:val="000000"/>
                <w:sz w:val="24"/>
              </w:rPr>
            </w:pPr>
          </w:p>
        </w:tc>
        <w:tc>
          <w:tcPr>
            <w:tcW w:w="1817" w:type="dxa"/>
            <w:noWrap w:val="0"/>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服务</w:t>
            </w:r>
            <w:r>
              <w:rPr>
                <w:rFonts w:hint="eastAsia" w:ascii="宋体" w:hAnsi="宋体" w:eastAsia="宋体" w:cs="宋体"/>
                <w:color w:val="000000"/>
                <w:sz w:val="24"/>
                <w:lang w:eastAsia="zh-CN"/>
              </w:rPr>
              <w:t>期</w:t>
            </w:r>
          </w:p>
        </w:tc>
        <w:tc>
          <w:tcPr>
            <w:tcW w:w="155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066" w:type="dxa"/>
            <w:noWrap w:val="0"/>
            <w:vAlign w:val="center"/>
          </w:tcPr>
          <w:p>
            <w:pPr>
              <w:rPr>
                <w:rFonts w:hint="eastAsia" w:ascii="宋体" w:hAnsi="宋体" w:eastAsia="宋体" w:cs="宋体"/>
                <w:color w:val="000000"/>
                <w:sz w:val="24"/>
              </w:rPr>
            </w:pPr>
          </w:p>
        </w:tc>
        <w:tc>
          <w:tcPr>
            <w:tcW w:w="3936" w:type="dxa"/>
            <w:noWrap w:val="0"/>
            <w:vAlign w:val="center"/>
          </w:tcPr>
          <w:p>
            <w:pPr>
              <w:rPr>
                <w:rFonts w:hint="eastAsia" w:ascii="宋体" w:hAnsi="宋体" w:eastAsia="宋体" w:cs="宋体"/>
                <w:color w:val="000000"/>
                <w:sz w:val="24"/>
              </w:rPr>
            </w:pPr>
          </w:p>
        </w:tc>
        <w:tc>
          <w:tcPr>
            <w:tcW w:w="1817" w:type="dxa"/>
            <w:noWrap w:val="0"/>
            <w:vAlign w:val="center"/>
          </w:tcPr>
          <w:p>
            <w:pPr>
              <w:rPr>
                <w:rFonts w:hint="eastAsia" w:ascii="宋体" w:hAnsi="宋体" w:eastAsia="宋体" w:cs="宋体"/>
                <w:color w:val="000000"/>
                <w:sz w:val="24"/>
              </w:rPr>
            </w:pPr>
          </w:p>
        </w:tc>
        <w:tc>
          <w:tcPr>
            <w:tcW w:w="1558" w:type="dxa"/>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066" w:type="dxa"/>
            <w:noWrap w:val="0"/>
            <w:vAlign w:val="center"/>
          </w:tcPr>
          <w:p>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报价（大写、元）人民币</w:t>
            </w:r>
          </w:p>
        </w:tc>
        <w:tc>
          <w:tcPr>
            <w:tcW w:w="7313" w:type="dxa"/>
            <w:gridSpan w:val="4"/>
            <w:noWrap w:val="0"/>
            <w:vAlign w:val="top"/>
          </w:tcPr>
          <w:p>
            <w:pPr>
              <w:tabs>
                <w:tab w:val="left" w:pos="5110"/>
              </w:tabs>
              <w:ind w:right="280"/>
              <w:rPr>
                <w:rFonts w:hint="eastAsia" w:ascii="宋体" w:hAnsi="宋体" w:eastAsia="宋体" w:cs="宋体"/>
                <w:sz w:val="24"/>
              </w:rPr>
            </w:pPr>
          </w:p>
        </w:tc>
      </w:tr>
    </w:tbl>
    <w:p>
      <w:pPr>
        <w:spacing w:line="480" w:lineRule="exact"/>
        <w:jc w:val="center"/>
        <w:rPr>
          <w:rFonts w:hint="eastAsia" w:ascii="宋体" w:hAnsi="宋体" w:eastAsia="宋体" w:cs="宋体"/>
          <w:bCs/>
          <w:sz w:val="44"/>
          <w:szCs w:val="44"/>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w:t>
      </w:r>
      <w:r>
        <w:rPr>
          <w:rFonts w:hint="eastAsia" w:ascii="宋体" w:hAnsi="宋体" w:eastAsia="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（盖章）                                </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w:t>
      </w:r>
      <w:r>
        <w:rPr>
          <w:rFonts w:hint="eastAsia" w:ascii="宋体" w:hAnsi="宋体" w:eastAsia="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（签字或法人印鉴）</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委托代理人：</w:t>
      </w:r>
      <w:r>
        <w:rPr>
          <w:rFonts w:hint="eastAsia" w:ascii="宋体" w:hAnsi="宋体" w:eastAsia="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（签字）  </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pPr>
        <w:tabs>
          <w:tab w:val="left" w:pos="5110"/>
        </w:tabs>
        <w:ind w:right="280"/>
        <w:jc w:val="center"/>
        <w:rPr>
          <w:rFonts w:hint="eastAsia" w:ascii="宋体" w:hAnsi="宋体" w:eastAsia="宋体" w:cs="宋体"/>
          <w:sz w:val="32"/>
          <w:szCs w:val="44"/>
          <w:u w:val="single"/>
        </w:rPr>
      </w:pPr>
    </w:p>
    <w:p>
      <w:pPr>
        <w:tabs>
          <w:tab w:val="left" w:pos="5110"/>
        </w:tabs>
        <w:ind w:right="280"/>
        <w:jc w:val="center"/>
        <w:rPr>
          <w:rFonts w:hint="eastAsia" w:ascii="宋体" w:hAnsi="宋体" w:eastAsia="宋体" w:cs="宋体"/>
          <w:sz w:val="32"/>
          <w:szCs w:val="44"/>
          <w:u w:val="single"/>
        </w:rPr>
      </w:pPr>
    </w:p>
    <w:p>
      <w:pPr>
        <w:pStyle w:val="16"/>
        <w:rPr>
          <w:rFonts w:hint="eastAsia" w:ascii="宋体" w:hAnsi="宋体" w:eastAsia="宋体" w:cs="宋体"/>
          <w:sz w:val="32"/>
          <w:szCs w:val="44"/>
          <w:u w:val="single"/>
        </w:rPr>
      </w:pPr>
    </w:p>
    <w:p>
      <w:pPr>
        <w:rPr>
          <w:rFonts w:hint="eastAsia" w:ascii="宋体" w:hAnsi="宋体" w:eastAsia="宋体" w:cs="宋体"/>
        </w:rPr>
      </w:pPr>
    </w:p>
    <w:p>
      <w:pPr>
        <w:tabs>
          <w:tab w:val="left" w:pos="5110"/>
        </w:tabs>
        <w:ind w:right="280"/>
        <w:jc w:val="center"/>
        <w:rPr>
          <w:rFonts w:hint="eastAsia" w:ascii="宋体" w:hAnsi="宋体" w:eastAsia="宋体" w:cs="宋体"/>
          <w:sz w:val="32"/>
          <w:szCs w:val="44"/>
          <w:u w:val="single"/>
          <w:lang w:val="en-US" w:eastAsia="zh-CN"/>
        </w:rPr>
      </w:pPr>
    </w:p>
    <w:p>
      <w:pPr>
        <w:tabs>
          <w:tab w:val="left" w:pos="5110"/>
        </w:tabs>
        <w:ind w:right="280"/>
        <w:jc w:val="center"/>
        <w:rPr>
          <w:rFonts w:hint="eastAsia" w:ascii="宋体" w:hAnsi="宋体" w:eastAsia="宋体" w:cs="宋体"/>
          <w:sz w:val="32"/>
          <w:szCs w:val="44"/>
          <w:u w:val="single"/>
          <w:lang w:val="en-US" w:eastAsia="zh-CN"/>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.2</w:t>
      </w:r>
      <w:r>
        <w:rPr>
          <w:rFonts w:hint="eastAsia" w:ascii="宋体" w:hAnsi="宋体" w:eastAsia="宋体" w:cs="宋体"/>
          <w:sz w:val="32"/>
          <w:szCs w:val="44"/>
          <w:u w:val="single"/>
          <w:lang w:val="en-US" w:eastAsia="zh-CN"/>
        </w:rPr>
        <w:t>分项报价</w:t>
      </w:r>
    </w:p>
    <w:p>
      <w:pPr>
        <w:tabs>
          <w:tab w:val="left" w:pos="5110"/>
        </w:tabs>
        <w:ind w:right="280"/>
        <w:jc w:val="center"/>
        <w:rPr>
          <w:rFonts w:hint="eastAsia" w:ascii="宋体" w:hAnsi="宋体" w:eastAsia="宋体" w:cs="宋体"/>
          <w:sz w:val="32"/>
          <w:szCs w:val="44"/>
          <w:u w:val="single"/>
        </w:rPr>
      </w:pPr>
    </w:p>
    <w:p>
      <w:pPr>
        <w:tabs>
          <w:tab w:val="left" w:pos="5110"/>
        </w:tabs>
        <w:ind w:right="280"/>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格式自拟</w:t>
      </w:r>
    </w:p>
    <w:p>
      <w:pPr>
        <w:snapToGrid w:val="0"/>
        <w:spacing w:line="336" w:lineRule="auto"/>
        <w:ind w:left="-96" w:firstLine="102"/>
        <w:rPr>
          <w:rFonts w:hint="eastAsia" w:ascii="宋体" w:hAnsi="宋体" w:eastAsia="宋体" w:cs="宋体"/>
          <w:bCs/>
          <w:sz w:val="24"/>
        </w:rPr>
      </w:pPr>
    </w:p>
    <w:p>
      <w:pPr>
        <w:jc w:val="both"/>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eastAsia="zh-CN"/>
        </w:rPr>
        <w:t>签字或盖章</w:t>
      </w:r>
      <w:r>
        <w:rPr>
          <w:rFonts w:hint="eastAsia" w:ascii="宋体" w:hAnsi="宋体" w:eastAsia="宋体" w:cs="宋体"/>
          <w:b w:val="0"/>
          <w:bCs w:val="0"/>
          <w:color w:val="000000"/>
          <w:sz w:val="24"/>
        </w:rPr>
        <w:t>）</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（签字）  </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pPr>
        <w:adjustRightInd w:val="0"/>
        <w:snapToGrid w:val="0"/>
        <w:spacing w:line="360" w:lineRule="auto"/>
        <w:rPr>
          <w:rFonts w:hint="eastAsia" w:ascii="宋体" w:hAnsi="宋体" w:eastAsia="宋体" w:cs="宋体"/>
          <w:bCs/>
          <w:color w:val="000000"/>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eastAsia="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02" w:name="_Toc8191"/>
      <w:bookmarkStart w:id="203" w:name="_Toc421778388"/>
      <w:bookmarkStart w:id="204" w:name="_Toc526842727"/>
      <w:bookmarkStart w:id="205" w:name="_Toc425240483"/>
      <w:bookmarkStart w:id="206" w:name="_Toc500323112"/>
      <w:bookmarkStart w:id="207" w:name="_Toc29180"/>
      <w:bookmarkStart w:id="208" w:name="_Toc420591669"/>
      <w:r>
        <w:rPr>
          <w:rFonts w:hint="eastAsia" w:ascii="宋体" w:hAnsi="宋体" w:eastAsia="宋体" w:cs="宋体"/>
          <w:b/>
          <w:color w:val="000000" w:themeColor="text1"/>
          <w:sz w:val="44"/>
          <w:szCs w:val="44"/>
          <w14:textFill>
            <w14:solidFill>
              <w14:schemeClr w14:val="tx1"/>
            </w14:solidFill>
          </w14:textFill>
        </w:rPr>
        <w:t>三、法定代表人身份证明</w:t>
      </w:r>
      <w:bookmarkEnd w:id="202"/>
      <w:bookmarkEnd w:id="203"/>
      <w:bookmarkEnd w:id="204"/>
      <w:bookmarkEnd w:id="205"/>
      <w:bookmarkEnd w:id="206"/>
      <w:bookmarkEnd w:id="207"/>
      <w:bookmarkEnd w:id="208"/>
    </w:p>
    <w:tbl>
      <w:tblPr>
        <w:tblStyle w:val="3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pPr>
              <w:tabs>
                <w:tab w:val="left" w:pos="1260"/>
              </w:tabs>
              <w:spacing w:line="440" w:lineRule="exact"/>
              <w:rPr>
                <w:rFonts w:hint="eastAsia" w:ascii="宋体" w:hAnsi="宋体" w:eastAsia="宋体" w:cs="宋体"/>
                <w:bCs/>
                <w:sz w:val="24"/>
                <w:lang w:eastAsia="zh-CN"/>
              </w:rPr>
            </w:pPr>
            <w:bookmarkStart w:id="209" w:name="_Toc421778389"/>
            <w:bookmarkStart w:id="210" w:name="_Toc500323113"/>
            <w:bookmarkStart w:id="211" w:name="_Toc13782"/>
            <w:bookmarkStart w:id="212" w:name="_Toc32762"/>
            <w:bookmarkStart w:id="213" w:name="_Toc526842728"/>
            <w:bookmarkStart w:id="214" w:name="_Toc420591670"/>
            <w:bookmarkStart w:id="215" w:name="_Toc425240484"/>
            <w:r>
              <w:rPr>
                <w:rFonts w:hint="eastAsia" w:ascii="宋体" w:hAnsi="宋体" w:eastAsia="宋体" w:cs="宋体"/>
                <w:sz w:val="24"/>
              </w:rPr>
              <w:t>致：</w:t>
            </w:r>
            <w:r>
              <w:rPr>
                <w:rFonts w:hint="eastAsia" w:ascii="宋体" w:hAnsi="宋体" w:eastAsia="宋体" w:cs="宋体"/>
                <w:color w:val="auto"/>
                <w:spacing w:val="0"/>
                <w:sz w:val="24"/>
                <w:szCs w:val="24"/>
                <w:lang w:val="en-US" w:eastAsia="zh-CN"/>
              </w:rPr>
              <w:t>陕西悦荣项目管理有限公司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top"/>
          </w:tcPr>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top"/>
          </w:tcPr>
          <w:p>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pPr>
              <w:tabs>
                <w:tab w:val="left" w:pos="1260"/>
              </w:tabs>
              <w:spacing w:line="440" w:lineRule="exact"/>
              <w:rPr>
                <w:rFonts w:hint="eastAsia" w:ascii="宋体" w:hAnsi="宋体" w:eastAsia="宋体" w:cs="宋体"/>
                <w:sz w:val="24"/>
              </w:rPr>
            </w:pPr>
          </w:p>
        </w:tc>
        <w:tc>
          <w:tcPr>
            <w:tcW w:w="1039"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pPr>
              <w:tabs>
                <w:tab w:val="left" w:pos="1260"/>
              </w:tabs>
              <w:spacing w:line="440" w:lineRule="exact"/>
              <w:rPr>
                <w:rFonts w:hint="eastAsia" w:ascii="宋体" w:hAnsi="宋体" w:eastAsia="宋体" w:cs="宋体"/>
                <w:sz w:val="24"/>
              </w:rPr>
            </w:pPr>
          </w:p>
        </w:tc>
        <w:tc>
          <w:tcPr>
            <w:tcW w:w="1039"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pPr>
              <w:rPr>
                <w:rFonts w:hint="eastAsia" w:ascii="宋体" w:hAnsi="宋体" w:eastAsia="宋体" w:cs="宋体"/>
                <w:sz w:val="24"/>
              </w:rPr>
            </w:pPr>
          </w:p>
        </w:tc>
        <w:tc>
          <w:tcPr>
            <w:tcW w:w="5190" w:type="dxa"/>
            <w:gridSpan w:val="2"/>
            <w:vMerge w:val="continue"/>
            <w:noWrap w:val="0"/>
            <w:vAlign w:val="top"/>
          </w:tcPr>
          <w:p>
            <w:pPr>
              <w:rPr>
                <w:rFonts w:hint="eastAsia" w:ascii="宋体" w:hAnsi="宋体" w:eastAsia="宋体" w:cs="宋体"/>
                <w:sz w:val="24"/>
              </w:rPr>
            </w:pPr>
          </w:p>
        </w:tc>
        <w:tc>
          <w:tcPr>
            <w:tcW w:w="3190" w:type="dxa"/>
            <w:gridSpan w:val="2"/>
            <w:noWrap w:val="0"/>
            <w:vAlign w:val="center"/>
          </w:tcPr>
          <w:p>
            <w:pPr>
              <w:tabs>
                <w:tab w:val="left" w:pos="1260"/>
              </w:tabs>
              <w:spacing w:line="440" w:lineRule="exact"/>
              <w:ind w:firstLine="459"/>
              <w:jc w:val="center"/>
              <w:rPr>
                <w:rFonts w:hint="eastAsia" w:ascii="宋体" w:hAnsi="宋体" w:eastAsia="宋体" w:cs="宋体"/>
                <w:sz w:val="24"/>
              </w:rPr>
            </w:pP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pPr>
              <w:tabs>
                <w:tab w:val="left" w:pos="1260"/>
              </w:tabs>
              <w:spacing w:line="440" w:lineRule="exact"/>
              <w:ind w:firstLine="459"/>
              <w:jc w:val="center"/>
              <w:rPr>
                <w:rFonts w:hint="eastAsia" w:ascii="宋体" w:hAnsi="宋体" w:eastAsia="宋体" w:cs="宋体"/>
                <w:sz w:val="24"/>
              </w:rPr>
            </w:pPr>
          </w:p>
          <w:p>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16"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09"/>
      <w:bookmarkEnd w:id="210"/>
      <w:bookmarkEnd w:id="211"/>
      <w:bookmarkEnd w:id="212"/>
      <w:bookmarkEnd w:id="213"/>
      <w:bookmarkEnd w:id="214"/>
      <w:bookmarkEnd w:id="215"/>
      <w:bookmarkEnd w:id="216"/>
    </w:p>
    <w:tbl>
      <w:tblPr>
        <w:tblStyle w:val="3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color w:val="auto"/>
                <w:spacing w:val="0"/>
                <w:sz w:val="24"/>
                <w:szCs w:val="24"/>
                <w:lang w:val="en-US" w:eastAsia="zh-CN"/>
              </w:rPr>
              <w:t>陕西悦荣项目管理有限公司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pPr>
              <w:tabs>
                <w:tab w:val="left" w:pos="1260"/>
              </w:tabs>
              <w:spacing w:line="440" w:lineRule="exact"/>
              <w:rPr>
                <w:rFonts w:hint="eastAsia" w:ascii="宋体" w:hAnsi="宋体" w:eastAsia="宋体" w:cs="宋体"/>
                <w:sz w:val="24"/>
              </w:rPr>
            </w:pPr>
          </w:p>
        </w:tc>
        <w:tc>
          <w:tcPr>
            <w:tcW w:w="2151" w:type="dxa"/>
            <w:noWrap w:val="0"/>
            <w:vAlign w:val="top"/>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pPr>
              <w:tabs>
                <w:tab w:val="left" w:pos="1260"/>
              </w:tabs>
              <w:spacing w:line="440" w:lineRule="exact"/>
              <w:rPr>
                <w:rFonts w:hint="eastAsia" w:ascii="宋体" w:hAnsi="宋体" w:eastAsia="宋体" w:cs="宋体"/>
                <w:sz w:val="24"/>
              </w:rPr>
            </w:pPr>
          </w:p>
        </w:tc>
        <w:tc>
          <w:tcPr>
            <w:tcW w:w="2151" w:type="dxa"/>
            <w:noWrap w:val="0"/>
            <w:vAlign w:val="top"/>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pPr>
              <w:tabs>
                <w:tab w:val="left" w:pos="1260"/>
              </w:tabs>
              <w:spacing w:line="440" w:lineRule="exact"/>
              <w:rPr>
                <w:rFonts w:hint="eastAsia" w:ascii="宋体" w:hAnsi="宋体" w:eastAsia="宋体" w:cs="宋体"/>
                <w:sz w:val="24"/>
              </w:rPr>
            </w:pPr>
          </w:p>
        </w:tc>
        <w:tc>
          <w:tcPr>
            <w:tcW w:w="2151" w:type="dxa"/>
            <w:noWrap w:val="0"/>
            <w:vAlign w:val="top"/>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pPr>
              <w:tabs>
                <w:tab w:val="left" w:pos="1260"/>
              </w:tabs>
              <w:spacing w:line="440" w:lineRule="exact"/>
              <w:jc w:val="center"/>
              <w:rPr>
                <w:rFonts w:hint="eastAsia" w:ascii="宋体" w:hAnsi="宋体" w:eastAsia="宋体" w:cs="宋体"/>
                <w:sz w:val="24"/>
              </w:rPr>
            </w:pPr>
          </w:p>
        </w:tc>
        <w:tc>
          <w:tcPr>
            <w:tcW w:w="21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pPr>
              <w:tabs>
                <w:tab w:val="left" w:pos="1260"/>
              </w:tabs>
              <w:spacing w:line="440" w:lineRule="exact"/>
              <w:jc w:val="center"/>
              <w:rPr>
                <w:rFonts w:hint="eastAsia" w:ascii="宋体" w:hAnsi="宋体" w:eastAsia="宋体" w:cs="宋体"/>
                <w:sz w:val="24"/>
              </w:rPr>
            </w:pPr>
          </w:p>
        </w:tc>
        <w:tc>
          <w:tcPr>
            <w:tcW w:w="21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eastAsia="宋体" w:cs="宋体"/>
                <w:color w:val="auto"/>
                <w:sz w:val="24"/>
                <w:lang w:val="en-US" w:eastAsia="zh-CN"/>
              </w:rPr>
              <w:t>磋商</w:t>
            </w:r>
            <w:r>
              <w:rPr>
                <w:rFonts w:hint="eastAsia" w:ascii="宋体" w:hAnsi="宋体" w:eastAsia="宋体" w:cs="宋体"/>
                <w:sz w:val="24"/>
                <w:lang w:eastAsia="zh-CN"/>
              </w:rPr>
              <w:t>项目</w:t>
            </w:r>
            <w:r>
              <w:rPr>
                <w:rFonts w:hint="eastAsia" w:ascii="宋体" w:hAnsi="宋体" w:eastAsia="宋体" w:cs="宋体"/>
                <w:sz w:val="24"/>
              </w:rPr>
              <w:t>的</w:t>
            </w:r>
            <w:r>
              <w:rPr>
                <w:rFonts w:hint="eastAsia" w:ascii="宋体" w:hAnsi="宋体" w:eastAsia="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pPr>
              <w:tabs>
                <w:tab w:val="left" w:pos="1260"/>
              </w:tabs>
              <w:spacing w:line="440" w:lineRule="exact"/>
              <w:jc w:val="center"/>
              <w:rPr>
                <w:rFonts w:hint="eastAsia" w:ascii="宋体" w:hAnsi="宋体" w:eastAsia="宋体" w:cs="宋体"/>
                <w:sz w:val="24"/>
              </w:rPr>
            </w:pPr>
          </w:p>
        </w:tc>
        <w:tc>
          <w:tcPr>
            <w:tcW w:w="21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pPr>
              <w:tabs>
                <w:tab w:val="left" w:pos="1260"/>
              </w:tabs>
              <w:spacing w:line="440" w:lineRule="exact"/>
              <w:jc w:val="center"/>
              <w:rPr>
                <w:rFonts w:hint="eastAsia" w:ascii="宋体" w:hAnsi="宋体" w:eastAsia="宋体" w:cs="宋体"/>
                <w:sz w:val="24"/>
              </w:rPr>
            </w:pPr>
          </w:p>
        </w:tc>
        <w:tc>
          <w:tcPr>
            <w:tcW w:w="21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eastAsia="宋体" w:cs="宋体"/>
                <w:spacing w:val="-10"/>
                <w:sz w:val="24"/>
                <w:lang w:eastAsia="zh-CN"/>
              </w:rPr>
              <w:t>自本委托书签署之日起至投标有效期期满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pPr>
              <w:tabs>
                <w:tab w:val="left" w:pos="1260"/>
              </w:tabs>
              <w:spacing w:line="440" w:lineRule="exact"/>
              <w:rPr>
                <w:rFonts w:hint="eastAsia" w:ascii="宋体" w:hAnsi="宋体" w:eastAsia="宋体" w:cs="宋体"/>
                <w:sz w:val="24"/>
              </w:rPr>
            </w:pPr>
          </w:p>
        </w:tc>
        <w:tc>
          <w:tcPr>
            <w:tcW w:w="4827" w:type="dxa"/>
            <w:gridSpan w:val="3"/>
            <w:noWrap w:val="0"/>
            <w:vAlign w:val="center"/>
          </w:tcPr>
          <w:p>
            <w:pPr>
              <w:tabs>
                <w:tab w:val="left" w:pos="1260"/>
              </w:tabs>
              <w:spacing w:line="440" w:lineRule="exact"/>
              <w:jc w:val="center"/>
              <w:rPr>
                <w:rFonts w:hint="eastAsia" w:ascii="宋体" w:hAnsi="宋体" w:eastAsia="宋体" w:cs="宋体"/>
                <w:sz w:val="24"/>
              </w:rPr>
            </w:pPr>
          </w:p>
          <w:p>
            <w:pPr>
              <w:tabs>
                <w:tab w:val="left" w:pos="1260"/>
              </w:tabs>
              <w:spacing w:line="440" w:lineRule="exact"/>
              <w:jc w:val="center"/>
              <w:rPr>
                <w:rFonts w:hint="eastAsia" w:ascii="宋体" w:hAnsi="宋体" w:eastAsia="宋体" w:cs="宋体"/>
                <w:sz w:val="24"/>
              </w:rPr>
            </w:pP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p>
            <w:pPr>
              <w:tabs>
                <w:tab w:val="left" w:pos="1260"/>
              </w:tabs>
              <w:spacing w:line="220" w:lineRule="exact"/>
              <w:jc w:val="center"/>
              <w:rPr>
                <w:rFonts w:hint="eastAsia" w:ascii="宋体" w:hAnsi="宋体" w:eastAsia="宋体" w:cs="宋体"/>
                <w:sz w:val="24"/>
              </w:rPr>
            </w:pPr>
          </w:p>
          <w:p>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17" w:name="_Toc500323115"/>
      <w:bookmarkStart w:id="218" w:name="_Toc3574"/>
      <w:bookmarkStart w:id="219" w:name="_Toc526842730"/>
      <w:bookmarkStart w:id="220" w:name="_Toc18320"/>
      <w:bookmarkStart w:id="221" w:name="_Toc421778390"/>
      <w:bookmarkStart w:id="222" w:name="_Toc425240485"/>
      <w:r>
        <w:rPr>
          <w:rFonts w:hint="eastAsia" w:ascii="宋体" w:hAnsi="宋体" w:eastAsia="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w:t>
      </w:r>
      <w:bookmarkEnd w:id="217"/>
      <w:bookmarkEnd w:id="218"/>
      <w:r>
        <w:rPr>
          <w:rFonts w:hint="eastAsia" w:ascii="宋体" w:hAnsi="宋体" w:eastAsia="宋体" w:cs="宋体"/>
          <w:b/>
          <w:color w:val="000000" w:themeColor="text1"/>
          <w:sz w:val="44"/>
          <w:szCs w:val="44"/>
          <w:lang w:val="en-US" w:eastAsia="zh-CN"/>
          <w14:textFill>
            <w14:solidFill>
              <w14:schemeClr w14:val="tx1"/>
            </w14:solidFill>
          </w14:textFill>
        </w:rPr>
        <w:t>服务</w:t>
      </w:r>
      <w:r>
        <w:rPr>
          <w:rFonts w:hint="eastAsia" w:ascii="宋体" w:hAnsi="宋体" w:eastAsia="宋体" w:cs="宋体"/>
          <w:b/>
          <w:color w:val="000000" w:themeColor="text1"/>
          <w:sz w:val="44"/>
          <w:szCs w:val="44"/>
          <w14:textFill>
            <w14:solidFill>
              <w14:schemeClr w14:val="tx1"/>
            </w14:solidFill>
          </w14:textFill>
        </w:rPr>
        <w:t>方案</w:t>
      </w:r>
      <w:bookmarkEnd w:id="219"/>
      <w:bookmarkEnd w:id="220"/>
    </w:p>
    <w:p>
      <w:pPr>
        <w:kinsoku w:val="0"/>
        <w:spacing w:line="360" w:lineRule="auto"/>
        <w:ind w:firstLine="480" w:firstLineChars="20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格式自拟，可参考磋商文件中的评分标准</w:t>
      </w:r>
    </w:p>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23" w:name="_Toc500323116"/>
      <w:bookmarkStart w:id="224" w:name="_Toc14452"/>
      <w:bookmarkStart w:id="225" w:name="_Toc6747"/>
      <w:bookmarkStart w:id="226" w:name="_Toc526842731"/>
      <w:bookmarkStart w:id="227" w:name="_Toc6183"/>
      <w:r>
        <w:rPr>
          <w:rFonts w:hint="eastAsia" w:ascii="宋体" w:hAnsi="宋体" w:eastAsia="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223"/>
      <w:bookmarkEnd w:id="224"/>
      <w:bookmarkEnd w:id="225"/>
      <w:r>
        <w:rPr>
          <w:rFonts w:hint="eastAsia" w:ascii="宋体" w:hAnsi="宋体" w:eastAsia="宋体" w:cs="宋体"/>
          <w:b/>
          <w:color w:val="000000" w:themeColor="text1"/>
          <w:sz w:val="44"/>
          <w:szCs w:val="44"/>
          <w14:textFill>
            <w14:solidFill>
              <w14:schemeClr w14:val="tx1"/>
            </w14:solidFill>
          </w14:textFill>
        </w:rPr>
        <w:t>方案</w:t>
      </w:r>
      <w:bookmarkEnd w:id="226"/>
      <w:bookmarkEnd w:id="227"/>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6.1同类业绩；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6.2服务质量承诺；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6.3后续服务；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6.4有必要说明的商务事宜。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color w:val="000000" w:themeColor="text1"/>
          <w:sz w:val="28"/>
          <w:szCs w:val="28"/>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221"/>
    <w:bookmarkEnd w:id="222"/>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28" w:name="_Toc500323117"/>
      <w:bookmarkStart w:id="229" w:name="_Toc24350"/>
      <w:bookmarkStart w:id="230" w:name="_Toc526842732"/>
      <w:bookmarkStart w:id="231" w:name="_Toc19179"/>
      <w:r>
        <w:rPr>
          <w:rFonts w:hint="eastAsia" w:ascii="宋体" w:hAnsi="宋体" w:eastAsia="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228"/>
      <w:bookmarkEnd w:id="229"/>
      <w:bookmarkEnd w:id="230"/>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32" w:name="_Toc361383542"/>
      <w:bookmarkStart w:id="233" w:name="_Toc359828206"/>
      <w:bookmarkStart w:id="234" w:name="_Toc371521076"/>
      <w:bookmarkStart w:id="235" w:name="_Toc359592510"/>
      <w:bookmarkStart w:id="236" w:name="_Toc371331512"/>
      <w:bookmarkStart w:id="237" w:name="_Toc371521419"/>
      <w:bookmarkStart w:id="238" w:name="_Toc371521013"/>
      <w:bookmarkStart w:id="239" w:name="_Toc424816795"/>
      <w:bookmarkStart w:id="240" w:name="_Toc371451563"/>
      <w:bookmarkStart w:id="241" w:name="_Toc424757670"/>
      <w:bookmarkStart w:id="242" w:name="_Toc361393208"/>
      <w:bookmarkStart w:id="243" w:name="_Toc367714248"/>
      <w:bookmarkStart w:id="244" w:name="_Toc359508067"/>
      <w:r>
        <w:rPr>
          <w:rFonts w:hint="eastAsia" w:ascii="宋体" w:hAnsi="宋体" w:eastAsia="宋体" w:cs="宋体"/>
          <w:color w:val="000000" w:themeColor="text1"/>
          <w:sz w:val="24"/>
          <w14:textFill>
            <w14:solidFill>
              <w14:schemeClr w14:val="tx1"/>
            </w14:solidFill>
          </w14:textFill>
        </w:rPr>
        <w:t>注：</w:t>
      </w:r>
      <w:bookmarkEnd w:id="232"/>
      <w:bookmarkEnd w:id="233"/>
      <w:bookmarkEnd w:id="234"/>
      <w:bookmarkEnd w:id="235"/>
      <w:bookmarkEnd w:id="236"/>
      <w:bookmarkEnd w:id="237"/>
      <w:bookmarkEnd w:id="238"/>
      <w:bookmarkEnd w:id="239"/>
      <w:bookmarkEnd w:id="240"/>
      <w:bookmarkEnd w:id="241"/>
      <w:bookmarkEnd w:id="242"/>
      <w:bookmarkEnd w:id="243"/>
      <w:bookmarkEnd w:id="244"/>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45" w:name="_Toc371521420"/>
      <w:bookmarkStart w:id="246" w:name="_Toc424757671"/>
      <w:bookmarkStart w:id="247" w:name="_Toc359828207"/>
      <w:bookmarkStart w:id="248" w:name="_Toc371521014"/>
      <w:bookmarkStart w:id="249" w:name="_Toc359592511"/>
      <w:bookmarkStart w:id="250" w:name="_Toc361383543"/>
      <w:bookmarkStart w:id="251" w:name="_Toc361393209"/>
      <w:bookmarkStart w:id="252" w:name="_Toc367714249"/>
      <w:bookmarkStart w:id="253" w:name="_Toc371451564"/>
      <w:bookmarkStart w:id="254" w:name="_Toc371331513"/>
      <w:bookmarkStart w:id="255" w:name="_Toc359508068"/>
      <w:bookmarkStart w:id="256" w:name="_Toc371521077"/>
      <w:bookmarkStart w:id="257" w:name="_Toc424816796"/>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58" w:name="_Toc361383544"/>
      <w:bookmarkStart w:id="259" w:name="_Toc371521078"/>
      <w:bookmarkStart w:id="260" w:name="_Toc424816797"/>
      <w:bookmarkStart w:id="261" w:name="_Toc359508069"/>
      <w:bookmarkStart w:id="262" w:name="_Toc359592512"/>
      <w:bookmarkStart w:id="263" w:name="_Toc371331514"/>
      <w:bookmarkStart w:id="264" w:name="_Toc371521421"/>
      <w:bookmarkStart w:id="265" w:name="_Toc359828208"/>
      <w:bookmarkStart w:id="266" w:name="_Toc361393210"/>
      <w:bookmarkStart w:id="267" w:name="_Toc424757672"/>
      <w:bookmarkStart w:id="268" w:name="_Toc367714250"/>
      <w:bookmarkStart w:id="269" w:name="_Toc371521015"/>
      <w:bookmarkStart w:id="270" w:name="_Toc371451565"/>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258"/>
      <w:bookmarkEnd w:id="259"/>
      <w:bookmarkEnd w:id="260"/>
      <w:bookmarkEnd w:id="261"/>
      <w:bookmarkEnd w:id="262"/>
      <w:bookmarkEnd w:id="263"/>
      <w:bookmarkEnd w:id="264"/>
      <w:bookmarkEnd w:id="265"/>
      <w:bookmarkEnd w:id="266"/>
      <w:bookmarkEnd w:id="267"/>
      <w:bookmarkEnd w:id="268"/>
      <w:bookmarkEnd w:id="269"/>
      <w:bookmarkEnd w:id="270"/>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auto"/>
                <w:spacing w:val="0"/>
                <w:sz w:val="24"/>
                <w:szCs w:val="24"/>
                <w:lang w:val="en-US" w:eastAsia="zh-CN"/>
              </w:rPr>
              <w:t>陕西悦荣项目管理有限公司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tabs>
          <w:tab w:val="left" w:pos="782"/>
        </w:tabs>
        <w:bidi w:val="0"/>
        <w:jc w:val="left"/>
        <w:rPr>
          <w:rFonts w:hint="eastAsia" w:ascii="宋体" w:hAnsi="宋体" w:eastAsia="宋体" w:cs="宋体"/>
          <w:lang w:val="en-US" w:eastAsia="zh-CN"/>
        </w:rPr>
        <w:sectPr>
          <w:pgSz w:w="11906" w:h="16838"/>
          <w:pgMar w:top="1440" w:right="1440" w:bottom="1440" w:left="1440" w:header="851" w:footer="992" w:gutter="0"/>
          <w:pgNumType w:fmt="decimal"/>
          <w:cols w:space="720" w:num="1"/>
          <w:titlePg/>
          <w:docGrid w:linePitch="312" w:charSpace="0"/>
        </w:sectPr>
      </w:pPr>
    </w:p>
    <w:p>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auto"/>
                <w:spacing w:val="0"/>
                <w:sz w:val="24"/>
                <w:szCs w:val="24"/>
                <w:lang w:val="en-US" w:eastAsia="zh-CN"/>
              </w:rPr>
              <w:t>陕西悦荣项目管理有限公司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4" w:type="default"/>
          <w:pgSz w:w="11906" w:h="16838"/>
          <w:pgMar w:top="1440" w:right="1440" w:bottom="1440" w:left="1440" w:header="851" w:footer="992" w:gutter="0"/>
          <w:pgNumType w:fmt="decimal"/>
          <w:cols w:space="720" w:num="1"/>
          <w:titlePg/>
          <w:docGrid w:linePitch="312" w:charSpace="0"/>
        </w:sectPr>
      </w:pPr>
    </w:p>
    <w:p>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auto"/>
                <w:spacing w:val="0"/>
                <w:sz w:val="24"/>
                <w:szCs w:val="24"/>
                <w:lang w:val="en-US" w:eastAsia="zh-CN"/>
              </w:rPr>
              <w:t>陕西悦荣项目管理有限公司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271" w:name="_Toc13811"/>
      <w:bookmarkStart w:id="272" w:name="_Toc500323118"/>
      <w:bookmarkStart w:id="273" w:name="_Toc526842733"/>
      <w:r>
        <w:rPr>
          <w:rFonts w:hint="eastAsia" w:ascii="宋体" w:hAnsi="宋体" w:eastAsia="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231"/>
      <w:bookmarkEnd w:id="271"/>
      <w:bookmarkEnd w:id="272"/>
      <w:bookmarkEnd w:id="273"/>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pPr>
        <w:widowControl/>
        <w:spacing w:line="360" w:lineRule="auto"/>
        <w:ind w:firstLine="560" w:firstLineChars="200"/>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地址：</w:t>
      </w:r>
    </w:p>
    <w:p>
      <w:pPr>
        <w:widowControl/>
        <w:spacing w:line="360" w:lineRule="auto"/>
        <w:ind w:firstLine="560" w:firstLineChars="200"/>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邮编：</w:t>
      </w: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电话：</w:t>
      </w:r>
      <w:r>
        <w:rPr>
          <w:rFonts w:hint="eastAsia" w:ascii="宋体" w:hAnsi="宋体" w:eastAsia="宋体" w:cs="宋体"/>
          <w:color w:val="000000" w:themeColor="text1"/>
          <w:kern w:val="0"/>
          <w:sz w:val="28"/>
          <w:szCs w:val="28"/>
          <w14:textFill>
            <w14:solidFill>
              <w14:schemeClr w14:val="tx1"/>
            </w14:solidFill>
          </w14:textFill>
        </w:rPr>
        <w:t> </w:t>
      </w: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p>
    <w:p>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p>
    <w:p>
      <w:pPr>
        <w:widowControl/>
        <w:spacing w:line="360" w:lineRule="auto"/>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供应商：</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bookmarkStart w:id="274" w:name="_Toc425240486"/>
      <w:bookmarkStart w:id="275" w:name="_Toc11275"/>
      <w:bookmarkStart w:id="276" w:name="_Toc500323119"/>
      <w:bookmarkStart w:id="277" w:name="_Toc526842734"/>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jc w:val="both"/>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p>
    <w:p>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274"/>
      <w:r>
        <w:rPr>
          <w:rFonts w:hint="eastAsia" w:ascii="宋体" w:hAnsi="宋体" w:eastAsia="宋体" w:cs="宋体"/>
          <w:b/>
          <w:color w:val="000000" w:themeColor="text1"/>
          <w:sz w:val="44"/>
          <w:szCs w:val="44"/>
          <w14:textFill>
            <w14:solidFill>
              <w14:schemeClr w14:val="tx1"/>
            </w14:solidFill>
          </w14:textFill>
        </w:rPr>
        <w:t>资格审查资料</w:t>
      </w:r>
      <w:bookmarkEnd w:id="275"/>
      <w:bookmarkEnd w:id="276"/>
      <w:bookmarkEnd w:id="277"/>
    </w:p>
    <w:p>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bookmarkStart w:id="278" w:name="_Toc425240488"/>
      <w:bookmarkStart w:id="279" w:name="_Toc421778393"/>
      <w:bookmarkStart w:id="280" w:name="_Toc25286"/>
      <w:bookmarkStart w:id="281" w:name="_Toc410976269"/>
      <w:bookmarkStart w:id="282" w:name="_Toc420591675"/>
      <w:bookmarkStart w:id="283" w:name="_Toc17898"/>
      <w:r>
        <w:rPr>
          <w:rFonts w:hint="eastAsia" w:ascii="宋体" w:hAnsi="宋体" w:eastAsia="宋体" w:cs="宋体"/>
          <w:color w:val="000000" w:themeColor="text1"/>
          <w:kern w:val="0"/>
          <w:sz w:val="28"/>
          <w:szCs w:val="28"/>
          <w:lang w:val="en-US" w:eastAsia="zh-CN" w:bidi="ar-SA"/>
          <w14:textFill>
            <w14:solidFill>
              <w14:schemeClr w14:val="tx1"/>
            </w14:solidFill>
          </w14:textFill>
        </w:rPr>
        <w:t>1.具有独立承担民事责任能力的法人或其他组织，提供合法有效的统一社会信用代码的营业执照（含年度报告）；</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2.法定代表人（负责人）授权书（附法定代表人身份证复印件）及被授权人身份证（法定代表人（负责人）直接参加磋商只须提供法定代表人身份证）；</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3.税收缴纳证明：提供本年度已缴纳的至少连续 3 个月的纳税证明或完税证明，依法免税的单位应提供相关证明材料；</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5.财务状况报告：提供2022年度或2023年的财务审计报告(成立时间至提交投标文件截止时间不足一年的成立后任意时段的资产负债表或提供开标日期前 3 个月内其基本开户银行出具的资信证明）；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6.供应商应出具参加政府采购活动前 3 年内在经营活动中没有重大违法记录的书面声明；</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8.单位负责人为同一人或者存在直接控股、管理关系的不同供应商，不得参加同一合同项下的政府采购活动；</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9.提供磋商保证金的银行转账或电汇凭证并确保响应文件递交截止时间前到达采购文件指定账户；</w:t>
      </w:r>
    </w:p>
    <w:p>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10.本项目不接受联合体磋商。</w:t>
      </w:r>
    </w:p>
    <w:p>
      <w:pPr>
        <w:widowControl/>
        <w:spacing w:line="360" w:lineRule="auto"/>
        <w:ind w:firstLine="562" w:firstLineChars="200"/>
        <w:rPr>
          <w:rFonts w:hint="eastAsia" w:ascii="宋体" w:hAnsi="宋体" w:eastAsia="宋体" w:cs="宋体"/>
          <w:sz w:val="28"/>
          <w:szCs w:val="28"/>
          <w:lang w:val="en-US" w:eastAsia="zh-CN"/>
        </w:rPr>
        <w:sectPr>
          <w:footerReference r:id="rId16" w:type="first"/>
          <w:footerReference r:id="rId15"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复印件胶装加盖公章</w:t>
      </w:r>
      <w:r>
        <w:rPr>
          <w:rFonts w:hint="eastAsia" w:ascii="宋体" w:hAnsi="宋体" w:eastAsia="宋体" w:cs="宋体"/>
          <w:b/>
          <w:bCs/>
          <w:color w:val="000000"/>
          <w:kern w:val="0"/>
          <w:sz w:val="28"/>
          <w:szCs w:val="28"/>
        </w:rPr>
        <w:t>同</w:t>
      </w:r>
      <w:r>
        <w:rPr>
          <w:rFonts w:hint="eastAsia" w:ascii="宋体" w:hAnsi="宋体" w:eastAsia="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eastAsia="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pPr>
        <w:pStyle w:val="32"/>
        <w:rPr>
          <w:rFonts w:hint="eastAsia" w:ascii="宋体" w:hAnsi="宋体" w:eastAsia="宋体" w:cs="宋体"/>
          <w:b/>
          <w:bCs/>
          <w:sz w:val="24"/>
          <w:szCs w:val="24"/>
          <w:lang w:val="en-US" w:eastAsia="zh-CN"/>
        </w:rPr>
      </w:pPr>
      <w:bookmarkStart w:id="284" w:name="_Hlk518637502"/>
      <w:bookmarkStart w:id="285"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pPr>
        <w:pStyle w:val="32"/>
        <w:rPr>
          <w:rFonts w:hint="eastAsia" w:ascii="宋体" w:hAnsi="宋体" w:eastAsia="宋体" w:cs="宋体"/>
          <w:lang w:val="en-US" w:eastAsia="zh-CN"/>
        </w:rPr>
      </w:pPr>
    </w:p>
    <w:p>
      <w:pPr>
        <w:pStyle w:val="32"/>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pPr>
        <w:pStyle w:val="32"/>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（采购人名称）</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采购项目的磋商单位，现郑重承诺我单位具备《中华人民共和国政府采购法》第二十二条供应商参加政府采购活动的基本资格条件： </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供应商：</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pStyle w:val="16"/>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rPr>
      </w:pPr>
    </w:p>
    <w:p>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2</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pPr>
        <w:spacing w:line="360" w:lineRule="auto"/>
        <w:jc w:val="left"/>
        <w:rPr>
          <w:rFonts w:hint="eastAsia" w:ascii="宋体" w:hAnsi="宋体" w:eastAsia="宋体" w:cs="宋体"/>
          <w:color w:val="000000" w:themeColor="text1"/>
          <w:sz w:val="28"/>
          <w:szCs w:val="28"/>
          <w14:textFill>
            <w14:solidFill>
              <w14:schemeClr w14:val="tx1"/>
            </w14:solidFill>
          </w14:textFill>
        </w:rPr>
      </w:pPr>
    </w:p>
    <w:p>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pPr>
        <w:spacing w:line="360" w:lineRule="auto"/>
        <w:jc w:val="left"/>
        <w:rPr>
          <w:rFonts w:hint="eastAsia" w:ascii="宋体" w:hAnsi="宋体" w:eastAsia="宋体" w:cs="宋体"/>
          <w:color w:val="000000" w:themeColor="text1"/>
          <w:sz w:val="28"/>
          <w:szCs w:val="28"/>
          <w14:textFill>
            <w14:solidFill>
              <w14:schemeClr w14:val="tx1"/>
            </w14:solidFill>
          </w14:textFill>
        </w:rPr>
      </w:pPr>
    </w:p>
    <w:p>
      <w:pPr>
        <w:pStyle w:val="16"/>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rPr>
      </w:pPr>
    </w:p>
    <w:p>
      <w:pPr>
        <w:pStyle w:val="16"/>
        <w:rPr>
          <w:rFonts w:hint="eastAsia" w:ascii="宋体" w:hAnsi="宋体" w:eastAsia="宋体" w:cs="宋体"/>
        </w:rPr>
      </w:pP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供应商：</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3</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eastAsia="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pPr>
        <w:pStyle w:val="30"/>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2.我公司愿按《中华人民共和国合同法》履行自己的全部责任。</w:t>
      </w:r>
    </w:p>
    <w:p>
      <w:pPr>
        <w:pStyle w:val="30"/>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pPr>
        <w:pStyle w:val="30"/>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284"/>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pPr>
        <w:spacing w:line="360" w:lineRule="auto"/>
        <w:rPr>
          <w:rFonts w:hint="eastAsia" w:ascii="宋体" w:hAnsi="宋体" w:eastAsia="宋体" w:cs="宋体"/>
          <w:color w:val="000000" w:themeColor="text1"/>
          <w:sz w:val="24"/>
          <w14:textFill>
            <w14:solidFill>
              <w14:schemeClr w14:val="tx1"/>
            </w14:solidFill>
          </w14:textFill>
        </w:rPr>
      </w:pPr>
    </w:p>
    <w:bookmarkEnd w:id="285"/>
    <w:p>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6" w:name="_Toc526842735"/>
      <w:bookmarkStart w:id="287" w:name="_Toc500323120"/>
      <w:bookmarkStart w:id="288" w:name="_Toc27768"/>
      <w:r>
        <w:rPr>
          <w:rFonts w:hint="eastAsia" w:ascii="宋体" w:hAnsi="宋体" w:eastAsia="宋体" w:cs="宋体"/>
          <w:b/>
          <w:color w:val="000000" w:themeColor="text1"/>
          <w:sz w:val="44"/>
          <w:szCs w:val="44"/>
          <w14:textFill>
            <w14:solidFill>
              <w14:schemeClr w14:val="tx1"/>
            </w14:solidFill>
          </w14:textFill>
        </w:rPr>
        <w:t>十、其他材</w:t>
      </w:r>
      <w:bookmarkEnd w:id="278"/>
      <w:bookmarkEnd w:id="279"/>
      <w:bookmarkEnd w:id="280"/>
      <w:bookmarkEnd w:id="281"/>
      <w:bookmarkEnd w:id="282"/>
      <w:r>
        <w:rPr>
          <w:rFonts w:hint="eastAsia" w:ascii="宋体" w:hAnsi="宋体" w:eastAsia="宋体" w:cs="宋体"/>
          <w:b/>
          <w:color w:val="000000" w:themeColor="text1"/>
          <w:sz w:val="44"/>
          <w:szCs w:val="44"/>
          <w14:textFill>
            <w14:solidFill>
              <w14:schemeClr w14:val="tx1"/>
            </w14:solidFill>
          </w14:textFill>
        </w:rPr>
        <w:t>料</w:t>
      </w:r>
      <w:bookmarkEnd w:id="283"/>
      <w:bookmarkEnd w:id="286"/>
      <w:bookmarkEnd w:id="287"/>
      <w:bookmarkEnd w:id="288"/>
    </w:p>
    <w:p>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289" w:name="_Toc10352"/>
      <w:bookmarkStart w:id="290" w:name="_Toc500323121"/>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289"/>
      <w:bookmarkEnd w:id="290"/>
    </w:p>
    <w:p>
      <w:pPr>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中小企业声明函（工程、服务）</w:t>
      </w:r>
    </w:p>
    <w:p>
      <w:pPr>
        <w:pStyle w:val="16"/>
        <w:spacing w:before="5"/>
        <w:rPr>
          <w:rFonts w:hint="eastAsia" w:ascii="宋体" w:hAnsi="宋体" w:eastAsia="宋体" w:cs="宋体"/>
          <w:b/>
          <w:color w:val="auto"/>
          <w:sz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pacing w:line="480" w:lineRule="auto"/>
        <w:ind w:firstLine="5520" w:firstLineChars="2300"/>
        <w:rPr>
          <w:rFonts w:hint="eastAsia" w:ascii="宋体" w:hAnsi="宋体" w:eastAsia="宋体" w:cs="宋体"/>
          <w:color w:val="auto"/>
          <w:sz w:val="24"/>
          <w:szCs w:val="24"/>
          <w:highlight w:val="none"/>
        </w:rPr>
      </w:pPr>
    </w:p>
    <w:p>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291"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291"/>
    <w:p>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pPr>
        <w:rPr>
          <w:rFonts w:hint="eastAsia" w:ascii="宋体" w:hAnsi="宋体" w:eastAsia="宋体" w:cs="宋体"/>
          <w:sz w:val="24"/>
          <w:szCs w:val="24"/>
          <w:lang w:eastAsia="zh-CN"/>
        </w:rPr>
      </w:pPr>
    </w:p>
    <w:p>
      <w:pPr>
        <w:spacing w:line="360" w:lineRule="auto"/>
        <w:jc w:val="left"/>
        <w:rPr>
          <w:rFonts w:hint="eastAsia" w:ascii="宋体" w:hAnsi="宋体" w:eastAsia="宋体" w:cs="宋体"/>
          <w:color w:val="000000"/>
          <w:sz w:val="24"/>
          <w:szCs w:val="24"/>
          <w:lang w:eastAsia="zh-CN"/>
        </w:rPr>
      </w:pP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auto"/>
          <w:spacing w:val="0"/>
          <w:sz w:val="24"/>
          <w:szCs w:val="24"/>
          <w:lang w:val="en-US" w:eastAsia="zh-CN"/>
        </w:rPr>
        <w:t>陕西悦荣项目管理有限公司</w:t>
      </w:r>
      <w:r>
        <w:rPr>
          <w:rFonts w:hint="eastAsia" w:ascii="宋体" w:hAnsi="宋体" w:eastAsia="宋体" w:cs="宋体"/>
          <w:color w:val="000000"/>
          <w:sz w:val="24"/>
          <w:szCs w:val="24"/>
          <w:lang w:eastAsia="zh-CN"/>
        </w:rPr>
        <w:t>：</w:t>
      </w:r>
    </w:p>
    <w:p>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pPr>
        <w:spacing w:line="360" w:lineRule="auto"/>
        <w:ind w:firstLine="480" w:firstLineChars="200"/>
        <w:jc w:val="left"/>
        <w:rPr>
          <w:rFonts w:hint="eastAsia" w:ascii="宋体" w:hAnsi="宋体" w:eastAsia="宋体" w:cs="宋体"/>
          <w:color w:val="000000"/>
          <w:sz w:val="24"/>
          <w:szCs w:val="24"/>
        </w:rPr>
      </w:pP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pPr>
        <w:spacing w:line="360" w:lineRule="auto"/>
        <w:ind w:firstLine="480" w:firstLineChars="200"/>
        <w:jc w:val="left"/>
        <w:rPr>
          <w:rFonts w:hint="eastAsia" w:ascii="宋体" w:hAnsi="宋体" w:eastAsia="宋体" w:cs="宋体"/>
          <w:color w:val="000000"/>
          <w:sz w:val="24"/>
          <w:szCs w:val="24"/>
        </w:rPr>
      </w:pP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pStyle w:val="12"/>
        <w:spacing w:line="360" w:lineRule="auto"/>
        <w:ind w:firstLine="570"/>
        <w:rPr>
          <w:rFonts w:hint="eastAsia" w:ascii="宋体" w:hAnsi="宋体" w:eastAsia="宋体" w:cs="宋体"/>
          <w:sz w:val="24"/>
          <w:szCs w:val="24"/>
        </w:rPr>
      </w:pP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pPr>
        <w:rPr>
          <w:rFonts w:hint="eastAsia" w:ascii="宋体" w:hAnsi="宋体" w:eastAsia="宋体" w:cs="宋体"/>
        </w:rPr>
      </w:pPr>
    </w:p>
    <w:p>
      <w:pPr>
        <w:pStyle w:val="5"/>
        <w:rPr>
          <w:rFonts w:hint="eastAsia" w:ascii="宋体" w:hAnsi="宋体" w:eastAsia="宋体" w:cs="宋体"/>
        </w:rPr>
      </w:pPr>
    </w:p>
    <w:sectPr>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olor w:val="000000"/>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olor w:val="000000"/>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olor w:val="000000"/>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92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pPr>
                      <w:rPr>
                        <w:rFonts w:hint="eastAsia"/>
                        <w:lang w:eastAsia="zh-CN"/>
                      </w:rPr>
                    </w:pPr>
                  </w:p>
                </w:txbxContent>
              </v:textbox>
            </v:shape>
          </w:pict>
        </mc:Fallback>
      </mc:AlternateContent>
    </w:r>
    <w:r>
      <w:rPr>
        <w:rFonts w:hint="eastAsia"/>
        <w:sz w:val="18"/>
        <w:lang w:val="en-US" w:eastAsia="zh-CN"/>
      </w:rPr>
      <w:t xml:space="preserve">                                                                                         </w:t>
    </w:r>
  </w:p>
  <w:p>
    <w:pPr>
      <w:pStyle w:val="23"/>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24DF5"/>
    <w:multiLevelType w:val="singleLevel"/>
    <w:tmpl w:val="B1A24DF5"/>
    <w:lvl w:ilvl="0" w:tentative="0">
      <w:start w:val="1"/>
      <w:numFmt w:val="decimal"/>
      <w:lvlText w:val="%1."/>
      <w:lvlJc w:val="left"/>
      <w:pPr>
        <w:tabs>
          <w:tab w:val="left" w:pos="312"/>
        </w:tabs>
      </w:pPr>
    </w:lvl>
  </w:abstractNum>
  <w:abstractNum w:abstractNumId="1">
    <w:nsid w:val="2D8E9F54"/>
    <w:multiLevelType w:val="singleLevel"/>
    <w:tmpl w:val="2D8E9F54"/>
    <w:lvl w:ilvl="0" w:tentative="0">
      <w:start w:val="4"/>
      <w:numFmt w:val="decimal"/>
      <w:lvlText w:val="%1."/>
      <w:lvlJc w:val="left"/>
      <w:pPr>
        <w:tabs>
          <w:tab w:val="left" w:pos="312"/>
        </w:tabs>
      </w:pPr>
    </w:lvl>
  </w:abstractNum>
  <w:abstractNum w:abstractNumId="2">
    <w:nsid w:val="582A8D5B"/>
    <w:multiLevelType w:val="singleLevel"/>
    <w:tmpl w:val="582A8D5B"/>
    <w:lvl w:ilvl="0" w:tentative="0">
      <w:start w:val="5"/>
      <w:numFmt w:val="decimal"/>
      <w:suff w:val="nothing"/>
      <w:lvlText w:val="（%1）"/>
      <w:lvlJc w:val="left"/>
    </w:lvl>
  </w:abstractNum>
  <w:abstractNum w:abstractNumId="3">
    <w:nsid w:val="65AE7335"/>
    <w:multiLevelType w:val="singleLevel"/>
    <w:tmpl w:val="65AE7335"/>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5MzVmYzEzNzliNTdiOGY3MjEyYTU3OTU0ZjNlYmIifQ=="/>
    <w:docVar w:name="KSO_WPS_MARK_KEY" w:val="1ed1ee22-e28e-4fe1-a0ec-da16c5156d45"/>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4855"/>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0FD2"/>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226120"/>
    <w:rsid w:val="01271818"/>
    <w:rsid w:val="0152786E"/>
    <w:rsid w:val="01B30539"/>
    <w:rsid w:val="01B57CB1"/>
    <w:rsid w:val="02497A3D"/>
    <w:rsid w:val="026E7B4E"/>
    <w:rsid w:val="027357BF"/>
    <w:rsid w:val="02F2088F"/>
    <w:rsid w:val="033B110D"/>
    <w:rsid w:val="034B16DB"/>
    <w:rsid w:val="039557E5"/>
    <w:rsid w:val="03A2440C"/>
    <w:rsid w:val="03C7439E"/>
    <w:rsid w:val="03CA37D9"/>
    <w:rsid w:val="03D12B67"/>
    <w:rsid w:val="03D8626A"/>
    <w:rsid w:val="04021876"/>
    <w:rsid w:val="0422171C"/>
    <w:rsid w:val="042F5B05"/>
    <w:rsid w:val="04561352"/>
    <w:rsid w:val="0458215C"/>
    <w:rsid w:val="045C5574"/>
    <w:rsid w:val="046061CC"/>
    <w:rsid w:val="04745538"/>
    <w:rsid w:val="04C92897"/>
    <w:rsid w:val="04D03646"/>
    <w:rsid w:val="05895CC4"/>
    <w:rsid w:val="058B7913"/>
    <w:rsid w:val="05997254"/>
    <w:rsid w:val="05B128D7"/>
    <w:rsid w:val="05E05A96"/>
    <w:rsid w:val="06361DFE"/>
    <w:rsid w:val="064648FC"/>
    <w:rsid w:val="06473D8B"/>
    <w:rsid w:val="06545602"/>
    <w:rsid w:val="06972A8A"/>
    <w:rsid w:val="06E57C76"/>
    <w:rsid w:val="07E350C8"/>
    <w:rsid w:val="086668EF"/>
    <w:rsid w:val="08E4147A"/>
    <w:rsid w:val="090265EC"/>
    <w:rsid w:val="09116AFD"/>
    <w:rsid w:val="0930032E"/>
    <w:rsid w:val="09C83276"/>
    <w:rsid w:val="09EA1DBD"/>
    <w:rsid w:val="09EF6324"/>
    <w:rsid w:val="09F91840"/>
    <w:rsid w:val="0A95537F"/>
    <w:rsid w:val="0A9F3990"/>
    <w:rsid w:val="0AB27B6E"/>
    <w:rsid w:val="0B571202"/>
    <w:rsid w:val="0B6C1E53"/>
    <w:rsid w:val="0B861F3A"/>
    <w:rsid w:val="0BD9116B"/>
    <w:rsid w:val="0BE9290A"/>
    <w:rsid w:val="0C046A0B"/>
    <w:rsid w:val="0C683626"/>
    <w:rsid w:val="0C7A5796"/>
    <w:rsid w:val="0C8C5AFB"/>
    <w:rsid w:val="0C963EF8"/>
    <w:rsid w:val="0CC47EE3"/>
    <w:rsid w:val="0D0826AD"/>
    <w:rsid w:val="0D2D2AAA"/>
    <w:rsid w:val="0D30053E"/>
    <w:rsid w:val="0D8C04F1"/>
    <w:rsid w:val="0DBA4B4D"/>
    <w:rsid w:val="0E1101F2"/>
    <w:rsid w:val="0E26072A"/>
    <w:rsid w:val="0E38608B"/>
    <w:rsid w:val="0E66225F"/>
    <w:rsid w:val="103D3F25"/>
    <w:rsid w:val="10A81246"/>
    <w:rsid w:val="119416B6"/>
    <w:rsid w:val="11D25F32"/>
    <w:rsid w:val="12125943"/>
    <w:rsid w:val="124011D5"/>
    <w:rsid w:val="12433B36"/>
    <w:rsid w:val="126569F8"/>
    <w:rsid w:val="128D50B0"/>
    <w:rsid w:val="12A92B51"/>
    <w:rsid w:val="12B83BF7"/>
    <w:rsid w:val="12C5437D"/>
    <w:rsid w:val="12C56EB8"/>
    <w:rsid w:val="12C72DE6"/>
    <w:rsid w:val="134560F5"/>
    <w:rsid w:val="135E2740"/>
    <w:rsid w:val="13702429"/>
    <w:rsid w:val="13824BF1"/>
    <w:rsid w:val="143642E1"/>
    <w:rsid w:val="146E3635"/>
    <w:rsid w:val="1490506D"/>
    <w:rsid w:val="14B65F60"/>
    <w:rsid w:val="14E57140"/>
    <w:rsid w:val="15197383"/>
    <w:rsid w:val="15224B0B"/>
    <w:rsid w:val="1533640A"/>
    <w:rsid w:val="153F50D3"/>
    <w:rsid w:val="15461F78"/>
    <w:rsid w:val="16035FDF"/>
    <w:rsid w:val="168C5D0E"/>
    <w:rsid w:val="168F6A22"/>
    <w:rsid w:val="16946343"/>
    <w:rsid w:val="16A25598"/>
    <w:rsid w:val="16B543D5"/>
    <w:rsid w:val="16BD3F10"/>
    <w:rsid w:val="16CB0AC1"/>
    <w:rsid w:val="17053961"/>
    <w:rsid w:val="171559AB"/>
    <w:rsid w:val="17593E68"/>
    <w:rsid w:val="178243E2"/>
    <w:rsid w:val="17AC0656"/>
    <w:rsid w:val="17AF6D1D"/>
    <w:rsid w:val="17B113BF"/>
    <w:rsid w:val="17B12E8E"/>
    <w:rsid w:val="17F06029"/>
    <w:rsid w:val="18354E04"/>
    <w:rsid w:val="186971E7"/>
    <w:rsid w:val="19017392"/>
    <w:rsid w:val="191E736D"/>
    <w:rsid w:val="195049B4"/>
    <w:rsid w:val="195A108F"/>
    <w:rsid w:val="19B97B07"/>
    <w:rsid w:val="19C4547D"/>
    <w:rsid w:val="1A5F4E7E"/>
    <w:rsid w:val="1AA466A3"/>
    <w:rsid w:val="1AD67D00"/>
    <w:rsid w:val="1AF32419"/>
    <w:rsid w:val="1AFE67D6"/>
    <w:rsid w:val="1B510CEF"/>
    <w:rsid w:val="1B6E5458"/>
    <w:rsid w:val="1B7F3841"/>
    <w:rsid w:val="1B846E73"/>
    <w:rsid w:val="1B886580"/>
    <w:rsid w:val="1BA31ED5"/>
    <w:rsid w:val="1BE23ADA"/>
    <w:rsid w:val="1BF93DC6"/>
    <w:rsid w:val="1C1E09F9"/>
    <w:rsid w:val="1C1F18E8"/>
    <w:rsid w:val="1C4024E5"/>
    <w:rsid w:val="1C516EF6"/>
    <w:rsid w:val="1C5273D7"/>
    <w:rsid w:val="1C5D3314"/>
    <w:rsid w:val="1C994E1A"/>
    <w:rsid w:val="1CD535BE"/>
    <w:rsid w:val="1CD67589"/>
    <w:rsid w:val="1CEC2B3E"/>
    <w:rsid w:val="1D032F5A"/>
    <w:rsid w:val="1D4C75C8"/>
    <w:rsid w:val="1D9D511D"/>
    <w:rsid w:val="1DB22AE1"/>
    <w:rsid w:val="1E170FC4"/>
    <w:rsid w:val="1E192D9C"/>
    <w:rsid w:val="1E400223"/>
    <w:rsid w:val="1E432EC2"/>
    <w:rsid w:val="1E5D0591"/>
    <w:rsid w:val="1F4C5599"/>
    <w:rsid w:val="1F8A649F"/>
    <w:rsid w:val="1F8A6578"/>
    <w:rsid w:val="1F9D4C77"/>
    <w:rsid w:val="200308CB"/>
    <w:rsid w:val="201A4806"/>
    <w:rsid w:val="201D02D1"/>
    <w:rsid w:val="203E6E7F"/>
    <w:rsid w:val="20BF18B6"/>
    <w:rsid w:val="211778EC"/>
    <w:rsid w:val="213B0E0C"/>
    <w:rsid w:val="214C4B6B"/>
    <w:rsid w:val="215A395C"/>
    <w:rsid w:val="21F42BC1"/>
    <w:rsid w:val="21FB5E4C"/>
    <w:rsid w:val="22105616"/>
    <w:rsid w:val="225E47B8"/>
    <w:rsid w:val="229C0E4F"/>
    <w:rsid w:val="22F268D4"/>
    <w:rsid w:val="234336EA"/>
    <w:rsid w:val="240E4B90"/>
    <w:rsid w:val="24B1674A"/>
    <w:rsid w:val="24BD3A36"/>
    <w:rsid w:val="24E9041D"/>
    <w:rsid w:val="2510464C"/>
    <w:rsid w:val="25171622"/>
    <w:rsid w:val="254D3184"/>
    <w:rsid w:val="256C4AC0"/>
    <w:rsid w:val="2585340F"/>
    <w:rsid w:val="269D352E"/>
    <w:rsid w:val="26BC4772"/>
    <w:rsid w:val="26DC5ACA"/>
    <w:rsid w:val="26E36184"/>
    <w:rsid w:val="26EA3245"/>
    <w:rsid w:val="26F561C6"/>
    <w:rsid w:val="27124FEE"/>
    <w:rsid w:val="2764543E"/>
    <w:rsid w:val="27905770"/>
    <w:rsid w:val="27B00FDA"/>
    <w:rsid w:val="27F5546A"/>
    <w:rsid w:val="28053566"/>
    <w:rsid w:val="285D13EC"/>
    <w:rsid w:val="28645324"/>
    <w:rsid w:val="2865694F"/>
    <w:rsid w:val="2885441A"/>
    <w:rsid w:val="28897A22"/>
    <w:rsid w:val="28920B61"/>
    <w:rsid w:val="28A62BFE"/>
    <w:rsid w:val="28DE5466"/>
    <w:rsid w:val="28F8075F"/>
    <w:rsid w:val="29325D7D"/>
    <w:rsid w:val="296F4050"/>
    <w:rsid w:val="298C338C"/>
    <w:rsid w:val="29B2140D"/>
    <w:rsid w:val="29CC5B54"/>
    <w:rsid w:val="29F65AAA"/>
    <w:rsid w:val="2A106035"/>
    <w:rsid w:val="2AA82F26"/>
    <w:rsid w:val="2B557066"/>
    <w:rsid w:val="2B9841A4"/>
    <w:rsid w:val="2BE47802"/>
    <w:rsid w:val="2BE71E8F"/>
    <w:rsid w:val="2C075BA7"/>
    <w:rsid w:val="2C4A24BC"/>
    <w:rsid w:val="2C666177"/>
    <w:rsid w:val="2C8473B7"/>
    <w:rsid w:val="2C952343"/>
    <w:rsid w:val="2CC81779"/>
    <w:rsid w:val="2D681650"/>
    <w:rsid w:val="2DD90050"/>
    <w:rsid w:val="2DF92934"/>
    <w:rsid w:val="2E47051C"/>
    <w:rsid w:val="2E7B5A71"/>
    <w:rsid w:val="2F0A2E12"/>
    <w:rsid w:val="2F374CA2"/>
    <w:rsid w:val="2F454C5F"/>
    <w:rsid w:val="2F6A7667"/>
    <w:rsid w:val="2F7C50D3"/>
    <w:rsid w:val="2FC45829"/>
    <w:rsid w:val="2FCE7794"/>
    <w:rsid w:val="305D4927"/>
    <w:rsid w:val="308415B4"/>
    <w:rsid w:val="30CB534A"/>
    <w:rsid w:val="30DC7736"/>
    <w:rsid w:val="30EB79CF"/>
    <w:rsid w:val="31075DC0"/>
    <w:rsid w:val="31167D3E"/>
    <w:rsid w:val="313578DA"/>
    <w:rsid w:val="31A84FF6"/>
    <w:rsid w:val="328B4E7C"/>
    <w:rsid w:val="32D279D8"/>
    <w:rsid w:val="32DE1DC2"/>
    <w:rsid w:val="32F470C1"/>
    <w:rsid w:val="32FC644D"/>
    <w:rsid w:val="333402A1"/>
    <w:rsid w:val="334E114C"/>
    <w:rsid w:val="337A56C9"/>
    <w:rsid w:val="33814D5C"/>
    <w:rsid w:val="3382133D"/>
    <w:rsid w:val="339F03AA"/>
    <w:rsid w:val="33B63632"/>
    <w:rsid w:val="33FD7F0B"/>
    <w:rsid w:val="347D08A1"/>
    <w:rsid w:val="34A45A1D"/>
    <w:rsid w:val="34BA5572"/>
    <w:rsid w:val="34D3082A"/>
    <w:rsid w:val="34DE0A0E"/>
    <w:rsid w:val="352C27DA"/>
    <w:rsid w:val="3542119D"/>
    <w:rsid w:val="35E6294C"/>
    <w:rsid w:val="35F918D5"/>
    <w:rsid w:val="362B7879"/>
    <w:rsid w:val="36802A1D"/>
    <w:rsid w:val="36961941"/>
    <w:rsid w:val="36B23AA5"/>
    <w:rsid w:val="36DB2584"/>
    <w:rsid w:val="36FB4B27"/>
    <w:rsid w:val="36FE3AF0"/>
    <w:rsid w:val="37123AEF"/>
    <w:rsid w:val="37A97DAC"/>
    <w:rsid w:val="37AF4DE3"/>
    <w:rsid w:val="386A6C8B"/>
    <w:rsid w:val="38D743AC"/>
    <w:rsid w:val="38DB5B90"/>
    <w:rsid w:val="38E761C8"/>
    <w:rsid w:val="39261FCD"/>
    <w:rsid w:val="39493686"/>
    <w:rsid w:val="3964194F"/>
    <w:rsid w:val="3968645D"/>
    <w:rsid w:val="39827EF6"/>
    <w:rsid w:val="399732A4"/>
    <w:rsid w:val="39CF1A96"/>
    <w:rsid w:val="39E134DF"/>
    <w:rsid w:val="3A3C7DBC"/>
    <w:rsid w:val="3A43465E"/>
    <w:rsid w:val="3A474D97"/>
    <w:rsid w:val="3A9D6306"/>
    <w:rsid w:val="3AAA2007"/>
    <w:rsid w:val="3B35353A"/>
    <w:rsid w:val="3BDD014F"/>
    <w:rsid w:val="3CCF1E09"/>
    <w:rsid w:val="3CD8070C"/>
    <w:rsid w:val="3CF60FC7"/>
    <w:rsid w:val="3D1A3E3C"/>
    <w:rsid w:val="3D3D04FC"/>
    <w:rsid w:val="3DB46AF6"/>
    <w:rsid w:val="3DB83060"/>
    <w:rsid w:val="3DF040EA"/>
    <w:rsid w:val="3E2D40E6"/>
    <w:rsid w:val="3E395B9D"/>
    <w:rsid w:val="3E4A2E6D"/>
    <w:rsid w:val="3E572320"/>
    <w:rsid w:val="3EA719E9"/>
    <w:rsid w:val="3EB85B25"/>
    <w:rsid w:val="3F29723C"/>
    <w:rsid w:val="3F467637"/>
    <w:rsid w:val="3FA37FE6"/>
    <w:rsid w:val="3FA44C23"/>
    <w:rsid w:val="3FEF4CAF"/>
    <w:rsid w:val="4003377A"/>
    <w:rsid w:val="4012101F"/>
    <w:rsid w:val="40504003"/>
    <w:rsid w:val="40C13983"/>
    <w:rsid w:val="413D64F4"/>
    <w:rsid w:val="415112F9"/>
    <w:rsid w:val="415856A1"/>
    <w:rsid w:val="41855F22"/>
    <w:rsid w:val="419078AE"/>
    <w:rsid w:val="41A97DAE"/>
    <w:rsid w:val="41DF1E21"/>
    <w:rsid w:val="420D409B"/>
    <w:rsid w:val="42216349"/>
    <w:rsid w:val="42333F9B"/>
    <w:rsid w:val="426D5939"/>
    <w:rsid w:val="429F4C54"/>
    <w:rsid w:val="42AC04F6"/>
    <w:rsid w:val="42D76DD5"/>
    <w:rsid w:val="430A4537"/>
    <w:rsid w:val="430C142F"/>
    <w:rsid w:val="434360AF"/>
    <w:rsid w:val="43576AE6"/>
    <w:rsid w:val="43E42CEE"/>
    <w:rsid w:val="448E41B4"/>
    <w:rsid w:val="44B26298"/>
    <w:rsid w:val="44D71A86"/>
    <w:rsid w:val="44F7381B"/>
    <w:rsid w:val="452E53D5"/>
    <w:rsid w:val="4557336D"/>
    <w:rsid w:val="45716DC1"/>
    <w:rsid w:val="457B1381"/>
    <w:rsid w:val="45AB5E50"/>
    <w:rsid w:val="45B173B9"/>
    <w:rsid w:val="45F26761"/>
    <w:rsid w:val="461F2696"/>
    <w:rsid w:val="462B0F4C"/>
    <w:rsid w:val="463B2A78"/>
    <w:rsid w:val="46451DE9"/>
    <w:rsid w:val="464E08AF"/>
    <w:rsid w:val="469541B3"/>
    <w:rsid w:val="46A42F48"/>
    <w:rsid w:val="46D679FC"/>
    <w:rsid w:val="4727150D"/>
    <w:rsid w:val="47C22447"/>
    <w:rsid w:val="48426A8C"/>
    <w:rsid w:val="48831CF9"/>
    <w:rsid w:val="488E3427"/>
    <w:rsid w:val="488F68C6"/>
    <w:rsid w:val="48D679D5"/>
    <w:rsid w:val="48E6768F"/>
    <w:rsid w:val="491924BE"/>
    <w:rsid w:val="499D19E6"/>
    <w:rsid w:val="49A11775"/>
    <w:rsid w:val="49D34022"/>
    <w:rsid w:val="49DC11DB"/>
    <w:rsid w:val="4A190351"/>
    <w:rsid w:val="4A33475A"/>
    <w:rsid w:val="4A6034BA"/>
    <w:rsid w:val="4A6F07FB"/>
    <w:rsid w:val="4A7C09CE"/>
    <w:rsid w:val="4A8A1429"/>
    <w:rsid w:val="4AC26B04"/>
    <w:rsid w:val="4AC961D0"/>
    <w:rsid w:val="4B3B61B2"/>
    <w:rsid w:val="4B6A728E"/>
    <w:rsid w:val="4BD97452"/>
    <w:rsid w:val="4BDB3053"/>
    <w:rsid w:val="4C0F0D15"/>
    <w:rsid w:val="4C3017BA"/>
    <w:rsid w:val="4C860B9A"/>
    <w:rsid w:val="4D3612B0"/>
    <w:rsid w:val="4D3B76F1"/>
    <w:rsid w:val="4D5821D2"/>
    <w:rsid w:val="4D5F20F8"/>
    <w:rsid w:val="4D7D0F3B"/>
    <w:rsid w:val="4E64541E"/>
    <w:rsid w:val="4EF26A36"/>
    <w:rsid w:val="4F0B02F1"/>
    <w:rsid w:val="4F113151"/>
    <w:rsid w:val="4F284618"/>
    <w:rsid w:val="4F561379"/>
    <w:rsid w:val="4F8017A3"/>
    <w:rsid w:val="4F955D1F"/>
    <w:rsid w:val="4F993D9D"/>
    <w:rsid w:val="50803EDD"/>
    <w:rsid w:val="50D436DD"/>
    <w:rsid w:val="50DB0924"/>
    <w:rsid w:val="50DB6976"/>
    <w:rsid w:val="50E767E9"/>
    <w:rsid w:val="51357B34"/>
    <w:rsid w:val="518E129D"/>
    <w:rsid w:val="51C3490A"/>
    <w:rsid w:val="51ED7562"/>
    <w:rsid w:val="523336AF"/>
    <w:rsid w:val="529143BB"/>
    <w:rsid w:val="530379B9"/>
    <w:rsid w:val="53330324"/>
    <w:rsid w:val="537551AA"/>
    <w:rsid w:val="53A06B84"/>
    <w:rsid w:val="53B37E4E"/>
    <w:rsid w:val="53E7471B"/>
    <w:rsid w:val="54470368"/>
    <w:rsid w:val="5459619A"/>
    <w:rsid w:val="547D5970"/>
    <w:rsid w:val="54B679FB"/>
    <w:rsid w:val="54C05B91"/>
    <w:rsid w:val="54E03BC2"/>
    <w:rsid w:val="550255FC"/>
    <w:rsid w:val="550514CE"/>
    <w:rsid w:val="551641B4"/>
    <w:rsid w:val="551A6761"/>
    <w:rsid w:val="558E52D9"/>
    <w:rsid w:val="55C12303"/>
    <w:rsid w:val="55CC7CC7"/>
    <w:rsid w:val="55CD4D71"/>
    <w:rsid w:val="560650F7"/>
    <w:rsid w:val="561B2DB9"/>
    <w:rsid w:val="561D7C04"/>
    <w:rsid w:val="562A1095"/>
    <w:rsid w:val="56510C3A"/>
    <w:rsid w:val="56673C3A"/>
    <w:rsid w:val="56A06AAB"/>
    <w:rsid w:val="56C9124D"/>
    <w:rsid w:val="56FE6795"/>
    <w:rsid w:val="57236962"/>
    <w:rsid w:val="57925AB5"/>
    <w:rsid w:val="57E82350"/>
    <w:rsid w:val="58717806"/>
    <w:rsid w:val="589670DF"/>
    <w:rsid w:val="58D13E1D"/>
    <w:rsid w:val="58DC06A7"/>
    <w:rsid w:val="58E05682"/>
    <w:rsid w:val="58E92FFA"/>
    <w:rsid w:val="58EB7E6A"/>
    <w:rsid w:val="59350CC9"/>
    <w:rsid w:val="59680098"/>
    <w:rsid w:val="597C2D1D"/>
    <w:rsid w:val="5997199A"/>
    <w:rsid w:val="59A51786"/>
    <w:rsid w:val="5A0459C7"/>
    <w:rsid w:val="5AFB6AF5"/>
    <w:rsid w:val="5B5D1A51"/>
    <w:rsid w:val="5BA07082"/>
    <w:rsid w:val="5BBB770C"/>
    <w:rsid w:val="5BEF509F"/>
    <w:rsid w:val="5C00548C"/>
    <w:rsid w:val="5C244F48"/>
    <w:rsid w:val="5C366F18"/>
    <w:rsid w:val="5C506A6E"/>
    <w:rsid w:val="5C56110F"/>
    <w:rsid w:val="5CB249CD"/>
    <w:rsid w:val="5CC343ED"/>
    <w:rsid w:val="5CCC3817"/>
    <w:rsid w:val="5D003BC4"/>
    <w:rsid w:val="5D046B07"/>
    <w:rsid w:val="5D075F37"/>
    <w:rsid w:val="5D5D0686"/>
    <w:rsid w:val="5DB958C0"/>
    <w:rsid w:val="5DC97E04"/>
    <w:rsid w:val="5DF348DD"/>
    <w:rsid w:val="5DFA7F3B"/>
    <w:rsid w:val="5E473F2D"/>
    <w:rsid w:val="5E693A13"/>
    <w:rsid w:val="5EBC7BB2"/>
    <w:rsid w:val="5ECC1C80"/>
    <w:rsid w:val="5F106BEE"/>
    <w:rsid w:val="5F5F5556"/>
    <w:rsid w:val="5FA328D4"/>
    <w:rsid w:val="5FEB663D"/>
    <w:rsid w:val="600307B6"/>
    <w:rsid w:val="6027664C"/>
    <w:rsid w:val="608D377A"/>
    <w:rsid w:val="6097121E"/>
    <w:rsid w:val="60B76F59"/>
    <w:rsid w:val="60CA5AC7"/>
    <w:rsid w:val="61024826"/>
    <w:rsid w:val="61333E65"/>
    <w:rsid w:val="613E2DDF"/>
    <w:rsid w:val="61691A64"/>
    <w:rsid w:val="61B04307"/>
    <w:rsid w:val="62101856"/>
    <w:rsid w:val="625C530B"/>
    <w:rsid w:val="62640718"/>
    <w:rsid w:val="62886ABB"/>
    <w:rsid w:val="62DD052C"/>
    <w:rsid w:val="634D1FCC"/>
    <w:rsid w:val="63547690"/>
    <w:rsid w:val="637C7219"/>
    <w:rsid w:val="63C25576"/>
    <w:rsid w:val="63CD7AA0"/>
    <w:rsid w:val="63DE20A3"/>
    <w:rsid w:val="645C53F8"/>
    <w:rsid w:val="64782C4C"/>
    <w:rsid w:val="65844AA8"/>
    <w:rsid w:val="65A45545"/>
    <w:rsid w:val="65AF2D88"/>
    <w:rsid w:val="65E308A5"/>
    <w:rsid w:val="66017CD6"/>
    <w:rsid w:val="662D15EB"/>
    <w:rsid w:val="665C07DE"/>
    <w:rsid w:val="669E504F"/>
    <w:rsid w:val="66A87C06"/>
    <w:rsid w:val="66BE67E3"/>
    <w:rsid w:val="66CA111A"/>
    <w:rsid w:val="67015C25"/>
    <w:rsid w:val="67163865"/>
    <w:rsid w:val="67A96A1A"/>
    <w:rsid w:val="67CA40EA"/>
    <w:rsid w:val="69247DD4"/>
    <w:rsid w:val="69284D52"/>
    <w:rsid w:val="694E068C"/>
    <w:rsid w:val="69684BE4"/>
    <w:rsid w:val="69AD77A9"/>
    <w:rsid w:val="69E809CB"/>
    <w:rsid w:val="69EF7F8D"/>
    <w:rsid w:val="6A1A2066"/>
    <w:rsid w:val="6A6E6425"/>
    <w:rsid w:val="6A7A0D56"/>
    <w:rsid w:val="6A805D17"/>
    <w:rsid w:val="6A82333B"/>
    <w:rsid w:val="6AC1217E"/>
    <w:rsid w:val="6ACB21D2"/>
    <w:rsid w:val="6AE01FA6"/>
    <w:rsid w:val="6B295AA1"/>
    <w:rsid w:val="6BA66530"/>
    <w:rsid w:val="6BF41EAC"/>
    <w:rsid w:val="6C65783C"/>
    <w:rsid w:val="6C8625D8"/>
    <w:rsid w:val="6CA62B01"/>
    <w:rsid w:val="6CB44CEF"/>
    <w:rsid w:val="6CDF423C"/>
    <w:rsid w:val="6D206400"/>
    <w:rsid w:val="6D2755C8"/>
    <w:rsid w:val="6D2F1B04"/>
    <w:rsid w:val="6D3962FB"/>
    <w:rsid w:val="6DCE7F8A"/>
    <w:rsid w:val="6E0858C1"/>
    <w:rsid w:val="6E73509D"/>
    <w:rsid w:val="6F1F1B07"/>
    <w:rsid w:val="6F3F7E0B"/>
    <w:rsid w:val="6F453364"/>
    <w:rsid w:val="6FC317AA"/>
    <w:rsid w:val="6FE15AEC"/>
    <w:rsid w:val="6FE36ACA"/>
    <w:rsid w:val="6FFC043E"/>
    <w:rsid w:val="70176C55"/>
    <w:rsid w:val="70375EEC"/>
    <w:rsid w:val="703F503F"/>
    <w:rsid w:val="705E5F23"/>
    <w:rsid w:val="70817048"/>
    <w:rsid w:val="70A62EBA"/>
    <w:rsid w:val="70AD6927"/>
    <w:rsid w:val="70F3689E"/>
    <w:rsid w:val="70FE623D"/>
    <w:rsid w:val="71080A93"/>
    <w:rsid w:val="712C4A7F"/>
    <w:rsid w:val="71437F8C"/>
    <w:rsid w:val="719614AB"/>
    <w:rsid w:val="71E52F59"/>
    <w:rsid w:val="720940B7"/>
    <w:rsid w:val="7217032E"/>
    <w:rsid w:val="73725311"/>
    <w:rsid w:val="73962B79"/>
    <w:rsid w:val="739C44DF"/>
    <w:rsid w:val="740C1330"/>
    <w:rsid w:val="74576A59"/>
    <w:rsid w:val="74CC4B6F"/>
    <w:rsid w:val="75A14A43"/>
    <w:rsid w:val="75A759C5"/>
    <w:rsid w:val="75C35A3D"/>
    <w:rsid w:val="75CF3EA3"/>
    <w:rsid w:val="760514FB"/>
    <w:rsid w:val="77005D4D"/>
    <w:rsid w:val="771713B1"/>
    <w:rsid w:val="77802AF4"/>
    <w:rsid w:val="77AA11E0"/>
    <w:rsid w:val="77C43E47"/>
    <w:rsid w:val="77F00530"/>
    <w:rsid w:val="77F77867"/>
    <w:rsid w:val="7805279C"/>
    <w:rsid w:val="788E0BA6"/>
    <w:rsid w:val="78A26ABB"/>
    <w:rsid w:val="78C71B26"/>
    <w:rsid w:val="78F23F65"/>
    <w:rsid w:val="79BC5EA6"/>
    <w:rsid w:val="7A1775B0"/>
    <w:rsid w:val="7A5144A5"/>
    <w:rsid w:val="7A571BA7"/>
    <w:rsid w:val="7AC9050C"/>
    <w:rsid w:val="7AD97FC2"/>
    <w:rsid w:val="7B0B0739"/>
    <w:rsid w:val="7B2353F6"/>
    <w:rsid w:val="7B325AB7"/>
    <w:rsid w:val="7B9E6B59"/>
    <w:rsid w:val="7BFE4505"/>
    <w:rsid w:val="7C7872F9"/>
    <w:rsid w:val="7C807CF6"/>
    <w:rsid w:val="7CBA79A4"/>
    <w:rsid w:val="7D0F4C89"/>
    <w:rsid w:val="7D3210C8"/>
    <w:rsid w:val="7D385A74"/>
    <w:rsid w:val="7E03067F"/>
    <w:rsid w:val="7E337551"/>
    <w:rsid w:val="7E9F10B2"/>
    <w:rsid w:val="7F1A2331"/>
    <w:rsid w:val="7F2E195D"/>
    <w:rsid w:val="7FC70081"/>
    <w:rsid w:val="7FF5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53"/>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54"/>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60"/>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64"/>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62"/>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55"/>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rmal Indent"/>
    <w:basedOn w:val="1"/>
    <w:autoRedefine/>
    <w:qFormat/>
    <w:uiPriority w:val="99"/>
    <w:pPr>
      <w:autoSpaceDE w:val="0"/>
      <w:autoSpaceDN w:val="0"/>
      <w:adjustRightInd w:val="0"/>
      <w:ind w:firstLine="420"/>
    </w:pPr>
    <w:rPr>
      <w:kern w:val="0"/>
      <w:szCs w:val="21"/>
    </w:rPr>
  </w:style>
  <w:style w:type="paragraph" w:styleId="13">
    <w:name w:val="Document Map"/>
    <w:basedOn w:val="1"/>
    <w:link w:val="63"/>
    <w:autoRedefine/>
    <w:qFormat/>
    <w:uiPriority w:val="0"/>
    <w:rPr>
      <w:rFonts w:hint="default" w:ascii="宋体"/>
      <w:sz w:val="18"/>
      <w:szCs w:val="18"/>
      <w:lang w:val="zh-CN" w:eastAsia="zh-CN"/>
    </w:rPr>
  </w:style>
  <w:style w:type="paragraph" w:styleId="14">
    <w:name w:val="annotation text"/>
    <w:basedOn w:val="1"/>
    <w:link w:val="70"/>
    <w:autoRedefine/>
    <w:qFormat/>
    <w:uiPriority w:val="0"/>
    <w:pPr>
      <w:jc w:val="left"/>
    </w:pPr>
    <w:rPr>
      <w:rFonts w:hint="default"/>
      <w:lang w:val="zh-CN" w:eastAsia="zh-CN"/>
    </w:rPr>
  </w:style>
  <w:style w:type="paragraph" w:styleId="15">
    <w:name w:val="Body Text 3"/>
    <w:basedOn w:val="1"/>
    <w:link w:val="75"/>
    <w:autoRedefine/>
    <w:qFormat/>
    <w:uiPriority w:val="0"/>
    <w:pPr>
      <w:spacing w:after="120"/>
    </w:pPr>
    <w:rPr>
      <w:rFonts w:hint="default"/>
      <w:sz w:val="16"/>
      <w:szCs w:val="16"/>
      <w:lang w:val="zh-CN" w:eastAsia="zh-CN"/>
    </w:rPr>
  </w:style>
  <w:style w:type="paragraph" w:styleId="16">
    <w:name w:val="Body Text"/>
    <w:basedOn w:val="1"/>
    <w:link w:val="58"/>
    <w:autoRedefine/>
    <w:qFormat/>
    <w:uiPriority w:val="0"/>
    <w:pPr>
      <w:jc w:val="center"/>
    </w:pPr>
    <w:rPr>
      <w:rFonts w:hint="default"/>
      <w:lang w:val="zh-CN" w:eastAsia="zh-CN"/>
    </w:rPr>
  </w:style>
  <w:style w:type="paragraph" w:styleId="17">
    <w:name w:val="Block Text"/>
    <w:basedOn w:val="1"/>
    <w:autoRedefine/>
    <w:unhideWhenUsed/>
    <w:qFormat/>
    <w:uiPriority w:val="99"/>
    <w:pPr>
      <w:ind w:left="1440" w:leftChars="700" w:right="700" w:rightChars="70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rPr>
  </w:style>
  <w:style w:type="paragraph" w:styleId="20">
    <w:name w:val="Date"/>
    <w:basedOn w:val="1"/>
    <w:next w:val="1"/>
    <w:link w:val="61"/>
    <w:autoRedefine/>
    <w:qFormat/>
    <w:uiPriority w:val="0"/>
    <w:pPr>
      <w:ind w:left="100" w:leftChars="2500"/>
    </w:pPr>
    <w:rPr>
      <w:rFonts w:hint="default"/>
      <w:lang w:val="zh-CN" w:eastAsia="zh-CN"/>
    </w:rPr>
  </w:style>
  <w:style w:type="paragraph" w:styleId="21">
    <w:name w:val="Body Text Indent 2"/>
    <w:basedOn w:val="1"/>
    <w:autoRedefine/>
    <w:qFormat/>
    <w:uiPriority w:val="0"/>
    <w:pPr>
      <w:spacing w:line="480" w:lineRule="exact"/>
      <w:ind w:left="-1"/>
    </w:pPr>
    <w:rPr>
      <w:sz w:val="24"/>
    </w:rPr>
  </w:style>
  <w:style w:type="paragraph" w:styleId="22">
    <w:name w:val="Balloon Text"/>
    <w:basedOn w:val="1"/>
    <w:link w:val="56"/>
    <w:autoRedefine/>
    <w:qFormat/>
    <w:uiPriority w:val="0"/>
    <w:rPr>
      <w:rFonts w:hint="default"/>
      <w:sz w:val="18"/>
      <w:szCs w:val="18"/>
      <w:lang w:val="zh-CN" w:eastAsia="zh-CN"/>
    </w:rPr>
  </w:style>
  <w:style w:type="paragraph" w:styleId="23">
    <w:name w:val="footer"/>
    <w:basedOn w:val="1"/>
    <w:link w:val="65"/>
    <w:autoRedefine/>
    <w:qFormat/>
    <w:uiPriority w:val="0"/>
    <w:pPr>
      <w:tabs>
        <w:tab w:val="center" w:pos="4153"/>
        <w:tab w:val="right" w:pos="8306"/>
      </w:tabs>
      <w:snapToGrid w:val="0"/>
      <w:jc w:val="left"/>
    </w:pPr>
    <w:rPr>
      <w:rFonts w:hint="default"/>
      <w:sz w:val="18"/>
      <w:lang w:val="zh-CN" w:eastAsia="zh-CN"/>
    </w:rPr>
  </w:style>
  <w:style w:type="paragraph" w:styleId="24">
    <w:name w:val="envelope return"/>
    <w:basedOn w:val="1"/>
    <w:autoRedefine/>
    <w:qFormat/>
    <w:uiPriority w:val="0"/>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39"/>
  </w:style>
  <w:style w:type="paragraph" w:styleId="27">
    <w:name w:val="Body Text Indent 3"/>
    <w:basedOn w:val="1"/>
    <w:autoRedefine/>
    <w:qFormat/>
    <w:uiPriority w:val="0"/>
    <w:pPr>
      <w:spacing w:line="360" w:lineRule="auto"/>
      <w:ind w:left="420" w:firstLine="480"/>
    </w:pPr>
    <w:rPr>
      <w:rFonts w:ascii="宋体" w:hAnsi="宋体"/>
      <w:sz w:val="24"/>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rPr>
      <w:rFonts w:ascii="楷体_GB2312" w:hAnsi="Copperplate Gothic Bold" w:eastAsia="楷体_GB2312"/>
      <w:kern w:val="2"/>
      <w:sz w:val="28"/>
    </w:rPr>
  </w:style>
  <w:style w:type="paragraph" w:styleId="30">
    <w:name w:val="Normal (Web)"/>
    <w:basedOn w:val="1"/>
    <w:autoRedefine/>
    <w:qFormat/>
    <w:uiPriority w:val="99"/>
    <w:pPr>
      <w:widowControl/>
      <w:spacing w:before="100" w:beforeAutospacing="1" w:after="100" w:afterAutospacing="1"/>
      <w:jc w:val="left"/>
    </w:pPr>
    <w:rPr>
      <w:rFonts w:ascii="宋体" w:hAnsi="宋体"/>
      <w:sz w:val="24"/>
    </w:rPr>
  </w:style>
  <w:style w:type="paragraph" w:styleId="31">
    <w:name w:val="annotation subject"/>
    <w:basedOn w:val="14"/>
    <w:next w:val="14"/>
    <w:link w:val="71"/>
    <w:autoRedefine/>
    <w:qFormat/>
    <w:uiPriority w:val="0"/>
    <w:rPr>
      <w:b/>
      <w:bCs/>
    </w:rPr>
  </w:style>
  <w:style w:type="paragraph" w:styleId="32">
    <w:name w:val="Body Text First Indent"/>
    <w:basedOn w:val="16"/>
    <w:next w:val="33"/>
    <w:autoRedefine/>
    <w:qFormat/>
    <w:uiPriority w:val="0"/>
    <w:pPr>
      <w:spacing w:after="120"/>
      <w:ind w:firstLine="420" w:firstLineChars="100"/>
      <w:jc w:val="both"/>
    </w:pPr>
  </w:style>
  <w:style w:type="paragraph" w:styleId="33">
    <w:name w:val="Body Text First Indent 2"/>
    <w:basedOn w:val="7"/>
    <w:autoRedefine/>
    <w:unhideWhenUsed/>
    <w:qFormat/>
    <w:uiPriority w:val="99"/>
    <w:pPr>
      <w:spacing w:after="120" w:line="240" w:lineRule="auto"/>
      <w:ind w:left="420" w:leftChars="200" w:firstLine="420" w:firstLineChars="200"/>
    </w:pPr>
  </w:style>
  <w:style w:type="table" w:styleId="35">
    <w:name w:val="Table Grid"/>
    <w:basedOn w:val="3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rFonts w:hint="default" w:ascii="Times New Roman" w:hAnsi="Times New Roman" w:eastAsia="宋体"/>
      <w:b/>
      <w:sz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bdr w:val="single" w:color="BDBEC1" w:sz="6" w:space="0"/>
      <w:shd w:val="clear" w:fill="FFFFFF"/>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autoRedefine/>
    <w:qFormat/>
    <w:uiPriority w:val="99"/>
    <w:rPr>
      <w:rFonts w:hint="default" w:ascii="Times New Roman" w:hAnsi="Times New Roman" w:eastAsia="宋体"/>
      <w:color w:val="0000FF"/>
      <w:sz w:val="24"/>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hint="default" w:ascii="monospace" w:hAnsi="monospace" w:eastAsia="monospace" w:cs="monospace"/>
      <w:sz w:val="20"/>
    </w:rPr>
  </w:style>
  <w:style w:type="character" w:styleId="50">
    <w:name w:val="HTML Sample"/>
    <w:basedOn w:val="36"/>
    <w:autoRedefine/>
    <w:qFormat/>
    <w:uiPriority w:val="0"/>
    <w:rPr>
      <w:rFonts w:ascii="monospace" w:hAnsi="monospace" w:eastAsia="monospace" w:cs="monospace"/>
    </w:rPr>
  </w:style>
  <w:style w:type="paragraph" w:customStyle="1" w:styleId="51">
    <w:name w:val="BodyText"/>
    <w:basedOn w:val="1"/>
    <w:next w:val="1"/>
    <w:autoRedefine/>
    <w:qFormat/>
    <w:uiPriority w:val="0"/>
    <w:pPr>
      <w:jc w:val="center"/>
      <w:textAlignment w:val="baseline"/>
    </w:pPr>
  </w:style>
  <w:style w:type="character" w:customStyle="1" w:styleId="52">
    <w:name w:val="已访问的超链接1"/>
    <w:autoRedefine/>
    <w:qFormat/>
    <w:uiPriority w:val="0"/>
    <w:rPr>
      <w:color w:val="800080"/>
      <w:u w:val="single"/>
    </w:rPr>
  </w:style>
  <w:style w:type="character" w:customStyle="1" w:styleId="53">
    <w:name w:val="标题 4 字符"/>
    <w:link w:val="5"/>
    <w:autoRedefine/>
    <w:semiHidden/>
    <w:qFormat/>
    <w:uiPriority w:val="0"/>
    <w:rPr>
      <w:rFonts w:ascii="Cambria" w:hAnsi="Cambria" w:eastAsia="宋体" w:cs="Times New Roman"/>
      <w:b/>
      <w:bCs/>
      <w:kern w:val="2"/>
      <w:sz w:val="28"/>
      <w:szCs w:val="28"/>
    </w:rPr>
  </w:style>
  <w:style w:type="character" w:customStyle="1" w:styleId="54">
    <w:name w:val="标题 5 字符"/>
    <w:link w:val="6"/>
    <w:autoRedefine/>
    <w:qFormat/>
    <w:uiPriority w:val="9"/>
    <w:rPr>
      <w:rFonts w:ascii="Times New Roman" w:hAnsi="Times New Roman" w:eastAsia="仿宋"/>
      <w:bCs/>
      <w:sz w:val="24"/>
      <w:szCs w:val="28"/>
    </w:rPr>
  </w:style>
  <w:style w:type="character" w:customStyle="1" w:styleId="55">
    <w:name w:val="标题 9 字符"/>
    <w:link w:val="11"/>
    <w:autoRedefine/>
    <w:qFormat/>
    <w:uiPriority w:val="0"/>
    <w:rPr>
      <w:rFonts w:ascii="Arial" w:hAnsi="Arial" w:eastAsia="仿宋" w:cs="Arial"/>
      <w:sz w:val="21"/>
      <w:szCs w:val="21"/>
    </w:rPr>
  </w:style>
  <w:style w:type="character" w:customStyle="1" w:styleId="56">
    <w:name w:val="批注框文本 字符"/>
    <w:link w:val="22"/>
    <w:autoRedefine/>
    <w:qFormat/>
    <w:uiPriority w:val="0"/>
    <w:rPr>
      <w:rFonts w:ascii="Times New Roman" w:hAnsi="Times New Roman"/>
      <w:kern w:val="2"/>
      <w:sz w:val="18"/>
      <w:szCs w:val="18"/>
    </w:rPr>
  </w:style>
  <w:style w:type="character" w:customStyle="1" w:styleId="57">
    <w:name w:val="正文首行缩进 Char"/>
    <w:basedOn w:val="58"/>
    <w:link w:val="59"/>
    <w:autoRedefine/>
    <w:qFormat/>
    <w:uiPriority w:val="0"/>
    <w:rPr>
      <w:rFonts w:ascii="Times New Roman" w:hAnsi="Times New Roman"/>
      <w:kern w:val="2"/>
      <w:sz w:val="21"/>
      <w:szCs w:val="22"/>
    </w:rPr>
  </w:style>
  <w:style w:type="character" w:customStyle="1" w:styleId="58">
    <w:name w:val="正文文本 字符"/>
    <w:link w:val="16"/>
    <w:autoRedefine/>
    <w:qFormat/>
    <w:uiPriority w:val="0"/>
    <w:rPr>
      <w:rFonts w:ascii="Times New Roman" w:hAnsi="Times New Roman"/>
      <w:kern w:val="2"/>
      <w:sz w:val="21"/>
      <w:szCs w:val="22"/>
    </w:rPr>
  </w:style>
  <w:style w:type="paragraph" w:customStyle="1" w:styleId="59">
    <w:name w:val="正文首行缩进1"/>
    <w:basedOn w:val="16"/>
    <w:link w:val="57"/>
    <w:autoRedefine/>
    <w:qFormat/>
    <w:uiPriority w:val="0"/>
    <w:pPr>
      <w:spacing w:after="120"/>
      <w:ind w:firstLine="420" w:firstLineChars="100"/>
      <w:jc w:val="both"/>
    </w:pPr>
  </w:style>
  <w:style w:type="character" w:customStyle="1" w:styleId="60">
    <w:name w:val="标题 6 字符"/>
    <w:link w:val="8"/>
    <w:autoRedefine/>
    <w:qFormat/>
    <w:uiPriority w:val="0"/>
    <w:rPr>
      <w:rFonts w:ascii="Arial" w:hAnsi="Arial" w:eastAsia="仿宋" w:cs="Arial"/>
      <w:b/>
      <w:bCs/>
      <w:szCs w:val="24"/>
    </w:rPr>
  </w:style>
  <w:style w:type="character" w:customStyle="1" w:styleId="61">
    <w:name w:val="日期 字符1"/>
    <w:link w:val="20"/>
    <w:autoRedefine/>
    <w:qFormat/>
    <w:uiPriority w:val="0"/>
    <w:rPr>
      <w:rFonts w:ascii="Times New Roman" w:hAnsi="Times New Roman"/>
      <w:kern w:val="2"/>
      <w:sz w:val="21"/>
      <w:szCs w:val="22"/>
    </w:rPr>
  </w:style>
  <w:style w:type="character" w:customStyle="1" w:styleId="62">
    <w:name w:val="标题 8 字符"/>
    <w:link w:val="10"/>
    <w:autoRedefine/>
    <w:qFormat/>
    <w:uiPriority w:val="0"/>
    <w:rPr>
      <w:rFonts w:ascii="Arial" w:hAnsi="Arial" w:eastAsia="仿宋" w:cs="Arial"/>
      <w:szCs w:val="24"/>
    </w:rPr>
  </w:style>
  <w:style w:type="character" w:customStyle="1" w:styleId="63">
    <w:name w:val="文档结构图 字符"/>
    <w:link w:val="13"/>
    <w:autoRedefine/>
    <w:qFormat/>
    <w:uiPriority w:val="0"/>
    <w:rPr>
      <w:rFonts w:ascii="宋体" w:hAnsi="Times New Roman"/>
      <w:kern w:val="2"/>
      <w:sz w:val="18"/>
      <w:szCs w:val="18"/>
    </w:rPr>
  </w:style>
  <w:style w:type="character" w:customStyle="1" w:styleId="64">
    <w:name w:val="标题 7 字符"/>
    <w:link w:val="9"/>
    <w:autoRedefine/>
    <w:qFormat/>
    <w:uiPriority w:val="0"/>
    <w:rPr>
      <w:rFonts w:ascii="Times New Roman" w:hAnsi="Times New Roman" w:eastAsia="仿宋"/>
      <w:b/>
      <w:bCs/>
      <w:szCs w:val="24"/>
    </w:rPr>
  </w:style>
  <w:style w:type="character" w:customStyle="1" w:styleId="65">
    <w:name w:val="页脚 字符"/>
    <w:link w:val="23"/>
    <w:autoRedefine/>
    <w:qFormat/>
    <w:uiPriority w:val="0"/>
    <w:rPr>
      <w:rFonts w:ascii="Times New Roman" w:hAnsi="Times New Roman"/>
      <w:kern w:val="2"/>
      <w:sz w:val="18"/>
      <w:szCs w:val="22"/>
    </w:rPr>
  </w:style>
  <w:style w:type="character" w:customStyle="1" w:styleId="66">
    <w:name w:val="正文3 Char"/>
    <w:link w:val="67"/>
    <w:autoRedefine/>
    <w:qFormat/>
    <w:uiPriority w:val="0"/>
    <w:rPr>
      <w:rFonts w:ascii="仿宋" w:hAnsi="仿宋" w:eastAsia="仿宋"/>
      <w:sz w:val="24"/>
      <w:szCs w:val="28"/>
    </w:rPr>
  </w:style>
  <w:style w:type="paragraph" w:customStyle="1" w:styleId="67">
    <w:name w:val="正文3"/>
    <w:basedOn w:val="59"/>
    <w:link w:val="66"/>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8">
    <w:name w:val="标题55 Char"/>
    <w:link w:val="69"/>
    <w:autoRedefine/>
    <w:qFormat/>
    <w:uiPriority w:val="0"/>
    <w:rPr>
      <w:rFonts w:ascii="Times New Roman" w:hAnsi="Times New Roman" w:eastAsia="仿宋"/>
      <w:b/>
      <w:bCs/>
      <w:sz w:val="28"/>
      <w:szCs w:val="28"/>
    </w:rPr>
  </w:style>
  <w:style w:type="paragraph" w:customStyle="1" w:styleId="69">
    <w:name w:val="标题55"/>
    <w:basedOn w:val="6"/>
    <w:next w:val="67"/>
    <w:link w:val="68"/>
    <w:autoRedefine/>
    <w:qFormat/>
    <w:uiPriority w:val="0"/>
    <w:pPr>
      <w:spacing w:before="50" w:beforeAutospacing="0"/>
    </w:pPr>
    <w:rPr>
      <w:b/>
      <w:sz w:val="28"/>
    </w:rPr>
  </w:style>
  <w:style w:type="character" w:customStyle="1" w:styleId="70">
    <w:name w:val="批注文字 字符"/>
    <w:link w:val="14"/>
    <w:autoRedefine/>
    <w:qFormat/>
    <w:uiPriority w:val="0"/>
    <w:rPr>
      <w:rFonts w:ascii="Times New Roman" w:hAnsi="Times New Roman"/>
      <w:kern w:val="2"/>
      <w:sz w:val="21"/>
      <w:szCs w:val="22"/>
    </w:rPr>
  </w:style>
  <w:style w:type="character" w:customStyle="1" w:styleId="71">
    <w:name w:val="批注主题 字符"/>
    <w:link w:val="31"/>
    <w:autoRedefine/>
    <w:qFormat/>
    <w:uiPriority w:val="0"/>
    <w:rPr>
      <w:rFonts w:ascii="Times New Roman" w:hAnsi="Times New Roman"/>
      <w:b/>
      <w:bCs/>
      <w:kern w:val="2"/>
      <w:sz w:val="21"/>
      <w:szCs w:val="22"/>
    </w:rPr>
  </w:style>
  <w:style w:type="character" w:customStyle="1" w:styleId="72">
    <w:name w:val="日期 字符"/>
    <w:autoRedefine/>
    <w:qFormat/>
    <w:uiPriority w:val="0"/>
    <w:rPr>
      <w:kern w:val="2"/>
      <w:sz w:val="21"/>
      <w:szCs w:val="24"/>
      <w:lang w:bidi="ar-SA"/>
    </w:rPr>
  </w:style>
  <w:style w:type="character" w:customStyle="1" w:styleId="73">
    <w:name w:val="06-正文 Char"/>
    <w:link w:val="74"/>
    <w:autoRedefine/>
    <w:qFormat/>
    <w:locked/>
    <w:uiPriority w:val="0"/>
    <w:rPr>
      <w:rFonts w:ascii="Arial" w:hAnsi="Arial"/>
      <w:sz w:val="24"/>
    </w:rPr>
  </w:style>
  <w:style w:type="paragraph" w:customStyle="1" w:styleId="74">
    <w:name w:val="06-正文"/>
    <w:basedOn w:val="1"/>
    <w:link w:val="73"/>
    <w:autoRedefine/>
    <w:qFormat/>
    <w:uiPriority w:val="0"/>
    <w:pPr>
      <w:ind w:firstLine="480" w:firstLineChars="200"/>
    </w:pPr>
    <w:rPr>
      <w:rFonts w:hint="default" w:ascii="Arial" w:hAnsi="Arial"/>
      <w:kern w:val="0"/>
      <w:sz w:val="24"/>
      <w:szCs w:val="20"/>
      <w:lang w:val="zh-CN" w:eastAsia="zh-CN"/>
    </w:rPr>
  </w:style>
  <w:style w:type="character" w:customStyle="1" w:styleId="75">
    <w:name w:val="正文文本 3 字符"/>
    <w:link w:val="15"/>
    <w:autoRedefine/>
    <w:qFormat/>
    <w:uiPriority w:val="0"/>
    <w:rPr>
      <w:rFonts w:ascii="Times New Roman" w:hAnsi="Times New Roman"/>
      <w:kern w:val="2"/>
      <w:sz w:val="16"/>
      <w:szCs w:val="16"/>
    </w:rPr>
  </w:style>
  <w:style w:type="paragraph" w:customStyle="1" w:styleId="76">
    <w:name w:val="目录 21"/>
    <w:basedOn w:val="1"/>
    <w:next w:val="1"/>
    <w:autoRedefine/>
    <w:qFormat/>
    <w:uiPriority w:val="39"/>
    <w:pPr>
      <w:ind w:left="210"/>
      <w:jc w:val="left"/>
    </w:pPr>
    <w:rPr>
      <w:rFonts w:ascii="Calibri" w:hAnsi="Calibri"/>
      <w:smallCaps/>
      <w:sz w:val="20"/>
    </w:rPr>
  </w:style>
  <w:style w:type="paragraph" w:customStyle="1" w:styleId="77">
    <w:name w:val="目录 31"/>
    <w:basedOn w:val="1"/>
    <w:next w:val="1"/>
    <w:autoRedefine/>
    <w:qFormat/>
    <w:uiPriority w:val="39"/>
    <w:pPr>
      <w:ind w:left="840" w:leftChars="400"/>
    </w:pPr>
  </w:style>
  <w:style w:type="paragraph" w:customStyle="1" w:styleId="78">
    <w:name w:val="目录 11"/>
    <w:basedOn w:val="1"/>
    <w:next w:val="1"/>
    <w:autoRedefine/>
    <w:qFormat/>
    <w:uiPriority w:val="39"/>
    <w:pPr>
      <w:spacing w:before="120" w:after="120"/>
      <w:jc w:val="left"/>
    </w:pPr>
    <w:rPr>
      <w:rFonts w:ascii="Calibri" w:hAnsi="Calibri"/>
      <w:b/>
      <w:caps/>
      <w:sz w:val="20"/>
    </w:rPr>
  </w:style>
  <w:style w:type="paragraph" w:customStyle="1" w:styleId="79">
    <w:name w:val="列表段落1"/>
    <w:basedOn w:val="1"/>
    <w:autoRedefine/>
    <w:qFormat/>
    <w:uiPriority w:val="34"/>
    <w:pPr>
      <w:ind w:firstLine="420" w:firstLineChars="200"/>
    </w:pPr>
  </w:style>
  <w:style w:type="paragraph" w:customStyle="1" w:styleId="80">
    <w:name w:val="目录"/>
    <w:basedOn w:val="1"/>
    <w:autoRedefine/>
    <w:unhideWhenUsed/>
    <w:qFormat/>
    <w:uiPriority w:val="99"/>
    <w:pPr>
      <w:widowControl/>
      <w:jc w:val="center"/>
    </w:pPr>
    <w:rPr>
      <w:rFonts w:ascii="宋体"/>
      <w:b/>
      <w:sz w:val="36"/>
    </w:rPr>
  </w:style>
  <w:style w:type="paragraph" w:customStyle="1" w:styleId="81">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82">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83">
    <w:name w:val="列出段落"/>
    <w:basedOn w:val="1"/>
    <w:autoRedefine/>
    <w:qFormat/>
    <w:uiPriority w:val="34"/>
    <w:pPr>
      <w:ind w:firstLine="420" w:firstLineChars="200"/>
    </w:pPr>
    <w:rPr>
      <w:rFonts w:hint="default" w:ascii="Calibri" w:hAnsi="Calibri"/>
    </w:rPr>
  </w:style>
  <w:style w:type="paragraph" w:customStyle="1" w:styleId="84">
    <w:name w:val="Char Char Char Char Char Char Char Char Char Char Char1 Char Char Char Char Char Char Char Char Char Char Char Char"/>
    <w:basedOn w:val="1"/>
    <w:autoRedefine/>
    <w:qFormat/>
    <w:uiPriority w:val="0"/>
    <w:rPr>
      <w:rFonts w:hint="default"/>
      <w:szCs w:val="20"/>
    </w:rPr>
  </w:style>
  <w:style w:type="paragraph" w:customStyle="1" w:styleId="85">
    <w:name w:val="_Style 3"/>
    <w:basedOn w:val="1"/>
    <w:autoRedefine/>
    <w:qFormat/>
    <w:uiPriority w:val="34"/>
    <w:pPr>
      <w:ind w:firstLine="420" w:firstLineChars="200"/>
    </w:pPr>
    <w:rPr>
      <w:rFonts w:hint="default" w:ascii="Calibri" w:hAnsi="Calibri"/>
    </w:rPr>
  </w:style>
  <w:style w:type="paragraph" w:customStyle="1" w:styleId="86">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_Style 43"/>
    <w:basedOn w:val="13"/>
    <w:autoRedefine/>
    <w:qFormat/>
    <w:uiPriority w:val="0"/>
    <w:pPr>
      <w:shd w:val="clear" w:color="auto" w:fill="000080"/>
    </w:pPr>
    <w:rPr>
      <w:rFonts w:ascii="Tahoma" w:hAnsi="Tahoma"/>
      <w:sz w:val="24"/>
      <w:szCs w:val="24"/>
    </w:rPr>
  </w:style>
  <w:style w:type="paragraph" w:customStyle="1" w:styleId="88">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9">
    <w:name w:val="p17"/>
    <w:basedOn w:val="1"/>
    <w:autoRedefine/>
    <w:qFormat/>
    <w:uiPriority w:val="0"/>
    <w:pPr>
      <w:widowControl/>
      <w:ind w:firstLine="420"/>
    </w:pPr>
    <w:rPr>
      <w:rFonts w:hint="default"/>
      <w:kern w:val="0"/>
      <w:szCs w:val="21"/>
    </w:rPr>
  </w:style>
  <w:style w:type="paragraph" w:customStyle="1" w:styleId="90">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91">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92">
    <w:name w:val="List Paragraph"/>
    <w:basedOn w:val="1"/>
    <w:autoRedefine/>
    <w:qFormat/>
    <w:uiPriority w:val="34"/>
    <w:pPr>
      <w:ind w:firstLine="420" w:firstLineChars="200"/>
    </w:pPr>
  </w:style>
  <w:style w:type="paragraph" w:customStyle="1" w:styleId="93">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94">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95">
    <w:name w:val="Table caption|2 + 10.5 pt"/>
    <w:basedOn w:val="96"/>
    <w:semiHidden/>
    <w:unhideWhenUsed/>
    <w:qFormat/>
    <w:uiPriority w:val="0"/>
    <w:rPr>
      <w:color w:val="000000"/>
      <w:spacing w:val="0"/>
      <w:w w:val="120"/>
      <w:position w:val="0"/>
      <w:sz w:val="21"/>
      <w:szCs w:val="21"/>
      <w:lang w:val="zh-CN" w:eastAsia="zh-CN" w:bidi="zh-CN"/>
    </w:rPr>
  </w:style>
  <w:style w:type="character" w:customStyle="1" w:styleId="96">
    <w:name w:val="Table caption|2_"/>
    <w:basedOn w:val="36"/>
    <w:link w:val="97"/>
    <w:autoRedefine/>
    <w:qFormat/>
    <w:uiPriority w:val="0"/>
    <w:rPr>
      <w:rFonts w:ascii="PMingLiU" w:hAnsi="PMingLiU" w:eastAsia="PMingLiU" w:cs="PMingLiU"/>
      <w:spacing w:val="30"/>
      <w:sz w:val="28"/>
      <w:szCs w:val="28"/>
      <w:u w:val="none"/>
    </w:rPr>
  </w:style>
  <w:style w:type="paragraph" w:customStyle="1" w:styleId="97">
    <w:name w:val="Table caption|2"/>
    <w:basedOn w:val="1"/>
    <w:link w:val="96"/>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8">
    <w:name w:val="font31"/>
    <w:basedOn w:val="36"/>
    <w:autoRedefine/>
    <w:qFormat/>
    <w:uiPriority w:val="0"/>
    <w:rPr>
      <w:rFonts w:hint="eastAsia" w:ascii="宋体" w:hAnsi="宋体" w:eastAsia="宋体" w:cs="宋体"/>
      <w:color w:val="000000"/>
      <w:sz w:val="20"/>
      <w:szCs w:val="20"/>
      <w:u w:val="none"/>
    </w:rPr>
  </w:style>
  <w:style w:type="character" w:customStyle="1" w:styleId="99">
    <w:name w:val="font11"/>
    <w:basedOn w:val="36"/>
    <w:autoRedefine/>
    <w:qFormat/>
    <w:uiPriority w:val="0"/>
    <w:rPr>
      <w:rFonts w:hint="eastAsia" w:ascii="宋体" w:hAnsi="宋体" w:eastAsia="宋体" w:cs="宋体"/>
      <w:color w:val="000000"/>
      <w:sz w:val="20"/>
      <w:szCs w:val="20"/>
      <w:u w:val="none"/>
      <w:vertAlign w:val="subscript"/>
    </w:rPr>
  </w:style>
  <w:style w:type="character" w:customStyle="1" w:styleId="100">
    <w:name w:val="input-direction"/>
    <w:basedOn w:val="36"/>
    <w:autoRedefine/>
    <w:qFormat/>
    <w:uiPriority w:val="0"/>
    <w:rPr>
      <w:color w:val="FF6600"/>
    </w:rPr>
  </w:style>
  <w:style w:type="character" w:customStyle="1" w:styleId="101">
    <w:name w:val="number"/>
    <w:basedOn w:val="36"/>
    <w:autoRedefine/>
    <w:qFormat/>
    <w:uiPriority w:val="0"/>
    <w:rPr>
      <w:color w:val="FF8833"/>
      <w:sz w:val="18"/>
      <w:szCs w:val="18"/>
    </w:rPr>
  </w:style>
  <w:style w:type="character" w:customStyle="1" w:styleId="102">
    <w:name w:val="span-long"/>
    <w:basedOn w:val="36"/>
    <w:autoRedefine/>
    <w:qFormat/>
    <w:uiPriority w:val="0"/>
  </w:style>
  <w:style w:type="character" w:customStyle="1" w:styleId="103">
    <w:name w:val="proollist"/>
    <w:basedOn w:val="36"/>
    <w:autoRedefine/>
    <w:qFormat/>
    <w:uiPriority w:val="0"/>
  </w:style>
  <w:style w:type="character" w:customStyle="1" w:styleId="104">
    <w:name w:val="beforeinfotext"/>
    <w:basedOn w:val="36"/>
    <w:autoRedefine/>
    <w:qFormat/>
    <w:uiPriority w:val="0"/>
    <w:rPr>
      <w:color w:val="666666"/>
    </w:rPr>
  </w:style>
  <w:style w:type="character" w:customStyle="1" w:styleId="105">
    <w:name w:val="stclosebtn"/>
    <w:basedOn w:val="36"/>
    <w:autoRedefine/>
    <w:qFormat/>
    <w:uiPriority w:val="0"/>
  </w:style>
  <w:style w:type="character" w:customStyle="1" w:styleId="106">
    <w:name w:val="button"/>
    <w:basedOn w:val="36"/>
    <w:autoRedefine/>
    <w:qFormat/>
    <w:uiPriority w:val="0"/>
  </w:style>
  <w:style w:type="character" w:customStyle="1" w:styleId="107">
    <w:name w:val="phone"/>
    <w:basedOn w:val="36"/>
    <w:qFormat/>
    <w:uiPriority w:val="0"/>
    <w:rPr>
      <w:color w:val="FF8833"/>
      <w:sz w:val="18"/>
      <w:szCs w:val="18"/>
    </w:rPr>
  </w:style>
  <w:style w:type="character" w:customStyle="1" w:styleId="108">
    <w:name w:val="tmpztreemove_arrow"/>
    <w:basedOn w:val="36"/>
    <w:autoRedefine/>
    <w:qFormat/>
    <w:uiPriority w:val="0"/>
  </w:style>
  <w:style w:type="character" w:customStyle="1" w:styleId="109">
    <w:name w:val="hilite"/>
    <w:basedOn w:val="36"/>
    <w:autoRedefine/>
    <w:qFormat/>
    <w:uiPriority w:val="0"/>
    <w:rPr>
      <w:color w:val="FFFFFF"/>
      <w:shd w:val="clear" w:fill="666677"/>
    </w:rPr>
  </w:style>
  <w:style w:type="character" w:customStyle="1" w:styleId="110">
    <w:name w:val="active"/>
    <w:basedOn w:val="36"/>
    <w:autoRedefine/>
    <w:qFormat/>
    <w:uiPriority w:val="0"/>
    <w:rPr>
      <w:color w:val="00FF00"/>
      <w:shd w:val="clear" w:fill="000000"/>
    </w:rPr>
  </w:style>
  <w:style w:type="character" w:customStyle="1" w:styleId="111">
    <w:name w:val="button2"/>
    <w:basedOn w:val="36"/>
    <w:autoRedefine/>
    <w:qFormat/>
    <w:uiPriority w:val="0"/>
  </w:style>
  <w:style w:type="character" w:customStyle="1" w:styleId="112">
    <w:name w:val="active4"/>
    <w:basedOn w:val="36"/>
    <w:autoRedefine/>
    <w:qFormat/>
    <w:uiPriority w:val="0"/>
    <w:rPr>
      <w:color w:val="00FF00"/>
      <w:shd w:val="clear" w:fill="000000"/>
    </w:rPr>
  </w:style>
  <w:style w:type="character" w:customStyle="1" w:styleId="113">
    <w:name w:val="hilite4"/>
    <w:basedOn w:val="36"/>
    <w:qFormat/>
    <w:uiPriority w:val="0"/>
    <w:rPr>
      <w:color w:val="FFFFFF"/>
      <w:shd w:val="clear" w:fill="666677"/>
    </w:rPr>
  </w:style>
  <w:style w:type="character" w:customStyle="1" w:styleId="114">
    <w:name w:val="active6"/>
    <w:basedOn w:val="36"/>
    <w:autoRedefine/>
    <w:qFormat/>
    <w:uiPriority w:val="0"/>
    <w:rPr>
      <w:color w:val="00FF00"/>
      <w:shd w:val="clear" w:fill="000000"/>
    </w:rPr>
  </w:style>
  <w:style w:type="character" w:customStyle="1" w:styleId="115">
    <w:name w:val="NormalCharacter"/>
    <w:autoRedefine/>
    <w:qFormat/>
    <w:uiPriority w:val="0"/>
  </w:style>
  <w:style w:type="paragraph" w:customStyle="1" w:styleId="116">
    <w:name w:val="Table Text"/>
    <w:basedOn w:val="1"/>
    <w:autoRedefine/>
    <w:semiHidden/>
    <w:qFormat/>
    <w:uiPriority w:val="0"/>
    <w:rPr>
      <w:rFonts w:ascii="Arial" w:hAnsi="Arial" w:eastAsia="Arial" w:cs="Arial"/>
      <w:sz w:val="21"/>
      <w:szCs w:val="21"/>
      <w:lang w:val="en-US" w:eastAsia="en-US" w:bidi="ar-SA"/>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character" w:customStyle="1" w:styleId="118">
    <w:name w:val="font71"/>
    <w:autoRedefine/>
    <w:qFormat/>
    <w:uiPriority w:val="0"/>
    <w:rPr>
      <w:rFonts w:hint="eastAsia" w:ascii="宋体" w:hAnsi="宋体" w:eastAsia="宋体" w:cs="宋体"/>
      <w:b/>
      <w:color w:val="000000"/>
      <w:sz w:val="20"/>
      <w:szCs w:val="20"/>
      <w:u w:val="none"/>
    </w:rPr>
  </w:style>
  <w:style w:type="character" w:customStyle="1" w:styleId="119">
    <w:name w:val="font91"/>
    <w:autoRedefine/>
    <w:qFormat/>
    <w:uiPriority w:val="0"/>
    <w:rPr>
      <w:rFonts w:hint="eastAsia" w:ascii="宋体" w:hAnsi="宋体" w:eastAsia="宋体" w:cs="宋体"/>
      <w:b/>
      <w:color w:val="000000"/>
      <w:sz w:val="20"/>
      <w:szCs w:val="20"/>
      <w:u w:val="none"/>
    </w:rPr>
  </w:style>
  <w:style w:type="character" w:customStyle="1" w:styleId="120">
    <w:name w:val="font61"/>
    <w:autoRedefine/>
    <w:qFormat/>
    <w:uiPriority w:val="0"/>
    <w:rPr>
      <w:rFonts w:hint="eastAsia" w:ascii="仿宋_GB2312" w:hAnsi="Calibri" w:eastAsia="仿宋_GB2312" w:cs="仿宋_GB2312"/>
      <w:color w:val="000000"/>
      <w:sz w:val="24"/>
      <w:szCs w:val="24"/>
      <w:u w:val="none"/>
    </w:rPr>
  </w:style>
  <w:style w:type="character" w:customStyle="1" w:styleId="121">
    <w:name w:val="font51"/>
    <w:qFormat/>
    <w:uiPriority w:val="0"/>
    <w:rPr>
      <w:rFonts w:hint="default" w:ascii="Wingdings 2" w:hAnsi="Wingdings 2" w:eastAsia="Wingdings 2" w:cs="Wingdings 2"/>
      <w:color w:val="000000"/>
      <w:sz w:val="21"/>
      <w:szCs w:val="21"/>
      <w:u w:val="none"/>
    </w:rPr>
  </w:style>
  <w:style w:type="character" w:customStyle="1" w:styleId="122">
    <w:name w:val="font101"/>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42358</Words>
  <Characters>44470</Characters>
  <Lines>334</Lines>
  <Paragraphs>94</Paragraphs>
  <TotalTime>0</TotalTime>
  <ScaleCrop>false</ScaleCrop>
  <LinksUpToDate>false</LinksUpToDate>
  <CharactersWithSpaces>48252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NTKO</cp:lastModifiedBy>
  <cp:lastPrinted>2023-09-05T01:29:00Z</cp:lastPrinted>
  <dcterms:modified xsi:type="dcterms:W3CDTF">2024-09-02T07:03:18Z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581FD8C0FBD540798226BBBF2050604E</vt:lpwstr>
  </property>
</Properties>
</file>