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line="360" w:lineRule="auto"/>
        <w:ind w:leftChars="0"/>
        <w:jc w:val="center"/>
        <w:rPr>
          <w:rFonts w:hint="eastAsia" w:ascii="仿宋_GB2312" w:hAnsi="仿宋_GB2312" w:eastAsia="仿宋_GB2312" w:cs="仿宋_GB2312"/>
          <w:sz w:val="44"/>
          <w:szCs w:val="44"/>
          <w:highlight w:val="none"/>
        </w:rPr>
      </w:pPr>
      <w:bookmarkStart w:id="0" w:name="_Toc2849"/>
      <w:r>
        <w:rPr>
          <w:rFonts w:hint="eastAsia" w:ascii="仿宋_GB2312" w:hAnsi="仿宋_GB2312" w:eastAsia="仿宋_GB2312" w:cs="仿宋_GB2312"/>
          <w:sz w:val="44"/>
          <w:szCs w:val="44"/>
          <w:highlight w:val="none"/>
        </w:rPr>
        <w:t>采</w:t>
      </w:r>
      <w:bookmarkStart w:id="1" w:name="_GoBack"/>
      <w:bookmarkEnd w:id="1"/>
      <w:r>
        <w:rPr>
          <w:rFonts w:hint="eastAsia" w:ascii="仿宋_GB2312" w:hAnsi="仿宋_GB2312" w:eastAsia="仿宋_GB2312" w:cs="仿宋_GB2312"/>
          <w:sz w:val="44"/>
          <w:szCs w:val="44"/>
          <w:highlight w:val="none"/>
        </w:rPr>
        <w:t>购内容及要求</w:t>
      </w:r>
      <w:bookmarkEnd w:id="0"/>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根据现有土地面积和现场实际情况，必须依照执行国家、省、市有关政策和法规，内容深度符合国家规范和标准要求，符合陕西省、西安市及采购人相关要求所有要求,相关技术规范文件包含但不限于下列内容：</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1、《中华人民共和国民法典》</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2、《中华人民共和国文物保护法》（中华人民共和国主席令第八十四号）</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 xml:space="preserve">3、《陕西省文物保护条例》（陕西省人民代表大会常务委员会公告第55号） </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4、《关于加强基本建设工程中考古工作的指导意见》（国家文物局文物保发〔2006〕42号）</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5、陕西省文物局《关于加强基本建设工程中考古工作的通知》（陕文物发〔2014〕147号）</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说 明：本工程的施工过程和成果必须符合国家有关工程建设标准强制性条文和国家或有关部门关于工程施工方面现行的标准、规范、规程、定额、办法、示例，以及陕西省关于工程施工方面的文件、规定。</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承包人在施工过程中使用或参考上述标准、规范以外的技术标准、规范时，应征得业主或业主指定代表人的同意。</w:t>
      </w:r>
    </w:p>
    <w:p>
      <w:pPr>
        <w:pStyle w:val="4"/>
        <w:tabs>
          <w:tab w:val="left" w:pos="1080"/>
        </w:tabs>
        <w:spacing w:line="360" w:lineRule="auto"/>
        <w:ind w:firstLine="480" w:firstLineChars="200"/>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highlight w:val="none"/>
        </w:rPr>
        <w:t>在施工过程中，如果国家或有关部门颁布了新的技术标准或规范，则承包人应采用新的标准或规范进行施工。</w:t>
      </w:r>
    </w:p>
    <w:p>
      <w:pPr>
        <w:ind w:firstLine="48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4"/>
          <w:highlight w:val="none"/>
        </w:rPr>
        <w:t>招标文件采购要求是指</w:t>
      </w:r>
      <w:r>
        <w:rPr>
          <w:rFonts w:hint="eastAsia" w:ascii="仿宋_GB2312" w:hAnsi="仿宋_GB2312" w:eastAsia="仿宋_GB2312" w:cs="仿宋_GB2312"/>
          <w:sz w:val="24"/>
          <w:highlight w:val="none"/>
          <w:lang w:eastAsia="zh-CN"/>
        </w:rPr>
        <w:t>《考古勘探登记表》（</w:t>
      </w:r>
      <w:r>
        <w:rPr>
          <w:rFonts w:hint="eastAsia" w:ascii="仿宋_GB2312" w:hAnsi="仿宋_GB2312" w:eastAsia="仿宋_GB2312" w:cs="仿宋_GB2312"/>
          <w:sz w:val="24"/>
          <w:highlight w:val="none"/>
          <w:lang w:val="en-US" w:eastAsia="zh-CN"/>
        </w:rPr>
        <w:t>详见</w:t>
      </w:r>
      <w:r>
        <w:rPr>
          <w:rFonts w:hint="eastAsia" w:ascii="仿宋_GB2312" w:hAnsi="仿宋_GB2312" w:eastAsia="仿宋_GB2312" w:cs="仿宋_GB2312"/>
          <w:sz w:val="24"/>
          <w:highlight w:val="none"/>
        </w:rPr>
        <w:t>附件</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描述内容。</w:t>
      </w:r>
    </w:p>
    <w:p>
      <w:pPr>
        <w:pStyle w:val="4"/>
        <w:rPr>
          <w:rFonts w:hint="eastAsia" w:ascii="仿宋_GB2312" w:hAnsi="仿宋_GB2312" w:eastAsia="仿宋_GB2312" w:cs="仿宋_GB2312"/>
          <w:bCs/>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C74EF"/>
    <w:rsid w:val="3A9C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宋体" w:hAnsi="华文宋体"/>
      <w:b/>
      <w:kern w:val="44"/>
      <w:sz w:val="52"/>
      <w:szCs w:val="2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99"/>
    <w:pPr>
      <w:widowControl/>
      <w:tabs>
        <w:tab w:val="center" w:pos="4153"/>
        <w:tab w:val="right" w:pos="8306"/>
      </w:tabs>
      <w:snapToGrid w:val="0"/>
      <w:jc w:val="left"/>
    </w:pPr>
    <w:rPr>
      <w:kern w:val="0"/>
      <w:sz w:val="18"/>
      <w:szCs w:val="20"/>
    </w:rPr>
  </w:style>
  <w:style w:type="paragraph" w:styleId="4">
    <w:name w:val="Body Text"/>
    <w:basedOn w:val="1"/>
    <w:next w:val="1"/>
    <w:qFormat/>
    <w:uiPriority w:val="0"/>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2023-03-23T08:36:00Z</dcterms:created>
  <dc:creator>Admin</dc:creator>
  <cp:lastModifiedBy>Admin</cp:lastModifiedBy>
  <dcterms:modified xsi:type="dcterms:W3CDTF">2023-03-23T08:36:24Z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