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洛南县体育运动中心建设项目设计采购</w:t>
      </w: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32"/>
          <w:szCs w:val="32"/>
          <w:highlight w:val="none"/>
          <w:u w:val="none"/>
          <w:lang w:eastAsia="zh-CN"/>
        </w:rPr>
        <w:t>采购需求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snapToGrid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snapToGrid w:val="0"/>
          <w:kern w:val="2"/>
          <w:sz w:val="24"/>
          <w:szCs w:val="24"/>
          <w:highlight w:val="none"/>
          <w:lang w:val="en-US" w:eastAsia="zh-CN" w:bidi="ar-SA"/>
        </w:rPr>
        <w:t>一、商务要求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1、设计周期：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u w:val="single"/>
          <w:lang w:val="en-US" w:eastAsia="zh-CN"/>
        </w:rPr>
        <w:t>30日历天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2、付款方式：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88"/>
        <w:gridCol w:w="493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阶段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第一阶段</w:t>
            </w:r>
          </w:p>
        </w:tc>
        <w:tc>
          <w:tcPr>
            <w:tcW w:w="49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合同签订后7日内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第二阶段</w:t>
            </w:r>
          </w:p>
        </w:tc>
        <w:tc>
          <w:tcPr>
            <w:tcW w:w="4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通过规划报建后10个工作日内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第三阶段</w:t>
            </w:r>
          </w:p>
        </w:tc>
        <w:tc>
          <w:tcPr>
            <w:tcW w:w="4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施工图设计文件通过审查后10个工作日内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第四阶段</w:t>
            </w:r>
          </w:p>
        </w:tc>
        <w:tc>
          <w:tcPr>
            <w:tcW w:w="4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项目通过竣工验收后10个工作日内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4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100%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3.服务地点：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商洛市洛南县西城新区北片区与老城区的交汇处，迎宾路以北，英华路以东，油库路以西，洛神路以南片区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snapToGrid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snapToGrid w:val="0"/>
          <w:color w:val="auto"/>
          <w:kern w:val="2"/>
          <w:sz w:val="24"/>
          <w:szCs w:val="24"/>
          <w:highlight w:val="none"/>
          <w:lang w:val="en-US" w:eastAsia="zh-CN" w:bidi="ar-SA"/>
        </w:rPr>
        <w:t>二、服务要求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1.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2"/>
          <w:sz w:val="24"/>
          <w:szCs w:val="24"/>
          <w:highlight w:val="none"/>
          <w:lang w:val="en-US" w:eastAsia="zh-CN" w:bidi="ar-SA"/>
        </w:rPr>
        <w:t>项目概况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拟建设用地占地面积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156665.00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㎡，约23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亩，建设内容为洛南体育运动中心。拟建场地包括2幢主体建筑、1个体育场和场地范围内约60000㎡的体育公园及多个专业运动场地。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场地内总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建筑面积约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15200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㎡，其中地上建筑面积约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102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00㎡，包括综合体育游泳馆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00㎡，多个公共卫生间共计200㎡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地下建筑面积共5000㎡，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包括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人防地库6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0㎡，非人防地库及设备用房4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  <w:lang w:val="en-US" w:eastAsia="zh-CN"/>
        </w:rPr>
        <w:t>35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32"/>
          <w:highlight w:val="none"/>
        </w:rPr>
        <w:t>0㎡。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2.设计范围：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项目红线范围内建筑、结构、给排水、暖通、强弱电、消防、人防、设备用房、室外配套工程、挡土墙工程、土方平衡工程等全套施工图设计。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3.成果文件要求（包括但不限于）：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（1）项目整体方案设计成果交付（包括项目中涉及的全部建筑、总平方案),完成规划设计方案报批审查；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（2）施工图后阶段技术服务工作（包含各类答疑、交底、变更、验收及相关资料归档)提供编制施工图预算所需的说明、图纸、材料表、数据）。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4.设计依据：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与本项目有关的国家、行业规范和标准。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有关建筑物、公用设施、消防安全、防风、抗震、防雷等条款的要求。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</w:rPr>
        <w:t>建设方有关设备、系统配置要求。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（4）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有关政府部门的批文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等相关文件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 w:bidi="ar-SA"/>
        </w:rPr>
        <w:t>5.适用规范标准：除合同另有约定外，本工程适用现行国家、省、市、行业和地方规范、标准和规程。在合同履行期间，设计人应满足发包人的特定要求，满足设计要求，满足国家、省及市的有关强制性规定；设计人应严格执行国家强制性标准，执行现行的或即将颁布的行业标准、规范；如有新颁国家标准及行业标准、规范，发包人指令执行时，设计人应当执行。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highlight w:val="none"/>
          <w:lang w:val="en-US" w:eastAsia="zh-CN" w:bidi="ar-SA"/>
        </w:rPr>
        <w:t>设计成果必须达到国家设计规范规定的设计深度，并满足现场施工的要求。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NGEyY2FmYzE0ZDFhNjA3ODIxMzQ4NDA1YTA5YTEifQ=="/>
  </w:docVars>
  <w:rsids>
    <w:rsidRoot w:val="00000000"/>
    <w:rsid w:val="0E8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2023-02-24T01:56:49Z</dcterms:created>
  <dc:creator>Administrator</dc:creator>
  <cp:lastModifiedBy>梦飞扬</cp:lastModifiedBy>
  <dcterms:modified xsi:type="dcterms:W3CDTF">2023-02-24T01:57:29Z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5B1872F725AA42A1BE149E1C4950FBC3</vt:lpwstr>
  </property>
</Properties>
</file>