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80" w:firstLine="2249" w:firstLineChars="7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lang w:val="en-US" w:eastAsia="zh-CN" w:bidi="ar-SA"/>
        </w:rPr>
        <w:t>采购内容及要求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520" w:firstLineChars="9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(以下内容由采购单位提供)</w:t>
      </w:r>
    </w:p>
    <w:p>
      <w:pPr>
        <w:pStyle w:val="8"/>
        <w:jc w:val="center"/>
        <w:rPr>
          <w:rFonts w:hint="eastAsia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hAnsi="宋体"/>
          <w:b/>
          <w:color w:val="000000"/>
          <w:sz w:val="32"/>
          <w:szCs w:val="32"/>
        </w:rPr>
        <w:t>烟叶烤房设备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预算清单</w:t>
      </w:r>
      <w:bookmarkStart w:id="0" w:name="_GoBack"/>
      <w:bookmarkEnd w:id="0"/>
    </w:p>
    <w:p>
      <w:pPr>
        <w:pStyle w:val="8"/>
        <w:jc w:val="center"/>
        <w:rPr>
          <w:rFonts w:hint="eastAsia" w:hAnsi="宋体"/>
          <w:b/>
          <w:color w:val="000000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862"/>
        <w:gridCol w:w="1663"/>
        <w:gridCol w:w="143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规格型号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锅炉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型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散热器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型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清灰耙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1米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装烟室大门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270CM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宋体" w:hAnsi="宋体" w:cs="宋体"/>
                <w:sz w:val="24"/>
              </w:rPr>
              <w:t>300CM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右</w:t>
            </w:r>
            <w:r>
              <w:rPr>
                <w:rFonts w:hint="eastAsia" w:ascii="宋体" w:hAnsi="宋体" w:eastAsia="宋体" w:cs="宋体"/>
                <w:sz w:val="24"/>
              </w:rPr>
              <w:t>清灰门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92CM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宋体" w:hAnsi="宋体" w:cs="宋体"/>
                <w:sz w:val="24"/>
              </w:rPr>
              <w:t>72CM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左清灰门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92CM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宋体" w:hAnsi="宋体" w:cs="宋体"/>
                <w:sz w:val="24"/>
              </w:rPr>
              <w:t>52CM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风机检修门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92CM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sz w:val="24"/>
              </w:rPr>
              <w:t>CM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玻璃观察窗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30CM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宋体" w:hAnsi="宋体" w:cs="宋体"/>
                <w:sz w:val="24"/>
              </w:rPr>
              <w:t>80CM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百叶窗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400x400mm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套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循环</w:t>
            </w:r>
            <w:r>
              <w:rPr>
                <w:rFonts w:hint="eastAsia" w:ascii="宋体" w:hAnsi="宋体" w:eastAsia="宋体" w:cs="宋体"/>
                <w:sz w:val="24"/>
              </w:rPr>
              <w:t>风机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2.2KW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变频器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220V/2.2KW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鼓风机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150W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冷风门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0x8</w:t>
            </w:r>
            <w:r>
              <w:rPr>
                <w:rFonts w:hint="eastAsia" w:ascii="宋体" w:hAnsi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0mm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控制仪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生物质燃烧机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内置式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生物质料仓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套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0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ind w:firstLine="3534" w:firstLineChars="1100"/>
        <w:jc w:val="both"/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right="420" w:firstLine="562" w:firstLineChars="200"/>
        <w:rPr>
          <w:rFonts w:hint="eastAsia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color w:val="000000"/>
          <w:sz w:val="28"/>
          <w:szCs w:val="28"/>
          <w:lang w:val="en-US" w:eastAsia="zh-CN"/>
        </w:rPr>
        <w:t>采购要求：</w:t>
      </w:r>
    </w:p>
    <w:p>
      <w:pPr>
        <w:spacing w:line="360" w:lineRule="auto"/>
        <w:ind w:right="420" w:firstLine="560" w:firstLineChars="200"/>
        <w:rPr>
          <w:rFonts w:hint="eastAsia" w:cs="宋体"/>
          <w:color w:val="00000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1、投标方提供的设备应有在调试验收合格后24个月的质量保证期。</w:t>
      </w:r>
    </w:p>
    <w:p>
      <w:pPr>
        <w:spacing w:line="360" w:lineRule="auto"/>
        <w:ind w:right="420" w:firstLine="560" w:firstLineChars="200"/>
        <w:rPr>
          <w:rFonts w:hint="eastAsia" w:cs="宋体"/>
          <w:color w:val="00000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2、在保质期限内，投标方应无偿承担故障维修、更换零配件的义务，确系质量原因，投标方应无偿更换，提供新的合格产品。</w:t>
      </w:r>
    </w:p>
    <w:p>
      <w:pPr>
        <w:spacing w:line="360" w:lineRule="auto"/>
        <w:ind w:right="420" w:firstLine="560" w:firstLineChars="200"/>
        <w:rPr>
          <w:rFonts w:hint="eastAsia" w:cs="宋体"/>
          <w:color w:val="00000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3、质量保证期后，投标方应满足招标方对本设备的技术咨询和零部件有偿供给要求。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DFjYzQ1OWU0NTY0MTIzZGZlNWMxMGExZGMxMTcifQ=="/>
  </w:docVars>
  <w:rsids>
    <w:rsidRoot w:val="394E1A78"/>
    <w:rsid w:val="394E1A78"/>
    <w:rsid w:val="61B5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/>
    </w:p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420" w:leftChars="200"/>
    </w:pPr>
    <w:rPr>
      <w:kern w:val="2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+ 宋体"/>
    <w:basedOn w:val="1"/>
    <w:qFormat/>
    <w:uiPriority w:val="0"/>
    <w:pPr>
      <w:spacing w:line="400" w:lineRule="atLeast"/>
    </w:pPr>
    <w:rPr>
      <w:rFonts w:ascii="宋体"/>
      <w:sz w:val="28"/>
      <w:szCs w:val="28"/>
    </w:rPr>
  </w:style>
  <w:style w:type="paragraph" w:customStyle="1" w:styleId="9">
    <w:name w:val="※章节标题（第X章）"/>
    <w:basedOn w:val="1"/>
    <w:qFormat/>
    <w:uiPriority w:val="0"/>
    <w:pPr>
      <w:jc w:val="center"/>
      <w:outlineLvl w:val="0"/>
    </w:pPr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401</Characters>
  <Lines>0</Lines>
  <Paragraphs>0</Paragraphs>
  <TotalTime>0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2023-05-12T00:48:00Z</dcterms:created>
  <dc:creator>新晴</dc:creator>
  <cp:lastModifiedBy>新晴</cp:lastModifiedBy>
  <dcterms:modified xsi:type="dcterms:W3CDTF">2023-05-12T00:49:10Z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5308A61931BF4D409728331F1F91AE6F_11</vt:lpwstr>
  </property>
</Properties>
</file>