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ind w:right="-874" w:firstLine="1799" w:firstLineChars="64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-874" w:firstLine="2249" w:firstLineChars="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血液净化机招标参数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567" w:hanging="567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一、治疗模式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1、具备持续性血液滤过（</w:t>
      </w:r>
      <w:r>
        <w:rPr>
          <w:rFonts w:ascii="宋体" w:hAnsi="宋体" w:cs="宋体"/>
          <w:color w:val="000000"/>
          <w:kern w:val="0"/>
          <w:sz w:val="24"/>
          <w:szCs w:val="24"/>
        </w:rPr>
        <w:t>CVVH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）、持续性血液透析滤过(</w:t>
      </w:r>
      <w:r>
        <w:rPr>
          <w:rFonts w:ascii="宋体" w:hAnsi="宋体" w:cs="宋体"/>
          <w:color w:val="000000"/>
          <w:kern w:val="0"/>
          <w:sz w:val="24"/>
          <w:szCs w:val="24"/>
        </w:rPr>
        <w:t>CVVHDF)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、单纯血浆置换（PE）、双重血浆置换（DFPP）、血浆吸附（PA）等血液净化治疗模式，满足肾脏替代和人工肝治疗要求。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*2、具备自设编程程序，可进行手动设置，自行设计临床需要的治疗模式。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3、可自由选择前稀释或后稀释，在CVVH时能同时进行前稀释和后稀释。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567" w:hanging="567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二、技术参数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*1、彩色液晶触摸屏全中文显示，可实时显示治疗过程参数。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</w:t>
      </w:r>
      <w:r>
        <w:rPr>
          <w:rFonts w:hint="eastAsia" w:ascii="宋体" w:hAnsi="宋体"/>
          <w:sz w:val="24"/>
          <w:szCs w:val="24"/>
        </w:rPr>
        <w:t>具备4个流量泵：血泵、置换液泵、透析液泵、滤过液泵。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（1）血液泵（BP）：0，15～225mL/min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>（2）滤过液泵（</w:t>
      </w:r>
      <w:r>
        <w:rPr>
          <w:rFonts w:hint="eastAsia" w:ascii="宋体" w:hAnsi="宋体" w:cs="宋体"/>
          <w:kern w:val="0"/>
          <w:sz w:val="24"/>
          <w:szCs w:val="24"/>
        </w:rPr>
        <w:t>FP</w:t>
      </w:r>
      <w:r>
        <w:rPr>
          <w:rFonts w:hint="eastAsia"/>
          <w:sz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：0，5～120mL/min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>（3）透析液泵（DP）</w:t>
      </w:r>
      <w:r>
        <w:rPr>
          <w:rFonts w:hint="eastAsia" w:ascii="宋体" w:hAnsi="宋体" w:cs="宋体"/>
          <w:kern w:val="0"/>
          <w:sz w:val="24"/>
          <w:szCs w:val="24"/>
        </w:rPr>
        <w:t>：0，2～50mL/min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>（4）置换液泵（</w:t>
      </w:r>
      <w:r>
        <w:rPr>
          <w:rFonts w:hint="eastAsia" w:ascii="宋体" w:hAnsi="宋体" w:cs="宋体"/>
          <w:kern w:val="0"/>
          <w:sz w:val="24"/>
          <w:szCs w:val="24"/>
        </w:rPr>
        <w:t>RP</w:t>
      </w:r>
      <w:r>
        <w:rPr>
          <w:rFonts w:hint="eastAsia"/>
          <w:sz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：0，4～120mL/min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*3、独立多功能精密注射泵，适用20ml、30ml、50ml多种规格注射器，可用于肝素、氯化钙等推注</w:t>
      </w:r>
      <w:r>
        <w:rPr>
          <w:rFonts w:hint="eastAsia"/>
          <w:color w:val="000000"/>
          <w:sz w:val="24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注射泵持续流量0～20mL/h，追加剂量0.1ml/s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4、具备两组振摇夹持器，自动摇摆，利于气泡排除，降低凝血风险。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5、具备6个压力监测：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（1）动脉压：    -53.33～40kPa ，±1.33kPa（－400～300mmHg，±10mmHg）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4"/>
          <w:szCs w:val="24"/>
        </w:rPr>
        <w:t>（2）滤器入口压：-53.33～40kPa ，±1.33kPa（－400～300mmHg，±10mmHg）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（3）静脉压：    -53.33～40kPa ，±1.33kPa（－400～300mmHg，±10mmHg）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（4）一级膜外压：-53.33～40kPa ，±1.33kPa (－400～300mmHg，±10mmHg)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（5）血浆入口压：-53.33～40kPa ，±1.33kPa (－400～300mmHg，±10mmHg)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（6）二级膜外压：-53.33～40kPa ，±1.33kPa (－400～300mmHg，±10mmHg)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*6、具备四组管路截止阀，自动开启、闭合动作，完成自动冲洗，出现异常时锁住管路，防止气泡进入人体。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7、加温器：两面热板加温方式，35～40℃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8、电子秤：3个，0～10KG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、气泡监测，超声波检测方式，检测最小气泡体积：0.02ml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*1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、补液断流，超声波检测方式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*1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、断浆断流，超声波检测方式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、漏血监测，利用光学原理，分辨率可达到千分之一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、液面监测：静电容量变化方式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*1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、后备电源：电源中断后，设备自带电池可继续使用≥15min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、开放式耗材，可兼容多品牌的耗材，满足临床多种需求。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舌下微循环成像系统招标参数</w:t>
      </w:r>
    </w:p>
    <w:p>
      <w:pPr>
        <w:spacing w:line="34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340" w:lineRule="exact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b/>
          <w:sz w:val="22"/>
          <w:szCs w:val="22"/>
        </w:rPr>
        <w:t>一、技术要求</w:t>
      </w:r>
      <w:r>
        <w:rPr>
          <w:rFonts w:hint="eastAsia" w:ascii="楷体" w:hAnsi="楷体" w:eastAsia="楷体" w:cs="楷体"/>
          <w:sz w:val="22"/>
          <w:szCs w:val="22"/>
        </w:rPr>
        <w:t>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（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备注：以下参数中“</w:t>
      </w:r>
      <w:r>
        <w:rPr>
          <w:rFonts w:hint="eastAsia" w:ascii="楷体" w:hAnsi="楷体" w:eastAsia="楷体" w:cs="楷体"/>
          <w:sz w:val="22"/>
          <w:szCs w:val="22"/>
        </w:rPr>
        <w:t>★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”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参数为核心参数，为必须满足参数；“</w:t>
      </w:r>
      <w:r>
        <w:rPr>
          <w:rFonts w:hint="eastAsia" w:ascii="楷体" w:hAnsi="楷体" w:eastAsia="楷体" w:cs="楷体"/>
          <w:sz w:val="22"/>
          <w:szCs w:val="22"/>
        </w:rPr>
        <w:t>▲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”参数为重要参数，在采购评分中分值较高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）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适用于观察舌下微循环，对舌下组织内微循环的红细胞流动情况进行放大观察；同时可用于人体及动物的实质性器官、胃肠道、生殖器等进行直观的组织微循环观察；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★产品由微循环成像硬件、软件等组成，均获得医疗器械注册证，确认临床使用的安全性；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光源：LED灯持续照明，波长范围515nm-525nm，以保证成像质量；光源功率≥3mw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▲采用光纤导光并成角度聚焦照明，光源不在探头前端，减少漫反射对CCD的摄像影响，降低探头前端温度，提高照度均性，提高光强利用率；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操作主体：长度≤255mm，宽度、高度≤50mm；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▲产品分辨率≥130LP/mm；CCD分辨率≥600×400；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▲录像帧率≥30帧/秒；、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能在4秒样本内分解10张以上图片，用于检测样本合格情况；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调焦方式：手动调焦；调焦范围：-55~355μm；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★智能光学自适应系统，与软件整合优化；不需手动调节光源亮度，减少操作步骤，提高微循环图像采集的成功率；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▲单手稳定操作设计，操作舒适轻松，快速看见清晰稳定的微循环图像；单手持操作，快捷定位，手柄探头灵活移动适应各个方向的；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▲软件采用模拟ICU的床位模块化设计，可设置床位数量、病人信息，以及自动标记每一床位的上次采集时间，方便科室的使用；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可对血管自动识别，并自动计算出各类血管长度与直径；具有将血管自动分类的功能，分成大、中、小血管；具有报告界面，并可用触控方式，将图像快速拖入报告单，方便临床操作；具有导出功能：可将选择的检查，快速导出，方便科研与教学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具有病例对比功能：提供同一/不同患者的微循环图像、动图及报告的同屏对比，便于分析患者微循环情况；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具有趋势图功能：可选择同一患者3-10个采集数据，按照采集时间生成趋势图，利用不同图标及颜色进行参数区分，同时可保存及打印趋势图，便于医护人员监测病人病情发展方向，为临床治疗提供支持；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一次性镜片采用医用光学材料，保证成像质量，并可防止病人交叉感染；</w:t>
      </w:r>
    </w:p>
    <w:p>
      <w:pPr>
        <w:numPr>
          <w:ilvl w:val="0"/>
          <w:numId w:val="1"/>
        </w:num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▲配有一体式专用移动工作站，配有触摸屏，可拆卸内置备用电池，能在断电等恶劣情况下保持正常工作状态；</w:t>
      </w:r>
    </w:p>
    <w:p>
      <w:pPr>
        <w:spacing w:line="340" w:lineRule="exact"/>
        <w:rPr>
          <w:rFonts w:hint="eastAsia" w:ascii="楷体" w:hAnsi="楷体" w:eastAsia="楷体" w:cs="楷体"/>
          <w:sz w:val="22"/>
          <w:szCs w:val="22"/>
        </w:rPr>
      </w:pPr>
    </w:p>
    <w:p>
      <w:p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二、配置要求：</w:t>
      </w:r>
    </w:p>
    <w:p>
      <w:p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舌下微循环成像主机一台；</w:t>
      </w:r>
    </w:p>
    <w:p>
      <w:p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软件一套；</w:t>
      </w:r>
    </w:p>
    <w:p>
      <w:p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一次性镜片20个；</w:t>
      </w:r>
    </w:p>
    <w:p>
      <w:pPr>
        <w:spacing w:line="340" w:lineRule="exact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移动工作站一个。</w:t>
      </w:r>
    </w:p>
    <w:p>
      <w:pPr>
        <w:spacing w:line="340" w:lineRule="exact"/>
        <w:rPr>
          <w:rFonts w:eastAsia="楷体_GB2312"/>
          <w:sz w:val="24"/>
        </w:rPr>
      </w:pPr>
    </w:p>
    <w:p/>
    <w:p>
      <w:bookmarkStart w:id="0" w:name="_GoBack"/>
      <w:bookmarkEnd w:id="0"/>
    </w:p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F314D"/>
    <w:multiLevelType w:val="multilevel"/>
    <w:tmpl w:val="530F314D"/>
    <w:lvl w:ilvl="0" w:tentative="0">
      <w:start w:val="1"/>
      <w:numFmt w:val="decimal"/>
      <w:lvlText w:val="%1."/>
      <w:lvlJc w:val="left"/>
      <w:pPr>
        <w:ind w:left="600" w:hanging="480"/>
      </w:pPr>
    </w:lvl>
    <w:lvl w:ilvl="1" w:tentative="0">
      <w:start w:val="1"/>
      <w:numFmt w:val="lowerLetter"/>
      <w:lvlText w:val="%2)"/>
      <w:lvlJc w:val="left"/>
      <w:pPr>
        <w:ind w:left="1080" w:hanging="480"/>
      </w:pPr>
    </w:lvl>
    <w:lvl w:ilvl="2" w:tentative="0">
      <w:start w:val="1"/>
      <w:numFmt w:val="lowerRoman"/>
      <w:lvlText w:val="%3."/>
      <w:lvlJc w:val="right"/>
      <w:pPr>
        <w:ind w:left="1560" w:hanging="480"/>
      </w:pPr>
    </w:lvl>
    <w:lvl w:ilvl="3" w:tentative="0">
      <w:start w:val="1"/>
      <w:numFmt w:val="decimal"/>
      <w:lvlText w:val="%4."/>
      <w:lvlJc w:val="left"/>
      <w:pPr>
        <w:ind w:left="2040" w:hanging="480"/>
      </w:pPr>
    </w:lvl>
    <w:lvl w:ilvl="4" w:tentative="0">
      <w:start w:val="1"/>
      <w:numFmt w:val="lowerLetter"/>
      <w:lvlText w:val="%5)"/>
      <w:lvlJc w:val="left"/>
      <w:pPr>
        <w:ind w:left="2520" w:hanging="480"/>
      </w:pPr>
    </w:lvl>
    <w:lvl w:ilvl="5" w:tentative="0">
      <w:start w:val="1"/>
      <w:numFmt w:val="lowerRoman"/>
      <w:lvlText w:val="%6."/>
      <w:lvlJc w:val="right"/>
      <w:pPr>
        <w:ind w:left="3000" w:hanging="480"/>
      </w:pPr>
    </w:lvl>
    <w:lvl w:ilvl="6" w:tentative="0">
      <w:start w:val="1"/>
      <w:numFmt w:val="decimal"/>
      <w:lvlText w:val="%7."/>
      <w:lvlJc w:val="left"/>
      <w:pPr>
        <w:ind w:left="3480" w:hanging="480"/>
      </w:pPr>
    </w:lvl>
    <w:lvl w:ilvl="7" w:tentative="0">
      <w:start w:val="1"/>
      <w:numFmt w:val="lowerLetter"/>
      <w:lvlText w:val="%8)"/>
      <w:lvlJc w:val="left"/>
      <w:pPr>
        <w:ind w:left="3960" w:hanging="480"/>
      </w:pPr>
    </w:lvl>
    <w:lvl w:ilvl="8" w:tentative="0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zQzMjUwNjdlNTI0ZDJkODMxNTRhNTI0M2I1YTUifQ=="/>
  </w:docVars>
  <w:rsids>
    <w:rsidRoot w:val="00000000"/>
    <w:rsid w:val="26A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昙花侵染繁华（林）</cp:lastModifiedBy>
  <dcterms:modified xsi:type="dcterms:W3CDTF">2022-11-24T00:51:02Z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CB973C113927483999EB28893886F310</vt:lpwstr>
  </property>
</Properties>
</file>