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榆林市横山区人民路提升改造-花箱工程</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宋体" w:hAnsi="宋体" w:eastAsia="宋体" w:cs="宋体"/>
          <w:i w:val="0"/>
          <w:iCs w:val="0"/>
          <w:caps w:val="0"/>
          <w:color w:val="auto"/>
          <w:spacing w:val="0"/>
          <w:sz w:val="24"/>
          <w:szCs w:val="24"/>
          <w:bdr w:val="none" w:color="auto" w:sz="0" w:space="0"/>
          <w:shd w:val="clear" w:fill="FFFFFF"/>
        </w:rPr>
        <w:t>获取采购文件，并于2023年12月28日 11时30分（北京时间）前提交响应文件。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项目编号：SXZC2023-GC-162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项目名称：榆林市横山区人民路提升改造-花箱工程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预算金额：3,958,400.00元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合同包1(榆林市横山区人民路提升改造-花箱工程):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合同包预算金额：3,958,400.00元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合同包最高限价：3,958,400.00元</w:t>
      </w:r>
    </w:p>
    <w:tbl>
      <w:tblPr>
        <w:tblW w:w="92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7"/>
        <w:gridCol w:w="1755"/>
        <w:gridCol w:w="1546"/>
        <w:gridCol w:w="792"/>
        <w:gridCol w:w="1287"/>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42" w:hRule="atLeast"/>
          <w:tblHeader/>
        </w:trPr>
        <w:tc>
          <w:tcPr>
            <w:tcW w:w="60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22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2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76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5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9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9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其他市政公用设施施工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花箱护栏</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3,958,400.00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3,958,400.00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合同履行期限：合同签订之日起20日历天内完成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合同包1(榆林市横山区人民路提升改造-花箱工程)落实政府采购政策需满足的资格要求如下: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（3）《财政部、民政部、中国残疾人联合会关于促进残疾人就业政府采购</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（4）陕西省财政厅关于印发《陕西省中小企业政府采购信用融资办法》（陕</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财办采〔2018〕23号）；相关政策、业务流程、办理平台</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（5）《关于在政府采购活动中查询及使用信用记录有关问题的通知》（财</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（6）《榆林市财政局关于进一步加大政府采购支持中小企业力度的通知》</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（7）《陕西省财政厅关于进一步加大政府采购支持中小企业力度的通知》(陕</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财采发〔2022〕5号)；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（8）《陕西省财政厅中国人民银行西安分行关于深人推进政府采购信用融</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合同包1(榆林市横山区人民路提升改造-花箱工程)特定资格要求如下:</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投标人为具有独立承担民事责任能力的法人、事业法人、其他组织或</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（2）投标人须具备建设行政主管部门颁发的市政公用工程施工总承包三级以上（含三级）资质，以及有效的安全生产许可证，并在人员、设备、资金等方面具备相应的施工能力；拟派往本项目的项目经理须为本</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单位的市政公用工程专业二级及以上的注册建造师，提供注册证书及安全生产考核合格证（安B证），无在建项目承诺且无不良记录（提供网页截图或承诺）；</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3）财务状况报告：提供经审计后完整的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（4）税收缴纳证明：提供2023年01月01日至今已缴纳的至少一个月的纳税证明或完税证明（时间以税款所属日期为准、税种须包含增值税或企业所得税），依法免税的单位应提供相关证明材料；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（5）社会保障资金缴纳证明：提供2023年01月01日至今已缴纳的至少一个月的社会保障资金银行缴费单据或社保机构开具的社会保险参保缴费情况证明，依法不需要缴纳社会保障资金的单位应提供相关证明材料；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（6）参加政府采购活动前三年内，在经营活动中没有重大违法记录的书面声明；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（7）提供具有履行合同所必需的设备和专业技术能力的证明资料或承诺书；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（9）榆林市政府采购工程类项目供应商信用承诺书；</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79" w:leftChars="228" w:right="0" w:rightChars="0" w:firstLine="0" w:firstLine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lang w:eastAsia="zh-CN"/>
        </w:rPr>
        <w:t>（</w:t>
      </w:r>
      <w:r>
        <w:rPr>
          <w:rFonts w:hint="eastAsia" w:ascii="宋体" w:hAnsi="宋体" w:eastAsia="宋体" w:cs="宋体"/>
          <w:i w:val="0"/>
          <w:iCs w:val="0"/>
          <w:caps w:val="0"/>
          <w:color w:val="auto"/>
          <w:spacing w:val="0"/>
          <w:sz w:val="24"/>
          <w:szCs w:val="24"/>
          <w:bdr w:val="none" w:color="auto" w:sz="0" w:space="0"/>
          <w:shd w:val="clear" w:fill="FFFFFF"/>
          <w:lang w:val="en-US" w:eastAsia="zh-CN"/>
        </w:rPr>
        <w:t>10</w:t>
      </w:r>
      <w:r>
        <w:rPr>
          <w:rFonts w:hint="eastAsia" w:ascii="宋体" w:hAnsi="宋体" w:eastAsia="宋体" w:cs="宋体"/>
          <w:i w:val="0"/>
          <w:iCs w:val="0"/>
          <w:caps w:val="0"/>
          <w:color w:val="auto"/>
          <w:spacing w:val="0"/>
          <w:sz w:val="24"/>
          <w:szCs w:val="24"/>
          <w:bdr w:val="none" w:color="auto" w:sz="0" w:space="0"/>
          <w:shd w:val="clear" w:fill="FFFFFF"/>
          <w:lang w:eastAsia="zh-CN"/>
        </w:rPr>
        <w:t>）</w:t>
      </w:r>
      <w:r>
        <w:rPr>
          <w:rFonts w:hint="eastAsia" w:ascii="宋体" w:hAnsi="宋体" w:eastAsia="宋体" w:cs="宋体"/>
          <w:i w:val="0"/>
          <w:iCs w:val="0"/>
          <w:caps w:val="0"/>
          <w:color w:val="auto"/>
          <w:spacing w:val="0"/>
          <w:sz w:val="24"/>
          <w:szCs w:val="24"/>
          <w:shd w:val="clear" w:fill="FFFFFF"/>
        </w:rPr>
        <w:t>投标信用承诺书；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（11）本项目专门面向小微企业采购，供应商须提供中小企业声明函。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备注：本项目不接受联合体投标、不允许分包、转包，单位负责人为同一人</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时间：2023年12月25日至2023年12月27日，每天上午09:00:00至12:00:00，下午14:00:00至17:00:00（北京时间）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截止时间：2023年12月28日 11时30分00秒（北京时间）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陕西省公共资源交易平台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时间：2023年12月28日 11时30分00秒（北京时间）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榆林市公共资源交易中心十楼开标11室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锁购买:①现场购买榆林市市民大厦3 楼，E18、E19 窗口,电话: 0912-3452148；②线上购买操作指南：http://www.sobot.com/chat-web/user/chatByDocId.action?docId=829e079c5f0a4bd6a51365f5b942c676&amp;cid=267&amp;robotNo=1）。（3）本项目采用电子化招投标方式和“不见面”开标形式，投标人使用数字认证证书（CA 锁）对谈判响应文件进行签章、加密、递交及开标时解密等相关招投标事宜。投标人应于谈判响应文件递交截止时间前任意时段登录交易平台〖首页〉电子交易平台〉企业端〗在线提交电子谈判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谈判响应文件编制时，将在交易平台上同步发布答疑文件，此时投标人应从“项目流程〉答疑文件下载”下载最新发布的答疑文件（*.SXSCF 格式），并使用该文件重新编制电子谈判响应文件（*.SXSTF 格式），使用旧版电子谈判文件或旧版答疑文件制作的电子谈判响应文件，系统将拒绝接收。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榆林市横山区创建工作办公室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陕西省榆林市横山区北大街9号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0912-7616393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0912-8101110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冯莹、杨丹丹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0912-8101110</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C09AF"/>
    <w:multiLevelType w:val="singleLevel"/>
    <w:tmpl w:val="2F0C09AF"/>
    <w:lvl w:ilvl="0" w:tentative="0">
      <w:start w:val="1"/>
      <w:numFmt w:val="decimal"/>
      <w:suff w:val="nothing"/>
      <w:lvlText w:val="（%1）"/>
      <w:lvlJc w:val="left"/>
    </w:lvl>
  </w:abstractNum>
  <w:abstractNum w:abstractNumId="1">
    <w:nsid w:val="752A1F06"/>
    <w:multiLevelType w:val="singleLevel"/>
    <w:tmpl w:val="752A1F0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ZGU4NzEyMTU1ZDNmNjgyZWY5MjI3MzU0MmJkOWEifQ=="/>
  </w:docVars>
  <w:rsids>
    <w:rsidRoot w:val="33237B51"/>
    <w:rsid w:val="28F770C2"/>
    <w:rsid w:val="3323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2023-12-23T08:03:00Z</dcterms:created>
  <dc:creator>xbdqg</dc:creator>
  <cp:lastModifiedBy>xbdqg</cp:lastModifiedBy>
  <dcterms:modified xsi:type="dcterms:W3CDTF">2023-12-23T08:05:46Z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9F15C9CD3B304DE7B7F61898E6E746DE_11</vt:lpwstr>
  </property>
</Properties>
</file>