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44"/>
          <w:sz w:val="32"/>
          <w:szCs w:val="32"/>
          <w:highlight w:val="none"/>
        </w:rPr>
      </w:pPr>
      <w:r>
        <w:rPr>
          <w:rFonts w:hint="eastAsia" w:ascii="宋体" w:hAnsi="宋体" w:eastAsia="宋体" w:cs="宋体"/>
          <w:b/>
          <w:bCs/>
          <w:kern w:val="44"/>
          <w:sz w:val="32"/>
          <w:szCs w:val="32"/>
          <w:highlight w:val="none"/>
          <w:lang w:eastAsia="zh-CN"/>
        </w:rPr>
        <w:t>府谷能源投资集团郭家湾矿业有限公司资源整合项目选煤厂第一批设备采购</w:t>
      </w:r>
      <w:r>
        <w:rPr>
          <w:rFonts w:hint="eastAsia" w:ascii="宋体" w:hAnsi="宋体" w:eastAsia="宋体" w:cs="宋体"/>
          <w:b/>
          <w:bCs/>
          <w:kern w:val="44"/>
          <w:sz w:val="32"/>
          <w:szCs w:val="32"/>
          <w:highlight w:val="none"/>
          <w:lang w:val="en-US" w:eastAsia="zh-CN"/>
        </w:rPr>
        <w:t xml:space="preserve"> </w:t>
      </w:r>
      <w:r>
        <w:rPr>
          <w:rFonts w:hint="eastAsia" w:ascii="宋体" w:hAnsi="宋体" w:eastAsia="宋体" w:cs="宋体"/>
          <w:b/>
          <w:bCs/>
          <w:kern w:val="44"/>
          <w:sz w:val="32"/>
          <w:szCs w:val="32"/>
          <w:highlight w:val="none"/>
        </w:rPr>
        <w:t>采购需求计划</w:t>
      </w:r>
    </w:p>
    <w:p>
      <w:pPr>
        <w:spacing w:line="620" w:lineRule="exact"/>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rPr>
        <w:t>项目名称：</w:t>
      </w:r>
      <w:r>
        <w:rPr>
          <w:rFonts w:hint="eastAsia" w:ascii="宋体" w:hAnsi="宋体" w:eastAsia="宋体" w:cs="宋体"/>
          <w:sz w:val="28"/>
          <w:szCs w:val="28"/>
          <w:highlight w:val="none"/>
          <w:lang w:eastAsia="zh-CN"/>
        </w:rPr>
        <w:t>府谷能源投资集团郭家湾矿业有限公司资源整合项目选煤厂第一批设备采购</w:t>
      </w:r>
    </w:p>
    <w:p>
      <w:pPr>
        <w:numPr>
          <w:ilvl w:val="0"/>
          <w:numId w:val="1"/>
        </w:numPr>
        <w:spacing w:line="620" w:lineRule="exact"/>
        <w:rPr>
          <w:rFonts w:ascii="宋体" w:hAnsi="宋体" w:eastAsia="宋体" w:cs="宋体"/>
          <w:sz w:val="28"/>
          <w:szCs w:val="28"/>
          <w:highlight w:val="none"/>
        </w:rPr>
      </w:pPr>
      <w:r>
        <w:rPr>
          <w:rFonts w:hint="eastAsia" w:ascii="宋体" w:hAnsi="宋体" w:eastAsia="宋体" w:cs="宋体"/>
          <w:b/>
          <w:bCs/>
          <w:sz w:val="28"/>
          <w:szCs w:val="28"/>
          <w:highlight w:val="none"/>
        </w:rPr>
        <w:t>项目明细、资金构成和采购方式：</w:t>
      </w:r>
    </w:p>
    <w:p>
      <w:pPr>
        <w:numPr>
          <w:ilvl w:val="0"/>
          <w:numId w:val="2"/>
        </w:num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采购项目明细：本项目分为</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个标包，详见后附采购清单明细。</w:t>
      </w:r>
    </w:p>
    <w:p>
      <w:pPr>
        <w:numPr>
          <w:ilvl w:val="0"/>
          <w:numId w:val="2"/>
        </w:num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预算金额：18157000.00元</w:t>
      </w:r>
    </w:p>
    <w:p>
      <w:pPr>
        <w:numPr>
          <w:ilvl w:val="0"/>
          <w:numId w:val="2"/>
        </w:num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资金构成：自筹资金</w:t>
      </w:r>
    </w:p>
    <w:p>
      <w:pPr>
        <w:numPr>
          <w:ilvl w:val="0"/>
          <w:numId w:val="2"/>
        </w:num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采购方式：公开招标</w:t>
      </w:r>
    </w:p>
    <w:p>
      <w:pPr>
        <w:spacing w:line="620" w:lineRule="exac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三、项目实施时间、地点、概况 </w:t>
      </w:r>
    </w:p>
    <w:p>
      <w:pPr>
        <w:spacing w:line="620" w:lineRule="exact"/>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1、项目实施时间（供货期）：合同签订，建设单位通知后</w:t>
      </w:r>
      <w:r>
        <w:rPr>
          <w:rFonts w:hint="eastAsia" w:ascii="宋体" w:hAnsi="宋体" w:eastAsia="宋体" w:cs="宋体"/>
          <w:sz w:val="28"/>
          <w:szCs w:val="28"/>
          <w:highlight w:val="none"/>
          <w:lang w:val="en-US" w:eastAsia="zh-CN"/>
        </w:rPr>
        <w:t>90</w:t>
      </w:r>
      <w:r>
        <w:rPr>
          <w:rFonts w:hint="eastAsia" w:ascii="宋体" w:hAnsi="宋体" w:eastAsia="宋体" w:cs="宋体"/>
          <w:sz w:val="28"/>
          <w:szCs w:val="28"/>
          <w:highlight w:val="none"/>
        </w:rPr>
        <w:t>日历天</w:t>
      </w:r>
      <w:r>
        <w:rPr>
          <w:rFonts w:hint="eastAsia" w:ascii="宋体" w:hAnsi="宋体" w:eastAsia="宋体" w:cs="宋体"/>
          <w:sz w:val="28"/>
          <w:szCs w:val="28"/>
          <w:highlight w:val="none"/>
          <w:lang w:eastAsia="zh-CN"/>
        </w:rPr>
        <w:t>。</w:t>
      </w:r>
    </w:p>
    <w:p>
      <w:p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2、项目实施地点：采购人指定地点</w:t>
      </w:r>
    </w:p>
    <w:p>
      <w:pPr>
        <w:spacing w:line="620" w:lineRule="exact"/>
        <w:rPr>
          <w:rFonts w:ascii="宋体" w:hAnsi="宋体" w:eastAsia="宋体" w:cs="宋体"/>
          <w:sz w:val="28"/>
          <w:szCs w:val="28"/>
          <w:highlight w:val="none"/>
        </w:rPr>
      </w:pPr>
      <w:r>
        <w:rPr>
          <w:rFonts w:hint="eastAsia" w:ascii="宋体" w:hAnsi="宋体" w:eastAsia="宋体" w:cs="宋体"/>
          <w:sz w:val="28"/>
          <w:szCs w:val="28"/>
          <w:highlight w:val="none"/>
        </w:rPr>
        <w:t>3、项目概况：</w:t>
      </w:r>
    </w:p>
    <w:p>
      <w:pPr>
        <w:numPr>
          <w:ilvl w:val="0"/>
          <w:numId w:val="3"/>
        </w:numPr>
        <w:spacing w:line="620" w:lineRule="exact"/>
        <w:rPr>
          <w:rFonts w:ascii="宋体" w:hAnsi="宋体" w:eastAsia="宋体" w:cs="宋体"/>
          <w:b/>
          <w:bCs/>
          <w:sz w:val="28"/>
          <w:szCs w:val="28"/>
          <w:highlight w:val="none"/>
        </w:rPr>
      </w:pPr>
      <w:r>
        <w:rPr>
          <w:rFonts w:hint="eastAsia" w:cs="宋体"/>
          <w:bCs/>
          <w:color w:val="auto"/>
          <w:kern w:val="0"/>
          <w:sz w:val="24"/>
          <w:szCs w:val="24"/>
          <w:highlight w:val="none"/>
          <w:lang w:val="en-US" w:eastAsia="zh-CN" w:bidi="ar"/>
        </w:rPr>
        <w:t>府谷能源投资集团郭家湾矿业有限公司资源整合项目选煤厂第一批设备采购</w:t>
      </w:r>
      <w:r>
        <w:rPr>
          <w:rFonts w:hint="eastAsia" w:ascii="宋体" w:hAnsi="宋体" w:eastAsia="宋体" w:cs="宋体"/>
          <w:bCs/>
          <w:color w:val="auto"/>
          <w:kern w:val="0"/>
          <w:sz w:val="24"/>
          <w:szCs w:val="24"/>
          <w:highlight w:val="none"/>
          <w:lang w:val="en-US" w:eastAsia="zh-CN" w:bidi="ar"/>
        </w:rPr>
        <w:t>，本项目为设备采购，建设地点位于府谷县郭家湾煤矿，主要内容包括：磁选机、压滤机、原煤仓下给煤机和脱粉筛等设备；具体内容详见各标段供货一览表。</w:t>
      </w:r>
    </w:p>
    <w:p>
      <w:pPr>
        <w:pStyle w:val="28"/>
        <w:rPr>
          <w:rFonts w:hint="eastAsia" w:ascii="宋体" w:hAnsi="宋体" w:eastAsia="宋体" w:cs="宋体"/>
          <w:b/>
          <w:bCs w:val="0"/>
          <w:color w:val="auto"/>
          <w:kern w:val="0"/>
          <w:sz w:val="24"/>
          <w:szCs w:val="24"/>
          <w:highlight w:val="none"/>
          <w:lang w:val="en-US" w:eastAsia="zh-CN" w:bidi="ar"/>
        </w:rPr>
      </w:pPr>
    </w:p>
    <w:p>
      <w:pPr>
        <w:pStyle w:val="28"/>
        <w:numPr>
          <w:ilvl w:val="0"/>
          <w:numId w:val="3"/>
        </w:numPr>
        <w:ind w:left="0" w:leftChars="0" w:firstLine="0" w:firstLineChars="0"/>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合同</w:t>
      </w:r>
    </w:p>
    <w:p>
      <w:pPr>
        <w:tabs>
          <w:tab w:val="left" w:pos="240"/>
        </w:tabs>
        <w:spacing w:line="360" w:lineRule="auto"/>
        <w:rPr>
          <w:rFonts w:ascii="宋体" w:hAnsi="宋体" w:cs="宋体"/>
          <w:sz w:val="24"/>
          <w:szCs w:val="24"/>
          <w:highlight w:val="none"/>
        </w:rPr>
      </w:pPr>
      <w:r>
        <w:rPr>
          <w:rFonts w:hint="eastAsia" w:ascii="宋体" w:hAnsi="宋体" w:cs="宋体"/>
          <w:sz w:val="24"/>
          <w:szCs w:val="24"/>
          <w:highlight w:val="none"/>
        </w:rPr>
        <w:t xml:space="preserve">委托方： </w:t>
      </w:r>
      <w:r>
        <w:rPr>
          <w:rFonts w:hint="eastAsia" w:ascii="宋体" w:hAnsi="宋体" w:cs="宋体"/>
          <w:sz w:val="24"/>
          <w:szCs w:val="24"/>
          <w:highlight w:val="none"/>
          <w:u w:val="single"/>
        </w:rPr>
        <w:t xml:space="preserve">                      （甲方）</w:t>
      </w:r>
      <w:r>
        <w:rPr>
          <w:rFonts w:hint="eastAsia" w:ascii="宋体" w:hAnsi="宋体" w:cs="宋体"/>
          <w:sz w:val="24"/>
          <w:szCs w:val="24"/>
          <w:highlight w:val="none"/>
        </w:rPr>
        <w:t xml:space="preserve">           签约地点：</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 xml:space="preserve">承托方： </w:t>
      </w:r>
      <w:r>
        <w:rPr>
          <w:rFonts w:hint="eastAsia" w:ascii="宋体" w:hAnsi="宋体" w:cs="宋体"/>
          <w:sz w:val="24"/>
          <w:szCs w:val="24"/>
          <w:highlight w:val="none"/>
          <w:u w:val="single"/>
        </w:rPr>
        <w:t xml:space="preserve">                      （乙方）</w:t>
      </w:r>
      <w:r>
        <w:rPr>
          <w:rFonts w:hint="eastAsia" w:ascii="宋体" w:hAnsi="宋体" w:cs="宋体"/>
          <w:sz w:val="24"/>
          <w:szCs w:val="24"/>
          <w:highlight w:val="none"/>
        </w:rPr>
        <w:t xml:space="preserve">           签约日期：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根据《中华人民共和国民法典》、《中华人民共和国产品质量法》及国家有关法律法规。双方经过友好协商，本着诚实信用、平等互利的原则，就乙方提供</w:t>
      </w:r>
      <w:r>
        <w:rPr>
          <w:rFonts w:hint="eastAsia" w:ascii="宋体" w:hAnsi="宋体" w:cs="宋体"/>
          <w:sz w:val="24"/>
          <w:szCs w:val="24"/>
          <w:highlight w:val="none"/>
          <w:u w:val="single"/>
        </w:rPr>
        <w:t xml:space="preserve">          第   包</w:t>
      </w:r>
      <w:r>
        <w:rPr>
          <w:rFonts w:hint="eastAsia" w:ascii="宋体" w:hAnsi="宋体" w:cs="宋体"/>
          <w:sz w:val="24"/>
          <w:szCs w:val="24"/>
          <w:highlight w:val="none"/>
        </w:rPr>
        <w:t>的供应事宜，达成如下协议：</w:t>
      </w:r>
    </w:p>
    <w:p>
      <w:pPr>
        <w:pStyle w:val="9"/>
        <w:tabs>
          <w:tab w:val="left" w:pos="240"/>
        </w:tabs>
        <w:spacing w:line="360" w:lineRule="auto"/>
        <w:ind w:left="1258" w:hanging="1195"/>
        <w:rPr>
          <w:rFonts w:cs="宋体"/>
          <w:b/>
          <w:sz w:val="28"/>
          <w:szCs w:val="28"/>
          <w:highlight w:val="none"/>
        </w:rPr>
      </w:pPr>
      <w:bookmarkStart w:id="0" w:name="_Toc187124657"/>
      <w:r>
        <w:rPr>
          <w:rFonts w:hint="eastAsia" w:cs="宋体"/>
          <w:b/>
          <w:sz w:val="28"/>
          <w:szCs w:val="28"/>
          <w:highlight w:val="none"/>
        </w:rPr>
        <w:t>一、设备名称、规格型号、数量、价款：</w:t>
      </w:r>
    </w:p>
    <w:bookmarkEnd w:id="0"/>
    <w:p>
      <w:pPr>
        <w:pStyle w:val="8"/>
        <w:numPr>
          <w:numId w:val="0"/>
        </w:numPr>
        <w:ind w:leftChars="0"/>
        <w:rPr>
          <w:rFonts w:hint="default"/>
          <w:lang w:val="en-US"/>
        </w:rPr>
      </w:pPr>
    </w:p>
    <w:p>
      <w:pPr>
        <w:rPr>
          <w:rFonts w:ascii="宋体" w:hAnsi="宋体" w:cs="宋体"/>
        </w:rPr>
      </w:pPr>
    </w:p>
    <w:tbl>
      <w:tblPr>
        <w:tblStyle w:val="19"/>
        <w:tblW w:w="9440" w:type="dxa"/>
        <w:tblInd w:w="96" w:type="dxa"/>
        <w:tblLayout w:type="autofit"/>
        <w:tblCellMar>
          <w:top w:w="0" w:type="dxa"/>
          <w:left w:w="108" w:type="dxa"/>
          <w:bottom w:w="0" w:type="dxa"/>
          <w:right w:w="108" w:type="dxa"/>
        </w:tblCellMar>
      </w:tblPr>
      <w:tblGrid>
        <w:gridCol w:w="555"/>
        <w:gridCol w:w="1003"/>
        <w:gridCol w:w="1524"/>
        <w:gridCol w:w="2016"/>
        <w:gridCol w:w="762"/>
        <w:gridCol w:w="497"/>
        <w:gridCol w:w="920"/>
        <w:gridCol w:w="970"/>
        <w:gridCol w:w="1193"/>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府谷能源投资集团郭家湾矿业有限公司资源整合项目选煤厂第一批设备采购【第一包】采购清单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szCs w:val="24"/>
              </w:rPr>
            </w:pPr>
            <w:r>
              <w:rPr>
                <w:rFonts w:hint="eastAsia" w:ascii="宋体" w:hAnsi="宋体" w:cs="宋体"/>
                <w:sz w:val="24"/>
                <w:szCs w:val="24"/>
              </w:rPr>
              <w:t>磁选机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rPr>
              <w:t>规格：筒径×筒长=1219×2972mm，双滚筒；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2159"/>
        <w:gridCol w:w="1296"/>
        <w:gridCol w:w="762"/>
        <w:gridCol w:w="497"/>
        <w:gridCol w:w="920"/>
        <w:gridCol w:w="970"/>
        <w:gridCol w:w="1278"/>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府谷能源投资集团郭家湾矿业有限公司资源整合项目选煤厂第一批设备采购【第二包】采购清单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除铁器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kern w:val="0"/>
                <w:sz w:val="24"/>
                <w:szCs w:val="24"/>
                <w:lang w:bidi="ar"/>
              </w:rPr>
            </w:pPr>
            <w:r>
              <w:rPr>
                <w:rFonts w:hint="eastAsia" w:ascii="宋体" w:hAnsi="宋体" w:cs="宋体"/>
                <w:kern w:val="0"/>
                <w:sz w:val="24"/>
                <w:szCs w:val="24"/>
                <w:lang w:bidi="ar"/>
              </w:rPr>
              <w:t>B=1200mm</w:t>
            </w:r>
          </w:p>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H=450mm；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79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手选带上除铁器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kern w:val="0"/>
                <w:sz w:val="24"/>
                <w:szCs w:val="24"/>
                <w:lang w:bidi="ar"/>
              </w:rPr>
            </w:pPr>
            <w:r>
              <w:rPr>
                <w:rFonts w:hint="eastAsia" w:ascii="宋体" w:hAnsi="宋体" w:cs="宋体"/>
                <w:kern w:val="0"/>
                <w:sz w:val="24"/>
                <w:szCs w:val="24"/>
                <w:lang w:bidi="ar"/>
              </w:rPr>
              <w:t>B=1400mm</w:t>
            </w:r>
          </w:p>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H=450mm；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1948"/>
        <w:gridCol w:w="1776"/>
        <w:gridCol w:w="762"/>
        <w:gridCol w:w="497"/>
        <w:gridCol w:w="920"/>
        <w:gridCol w:w="970"/>
        <w:gridCol w:w="1009"/>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府谷能源投资集团郭家湾矿业有限公司资源整合项目选煤厂第一批设备采购【第三包】采购清单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原煤分级筛（圆振动筛）</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宽×长</w:t>
            </w:r>
            <w:r>
              <w:rPr>
                <w:rFonts w:hint="eastAsia" w:ascii="宋体" w:hAnsi="宋体" w:cs="宋体"/>
                <w:color w:val="000000"/>
                <w:sz w:val="24"/>
                <w:szCs w:val="24"/>
                <w:lang w:bidi="ar"/>
              </w:rPr>
              <w:t>=3.0×6.1m；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块精煤分级筛（单层香蕉筛）</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宽×长</w:t>
            </w:r>
            <w:r>
              <w:rPr>
                <w:rFonts w:hint="eastAsia" w:ascii="宋体" w:hAnsi="宋体" w:cs="宋体"/>
                <w:color w:val="000000"/>
                <w:sz w:val="24"/>
                <w:szCs w:val="24"/>
                <w:lang w:bidi="ar"/>
              </w:rPr>
              <w:t>=3.0×6.1m；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72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脱粉筛（弛张筛）</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w:t>
            </w:r>
            <w:r>
              <w:rPr>
                <w:rFonts w:hint="eastAsia" w:ascii="宋体" w:hAnsi="宋体" w:cs="宋体"/>
                <w:color w:val="000000"/>
                <w:sz w:val="24"/>
                <w:szCs w:val="24"/>
                <w:lang w:bidi="ar"/>
              </w:rPr>
              <w:t>：宽×长=4.3×10.0m；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ind w:left="27" w:leftChars="13" w:firstLine="562" w:firstLineChars="200"/>
        <w:rPr>
          <w:rFonts w:ascii="宋体" w:hAnsi="宋体" w:cs="宋体"/>
          <w:b/>
          <w:bCs/>
          <w:kern w:val="0"/>
          <w:sz w:val="28"/>
          <w:szCs w:val="28"/>
        </w:rPr>
      </w:pPr>
    </w:p>
    <w:p>
      <w:pPr>
        <w:pStyle w:val="8"/>
      </w:pPr>
    </w:p>
    <w:tbl>
      <w:tblPr>
        <w:tblStyle w:val="19"/>
        <w:tblW w:w="9440" w:type="dxa"/>
        <w:tblInd w:w="96" w:type="dxa"/>
        <w:tblLayout w:type="autofit"/>
        <w:tblCellMar>
          <w:top w:w="0" w:type="dxa"/>
          <w:left w:w="108" w:type="dxa"/>
          <w:bottom w:w="0" w:type="dxa"/>
          <w:right w:w="108" w:type="dxa"/>
        </w:tblCellMar>
      </w:tblPr>
      <w:tblGrid>
        <w:gridCol w:w="555"/>
        <w:gridCol w:w="1003"/>
        <w:gridCol w:w="2360"/>
        <w:gridCol w:w="1017"/>
        <w:gridCol w:w="762"/>
        <w:gridCol w:w="497"/>
        <w:gridCol w:w="920"/>
        <w:gridCol w:w="970"/>
        <w:gridCol w:w="135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府谷能源投资集团郭家湾矿业有限公司资源整合项目选煤厂第一批设备采购【第四包】采购清单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脱粉筛（交叉筛）</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规格</w:t>
            </w:r>
            <w:r>
              <w:rPr>
                <w:rFonts w:hint="eastAsia" w:ascii="宋体" w:hAnsi="宋体" w:cs="宋体"/>
                <w:color w:val="000000"/>
                <w:sz w:val="22"/>
                <w:szCs w:val="22"/>
                <w:lang w:bidi="ar"/>
              </w:rPr>
              <w:t>：筛面宽度2.2m，筛轴数量25根；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fixed"/>
        <w:tblCellMar>
          <w:top w:w="0" w:type="dxa"/>
          <w:left w:w="108" w:type="dxa"/>
          <w:bottom w:w="0" w:type="dxa"/>
          <w:right w:w="108" w:type="dxa"/>
        </w:tblCellMar>
      </w:tblPr>
      <w:tblGrid>
        <w:gridCol w:w="555"/>
        <w:gridCol w:w="1003"/>
        <w:gridCol w:w="1843"/>
        <w:gridCol w:w="1211"/>
        <w:gridCol w:w="1087"/>
        <w:gridCol w:w="497"/>
        <w:gridCol w:w="920"/>
        <w:gridCol w:w="970"/>
        <w:gridCol w:w="1354"/>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府谷能源投资集团郭家湾矿业有限公司资源整合项目选煤厂第一批设备采购【第五包】采购清单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精煤脱介筛（单层直线筛）</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规格</w:t>
            </w:r>
            <w:r>
              <w:rPr>
                <w:rFonts w:hint="eastAsia" w:ascii="宋体" w:hAnsi="宋体" w:cs="宋体"/>
                <w:color w:val="000000"/>
                <w:sz w:val="22"/>
                <w:szCs w:val="22"/>
                <w:lang w:bidi="ar"/>
              </w:rPr>
              <w:t>：宽×长=3.6×7.3m；</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left"/>
              <w:textAlignment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79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2"/>
                <w:szCs w:val="22"/>
              </w:rPr>
            </w:pPr>
            <w:r>
              <w:rPr>
                <w:rFonts w:hint="eastAsia" w:ascii="宋体" w:hAnsi="宋体" w:cs="宋体"/>
                <w:kern w:val="0"/>
                <w:sz w:val="22"/>
                <w:szCs w:val="22"/>
                <w:lang w:bidi="ar"/>
              </w:rPr>
              <w:t>矸石脱介筛（单层直线筛）</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规格</w:t>
            </w:r>
            <w:r>
              <w:rPr>
                <w:rFonts w:hint="eastAsia" w:ascii="宋体" w:hAnsi="宋体" w:cs="宋体"/>
                <w:color w:val="000000"/>
                <w:sz w:val="22"/>
                <w:szCs w:val="22"/>
                <w:lang w:bidi="ar"/>
              </w:rPr>
              <w:t>：宽×长=3.0×4.8m；</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72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脱泥筛（单层）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2"/>
                <w:szCs w:val="22"/>
              </w:rPr>
            </w:pPr>
            <w:r>
              <w:rPr>
                <w:rFonts w:hint="eastAsia" w:ascii="宋体" w:hAnsi="宋体" w:cs="宋体"/>
                <w:kern w:val="0"/>
                <w:sz w:val="22"/>
                <w:szCs w:val="22"/>
                <w:lang w:bidi="ar"/>
              </w:rPr>
              <w:t>规格</w:t>
            </w:r>
            <w:r>
              <w:rPr>
                <w:rFonts w:hint="eastAsia" w:ascii="宋体" w:hAnsi="宋体" w:cs="宋体"/>
                <w:color w:val="000000"/>
                <w:sz w:val="22"/>
                <w:szCs w:val="22"/>
                <w:lang w:bidi="ar"/>
              </w:rPr>
              <w:t xml:space="preserve">：宽×长=3.0×4.8m； </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left"/>
              <w:textAlignment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pStyle w:val="8"/>
      </w:pPr>
    </w:p>
    <w:tbl>
      <w:tblPr>
        <w:tblStyle w:val="19"/>
        <w:tblW w:w="9440" w:type="dxa"/>
        <w:tblInd w:w="96" w:type="dxa"/>
        <w:tblLayout w:type="autofit"/>
        <w:tblCellMar>
          <w:top w:w="0" w:type="dxa"/>
          <w:left w:w="108" w:type="dxa"/>
          <w:bottom w:w="0" w:type="dxa"/>
          <w:right w:w="108" w:type="dxa"/>
        </w:tblCellMar>
      </w:tblPr>
      <w:tblGrid>
        <w:gridCol w:w="555"/>
        <w:gridCol w:w="1003"/>
        <w:gridCol w:w="2028"/>
        <w:gridCol w:w="1363"/>
        <w:gridCol w:w="762"/>
        <w:gridCol w:w="497"/>
        <w:gridCol w:w="920"/>
        <w:gridCol w:w="970"/>
        <w:gridCol w:w="1342"/>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府谷能源投资集团郭家湾矿业有限公司资源整合项目选煤厂第一批设备采购【第六包】采购清单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精煤离心机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规格：卧式振动筛篮直径1400mm；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79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煤泥离心机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规格：卧式刮刀，筛篮直1200mm；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1523"/>
        <w:gridCol w:w="1854"/>
        <w:gridCol w:w="762"/>
        <w:gridCol w:w="497"/>
        <w:gridCol w:w="920"/>
        <w:gridCol w:w="970"/>
        <w:gridCol w:w="135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府谷能源投资集团郭家湾矿业有限公司资源整合项目选煤厂第一批设备采购【第七包】采购清单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81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矸石弧形筛</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2.8米宽</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94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精煤弧形筛</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3.4米宽</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50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煤泥智能高频脱泥筛</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sz w:val="24"/>
                <w:szCs w:val="24"/>
              </w:rPr>
              <w:t>1、单台处理能力：45t∕h；</w:t>
            </w:r>
          </w:p>
          <w:p>
            <w:pPr>
              <w:widowControl/>
              <w:spacing w:line="280" w:lineRule="exact"/>
              <w:jc w:val="left"/>
              <w:textAlignment w:val="center"/>
              <w:rPr>
                <w:rFonts w:ascii="宋体" w:hAnsi="宋体" w:cs="宋体"/>
                <w:sz w:val="24"/>
                <w:szCs w:val="24"/>
              </w:rPr>
            </w:pPr>
            <w:r>
              <w:rPr>
                <w:rFonts w:hint="eastAsia" w:ascii="宋体" w:hAnsi="宋体" w:cs="宋体"/>
                <w:sz w:val="24"/>
                <w:szCs w:val="24"/>
              </w:rPr>
              <w:t xml:space="preserve">2、单台矿浆量：250 m3∕h； </w:t>
            </w:r>
          </w:p>
          <w:p>
            <w:pPr>
              <w:widowControl/>
              <w:spacing w:line="280" w:lineRule="exact"/>
              <w:jc w:val="left"/>
              <w:textAlignment w:val="center"/>
              <w:rPr>
                <w:rFonts w:ascii="宋体" w:hAnsi="宋体" w:cs="宋体"/>
                <w:sz w:val="24"/>
                <w:szCs w:val="24"/>
              </w:rPr>
            </w:pPr>
            <w:r>
              <w:rPr>
                <w:rFonts w:hint="eastAsia" w:ascii="宋体" w:hAnsi="宋体" w:cs="宋体"/>
                <w:sz w:val="24"/>
                <w:szCs w:val="24"/>
              </w:rPr>
              <w:t>3、脱泥效率80～88%。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2168"/>
        <w:gridCol w:w="1296"/>
        <w:gridCol w:w="762"/>
        <w:gridCol w:w="497"/>
        <w:gridCol w:w="920"/>
        <w:gridCol w:w="970"/>
        <w:gridCol w:w="1269"/>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府谷能源投资集团郭家湾矿业有限公司资源整合项目选煤厂第一批设备采购【第八包】采购清单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压滤机</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规格：F=800m2；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1949"/>
        <w:gridCol w:w="1428"/>
        <w:gridCol w:w="762"/>
        <w:gridCol w:w="497"/>
        <w:gridCol w:w="920"/>
        <w:gridCol w:w="970"/>
        <w:gridCol w:w="135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府谷能源投资集团郭家湾矿业有限公司资源整合项目选煤厂第一批设备采购【第九包】采购清单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重介旋流器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规格：直径1450mm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79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分级旋流器组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规格/台数：6个直径φ=500mm旋流器/1组；</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pStyle w:val="28"/>
      </w:pPr>
    </w:p>
    <w:tbl>
      <w:tblPr>
        <w:tblStyle w:val="19"/>
        <w:tblW w:w="9440" w:type="dxa"/>
        <w:tblInd w:w="96" w:type="dxa"/>
        <w:tblLayout w:type="autofit"/>
        <w:tblCellMar>
          <w:top w:w="0" w:type="dxa"/>
          <w:left w:w="108" w:type="dxa"/>
          <w:bottom w:w="0" w:type="dxa"/>
          <w:right w:w="108" w:type="dxa"/>
        </w:tblCellMar>
      </w:tblPr>
      <w:tblGrid>
        <w:gridCol w:w="555"/>
        <w:gridCol w:w="1003"/>
        <w:gridCol w:w="2082"/>
        <w:gridCol w:w="1295"/>
        <w:gridCol w:w="762"/>
        <w:gridCol w:w="497"/>
        <w:gridCol w:w="920"/>
        <w:gridCol w:w="970"/>
        <w:gridCol w:w="135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府谷能源投资集团郭家湾矿业有限公司资源整合项目选煤厂第一批设备采购【第十包】采购清单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破碎机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分级式双齿辊破碎机（625型）；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spacing w:line="360" w:lineRule="auto"/>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1621"/>
        <w:gridCol w:w="1896"/>
        <w:gridCol w:w="762"/>
        <w:gridCol w:w="497"/>
        <w:gridCol w:w="920"/>
        <w:gridCol w:w="970"/>
        <w:gridCol w:w="121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府谷能源投资集团郭家湾矿业有限公司资源整合项目选煤厂第一批设备采购【第十一包】采购清单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258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原煤仓下给煤机</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胶链带式给煤机，仓口尺寸：1300×1550mm；单台设备给料能力：200-1300t/h；电动机功率：7.5+4kW左右；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rPr>
          <w:rFonts w:ascii="宋体" w:hAnsi="宋体" w:cs="宋体"/>
          <w:b/>
          <w:bCs/>
          <w:kern w:val="0"/>
          <w:sz w:val="28"/>
          <w:szCs w:val="28"/>
        </w:rPr>
      </w:pPr>
    </w:p>
    <w:tbl>
      <w:tblPr>
        <w:tblStyle w:val="19"/>
        <w:tblW w:w="9440" w:type="dxa"/>
        <w:tblInd w:w="96" w:type="dxa"/>
        <w:tblLayout w:type="autofit"/>
        <w:tblCellMar>
          <w:top w:w="0" w:type="dxa"/>
          <w:left w:w="108" w:type="dxa"/>
          <w:bottom w:w="0" w:type="dxa"/>
          <w:right w:w="108" w:type="dxa"/>
        </w:tblCellMar>
      </w:tblPr>
      <w:tblGrid>
        <w:gridCol w:w="555"/>
        <w:gridCol w:w="1003"/>
        <w:gridCol w:w="2081"/>
        <w:gridCol w:w="1296"/>
        <w:gridCol w:w="762"/>
        <w:gridCol w:w="497"/>
        <w:gridCol w:w="920"/>
        <w:gridCol w:w="970"/>
        <w:gridCol w:w="1356"/>
      </w:tblGrid>
      <w:tr>
        <w:tblPrEx>
          <w:tblCellMar>
            <w:top w:w="0" w:type="dxa"/>
            <w:left w:w="108" w:type="dxa"/>
            <w:bottom w:w="0" w:type="dxa"/>
            <w:right w:w="108" w:type="dxa"/>
          </w:tblCellMar>
        </w:tblPrEx>
        <w:trPr>
          <w:trHeight w:val="811" w:hRule="atLeast"/>
        </w:trPr>
        <w:tc>
          <w:tcPr>
            <w:tcW w:w="94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lang w:bidi="ar"/>
              </w:rPr>
              <w:t>府谷能源投资集团郭家湾矿业有限公司资源整合项目选煤厂第一批设备采购【第十二包】采购清单</w:t>
            </w:r>
          </w:p>
        </w:tc>
      </w:tr>
      <w:tr>
        <w:tblPrEx>
          <w:tblCellMar>
            <w:top w:w="0" w:type="dxa"/>
            <w:left w:w="108" w:type="dxa"/>
            <w:bottom w:w="0" w:type="dxa"/>
            <w:right w:w="108" w:type="dxa"/>
          </w:tblCellMar>
        </w:tblPrEx>
        <w:trPr>
          <w:trHeight w:val="6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生产厂家</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金 额（元）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浓缩机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规格：直径φ=30m；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179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自动加药系统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szCs w:val="24"/>
              </w:rPr>
            </w:pPr>
            <w:r>
              <w:rPr>
                <w:rFonts w:hint="eastAsia" w:ascii="宋体" w:hAnsi="宋体" w:cs="宋体"/>
                <w:kern w:val="0"/>
                <w:sz w:val="24"/>
                <w:szCs w:val="24"/>
                <w:lang w:bidi="ar"/>
              </w:rPr>
              <w:t>规格：输出能3000～</w:t>
            </w:r>
            <w:r>
              <w:rPr>
                <w:rFonts w:hint="eastAsia" w:ascii="宋体" w:hAnsi="宋体" w:cs="宋体"/>
                <w:color w:val="000000"/>
                <w:sz w:val="24"/>
                <w:szCs w:val="24"/>
                <w:lang w:bidi="ar"/>
              </w:rPr>
              <w:t>5000L/h，搅拌桶容积5000L，储药箱容10000L；</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rPr>
            </w:pPr>
          </w:p>
        </w:tc>
      </w:tr>
      <w:tr>
        <w:tblPrEx>
          <w:tblCellMar>
            <w:top w:w="0" w:type="dxa"/>
            <w:left w:w="108" w:type="dxa"/>
            <w:bottom w:w="0" w:type="dxa"/>
            <w:right w:w="108" w:type="dxa"/>
          </w:tblCellMar>
        </w:tblPrEx>
        <w:trPr>
          <w:trHeight w:val="6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合计（元）</w:t>
            </w:r>
          </w:p>
        </w:tc>
        <w:tc>
          <w:tcPr>
            <w:tcW w:w="7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大写：            （小写：       ）</w:t>
            </w:r>
          </w:p>
        </w:tc>
      </w:tr>
    </w:tbl>
    <w:p>
      <w:pPr>
        <w:widowControl/>
        <w:spacing w:line="360" w:lineRule="auto"/>
        <w:jc w:val="left"/>
        <w:rPr>
          <w:rFonts w:ascii="宋体" w:hAnsi="宋体" w:cs="宋体"/>
          <w:b/>
          <w:bCs/>
          <w:kern w:val="0"/>
          <w:sz w:val="24"/>
          <w:highlight w:val="none"/>
        </w:rPr>
      </w:pPr>
      <w:r>
        <w:rPr>
          <w:rFonts w:hint="eastAsia" w:ascii="宋体" w:hAnsi="宋体" w:cs="宋体"/>
          <w:b/>
          <w:bCs/>
          <w:kern w:val="0"/>
          <w:sz w:val="24"/>
          <w:highlight w:val="none"/>
        </w:rPr>
        <w:t>注：合同签订时以单价为依据，总价按工作面实际配套数量及实际配置需求为准。</w:t>
      </w:r>
    </w:p>
    <w:p>
      <w:pPr>
        <w:numPr>
          <w:numId w:val="0"/>
        </w:numPr>
        <w:spacing w:line="620" w:lineRule="exact"/>
        <w:rPr>
          <w:rFonts w:eastAsia="宋体" w:cs="宋体"/>
          <w:color w:val="auto"/>
          <w:highlight w:val="none"/>
        </w:rPr>
        <w:sectPr>
          <w:footerReference r:id="rId3" w:type="even"/>
          <w:pgSz w:w="11906" w:h="16838"/>
          <w:pgMar w:top="1219" w:right="1800" w:bottom="1219" w:left="1800" w:header="851" w:footer="992" w:gutter="0"/>
          <w:pgNumType w:start="2"/>
          <w:cols w:space="720" w:num="1"/>
          <w:docGrid w:type="lines" w:linePitch="312" w:charSpace="0"/>
        </w:sectPr>
      </w:pP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上表所列数量为估算数量，如甲方变更而产生的材料设备及安装等增加的费用，单价按照投标单位分项报价的单价，在甲方确认后，在结算时统一办理结算手续。</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合同总价款暂定为人民币大写：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；小写：（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）。合同最终结算价款以实际供货量和本合同约定的数量为准进行结算。</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合同单价包括以上报价为全费用综合单价包干，其中包括但不限于设备制造费、运杂费、装卸费、管理费、保险费、措施费、安装指导费、材料费、人工费、机械费、调试费、检测费、培训费、知识产权相关费用、税金（含）以及相应的维保备件、专用工具、技术资料及政府管理部门收取的检验费用、质保期内维保费用和相关技术服务等与本次招标有关的所有费用，投标人在报价时应综合考虑进行报价。投标单位在报价时应充分考虑所有可能发生的费用，招标文件未列明，而投标单位认为应当计取的费用均应列入报价中。报价时不论是否计取，采购人均按已计取对待。</w:t>
      </w:r>
      <w:bookmarkStart w:id="1" w:name="_Toc21867"/>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项目采购人为府谷能源投资集团有限公司，建设单位为府谷能源投资集团郭家湾矿业有限公司，合同当事人委托方指府谷能源投资集团郭家湾矿业有限公司、承托方指本项目的中标人。委托方与承托方之间关于合同执行有异议的情况，委托方应将情况报府谷能源投资集团有限公司，经府谷能源投资集团有限公司审定后再行处理。</w:t>
      </w:r>
      <w:bookmarkEnd w:id="1"/>
    </w:p>
    <w:p>
      <w:pPr>
        <w:widowControl/>
        <w:spacing w:line="360" w:lineRule="auto"/>
        <w:ind w:firstLine="482" w:firstLineChars="200"/>
        <w:jc w:val="left"/>
        <w:rPr>
          <w:rFonts w:ascii="宋体" w:hAnsi="宋体" w:cs="宋体"/>
          <w:kern w:val="0"/>
          <w:sz w:val="24"/>
          <w:highlight w:val="none"/>
        </w:rPr>
      </w:pPr>
      <w:bookmarkStart w:id="2" w:name="_Toc3134_WPSOffice_Level1"/>
      <w:r>
        <w:rPr>
          <w:rFonts w:hint="eastAsia" w:ascii="宋体" w:hAnsi="宋体" w:cs="宋体"/>
          <w:b/>
          <w:bCs/>
          <w:kern w:val="0"/>
          <w:sz w:val="24"/>
          <w:highlight w:val="none"/>
          <w:lang w:val="en-US" w:eastAsia="zh-CN"/>
        </w:rPr>
        <w:t>二</w:t>
      </w:r>
      <w:r>
        <w:rPr>
          <w:rFonts w:hint="eastAsia" w:ascii="宋体" w:hAnsi="宋体" w:cs="宋体"/>
          <w:b/>
          <w:bCs/>
          <w:kern w:val="0"/>
          <w:sz w:val="24"/>
          <w:highlight w:val="none"/>
        </w:rPr>
        <w:t>、技术标准：</w:t>
      </w:r>
      <w:bookmarkEnd w:id="2"/>
      <w:r>
        <w:rPr>
          <w:rFonts w:hint="eastAsia" w:ascii="宋体" w:hAnsi="宋体" w:cs="宋体"/>
          <w:kern w:val="0"/>
          <w:sz w:val="24"/>
          <w:highlight w:val="none"/>
        </w:rPr>
        <w:t>详见合同附件</w:t>
      </w:r>
      <w:r>
        <w:rPr>
          <w:rFonts w:hint="eastAsia" w:ascii="宋体" w:hAnsi="宋体" w:cs="宋体"/>
          <w:sz w:val="24"/>
          <w:highlight w:val="none"/>
        </w:rPr>
        <w:t>《技术规格参数》</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三、合同结算</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1、付款比例：</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付款方式：合同签订后，支付合同价款的30%，发货前支付合同价款的40%，货到安装调试正常、验收合格后支付合同价款的20%，安装调试12个月后付剩余的10%，12个月内出现的设备问题由承托方无偿解决，由于非正常使用因素造成的损坏除外。期满15工作日内完成支付。</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2、结算方式：银行转账。</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3、结算单位：由采购人负责结算，乙方开具合同总价数的全额发票交采购人。</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2、结算方式：银行转账。</w:t>
      </w:r>
    </w:p>
    <w:p>
      <w:pPr>
        <w:autoSpaceDE w:val="0"/>
        <w:autoSpaceDN w:val="0"/>
        <w:adjustRightInd w:val="0"/>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3、结算单位：由采购人负责结算，乙方开具合同总价数的全额发票交采购人。</w:t>
      </w:r>
    </w:p>
    <w:p>
      <w:pPr>
        <w:autoSpaceDE w:val="0"/>
        <w:autoSpaceDN w:val="0"/>
        <w:adjustRightInd w:val="0"/>
        <w:snapToGrid w:val="0"/>
        <w:spacing w:line="360" w:lineRule="auto"/>
        <w:rPr>
          <w:rFonts w:ascii="宋体" w:hAnsi="宋体" w:cs="宋体"/>
          <w:b/>
          <w:bCs/>
          <w:sz w:val="24"/>
          <w:highlight w:val="none"/>
          <w:lang w:val="zh-CN"/>
        </w:rPr>
      </w:pPr>
      <w:r>
        <w:rPr>
          <w:rFonts w:hint="eastAsia" w:ascii="宋体" w:hAnsi="宋体" w:cs="宋体"/>
          <w:b/>
          <w:bCs/>
          <w:sz w:val="24"/>
          <w:highlight w:val="none"/>
          <w:lang w:val="zh-CN"/>
        </w:rPr>
        <w:t>四、交货条件: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1、交货地点：</w:t>
      </w:r>
      <w:r>
        <w:rPr>
          <w:rFonts w:hint="eastAsia" w:ascii="宋体" w:hAnsi="宋体" w:cs="宋体"/>
          <w:sz w:val="24"/>
          <w:highlight w:val="none"/>
        </w:rPr>
        <w:t>采购人指定地点</w:t>
      </w:r>
      <w:r>
        <w:rPr>
          <w:rFonts w:hint="eastAsia" w:ascii="宋体" w:hAnsi="宋体" w:cs="宋体"/>
          <w:sz w:val="24"/>
          <w:highlight w:val="none"/>
          <w:lang w:val="zh-CN"/>
        </w:rPr>
        <w:t>。</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2、交货期：接到采购人供货通知后</w:t>
      </w:r>
      <w:r>
        <w:rPr>
          <w:rFonts w:hint="eastAsia" w:ascii="宋体" w:hAnsi="宋体" w:cs="宋体"/>
          <w:sz w:val="24"/>
          <w:highlight w:val="none"/>
          <w:u w:val="single"/>
        </w:rPr>
        <w:t xml:space="preserve">     </w:t>
      </w:r>
      <w:r>
        <w:rPr>
          <w:rFonts w:hint="eastAsia" w:ascii="宋体" w:hAnsi="宋体" w:cs="宋体"/>
          <w:sz w:val="24"/>
          <w:highlight w:val="none"/>
          <w:lang w:val="zh-CN"/>
        </w:rPr>
        <w:t>日历天。（*注：无法按时供货的，采购人有权单方面取消合同。）</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五、运输</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1、乙方负责所有货物的运输。确保货物安全、完整到达使用地点，运杂费用包含在总价内，包括货物从供货地点到使用地点的运输费、保险费、装卸费等。</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2、所有货物在运输、搬运的过程中，造成甲方损失的，由乙方为甲方修复或更新。</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六、质量保证</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1、乙方提供货物必须是原品牌制造厂制造适应本项目的最新工艺、生产的最新产品。</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2、所供货物必须是经过办理正常手续的全新产品。</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3、所供货物是经过国家法定检验、注册、准许市场销售的合法产品。</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4、货物性能稳定、具有较好的使用效果，质量保证措施完善，符合国家相关标准。</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5、货物的质保期为为井下使用12个月，质保期内出现的设备问题由承托方无偿解决，由于非正常使用因素造成的损坏除外，终身维护保养，质保期后，只收取成本费用。</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6、包装要求</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6-1、除合同另有规定外，乙方提供的全部货物，除非包装内容外（车辆主体），其余配件、备品应按标准保护措施进行包装，并确保货物安全无损运抵甲方指定地点。</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6-2、每一个包装箱内应附一份详细装箱单。</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7、乙方应保证甲方在使用该货物或其任何一部分时免受第三方提出侵犯其专利权·商标权或工业设计权的起诉。</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七、技术服务</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1、对技术服务的要求：</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2、技术资料：</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2-1、产品合格证及检验报告；</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2-2、产品使用说明书（中文）；</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2-3、商检合格证明；</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2-4、其它资料。</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3、技术培训：</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3-1、培训内容：</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3-2、培训地点：</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3-3、培训时间：</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3-4、培训人数：</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3-5、培训费用：受训人员的食宿费、资料费、培训场地费、耗材（包括水电费等）费等已包含在合同总价中，甲方不再另行支付。</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4、售后服务</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4-1、乙方在接到甲方保修电话故障通知后在</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小时内派出合格的维修人员到达现场进行维修服务，承担相应费用，若需将产品送回生产厂，乙方应提供备用机、承担维修设备所需的往返费用。</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4-2、如果乙方在收到通知后2天内没有弥补缺陷，甲方可采取必要的补救措施，但其风险和费用将由乙方承担，甲方根据合同规定对乙方行使的其它权力不受影响。甲方亦可从质保金中扣回索赔金额。</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5、伴随服务</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5-1、乙方应随同每套货物提供相应的中文的技术文件。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5-1-1、完整的操作使用手册和维护、修理技术文件，图纸、保修卡等。</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5-1-2、制造厂的检验、测试报告、设备检验合格证书，计量合格等级证书，质量保证书等文件须随设备装箱提供。</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5-1-3、必须的其它技术资料。</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5-2、伴随服务的费用已含在合同价中，不单独进行支付。</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八、验收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1、到货验收：货物到货后，由甲方与乙方共同进行外观验收，验收内容包括，货物的完好性，货物品牌、规格、数量及产地与合同要求的一致性。</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2、货物运行验收：乙方安装（如有）、调试合格后，向甲方提出验收申请，甲方接到乙方验收申请后组织验收（必要时可聘请相应专家或委托相应部门验收），验收合格后，出具使用验收合格证明。</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3、最终验收：最终验收结果作为付款依据，乙方填写验收单，并向甲方提交实施过程中的所有资料，以便甲方日后管理和维护。</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4、质保期满后：由乙方出具质保期运行质量报告，作为质保金支付依据，若存在质量问题，应按相应规定协商处理。</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5、验收依据：</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5-1、合同文本、合同附件、招标文件、投标文件。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5-2、国内相应的标准、规范。</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九、违约责任</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1、按《中华人民共和国民法典》中的相关条款执行。</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2、乙方履约延误</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2-1、如乙方事先未征得甲方同意并得到甲方的谅解而单方面延迟交货，将按违约终止合同。</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w:t>
      </w:r>
      <w:r>
        <w:rPr>
          <w:rFonts w:hint="eastAsia" w:ascii="宋体" w:hAnsi="宋体" w:cs="宋体"/>
          <w:kern w:val="0"/>
          <w:sz w:val="24"/>
          <w:highlight w:val="none"/>
        </w:rPr>
        <w:t>乙方未按甲方通知的时间交货，每迟延7天乙方按逾期部分合同款额的3‰向甲方支付违约金；若乙方因自身原因逾期完工，每迟延7日乙方按逾期部分合同款额的3‰向甲方支付违约金；工期延误20天以上，甲方有权单方解除本合同，乙方仍须向甲方支付逾期交货违约金。上述违约金不能弥补甲方损失的，乙方应负责补足。</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3、违约终止合同：乙方未按合同要求提供货物或质量不能满足技术要求，甲方会同监督机构有权终止合同，对乙方违约行为进行追究，同时按政府采购法的有关规定进行相应的处罚。</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十、合同组成</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1、中标通知书</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2、合同文件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3、国家相关规范及标准</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4、供货设备技术规格及参数表</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5、招标文件</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6、投标文件</w:t>
      </w:r>
    </w:p>
    <w:p>
      <w:pPr>
        <w:autoSpaceDE w:val="0"/>
        <w:autoSpaceDN w:val="0"/>
        <w:adjustRightInd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十一、合同生效及其它</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1、合同未尽事宜、由甲、乙双方协商，作为合同补充，与原合同具有同等法律效力。</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 本合同正本一式  份，甲方、乙方双方分别执  份，备案  份。</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3、合同经甲乙双方盖章、签字后生效，合同签订地点为   。</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4、生效时间：   年  月  日</w:t>
      </w:r>
    </w:p>
    <w:p>
      <w:pPr>
        <w:autoSpaceDE w:val="0"/>
        <w:autoSpaceDN w:val="0"/>
        <w:adjustRightInd w:val="0"/>
        <w:snapToGrid w:val="0"/>
        <w:spacing w:line="360" w:lineRule="auto"/>
        <w:ind w:firstLine="480" w:firstLineChars="200"/>
        <w:rPr>
          <w:rFonts w:ascii="宋体" w:hAnsi="宋体" w:cs="宋体"/>
          <w:sz w:val="24"/>
          <w:highlight w:val="none"/>
          <w:lang w:val="zh-CN"/>
        </w:rPr>
      </w:pPr>
    </w:p>
    <w:p>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甲方名称（盖章）:</w:t>
      </w:r>
      <w:r>
        <w:rPr>
          <w:rFonts w:hint="eastAsia" w:ascii="宋体" w:hAnsi="宋体" w:cs="宋体"/>
          <w:sz w:val="24"/>
          <w:highlight w:val="none"/>
        </w:rPr>
        <w:t xml:space="preserve">                               </w:t>
      </w:r>
      <w:r>
        <w:rPr>
          <w:rFonts w:hint="eastAsia" w:ascii="宋体" w:hAnsi="宋体" w:cs="宋体"/>
          <w:sz w:val="24"/>
          <w:highlight w:val="none"/>
          <w:lang w:val="zh-CN"/>
        </w:rPr>
        <w:t>乙方名称（盖章）:</w:t>
      </w:r>
    </w:p>
    <w:p>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地址：</w:t>
      </w:r>
      <w:r>
        <w:rPr>
          <w:rFonts w:hint="eastAsia" w:ascii="宋体" w:hAnsi="宋体" w:cs="宋体"/>
          <w:sz w:val="24"/>
          <w:highlight w:val="none"/>
        </w:rPr>
        <w:t xml:space="preserve">                                         </w:t>
      </w:r>
      <w:r>
        <w:rPr>
          <w:rFonts w:hint="eastAsia" w:ascii="宋体" w:hAnsi="宋体" w:cs="宋体"/>
          <w:sz w:val="24"/>
          <w:highlight w:val="none"/>
          <w:lang w:val="zh-CN"/>
        </w:rPr>
        <w:tab/>
      </w:r>
      <w:r>
        <w:rPr>
          <w:rFonts w:hint="eastAsia" w:ascii="宋体" w:hAnsi="宋体" w:cs="宋体"/>
          <w:sz w:val="24"/>
          <w:highlight w:val="none"/>
          <w:lang w:val="zh-CN"/>
        </w:rPr>
        <w:t>地址：</w:t>
      </w:r>
    </w:p>
    <w:p>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代表人（签字）：</w:t>
      </w:r>
      <w:r>
        <w:rPr>
          <w:rFonts w:hint="eastAsia" w:ascii="宋体" w:hAnsi="宋体" w:cs="宋体"/>
          <w:sz w:val="24"/>
          <w:highlight w:val="none"/>
        </w:rPr>
        <w:t xml:space="preserve">                                  </w:t>
      </w:r>
      <w:r>
        <w:rPr>
          <w:rFonts w:hint="eastAsia" w:ascii="宋体" w:hAnsi="宋体" w:cs="宋体"/>
          <w:sz w:val="24"/>
          <w:highlight w:val="none"/>
          <w:lang w:val="zh-CN"/>
        </w:rPr>
        <w:t>代表人（签字）：</w:t>
      </w:r>
    </w:p>
    <w:p>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电话：</w:t>
      </w:r>
      <w:r>
        <w:rPr>
          <w:rFonts w:hint="eastAsia" w:ascii="宋体" w:hAnsi="宋体" w:cs="宋体"/>
          <w:sz w:val="24"/>
          <w:highlight w:val="none"/>
        </w:rPr>
        <w:t xml:space="preserve">                                           </w:t>
      </w:r>
      <w:r>
        <w:rPr>
          <w:rFonts w:hint="eastAsia" w:ascii="宋体" w:hAnsi="宋体" w:cs="宋体"/>
          <w:sz w:val="24"/>
          <w:highlight w:val="none"/>
          <w:lang w:val="zh-CN"/>
        </w:rPr>
        <w:t>电话：</w:t>
      </w:r>
    </w:p>
    <w:p>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开户银行：</w:t>
      </w:r>
      <w:r>
        <w:rPr>
          <w:rFonts w:hint="eastAsia" w:ascii="宋体" w:hAnsi="宋体" w:cs="宋体"/>
          <w:sz w:val="24"/>
          <w:highlight w:val="none"/>
        </w:rPr>
        <w:t xml:space="preserve">                                       </w:t>
      </w:r>
      <w:r>
        <w:rPr>
          <w:rFonts w:hint="eastAsia" w:ascii="宋体" w:hAnsi="宋体" w:cs="宋体"/>
          <w:sz w:val="24"/>
          <w:highlight w:val="none"/>
          <w:lang w:val="zh-CN"/>
        </w:rPr>
        <w:t>开户银行：</w:t>
      </w:r>
    </w:p>
    <w:p>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帐号：</w:t>
      </w:r>
      <w:r>
        <w:rPr>
          <w:rFonts w:hint="eastAsia" w:ascii="宋体" w:hAnsi="宋体" w:cs="宋体"/>
          <w:sz w:val="24"/>
          <w:highlight w:val="none"/>
        </w:rPr>
        <w:t xml:space="preserve">                                           </w:t>
      </w:r>
      <w:r>
        <w:rPr>
          <w:rFonts w:hint="eastAsia" w:ascii="宋体" w:hAnsi="宋体" w:cs="宋体"/>
          <w:sz w:val="24"/>
          <w:highlight w:val="none"/>
          <w:lang w:val="zh-CN"/>
        </w:rPr>
        <w:t>帐号：</w:t>
      </w:r>
    </w:p>
    <w:p>
      <w:pPr>
        <w:pStyle w:val="15"/>
        <w:spacing w:line="500" w:lineRule="exact"/>
        <w:jc w:val="both"/>
        <w:rPr>
          <w:rFonts w:ascii="宋体" w:hAnsi="宋体" w:eastAsia="宋体" w:cs="宋体"/>
          <w:b/>
          <w:kern w:val="2"/>
          <w:sz w:val="28"/>
          <w:szCs w:val="28"/>
          <w:highlight w:val="none"/>
        </w:rPr>
      </w:pPr>
      <w:r>
        <w:rPr>
          <w:rFonts w:hint="eastAsia" w:ascii="宋体" w:hAnsi="宋体" w:eastAsia="宋体" w:cs="宋体"/>
          <w:b/>
          <w:sz w:val="28"/>
          <w:szCs w:val="28"/>
          <w:highlight w:val="none"/>
        </w:rPr>
        <w:t>五、</w:t>
      </w:r>
      <w:r>
        <w:rPr>
          <w:rFonts w:hint="eastAsia" w:ascii="宋体" w:hAnsi="宋体" w:eastAsia="宋体" w:cs="宋体"/>
          <w:b/>
          <w:kern w:val="2"/>
          <w:sz w:val="28"/>
          <w:szCs w:val="28"/>
          <w:highlight w:val="none"/>
        </w:rPr>
        <w:t>对供应商的要求</w:t>
      </w:r>
    </w:p>
    <w:p>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(府谷能源投资集团郭家湾矿业有限公司资源整合项目选煤厂第一批设备采购)特定资格要求如下:</w:t>
      </w:r>
    </w:p>
    <w:p>
      <w:pPr>
        <w:tabs>
          <w:tab w:val="left" w:pos="777"/>
        </w:tabs>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具体要求详见采购公告。</w:t>
      </w:r>
    </w:p>
    <w:p>
      <w:pPr>
        <w:tabs>
          <w:tab w:val="left" w:pos="777"/>
        </w:tabs>
        <w:ind w:firstLine="560"/>
        <w:jc w:val="left"/>
        <w:rPr>
          <w:rFonts w:ascii="宋体" w:hAnsi="宋体" w:eastAsia="宋体" w:cs="宋体"/>
          <w:b/>
          <w:sz w:val="28"/>
          <w:szCs w:val="28"/>
          <w:highlight w:val="none"/>
        </w:rPr>
      </w:pPr>
      <w:r>
        <w:rPr>
          <w:rFonts w:hint="eastAsia" w:ascii="宋体" w:hAnsi="宋体" w:eastAsia="宋体" w:cs="宋体"/>
          <w:b/>
          <w:sz w:val="28"/>
          <w:szCs w:val="28"/>
          <w:highlight w:val="none"/>
        </w:rPr>
        <w:t>六、采购人相关信息</w:t>
      </w:r>
    </w:p>
    <w:p>
      <w:pPr>
        <w:tabs>
          <w:tab w:val="left" w:pos="777"/>
        </w:tabs>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1.采购单位：府谷能源投资集团有限公司  </w:t>
      </w:r>
    </w:p>
    <w:p>
      <w:pPr>
        <w:tabs>
          <w:tab w:val="left" w:pos="777"/>
        </w:tabs>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2.采购单位地址：陕西省榆林市府谷县新区营盘路</w:t>
      </w:r>
    </w:p>
    <w:p>
      <w:pPr>
        <w:tabs>
          <w:tab w:val="left" w:pos="777"/>
        </w:tabs>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3.项目联系人：柴总  联系电话：13409143512</w:t>
      </w:r>
    </w:p>
    <w:p>
      <w:pPr>
        <w:tabs>
          <w:tab w:val="left" w:pos="777"/>
        </w:tabs>
        <w:ind w:firstLine="560"/>
        <w:jc w:val="right"/>
        <w:rPr>
          <w:rFonts w:ascii="宋体" w:hAnsi="宋体" w:eastAsia="宋体" w:cs="宋体"/>
          <w:sz w:val="28"/>
          <w:szCs w:val="28"/>
          <w:highlight w:val="none"/>
        </w:rPr>
      </w:pPr>
      <w:r>
        <w:rPr>
          <w:rFonts w:hint="eastAsia" w:ascii="宋体" w:hAnsi="宋体" w:eastAsia="宋体" w:cs="宋体"/>
          <w:sz w:val="28"/>
          <w:szCs w:val="28"/>
          <w:highlight w:val="none"/>
        </w:rPr>
        <w:t xml:space="preserve"> 府谷能源投资集团有限公司</w:t>
      </w:r>
    </w:p>
    <w:p>
      <w:pPr>
        <w:pStyle w:val="5"/>
        <w:jc w:val="center"/>
        <w:rPr>
          <w:rFonts w:ascii="宋体" w:hAnsi="宋体" w:eastAsia="宋体" w:cs="宋体"/>
          <w:highlight w:val="none"/>
        </w:rPr>
      </w:pPr>
      <w:r>
        <w:rPr>
          <w:sz w:val="28"/>
          <w:szCs w:val="36"/>
          <w:highlight w:val="none"/>
        </w:rPr>
        <w:t xml:space="preserve">                                 </w:t>
      </w:r>
      <w:r>
        <w:rPr>
          <w:rFonts w:hint="eastAsia"/>
          <w:sz w:val="28"/>
          <w:szCs w:val="36"/>
          <w:highlight w:val="none"/>
        </w:rPr>
        <w:t>2023年</w:t>
      </w:r>
      <w:r>
        <w:rPr>
          <w:rFonts w:hint="eastAsia"/>
          <w:sz w:val="28"/>
          <w:szCs w:val="36"/>
          <w:highlight w:val="none"/>
          <w:lang w:val="en-US" w:eastAsia="zh-CN"/>
        </w:rPr>
        <w:t>8</w:t>
      </w:r>
      <w:r>
        <w:rPr>
          <w:rFonts w:hint="eastAsia"/>
          <w:sz w:val="28"/>
          <w:szCs w:val="36"/>
          <w:highlight w:val="none"/>
        </w:rPr>
        <w:t>月</w:t>
      </w:r>
      <w:r>
        <w:rPr>
          <w:rFonts w:hint="eastAsia"/>
          <w:sz w:val="28"/>
          <w:szCs w:val="36"/>
          <w:highlight w:val="none"/>
          <w:lang w:val="en-US" w:eastAsia="zh-CN"/>
        </w:rPr>
        <w:t>8</w:t>
      </w:r>
      <w:r>
        <w:rPr>
          <w:rFonts w:hint="eastAsia"/>
          <w:sz w:val="28"/>
          <w:szCs w:val="36"/>
          <w:highlight w:val="none"/>
        </w:rPr>
        <w:t>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F6629"/>
    <w:multiLevelType w:val="singleLevel"/>
    <w:tmpl w:val="B71F6629"/>
    <w:lvl w:ilvl="0" w:tentative="0">
      <w:start w:val="1"/>
      <w:numFmt w:val="decimal"/>
      <w:suff w:val="nothing"/>
      <w:lvlText w:val="%1、"/>
      <w:lvlJc w:val="left"/>
    </w:lvl>
  </w:abstractNum>
  <w:abstractNum w:abstractNumId="1">
    <w:nsid w:val="3689355C"/>
    <w:multiLevelType w:val="singleLevel"/>
    <w:tmpl w:val="3689355C"/>
    <w:lvl w:ilvl="0" w:tentative="0">
      <w:start w:val="4"/>
      <w:numFmt w:val="chineseCounting"/>
      <w:suff w:val="nothing"/>
      <w:lvlText w:val="%1、"/>
      <w:lvlJc w:val="left"/>
      <w:rPr>
        <w:rFonts w:hint="eastAsia"/>
      </w:rPr>
    </w:lvl>
  </w:abstractNum>
  <w:abstractNum w:abstractNumId="2">
    <w:nsid w:val="73F70458"/>
    <w:multiLevelType w:val="singleLevel"/>
    <w:tmpl w:val="73F7045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TgyOTU1ZmFmZjEzNzgyMWZlNDZlOWU3YzQwNzcifQ=="/>
  </w:docVars>
  <w:rsids>
    <w:rsidRoot w:val="0074475A"/>
    <w:rsid w:val="0021485C"/>
    <w:rsid w:val="00333A2A"/>
    <w:rsid w:val="0050467D"/>
    <w:rsid w:val="006E05BE"/>
    <w:rsid w:val="0074475A"/>
    <w:rsid w:val="0082195B"/>
    <w:rsid w:val="00823252"/>
    <w:rsid w:val="00872FFD"/>
    <w:rsid w:val="00AD10E6"/>
    <w:rsid w:val="01D84888"/>
    <w:rsid w:val="02912692"/>
    <w:rsid w:val="03563CB7"/>
    <w:rsid w:val="03585AD2"/>
    <w:rsid w:val="037979A5"/>
    <w:rsid w:val="046C750A"/>
    <w:rsid w:val="04B74C29"/>
    <w:rsid w:val="051A6F66"/>
    <w:rsid w:val="055F2BCB"/>
    <w:rsid w:val="05A131E3"/>
    <w:rsid w:val="05F23A3F"/>
    <w:rsid w:val="06B93D84"/>
    <w:rsid w:val="09BC683E"/>
    <w:rsid w:val="0A8F5D00"/>
    <w:rsid w:val="0B837613"/>
    <w:rsid w:val="0E2350DD"/>
    <w:rsid w:val="0E927B6D"/>
    <w:rsid w:val="0EE33F01"/>
    <w:rsid w:val="0F1B7B63"/>
    <w:rsid w:val="0F360E40"/>
    <w:rsid w:val="112C42A9"/>
    <w:rsid w:val="12B04A66"/>
    <w:rsid w:val="13405DEA"/>
    <w:rsid w:val="13CF6A95"/>
    <w:rsid w:val="13F37300"/>
    <w:rsid w:val="15DA0777"/>
    <w:rsid w:val="16EF2672"/>
    <w:rsid w:val="17382A37"/>
    <w:rsid w:val="17471E3D"/>
    <w:rsid w:val="175B1444"/>
    <w:rsid w:val="1A305C02"/>
    <w:rsid w:val="1B177D78"/>
    <w:rsid w:val="1BBB6955"/>
    <w:rsid w:val="1BD01CD5"/>
    <w:rsid w:val="1BE55780"/>
    <w:rsid w:val="1BF74D53"/>
    <w:rsid w:val="1C163B8C"/>
    <w:rsid w:val="1D0A37C7"/>
    <w:rsid w:val="1DE81558"/>
    <w:rsid w:val="1F25601E"/>
    <w:rsid w:val="20436F19"/>
    <w:rsid w:val="20D9162C"/>
    <w:rsid w:val="21983295"/>
    <w:rsid w:val="23C640E9"/>
    <w:rsid w:val="23E339AD"/>
    <w:rsid w:val="24D82326"/>
    <w:rsid w:val="26393298"/>
    <w:rsid w:val="27363334"/>
    <w:rsid w:val="279544FE"/>
    <w:rsid w:val="27A97FAA"/>
    <w:rsid w:val="27EB2370"/>
    <w:rsid w:val="287560DE"/>
    <w:rsid w:val="29B9024C"/>
    <w:rsid w:val="2AFC349E"/>
    <w:rsid w:val="2C9E20A7"/>
    <w:rsid w:val="2DD01B07"/>
    <w:rsid w:val="2ED578D6"/>
    <w:rsid w:val="2EFA4C19"/>
    <w:rsid w:val="2F68074A"/>
    <w:rsid w:val="302E54F0"/>
    <w:rsid w:val="30C6397A"/>
    <w:rsid w:val="30FD3114"/>
    <w:rsid w:val="317653A0"/>
    <w:rsid w:val="34367069"/>
    <w:rsid w:val="34DD5737"/>
    <w:rsid w:val="34F605A6"/>
    <w:rsid w:val="35093AFE"/>
    <w:rsid w:val="357C4F4F"/>
    <w:rsid w:val="35F965A0"/>
    <w:rsid w:val="36E44B5A"/>
    <w:rsid w:val="36F54FB9"/>
    <w:rsid w:val="37250D26"/>
    <w:rsid w:val="37C36E66"/>
    <w:rsid w:val="3885236D"/>
    <w:rsid w:val="388D4D7E"/>
    <w:rsid w:val="39A71E6F"/>
    <w:rsid w:val="3A6C61E0"/>
    <w:rsid w:val="3AFD443D"/>
    <w:rsid w:val="3B1F0857"/>
    <w:rsid w:val="3B567FF1"/>
    <w:rsid w:val="3BB865B6"/>
    <w:rsid w:val="3D141F11"/>
    <w:rsid w:val="3D193920"/>
    <w:rsid w:val="3D2263DC"/>
    <w:rsid w:val="3E630A5B"/>
    <w:rsid w:val="3E8310FD"/>
    <w:rsid w:val="3EC86B10"/>
    <w:rsid w:val="3F4F5483"/>
    <w:rsid w:val="3FB3156E"/>
    <w:rsid w:val="40A35A86"/>
    <w:rsid w:val="40E13EB9"/>
    <w:rsid w:val="426E3E72"/>
    <w:rsid w:val="428B0580"/>
    <w:rsid w:val="42F56341"/>
    <w:rsid w:val="434E7994"/>
    <w:rsid w:val="438020AF"/>
    <w:rsid w:val="43BC170B"/>
    <w:rsid w:val="43C875B2"/>
    <w:rsid w:val="44B87626"/>
    <w:rsid w:val="44DE5C1D"/>
    <w:rsid w:val="453D5029"/>
    <w:rsid w:val="45C36283"/>
    <w:rsid w:val="45F8417E"/>
    <w:rsid w:val="46362EF9"/>
    <w:rsid w:val="463C4B8F"/>
    <w:rsid w:val="46470C62"/>
    <w:rsid w:val="46BF0292"/>
    <w:rsid w:val="47C3256A"/>
    <w:rsid w:val="47DF019E"/>
    <w:rsid w:val="47F72214"/>
    <w:rsid w:val="482E032B"/>
    <w:rsid w:val="48BA1BBF"/>
    <w:rsid w:val="48BF5427"/>
    <w:rsid w:val="49153299"/>
    <w:rsid w:val="49155047"/>
    <w:rsid w:val="49C34AA3"/>
    <w:rsid w:val="49C71454"/>
    <w:rsid w:val="4AC97E97"/>
    <w:rsid w:val="4BB52B12"/>
    <w:rsid w:val="4C303F46"/>
    <w:rsid w:val="4C891827"/>
    <w:rsid w:val="4CC34DBA"/>
    <w:rsid w:val="4CC76658"/>
    <w:rsid w:val="4E086E6A"/>
    <w:rsid w:val="4E9D1D67"/>
    <w:rsid w:val="4E9F1227"/>
    <w:rsid w:val="4EDB2374"/>
    <w:rsid w:val="4EEF633A"/>
    <w:rsid w:val="4F4F0B87"/>
    <w:rsid w:val="4F594071"/>
    <w:rsid w:val="50852AB2"/>
    <w:rsid w:val="51E657D3"/>
    <w:rsid w:val="51F003FF"/>
    <w:rsid w:val="52592449"/>
    <w:rsid w:val="53253ACD"/>
    <w:rsid w:val="53D37FD9"/>
    <w:rsid w:val="540E1011"/>
    <w:rsid w:val="54843081"/>
    <w:rsid w:val="54F00716"/>
    <w:rsid w:val="5528196E"/>
    <w:rsid w:val="55620242"/>
    <w:rsid w:val="568B2843"/>
    <w:rsid w:val="579B6102"/>
    <w:rsid w:val="57A557E8"/>
    <w:rsid w:val="57A71560"/>
    <w:rsid w:val="57C33EC0"/>
    <w:rsid w:val="583354EA"/>
    <w:rsid w:val="58466FCB"/>
    <w:rsid w:val="59723DF0"/>
    <w:rsid w:val="59EC5950"/>
    <w:rsid w:val="59EF5441"/>
    <w:rsid w:val="5A7140A7"/>
    <w:rsid w:val="5BCE56DB"/>
    <w:rsid w:val="5C0A47B4"/>
    <w:rsid w:val="5C6043D4"/>
    <w:rsid w:val="5E78755C"/>
    <w:rsid w:val="5E7A5C21"/>
    <w:rsid w:val="5F096FA4"/>
    <w:rsid w:val="5F97010C"/>
    <w:rsid w:val="601C6864"/>
    <w:rsid w:val="60365B77"/>
    <w:rsid w:val="6042451C"/>
    <w:rsid w:val="60455DBA"/>
    <w:rsid w:val="60773A12"/>
    <w:rsid w:val="60BD3BA3"/>
    <w:rsid w:val="614900BB"/>
    <w:rsid w:val="630E6937"/>
    <w:rsid w:val="634215BB"/>
    <w:rsid w:val="669C06FE"/>
    <w:rsid w:val="66AF21DF"/>
    <w:rsid w:val="67852F40"/>
    <w:rsid w:val="67C47CB8"/>
    <w:rsid w:val="68012F0F"/>
    <w:rsid w:val="692D388F"/>
    <w:rsid w:val="69AF24F6"/>
    <w:rsid w:val="6A275166"/>
    <w:rsid w:val="6BD46244"/>
    <w:rsid w:val="6C3A079D"/>
    <w:rsid w:val="6C4C474A"/>
    <w:rsid w:val="6D325918"/>
    <w:rsid w:val="6D441F31"/>
    <w:rsid w:val="6D45564C"/>
    <w:rsid w:val="6D592EA5"/>
    <w:rsid w:val="6F213E96"/>
    <w:rsid w:val="6FAE7C34"/>
    <w:rsid w:val="70765B1C"/>
    <w:rsid w:val="713C6D66"/>
    <w:rsid w:val="71A212BE"/>
    <w:rsid w:val="726E73F3"/>
    <w:rsid w:val="727662A7"/>
    <w:rsid w:val="72AE3C93"/>
    <w:rsid w:val="73702CF6"/>
    <w:rsid w:val="73F90F3E"/>
    <w:rsid w:val="74F02341"/>
    <w:rsid w:val="755D5E43"/>
    <w:rsid w:val="75954103"/>
    <w:rsid w:val="76A01B45"/>
    <w:rsid w:val="76C353CA"/>
    <w:rsid w:val="76F37EC6"/>
    <w:rsid w:val="76FB6D7B"/>
    <w:rsid w:val="772B3B04"/>
    <w:rsid w:val="77860D3A"/>
    <w:rsid w:val="78146346"/>
    <w:rsid w:val="78483986"/>
    <w:rsid w:val="78CE0BEB"/>
    <w:rsid w:val="78D855C6"/>
    <w:rsid w:val="79743F6F"/>
    <w:rsid w:val="7A287E87"/>
    <w:rsid w:val="7A302F01"/>
    <w:rsid w:val="7A41363F"/>
    <w:rsid w:val="7A611EC9"/>
    <w:rsid w:val="7AAD65DE"/>
    <w:rsid w:val="7AC8166A"/>
    <w:rsid w:val="7AF1296F"/>
    <w:rsid w:val="7BA94FF8"/>
    <w:rsid w:val="7EB40DB1"/>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9"/>
    <w:pPr>
      <w:keepNext/>
      <w:keepLines/>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outlineLvl w:val="1"/>
    </w:pPr>
    <w:rPr>
      <w:rFonts w:ascii="Calibri" w:hAnsi="Calibri"/>
      <w:b/>
      <w:bCs/>
      <w:kern w:val="0"/>
      <w:sz w:val="32"/>
      <w:szCs w:val="32"/>
    </w:rPr>
  </w:style>
  <w:style w:type="paragraph" w:styleId="7">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unhideWhenUsed/>
    <w:qFormat/>
    <w:uiPriority w:val="99"/>
    <w:pPr>
      <w:ind w:firstLine="420"/>
    </w:pPr>
  </w:style>
  <w:style w:type="paragraph" w:styleId="6">
    <w:name w:val="toc 4"/>
    <w:basedOn w:val="1"/>
    <w:next w:val="1"/>
    <w:qFormat/>
    <w:uiPriority w:val="39"/>
    <w:pPr>
      <w:ind w:left="630"/>
      <w:jc w:val="left"/>
    </w:pPr>
    <w:rPr>
      <w:sz w:val="18"/>
    </w:rPr>
  </w:style>
  <w:style w:type="paragraph" w:styleId="8">
    <w:name w:val="Body Text"/>
    <w:basedOn w:val="1"/>
    <w:next w:val="1"/>
    <w:qFormat/>
    <w:uiPriority w:val="0"/>
    <w:pPr>
      <w:spacing w:afterLines="50" w:line="360" w:lineRule="auto"/>
    </w:pPr>
    <w:rPr>
      <w:rFonts w:ascii="宋体" w:hAnsi="宋体"/>
      <w:color w:val="000000"/>
      <w:sz w:val="24"/>
    </w:rPr>
  </w:style>
  <w:style w:type="paragraph" w:styleId="9">
    <w:name w:val="Body Text Indent"/>
    <w:basedOn w:val="1"/>
    <w:next w:val="8"/>
    <w:qFormat/>
    <w:uiPriority w:val="0"/>
    <w:pPr>
      <w:ind w:left="1083" w:leftChars="30" w:hanging="1020" w:hangingChars="425"/>
    </w:pPr>
    <w:rPr>
      <w:rFonts w:ascii="宋体" w:hAnsi="宋体"/>
      <w:sz w:val="24"/>
    </w:rPr>
  </w:style>
  <w:style w:type="paragraph" w:styleId="10">
    <w:name w:val="Plain Text"/>
    <w:basedOn w:val="1"/>
    <w:next w:val="1"/>
    <w:qFormat/>
    <w:uiPriority w:val="0"/>
    <w:rPr>
      <w:rFonts w:ascii="宋体" w:hAnsi="Courier New"/>
      <w:sz w:val="24"/>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14">
    <w:name w:val="Body Text 2"/>
    <w:basedOn w:val="1"/>
    <w:qFormat/>
    <w:uiPriority w:val="0"/>
    <w:pPr>
      <w:spacing w:line="360" w:lineRule="auto"/>
    </w:pPr>
    <w:rPr>
      <w:rFonts w:ascii="幼圆" w:eastAsia="幼圆"/>
      <w:sz w:val="24"/>
      <w:u w:val="single"/>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next w:val="11"/>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8"/>
    <w:next w:val="13"/>
    <w:qFormat/>
    <w:uiPriority w:val="0"/>
    <w:pPr>
      <w:adjustRightInd w:val="0"/>
      <w:ind w:firstLine="420"/>
      <w:jc w:val="left"/>
      <w:textAlignment w:val="baseline"/>
    </w:pPr>
    <w:rPr>
      <w:kern w:val="0"/>
      <w:sz w:val="21"/>
    </w:rPr>
  </w:style>
  <w:style w:type="paragraph" w:styleId="18">
    <w:name w:val="Body Text First Indent 2"/>
    <w:basedOn w:val="9"/>
    <w:next w:val="17"/>
    <w:unhideWhenUsed/>
    <w:qFormat/>
    <w:uiPriority w:val="99"/>
    <w:pPr>
      <w:ind w:firstLine="420" w:firstLineChars="200"/>
    </w:pPr>
  </w:style>
  <w:style w:type="character" w:styleId="21">
    <w:name w:val="page number"/>
    <w:qFormat/>
    <w:uiPriority w:val="0"/>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font101"/>
    <w:basedOn w:val="20"/>
    <w:qFormat/>
    <w:uiPriority w:val="0"/>
    <w:rPr>
      <w:rFonts w:hint="default" w:ascii="Times New Roman" w:hAnsi="Times New Roman" w:cs="Times New Roman"/>
      <w:color w:val="000000"/>
      <w:sz w:val="22"/>
      <w:szCs w:val="22"/>
      <w:u w:val="none"/>
    </w:rPr>
  </w:style>
  <w:style w:type="character" w:customStyle="1" w:styleId="24">
    <w:name w:val="font81"/>
    <w:basedOn w:val="20"/>
    <w:qFormat/>
    <w:uiPriority w:val="0"/>
    <w:rPr>
      <w:rFonts w:hint="eastAsia" w:ascii="宋体" w:hAnsi="宋体" w:eastAsia="宋体" w:cs="宋体"/>
      <w:color w:val="000000"/>
      <w:sz w:val="22"/>
      <w:szCs w:val="22"/>
      <w:u w:val="none"/>
    </w:rPr>
  </w:style>
  <w:style w:type="character" w:customStyle="1" w:styleId="25">
    <w:name w:val="标题 1 字符"/>
    <w:link w:val="3"/>
    <w:qFormat/>
    <w:uiPriority w:val="9"/>
    <w:rPr>
      <w:rFonts w:ascii="Times New Roman" w:hAnsi="Times New Roman" w:eastAsia="宋体"/>
      <w:b/>
      <w:bCs/>
      <w:kern w:val="44"/>
      <w:sz w:val="36"/>
      <w:szCs w:val="44"/>
    </w:rPr>
  </w:style>
  <w:style w:type="paragraph" w:customStyle="1" w:styleId="26">
    <w:name w:val="正文（缩进 2 字符）"/>
    <w:basedOn w:val="1"/>
    <w:qFormat/>
    <w:uiPriority w:val="0"/>
    <w:pPr>
      <w:ind w:firstLine="200" w:firstLineChars="200"/>
    </w:pPr>
  </w:style>
  <w:style w:type="character" w:customStyle="1" w:styleId="27">
    <w:name w:val="cf01"/>
    <w:basedOn w:val="20"/>
    <w:qFormat/>
    <w:uiPriority w:val="0"/>
    <w:rPr>
      <w:rFonts w:hint="eastAsia" w:ascii="Microsoft YaHei UI" w:hAnsi="Microsoft YaHei UI" w:eastAsia="Microsoft YaHei UI"/>
      <w:sz w:val="18"/>
      <w:szCs w:val="18"/>
    </w:rPr>
  </w:style>
  <w:style w:type="paragraph" w:customStyle="1" w:styleId="28">
    <w:name w:val="表格文字"/>
    <w:basedOn w:val="1"/>
    <w:next w:val="8"/>
    <w:qFormat/>
    <w:uiPriority w:val="0"/>
    <w:pPr>
      <w:spacing w:before="25" w:after="25"/>
      <w:jc w:val="left"/>
    </w:pPr>
    <w:rPr>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7162</Words>
  <Characters>7894</Characters>
  <Lines>66</Lines>
  <Paragraphs>18</Paragraphs>
  <TotalTime>0</TotalTime>
  <ScaleCrop>false</ScaleCrop>
  <LinksUpToDate>false</LinksUpToDate>
  <CharactersWithSpaces>8639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灭蚊拍</cp:lastModifiedBy>
  <dcterms:modified xsi:type="dcterms:W3CDTF">2023-08-08T10:04:37Z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2654442B5EB64B85A5268E45752A8F60_13</vt:lpwstr>
  </property>
</Properties>
</file>