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府谷县园地、林地、草地、定级和基准地价制定工作需求文件</w:t>
      </w:r>
    </w:p>
    <w:p>
      <w:pPr>
        <w:pStyle w:val="11"/>
      </w:pPr>
    </w:p>
    <w:p>
      <w:pPr>
        <w:ind w:firstLine="643" w:firstLineChars="200"/>
        <w:rPr>
          <w:rFonts w:ascii="黑体" w:hAnsi="黑体" w:eastAsia="黑体" w:cs="黑体"/>
          <w:sz w:val="32"/>
          <w:szCs w:val="32"/>
        </w:rPr>
      </w:pPr>
      <w:r>
        <w:rPr>
          <w:rFonts w:hint="eastAsia" w:ascii="仿宋" w:hAnsi="仿宋" w:eastAsia="仿宋" w:cs="仿宋"/>
          <w:b/>
          <w:bCs/>
          <w:sz w:val="32"/>
          <w:szCs w:val="32"/>
        </w:rPr>
        <w:t>一、采购项目名称</w:t>
      </w:r>
      <w:r>
        <w:rPr>
          <w:rFonts w:hint="eastAsia" w:ascii="黑体" w:hAnsi="黑体" w:eastAsia="黑体" w:cs="黑体"/>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府谷县园地、林地、草地、定级和基准地价制定工作</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二、采购项目预算、资金构成和采购方式：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1、采购项目预算：</w:t>
      </w:r>
      <w:r>
        <w:rPr>
          <w:rFonts w:hint="eastAsia" w:ascii="仿宋_GB2312" w:hAnsi="仿宋_GB2312" w:eastAsia="仿宋_GB2312" w:cs="仿宋_GB2312"/>
          <w:sz w:val="32"/>
          <w:szCs w:val="32"/>
          <w:lang w:val="en-US" w:eastAsia="zh-CN"/>
        </w:rPr>
        <w:t>1432246.00</w:t>
      </w:r>
      <w:r>
        <w:rPr>
          <w:rFonts w:hint="eastAsia" w:ascii="仿宋_GB2312" w:hAnsi="仿宋_GB2312" w:eastAsia="仿宋_GB2312" w:cs="仿宋_GB2312"/>
          <w:sz w:val="32"/>
          <w:szCs w:val="32"/>
        </w:rPr>
        <w:t>元</w:t>
      </w:r>
    </w:p>
    <w:p>
      <w:pPr>
        <w:pStyle w:val="1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2、最高限价：</w:t>
      </w:r>
      <w:r>
        <w:rPr>
          <w:rFonts w:hint="eastAsia" w:ascii="仿宋_GB2312" w:hAnsi="仿宋_GB2312" w:eastAsia="仿宋_GB2312" w:cs="仿宋_GB2312"/>
          <w:sz w:val="32"/>
          <w:szCs w:val="32"/>
          <w:lang w:val="en-US" w:eastAsia="zh-CN"/>
        </w:rPr>
        <w:t>1432246.00</w:t>
      </w:r>
      <w:r>
        <w:rPr>
          <w:rFonts w:hint="eastAsia" w:ascii="仿宋_GB2312" w:hAnsi="仿宋_GB2312" w:eastAsia="仿宋_GB2312" w:cs="仿宋_GB2312"/>
          <w:sz w:val="32"/>
          <w:szCs w:val="32"/>
        </w:rPr>
        <w:t>元</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3、资金来源：</w:t>
      </w:r>
      <w:r>
        <w:rPr>
          <w:rFonts w:hint="eastAsia" w:ascii="仿宋_GB2312" w:hAnsi="仿宋_GB2312" w:eastAsia="仿宋_GB2312" w:cs="仿宋_GB2312"/>
          <w:sz w:val="32"/>
          <w:szCs w:val="32"/>
          <w:lang w:val="en-US" w:eastAsia="zh-CN"/>
        </w:rPr>
        <w:t>县财政预算资金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、采购方式：</w:t>
      </w:r>
      <w:r>
        <w:rPr>
          <w:rFonts w:hint="eastAsia" w:ascii="仿宋_GB2312" w:hAnsi="仿宋_GB2312" w:eastAsia="仿宋_GB2312" w:cs="仿宋_GB2312"/>
          <w:sz w:val="32"/>
          <w:szCs w:val="32"/>
          <w:lang w:val="en-US" w:eastAsia="zh-CN"/>
        </w:rPr>
        <w:t>竞争性谈判</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三、项目实施时间、地点、项目概况、履行期限及方式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1、项目实施时间：本项目计划于2023年11月。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2、项目实施地点：府谷县</w:t>
      </w:r>
    </w:p>
    <w:p>
      <w:pPr>
        <w:pStyle w:val="11"/>
        <w:ind w:firstLine="640"/>
        <w:rPr>
          <w:rFonts w:hint="eastAsia" w:ascii="仿宋" w:hAnsi="仿宋" w:eastAsia="仿宋" w:cs="仿宋"/>
          <w:sz w:val="32"/>
          <w:szCs w:val="32"/>
        </w:rPr>
      </w:pPr>
      <w:r>
        <w:rPr>
          <w:rFonts w:hint="eastAsia" w:ascii="仿宋" w:hAnsi="仿宋" w:eastAsia="仿宋" w:cs="仿宋"/>
          <w:sz w:val="32"/>
          <w:szCs w:val="32"/>
        </w:rPr>
        <w:t>3、项目概况：</w:t>
      </w:r>
    </w:p>
    <w:p>
      <w:pPr>
        <w:pStyle w:val="11"/>
        <w:ind w:firstLine="640"/>
        <w:rPr>
          <w:rFonts w:hint="eastAsia" w:ascii="仿宋_GB2312" w:eastAsia="仿宋_GB2312" w:cs="宋体"/>
          <w:bCs/>
          <w:color w:val="0000FF"/>
          <w:sz w:val="32"/>
          <w:szCs w:val="32"/>
        </w:rPr>
      </w:pPr>
      <w:r>
        <w:rPr>
          <w:rFonts w:hint="eastAsia" w:ascii="仿宋" w:hAnsi="仿宋" w:eastAsia="仿宋" w:cs="仿宋"/>
          <w:sz w:val="32"/>
          <w:szCs w:val="32"/>
        </w:rPr>
        <w:t>府谷县园地、林地、草地、定级和基准地价制定工作</w:t>
      </w:r>
      <w:r>
        <w:rPr>
          <w:rFonts w:ascii="仿宋" w:hAnsi="仿宋" w:eastAsia="仿宋" w:cs="仿宋"/>
          <w:spacing w:val="-5"/>
          <w:sz w:val="32"/>
          <w:szCs w:val="32"/>
        </w:rPr>
        <w:t>，以第三次</w:t>
      </w:r>
      <w:r>
        <w:rPr>
          <w:rFonts w:ascii="仿宋" w:hAnsi="仿宋" w:eastAsia="仿宋" w:cs="仿宋"/>
          <w:spacing w:val="5"/>
          <w:sz w:val="32"/>
          <w:szCs w:val="32"/>
        </w:rPr>
        <w:t>全国国土调查成果及2021</w:t>
      </w:r>
      <w:r>
        <w:rPr>
          <w:rFonts w:ascii="仿宋" w:hAnsi="仿宋" w:eastAsia="仿宋" w:cs="仿宋"/>
          <w:spacing w:val="-67"/>
          <w:sz w:val="32"/>
          <w:szCs w:val="32"/>
        </w:rPr>
        <w:t xml:space="preserve"> </w:t>
      </w:r>
      <w:r>
        <w:rPr>
          <w:rFonts w:ascii="仿宋" w:hAnsi="仿宋" w:eastAsia="仿宋" w:cs="仿宋"/>
          <w:spacing w:val="5"/>
          <w:sz w:val="32"/>
          <w:szCs w:val="32"/>
        </w:rPr>
        <w:t>年度国土变更调查数据为底图，严格</w:t>
      </w:r>
      <w:r>
        <w:rPr>
          <w:rFonts w:ascii="仿宋" w:hAnsi="仿宋" w:eastAsia="仿宋" w:cs="仿宋"/>
          <w:spacing w:val="-4"/>
          <w:sz w:val="32"/>
          <w:szCs w:val="32"/>
        </w:rPr>
        <w:t>执行园地林地草地分等定级和估价技术规程与标准</w:t>
      </w:r>
      <w:r>
        <w:rPr>
          <w:rFonts w:ascii="仿宋" w:hAnsi="仿宋" w:eastAsia="仿宋" w:cs="仿宋"/>
          <w:spacing w:val="-5"/>
          <w:sz w:val="32"/>
          <w:szCs w:val="32"/>
        </w:rPr>
        <w:t>，通过分等定</w:t>
      </w:r>
      <w:r>
        <w:rPr>
          <w:rFonts w:ascii="仿宋" w:hAnsi="仿宋" w:eastAsia="仿宋" w:cs="仿宋"/>
          <w:spacing w:val="-4"/>
          <w:sz w:val="32"/>
          <w:szCs w:val="32"/>
        </w:rPr>
        <w:t>级和价格评估，综合评价我县园地林地草地质量分布状况，</w:t>
      </w:r>
      <w:r>
        <w:rPr>
          <w:rFonts w:ascii="仿宋" w:hAnsi="仿宋" w:eastAsia="仿宋" w:cs="仿宋"/>
          <w:spacing w:val="-5"/>
          <w:sz w:val="32"/>
          <w:szCs w:val="32"/>
        </w:rPr>
        <w:t>并建</w:t>
      </w:r>
      <w:r>
        <w:rPr>
          <w:rFonts w:ascii="仿宋" w:hAnsi="仿宋" w:eastAsia="仿宋" w:cs="仿宋"/>
          <w:spacing w:val="-14"/>
          <w:sz w:val="32"/>
          <w:szCs w:val="32"/>
        </w:rPr>
        <w:t>立政府公示价格体系，为自然资源“两统一</w:t>
      </w:r>
      <w:r>
        <w:rPr>
          <w:rFonts w:ascii="仿宋" w:hAnsi="仿宋" w:eastAsia="仿宋" w:cs="仿宋"/>
          <w:spacing w:val="-106"/>
          <w:sz w:val="32"/>
          <w:szCs w:val="32"/>
        </w:rPr>
        <w:t xml:space="preserve"> </w:t>
      </w:r>
      <w:r>
        <w:rPr>
          <w:rFonts w:ascii="仿宋" w:hAnsi="仿宋" w:eastAsia="仿宋" w:cs="仿宋"/>
          <w:spacing w:val="-14"/>
          <w:sz w:val="32"/>
          <w:szCs w:val="32"/>
        </w:rPr>
        <w:t>”管理提供重要支撑。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4、履行期限及方式：</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项目须于202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年12月31日前完成（具体以签订合同为准）。</w:t>
      </w:r>
    </w:p>
    <w:p>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四、合同模板：</w:t>
      </w:r>
    </w:p>
    <w:p>
      <w:pPr>
        <w:jc w:val="center"/>
        <w:rPr>
          <w:b/>
          <w:bCs/>
          <w:sz w:val="48"/>
        </w:rPr>
      </w:pPr>
      <w:r>
        <w:rPr>
          <w:rFonts w:hint="eastAsia"/>
          <w:b/>
          <w:bCs/>
          <w:spacing w:val="95"/>
          <w:kern w:val="0"/>
          <w:sz w:val="48"/>
        </w:rPr>
        <w:t>技术服务合</w:t>
      </w:r>
      <w:r>
        <w:rPr>
          <w:rFonts w:hint="eastAsia"/>
          <w:b/>
          <w:bCs/>
          <w:kern w:val="0"/>
          <w:sz w:val="48"/>
        </w:rPr>
        <w:t xml:space="preserve">同 </w:t>
      </w:r>
    </w:p>
    <w:p>
      <w:pPr>
        <w:rPr>
          <w:rFonts w:eastAsia="楷体_GB2312"/>
          <w:sz w:val="36"/>
        </w:rPr>
      </w:pPr>
    </w:p>
    <w:p>
      <w:pPr>
        <w:rPr>
          <w:rFonts w:ascii="方正小标宋_GBK" w:hAnsi="方正小标宋_GBK" w:eastAsia="方正小标宋_GBK" w:cs="方正小标宋_GBK"/>
          <w:sz w:val="36"/>
        </w:rPr>
      </w:pPr>
    </w:p>
    <w:p>
      <w:pPr>
        <w:ind w:left="2880" w:hanging="2880" w:hangingChars="900"/>
        <w:rPr>
          <w:rFonts w:ascii="方正小标宋_GBK" w:hAnsi="方正小标宋_GBK" w:eastAsia="方正小标宋_GBK" w:cs="方正小标宋_GBK"/>
          <w:sz w:val="36"/>
          <w:szCs w:val="36"/>
          <w:u w:val="single"/>
        </w:rPr>
      </w:pPr>
      <w:r>
        <w:rPr>
          <w:rFonts w:hint="eastAsia" w:ascii="方正小标宋_GBK" w:hAnsi="方正小标宋_GBK" w:eastAsia="方正小标宋_GBK" w:cs="方正小标宋_GBK"/>
          <w:sz w:val="32"/>
          <w:szCs w:val="32"/>
        </w:rPr>
        <w:t>项 目 名 称：</w:t>
      </w: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before="156" w:beforeLines="50" w:after="156" w:afterLines="50" w:line="360" w:lineRule="auto"/>
        <w:jc w:val="left"/>
        <w:rPr>
          <w:rFonts w:hint="default" w:ascii="方正小标宋_GBK" w:hAnsi="方正小标宋_GBK" w:eastAsia="方正小标宋_GBK" w:cs="方正小标宋_GBK"/>
          <w:sz w:val="32"/>
          <w:szCs w:val="32"/>
          <w:u w:val="single"/>
          <w:lang w:val="en-US" w:eastAsia="zh-CN"/>
        </w:rPr>
      </w:pPr>
      <w:r>
        <w:rPr>
          <w:rFonts w:hint="eastAsia" w:ascii="方正小标宋_GBK" w:hAnsi="方正小标宋_GBK" w:eastAsia="方正小标宋_GBK" w:cs="方正小标宋_GBK"/>
          <w:sz w:val="32"/>
          <w:szCs w:val="32"/>
          <w:lang w:val="en-US" w:eastAsia="zh-CN"/>
        </w:rPr>
        <w:t>合 同 编 号：</w:t>
      </w:r>
      <w:r>
        <w:rPr>
          <w:rFonts w:hint="eastAsia" w:ascii="方正小标宋_GBK" w:hAnsi="方正小标宋_GBK" w:eastAsia="方正小标宋_GBK" w:cs="方正小标宋_GBK"/>
          <w:sz w:val="32"/>
          <w:szCs w:val="32"/>
          <w:u w:val="single"/>
          <w:lang w:val="en-US" w:eastAsia="zh-CN"/>
        </w:rPr>
        <w:t xml:space="preserve">                                        </w:t>
      </w:r>
    </w:p>
    <w:p>
      <w:pPr>
        <w:spacing w:before="156" w:beforeLines="50" w:after="156" w:afterLines="50" w:line="360" w:lineRule="auto"/>
        <w:jc w:val="left"/>
        <w:rPr>
          <w:rFonts w:ascii="方正小标宋_GBK" w:hAnsi="方正小标宋_GBK" w:eastAsia="方正小标宋_GBK" w:cs="方正小标宋_GBK"/>
          <w:sz w:val="24"/>
        </w:rPr>
      </w:pPr>
      <w:r>
        <w:rPr>
          <w:rFonts w:hint="eastAsia" w:ascii="方正小标宋_GBK" w:hAnsi="方正小标宋_GBK" w:eastAsia="方正小标宋_GBK" w:cs="方正小标宋_GBK"/>
          <w:sz w:val="32"/>
          <w:szCs w:val="32"/>
        </w:rPr>
        <w:t>委   托  方：</w:t>
      </w:r>
      <w:bookmarkStart w:id="0" w:name="OLE_LINK1"/>
      <w:r>
        <w:rPr>
          <w:rFonts w:hint="eastAsia" w:ascii="方正小标宋_GBK" w:hAnsi="方正小标宋_GBK" w:eastAsia="方正小标宋_GBK" w:cs="方正小标宋_GBK"/>
          <w:sz w:val="32"/>
          <w:szCs w:val="32"/>
          <w:u w:val="single"/>
        </w:rPr>
        <w:t xml:space="preserve">  </w:t>
      </w:r>
      <w:bookmarkEnd w:id="0"/>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w w:val="90"/>
          <w:sz w:val="32"/>
          <w:szCs w:val="32"/>
          <w:u w:val="single"/>
        </w:rPr>
        <w:t xml:space="preserve"> </w:t>
      </w:r>
      <w:r>
        <w:rPr>
          <w:rFonts w:hint="eastAsia" w:ascii="方正小标宋_GBK" w:hAnsi="方正小标宋_GBK" w:eastAsia="方正小标宋_GBK" w:cs="方正小标宋_GBK"/>
          <w:w w:val="90"/>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w w:val="90"/>
          <w:sz w:val="32"/>
          <w:szCs w:val="32"/>
          <w:u w:val="single"/>
        </w:rPr>
        <w:t xml:space="preserve"> </w:t>
      </w:r>
      <w:r>
        <w:rPr>
          <w:rFonts w:hint="eastAsia" w:ascii="仿宋_GB2312" w:hAnsi="仿宋_GB2312" w:eastAsia="仿宋_GB2312" w:cs="仿宋_GB2312"/>
          <w:w w:val="90"/>
          <w:sz w:val="32"/>
          <w:szCs w:val="32"/>
          <w:u w:val="single"/>
        </w:rPr>
        <w:t xml:space="preserve"> </w:t>
      </w:r>
      <w:r>
        <w:rPr>
          <w:rFonts w:hint="eastAsia" w:ascii="仿宋_GB2312" w:hAnsi="仿宋_GB2312" w:eastAsia="仿宋_GB2312" w:cs="仿宋_GB2312"/>
          <w:sz w:val="32"/>
          <w:szCs w:val="32"/>
        </w:rPr>
        <w:t>（甲方）</w:t>
      </w:r>
    </w:p>
    <w:p>
      <w:pPr>
        <w:spacing w:before="156" w:beforeLines="50" w:after="156" w:afterLines="50" w:line="360" w:lineRule="auto"/>
        <w:rPr>
          <w:rFonts w:ascii="方正小标宋_GBK" w:hAnsi="方正小标宋_GBK" w:eastAsia="方正小标宋_GBK" w:cs="方正小标宋_GBK"/>
          <w:sz w:val="20"/>
        </w:rPr>
      </w:pPr>
      <w:r>
        <w:rPr>
          <w:rFonts w:hint="eastAsia" w:ascii="方正小标宋_GBK" w:hAnsi="方正小标宋_GBK" w:eastAsia="方正小标宋_GBK" w:cs="方正小标宋_GBK"/>
          <w:sz w:val="32"/>
          <w:szCs w:val="32"/>
        </w:rPr>
        <w:t xml:space="preserve">受   托  方: </w:t>
      </w:r>
      <w:r>
        <w:rPr>
          <w:rFonts w:hint="eastAsia" w:ascii="方正小标宋_GBK" w:hAnsi="方正小标宋_GBK" w:eastAsia="方正小标宋_GBK" w:cs="方正小标宋_GBK"/>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方正小标宋_GBK" w:hAnsi="方正小标宋_GBK" w:eastAsia="方正小标宋_GBK" w:cs="方正小标宋_GBK"/>
          <w:sz w:val="32"/>
          <w:szCs w:val="32"/>
          <w:u w:val="single"/>
        </w:rPr>
        <w:t xml:space="preserve">  </w:t>
      </w:r>
      <w:r>
        <w:rPr>
          <w:rFonts w:hint="eastAsia" w:ascii="仿宋_GB2312" w:hAnsi="仿宋_GB2312" w:eastAsia="仿宋_GB2312" w:cs="仿宋_GB2312"/>
          <w:sz w:val="32"/>
          <w:szCs w:val="32"/>
        </w:rPr>
        <w:t>（乙方）</w:t>
      </w:r>
    </w:p>
    <w:p>
      <w:pPr>
        <w:spacing w:before="156" w:beforeLines="50" w:after="156" w:afterLines="50" w:line="360" w:lineRule="auto"/>
        <w:rPr>
          <w:rFonts w:ascii="方正小标宋_GBK" w:hAnsi="方正小标宋_GBK" w:eastAsia="方正小标宋_GBK" w:cs="方正小标宋_GBK"/>
          <w:sz w:val="32"/>
          <w:szCs w:val="32"/>
          <w:u w:val="single"/>
        </w:rPr>
      </w:pPr>
      <w:r>
        <w:rPr>
          <w:rFonts w:hint="eastAsia" w:ascii="方正小标宋_GBK" w:hAnsi="方正小标宋_GBK" w:eastAsia="方正小标宋_GBK" w:cs="方正小标宋_GBK"/>
          <w:sz w:val="32"/>
          <w:szCs w:val="32"/>
        </w:rPr>
        <w:t>签 订 时 间：</w:t>
      </w: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sz w:val="32"/>
          <w:szCs w:val="32"/>
          <w:u w:val="single"/>
          <w:lang w:val="en-US" w:eastAsia="zh-CN"/>
        </w:rPr>
        <w:t xml:space="preserve">  </w:t>
      </w:r>
      <w:r>
        <w:rPr>
          <w:rFonts w:hint="eastAsia" w:ascii="方正小标宋_GBK" w:hAnsi="方正小标宋_GBK" w:eastAsia="方正小标宋_GBK" w:cs="方正小标宋_GBK"/>
          <w:sz w:val="32"/>
          <w:szCs w:val="32"/>
          <w:u w:val="single"/>
        </w:rPr>
        <w:t xml:space="preserve">   </w:t>
      </w:r>
    </w:p>
    <w:p>
      <w:pPr>
        <w:spacing w:before="156" w:beforeLines="50" w:after="156" w:afterLines="50" w:line="360" w:lineRule="auto"/>
        <w:ind w:right="40" w:rightChars="19"/>
        <w:rPr>
          <w:rFonts w:ascii="方正小标宋_GBK" w:hAnsi="方正小标宋_GBK" w:eastAsia="方正小标宋_GBK" w:cs="方正小标宋_GBK"/>
          <w:sz w:val="32"/>
          <w:szCs w:val="32"/>
          <w:u w:val="single"/>
        </w:rPr>
      </w:pPr>
      <w:r>
        <w:rPr>
          <w:rFonts w:hint="eastAsia" w:ascii="方正小标宋_GBK" w:hAnsi="方正小标宋_GBK" w:eastAsia="方正小标宋_GBK" w:cs="方正小标宋_GBK"/>
          <w:sz w:val="32"/>
          <w:szCs w:val="32"/>
        </w:rPr>
        <w:t>签 订 地 点：</w:t>
      </w: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sz w:val="32"/>
          <w:szCs w:val="32"/>
          <w:u w:val="single"/>
          <w:lang w:val="en-US" w:eastAsia="zh-CN"/>
        </w:rPr>
        <w:t xml:space="preserve"> </w:t>
      </w:r>
      <w:r>
        <w:rPr>
          <w:rFonts w:hint="eastAsia" w:ascii="方正小标宋_GBK" w:hAnsi="方正小标宋_GBK" w:eastAsia="方正小标宋_GBK" w:cs="方正小标宋_GBK"/>
          <w:sz w:val="32"/>
          <w:szCs w:val="32"/>
          <w:u w:val="single"/>
        </w:rPr>
        <w:t xml:space="preserve">        </w:t>
      </w:r>
    </w:p>
    <w:p>
      <w:pPr>
        <w:jc w:val="left"/>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sz w:val="32"/>
          <w:szCs w:val="32"/>
        </w:rPr>
        <w:t>有 效 期 限</w:t>
      </w:r>
      <w:r>
        <w:rPr>
          <w:rFonts w:hint="eastAsia" w:ascii="宋体" w:hAnsi="宋体"/>
          <w:b/>
          <w:bCs/>
          <w:sz w:val="32"/>
          <w:szCs w:val="32"/>
        </w:rPr>
        <w:t>：</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br w:type="page"/>
      </w:r>
    </w:p>
    <w:p>
      <w:pPr>
        <w:pStyle w:val="2"/>
        <w:keepNext w:val="0"/>
        <w:keepLines w:val="0"/>
        <w:pageBreakBefore w:val="0"/>
        <w:kinsoku/>
        <w:wordWrap/>
        <w:overflowPunct/>
        <w:topLinePunct w:val="0"/>
        <w:autoSpaceDE/>
        <w:autoSpaceDN/>
        <w:bidi w:val="0"/>
        <w:adjustRightInd/>
        <w:snapToGrid/>
        <w:spacing w:line="240" w:lineRule="atLeast"/>
        <w:ind w:firstLine="360" w:firstLineChars="100"/>
        <w:textAlignment w:val="auto"/>
        <w:rPr>
          <w:rFonts w:hint="eastAsia" w:asciiTheme="majorEastAsia" w:hAnsiTheme="majorEastAsia" w:eastAsiaTheme="majorEastAsia" w:cstheme="majorEastAsia"/>
          <w:b w:val="0"/>
          <w:bCs/>
          <w:color w:val="000000" w:themeColor="text1"/>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36"/>
          <w:szCs w:val="36"/>
          <w:lang w:eastAsia="zh-CN"/>
          <w14:textFill>
            <w14:solidFill>
              <w14:schemeClr w14:val="tx1"/>
            </w14:solidFill>
          </w14:textFill>
        </w:rPr>
        <w:t>府谷县园地、林地、草地、定级和基准地价制定工作</w:t>
      </w:r>
    </w:p>
    <w:p>
      <w:pPr>
        <w:keepNext w:val="0"/>
        <w:keepLines w:val="0"/>
        <w:pageBreakBefore w:val="0"/>
        <w:kinsoku/>
        <w:wordWrap/>
        <w:overflowPunct/>
        <w:topLinePunct w:val="0"/>
        <w:autoSpaceDE/>
        <w:autoSpaceDN/>
        <w:bidi w:val="0"/>
        <w:adjustRightInd/>
        <w:snapToGrid/>
        <w:spacing w:line="240" w:lineRule="atLeast"/>
        <w:textAlignment w:val="auto"/>
        <w:rPr>
          <w:rFonts w:ascii="楷体_GB2312" w:hAnsi="楷体_GB2312" w:eastAsia="楷体_GB2312" w:cs="楷体_GB2312"/>
          <w:sz w:val="28"/>
          <w:szCs w:val="28"/>
          <w:u w:val="single"/>
        </w:rPr>
      </w:pPr>
      <w:r>
        <w:rPr>
          <w:rFonts w:hint="eastAsia" w:ascii="楷体_GB2312" w:hAnsi="楷体_GB2312" w:eastAsia="楷体_GB2312" w:cs="楷体_GB2312"/>
          <w:sz w:val="28"/>
          <w:szCs w:val="28"/>
        </w:rPr>
        <w:t>甲方：</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u w:val="single"/>
        </w:rPr>
        <w:t xml:space="preserve"> </w:t>
      </w:r>
    </w:p>
    <w:p>
      <w:pPr>
        <w:keepNext w:val="0"/>
        <w:keepLines w:val="0"/>
        <w:pageBreakBefore w:val="0"/>
        <w:kinsoku/>
        <w:wordWrap/>
        <w:overflowPunct/>
        <w:topLinePunct w:val="0"/>
        <w:autoSpaceDE/>
        <w:autoSpaceDN/>
        <w:bidi w:val="0"/>
        <w:adjustRightInd/>
        <w:snapToGrid/>
        <w:spacing w:after="156" w:afterLines="50" w:line="240" w:lineRule="atLeast"/>
        <w:textAlignment w:val="auto"/>
        <w:rPr>
          <w:rFonts w:hint="default" w:ascii="楷体_GB2312" w:hAnsi="楷体_GB2312" w:eastAsia="楷体_GB2312" w:cs="楷体_GB2312"/>
          <w:sz w:val="28"/>
          <w:szCs w:val="28"/>
          <w:u w:val="single"/>
          <w:lang w:val="en-US" w:eastAsia="zh-CN"/>
        </w:rPr>
      </w:pPr>
      <w:r>
        <w:rPr>
          <w:rFonts w:hint="eastAsia" w:ascii="楷体_GB2312" w:hAnsi="楷体_GB2312" w:eastAsia="楷体_GB2312" w:cs="楷体_GB2312"/>
          <w:sz w:val="28"/>
          <w:szCs w:val="28"/>
        </w:rPr>
        <w:t>乙方：</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firstLine="556" w:firstLineChars="200"/>
        <w:textAlignment w:val="auto"/>
        <w:rPr>
          <w:rFonts w:ascii="楷体_GB2312" w:hAnsi="楷体_GB2312" w:eastAsia="楷体_GB2312" w:cs="楷体_GB2312"/>
          <w:kern w:val="28"/>
          <w:sz w:val="28"/>
          <w:szCs w:val="28"/>
        </w:rPr>
      </w:pPr>
      <w:r>
        <w:rPr>
          <w:rFonts w:hint="eastAsia" w:ascii="楷体_GB2312" w:hAnsi="楷体_GB2312" w:eastAsia="楷体_GB2312" w:cs="楷体_GB2312"/>
          <w:color w:val="000000"/>
          <w:spacing w:val="-1"/>
          <w:sz w:val="28"/>
          <w:szCs w:val="28"/>
        </w:rPr>
        <w:t>根据《中华人民共和国</w:t>
      </w:r>
      <w:r>
        <w:rPr>
          <w:rFonts w:hint="eastAsia" w:ascii="楷体_GB2312" w:hAnsi="楷体_GB2312" w:eastAsia="楷体_GB2312" w:cs="楷体_GB2312"/>
          <w:color w:val="000000"/>
          <w:spacing w:val="-1"/>
          <w:sz w:val="28"/>
          <w:szCs w:val="28"/>
          <w:lang w:val="en-US" w:eastAsia="zh-CN"/>
        </w:rPr>
        <w:t>民法典</w:t>
      </w:r>
      <w:r>
        <w:rPr>
          <w:rFonts w:hint="eastAsia" w:ascii="楷体_GB2312" w:hAnsi="楷体_GB2312" w:eastAsia="楷体_GB2312" w:cs="楷体_GB2312"/>
          <w:color w:val="000000"/>
          <w:spacing w:val="-1"/>
          <w:sz w:val="28"/>
          <w:szCs w:val="28"/>
        </w:rPr>
        <w:t>》</w:t>
      </w:r>
      <w:r>
        <w:rPr>
          <w:rFonts w:hint="eastAsia" w:ascii="楷体_GB2312" w:hAnsi="楷体_GB2312" w:eastAsia="楷体_GB2312" w:cs="楷体_GB2312"/>
          <w:color w:val="000000"/>
          <w:spacing w:val="-1"/>
          <w:sz w:val="28"/>
          <w:szCs w:val="28"/>
          <w:lang w:val="en-US" w:eastAsia="zh-CN"/>
        </w:rPr>
        <w:t>合同编</w:t>
      </w:r>
      <w:r>
        <w:rPr>
          <w:rFonts w:hint="eastAsia" w:ascii="楷体_GB2312" w:hAnsi="楷体_GB2312" w:eastAsia="楷体_GB2312" w:cs="楷体_GB2312"/>
          <w:color w:val="000000"/>
          <w:spacing w:val="-1"/>
          <w:sz w:val="28"/>
          <w:szCs w:val="28"/>
        </w:rPr>
        <w:t>及其他有关法律、法规，遵循平等、自愿、公平和诚信的原则，甲乙双方就下述项目范围与相关服务事项协商一致，订立本合同。</w:t>
      </w:r>
    </w:p>
    <w:p>
      <w:pPr>
        <w:keepNext w:val="0"/>
        <w:keepLines w:val="0"/>
        <w:pageBreakBefore w:val="0"/>
        <w:kinsoku/>
        <w:wordWrap/>
        <w:overflowPunct/>
        <w:topLinePunct w:val="0"/>
        <w:autoSpaceDE/>
        <w:autoSpaceDN/>
        <w:bidi w:val="0"/>
        <w:adjustRightInd/>
        <w:snapToGrid/>
        <w:spacing w:line="240" w:lineRule="atLeast"/>
        <w:ind w:firstLine="556" w:firstLineChars="200"/>
        <w:textAlignment w:val="auto"/>
        <w:rPr>
          <w:rFonts w:hint="eastAsia" w:ascii="楷体_GB2312" w:hAnsi="楷体_GB2312" w:eastAsia="楷体_GB2312" w:cs="楷体_GB2312"/>
          <w:color w:val="000000"/>
          <w:spacing w:val="-1"/>
          <w:sz w:val="28"/>
          <w:szCs w:val="28"/>
        </w:rPr>
      </w:pPr>
      <w:r>
        <w:rPr>
          <w:rFonts w:hint="eastAsia" w:ascii="楷体_GB2312" w:hAnsi="楷体_GB2312" w:eastAsia="楷体_GB2312" w:cs="楷体_GB2312"/>
          <w:color w:val="000000"/>
          <w:spacing w:val="-1"/>
          <w:sz w:val="28"/>
          <w:szCs w:val="28"/>
        </w:rPr>
        <w:t>一、项目概况</w:t>
      </w:r>
    </w:p>
    <w:p>
      <w:pPr>
        <w:keepNext w:val="0"/>
        <w:keepLines w:val="0"/>
        <w:pageBreakBefore w:val="0"/>
        <w:widowControl w:val="0"/>
        <w:kinsoku/>
        <w:wordWrap/>
        <w:overflowPunct/>
        <w:topLinePunct w:val="0"/>
        <w:autoSpaceDE/>
        <w:autoSpaceDN/>
        <w:bidi w:val="0"/>
        <w:adjustRightInd/>
        <w:snapToGrid/>
        <w:spacing w:line="240" w:lineRule="atLeast"/>
        <w:ind w:firstLine="556" w:firstLineChars="200"/>
        <w:textAlignment w:val="auto"/>
        <w:rPr>
          <w:rFonts w:hint="eastAsia" w:ascii="楷体_GB2312" w:hAnsi="楷体_GB2312" w:eastAsia="楷体_GB2312" w:cs="楷体_GB2312"/>
          <w:color w:val="000000"/>
          <w:spacing w:val="-1"/>
          <w:sz w:val="28"/>
          <w:szCs w:val="28"/>
        </w:rPr>
      </w:pPr>
      <w:r>
        <w:rPr>
          <w:rFonts w:hint="eastAsia" w:ascii="楷体_GB2312" w:hAnsi="楷体_GB2312" w:eastAsia="楷体_GB2312" w:cs="楷体_GB2312"/>
          <w:color w:val="000000"/>
          <w:spacing w:val="-1"/>
          <w:sz w:val="28"/>
          <w:szCs w:val="28"/>
        </w:rPr>
        <w:t>项目名称：</w:t>
      </w:r>
      <w:r>
        <w:rPr>
          <w:rFonts w:hint="eastAsia" w:ascii="楷体_GB2312" w:hAnsi="楷体_GB2312" w:eastAsia="楷体_GB2312" w:cs="楷体_GB2312"/>
          <w:color w:val="000000"/>
          <w:spacing w:val="-1"/>
          <w:sz w:val="28"/>
          <w:szCs w:val="28"/>
          <w:lang w:eastAsia="zh-CN"/>
        </w:rPr>
        <w:t>府谷县园地、林地、草地、定级和基准地价制定工作</w:t>
      </w:r>
      <w:r>
        <w:rPr>
          <w:rFonts w:hint="eastAsia" w:ascii="楷体_GB2312" w:hAnsi="楷体_GB2312" w:eastAsia="楷体_GB2312" w:cs="楷体_GB2312"/>
          <w:color w:val="000000"/>
          <w:spacing w:val="-1"/>
          <w:sz w:val="28"/>
          <w:szCs w:val="28"/>
        </w:rPr>
        <w:t>。</w:t>
      </w:r>
    </w:p>
    <w:p>
      <w:pPr>
        <w:keepNext w:val="0"/>
        <w:keepLines w:val="0"/>
        <w:pageBreakBefore w:val="0"/>
        <w:widowControl w:val="0"/>
        <w:kinsoku/>
        <w:wordWrap/>
        <w:overflowPunct/>
        <w:topLinePunct w:val="0"/>
        <w:autoSpaceDE/>
        <w:autoSpaceDN/>
        <w:bidi w:val="0"/>
        <w:adjustRightInd/>
        <w:snapToGrid/>
        <w:spacing w:line="240" w:lineRule="atLeast"/>
        <w:ind w:firstLine="556" w:firstLineChars="200"/>
        <w:textAlignment w:val="auto"/>
        <w:rPr>
          <w:rFonts w:hint="eastAsia" w:ascii="楷体_GB2312" w:hAnsi="楷体_GB2312" w:eastAsia="楷体_GB2312" w:cs="楷体_GB2312"/>
          <w:color w:val="000000"/>
          <w:spacing w:val="-1"/>
          <w:sz w:val="28"/>
          <w:szCs w:val="28"/>
        </w:rPr>
      </w:pPr>
      <w:r>
        <w:rPr>
          <w:rFonts w:hint="eastAsia" w:ascii="楷体_GB2312" w:hAnsi="楷体_GB2312" w:eastAsia="楷体_GB2312" w:cs="楷体_GB2312"/>
          <w:color w:val="000000"/>
          <w:spacing w:val="-1"/>
          <w:sz w:val="28"/>
          <w:szCs w:val="28"/>
        </w:rPr>
        <w:t>项目内容：府谷县园地、林地、草地、定级和基准地价制定工作，以第三次全国国土调查成果及2021 年度国土变更调查数据为底图，严格执行园地林地草地分等定级和估价技术规程与标准，通过分等定级和价格评估，综合评价我县园地林地草地质量分布状况，并建立政府公示价格体系，为自然资源“两统一 ”管理提供重要支撑。</w:t>
      </w:r>
    </w:p>
    <w:p>
      <w:pPr>
        <w:keepNext w:val="0"/>
        <w:keepLines w:val="0"/>
        <w:pageBreakBefore w:val="0"/>
        <w:kinsoku/>
        <w:wordWrap/>
        <w:overflowPunct/>
        <w:topLinePunct w:val="0"/>
        <w:autoSpaceDE/>
        <w:autoSpaceDN/>
        <w:bidi w:val="0"/>
        <w:adjustRightInd/>
        <w:snapToGrid/>
        <w:spacing w:line="240" w:lineRule="atLeast"/>
        <w:ind w:firstLine="556" w:firstLineChars="200"/>
        <w:textAlignment w:val="auto"/>
        <w:rPr>
          <w:rFonts w:hint="eastAsia" w:ascii="楷体_GB2312" w:hAnsi="楷体_GB2312" w:eastAsia="楷体_GB2312" w:cs="楷体_GB2312"/>
          <w:color w:val="000000"/>
          <w:spacing w:val="-1"/>
          <w:sz w:val="28"/>
          <w:szCs w:val="28"/>
        </w:rPr>
      </w:pPr>
      <w:r>
        <w:rPr>
          <w:rFonts w:hint="eastAsia" w:ascii="楷体_GB2312" w:hAnsi="楷体_GB2312" w:eastAsia="楷体_GB2312" w:cs="楷体_GB2312"/>
          <w:color w:val="000000"/>
          <w:spacing w:val="-1"/>
          <w:sz w:val="28"/>
          <w:szCs w:val="28"/>
        </w:rPr>
        <w:t>项目要求：确保府谷县园地、林地、草地、定级和基准地价制定工作成果</w:t>
      </w:r>
      <w:r>
        <w:rPr>
          <w:rFonts w:hint="eastAsia" w:ascii="楷体_GB2312" w:hAnsi="楷体_GB2312" w:eastAsia="楷体_GB2312" w:cs="楷体_GB2312"/>
          <w:color w:val="000000"/>
          <w:spacing w:val="-1"/>
          <w:sz w:val="28"/>
          <w:szCs w:val="28"/>
          <w:lang w:eastAsia="zh-CN"/>
        </w:rPr>
        <w:t>质量</w:t>
      </w:r>
      <w:r>
        <w:rPr>
          <w:rFonts w:hint="eastAsia" w:ascii="楷体_GB2312" w:hAnsi="楷体_GB2312" w:eastAsia="楷体_GB2312" w:cs="楷体_GB2312"/>
          <w:color w:val="000000"/>
          <w:spacing w:val="-1"/>
          <w:sz w:val="28"/>
          <w:szCs w:val="28"/>
        </w:rPr>
        <w:t>能满足</w:t>
      </w:r>
      <w:r>
        <w:rPr>
          <w:rFonts w:hint="eastAsia" w:ascii="楷体_GB2312" w:hAnsi="楷体_GB2312" w:eastAsia="楷体_GB2312" w:cs="楷体_GB2312"/>
          <w:color w:val="000000"/>
          <w:spacing w:val="-1"/>
          <w:sz w:val="28"/>
          <w:szCs w:val="28"/>
          <w:lang w:eastAsia="zh-CN"/>
        </w:rPr>
        <w:t>部、省、市、县</w:t>
      </w:r>
      <w:r>
        <w:rPr>
          <w:rFonts w:hint="eastAsia" w:ascii="楷体_GB2312" w:hAnsi="楷体_GB2312" w:eastAsia="楷体_GB2312" w:cs="楷体_GB2312"/>
          <w:color w:val="000000"/>
          <w:spacing w:val="-1"/>
          <w:sz w:val="28"/>
          <w:szCs w:val="28"/>
        </w:rPr>
        <w:t>技术要求。</w:t>
      </w:r>
    </w:p>
    <w:p>
      <w:pPr>
        <w:keepNext w:val="0"/>
        <w:keepLines w:val="0"/>
        <w:pageBreakBefore w:val="0"/>
        <w:kinsoku/>
        <w:wordWrap/>
        <w:overflowPunct/>
        <w:topLinePunct w:val="0"/>
        <w:autoSpaceDE/>
        <w:autoSpaceDN/>
        <w:bidi w:val="0"/>
        <w:adjustRightInd/>
        <w:snapToGrid/>
        <w:spacing w:before="156" w:beforeLines="50" w:line="240" w:lineRule="atLeast"/>
        <w:ind w:firstLine="560" w:firstLineChars="200"/>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二、合同</w:t>
      </w:r>
      <w:r>
        <w:rPr>
          <w:rFonts w:hint="eastAsia" w:ascii="楷体" w:hAnsi="楷体" w:eastAsia="楷体" w:cs="楷体"/>
          <w:bCs/>
          <w:color w:val="000000" w:themeColor="text1"/>
          <w:sz w:val="28"/>
          <w:szCs w:val="28"/>
          <w:lang w:val="en-US" w:eastAsia="zh-CN"/>
          <w14:textFill>
            <w14:solidFill>
              <w14:schemeClr w14:val="tx1"/>
            </w14:solidFill>
          </w14:textFill>
        </w:rPr>
        <w:t>价款</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lang w:val="en-US" w:eastAsia="zh-CN"/>
          <w14:textFill>
            <w14:solidFill>
              <w14:schemeClr w14:val="tx1"/>
            </w14:solidFill>
          </w14:textFill>
        </w:rPr>
        <w:t>1.</w:t>
      </w:r>
      <w:r>
        <w:rPr>
          <w:rFonts w:hint="eastAsia" w:ascii="楷体" w:hAnsi="楷体" w:eastAsia="楷体" w:cs="楷体"/>
          <w:bCs/>
          <w:color w:val="000000" w:themeColor="text1"/>
          <w:sz w:val="28"/>
          <w:szCs w:val="28"/>
          <w14:textFill>
            <w14:solidFill>
              <w14:schemeClr w14:val="tx1"/>
            </w14:solidFill>
          </w14:textFill>
        </w:rPr>
        <w:t>合同</w:t>
      </w:r>
      <w:r>
        <w:rPr>
          <w:rFonts w:hint="eastAsia" w:ascii="楷体" w:hAnsi="楷体" w:eastAsia="楷体" w:cs="楷体"/>
          <w:bCs/>
          <w:color w:val="000000" w:themeColor="text1"/>
          <w:sz w:val="28"/>
          <w:szCs w:val="28"/>
          <w:lang w:val="en-US" w:eastAsia="zh-CN"/>
          <w14:textFill>
            <w14:solidFill>
              <w14:schemeClr w14:val="tx1"/>
            </w14:solidFill>
          </w14:textFill>
        </w:rPr>
        <w:t>总</w:t>
      </w:r>
      <w:r>
        <w:rPr>
          <w:rFonts w:hint="eastAsia" w:ascii="楷体" w:hAnsi="楷体" w:eastAsia="楷体" w:cs="楷体"/>
          <w:bCs/>
          <w:color w:val="000000" w:themeColor="text1"/>
          <w:sz w:val="28"/>
          <w:szCs w:val="28"/>
          <w14:textFill>
            <w14:solidFill>
              <w14:schemeClr w14:val="tx1"/>
            </w14:solidFill>
          </w14:textFill>
        </w:rPr>
        <w:t>金额为（大写）：</w:t>
      </w:r>
      <w:r>
        <w:rPr>
          <w:rFonts w:hint="eastAsia" w:ascii="楷体" w:hAnsi="楷体" w:eastAsia="楷体" w:cs="楷体"/>
          <w:bCs/>
          <w:color w:val="000000" w:themeColor="text1"/>
          <w:sz w:val="28"/>
          <w:szCs w:val="28"/>
          <w:u w:val="single"/>
          <w14:textFill>
            <w14:solidFill>
              <w14:schemeClr w14:val="tx1"/>
            </w14:solidFill>
          </w14:textFill>
        </w:rPr>
        <w:t xml:space="preserve"> </w:t>
      </w:r>
      <w:r>
        <w:rPr>
          <w:rFonts w:hint="eastAsia" w:ascii="楷体" w:hAnsi="楷体" w:eastAsia="楷体" w:cs="楷体"/>
          <w:bCs/>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Cs/>
          <w:color w:val="000000" w:themeColor="text1"/>
          <w:sz w:val="28"/>
          <w:szCs w:val="28"/>
          <w:u w:val="single"/>
          <w14:textFill>
            <w14:solidFill>
              <w14:schemeClr w14:val="tx1"/>
            </w14:solidFill>
          </w14:textFill>
        </w:rPr>
        <w:t xml:space="preserve"> </w:t>
      </w:r>
      <w:r>
        <w:rPr>
          <w:rFonts w:hint="eastAsia" w:ascii="楷体" w:hAnsi="楷体" w:eastAsia="楷体" w:cs="楷体"/>
          <w:bCs/>
          <w:color w:val="000000" w:themeColor="text1"/>
          <w:sz w:val="28"/>
          <w:szCs w:val="28"/>
          <w:u w:val="none"/>
          <w:lang w:eastAsia="zh-CN"/>
          <w14:textFill>
            <w14:solidFill>
              <w14:schemeClr w14:val="tx1"/>
            </w14:solidFill>
          </w14:textFill>
        </w:rPr>
        <w:t>。</w:t>
      </w:r>
      <w:r>
        <w:rPr>
          <w:rFonts w:hint="eastAsia" w:ascii="楷体" w:hAnsi="楷体" w:eastAsia="楷体" w:cs="楷体"/>
          <w:bCs/>
          <w:color w:val="000000" w:themeColor="text1"/>
          <w:sz w:val="28"/>
          <w:szCs w:val="28"/>
          <w14:textFill>
            <w14:solidFill>
              <w14:schemeClr w14:val="tx1"/>
            </w14:solidFill>
          </w14:textFill>
        </w:rPr>
        <w:t>（小写</w:t>
      </w:r>
      <w:r>
        <w:rPr>
          <w:rFonts w:hint="eastAsia" w:ascii="楷体" w:hAnsi="楷体" w:eastAsia="楷体" w:cs="楷体"/>
          <w:bCs/>
          <w:color w:val="000000" w:themeColor="text1"/>
          <w:sz w:val="28"/>
          <w:szCs w:val="28"/>
          <w:lang w:eastAsia="zh-CN"/>
          <w14:textFill>
            <w14:solidFill>
              <w14:schemeClr w14:val="tx1"/>
            </w14:solidFill>
          </w14:textFill>
        </w:rPr>
        <w:t>：</w:t>
      </w:r>
      <w:r>
        <w:rPr>
          <w:rFonts w:hint="eastAsia" w:ascii="楷体" w:hAnsi="楷体" w:eastAsia="楷体" w:cs="楷体"/>
          <w:bCs/>
          <w:color w:val="000000" w:themeColor="text1"/>
          <w:sz w:val="28"/>
          <w:szCs w:val="28"/>
          <w:u w:val="single"/>
          <w14:textFill>
            <w14:solidFill>
              <w14:schemeClr w14:val="tx1"/>
            </w14:solidFill>
          </w14:textFill>
        </w:rPr>
        <w:t>￥</w:t>
      </w:r>
      <w:r>
        <w:rPr>
          <w:rFonts w:hint="eastAsia" w:ascii="楷体" w:hAnsi="楷体" w:eastAsia="楷体" w:cs="楷体"/>
          <w:bCs/>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Cs/>
          <w:color w:val="000000" w:themeColor="text1"/>
          <w:sz w:val="28"/>
          <w:szCs w:val="28"/>
          <w:u w:val="single"/>
          <w14:textFill>
            <w14:solidFill>
              <w14:schemeClr w14:val="tx1"/>
            </w14:solidFill>
          </w14:textFill>
        </w:rPr>
        <w:t>元</w:t>
      </w:r>
      <w:r>
        <w:rPr>
          <w:rFonts w:hint="eastAsia" w:ascii="楷体" w:hAnsi="楷体" w:eastAsia="楷体" w:cs="楷体"/>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楷体" w:hAnsi="楷体" w:eastAsia="楷体" w:cs="楷体"/>
          <w:bCs/>
          <w:color w:val="000000" w:themeColor="text1"/>
          <w:sz w:val="28"/>
          <w:szCs w:val="28"/>
          <w:lang w:val="en-US" w:eastAsia="zh-CN"/>
          <w14:textFill>
            <w14:solidFill>
              <w14:schemeClr w14:val="tx1"/>
            </w14:solidFill>
          </w14:textFill>
        </w:rPr>
      </w:pPr>
      <w:r>
        <w:rPr>
          <w:rFonts w:hint="eastAsia" w:ascii="楷体" w:hAnsi="楷体" w:eastAsia="楷体" w:cs="楷体"/>
          <w:bCs/>
          <w:color w:val="000000" w:themeColor="text1"/>
          <w:sz w:val="28"/>
          <w:szCs w:val="28"/>
          <w:lang w:val="en-US" w:eastAsia="zh-CN"/>
          <w14:textFill>
            <w14:solidFill>
              <w14:schemeClr w14:val="tx1"/>
            </w14:solidFill>
          </w14:textFill>
        </w:rPr>
        <w:t>2.付款方式</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jc w:val="left"/>
        <w:textAlignment w:val="auto"/>
        <w:rPr>
          <w:rFonts w:hint="eastAsia" w:ascii="楷体" w:hAnsi="楷体" w:eastAsia="楷体" w:cs="楷体"/>
          <w:color w:val="000000" w:themeColor="text1"/>
          <w:sz w:val="28"/>
          <w:szCs w:val="28"/>
          <w:u w:val="none"/>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u w:val="none"/>
          <w:lang w:val="en-US" w:eastAsia="zh-CN"/>
          <w14:textFill>
            <w14:solidFill>
              <w14:schemeClr w14:val="tx1"/>
            </w14:solidFill>
          </w14:textFill>
        </w:rPr>
        <w:t>按项目进度支付，项目完工提交成果报告合格后付80%，</w:t>
      </w:r>
      <w:r>
        <w:rPr>
          <w:rFonts w:hint="eastAsia" w:ascii="楷体" w:hAnsi="楷体" w:eastAsia="楷体" w:cs="楷体"/>
          <w:color w:val="000000" w:themeColor="text1"/>
          <w:sz w:val="28"/>
          <w:szCs w:val="28"/>
          <w:u w:val="none"/>
          <w:lang w:eastAsia="zh-CN"/>
          <w14:textFill>
            <w14:solidFill>
              <w14:schemeClr w14:val="tx1"/>
            </w14:solidFill>
          </w14:textFill>
        </w:rPr>
        <w:t>人民币（小写）</w:t>
      </w:r>
      <w:r>
        <w:rPr>
          <w:rFonts w:hint="eastAsia" w:ascii="楷体" w:hAnsi="楷体" w:eastAsia="楷体" w:cs="楷体"/>
          <w:color w:val="000000" w:themeColor="text1"/>
          <w:sz w:val="28"/>
          <w:szCs w:val="28"/>
          <w:u w:val="none"/>
          <w:lang w:val="en-US" w:eastAsia="zh-CN"/>
          <w14:textFill>
            <w14:solidFill>
              <w14:schemeClr w14:val="tx1"/>
            </w14:solidFill>
          </w14:textFill>
        </w:rPr>
        <w:t>￥：</w:t>
      </w:r>
      <w:r>
        <w:rPr>
          <w:rFonts w:hint="eastAsia" w:ascii="楷体" w:hAnsi="楷体" w:eastAsia="楷体" w:cs="楷体"/>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color w:val="000000" w:themeColor="text1"/>
          <w:sz w:val="28"/>
          <w:szCs w:val="28"/>
          <w:u w:val="none"/>
          <w:lang w:val="en-US" w:eastAsia="zh-CN"/>
          <w14:textFill>
            <w14:solidFill>
              <w14:schemeClr w14:val="tx1"/>
            </w14:solidFill>
          </w14:textFill>
        </w:rPr>
        <w:t>元</w:t>
      </w:r>
      <w:r>
        <w:rPr>
          <w:rFonts w:hint="eastAsia" w:ascii="楷体" w:hAnsi="楷体" w:eastAsia="楷体" w:cs="楷体"/>
          <w:color w:val="000000" w:themeColor="text1"/>
          <w:sz w:val="28"/>
          <w:szCs w:val="28"/>
          <w:u w:val="none"/>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tLeast"/>
        <w:ind w:left="3360" w:hanging="3360" w:hangingChars="1200"/>
        <w:jc w:val="left"/>
        <w:textAlignment w:val="auto"/>
        <w:rPr>
          <w:rFonts w:hint="eastAsia" w:ascii="楷体" w:hAnsi="楷体" w:eastAsia="楷体" w:cs="楷体"/>
          <w:color w:val="000000" w:themeColor="text1"/>
          <w:sz w:val="28"/>
          <w:szCs w:val="28"/>
          <w:u w:val="single"/>
          <w:lang w:val="en-US" w:eastAsia="zh-CN"/>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（2）</w:t>
      </w:r>
      <w:r>
        <w:rPr>
          <w:rFonts w:hint="eastAsia" w:ascii="楷体" w:hAnsi="楷体" w:eastAsia="楷体" w:cs="楷体"/>
          <w:color w:val="000000" w:themeColor="text1"/>
          <w:sz w:val="28"/>
          <w:szCs w:val="28"/>
          <w:u w:val="none"/>
          <w:lang w:eastAsia="zh-CN"/>
          <w14:textFill>
            <w14:solidFill>
              <w14:schemeClr w14:val="tx1"/>
            </w14:solidFill>
          </w14:textFill>
        </w:rPr>
        <w:t>项目</w:t>
      </w:r>
      <w:r>
        <w:rPr>
          <w:rFonts w:hint="eastAsia" w:ascii="楷体" w:hAnsi="楷体" w:eastAsia="楷体" w:cs="楷体"/>
          <w:color w:val="000000" w:themeColor="text1"/>
          <w:sz w:val="28"/>
          <w:szCs w:val="28"/>
          <w:u w:val="none"/>
          <w:lang w:val="en-US" w:eastAsia="zh-CN"/>
          <w14:textFill>
            <w14:solidFill>
              <w14:schemeClr w14:val="tx1"/>
            </w14:solidFill>
          </w14:textFill>
        </w:rPr>
        <w:t>待审计后予以支付尾款20%，</w:t>
      </w:r>
      <w:r>
        <w:rPr>
          <w:rFonts w:hint="eastAsia" w:ascii="楷体" w:hAnsi="楷体" w:eastAsia="楷体" w:cs="楷体"/>
          <w:color w:val="000000" w:themeColor="text1"/>
          <w:sz w:val="28"/>
          <w:szCs w:val="28"/>
          <w:u w:val="none"/>
          <w:lang w:eastAsia="zh-CN"/>
          <w14:textFill>
            <w14:solidFill>
              <w14:schemeClr w14:val="tx1"/>
            </w14:solidFill>
          </w14:textFill>
        </w:rPr>
        <w:t>人民币（小写）</w:t>
      </w:r>
      <w:r>
        <w:rPr>
          <w:rFonts w:hint="eastAsia" w:ascii="楷体" w:hAnsi="楷体" w:eastAsia="楷体" w:cs="楷体"/>
          <w:color w:val="000000" w:themeColor="text1"/>
          <w:sz w:val="28"/>
          <w:szCs w:val="28"/>
          <w:u w:val="none"/>
          <w:lang w:val="en-US" w:eastAsia="zh-CN"/>
          <w14:textFill>
            <w14:solidFill>
              <w14:schemeClr w14:val="tx1"/>
            </w14:solidFill>
          </w14:textFill>
        </w:rPr>
        <w:t>￥</w:t>
      </w:r>
      <w:r>
        <w:rPr>
          <w:rFonts w:hint="eastAsia" w:ascii="楷体" w:hAnsi="楷体" w:eastAsia="楷体" w:cs="楷体"/>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color w:val="000000" w:themeColor="text1"/>
          <w:sz w:val="28"/>
          <w:szCs w:val="28"/>
          <w:u w:val="none"/>
          <w:lang w:val="en-US" w:eastAsia="zh-CN"/>
          <w14:textFill>
            <w14:solidFill>
              <w14:schemeClr w14:val="tx1"/>
            </w14:solidFill>
          </w14:textFill>
        </w:rPr>
        <w:t>元</w:t>
      </w:r>
      <w:r>
        <w:rPr>
          <w:rFonts w:hint="eastAsia" w:ascii="楷体" w:hAnsi="楷体" w:eastAsia="楷体" w:cs="楷体"/>
          <w:color w:val="000000" w:themeColor="text1"/>
          <w:sz w:val="28"/>
          <w:szCs w:val="28"/>
          <w:u w:val="none"/>
          <w14:textFill>
            <w14:solidFill>
              <w14:schemeClr w14:val="tx1"/>
            </w14:solidFill>
          </w14:textFill>
        </w:rPr>
        <w:t>。</w:t>
      </w:r>
    </w:p>
    <w:p>
      <w:pPr>
        <w:pStyle w:val="11"/>
        <w:keepNext w:val="0"/>
        <w:keepLines w:val="0"/>
        <w:pageBreakBefore w:val="0"/>
        <w:kinsoku/>
        <w:wordWrap/>
        <w:overflowPunct/>
        <w:topLinePunct w:val="0"/>
        <w:autoSpaceDE/>
        <w:autoSpaceDN/>
        <w:bidi w:val="0"/>
        <w:adjustRightInd/>
        <w:snapToGrid/>
        <w:spacing w:line="240" w:lineRule="atLeast"/>
        <w:textAlignment w:val="auto"/>
        <w:rPr>
          <w:rFonts w:hint="eastAsia" w:ascii="楷体" w:hAnsi="楷体" w:eastAsia="楷体" w:cs="楷体"/>
          <w:bCs/>
          <w:color w:val="000000" w:themeColor="text1"/>
          <w:sz w:val="28"/>
          <w:szCs w:val="28"/>
          <w:lang w:val="en-US" w:eastAsia="zh-CN"/>
          <w14:textFill>
            <w14:solidFill>
              <w14:schemeClr w14:val="tx1"/>
            </w14:solidFill>
          </w14:textFill>
        </w:rPr>
      </w:pPr>
      <w:r>
        <w:rPr>
          <w:rFonts w:hint="eastAsia" w:ascii="楷体" w:hAnsi="楷体" w:eastAsia="楷体" w:cs="楷体"/>
          <w:bCs/>
          <w:color w:val="000000" w:themeColor="text1"/>
          <w:sz w:val="28"/>
          <w:szCs w:val="28"/>
          <w:lang w:val="en-US" w:eastAsia="zh-CN"/>
          <w14:textFill>
            <w14:solidFill>
              <w14:schemeClr w14:val="tx1"/>
            </w14:solidFill>
          </w14:textFill>
        </w:rPr>
        <w:t>3.结算方式：</w:t>
      </w:r>
      <w:r>
        <w:rPr>
          <w:rFonts w:hint="eastAsia" w:ascii="楷体" w:hAnsi="楷体" w:eastAsia="楷体" w:cs="楷体"/>
          <w:color w:val="000000" w:themeColor="text1"/>
          <w:sz w:val="28"/>
          <w:szCs w:val="28"/>
          <w:lang w:val="en-US" w:eastAsia="zh-CN"/>
          <w14:textFill>
            <w14:solidFill>
              <w14:schemeClr w14:val="tx1"/>
            </w14:solidFill>
          </w14:textFill>
        </w:rPr>
        <w:t>银行</w:t>
      </w:r>
      <w:r>
        <w:rPr>
          <w:rFonts w:hint="eastAsia" w:ascii="楷体" w:hAnsi="楷体" w:eastAsia="楷体" w:cs="楷体"/>
          <w:color w:val="000000" w:themeColor="text1"/>
          <w:sz w:val="28"/>
          <w:szCs w:val="28"/>
          <w14:textFill>
            <w14:solidFill>
              <w14:schemeClr w14:val="tx1"/>
            </w14:solidFill>
          </w14:textFill>
        </w:rPr>
        <w:t>转账</w:t>
      </w:r>
      <w:r>
        <w:rPr>
          <w:rFonts w:hint="eastAsia" w:ascii="楷体" w:hAnsi="楷体"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三、服务期及服务地点</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1.服务期：于202</w:t>
      </w:r>
      <w:r>
        <w:rPr>
          <w:rFonts w:hint="eastAsia" w:ascii="楷体" w:hAnsi="楷体" w:eastAsia="楷体" w:cs="楷体"/>
          <w:color w:val="000000" w:themeColor="text1"/>
          <w:sz w:val="28"/>
          <w:szCs w:val="28"/>
          <w:lang w:val="en-US" w:eastAsia="zh-CN"/>
          <w14:textFill>
            <w14:solidFill>
              <w14:schemeClr w14:val="tx1"/>
            </w14:solidFill>
          </w14:textFill>
        </w:rPr>
        <w:t>3</w:t>
      </w:r>
      <w:r>
        <w:rPr>
          <w:rFonts w:hint="eastAsia" w:ascii="楷体" w:hAnsi="楷体" w:eastAsia="楷体" w:cs="楷体"/>
          <w:color w:val="000000" w:themeColor="text1"/>
          <w:sz w:val="28"/>
          <w:szCs w:val="28"/>
          <w14:textFill>
            <w14:solidFill>
              <w14:schemeClr w14:val="tx1"/>
            </w14:solidFill>
          </w14:textFill>
        </w:rPr>
        <w:t>年12月31日前完成。</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2.服务地点：府谷县。</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lang w:val="en-US" w:eastAsia="zh-CN"/>
          <w14:textFill>
            <w14:solidFill>
              <w14:schemeClr w14:val="tx1"/>
            </w14:solidFill>
          </w14:textFill>
        </w:rPr>
        <w:t>四</w:t>
      </w:r>
      <w:r>
        <w:rPr>
          <w:rFonts w:hint="eastAsia" w:ascii="楷体" w:hAnsi="楷体" w:eastAsia="楷体" w:cs="楷体"/>
          <w:bCs/>
          <w:color w:val="000000" w:themeColor="text1"/>
          <w:sz w:val="28"/>
          <w:szCs w:val="28"/>
          <w14:textFill>
            <w14:solidFill>
              <w14:schemeClr w14:val="tx1"/>
            </w14:solidFill>
          </w14:textFill>
        </w:rPr>
        <w:t>、主要技术路线：</w:t>
      </w:r>
    </w:p>
    <w:p>
      <w:pPr>
        <w:keepNext w:val="0"/>
        <w:keepLines w:val="0"/>
        <w:pageBreakBefore w:val="0"/>
        <w:widowControl w:val="0"/>
        <w:kinsoku/>
        <w:wordWrap/>
        <w:overflowPunct/>
        <w:topLinePunct w:val="0"/>
        <w:autoSpaceDE/>
        <w:autoSpaceDN/>
        <w:bidi w:val="0"/>
        <w:adjustRightInd/>
        <w:snapToGrid/>
        <w:spacing w:line="240" w:lineRule="atLeast"/>
        <w:ind w:left="771"/>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21"/>
          <w:sz w:val="28"/>
          <w:szCs w:val="28"/>
          <w:lang w:val="en-US" w:eastAsia="zh-CN"/>
          <w14:textFill>
            <w14:solidFill>
              <w14:schemeClr w14:val="tx1"/>
            </w14:solidFill>
          </w14:textFill>
        </w:rPr>
        <w:t>1.</w:t>
      </w:r>
      <w:r>
        <w:rPr>
          <w:rFonts w:hint="eastAsia" w:ascii="楷体" w:hAnsi="楷体" w:eastAsia="楷体" w:cs="楷体"/>
          <w:color w:val="000000" w:themeColor="text1"/>
          <w:spacing w:val="21"/>
          <w:sz w:val="28"/>
          <w:szCs w:val="28"/>
          <w14:textFill>
            <w14:solidFill>
              <w14:schemeClr w14:val="tx1"/>
            </w14:solidFill>
          </w14:textFill>
        </w:rPr>
        <w:t>确定区域自然资源分区</w:t>
      </w:r>
    </w:p>
    <w:p>
      <w:pPr>
        <w:keepNext w:val="0"/>
        <w:keepLines w:val="0"/>
        <w:pageBreakBefore w:val="0"/>
        <w:widowControl w:val="0"/>
        <w:kinsoku/>
        <w:wordWrap/>
        <w:overflowPunct/>
        <w:topLinePunct w:val="0"/>
        <w:autoSpaceDE/>
        <w:autoSpaceDN/>
        <w:bidi w:val="0"/>
        <w:adjustRightInd/>
        <w:snapToGrid/>
        <w:spacing w:line="240" w:lineRule="atLeast"/>
        <w:ind w:right="85" w:firstLine="641"/>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10"/>
          <w:sz w:val="28"/>
          <w:szCs w:val="28"/>
          <w14:textFill>
            <w14:solidFill>
              <w14:schemeClr w14:val="tx1"/>
            </w14:solidFill>
          </w14:textFill>
        </w:rPr>
        <w:t>根据《全国自然资源分等定级分区表》,明确</w:t>
      </w:r>
      <w:r>
        <w:rPr>
          <w:rFonts w:hint="eastAsia" w:ascii="楷体" w:hAnsi="楷体" w:eastAsia="楷体" w:cs="楷体"/>
          <w:color w:val="000000" w:themeColor="text1"/>
          <w:spacing w:val="9"/>
          <w:sz w:val="28"/>
          <w:szCs w:val="28"/>
          <w14:textFill>
            <w14:solidFill>
              <w14:schemeClr w14:val="tx1"/>
            </w14:solidFill>
          </w14:textFill>
        </w:rPr>
        <w:t>我县在全国自</w:t>
      </w: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color w:val="000000" w:themeColor="text1"/>
          <w:spacing w:val="4"/>
          <w:sz w:val="28"/>
          <w:szCs w:val="28"/>
          <w14:textFill>
            <w14:solidFill>
              <w14:schemeClr w14:val="tx1"/>
            </w14:solidFill>
          </w14:textFill>
        </w:rPr>
        <w:t>然资源分等定级一级区。对于区域内自然条件差异较大的，可结</w:t>
      </w:r>
      <w:r>
        <w:rPr>
          <w:rFonts w:hint="eastAsia" w:ascii="楷体" w:hAnsi="楷体" w:eastAsia="楷体" w:cs="楷体"/>
          <w:color w:val="000000" w:themeColor="text1"/>
          <w:spacing w:val="3"/>
          <w:sz w:val="28"/>
          <w:szCs w:val="28"/>
          <w14:textFill>
            <w14:solidFill>
              <w14:schemeClr w14:val="tx1"/>
            </w14:solidFill>
          </w14:textFill>
        </w:rPr>
        <w:t>合实际，进一步划分相应的二级区。</w:t>
      </w:r>
    </w:p>
    <w:p>
      <w:pPr>
        <w:keepNext w:val="0"/>
        <w:keepLines w:val="0"/>
        <w:pageBreakBefore w:val="0"/>
        <w:widowControl w:val="0"/>
        <w:kinsoku/>
        <w:wordWrap/>
        <w:overflowPunct/>
        <w:topLinePunct w:val="0"/>
        <w:autoSpaceDE/>
        <w:autoSpaceDN/>
        <w:bidi w:val="0"/>
        <w:adjustRightInd/>
        <w:snapToGrid/>
        <w:spacing w:line="240" w:lineRule="atLeast"/>
        <w:ind w:left="771"/>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19"/>
          <w:sz w:val="28"/>
          <w:szCs w:val="28"/>
          <w:lang w:val="en-US" w:eastAsia="zh-CN"/>
          <w14:textFill>
            <w14:solidFill>
              <w14:schemeClr w14:val="tx1"/>
            </w14:solidFill>
          </w14:textFill>
        </w:rPr>
        <w:t>2.</w:t>
      </w:r>
      <w:r>
        <w:rPr>
          <w:rFonts w:hint="eastAsia" w:ascii="楷体" w:hAnsi="楷体" w:eastAsia="楷体" w:cs="楷体"/>
          <w:color w:val="000000" w:themeColor="text1"/>
          <w:spacing w:val="19"/>
          <w:sz w:val="28"/>
          <w:szCs w:val="28"/>
          <w14:textFill>
            <w14:solidFill>
              <w14:schemeClr w14:val="tx1"/>
            </w14:solidFill>
          </w14:textFill>
        </w:rPr>
        <w:t>划分定级单元和编制定级工作底图</w:t>
      </w:r>
    </w:p>
    <w:p>
      <w:pPr>
        <w:keepNext w:val="0"/>
        <w:keepLines w:val="0"/>
        <w:pageBreakBefore w:val="0"/>
        <w:widowControl w:val="0"/>
        <w:kinsoku/>
        <w:wordWrap/>
        <w:overflowPunct/>
        <w:topLinePunct w:val="0"/>
        <w:autoSpaceDE/>
        <w:autoSpaceDN/>
        <w:bidi w:val="0"/>
        <w:adjustRightInd/>
        <w:snapToGrid/>
        <w:spacing w:line="240" w:lineRule="atLeast"/>
        <w:ind w:right="74" w:firstLine="641"/>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16"/>
          <w:sz w:val="28"/>
          <w:szCs w:val="28"/>
          <w14:textFill>
            <w14:solidFill>
              <w14:schemeClr w14:val="tx1"/>
            </w14:solidFill>
          </w14:textFill>
        </w:rPr>
        <w:t>全县园地、林地、草地定级以第三次全国国土调查成果及</w:t>
      </w:r>
      <w:r>
        <w:rPr>
          <w:rFonts w:hint="eastAsia" w:ascii="楷体" w:hAnsi="楷体" w:eastAsia="楷体" w:cs="楷体"/>
          <w:color w:val="000000" w:themeColor="text1"/>
          <w:spacing w:val="12"/>
          <w:sz w:val="28"/>
          <w:szCs w:val="28"/>
          <w14:textFill>
            <w14:solidFill>
              <w14:schemeClr w14:val="tx1"/>
            </w14:solidFill>
          </w14:textFill>
        </w:rPr>
        <w:t xml:space="preserve"> </w:t>
      </w:r>
      <w:r>
        <w:rPr>
          <w:rFonts w:hint="eastAsia" w:ascii="楷体" w:hAnsi="楷体" w:eastAsia="楷体" w:cs="楷体"/>
          <w:color w:val="000000" w:themeColor="text1"/>
          <w:spacing w:val="9"/>
          <w:sz w:val="28"/>
          <w:szCs w:val="28"/>
          <w14:textFill>
            <w14:solidFill>
              <w14:schemeClr w14:val="tx1"/>
            </w14:solidFill>
          </w14:textFill>
        </w:rPr>
        <w:t>2021</w:t>
      </w:r>
      <w:r>
        <w:rPr>
          <w:rFonts w:hint="eastAsia" w:ascii="楷体" w:hAnsi="楷体" w:eastAsia="楷体" w:cs="楷体"/>
          <w:color w:val="000000" w:themeColor="text1"/>
          <w:spacing w:val="31"/>
          <w:sz w:val="28"/>
          <w:szCs w:val="28"/>
          <w14:textFill>
            <w14:solidFill>
              <w14:schemeClr w14:val="tx1"/>
            </w14:solidFill>
          </w14:textFill>
        </w:rPr>
        <w:t xml:space="preserve"> </w:t>
      </w:r>
      <w:r>
        <w:rPr>
          <w:rFonts w:hint="eastAsia" w:ascii="楷体" w:hAnsi="楷体" w:eastAsia="楷体" w:cs="楷体"/>
          <w:color w:val="000000" w:themeColor="text1"/>
          <w:spacing w:val="9"/>
          <w:sz w:val="28"/>
          <w:szCs w:val="28"/>
          <w14:textFill>
            <w14:solidFill>
              <w14:schemeClr w14:val="tx1"/>
            </w14:solidFill>
          </w14:textFill>
        </w:rPr>
        <w:t>年度国土变更调查数据为底图，参考相关部门区划资料划</w:t>
      </w:r>
      <w:r>
        <w:rPr>
          <w:rFonts w:hint="eastAsia" w:ascii="楷体" w:hAnsi="楷体" w:eastAsia="楷体" w:cs="楷体"/>
          <w:color w:val="000000" w:themeColor="text1"/>
          <w:spacing w:val="3"/>
          <w:sz w:val="28"/>
          <w:szCs w:val="28"/>
          <w14:textFill>
            <w14:solidFill>
              <w14:schemeClr w14:val="tx1"/>
            </w14:solidFill>
          </w14:textFill>
        </w:rPr>
        <w:t>分定级单元，编制定级工作底图。</w:t>
      </w:r>
    </w:p>
    <w:p>
      <w:pPr>
        <w:keepNext w:val="0"/>
        <w:keepLines w:val="0"/>
        <w:pageBreakBefore w:val="0"/>
        <w:widowControl w:val="0"/>
        <w:kinsoku/>
        <w:wordWrap/>
        <w:overflowPunct/>
        <w:topLinePunct w:val="0"/>
        <w:autoSpaceDE/>
        <w:autoSpaceDN/>
        <w:bidi w:val="0"/>
        <w:adjustRightInd/>
        <w:snapToGrid/>
        <w:spacing w:line="240" w:lineRule="atLeast"/>
        <w:ind w:left="771"/>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15"/>
          <w:sz w:val="28"/>
          <w:szCs w:val="28"/>
          <w:lang w:val="en-US" w:eastAsia="zh-CN"/>
          <w14:textFill>
            <w14:solidFill>
              <w14:schemeClr w14:val="tx1"/>
            </w14:solidFill>
          </w14:textFill>
        </w:rPr>
        <w:t>3.</w:t>
      </w:r>
      <w:r>
        <w:rPr>
          <w:rFonts w:hint="eastAsia" w:ascii="楷体" w:hAnsi="楷体" w:eastAsia="楷体" w:cs="楷体"/>
          <w:color w:val="000000" w:themeColor="text1"/>
          <w:spacing w:val="15"/>
          <w:sz w:val="28"/>
          <w:szCs w:val="28"/>
          <w14:textFill>
            <w14:solidFill>
              <w14:schemeClr w14:val="tx1"/>
            </w14:solidFill>
          </w14:textFill>
        </w:rPr>
        <w:t>建立园林草地定级指标体系，开展级别评价工作</w:t>
      </w:r>
    </w:p>
    <w:p>
      <w:pPr>
        <w:keepNext w:val="0"/>
        <w:keepLines w:val="0"/>
        <w:pageBreakBefore w:val="0"/>
        <w:widowControl w:val="0"/>
        <w:kinsoku/>
        <w:wordWrap/>
        <w:overflowPunct/>
        <w:topLinePunct w:val="0"/>
        <w:autoSpaceDE/>
        <w:autoSpaceDN/>
        <w:bidi w:val="0"/>
        <w:adjustRightInd/>
        <w:snapToGrid/>
        <w:spacing w:line="240" w:lineRule="atLeast"/>
        <w:ind w:firstLine="641"/>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7"/>
          <w:sz w:val="28"/>
          <w:szCs w:val="28"/>
          <w14:textFill>
            <w14:solidFill>
              <w14:schemeClr w14:val="tx1"/>
            </w14:solidFill>
          </w14:textFill>
        </w:rPr>
        <w:t>依据相关技术规程和标准，结合我县实际，论证确定园地、</w:t>
      </w:r>
      <w:r>
        <w:rPr>
          <w:rFonts w:hint="eastAsia" w:ascii="楷体" w:hAnsi="楷体" w:eastAsia="楷体" w:cs="楷体"/>
          <w:color w:val="000000" w:themeColor="text1"/>
          <w:spacing w:val="12"/>
          <w:sz w:val="28"/>
          <w:szCs w:val="28"/>
          <w14:textFill>
            <w14:solidFill>
              <w14:schemeClr w14:val="tx1"/>
            </w14:solidFill>
          </w14:textFill>
        </w:rPr>
        <w:t xml:space="preserve"> </w:t>
      </w:r>
      <w:r>
        <w:rPr>
          <w:rFonts w:hint="eastAsia" w:ascii="楷体" w:hAnsi="楷体" w:eastAsia="楷体" w:cs="楷体"/>
          <w:color w:val="000000" w:themeColor="text1"/>
          <w:spacing w:val="4"/>
          <w:sz w:val="28"/>
          <w:szCs w:val="28"/>
          <w14:textFill>
            <w14:solidFill>
              <w14:schemeClr w14:val="tx1"/>
            </w14:solidFill>
          </w14:textFill>
        </w:rPr>
        <w:t>林地和草地定级指标体系和权重。针对获取困难数据和缺失数据</w:t>
      </w:r>
      <w:r>
        <w:rPr>
          <w:rFonts w:hint="eastAsia" w:ascii="楷体" w:hAnsi="楷体" w:eastAsia="楷体" w:cs="楷体"/>
          <w:color w:val="000000" w:themeColor="text1"/>
          <w:spacing w:val="7"/>
          <w:sz w:val="28"/>
          <w:szCs w:val="28"/>
          <w14:textFill>
            <w14:solidFill>
              <w14:schemeClr w14:val="tx1"/>
            </w14:solidFill>
          </w14:textFill>
        </w:rPr>
        <w:t xml:space="preserve"> </w:t>
      </w:r>
      <w:r>
        <w:rPr>
          <w:rFonts w:hint="eastAsia" w:ascii="楷体" w:hAnsi="楷体" w:eastAsia="楷体" w:cs="楷体"/>
          <w:color w:val="000000" w:themeColor="text1"/>
          <w:spacing w:val="3"/>
          <w:sz w:val="28"/>
          <w:szCs w:val="28"/>
          <w14:textFill>
            <w14:solidFill>
              <w14:schemeClr w14:val="tx1"/>
            </w14:solidFill>
          </w14:textFill>
        </w:rPr>
        <w:t>资料，开展外业补充调查。对于定级指标进行量化处理，采用因</w:t>
      </w:r>
      <w:r>
        <w:rPr>
          <w:rFonts w:hint="eastAsia" w:ascii="楷体" w:hAnsi="楷体" w:eastAsia="楷体" w:cs="楷体"/>
          <w:color w:val="000000" w:themeColor="text1"/>
          <w:spacing w:val="18"/>
          <w:sz w:val="28"/>
          <w:szCs w:val="28"/>
          <w14:textFill>
            <w14:solidFill>
              <w14:schemeClr w14:val="tx1"/>
            </w14:solidFill>
          </w14:textFill>
        </w:rPr>
        <w:t xml:space="preserve"> </w:t>
      </w:r>
      <w:r>
        <w:rPr>
          <w:rFonts w:hint="eastAsia" w:ascii="楷体" w:hAnsi="楷体" w:eastAsia="楷体" w:cs="楷体"/>
          <w:color w:val="000000" w:themeColor="text1"/>
          <w:spacing w:val="6"/>
          <w:sz w:val="28"/>
          <w:szCs w:val="28"/>
          <w14:textFill>
            <w14:solidFill>
              <w14:schemeClr w14:val="tx1"/>
            </w14:solidFill>
          </w14:textFill>
        </w:rPr>
        <w:t>素法或修正法进行园地、林地和草地定级，计算定级单元</w:t>
      </w:r>
      <w:r>
        <w:rPr>
          <w:rFonts w:hint="eastAsia" w:ascii="楷体" w:hAnsi="楷体" w:eastAsia="楷体" w:cs="楷体"/>
          <w:color w:val="000000" w:themeColor="text1"/>
          <w:spacing w:val="5"/>
          <w:sz w:val="28"/>
          <w:szCs w:val="28"/>
          <w14:textFill>
            <w14:solidFill>
              <w14:schemeClr w14:val="tx1"/>
            </w14:solidFill>
          </w14:textFill>
        </w:rPr>
        <w:t>分值，</w:t>
      </w: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color w:val="000000" w:themeColor="text1"/>
          <w:spacing w:val="4"/>
          <w:sz w:val="28"/>
          <w:szCs w:val="28"/>
          <w14:textFill>
            <w14:solidFill>
              <w14:schemeClr w14:val="tx1"/>
            </w14:solidFill>
          </w14:textFill>
        </w:rPr>
        <w:t>确定级别划分标准，通过对总体进行分析或抽样调查的方法对级</w:t>
      </w:r>
      <w:r>
        <w:rPr>
          <w:rFonts w:hint="eastAsia" w:ascii="楷体" w:hAnsi="楷体" w:eastAsia="楷体" w:cs="楷体"/>
          <w:color w:val="000000" w:themeColor="text1"/>
          <w:spacing w:val="6"/>
          <w:sz w:val="28"/>
          <w:szCs w:val="28"/>
          <w14:textFill>
            <w14:solidFill>
              <w14:schemeClr w14:val="tx1"/>
            </w14:solidFill>
          </w14:textFill>
        </w:rPr>
        <w:t>别划分结果进行验证与调整，确定级别划分结果。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102" w:rightChars="0" w:firstLine="632" w:firstLineChars="200"/>
        <w:textAlignment w:val="auto"/>
        <w:rPr>
          <w:rFonts w:hint="eastAsia" w:ascii="楷体" w:hAnsi="楷体" w:eastAsia="楷体" w:cs="楷体"/>
          <w:color w:val="000000" w:themeColor="text1"/>
          <w:spacing w:val="18"/>
          <w:sz w:val="28"/>
          <w:szCs w:val="28"/>
          <w14:textFill>
            <w14:solidFill>
              <w14:schemeClr w14:val="tx1"/>
            </w14:solidFill>
          </w14:textFill>
        </w:rPr>
      </w:pPr>
      <w:r>
        <w:rPr>
          <w:rFonts w:hint="eastAsia" w:ascii="楷体" w:hAnsi="楷体" w:eastAsia="楷体" w:cs="楷体"/>
          <w:color w:val="000000" w:themeColor="text1"/>
          <w:spacing w:val="18"/>
          <w:sz w:val="28"/>
          <w:szCs w:val="28"/>
          <w:lang w:val="en-US" w:eastAsia="zh-CN"/>
          <w14:textFill>
            <w14:solidFill>
              <w14:schemeClr w14:val="tx1"/>
            </w14:solidFill>
          </w14:textFill>
        </w:rPr>
        <w:t>4.</w:t>
      </w:r>
      <w:r>
        <w:rPr>
          <w:rFonts w:hint="eastAsia" w:ascii="楷体" w:hAnsi="楷体" w:eastAsia="楷体" w:cs="楷体"/>
          <w:color w:val="000000" w:themeColor="text1"/>
          <w:spacing w:val="18"/>
          <w:sz w:val="28"/>
          <w:szCs w:val="28"/>
          <w14:textFill>
            <w14:solidFill>
              <w14:schemeClr w14:val="tx1"/>
            </w14:solidFill>
          </w14:textFill>
        </w:rPr>
        <w:t>开展园地林地草地基准价评估工作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102" w:rightChars="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4"/>
          <w:sz w:val="28"/>
          <w:szCs w:val="28"/>
          <w14:textFill>
            <w14:solidFill>
              <w14:schemeClr w14:val="tx1"/>
            </w14:solidFill>
          </w14:textFill>
        </w:rPr>
        <w:t>通过基础资料调查与整理，界定园地、林地、草地基准地价</w:t>
      </w:r>
      <w:r>
        <w:rPr>
          <w:rFonts w:hint="eastAsia" w:ascii="楷体" w:hAnsi="楷体" w:eastAsia="楷体" w:cs="楷体"/>
          <w:color w:val="000000" w:themeColor="text1"/>
          <w:spacing w:val="15"/>
          <w:sz w:val="28"/>
          <w:szCs w:val="28"/>
          <w14:textFill>
            <w14:solidFill>
              <w14:schemeClr w14:val="tx1"/>
            </w14:solidFill>
          </w14:textFill>
        </w:rPr>
        <w:t xml:space="preserve"> </w:t>
      </w:r>
      <w:r>
        <w:rPr>
          <w:rFonts w:hint="eastAsia" w:ascii="楷体" w:hAnsi="楷体" w:eastAsia="楷体" w:cs="楷体"/>
          <w:color w:val="000000" w:themeColor="text1"/>
          <w:spacing w:val="3"/>
          <w:sz w:val="28"/>
          <w:szCs w:val="28"/>
          <w14:textFill>
            <w14:solidFill>
              <w14:schemeClr w14:val="tx1"/>
            </w14:solidFill>
          </w14:textFill>
        </w:rPr>
        <w:t>内涵，采取样点地价平均法、定级指数模型法、基准地</w:t>
      </w:r>
      <w:r>
        <w:rPr>
          <w:rFonts w:hint="eastAsia" w:ascii="楷体" w:hAnsi="楷体" w:eastAsia="楷体" w:cs="楷体"/>
          <w:color w:val="000000" w:themeColor="text1"/>
          <w:spacing w:val="2"/>
          <w:sz w:val="28"/>
          <w:szCs w:val="28"/>
          <w14:textFill>
            <w14:solidFill>
              <w14:schemeClr w14:val="tx1"/>
            </w14:solidFill>
          </w14:textFill>
        </w:rPr>
        <w:t>块评估法</w:t>
      </w: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color w:val="000000" w:themeColor="text1"/>
          <w:spacing w:val="4"/>
          <w:sz w:val="28"/>
          <w:szCs w:val="28"/>
          <w14:textFill>
            <w14:solidFill>
              <w14:schemeClr w14:val="tx1"/>
            </w14:solidFill>
          </w14:textFill>
        </w:rPr>
        <w:t>等方法，评估确定园地、林地、草地基准地价，编制基准</w:t>
      </w:r>
      <w:r>
        <w:rPr>
          <w:rFonts w:hint="eastAsia" w:ascii="楷体" w:hAnsi="楷体" w:eastAsia="楷体" w:cs="楷体"/>
          <w:color w:val="000000" w:themeColor="text1"/>
          <w:spacing w:val="3"/>
          <w:sz w:val="28"/>
          <w:szCs w:val="28"/>
          <w14:textFill>
            <w14:solidFill>
              <w14:schemeClr w14:val="tx1"/>
            </w14:solidFill>
          </w14:textFill>
        </w:rPr>
        <w:t>地价系</w:t>
      </w:r>
      <w:r>
        <w:rPr>
          <w:rFonts w:hint="eastAsia" w:ascii="楷体" w:hAnsi="楷体" w:eastAsia="楷体" w:cs="楷体"/>
          <w:color w:val="000000" w:themeColor="text1"/>
          <w:spacing w:val="7"/>
          <w:sz w:val="28"/>
          <w:szCs w:val="28"/>
          <w14:textFill>
            <w14:solidFill>
              <w14:schemeClr w14:val="tx1"/>
            </w14:solidFill>
          </w14:textFill>
        </w:rPr>
        <w:t>数修正表，完成基准地价评估成果验收、公布和备案工作。</w:t>
      </w:r>
    </w:p>
    <w:p>
      <w:pPr>
        <w:keepNext w:val="0"/>
        <w:keepLines w:val="0"/>
        <w:pageBreakBefore w:val="0"/>
        <w:widowControl w:val="0"/>
        <w:kinsoku/>
        <w:wordWrap/>
        <w:overflowPunct/>
        <w:topLinePunct w:val="0"/>
        <w:autoSpaceDE/>
        <w:autoSpaceDN/>
        <w:bidi w:val="0"/>
        <w:adjustRightInd/>
        <w:snapToGrid/>
        <w:spacing w:line="240" w:lineRule="atLeast"/>
        <w:ind w:left="771"/>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11"/>
          <w:position w:val="23"/>
          <w:sz w:val="28"/>
          <w:szCs w:val="28"/>
          <w:lang w:val="en-US" w:eastAsia="zh-CN"/>
          <w14:textFill>
            <w14:solidFill>
              <w14:schemeClr w14:val="tx1"/>
            </w14:solidFill>
          </w14:textFill>
        </w:rPr>
        <w:t>5.</w:t>
      </w:r>
      <w:r>
        <w:rPr>
          <w:rFonts w:hint="eastAsia" w:ascii="楷体" w:hAnsi="楷体" w:eastAsia="楷体" w:cs="楷体"/>
          <w:color w:val="000000" w:themeColor="text1"/>
          <w:spacing w:val="11"/>
          <w:position w:val="23"/>
          <w:sz w:val="28"/>
          <w:szCs w:val="28"/>
          <w14:textFill>
            <w14:solidFill>
              <w14:schemeClr w14:val="tx1"/>
            </w14:solidFill>
          </w14:textFill>
        </w:rPr>
        <w:t>建立园地林地草地定级和基准地价数据库，编制园地</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4"/>
          <w:sz w:val="28"/>
          <w:szCs w:val="28"/>
          <w14:textFill>
            <w14:solidFill>
              <w14:schemeClr w14:val="tx1"/>
            </w14:solidFill>
          </w14:textFill>
        </w:rPr>
        <w:t>林地草地定级与基准地价成果</w:t>
      </w:r>
    </w:p>
    <w:p>
      <w:pPr>
        <w:keepNext w:val="0"/>
        <w:keepLines w:val="0"/>
        <w:pageBreakBefore w:val="0"/>
        <w:widowControl w:val="0"/>
        <w:kinsoku/>
        <w:wordWrap/>
        <w:overflowPunct/>
        <w:topLinePunct w:val="0"/>
        <w:autoSpaceDE/>
        <w:autoSpaceDN/>
        <w:bidi w:val="0"/>
        <w:adjustRightInd/>
        <w:snapToGrid/>
        <w:spacing w:line="240" w:lineRule="atLeast"/>
        <w:ind w:firstLine="618"/>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4"/>
          <w:sz w:val="28"/>
          <w:szCs w:val="28"/>
          <w14:textFill>
            <w14:solidFill>
              <w14:schemeClr w14:val="tx1"/>
            </w14:solidFill>
          </w14:textFill>
        </w:rPr>
        <w:t>按照数据库建库要求，建立园地、林地和草地定级与基准地</w:t>
      </w: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color w:val="000000" w:themeColor="text1"/>
          <w:spacing w:val="-3"/>
          <w:sz w:val="28"/>
          <w:szCs w:val="28"/>
          <w14:textFill>
            <w14:solidFill>
              <w14:schemeClr w14:val="tx1"/>
            </w14:solidFill>
          </w14:textFill>
        </w:rPr>
        <w:t>价数据库，编制文字报告、数据成果、图件成果及基础资料汇编，</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4"/>
          <w:sz w:val="28"/>
          <w:szCs w:val="28"/>
          <w14:textFill>
            <w14:solidFill>
              <w14:schemeClr w14:val="tx1"/>
            </w14:solidFill>
          </w14:textFill>
        </w:rPr>
        <w:t>按要求完成数据汇交等相关工作。</w:t>
      </w:r>
    </w:p>
    <w:p>
      <w:pPr>
        <w:keepNext w:val="0"/>
        <w:keepLines w:val="0"/>
        <w:pageBreakBefore w:val="0"/>
        <w:widowControl w:val="0"/>
        <w:kinsoku/>
        <w:wordWrap/>
        <w:overflowPunct/>
        <w:topLinePunct w:val="0"/>
        <w:autoSpaceDE/>
        <w:autoSpaceDN/>
        <w:bidi w:val="0"/>
        <w:adjustRightInd/>
        <w:snapToGrid/>
        <w:spacing w:line="240" w:lineRule="atLeast"/>
        <w:ind w:left="771"/>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15"/>
          <w:sz w:val="28"/>
          <w:szCs w:val="28"/>
          <w:lang w:val="en-US" w:eastAsia="zh-CN"/>
          <w14:textFill>
            <w14:solidFill>
              <w14:schemeClr w14:val="tx1"/>
            </w14:solidFill>
          </w14:textFill>
        </w:rPr>
        <w:t>6.</w:t>
      </w:r>
      <w:r>
        <w:rPr>
          <w:rFonts w:hint="eastAsia" w:ascii="楷体" w:hAnsi="楷体" w:eastAsia="楷体" w:cs="楷体"/>
          <w:color w:val="000000" w:themeColor="text1"/>
          <w:spacing w:val="15"/>
          <w:sz w:val="28"/>
          <w:szCs w:val="28"/>
          <w14:textFill>
            <w14:solidFill>
              <w14:schemeClr w14:val="tx1"/>
            </w14:solidFill>
          </w14:textFill>
        </w:rPr>
        <w:t>园地林地草地定级和基准地价成果上报验收</w:t>
      </w:r>
    </w:p>
    <w:p>
      <w:pPr>
        <w:keepNext w:val="0"/>
        <w:keepLines w:val="0"/>
        <w:pageBreakBefore w:val="0"/>
        <w:widowControl w:val="0"/>
        <w:kinsoku/>
        <w:wordWrap/>
        <w:overflowPunct/>
        <w:topLinePunct w:val="0"/>
        <w:autoSpaceDE/>
        <w:autoSpaceDN/>
        <w:bidi w:val="0"/>
        <w:adjustRightInd/>
        <w:snapToGrid/>
        <w:spacing w:line="240" w:lineRule="atLeast"/>
        <w:ind w:left="618"/>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4"/>
          <w:position w:val="22"/>
          <w:sz w:val="28"/>
          <w:szCs w:val="28"/>
          <w14:textFill>
            <w14:solidFill>
              <w14:schemeClr w14:val="tx1"/>
            </w14:solidFill>
          </w14:textFill>
        </w:rPr>
        <w:t>根据部、省、市工作要求，按程序将县级园地林地草地定级</w:t>
      </w:r>
    </w:p>
    <w:p>
      <w:pPr>
        <w:keepNext w:val="0"/>
        <w:keepLines w:val="0"/>
        <w:pageBreakBefore w:val="0"/>
        <w:kinsoku/>
        <w:wordWrap/>
        <w:overflowPunct/>
        <w:topLinePunct w:val="0"/>
        <w:autoSpaceDE/>
        <w:autoSpaceDN/>
        <w:bidi w:val="0"/>
        <w:adjustRightInd/>
        <w:spacing w:line="240" w:lineRule="atLeast"/>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5"/>
          <w:sz w:val="28"/>
          <w:szCs w:val="28"/>
          <w14:textFill>
            <w14:solidFill>
              <w14:schemeClr w14:val="tx1"/>
            </w14:solidFill>
          </w14:textFill>
        </w:rPr>
        <w:t>和基准地价成果逐级上报审查，并配合完成验收工作。</w:t>
      </w:r>
    </w:p>
    <w:p>
      <w:pPr>
        <w:keepNext w:val="0"/>
        <w:keepLines w:val="0"/>
        <w:pageBreakBefore w:val="0"/>
        <w:widowControl w:val="0"/>
        <w:kinsoku/>
        <w:wordWrap/>
        <w:overflowPunct/>
        <w:topLinePunct w:val="0"/>
        <w:autoSpaceDE/>
        <w:autoSpaceDN/>
        <w:bidi w:val="0"/>
        <w:adjustRightInd/>
        <w:snapToGrid/>
        <w:spacing w:line="240" w:lineRule="atLeast"/>
        <w:ind w:left="771"/>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18"/>
          <w:sz w:val="28"/>
          <w:szCs w:val="28"/>
          <w:lang w:val="en-US" w:eastAsia="zh-CN"/>
          <w14:textFill>
            <w14:solidFill>
              <w14:schemeClr w14:val="tx1"/>
            </w14:solidFill>
          </w14:textFill>
        </w:rPr>
        <w:t>7.</w:t>
      </w:r>
      <w:r>
        <w:rPr>
          <w:rFonts w:hint="eastAsia" w:ascii="楷体" w:hAnsi="楷体" w:eastAsia="楷体" w:cs="楷体"/>
          <w:color w:val="000000" w:themeColor="text1"/>
          <w:spacing w:val="18"/>
          <w:sz w:val="28"/>
          <w:szCs w:val="28"/>
          <w14:textFill>
            <w14:solidFill>
              <w14:schemeClr w14:val="tx1"/>
            </w14:solidFill>
          </w14:textFill>
        </w:rPr>
        <w:t>园地林地草地基准地价成果备案公布</w:t>
      </w:r>
    </w:p>
    <w:p>
      <w:pPr>
        <w:keepNext w:val="0"/>
        <w:keepLines w:val="0"/>
        <w:pageBreakBefore w:val="0"/>
        <w:widowControl w:val="0"/>
        <w:kinsoku/>
        <w:wordWrap/>
        <w:overflowPunct/>
        <w:topLinePunct w:val="0"/>
        <w:autoSpaceDE/>
        <w:autoSpaceDN/>
        <w:bidi w:val="0"/>
        <w:adjustRightInd/>
        <w:snapToGrid/>
        <w:spacing w:line="240" w:lineRule="atLeast"/>
        <w:ind w:left="618"/>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3"/>
          <w:position w:val="24"/>
          <w:sz w:val="28"/>
          <w:szCs w:val="28"/>
          <w14:textFill>
            <w14:solidFill>
              <w14:schemeClr w14:val="tx1"/>
            </w14:solidFill>
          </w14:textFill>
        </w:rPr>
        <w:t>园地林地草地基准地价成果经省自然资源厅验收后，由县政</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2"/>
          <w:sz w:val="28"/>
          <w:szCs w:val="28"/>
          <w14:textFill>
            <w14:solidFill>
              <w14:schemeClr w14:val="tx1"/>
            </w14:solidFill>
          </w14:textFill>
        </w:rPr>
        <w:t>府按程序公布。</w:t>
      </w:r>
    </w:p>
    <w:p>
      <w:pPr>
        <w:keepNext w:val="0"/>
        <w:keepLines w:val="0"/>
        <w:pageBreakBefore w:val="0"/>
        <w:kinsoku/>
        <w:wordWrap/>
        <w:overflowPunct/>
        <w:topLinePunct w:val="0"/>
        <w:autoSpaceDE/>
        <w:autoSpaceDN/>
        <w:bidi w:val="0"/>
        <w:adjustRightInd/>
        <w:snapToGrid w:val="0"/>
        <w:spacing w:line="240" w:lineRule="atLeast"/>
        <w:ind w:firstLine="560" w:firstLineChars="200"/>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五</w:t>
      </w:r>
      <w:r>
        <w:rPr>
          <w:rFonts w:hint="eastAsia" w:ascii="楷体_GB2312" w:hAnsi="楷体_GB2312" w:eastAsia="楷体_GB2312" w:cs="楷体_GB2312"/>
          <w:sz w:val="28"/>
          <w:szCs w:val="28"/>
        </w:rPr>
        <w:t>、甲乙双方的权利和责任</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（一）甲方职责</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1、配合乙方完成对本项目相关资料的收集工作。</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2、按本合同规定，按期如数向乙方支付项目开展费用。</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3、对乙方的工作给予支持，提供方便。</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（二）乙方职责</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1.未经甲方允许，乙方不得将本合同标段的全部或部分转包给第三方。</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2.现场工作所需的人员，设备及全部支出均由乙方自行承担，工作过程中乙方及其工作人员给其他方或自身造成财产损失或人身伤害，由乙方自行承担责任。</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3.根据甲方提供的有关资料和委托要求，依照有关法规和规范等要求，按双方拟定的进度、按时、保质、保量提供相关数据及成果资料。</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4.按时向甲方汇报工作，按期完成所有工作任务。</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5.乙方应保护甲方的知识产权。未经甲方同意，不得向第三方转让甲方向乙方提供的有关数据，如发生泄密事件并给甲方造成损失，甲方有权向乙方提出索赔。</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六</w:t>
      </w:r>
      <w:r>
        <w:rPr>
          <w:rFonts w:hint="eastAsia" w:ascii="楷体_GB2312" w:hAnsi="楷体_GB2312" w:eastAsia="楷体_GB2312" w:cs="楷体_GB2312"/>
          <w:bCs/>
          <w:sz w:val="28"/>
          <w:szCs w:val="28"/>
        </w:rPr>
        <w:t>、保密措施</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1.乙方必须按国家有关保密法律法规的要求，采取有效的保密措施，严防甲方提供给乙方的成果和资料泄密。</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2.乙方不得利用甲方因执行本合同提供给乙方的成果和资料从事任何商业性活动。</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3.乙方不得利用甲方因执行本合同提供给乙方的成果和资料不得向第三方提供。</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七</w:t>
      </w:r>
      <w:r>
        <w:rPr>
          <w:rFonts w:hint="eastAsia" w:ascii="楷体_GB2312" w:hAnsi="楷体_GB2312" w:eastAsia="楷体_GB2312" w:cs="楷体_GB2312"/>
          <w:bCs/>
          <w:sz w:val="28"/>
          <w:szCs w:val="28"/>
        </w:rPr>
        <w:t>、违约责任</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1.乙方提供的成果质量经甲方等相关部门检验不合格的，乙方应负责无偿予以重测或更正，但重测成更正二次仍未通过甲方等相关部门检查验收的，乙方应向甲方赔偿由此给甲方造成的所有损失，同时，甲方有权单方解除合同。</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2.由于不可抗力，致使合同无法展行时，双方应及时协商处理。</w:t>
      </w:r>
    </w:p>
    <w:p>
      <w:pPr>
        <w:keepNext w:val="0"/>
        <w:keepLines w:val="0"/>
        <w:pageBreakBefore w:val="0"/>
        <w:kinsoku/>
        <w:wordWrap/>
        <w:overflowPunct/>
        <w:topLinePunct w:val="0"/>
        <w:autoSpaceDE/>
        <w:autoSpaceDN/>
        <w:bidi w:val="0"/>
        <w:adjustRightInd/>
        <w:spacing w:line="240" w:lineRule="atLeast"/>
        <w:ind w:firstLine="560" w:firstLineChars="200"/>
        <w:textAlignment w:val="auto"/>
        <w:rPr>
          <w:rFonts w:ascii="楷体_GB2312" w:hAnsi="楷体_GB2312" w:eastAsia="楷体_GB2312" w:cs="楷体_GB2312"/>
          <w:bCs/>
          <w:sz w:val="28"/>
          <w:szCs w:val="28"/>
        </w:rPr>
      </w:pPr>
      <w:r>
        <w:rPr>
          <w:rFonts w:hint="eastAsia" w:ascii="楷体_GB2312" w:hAnsi="楷体_GB2312" w:eastAsia="楷体_GB2312" w:cs="楷体_GB2312"/>
          <w:bCs/>
          <w:sz w:val="28"/>
          <w:szCs w:val="28"/>
        </w:rPr>
        <w:t>3.乙方擅自转包本合同标段的内容，甲方有权解除合同。合同执行过程中发生的任何争议，如双方不能通过友好协商解决，按相关法律法规处理。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lang w:val="en-US" w:eastAsia="zh-CN"/>
        </w:rPr>
        <w:t>八</w:t>
      </w:r>
      <w:r>
        <w:rPr>
          <w:rFonts w:hint="eastAsia" w:ascii="楷体_GB2312" w:hAnsi="楷体_GB2312" w:eastAsia="楷体_GB2312" w:cs="楷体_GB2312"/>
          <w:b w:val="0"/>
          <w:bCs/>
          <w:sz w:val="28"/>
          <w:szCs w:val="28"/>
        </w:rPr>
        <w:t>、其它</w:t>
      </w:r>
    </w:p>
    <w:p>
      <w:pPr>
        <w:keepNext w:val="0"/>
        <w:keepLines w:val="0"/>
        <w:pageBreakBefore w:val="0"/>
        <w:widowControl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rPr>
        <w:t xml:space="preserve"> 本合同所有附件均为合同</w:t>
      </w:r>
      <w:r>
        <w:rPr>
          <w:rFonts w:hint="eastAsia" w:ascii="楷体_GB2312" w:hAnsi="楷体_GB2312" w:eastAsia="楷体_GB2312" w:cs="楷体_GB2312"/>
          <w:sz w:val="28"/>
          <w:szCs w:val="28"/>
        </w:rPr>
        <w:t>的有效组成部分，与本合同具有同等法律效力。</w:t>
      </w:r>
    </w:p>
    <w:p>
      <w:pPr>
        <w:keepNext w:val="0"/>
        <w:keepLines w:val="0"/>
        <w:pageBreakBefore w:val="0"/>
        <w:widowControl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Cs/>
          <w:sz w:val="28"/>
          <w:szCs w:val="28"/>
        </w:rPr>
        <w:t>2</w:t>
      </w:r>
      <w:r>
        <w:rPr>
          <w:rFonts w:hint="eastAsia" w:ascii="楷体_GB2312" w:hAnsi="楷体_GB2312" w:eastAsia="楷体_GB2312" w:cs="楷体_GB2312"/>
          <w:bCs/>
          <w:sz w:val="28"/>
          <w:szCs w:val="28"/>
          <w:lang w:eastAsia="zh-CN"/>
        </w:rPr>
        <w:t>.</w:t>
      </w:r>
      <w:r>
        <w:rPr>
          <w:rFonts w:hint="eastAsia" w:ascii="楷体_GB2312" w:hAnsi="楷体_GB2312" w:eastAsia="楷体_GB2312" w:cs="楷体_GB2312"/>
          <w:bCs/>
          <w:sz w:val="28"/>
          <w:szCs w:val="28"/>
        </w:rPr>
        <w:t xml:space="preserve"> </w:t>
      </w:r>
      <w:r>
        <w:rPr>
          <w:rFonts w:hint="eastAsia" w:ascii="楷体_GB2312" w:hAnsi="楷体_GB2312" w:eastAsia="楷体_GB2312" w:cs="楷体_GB2312"/>
          <w:sz w:val="28"/>
          <w:szCs w:val="28"/>
        </w:rPr>
        <w:t>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 xml:space="preserve"> 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lang w:val="en-US" w:eastAsia="zh-CN"/>
        </w:rPr>
        <w:t>九</w:t>
      </w:r>
      <w:r>
        <w:rPr>
          <w:rFonts w:hint="eastAsia" w:ascii="楷体_GB2312" w:hAnsi="楷体_GB2312" w:eastAsia="楷体_GB2312" w:cs="楷体_GB2312"/>
          <w:b w:val="0"/>
          <w:bCs/>
          <w:sz w:val="28"/>
          <w:szCs w:val="28"/>
        </w:rPr>
        <w:t>、合同生效：</w:t>
      </w:r>
    </w:p>
    <w:p>
      <w:pPr>
        <w:keepNext w:val="0"/>
        <w:keepLines w:val="0"/>
        <w:pageBreakBefore w:val="0"/>
        <w:widowControl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rPr>
        <w:t>本合同</w:t>
      </w:r>
      <w:r>
        <w:rPr>
          <w:rFonts w:hint="eastAsia" w:ascii="楷体_GB2312" w:hAnsi="楷体_GB2312" w:eastAsia="楷体_GB2312" w:cs="楷体_GB2312"/>
          <w:b w:val="0"/>
          <w:bCs/>
          <w:sz w:val="28"/>
          <w:szCs w:val="28"/>
          <w:lang w:val="en-US" w:eastAsia="zh-CN"/>
        </w:rPr>
        <w:t>效益</w:t>
      </w:r>
      <w:r>
        <w:rPr>
          <w:rFonts w:hint="eastAsia" w:ascii="楷体_GB2312" w:hAnsi="楷体_GB2312" w:eastAsia="楷体_GB2312" w:cs="楷体_GB2312"/>
          <w:b w:val="0"/>
          <w:bCs/>
          <w:sz w:val="28"/>
          <w:szCs w:val="28"/>
        </w:rPr>
        <w:t>在甲乙双方法人代表或其</w:t>
      </w:r>
      <w:r>
        <w:rPr>
          <w:rFonts w:hint="eastAsia" w:ascii="楷体_GB2312" w:hAnsi="楷体_GB2312" w:eastAsia="楷体_GB2312" w:cs="楷体_GB2312"/>
          <w:b w:val="0"/>
          <w:bCs/>
          <w:sz w:val="28"/>
          <w:szCs w:val="28"/>
          <w:lang w:val="en-US" w:eastAsia="zh-CN"/>
        </w:rPr>
        <w:t>委托代理人的</w:t>
      </w:r>
      <w:r>
        <w:rPr>
          <w:rFonts w:hint="eastAsia" w:ascii="楷体_GB2312" w:hAnsi="楷体_GB2312" w:eastAsia="楷体_GB2312" w:cs="楷体_GB2312"/>
          <w:b w:val="0"/>
          <w:bCs/>
          <w:sz w:val="28"/>
          <w:szCs w:val="28"/>
        </w:rPr>
        <w:t>签字盖章后生效。</w:t>
      </w:r>
    </w:p>
    <w:p>
      <w:pPr>
        <w:keepNext w:val="0"/>
        <w:keepLines w:val="0"/>
        <w:pageBreakBefore w:val="0"/>
        <w:widowControl w:val="0"/>
        <w:kinsoku/>
        <w:wordWrap/>
        <w:overflowPunct/>
        <w:topLinePunct w:val="0"/>
        <w:autoSpaceDE/>
        <w:autoSpaceDN/>
        <w:bidi w:val="0"/>
        <w:adjustRightInd/>
        <w:spacing w:line="240" w:lineRule="atLeast"/>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本</w:t>
      </w:r>
      <w:r>
        <w:rPr>
          <w:rFonts w:hint="eastAsia" w:ascii="楷体_GB2312" w:hAnsi="楷体_GB2312" w:eastAsia="楷体_GB2312" w:cs="楷体_GB2312"/>
          <w:sz w:val="28"/>
          <w:szCs w:val="28"/>
        </w:rPr>
        <w:t>合同一式</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份</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甲乙双方各执</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lang w:val="en-US" w:eastAsia="zh-CN"/>
        </w:rPr>
        <w:t>份；各方签字盖章后生效</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合同执行完毕自动失效。</w:t>
      </w:r>
    </w:p>
    <w:p>
      <w:pPr>
        <w:pStyle w:val="6"/>
        <w:keepNext w:val="0"/>
        <w:keepLines w:val="0"/>
        <w:pageBreakBefore w:val="0"/>
        <w:kinsoku/>
        <w:wordWrap/>
        <w:overflowPunct/>
        <w:topLinePunct w:val="0"/>
        <w:autoSpaceDE/>
        <w:autoSpaceDN/>
        <w:bidi w:val="0"/>
        <w:adjustRightInd/>
        <w:spacing w:line="240" w:lineRule="atLeast"/>
        <w:jc w:val="both"/>
        <w:textAlignment w:val="auto"/>
        <w:rPr>
          <w:rFonts w:hint="eastAsia" w:hAnsi="楷体_GB2312" w:cs="楷体_GB2312"/>
          <w:sz w:val="28"/>
          <w:szCs w:val="28"/>
          <w:lang w:val="en-US" w:eastAsia="zh-CN"/>
        </w:rPr>
      </w:pPr>
      <w:r>
        <w:rPr>
          <w:rFonts w:hint="eastAsia" w:hAnsi="楷体_GB2312" w:cs="楷体_GB2312"/>
          <w:sz w:val="28"/>
          <w:szCs w:val="28"/>
          <w:lang w:val="en-US" w:eastAsia="zh-CN"/>
        </w:rPr>
        <w:t>（本页无正文）</w:t>
      </w:r>
    </w:p>
    <w:p>
      <w:pPr>
        <w:pStyle w:val="6"/>
        <w:jc w:val="center"/>
        <w:rPr>
          <w:rFonts w:hint="eastAsia" w:hAnsi="楷体_GB2312" w:cs="楷体_GB2312"/>
          <w:sz w:val="28"/>
          <w:szCs w:val="28"/>
          <w:lang w:val="en-US" w:eastAsia="zh-CN"/>
        </w:rPr>
      </w:pPr>
    </w:p>
    <w:p>
      <w:pPr>
        <w:pStyle w:val="6"/>
        <w:jc w:val="center"/>
        <w:rPr>
          <w:rFonts w:hint="eastAsia" w:hAnsi="楷体_GB2312" w:cs="楷体_GB2312"/>
          <w:sz w:val="28"/>
          <w:szCs w:val="28"/>
          <w:lang w:val="en-US" w:eastAsia="zh-CN"/>
        </w:rPr>
      </w:pPr>
    </w:p>
    <w:p>
      <w:pPr>
        <w:pStyle w:val="6"/>
        <w:jc w:val="center"/>
        <w:rPr>
          <w:rFonts w:hint="eastAsia" w:hAnsi="楷体_GB2312" w:cs="楷体_GB2312"/>
          <w:sz w:val="28"/>
          <w:szCs w:val="28"/>
          <w:lang w:val="en-US" w:eastAsia="zh-CN"/>
        </w:rPr>
      </w:pPr>
    </w:p>
    <w:p>
      <w:pPr>
        <w:pStyle w:val="6"/>
        <w:jc w:val="center"/>
        <w:rPr>
          <w:rFonts w:hint="eastAsia" w:hAnsi="楷体_GB2312" w:cs="楷体_GB2312"/>
          <w:sz w:val="28"/>
          <w:szCs w:val="28"/>
          <w:lang w:val="en-US" w:eastAsia="zh-CN"/>
        </w:rPr>
      </w:pPr>
    </w:p>
    <w:p>
      <w:pPr>
        <w:keepNext w:val="0"/>
        <w:keepLines w:val="0"/>
        <w:pageBreakBefore w:val="0"/>
        <w:widowControl w:val="0"/>
        <w:tabs>
          <w:tab w:val="left" w:pos="480"/>
        </w:tabs>
        <w:kinsoku/>
        <w:wordWrap/>
        <w:overflowPunct/>
        <w:topLinePunct w:val="0"/>
        <w:autoSpaceDE/>
        <w:autoSpaceDN/>
        <w:bidi w:val="0"/>
        <w:adjustRightInd/>
        <w:snapToGrid/>
        <w:spacing w:before="313" w:beforeLines="100" w:line="60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甲  方（公章）                 乙  方（公章）</w:t>
      </w:r>
    </w:p>
    <w:p>
      <w:pPr>
        <w:keepNext w:val="0"/>
        <w:keepLines w:val="0"/>
        <w:pageBreakBefore w:val="0"/>
        <w:widowControl w:val="0"/>
        <w:tabs>
          <w:tab w:val="left" w:pos="480"/>
        </w:tabs>
        <w:kinsoku/>
        <w:wordWrap/>
        <w:overflowPunct/>
        <w:topLinePunct w:val="0"/>
        <w:autoSpaceDE/>
        <w:autoSpaceDN/>
        <w:bidi w:val="0"/>
        <w:adjustRightInd/>
        <w:snapToGrid/>
        <w:spacing w:line="600" w:lineRule="exact"/>
        <w:ind w:firstLine="560" w:firstLineChars="200"/>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法定代表人</w:t>
      </w:r>
      <w:r>
        <w:rPr>
          <w:rFonts w:hint="eastAsia" w:ascii="楷体_GB2312" w:hAnsi="楷体_GB2312" w:eastAsia="楷体_GB2312" w:cs="楷体_GB2312"/>
          <w:b w:val="0"/>
          <w:bCs w:val="0"/>
          <w:sz w:val="28"/>
          <w:szCs w:val="28"/>
        </w:rPr>
        <w:t xml:space="preserve"> </w:t>
      </w:r>
      <w:r>
        <w:rPr>
          <w:rFonts w:hint="eastAsia" w:ascii="楷体_GB2312" w:hAnsi="楷体_GB2312" w:eastAsia="楷体_GB2312" w:cs="楷体_GB2312"/>
          <w:b w:val="0"/>
          <w:bCs w:val="0"/>
          <w:sz w:val="28"/>
          <w:szCs w:val="28"/>
          <w:lang w:val="en-US" w:eastAsia="zh-CN"/>
        </w:rPr>
        <w:t xml:space="preserve">                    法定代表人</w:t>
      </w:r>
    </w:p>
    <w:p>
      <w:pPr>
        <w:keepNext w:val="0"/>
        <w:keepLines w:val="0"/>
        <w:pageBreakBefore w:val="0"/>
        <w:widowControl w:val="0"/>
        <w:tabs>
          <w:tab w:val="left" w:pos="480"/>
        </w:tabs>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或委托代理人（签字或盖章）： </w:t>
      </w:r>
      <w:r>
        <w:rPr>
          <w:rFonts w:hint="eastAsia" w:ascii="楷体_GB2312" w:hAnsi="楷体_GB2312" w:eastAsia="楷体_GB2312" w:cs="楷体_GB2312"/>
          <w:b w:val="0"/>
          <w:bCs w:val="0"/>
          <w:sz w:val="28"/>
          <w:szCs w:val="28"/>
        </w:rPr>
        <w:t xml:space="preserve">   </w:t>
      </w:r>
      <w:r>
        <w:rPr>
          <w:rFonts w:hint="eastAsia" w:ascii="楷体_GB2312" w:hAnsi="楷体_GB2312" w:eastAsia="楷体_GB2312" w:cs="楷体_GB2312"/>
          <w:b w:val="0"/>
          <w:bCs w:val="0"/>
          <w:sz w:val="28"/>
          <w:szCs w:val="28"/>
          <w:lang w:val="en-US" w:eastAsia="zh-CN"/>
        </w:rPr>
        <w:t>或委托代理人（签字或盖章）：</w:t>
      </w:r>
    </w:p>
    <w:p>
      <w:pPr>
        <w:keepNext w:val="0"/>
        <w:keepLines w:val="0"/>
        <w:pageBreakBefore w:val="0"/>
        <w:widowControl w:val="0"/>
        <w:tabs>
          <w:tab w:val="left" w:pos="480"/>
        </w:tabs>
        <w:kinsoku/>
        <w:wordWrap/>
        <w:overflowPunct/>
        <w:topLinePunct w:val="0"/>
        <w:autoSpaceDE/>
        <w:autoSpaceDN/>
        <w:bidi w:val="0"/>
        <w:adjustRightInd/>
        <w:snapToGrid/>
        <w:spacing w:line="600" w:lineRule="exact"/>
        <w:ind w:firstLine="560" w:firstLineChars="200"/>
        <w:textAlignment w:val="auto"/>
        <w:rPr>
          <w:rFonts w:hint="eastAsia" w:ascii="楷体_GB2312" w:hAnsi="楷体_GB2312" w:eastAsia="楷体_GB2312" w:cs="楷体_GB2312"/>
          <w:b w:val="0"/>
          <w:bCs w:val="0"/>
          <w:sz w:val="28"/>
          <w:szCs w:val="28"/>
        </w:rPr>
      </w:pPr>
    </w:p>
    <w:p>
      <w:pPr>
        <w:keepNext w:val="0"/>
        <w:keepLines w:val="0"/>
        <w:pageBreakBefore w:val="0"/>
        <w:widowControl w:val="0"/>
        <w:tabs>
          <w:tab w:val="left" w:pos="480"/>
        </w:tabs>
        <w:kinsoku/>
        <w:wordWrap/>
        <w:overflowPunct/>
        <w:topLinePunct w:val="0"/>
        <w:autoSpaceDE/>
        <w:autoSpaceDN/>
        <w:bidi w:val="0"/>
        <w:adjustRightInd/>
        <w:snapToGrid/>
        <w:spacing w:line="60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地  址：                       地  址：</w:t>
      </w:r>
    </w:p>
    <w:p>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rPr>
        <w:t>联系电话：                     联系电话</w:t>
      </w:r>
      <w:r>
        <w:rPr>
          <w:rFonts w:hint="eastAsia" w:ascii="楷体_GB2312" w:hAnsi="楷体_GB2312" w:eastAsia="楷体_GB2312" w:cs="楷体_GB2312"/>
          <w:b w:val="0"/>
          <w:bCs w:val="0"/>
          <w:sz w:val="28"/>
          <w:szCs w:val="28"/>
          <w:lang w:eastAsia="zh-CN"/>
        </w:rPr>
        <w:t>：</w:t>
      </w:r>
    </w:p>
    <w:p>
      <w:pPr>
        <w:pStyle w:val="11"/>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开户银行：                     开户银行：</w:t>
      </w:r>
    </w:p>
    <w:p>
      <w:pPr>
        <w:pStyle w:val="11"/>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账  号：                       账  号：</w:t>
      </w:r>
    </w:p>
    <w:p>
      <w:pPr>
        <w:pStyle w:val="11"/>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楷体_GB2312" w:hAnsi="楷体_GB2312" w:eastAsia="楷体_GB2312" w:cs="楷体_GB2312"/>
          <w:b w:val="0"/>
          <w:bCs w:val="0"/>
          <w:sz w:val="28"/>
          <w:szCs w:val="28"/>
          <w:lang w:val="en-US" w:eastAsia="zh-CN"/>
        </w:rPr>
      </w:pPr>
    </w:p>
    <w:p>
      <w:pPr>
        <w:pStyle w:val="11"/>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sz w:val="28"/>
          <w:szCs w:val="28"/>
        </w:rPr>
        <w:t>签订日期：</w:t>
      </w:r>
      <w:r>
        <w:rPr>
          <w:rFonts w:hint="eastAsia" w:ascii="楷体_GB2312" w:hAnsi="楷体_GB2312" w:eastAsia="楷体_GB2312" w:cs="楷体_GB2312"/>
          <w:b w:val="0"/>
          <w:bCs w:val="0"/>
          <w:sz w:val="28"/>
          <w:szCs w:val="28"/>
          <w:lang w:val="en-US" w:eastAsia="zh-CN"/>
        </w:rPr>
        <w:t xml:space="preserve">     年  月  日      </w:t>
      </w:r>
      <w:r>
        <w:rPr>
          <w:rFonts w:hint="eastAsia" w:ascii="楷体_GB2312" w:hAnsi="楷体_GB2312" w:eastAsia="楷体_GB2312" w:cs="楷体_GB2312"/>
          <w:b w:val="0"/>
          <w:bCs w:val="0"/>
          <w:sz w:val="28"/>
          <w:szCs w:val="28"/>
        </w:rPr>
        <w:t>签订日期：</w:t>
      </w:r>
      <w:r>
        <w:rPr>
          <w:rFonts w:hint="eastAsia" w:ascii="楷体_GB2312" w:hAnsi="楷体_GB2312" w:eastAsia="楷体_GB2312" w:cs="楷体_GB2312"/>
          <w:b w:val="0"/>
          <w:bCs w:val="0"/>
          <w:sz w:val="28"/>
          <w:szCs w:val="28"/>
          <w:lang w:val="en-US" w:eastAsia="zh-CN"/>
        </w:rPr>
        <w:t xml:space="preserve">     年  月  日</w:t>
      </w:r>
    </w:p>
    <w:p>
      <w:pPr>
        <w:pStyle w:val="11"/>
        <w:ind w:left="0" w:leftChars="0" w:firstLine="0" w:firstLineChars="0"/>
        <w:rPr>
          <w:rFonts w:hint="eastAsia" w:ascii="楷体_GB2312" w:hAnsi="楷体_GB2312" w:eastAsia="楷体_GB2312" w:cs="楷体_GB2312"/>
          <w:bCs/>
          <w:sz w:val="28"/>
          <w:szCs w:val="28"/>
        </w:rPr>
      </w:pPr>
    </w:p>
    <w:p>
      <w:pPr>
        <w:pStyle w:val="11"/>
        <w:ind w:left="0" w:leftChars="0" w:firstLine="0" w:firstLineChars="0"/>
        <w:rPr>
          <w:rFonts w:hint="eastAsia" w:ascii="楷体_GB2312" w:hAnsi="楷体_GB2312" w:eastAsia="楷体_GB2312" w:cs="楷体_GB2312"/>
          <w:bCs/>
          <w:sz w:val="28"/>
          <w:szCs w:val="28"/>
        </w:rPr>
      </w:pPr>
    </w:p>
    <w:p>
      <w:pPr>
        <w:pStyle w:val="11"/>
        <w:ind w:left="0" w:leftChars="0" w:firstLine="0" w:firstLineChars="0"/>
        <w:rPr>
          <w:rFonts w:hint="eastAsia" w:ascii="楷体_GB2312" w:hAnsi="楷体_GB2312" w:eastAsia="楷体_GB2312" w:cs="楷体_GB2312"/>
          <w:bCs/>
          <w:sz w:val="28"/>
          <w:szCs w:val="28"/>
        </w:rPr>
      </w:pPr>
    </w:p>
    <w:p>
      <w:pPr>
        <w:pStyle w:val="11"/>
        <w:ind w:left="0" w:leftChars="0" w:firstLine="0" w:firstLineChars="0"/>
        <w:rPr>
          <w:rFonts w:hint="eastAsia" w:ascii="楷体_GB2312" w:hAnsi="楷体_GB2312" w:eastAsia="楷体_GB2312" w:cs="楷体_GB2312"/>
          <w:bCs/>
          <w:sz w:val="28"/>
          <w:szCs w:val="28"/>
        </w:rPr>
      </w:pPr>
    </w:p>
    <w:p>
      <w:pPr>
        <w:pStyle w:val="11"/>
        <w:ind w:left="0" w:leftChars="0" w:firstLine="0" w:firstLineChars="0"/>
        <w:rPr>
          <w:rFonts w:hint="eastAsia" w:ascii="楷体_GB2312" w:hAnsi="楷体_GB2312" w:eastAsia="楷体_GB2312" w:cs="楷体_GB2312"/>
          <w:bCs/>
          <w:sz w:val="28"/>
          <w:szCs w:val="28"/>
        </w:rPr>
      </w:pPr>
    </w:p>
    <w:p>
      <w:pPr>
        <w:numPr>
          <w:ilvl w:val="0"/>
          <w:numId w:val="0"/>
        </w:numPr>
        <w:ind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五、履约验收标准和方法</w:t>
      </w:r>
    </w:p>
    <w:p>
      <w:pPr>
        <w:numPr>
          <w:ilvl w:val="0"/>
          <w:numId w:val="0"/>
        </w:numPr>
        <w:ind w:firstLine="640" w:firstLineChars="200"/>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1、履约验收时间：</w:t>
      </w:r>
      <w:r>
        <w:rPr>
          <w:rFonts w:hint="eastAsia" w:ascii="仿宋" w:hAnsi="仿宋" w:eastAsia="仿宋" w:cs="仿宋"/>
          <w:color w:val="000000" w:themeColor="text1"/>
          <w:sz w:val="32"/>
          <w:szCs w:val="32"/>
          <w:u w:val="single"/>
          <w:lang w:val="en-US" w:eastAsia="zh-CN"/>
          <w14:textFill>
            <w14:solidFill>
              <w14:schemeClr w14:val="tx1"/>
            </w14:solidFill>
          </w14:textFill>
        </w:rPr>
        <w:t>2023年12月31日前</w:t>
      </w:r>
    </w:p>
    <w:p>
      <w:pPr>
        <w:pStyle w:val="11"/>
        <w:ind w:firstLine="64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2、履约验收内容：本项目为</w:t>
      </w:r>
      <w:r>
        <w:rPr>
          <w:rFonts w:hint="eastAsia" w:ascii="仿宋" w:hAnsi="仿宋" w:eastAsia="仿宋" w:cs="仿宋"/>
          <w:color w:val="000000" w:themeColor="text1"/>
          <w:sz w:val="32"/>
          <w:szCs w:val="32"/>
          <w14:textFill>
            <w14:solidFill>
              <w14:schemeClr w14:val="tx1"/>
            </w14:solidFill>
          </w14:textFill>
        </w:rPr>
        <w:t>府谷县园地、林地、草地、定级和基准地价制定工作</w:t>
      </w:r>
      <w:r>
        <w:rPr>
          <w:rFonts w:hint="eastAsia" w:ascii="仿宋" w:hAnsi="仿宋" w:eastAsia="仿宋" w:cs="仿宋"/>
          <w:color w:val="000000" w:themeColor="text1"/>
          <w:spacing w:val="-5"/>
          <w:sz w:val="32"/>
          <w:szCs w:val="32"/>
          <w14:textFill>
            <w14:solidFill>
              <w14:schemeClr w14:val="tx1"/>
            </w14:solidFill>
          </w14:textFill>
        </w:rPr>
        <w:t>，以第三次</w:t>
      </w:r>
      <w:r>
        <w:rPr>
          <w:rFonts w:hint="eastAsia" w:ascii="仿宋" w:hAnsi="仿宋" w:eastAsia="仿宋" w:cs="仿宋"/>
          <w:color w:val="000000" w:themeColor="text1"/>
          <w:spacing w:val="5"/>
          <w:sz w:val="32"/>
          <w:szCs w:val="32"/>
          <w14:textFill>
            <w14:solidFill>
              <w14:schemeClr w14:val="tx1"/>
            </w14:solidFill>
          </w14:textFill>
        </w:rPr>
        <w:t>全国国土调查成果及2021</w:t>
      </w:r>
      <w:r>
        <w:rPr>
          <w:rFonts w:hint="eastAsia" w:ascii="仿宋" w:hAnsi="仿宋" w:eastAsia="仿宋" w:cs="仿宋"/>
          <w:color w:val="000000" w:themeColor="text1"/>
          <w:spacing w:val="-67"/>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年度国土变更调查数据为底图，严格</w:t>
      </w:r>
      <w:r>
        <w:rPr>
          <w:rFonts w:hint="eastAsia" w:ascii="仿宋" w:hAnsi="仿宋" w:eastAsia="仿宋" w:cs="仿宋"/>
          <w:color w:val="000000" w:themeColor="text1"/>
          <w:spacing w:val="-4"/>
          <w:sz w:val="32"/>
          <w:szCs w:val="32"/>
          <w14:textFill>
            <w14:solidFill>
              <w14:schemeClr w14:val="tx1"/>
            </w14:solidFill>
          </w14:textFill>
        </w:rPr>
        <w:t>执行园地林地草地分等定级和估价技术规程与标准</w:t>
      </w:r>
      <w:r>
        <w:rPr>
          <w:rFonts w:hint="eastAsia" w:ascii="仿宋" w:hAnsi="仿宋" w:eastAsia="仿宋" w:cs="仿宋"/>
          <w:color w:val="000000" w:themeColor="text1"/>
          <w:spacing w:val="-5"/>
          <w:sz w:val="32"/>
          <w:szCs w:val="32"/>
          <w14:textFill>
            <w14:solidFill>
              <w14:schemeClr w14:val="tx1"/>
            </w14:solidFill>
          </w14:textFill>
        </w:rPr>
        <w:t>，通过分等定</w:t>
      </w:r>
      <w:r>
        <w:rPr>
          <w:rFonts w:hint="eastAsia" w:ascii="仿宋" w:hAnsi="仿宋" w:eastAsia="仿宋" w:cs="仿宋"/>
          <w:color w:val="000000" w:themeColor="text1"/>
          <w:spacing w:val="-4"/>
          <w:sz w:val="32"/>
          <w:szCs w:val="32"/>
          <w14:textFill>
            <w14:solidFill>
              <w14:schemeClr w14:val="tx1"/>
            </w14:solidFill>
          </w14:textFill>
        </w:rPr>
        <w:t>级和价格评估，综合评价我县园地林地草地质量分布状况，</w:t>
      </w:r>
      <w:r>
        <w:rPr>
          <w:rFonts w:hint="eastAsia" w:ascii="仿宋" w:hAnsi="仿宋" w:eastAsia="仿宋" w:cs="仿宋"/>
          <w:color w:val="000000" w:themeColor="text1"/>
          <w:spacing w:val="-5"/>
          <w:sz w:val="32"/>
          <w:szCs w:val="32"/>
          <w14:textFill>
            <w14:solidFill>
              <w14:schemeClr w14:val="tx1"/>
            </w14:solidFill>
          </w14:textFill>
        </w:rPr>
        <w:t>并建</w:t>
      </w:r>
      <w:r>
        <w:rPr>
          <w:rFonts w:hint="eastAsia" w:ascii="仿宋" w:hAnsi="仿宋" w:eastAsia="仿宋" w:cs="仿宋"/>
          <w:color w:val="000000" w:themeColor="text1"/>
          <w:spacing w:val="-14"/>
          <w:sz w:val="32"/>
          <w:szCs w:val="32"/>
          <w14:textFill>
            <w14:solidFill>
              <w14:schemeClr w14:val="tx1"/>
            </w14:solidFill>
          </w14:textFill>
        </w:rPr>
        <w:t>立政府公示价格体系。</w:t>
      </w:r>
    </w:p>
    <w:p>
      <w:pPr>
        <w:numPr>
          <w:ilvl w:val="0"/>
          <w:numId w:val="0"/>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验收程序：乙方应当严格按合同约定的内容提供相关技术服务成果。对乙方所提供的服务组织相关技术人员进行测试，并对相关成果数据做好验收准备。验收开始之前，由乙方项目负责人介绍项目完成情况、工作重点等，按照验收方案应及时组织验收。</w:t>
      </w:r>
    </w:p>
    <w:p>
      <w:pPr>
        <w:numPr>
          <w:ilvl w:val="0"/>
          <w:numId w:val="0"/>
        </w:numPr>
        <w:spacing w:line="52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4、履约验收标准：乙方是否严格按合同约定</w:t>
      </w:r>
      <w:r>
        <w:rPr>
          <w:rFonts w:hint="eastAsia" w:ascii="仿宋" w:hAnsi="仿宋" w:eastAsia="仿宋" w:cs="仿宋"/>
          <w:color w:val="000000" w:themeColor="text1"/>
          <w:sz w:val="32"/>
          <w:szCs w:val="32"/>
          <w14:textFill>
            <w14:solidFill>
              <w14:schemeClr w14:val="tx1"/>
            </w14:solidFill>
          </w14:textFill>
        </w:rPr>
        <w:t>相关技术规程和标准</w:t>
      </w:r>
      <w:r>
        <w:rPr>
          <w:rFonts w:hint="eastAsia" w:ascii="仿宋" w:hAnsi="仿宋" w:eastAsia="仿宋" w:cs="仿宋"/>
          <w:color w:val="000000" w:themeColor="text1"/>
          <w:sz w:val="32"/>
          <w:szCs w:val="32"/>
          <w:lang w:eastAsia="zh-CN"/>
          <w14:textFill>
            <w14:solidFill>
              <w14:schemeClr w14:val="tx1"/>
            </w14:solidFill>
          </w14:textFill>
        </w:rPr>
        <w:t>完成</w:t>
      </w:r>
      <w:r>
        <w:rPr>
          <w:rFonts w:hint="eastAsia" w:ascii="仿宋" w:hAnsi="仿宋" w:eastAsia="仿宋" w:cs="仿宋"/>
          <w:color w:val="000000" w:themeColor="text1"/>
          <w:sz w:val="32"/>
          <w:szCs w:val="32"/>
          <w:lang w:val="en-US" w:eastAsia="zh-CN"/>
          <w14:textFill>
            <w14:solidFill>
              <w14:schemeClr w14:val="tx1"/>
            </w14:solidFill>
          </w14:textFill>
        </w:rPr>
        <w:t>，是否严格执行合同内容。</w:t>
      </w:r>
    </w:p>
    <w:p>
      <w:pPr>
        <w:numPr>
          <w:ilvl w:val="0"/>
          <w:numId w:val="0"/>
        </w:numPr>
        <w:spacing w:line="52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5、验收方式：由采购单位组织有关专业人员按相关的国家标准、质量标准和采购文件所列的各项要求进行验收。</w:t>
      </w:r>
    </w:p>
    <w:p>
      <w:pPr>
        <w:numPr>
          <w:ilvl w:val="0"/>
          <w:numId w:val="0"/>
        </w:numPr>
        <w:ind w:firstLine="321" w:firstLineChars="1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六、对供应商的要求</w:t>
      </w:r>
    </w:p>
    <w:p>
      <w:pPr>
        <w:pStyle w:val="11"/>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基本资格条件：符合《中华人民共和国政府采购法》第二十二条的规定。</w:t>
      </w:r>
    </w:p>
    <w:p>
      <w:pPr>
        <w:tabs>
          <w:tab w:val="left" w:pos="756"/>
        </w:tabs>
        <w:bidi w:val="0"/>
        <w:ind w:firstLine="480" w:firstLineChars="15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特定资格要求如下:</w:t>
      </w:r>
    </w:p>
    <w:p>
      <w:pPr>
        <w:numPr>
          <w:ilvl w:val="0"/>
          <w:numId w:val="0"/>
        </w:numPr>
        <w:tabs>
          <w:tab w:val="left" w:pos="756"/>
        </w:tabs>
        <w:bidi w:val="0"/>
        <w:ind w:left="0" w:leftChars="0" w:firstLine="640" w:firstLineChars="20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1、</w:t>
      </w:r>
      <w:r>
        <w:rPr>
          <w:rFonts w:hint="eastAsia" w:ascii="仿宋" w:hAnsi="仿宋" w:eastAsia="仿宋" w:cs="仿宋"/>
          <w:color w:val="000000" w:themeColor="text1"/>
          <w:kern w:val="2"/>
          <w:sz w:val="32"/>
          <w:szCs w:val="32"/>
          <w:lang w:val="en-US" w:eastAsia="zh-CN" w:bidi="ar-SA"/>
          <w14:textFill>
            <w14:solidFill>
              <w14:schemeClr w14:val="tx1"/>
            </w14:solidFill>
          </w14:textFill>
        </w:rPr>
        <w:t>营业执照等主体资格证明文件：具有独立承担民事责任能力的法人、事业法人、其他组织或自然人。企业法人应提供合法有效的标识有统一社会信用代码的营业执照（附营业执照的2022年企业年度报告书）；事业法人应提供事业单位法人证书；其他组织应提供合法登记证明文件；自然人应提供身份证；</w:t>
      </w:r>
    </w:p>
    <w:p>
      <w:pPr>
        <w:numPr>
          <w:ilvl w:val="0"/>
          <w:numId w:val="0"/>
        </w:numPr>
        <w:tabs>
          <w:tab w:val="left" w:pos="756"/>
        </w:tabs>
        <w:bidi w:val="0"/>
        <w:ind w:left="0" w:leftChars="0" w:firstLine="640" w:firstLineChars="20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2、</w:t>
      </w:r>
      <w:r>
        <w:rPr>
          <w:rFonts w:hint="eastAsia" w:ascii="仿宋" w:hAnsi="仿宋" w:eastAsia="仿宋" w:cs="仿宋"/>
          <w:color w:val="000000" w:themeColor="text1"/>
          <w:kern w:val="2"/>
          <w:sz w:val="32"/>
          <w:szCs w:val="32"/>
          <w:lang w:val="en-US" w:eastAsia="zh-CN" w:bidi="ar-SA"/>
          <w14:textFill>
            <w14:solidFill>
              <w14:schemeClr w14:val="tx1"/>
            </w14:solidFill>
          </w14:textFill>
        </w:rPr>
        <w:t>投标供应商须同时具备土地规划乙级及以上资质和测绘乙级及以上资质（含摄影测量与遥感、地理信息系统工程）或同时具备土地评估资质和测绘乙级及以上资质（含摄影测量与遥感、地理信息系统工程）</w:t>
      </w:r>
      <w:bookmarkStart w:id="1" w:name="_GoBack"/>
      <w:bookmarkEnd w:id="1"/>
      <w:r>
        <w:rPr>
          <w:rFonts w:hint="eastAsia" w:ascii="仿宋" w:hAnsi="仿宋" w:eastAsia="仿宋" w:cs="仿宋"/>
          <w:color w:val="000000" w:themeColor="text1"/>
          <w:kern w:val="2"/>
          <w:sz w:val="32"/>
          <w:szCs w:val="32"/>
          <w:lang w:val="en-US" w:eastAsia="zh-CN" w:bidi="ar-SA"/>
          <w14:textFill>
            <w14:solidFill>
              <w14:schemeClr w14:val="tx1"/>
            </w14:solidFill>
          </w14:textFill>
        </w:rPr>
        <w:t>。</w:t>
      </w:r>
    </w:p>
    <w:p>
      <w:pPr>
        <w:numPr>
          <w:ilvl w:val="0"/>
          <w:numId w:val="0"/>
        </w:numPr>
        <w:tabs>
          <w:tab w:val="left" w:pos="756"/>
        </w:tabs>
        <w:bidi w:val="0"/>
        <w:ind w:left="0" w:leftChars="0" w:firstLine="640" w:firstLineChars="20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3、</w:t>
      </w:r>
      <w:r>
        <w:rPr>
          <w:rFonts w:hint="eastAsia" w:ascii="仿宋" w:hAnsi="仿宋" w:eastAsia="仿宋" w:cs="仿宋"/>
          <w:color w:val="000000" w:themeColor="text1"/>
          <w:kern w:val="2"/>
          <w:sz w:val="32"/>
          <w:szCs w:val="32"/>
          <w:lang w:val="en-US" w:eastAsia="zh-CN" w:bidi="ar-SA"/>
          <w14:textFill>
            <w14:solidFill>
              <w14:schemeClr w14:val="tx1"/>
            </w14:solidFill>
          </w14:textFill>
        </w:rPr>
        <w:t>拟派往本项目负责人须具备土地估价师资格证书或测绘高级职称证书，并提供2023年1月1日至今至少三个月的社保经办机构出具的本企业社保缴纳证明材料（五险一金其中一项即可，应可查询）。</w:t>
      </w:r>
    </w:p>
    <w:p>
      <w:pPr>
        <w:numPr>
          <w:ilvl w:val="0"/>
          <w:numId w:val="0"/>
        </w:numPr>
        <w:tabs>
          <w:tab w:val="left" w:pos="756"/>
        </w:tabs>
        <w:bidi w:val="0"/>
        <w:ind w:left="0" w:leftChars="0" w:firstLine="640" w:firstLineChars="20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4、</w:t>
      </w:r>
      <w:r>
        <w:rPr>
          <w:rFonts w:hint="eastAsia" w:ascii="仿宋" w:hAnsi="仿宋" w:eastAsia="仿宋" w:cs="仿宋"/>
          <w:color w:val="000000" w:themeColor="text1"/>
          <w:kern w:val="2"/>
          <w:sz w:val="32"/>
          <w:szCs w:val="32"/>
          <w:lang w:val="en-US" w:eastAsia="zh-CN" w:bidi="ar-SA"/>
          <w14:textFill>
            <w14:solidFill>
              <w14:schemeClr w14:val="tx1"/>
            </w14:solidFill>
          </w14:textFill>
        </w:rPr>
        <w:t>财务状况报告：提供2020年—2022年度财务审计报告（公司成立不足三年的需提供已出年份的审计报告，不足一年的需提供开标时间前六个月内其基本存款账户开户银行出具的资信证明）；</w:t>
      </w:r>
    </w:p>
    <w:p>
      <w:pPr>
        <w:numPr>
          <w:ilvl w:val="0"/>
          <w:numId w:val="0"/>
        </w:numPr>
        <w:tabs>
          <w:tab w:val="left" w:pos="756"/>
        </w:tabs>
        <w:bidi w:val="0"/>
        <w:ind w:left="0" w:leftChars="0" w:firstLine="640" w:firstLineChars="20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5、</w:t>
      </w:r>
      <w:r>
        <w:rPr>
          <w:rFonts w:hint="eastAsia" w:ascii="仿宋" w:hAnsi="仿宋" w:eastAsia="仿宋" w:cs="仿宋"/>
          <w:color w:val="000000" w:themeColor="text1"/>
          <w:kern w:val="2"/>
          <w:sz w:val="32"/>
          <w:szCs w:val="32"/>
          <w:lang w:val="en-US" w:eastAsia="zh-CN" w:bidi="ar-SA"/>
          <w14:textFill>
            <w14:solidFill>
              <w14:schemeClr w14:val="tx1"/>
            </w14:solidFill>
          </w14:textFill>
        </w:rPr>
        <w:t>税收缴纳证明：提供2023年1月1日至今已缴存的至少一个月的纳税证明或完税证明，依法免税的单位应提供相关证明材料；</w:t>
      </w:r>
    </w:p>
    <w:p>
      <w:pPr>
        <w:numPr>
          <w:ilvl w:val="0"/>
          <w:numId w:val="0"/>
        </w:numPr>
        <w:tabs>
          <w:tab w:val="left" w:pos="756"/>
        </w:tabs>
        <w:bidi w:val="0"/>
        <w:ind w:left="0" w:leftChars="0" w:firstLine="640" w:firstLineChars="20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6、</w:t>
      </w:r>
      <w:r>
        <w:rPr>
          <w:rFonts w:hint="eastAsia" w:ascii="仿宋" w:hAnsi="仿宋" w:eastAsia="仿宋" w:cs="仿宋"/>
          <w:color w:val="000000" w:themeColor="text1"/>
          <w:kern w:val="2"/>
          <w:sz w:val="32"/>
          <w:szCs w:val="32"/>
          <w:lang w:val="en-US" w:eastAsia="zh-CN" w:bidi="ar-SA"/>
          <w14:textFill>
            <w14:solidFill>
              <w14:schemeClr w14:val="tx1"/>
            </w14:solidFill>
          </w14:textFill>
        </w:rPr>
        <w:t>社保缴纳证明：提供2023年1月1日至今已缴存的至少一个月的社会保障资金缴存单据或社保机构开具的社会保险参保缴费情况证明，依法不需要缴纳社会保障资金的应提供相关证明材料；</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7、</w:t>
      </w:r>
      <w:r>
        <w:rPr>
          <w:rFonts w:hint="eastAsia" w:ascii="仿宋" w:hAnsi="仿宋" w:eastAsia="仿宋" w:cs="仿宋"/>
          <w:color w:val="000000" w:themeColor="text1"/>
          <w:kern w:val="2"/>
          <w:sz w:val="32"/>
          <w:szCs w:val="32"/>
          <w:lang w:val="en-US" w:eastAsia="zh-CN" w:bidi="ar-SA"/>
          <w14:textFill>
            <w14:solidFill>
              <w14:schemeClr w14:val="tx1"/>
            </w14:solidFill>
          </w14:textFill>
        </w:rPr>
        <w:t>信誉要求：投标供应商在中国政府采购网（www.ccgp.gov.cn）中未被列入政府采购严重违法失信行为记录名单；投标供应商、法定代表人在“信用中国”网站（https://www.creditchina.gov.cn/）中未被列入失信被执行人名单，投标供应商提供企业完整信用报告，投标供应商、法定代表人提供网页查询截图加盖企业原色印章（截图及报告生成时间段为谈判公告发出至递交响应文件截止时间内,投标人未被列入失信被执行人名单截图可在其“中国执行信息公开网”网站（http://zxgk.court.gov.cn）中全国范围内查询;(www.creditchina.gov.cn)记录失信被执行人、税收违法黑名单、“中国政府采购网(www.ccgp.gov.cn)”政府采购严重违法失信行为记录名单、“国家企业信用信息公示系统”不得有行政处罚记录、严重违法失信企业名单（黑名单）信息等,供应商有以上不良记录的拒绝参与政府采购活动，提供网页截图及报告加盖供应商公章为准；</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themeColor="text1"/>
          <w:kern w:val="2"/>
          <w:sz w:val="48"/>
          <w:szCs w:val="48"/>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8、</w:t>
      </w:r>
      <w:r>
        <w:rPr>
          <w:rFonts w:hint="eastAsia" w:ascii="仿宋" w:hAnsi="仿宋" w:eastAsia="仿宋" w:cs="仿宋"/>
          <w:i w:val="0"/>
          <w:iCs w:val="0"/>
          <w:caps w:val="0"/>
          <w:color w:val="000000"/>
          <w:spacing w:val="0"/>
          <w:sz w:val="32"/>
          <w:szCs w:val="32"/>
          <w:shd w:val="clear" w:color="auto" w:fill="FFFFFF"/>
        </w:rPr>
        <w:t>书面声明：参加本次政府采购活动前三年内在经营活动中没有重大违法记录的声明函；</w:t>
      </w:r>
    </w:p>
    <w:p>
      <w:pPr>
        <w:keepNext w:val="0"/>
        <w:keepLines w:val="0"/>
        <w:pageBreakBefore w:val="0"/>
        <w:widowControl w:val="0"/>
        <w:numPr>
          <w:ilvl w:val="0"/>
          <w:numId w:val="0"/>
        </w:numPr>
        <w:tabs>
          <w:tab w:val="left" w:pos="756"/>
        </w:tabs>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9、提供榆林市政府采购服务类项目供应商信用承诺书、投标信用承诺书、投标人信用承诺书、投标人法定代表人信用承诺书、投标人委托代理人员信用承诺书及信用中国（陕西榆林）主动承诺网页截图；</w:t>
      </w:r>
    </w:p>
    <w:p>
      <w:pPr>
        <w:numPr>
          <w:ilvl w:val="0"/>
          <w:numId w:val="0"/>
        </w:numPr>
        <w:ind w:leftChars="0"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10、本合同包不接受联合体投标，单位负责人为同一人或存在控股、管理关系的不同单位，不得参加同一标段投标或者未划分标段的同一招标项目投标，否则，相关投标均无效。提供《供应商企业关系关联承诺书》；</w:t>
      </w:r>
    </w:p>
    <w:p>
      <w:pPr>
        <w:numPr>
          <w:ilvl w:val="0"/>
          <w:numId w:val="0"/>
        </w:numPr>
        <w:ind w:leftChars="0" w:firstLine="640" w:firstLineChars="200"/>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11、投标信用承诺书代替投标保证金，提供投标信用承诺书；</w:t>
      </w:r>
    </w:p>
    <w:p>
      <w:pPr>
        <w:numPr>
          <w:ilvl w:val="0"/>
          <w:numId w:val="0"/>
        </w:numPr>
        <w:ind w:leftChars="0"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12、本项目不专门面向中小企业采购，属于中小企业提供《中小企业声明函》，非中小企业单位（监狱企业、残疾人福利单位除外）无须提供《中小企业声明函》,本项目所属其他未列明行业。</w:t>
      </w:r>
    </w:p>
    <w:p>
      <w:pPr>
        <w:numPr>
          <w:ilvl w:val="0"/>
          <w:numId w:val="0"/>
        </w:numPr>
        <w:ind w:leftChars="0" w:firstLine="321" w:firstLineChars="1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七、付款方式：</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按项目进度支付，项目完工提交成果报告合格后付80%，待审计后予以支付尾款。</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(具体按合同约定支付)</w:t>
      </w:r>
    </w:p>
    <w:p>
      <w:pPr>
        <w:numPr>
          <w:ilvl w:val="0"/>
          <w:numId w:val="0"/>
        </w:numPr>
        <w:spacing w:line="520" w:lineRule="exact"/>
        <w:ind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八、采购单位、采购单位地址、项目联系人及联系电话</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1、采购单位：府谷县自然资源调查队</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2、采购单位地址：府谷县新区公共资源交易大楼7楼</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3、项目联系人：刘宝强  联系电话：13629128119</w:t>
      </w:r>
    </w:p>
    <w:p>
      <w:pPr>
        <w:tabs>
          <w:tab w:val="left" w:pos="756"/>
        </w:tabs>
        <w:bidi w:val="0"/>
        <w:ind w:firstLine="5440" w:firstLineChars="17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府谷县自然资源调查队</w:t>
      </w:r>
    </w:p>
    <w:p>
      <w:pPr>
        <w:tabs>
          <w:tab w:val="left" w:pos="756"/>
        </w:tabs>
        <w:bidi w:val="0"/>
        <w:ind w:firstLine="5760" w:firstLineChars="1800"/>
        <w:jc w:val="left"/>
        <w:rPr>
          <w:rFonts w:hint="eastAsia" w:ascii="仿宋" w:hAnsi="仿宋" w:eastAsia="仿宋" w:cs="仿宋"/>
          <w:bCs/>
          <w:sz w:val="28"/>
          <w:szCs w:val="28"/>
        </w:rPr>
      </w:pPr>
      <w:r>
        <w:rPr>
          <w:rFonts w:hint="eastAsia" w:ascii="仿宋" w:hAnsi="仿宋" w:eastAsia="仿宋" w:cs="仿宋"/>
          <w:sz w:val="32"/>
          <w:szCs w:val="32"/>
          <w:lang w:val="en-US" w:eastAsia="zh-CN"/>
        </w:rPr>
        <w:t>2023年10月19日</w:t>
      </w:r>
    </w:p>
    <w:sectPr>
      <w:footerReference r:id="rId3" w:type="default"/>
      <w:pgSz w:w="11906" w:h="16838"/>
      <w:pgMar w:top="2098" w:right="1587"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348"/>
      <w:jc w:val="right"/>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TE1ZWM1OWNiNjQ2NWMzYjEwNjc2NjhhZDMyM2MifQ=="/>
  </w:docVars>
  <w:rsids>
    <w:rsidRoot w:val="6D293A61"/>
    <w:rsid w:val="00005A83"/>
    <w:rsid w:val="00080BCF"/>
    <w:rsid w:val="000A3139"/>
    <w:rsid w:val="000B2823"/>
    <w:rsid w:val="001702B5"/>
    <w:rsid w:val="00194518"/>
    <w:rsid w:val="001B7486"/>
    <w:rsid w:val="00237F29"/>
    <w:rsid w:val="002A55FE"/>
    <w:rsid w:val="0034209B"/>
    <w:rsid w:val="00354FF3"/>
    <w:rsid w:val="00393E00"/>
    <w:rsid w:val="00403B53"/>
    <w:rsid w:val="004144E5"/>
    <w:rsid w:val="0043036B"/>
    <w:rsid w:val="004A0A0B"/>
    <w:rsid w:val="004A2B41"/>
    <w:rsid w:val="005139FE"/>
    <w:rsid w:val="005B0B70"/>
    <w:rsid w:val="00634973"/>
    <w:rsid w:val="006849B9"/>
    <w:rsid w:val="00733E26"/>
    <w:rsid w:val="00857B8A"/>
    <w:rsid w:val="00911A7C"/>
    <w:rsid w:val="00920750"/>
    <w:rsid w:val="00BB57E2"/>
    <w:rsid w:val="00BF0E19"/>
    <w:rsid w:val="00C14B91"/>
    <w:rsid w:val="00D55963"/>
    <w:rsid w:val="00E00444"/>
    <w:rsid w:val="00ED7B66"/>
    <w:rsid w:val="00F95994"/>
    <w:rsid w:val="00FF32CC"/>
    <w:rsid w:val="017E2A82"/>
    <w:rsid w:val="018A7679"/>
    <w:rsid w:val="01A324E9"/>
    <w:rsid w:val="01B42948"/>
    <w:rsid w:val="01D956F7"/>
    <w:rsid w:val="021065C1"/>
    <w:rsid w:val="022C6982"/>
    <w:rsid w:val="023615AF"/>
    <w:rsid w:val="025A3AF2"/>
    <w:rsid w:val="02954528"/>
    <w:rsid w:val="02D45050"/>
    <w:rsid w:val="031B2C7F"/>
    <w:rsid w:val="03C30C20"/>
    <w:rsid w:val="03EE5241"/>
    <w:rsid w:val="04910D1F"/>
    <w:rsid w:val="049A5E25"/>
    <w:rsid w:val="056A57F8"/>
    <w:rsid w:val="059B00A7"/>
    <w:rsid w:val="05A15C10"/>
    <w:rsid w:val="05AD7DDA"/>
    <w:rsid w:val="05C23886"/>
    <w:rsid w:val="060F2843"/>
    <w:rsid w:val="065D170B"/>
    <w:rsid w:val="06620BC5"/>
    <w:rsid w:val="069A035E"/>
    <w:rsid w:val="06A66D03"/>
    <w:rsid w:val="07131EBF"/>
    <w:rsid w:val="073055C0"/>
    <w:rsid w:val="080A32C2"/>
    <w:rsid w:val="081E6D6D"/>
    <w:rsid w:val="08344B67"/>
    <w:rsid w:val="087150EF"/>
    <w:rsid w:val="08F724AF"/>
    <w:rsid w:val="092403B3"/>
    <w:rsid w:val="09F61D50"/>
    <w:rsid w:val="0A165F4E"/>
    <w:rsid w:val="0A1E3833"/>
    <w:rsid w:val="0A2166A1"/>
    <w:rsid w:val="0A4021B4"/>
    <w:rsid w:val="0A432ABB"/>
    <w:rsid w:val="0A64444D"/>
    <w:rsid w:val="0B6B22C9"/>
    <w:rsid w:val="0BA37CB5"/>
    <w:rsid w:val="0BE107DE"/>
    <w:rsid w:val="0BF4406D"/>
    <w:rsid w:val="0C0A3890"/>
    <w:rsid w:val="0C0B13B7"/>
    <w:rsid w:val="0C434FF4"/>
    <w:rsid w:val="0C5D60B6"/>
    <w:rsid w:val="0C632FA1"/>
    <w:rsid w:val="0CCF4ADA"/>
    <w:rsid w:val="0CF602B9"/>
    <w:rsid w:val="0D0B1C9B"/>
    <w:rsid w:val="0D906017"/>
    <w:rsid w:val="0DCB52A1"/>
    <w:rsid w:val="0DD24882"/>
    <w:rsid w:val="0DE14AC5"/>
    <w:rsid w:val="0EDB1514"/>
    <w:rsid w:val="0F18046C"/>
    <w:rsid w:val="0F3D3F7D"/>
    <w:rsid w:val="10487210"/>
    <w:rsid w:val="10945E1E"/>
    <w:rsid w:val="10BC7123"/>
    <w:rsid w:val="116457F1"/>
    <w:rsid w:val="11B12A00"/>
    <w:rsid w:val="11B60016"/>
    <w:rsid w:val="11D34725"/>
    <w:rsid w:val="11FF5970"/>
    <w:rsid w:val="12224286"/>
    <w:rsid w:val="126A32DB"/>
    <w:rsid w:val="12A165D1"/>
    <w:rsid w:val="12D61B20"/>
    <w:rsid w:val="13F54E26"/>
    <w:rsid w:val="14795A57"/>
    <w:rsid w:val="148D32B1"/>
    <w:rsid w:val="14C447F8"/>
    <w:rsid w:val="15082937"/>
    <w:rsid w:val="15284D87"/>
    <w:rsid w:val="156758B0"/>
    <w:rsid w:val="157224A6"/>
    <w:rsid w:val="157C47BC"/>
    <w:rsid w:val="160746F3"/>
    <w:rsid w:val="160C2CF4"/>
    <w:rsid w:val="163F682C"/>
    <w:rsid w:val="16574B9D"/>
    <w:rsid w:val="165F0C7D"/>
    <w:rsid w:val="166F7A9D"/>
    <w:rsid w:val="16814009"/>
    <w:rsid w:val="16D2144F"/>
    <w:rsid w:val="16D8458B"/>
    <w:rsid w:val="17214184"/>
    <w:rsid w:val="1773195D"/>
    <w:rsid w:val="17AA6184"/>
    <w:rsid w:val="17F43647"/>
    <w:rsid w:val="1847331A"/>
    <w:rsid w:val="18756535"/>
    <w:rsid w:val="18893D8F"/>
    <w:rsid w:val="18A62B93"/>
    <w:rsid w:val="18D020FD"/>
    <w:rsid w:val="190D49C0"/>
    <w:rsid w:val="194F7BBF"/>
    <w:rsid w:val="195E346D"/>
    <w:rsid w:val="195F707B"/>
    <w:rsid w:val="19E971DB"/>
    <w:rsid w:val="1A540B0E"/>
    <w:rsid w:val="1A644AB4"/>
    <w:rsid w:val="1A89451A"/>
    <w:rsid w:val="1AC612CA"/>
    <w:rsid w:val="1B4F7512"/>
    <w:rsid w:val="1B8847D2"/>
    <w:rsid w:val="1BD45C69"/>
    <w:rsid w:val="1C166281"/>
    <w:rsid w:val="1C202C5C"/>
    <w:rsid w:val="1C672639"/>
    <w:rsid w:val="1C991319"/>
    <w:rsid w:val="1CB33AD0"/>
    <w:rsid w:val="1CE7377A"/>
    <w:rsid w:val="1CF55E97"/>
    <w:rsid w:val="1D205DE2"/>
    <w:rsid w:val="1D303373"/>
    <w:rsid w:val="1D85546D"/>
    <w:rsid w:val="1E2A1B70"/>
    <w:rsid w:val="1E2E7514"/>
    <w:rsid w:val="1E3B3D7D"/>
    <w:rsid w:val="1E8146E2"/>
    <w:rsid w:val="1F1A1BE5"/>
    <w:rsid w:val="1F4E188E"/>
    <w:rsid w:val="1F664672"/>
    <w:rsid w:val="1F7C289F"/>
    <w:rsid w:val="1FAA68C7"/>
    <w:rsid w:val="1FFB1A16"/>
    <w:rsid w:val="201E5705"/>
    <w:rsid w:val="20586E69"/>
    <w:rsid w:val="20987265"/>
    <w:rsid w:val="2116462E"/>
    <w:rsid w:val="2136082C"/>
    <w:rsid w:val="2140520F"/>
    <w:rsid w:val="21CB71C6"/>
    <w:rsid w:val="21DD084A"/>
    <w:rsid w:val="21E40288"/>
    <w:rsid w:val="21F4697A"/>
    <w:rsid w:val="22810FF0"/>
    <w:rsid w:val="22C850E1"/>
    <w:rsid w:val="22EE13BE"/>
    <w:rsid w:val="232E3EB1"/>
    <w:rsid w:val="23AD74CB"/>
    <w:rsid w:val="23F5677C"/>
    <w:rsid w:val="240F5A90"/>
    <w:rsid w:val="243E7E28"/>
    <w:rsid w:val="24612064"/>
    <w:rsid w:val="248A5117"/>
    <w:rsid w:val="24FB7DC2"/>
    <w:rsid w:val="254169B1"/>
    <w:rsid w:val="256C6863"/>
    <w:rsid w:val="25B368EF"/>
    <w:rsid w:val="26772718"/>
    <w:rsid w:val="26E8081A"/>
    <w:rsid w:val="26F96584"/>
    <w:rsid w:val="27A75FE0"/>
    <w:rsid w:val="27B32BD6"/>
    <w:rsid w:val="27D56FF1"/>
    <w:rsid w:val="288F719F"/>
    <w:rsid w:val="294F4B81"/>
    <w:rsid w:val="2987431B"/>
    <w:rsid w:val="298C1931"/>
    <w:rsid w:val="2996455E"/>
    <w:rsid w:val="29CA2459"/>
    <w:rsid w:val="29FC3A4B"/>
    <w:rsid w:val="2A17081E"/>
    <w:rsid w:val="2A5266D7"/>
    <w:rsid w:val="2B632B65"/>
    <w:rsid w:val="2B872367"/>
    <w:rsid w:val="2BF13CCD"/>
    <w:rsid w:val="2C574478"/>
    <w:rsid w:val="2C811709"/>
    <w:rsid w:val="2CDF051F"/>
    <w:rsid w:val="2D0F6B01"/>
    <w:rsid w:val="2D7352E2"/>
    <w:rsid w:val="2D8C1F00"/>
    <w:rsid w:val="2DB31B82"/>
    <w:rsid w:val="2DB651CE"/>
    <w:rsid w:val="2DE0224B"/>
    <w:rsid w:val="2E513149"/>
    <w:rsid w:val="2E580034"/>
    <w:rsid w:val="2EA65243"/>
    <w:rsid w:val="2EB23BE8"/>
    <w:rsid w:val="2F257C81"/>
    <w:rsid w:val="2F94153F"/>
    <w:rsid w:val="30601421"/>
    <w:rsid w:val="307F7AFA"/>
    <w:rsid w:val="31232B7B"/>
    <w:rsid w:val="31295CB7"/>
    <w:rsid w:val="316518D0"/>
    <w:rsid w:val="31EB11BF"/>
    <w:rsid w:val="32496611"/>
    <w:rsid w:val="32F12805"/>
    <w:rsid w:val="33296443"/>
    <w:rsid w:val="33460DA3"/>
    <w:rsid w:val="334B63B9"/>
    <w:rsid w:val="339C6C14"/>
    <w:rsid w:val="34554EBA"/>
    <w:rsid w:val="346D1CC9"/>
    <w:rsid w:val="34AF4725"/>
    <w:rsid w:val="351C625F"/>
    <w:rsid w:val="35380BBF"/>
    <w:rsid w:val="354237EC"/>
    <w:rsid w:val="3550415A"/>
    <w:rsid w:val="355A28E3"/>
    <w:rsid w:val="356B689E"/>
    <w:rsid w:val="359C73A0"/>
    <w:rsid w:val="35B5220F"/>
    <w:rsid w:val="35E0728C"/>
    <w:rsid w:val="361138EA"/>
    <w:rsid w:val="36154A5C"/>
    <w:rsid w:val="361B02C4"/>
    <w:rsid w:val="36356EAC"/>
    <w:rsid w:val="372A4537"/>
    <w:rsid w:val="37645C9B"/>
    <w:rsid w:val="37B00EE0"/>
    <w:rsid w:val="37CD22E9"/>
    <w:rsid w:val="37ED3EE3"/>
    <w:rsid w:val="380354B4"/>
    <w:rsid w:val="38060B00"/>
    <w:rsid w:val="380F5C07"/>
    <w:rsid w:val="383E473E"/>
    <w:rsid w:val="38685317"/>
    <w:rsid w:val="39225214"/>
    <w:rsid w:val="3A451DB4"/>
    <w:rsid w:val="3A4D0C68"/>
    <w:rsid w:val="3B985F13"/>
    <w:rsid w:val="3BCE5DD9"/>
    <w:rsid w:val="3C3A4DF5"/>
    <w:rsid w:val="3C3C71E7"/>
    <w:rsid w:val="3CD4741F"/>
    <w:rsid w:val="3D0A2E41"/>
    <w:rsid w:val="3D4E0F7F"/>
    <w:rsid w:val="3D5F318D"/>
    <w:rsid w:val="3D6D1752"/>
    <w:rsid w:val="3E226709"/>
    <w:rsid w:val="3E3C527C"/>
    <w:rsid w:val="3EBE0387"/>
    <w:rsid w:val="3EEA1762"/>
    <w:rsid w:val="3F1B7587"/>
    <w:rsid w:val="3F6037A0"/>
    <w:rsid w:val="3F746C97"/>
    <w:rsid w:val="3FB0776E"/>
    <w:rsid w:val="4024246B"/>
    <w:rsid w:val="40381A73"/>
    <w:rsid w:val="40731D31"/>
    <w:rsid w:val="407F76A2"/>
    <w:rsid w:val="40FC6F44"/>
    <w:rsid w:val="415B3C6B"/>
    <w:rsid w:val="41874A60"/>
    <w:rsid w:val="41DB1250"/>
    <w:rsid w:val="41FF4F3E"/>
    <w:rsid w:val="421502BE"/>
    <w:rsid w:val="42666D6B"/>
    <w:rsid w:val="429A5883"/>
    <w:rsid w:val="42B9333F"/>
    <w:rsid w:val="42D27F5D"/>
    <w:rsid w:val="42F425C9"/>
    <w:rsid w:val="437E1E93"/>
    <w:rsid w:val="438A4CDB"/>
    <w:rsid w:val="43917E18"/>
    <w:rsid w:val="43A062AD"/>
    <w:rsid w:val="4413082D"/>
    <w:rsid w:val="448B4867"/>
    <w:rsid w:val="44C24001"/>
    <w:rsid w:val="44DE1F09"/>
    <w:rsid w:val="450C3149"/>
    <w:rsid w:val="45637592"/>
    <w:rsid w:val="45752A17"/>
    <w:rsid w:val="45815C6A"/>
    <w:rsid w:val="45A57BAB"/>
    <w:rsid w:val="46166F98"/>
    <w:rsid w:val="462211FB"/>
    <w:rsid w:val="46A240EA"/>
    <w:rsid w:val="46C10A14"/>
    <w:rsid w:val="47221285"/>
    <w:rsid w:val="472D60AA"/>
    <w:rsid w:val="473531B0"/>
    <w:rsid w:val="473C453F"/>
    <w:rsid w:val="479003E6"/>
    <w:rsid w:val="47F46BC7"/>
    <w:rsid w:val="48036E0A"/>
    <w:rsid w:val="48223734"/>
    <w:rsid w:val="48496F13"/>
    <w:rsid w:val="48E42798"/>
    <w:rsid w:val="49341E50"/>
    <w:rsid w:val="498B0D87"/>
    <w:rsid w:val="49B303BC"/>
    <w:rsid w:val="4A031344"/>
    <w:rsid w:val="4A2D63C1"/>
    <w:rsid w:val="4AAE12AF"/>
    <w:rsid w:val="4B1355B6"/>
    <w:rsid w:val="4B3519D1"/>
    <w:rsid w:val="4B577B99"/>
    <w:rsid w:val="4B914175"/>
    <w:rsid w:val="4BC13264"/>
    <w:rsid w:val="4C431ECB"/>
    <w:rsid w:val="4C4B1119"/>
    <w:rsid w:val="4C505092"/>
    <w:rsid w:val="4C5E4F57"/>
    <w:rsid w:val="4C771B75"/>
    <w:rsid w:val="4C891FD4"/>
    <w:rsid w:val="4D4F5569"/>
    <w:rsid w:val="4D7A191D"/>
    <w:rsid w:val="4E077C16"/>
    <w:rsid w:val="4E636855"/>
    <w:rsid w:val="4EFD637E"/>
    <w:rsid w:val="4F440434"/>
    <w:rsid w:val="4FE1371F"/>
    <w:rsid w:val="503711B4"/>
    <w:rsid w:val="50724B2D"/>
    <w:rsid w:val="50854860"/>
    <w:rsid w:val="509C7D7D"/>
    <w:rsid w:val="50B45FD9"/>
    <w:rsid w:val="50C35389"/>
    <w:rsid w:val="51361FFF"/>
    <w:rsid w:val="51556929"/>
    <w:rsid w:val="51D04201"/>
    <w:rsid w:val="522215C2"/>
    <w:rsid w:val="52546BE0"/>
    <w:rsid w:val="525F5585"/>
    <w:rsid w:val="529E6D2B"/>
    <w:rsid w:val="52AD4542"/>
    <w:rsid w:val="52BC29D7"/>
    <w:rsid w:val="52D41ACF"/>
    <w:rsid w:val="530F48B5"/>
    <w:rsid w:val="53A21BCD"/>
    <w:rsid w:val="53DA4EC3"/>
    <w:rsid w:val="53DB6E8D"/>
    <w:rsid w:val="5426635A"/>
    <w:rsid w:val="54C0055D"/>
    <w:rsid w:val="54DE3429"/>
    <w:rsid w:val="555111B5"/>
    <w:rsid w:val="55913CA7"/>
    <w:rsid w:val="55E0078B"/>
    <w:rsid w:val="56905D0D"/>
    <w:rsid w:val="56B51C18"/>
    <w:rsid w:val="56C836F9"/>
    <w:rsid w:val="56D95906"/>
    <w:rsid w:val="572D7A00"/>
    <w:rsid w:val="57407733"/>
    <w:rsid w:val="575C02E5"/>
    <w:rsid w:val="57BB5324"/>
    <w:rsid w:val="57D60097"/>
    <w:rsid w:val="58150BC0"/>
    <w:rsid w:val="58262DCD"/>
    <w:rsid w:val="585A4825"/>
    <w:rsid w:val="58721B1C"/>
    <w:rsid w:val="58DC16DE"/>
    <w:rsid w:val="59B91A1F"/>
    <w:rsid w:val="59F34F31"/>
    <w:rsid w:val="5AC308B9"/>
    <w:rsid w:val="5B1A029B"/>
    <w:rsid w:val="5BA87F9D"/>
    <w:rsid w:val="5BBB382C"/>
    <w:rsid w:val="5C4E46A0"/>
    <w:rsid w:val="5CDD3C76"/>
    <w:rsid w:val="5D3F66DF"/>
    <w:rsid w:val="5D740137"/>
    <w:rsid w:val="5DA86032"/>
    <w:rsid w:val="5E2A6A47"/>
    <w:rsid w:val="5E96232F"/>
    <w:rsid w:val="5ECC5D50"/>
    <w:rsid w:val="5F2D5CA2"/>
    <w:rsid w:val="5F337B7D"/>
    <w:rsid w:val="5F4E49B7"/>
    <w:rsid w:val="5F7D53EE"/>
    <w:rsid w:val="5FB07420"/>
    <w:rsid w:val="5FBA6BA5"/>
    <w:rsid w:val="5FEA0B84"/>
    <w:rsid w:val="5FFF3795"/>
    <w:rsid w:val="602A0F80"/>
    <w:rsid w:val="60483AFC"/>
    <w:rsid w:val="6105554A"/>
    <w:rsid w:val="619F14FA"/>
    <w:rsid w:val="61A46B11"/>
    <w:rsid w:val="622F09BB"/>
    <w:rsid w:val="62B86D17"/>
    <w:rsid w:val="62DD052C"/>
    <w:rsid w:val="631C7786"/>
    <w:rsid w:val="638E5CCA"/>
    <w:rsid w:val="63DA0F0F"/>
    <w:rsid w:val="63FF0976"/>
    <w:rsid w:val="643C1282"/>
    <w:rsid w:val="64542A70"/>
    <w:rsid w:val="645760BC"/>
    <w:rsid w:val="649B069F"/>
    <w:rsid w:val="64AE06C7"/>
    <w:rsid w:val="64D41552"/>
    <w:rsid w:val="654F3C53"/>
    <w:rsid w:val="65757142"/>
    <w:rsid w:val="663F4F32"/>
    <w:rsid w:val="669453A6"/>
    <w:rsid w:val="66A23715"/>
    <w:rsid w:val="66F81495"/>
    <w:rsid w:val="67002A3B"/>
    <w:rsid w:val="677916C4"/>
    <w:rsid w:val="67957627"/>
    <w:rsid w:val="67A930D3"/>
    <w:rsid w:val="684352D5"/>
    <w:rsid w:val="68460DC4"/>
    <w:rsid w:val="684921C0"/>
    <w:rsid w:val="68A0045A"/>
    <w:rsid w:val="68A709E1"/>
    <w:rsid w:val="68D128E1"/>
    <w:rsid w:val="68FD36D6"/>
    <w:rsid w:val="693F131E"/>
    <w:rsid w:val="6983725B"/>
    <w:rsid w:val="69AA4EE0"/>
    <w:rsid w:val="6ACB7804"/>
    <w:rsid w:val="6B1D749D"/>
    <w:rsid w:val="6B286D35"/>
    <w:rsid w:val="6B3158B9"/>
    <w:rsid w:val="6B60619E"/>
    <w:rsid w:val="6BC06C3D"/>
    <w:rsid w:val="6BE93CFF"/>
    <w:rsid w:val="6C5C6966"/>
    <w:rsid w:val="6D0A63C2"/>
    <w:rsid w:val="6D293A61"/>
    <w:rsid w:val="6D6C0E2A"/>
    <w:rsid w:val="6DE54739"/>
    <w:rsid w:val="6E4E0530"/>
    <w:rsid w:val="6E5F273D"/>
    <w:rsid w:val="6E775CD9"/>
    <w:rsid w:val="6F5E29F5"/>
    <w:rsid w:val="6FFD220E"/>
    <w:rsid w:val="708E319B"/>
    <w:rsid w:val="70A21D6F"/>
    <w:rsid w:val="70C20D61"/>
    <w:rsid w:val="70E62CA2"/>
    <w:rsid w:val="713C5338"/>
    <w:rsid w:val="714479C8"/>
    <w:rsid w:val="71F238C8"/>
    <w:rsid w:val="72516841"/>
    <w:rsid w:val="725B146D"/>
    <w:rsid w:val="725E4ABA"/>
    <w:rsid w:val="728E1843"/>
    <w:rsid w:val="72B5390F"/>
    <w:rsid w:val="72E17BC5"/>
    <w:rsid w:val="73165394"/>
    <w:rsid w:val="734B7734"/>
    <w:rsid w:val="73BB0416"/>
    <w:rsid w:val="73C51294"/>
    <w:rsid w:val="73D20B70"/>
    <w:rsid w:val="73DE2356"/>
    <w:rsid w:val="73F90F3E"/>
    <w:rsid w:val="74291D88"/>
    <w:rsid w:val="744F5002"/>
    <w:rsid w:val="74B11819"/>
    <w:rsid w:val="74D44BA0"/>
    <w:rsid w:val="74D55507"/>
    <w:rsid w:val="74EC45FF"/>
    <w:rsid w:val="752E10BB"/>
    <w:rsid w:val="7544443B"/>
    <w:rsid w:val="758F1B5A"/>
    <w:rsid w:val="75AF5D58"/>
    <w:rsid w:val="75FC6AC3"/>
    <w:rsid w:val="76047AFD"/>
    <w:rsid w:val="764D5571"/>
    <w:rsid w:val="766C1E9B"/>
    <w:rsid w:val="768216BE"/>
    <w:rsid w:val="76880357"/>
    <w:rsid w:val="76FC582B"/>
    <w:rsid w:val="77065E4C"/>
    <w:rsid w:val="77244524"/>
    <w:rsid w:val="77291B3A"/>
    <w:rsid w:val="779571D0"/>
    <w:rsid w:val="77C6752A"/>
    <w:rsid w:val="78322C70"/>
    <w:rsid w:val="78CC6C21"/>
    <w:rsid w:val="78FB5758"/>
    <w:rsid w:val="791365FE"/>
    <w:rsid w:val="792C76C0"/>
    <w:rsid w:val="798E3ED6"/>
    <w:rsid w:val="79B53B59"/>
    <w:rsid w:val="79E6166F"/>
    <w:rsid w:val="7A1545F8"/>
    <w:rsid w:val="7A3740FB"/>
    <w:rsid w:val="7AE964BA"/>
    <w:rsid w:val="7C3F770A"/>
    <w:rsid w:val="7CA114FD"/>
    <w:rsid w:val="7CB43C54"/>
    <w:rsid w:val="7CB77BE8"/>
    <w:rsid w:val="7CBB428C"/>
    <w:rsid w:val="7D7046F8"/>
    <w:rsid w:val="7D781125"/>
    <w:rsid w:val="7DFA6172"/>
    <w:rsid w:val="7E4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rFonts w:ascii="楷体_GB2312" w:hAnsi="Copperplate Gothic Bold" w:eastAsia="楷体_GB2312"/>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缩进1"/>
    <w:basedOn w:val="1"/>
    <w:qFormat/>
    <w:uiPriority w:val="0"/>
    <w:pPr>
      <w:ind w:firstLine="420" w:firstLineChars="200"/>
    </w:pPr>
  </w:style>
  <w:style w:type="character" w:styleId="12">
    <w:name w:val="Placeholder Text"/>
    <w:basedOn w:val="9"/>
    <w:semiHidden/>
    <w:qFormat/>
    <w:uiPriority w:val="99"/>
    <w:rPr>
      <w:color w:val="808080"/>
    </w:rPr>
  </w:style>
  <w:style w:type="paragraph" w:styleId="13">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3050</Words>
  <Characters>3243</Characters>
  <Lines>19</Lines>
  <Paragraphs>5</Paragraphs>
  <TotalTime>40</TotalTime>
  <ScaleCrop>false</ScaleCrop>
  <LinksUpToDate>false</LinksUpToDate>
  <CharactersWithSpaces>3727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2021-07-27T09:57:00Z</dcterms:created>
  <dc:creator>温柔一刀</dc:creator>
  <cp:lastModifiedBy>可爱爸爸</cp:lastModifiedBy>
  <cp:lastPrinted>2023-10-19T07:12:00Z</cp:lastPrinted>
  <dcterms:modified xsi:type="dcterms:W3CDTF">2023-10-25T06:12:45Z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E6DD039825484EEAA04A9E4AB8514BE6_13</vt:lpwstr>
  </property>
</Properties>
</file>