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firstLine="0" w:firstLineChars="0"/>
        <w:rPr>
          <w:rFonts w:hint="eastAsia" w:ascii="宋体" w:hAnsi="宋体" w:eastAsia="宋体" w:cs="宋体"/>
          <w:b/>
          <w:bCs/>
          <w:color w:val="auto"/>
          <w:spacing w:val="4"/>
          <w:sz w:val="30"/>
          <w:highlight w:val="none"/>
          <w:lang w:val="en-US" w:eastAsia="zh-CN"/>
        </w:rPr>
      </w:pPr>
      <w:r>
        <w:rPr>
          <w:rFonts w:hint="eastAsia" w:ascii="宋体" w:hAnsi="宋体" w:eastAsia="宋体" w:cs="宋体"/>
          <w:b/>
          <w:bCs/>
          <w:color w:val="auto"/>
          <w:spacing w:val="4"/>
          <w:sz w:val="30"/>
          <w:highlight w:val="none"/>
        </w:rPr>
        <w:t>采购编号：</w:t>
      </w:r>
      <w:r>
        <w:rPr>
          <w:rFonts w:hint="eastAsia" w:ascii="宋体" w:hAnsi="宋体" w:eastAsia="宋体" w:cs="宋体"/>
          <w:b/>
          <w:bCs/>
          <w:color w:val="auto"/>
          <w:sz w:val="30"/>
          <w:szCs w:val="30"/>
          <w:lang w:val="zh-CN"/>
        </w:rPr>
        <w:t>HC2023-YL3</w:t>
      </w:r>
      <w:r>
        <w:rPr>
          <w:rFonts w:hint="eastAsia" w:ascii="宋体" w:hAnsi="宋体" w:cs="宋体"/>
          <w:b/>
          <w:bCs/>
          <w:color w:val="auto"/>
          <w:sz w:val="30"/>
          <w:szCs w:val="30"/>
          <w:lang w:val="en-US" w:eastAsia="zh-CN"/>
        </w:rPr>
        <w:t>9号</w:t>
      </w:r>
    </w:p>
    <w:p>
      <w:pPr>
        <w:pStyle w:val="8"/>
        <w:spacing w:line="360" w:lineRule="auto"/>
        <w:rPr>
          <w:rFonts w:hint="eastAsia" w:ascii="宋体" w:hAnsi="宋体" w:eastAsia="宋体" w:cs="宋体"/>
          <w:color w:val="auto"/>
          <w:spacing w:val="4"/>
          <w:sz w:val="30"/>
          <w:highlight w:val="none"/>
        </w:rPr>
      </w:pPr>
    </w:p>
    <w:p>
      <w:pPr>
        <w:spacing w:line="360" w:lineRule="auto"/>
        <w:jc w:val="both"/>
        <w:rPr>
          <w:rFonts w:hint="eastAsia" w:ascii="宋体" w:hAnsi="宋体" w:eastAsia="宋体" w:cs="宋体"/>
          <w:b/>
          <w:color w:val="auto"/>
          <w:spacing w:val="4"/>
          <w:sz w:val="48"/>
          <w:highlight w:val="none"/>
          <w:lang w:eastAsia="zh-CN"/>
        </w:rPr>
      </w:pPr>
    </w:p>
    <w:p>
      <w:pPr>
        <w:pStyle w:val="8"/>
        <w:spacing w:line="360" w:lineRule="auto"/>
        <w:ind w:left="0" w:leftChars="0" w:firstLine="0" w:firstLineChars="0"/>
        <w:jc w:val="center"/>
        <w:rPr>
          <w:rFonts w:hint="eastAsia" w:ascii="宋体" w:hAnsi="宋体" w:eastAsia="宋体" w:cs="宋体"/>
          <w:b/>
          <w:bCs w:val="0"/>
          <w:color w:val="auto"/>
          <w:spacing w:val="4"/>
          <w:sz w:val="44"/>
          <w:szCs w:val="44"/>
          <w:highlight w:val="none"/>
          <w:lang w:val="en-US" w:eastAsia="zh-CN"/>
        </w:rPr>
      </w:pPr>
      <w:r>
        <w:rPr>
          <w:rFonts w:hint="eastAsia" w:ascii="宋体" w:hAnsi="宋体" w:cs="宋体"/>
          <w:b/>
          <w:bCs w:val="0"/>
          <w:color w:val="auto"/>
          <w:spacing w:val="4"/>
          <w:sz w:val="44"/>
          <w:szCs w:val="44"/>
          <w:highlight w:val="none"/>
          <w:lang w:val="en-US" w:eastAsia="zh-CN"/>
        </w:rPr>
        <w:t>店塔镇生活垃圾填埋场运营管理项目</w:t>
      </w:r>
    </w:p>
    <w:p>
      <w:pPr>
        <w:spacing w:line="360" w:lineRule="auto"/>
        <w:jc w:val="center"/>
        <w:rPr>
          <w:rFonts w:hint="eastAsia" w:ascii="宋体" w:hAnsi="宋体" w:eastAsia="宋体" w:cs="宋体"/>
          <w:b/>
          <w:bCs/>
          <w:color w:val="auto"/>
          <w:sz w:val="36"/>
          <w:szCs w:val="36"/>
          <w:lang w:val="zh-CN"/>
        </w:rPr>
      </w:pPr>
    </w:p>
    <w:p>
      <w:pPr>
        <w:spacing w:line="360" w:lineRule="auto"/>
        <w:jc w:val="center"/>
        <w:rPr>
          <w:rFonts w:hint="eastAsia" w:ascii="宋体" w:hAnsi="宋体" w:eastAsia="宋体" w:cs="宋体"/>
          <w:b/>
          <w:bCs/>
          <w:color w:val="auto"/>
          <w:sz w:val="36"/>
          <w:szCs w:val="36"/>
          <w:lang w:val="zh-CN"/>
        </w:rPr>
      </w:pPr>
    </w:p>
    <w:p>
      <w:pPr>
        <w:pStyle w:val="19"/>
        <w:spacing w:line="360" w:lineRule="auto"/>
        <w:rPr>
          <w:rFonts w:hint="eastAsia" w:ascii="宋体" w:hAnsi="宋体" w:eastAsia="宋体" w:cs="宋体"/>
          <w:color w:val="auto"/>
          <w:lang w:val="zh-CN"/>
        </w:rPr>
      </w:pPr>
    </w:p>
    <w:p>
      <w:pPr>
        <w:pStyle w:val="19"/>
        <w:spacing w:line="360" w:lineRule="auto"/>
        <w:rPr>
          <w:rFonts w:hint="eastAsia" w:ascii="宋体" w:hAnsi="宋体" w:eastAsia="宋体" w:cs="宋体"/>
          <w:color w:val="auto"/>
          <w:lang w:val="zh-CN"/>
        </w:rPr>
      </w:pPr>
    </w:p>
    <w:p>
      <w:pPr>
        <w:pStyle w:val="8"/>
        <w:spacing w:line="360" w:lineRule="auto"/>
        <w:ind w:left="0" w:leftChars="0" w:firstLine="0" w:firstLineChars="0"/>
        <w:rPr>
          <w:rFonts w:hint="eastAsia" w:ascii="宋体" w:hAnsi="宋体" w:eastAsia="宋体" w:cs="宋体"/>
          <w:b/>
          <w:bCs/>
          <w:color w:val="auto"/>
          <w:sz w:val="36"/>
          <w:szCs w:val="36"/>
          <w:lang w:val="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color w:val="auto"/>
          <w:spacing w:val="4"/>
          <w:sz w:val="72"/>
          <w:highlight w:val="none"/>
        </w:rPr>
      </w:pPr>
      <w:r>
        <w:rPr>
          <w:rFonts w:hint="eastAsia" w:ascii="宋体" w:hAnsi="宋体" w:eastAsia="宋体" w:cs="宋体"/>
          <w:b/>
          <w:color w:val="auto"/>
          <w:spacing w:val="4"/>
          <w:sz w:val="72"/>
          <w:highlight w:val="none"/>
        </w:rPr>
        <w:t>竞争性</w:t>
      </w:r>
      <w:r>
        <w:rPr>
          <w:rFonts w:hint="eastAsia" w:ascii="宋体" w:hAnsi="宋体" w:eastAsia="宋体" w:cs="宋体"/>
          <w:b/>
          <w:color w:val="auto"/>
          <w:spacing w:val="4"/>
          <w:sz w:val="72"/>
          <w:highlight w:val="none"/>
          <w:lang w:val="en-US" w:eastAsia="zh-CN"/>
        </w:rPr>
        <w:t>磋商</w:t>
      </w:r>
      <w:r>
        <w:rPr>
          <w:rFonts w:hint="eastAsia" w:ascii="宋体" w:hAnsi="宋体" w:eastAsia="宋体" w:cs="宋体"/>
          <w:b/>
          <w:color w:val="auto"/>
          <w:spacing w:val="4"/>
          <w:sz w:val="72"/>
          <w:highlight w:val="none"/>
        </w:rPr>
        <w:t>文件</w:t>
      </w:r>
    </w:p>
    <w:p>
      <w:pPr>
        <w:spacing w:line="360" w:lineRule="auto"/>
        <w:rPr>
          <w:rFonts w:hint="eastAsia" w:ascii="宋体" w:hAnsi="宋体" w:eastAsia="宋体" w:cs="宋体"/>
          <w:color w:val="auto"/>
          <w:spacing w:val="4"/>
          <w:sz w:val="30"/>
          <w:highlight w:val="none"/>
        </w:rPr>
      </w:pPr>
    </w:p>
    <w:p>
      <w:pPr>
        <w:pStyle w:val="8"/>
        <w:spacing w:line="360" w:lineRule="auto"/>
        <w:rPr>
          <w:rFonts w:hint="eastAsia" w:ascii="宋体" w:hAnsi="宋体" w:eastAsia="宋体" w:cs="宋体"/>
          <w:color w:val="auto"/>
          <w:spacing w:val="4"/>
          <w:sz w:val="30"/>
          <w:highlight w:val="none"/>
        </w:rPr>
      </w:pPr>
    </w:p>
    <w:p>
      <w:pPr>
        <w:pStyle w:val="8"/>
        <w:spacing w:line="360" w:lineRule="auto"/>
        <w:ind w:left="0" w:leftChars="0" w:firstLine="0" w:firstLineChars="0"/>
        <w:rPr>
          <w:rFonts w:hint="eastAsia" w:ascii="宋体" w:hAnsi="宋体" w:eastAsia="宋体" w:cs="宋体"/>
          <w:color w:val="auto"/>
          <w:highlight w:val="none"/>
        </w:rPr>
      </w:pPr>
    </w:p>
    <w:p>
      <w:pPr>
        <w:pStyle w:val="8"/>
        <w:spacing w:line="360" w:lineRule="auto"/>
        <w:ind w:left="0" w:leftChars="0" w:firstLine="0" w:firstLineChars="0"/>
        <w:rPr>
          <w:rFonts w:hint="eastAsia" w:ascii="宋体" w:hAnsi="宋体" w:eastAsia="宋体" w:cs="宋体"/>
          <w:color w:val="auto"/>
          <w:highlight w:val="none"/>
        </w:rPr>
      </w:pPr>
    </w:p>
    <w:p>
      <w:pPr>
        <w:pStyle w:val="8"/>
        <w:spacing w:line="360" w:lineRule="auto"/>
        <w:ind w:left="0" w:leftChars="0" w:firstLine="0" w:firstLineChars="0"/>
        <w:rPr>
          <w:rFonts w:hint="eastAsia" w:ascii="宋体" w:hAnsi="宋体" w:eastAsia="宋体" w:cs="宋体"/>
          <w:color w:val="auto"/>
          <w:highlight w:val="none"/>
        </w:rPr>
      </w:pPr>
    </w:p>
    <w:p>
      <w:pPr>
        <w:pStyle w:val="8"/>
        <w:spacing w:line="360" w:lineRule="auto"/>
        <w:ind w:left="0" w:leftChars="0" w:firstLine="0" w:firstLineChars="0"/>
        <w:rPr>
          <w:rFonts w:hint="eastAsia" w:ascii="宋体" w:hAnsi="宋体" w:eastAsia="宋体" w:cs="宋体"/>
          <w:color w:val="auto"/>
          <w:highlight w:val="none"/>
        </w:rPr>
      </w:pPr>
    </w:p>
    <w:p>
      <w:pPr>
        <w:pStyle w:val="8"/>
        <w:spacing w:line="360" w:lineRule="auto"/>
        <w:ind w:left="0" w:leftChars="0" w:firstLine="0" w:firstLineChars="0"/>
        <w:rPr>
          <w:rFonts w:hint="eastAsia" w:ascii="宋体" w:hAnsi="宋体" w:eastAsia="宋体" w:cs="宋体"/>
          <w:color w:val="auto"/>
          <w:highlight w:val="none"/>
        </w:rPr>
      </w:pPr>
    </w:p>
    <w:p>
      <w:pPr>
        <w:pStyle w:val="8"/>
        <w:spacing w:line="360" w:lineRule="auto"/>
        <w:ind w:left="0" w:leftChars="0" w:firstLine="0" w:firstLineChars="0"/>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spacing w:line="360" w:lineRule="auto"/>
        <w:ind w:firstLine="988" w:firstLineChars="300"/>
        <w:rPr>
          <w:rFonts w:hint="eastAsia" w:ascii="宋体" w:hAnsi="宋体" w:eastAsia="宋体" w:cs="宋体"/>
          <w:b/>
          <w:color w:val="auto"/>
          <w:spacing w:val="4"/>
          <w:sz w:val="32"/>
          <w:highlight w:val="none"/>
          <w:lang w:val="en-US" w:eastAsia="zh-CN"/>
        </w:rPr>
      </w:pPr>
      <w:r>
        <w:rPr>
          <w:rFonts w:hint="eastAsia" w:ascii="宋体" w:hAnsi="宋体" w:eastAsia="宋体" w:cs="宋体"/>
          <w:b/>
          <w:color w:val="auto"/>
          <w:spacing w:val="4"/>
          <w:sz w:val="32"/>
          <w:highlight w:val="none"/>
        </w:rPr>
        <w:t>采   购   人：</w:t>
      </w:r>
      <w:r>
        <w:rPr>
          <w:rFonts w:hint="eastAsia" w:ascii="宋体" w:hAnsi="宋体" w:cs="宋体"/>
          <w:b/>
          <w:color w:val="auto"/>
          <w:spacing w:val="4"/>
          <w:sz w:val="32"/>
          <w:highlight w:val="none"/>
          <w:lang w:val="en-US" w:eastAsia="zh-CN"/>
        </w:rPr>
        <w:t>神木市店塔镇人民政府</w:t>
      </w:r>
    </w:p>
    <w:p>
      <w:pPr>
        <w:spacing w:line="360" w:lineRule="auto"/>
        <w:ind w:firstLine="988" w:firstLineChars="300"/>
        <w:rPr>
          <w:rFonts w:hint="eastAsia" w:ascii="宋体" w:hAnsi="宋体" w:eastAsia="宋体" w:cs="宋体"/>
          <w:b/>
          <w:color w:val="auto"/>
          <w:spacing w:val="4"/>
          <w:sz w:val="32"/>
          <w:highlight w:val="none"/>
          <w:lang w:eastAsia="zh-CN"/>
        </w:rPr>
      </w:pPr>
      <w:r>
        <w:rPr>
          <w:rFonts w:hint="eastAsia" w:ascii="宋体" w:hAnsi="宋体" w:eastAsia="宋体" w:cs="宋体"/>
          <w:b/>
          <w:color w:val="auto"/>
          <w:spacing w:val="4"/>
          <w:sz w:val="32"/>
          <w:highlight w:val="none"/>
        </w:rPr>
        <w:t>采购代理机构：</w:t>
      </w:r>
      <w:r>
        <w:rPr>
          <w:rFonts w:hint="eastAsia" w:ascii="宋体" w:hAnsi="宋体" w:eastAsia="宋体" w:cs="宋体"/>
          <w:b/>
          <w:color w:val="auto"/>
          <w:spacing w:val="4"/>
          <w:sz w:val="32"/>
          <w:highlight w:val="none"/>
          <w:lang w:eastAsia="zh-CN"/>
        </w:rPr>
        <w:t>华春建设工程项目管理有限责任公司</w:t>
      </w:r>
    </w:p>
    <w:p>
      <w:pPr>
        <w:spacing w:line="360" w:lineRule="auto"/>
        <w:jc w:val="center"/>
        <w:rPr>
          <w:rFonts w:hint="eastAsia" w:ascii="宋体" w:hAnsi="宋体" w:eastAsia="宋体" w:cs="宋体"/>
          <w:b/>
          <w:color w:val="auto"/>
          <w:sz w:val="28"/>
          <w:highlight w:val="none"/>
        </w:rPr>
      </w:pPr>
      <w:r>
        <w:rPr>
          <w:rFonts w:hint="eastAsia" w:ascii="宋体" w:hAnsi="宋体" w:eastAsia="宋体" w:cs="宋体"/>
          <w:b/>
          <w:color w:val="auto"/>
          <w:spacing w:val="4"/>
          <w:sz w:val="32"/>
          <w:highlight w:val="none"/>
        </w:rPr>
        <w:t>二○</w:t>
      </w:r>
      <w:r>
        <w:rPr>
          <w:rFonts w:hint="eastAsia" w:ascii="宋体" w:hAnsi="宋体" w:eastAsia="宋体" w:cs="宋体"/>
          <w:b/>
          <w:color w:val="auto"/>
          <w:spacing w:val="4"/>
          <w:sz w:val="32"/>
          <w:highlight w:val="none"/>
          <w:lang w:eastAsia="zh-CN"/>
        </w:rPr>
        <w:t>二</w:t>
      </w:r>
      <w:r>
        <w:rPr>
          <w:rFonts w:hint="eastAsia" w:ascii="宋体" w:hAnsi="宋体" w:cs="宋体"/>
          <w:b/>
          <w:color w:val="auto"/>
          <w:spacing w:val="4"/>
          <w:sz w:val="32"/>
          <w:highlight w:val="none"/>
          <w:lang w:eastAsia="zh-CN"/>
        </w:rPr>
        <w:t>三</w:t>
      </w:r>
      <w:r>
        <w:rPr>
          <w:rFonts w:hint="eastAsia" w:ascii="宋体" w:hAnsi="宋体" w:eastAsia="宋体" w:cs="宋体"/>
          <w:b/>
          <w:color w:val="auto"/>
          <w:spacing w:val="4"/>
          <w:sz w:val="32"/>
          <w:highlight w:val="none"/>
        </w:rPr>
        <w:t>年</w:t>
      </w:r>
      <w:r>
        <w:rPr>
          <w:rFonts w:hint="eastAsia" w:ascii="宋体" w:hAnsi="宋体" w:cs="宋体"/>
          <w:b/>
          <w:color w:val="auto"/>
          <w:spacing w:val="4"/>
          <w:sz w:val="32"/>
          <w:highlight w:val="none"/>
          <w:lang w:eastAsia="zh-CN"/>
        </w:rPr>
        <w:t>七</w:t>
      </w:r>
      <w:r>
        <w:rPr>
          <w:rFonts w:hint="eastAsia" w:ascii="宋体" w:hAnsi="宋体" w:eastAsia="宋体" w:cs="宋体"/>
          <w:b/>
          <w:color w:val="auto"/>
          <w:spacing w:val="4"/>
          <w:sz w:val="32"/>
          <w:highlight w:val="none"/>
        </w:rPr>
        <w:t>月</w:t>
      </w:r>
    </w:p>
    <w:p>
      <w:pPr>
        <w:spacing w:line="360" w:lineRule="auto"/>
        <w:ind w:left="0" w:leftChars="0" w:firstLine="0" w:firstLineChars="0"/>
        <w:jc w:val="both"/>
        <w:rPr>
          <w:rFonts w:hint="eastAsia" w:ascii="宋体" w:hAnsi="宋体" w:eastAsia="宋体" w:cs="宋体"/>
          <w:b/>
          <w:color w:val="auto"/>
          <w:sz w:val="40"/>
          <w:szCs w:val="44"/>
          <w:highlight w:val="none"/>
        </w:rPr>
        <w:sectPr>
          <w:headerReference r:id="rId6" w:type="first"/>
          <w:footerReference r:id="rId8" w:type="first"/>
          <w:headerReference r:id="rId5" w:type="default"/>
          <w:footerReference r:id="rId7" w:type="default"/>
          <w:pgSz w:w="11906" w:h="16838"/>
          <w:pgMar w:top="1344" w:right="1344" w:bottom="1344" w:left="1344" w:header="850" w:footer="994" w:gutter="0"/>
          <w:pgBorders>
            <w:top w:val="none" w:sz="0" w:space="0"/>
            <w:left w:val="none" w:sz="0" w:space="0"/>
            <w:bottom w:val="none" w:sz="0" w:space="0"/>
            <w:right w:val="none" w:sz="0" w:space="0"/>
          </w:pgBorders>
          <w:pgNumType w:fmt="decimal"/>
          <w:cols w:space="720" w:num="1"/>
          <w:titlePg/>
          <w:rtlGutter w:val="0"/>
          <w:docGrid w:type="lines" w:linePitch="312" w:charSpace="0"/>
        </w:sectPr>
      </w:pPr>
    </w:p>
    <w:p>
      <w:pPr>
        <w:spacing w:line="360" w:lineRule="auto"/>
        <w:ind w:left="0" w:leftChars="0" w:firstLine="0" w:firstLineChars="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目   录</w:t>
      </w:r>
    </w:p>
    <w:p>
      <w:pPr>
        <w:pStyle w:val="15"/>
        <w:tabs>
          <w:tab w:val="right" w:leader="dot" w:pos="9218"/>
        </w:tabs>
        <w:spacing w:line="360" w:lineRule="auto"/>
        <w:ind w:left="0" w:leftChars="0" w:firstLine="442" w:firstLineChars="100"/>
        <w:rPr>
          <w:rFonts w:hint="eastAsia" w:ascii="宋体" w:hAnsi="宋体" w:eastAsia="宋体" w:cs="宋体"/>
          <w:color w:val="auto"/>
        </w:rPr>
      </w:pPr>
      <w:r>
        <w:rPr>
          <w:rFonts w:hint="eastAsia" w:ascii="宋体" w:hAnsi="宋体" w:eastAsia="宋体" w:cs="宋体"/>
          <w:b/>
          <w:color w:val="auto"/>
          <w:sz w:val="44"/>
          <w:highlight w:val="none"/>
        </w:rPr>
        <w:fldChar w:fldCharType="begin"/>
      </w:r>
      <w:r>
        <w:rPr>
          <w:rFonts w:hint="eastAsia" w:ascii="宋体" w:hAnsi="宋体" w:eastAsia="宋体" w:cs="宋体"/>
          <w:b/>
          <w:color w:val="auto"/>
          <w:sz w:val="44"/>
          <w:highlight w:val="none"/>
        </w:rPr>
        <w:instrText xml:space="preserve"> TOC \o "1-1" \h \z \u </w:instrText>
      </w:r>
      <w:r>
        <w:rPr>
          <w:rFonts w:hint="eastAsia" w:ascii="宋体" w:hAnsi="宋体" w:eastAsia="宋体" w:cs="宋体"/>
          <w:b/>
          <w:color w:val="auto"/>
          <w:sz w:val="44"/>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_Toc32462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第一章  竞争性</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rPr>
        <w:t>公告</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_Toc32462 \h </w:instrText>
      </w:r>
      <w:r>
        <w:rPr>
          <w:rFonts w:hint="eastAsia" w:ascii="宋体" w:hAnsi="宋体" w:eastAsia="宋体" w:cs="宋体"/>
          <w:color w:val="auto"/>
        </w:rPr>
        <w:fldChar w:fldCharType="separate"/>
      </w:r>
      <w:r>
        <w:rPr>
          <w:rFonts w:hint="eastAsia" w:ascii="宋体" w:hAnsi="宋体" w:eastAsia="宋体" w:cs="宋体"/>
          <w:color w:val="auto"/>
        </w:rPr>
        <w:t>3</w:t>
      </w:r>
      <w:r>
        <w:rPr>
          <w:rFonts w:hint="eastAsia" w:ascii="宋体" w:hAnsi="宋体" w:eastAsia="宋体" w:cs="宋体"/>
          <w:color w:val="auto"/>
        </w:rPr>
        <w:fldChar w:fldCharType="end"/>
      </w:r>
      <w:r>
        <w:rPr>
          <w:rFonts w:hint="eastAsia" w:ascii="宋体" w:hAnsi="宋体" w:eastAsia="宋体" w:cs="宋体"/>
          <w:color w:val="auto"/>
          <w:highlight w:val="none"/>
        </w:rPr>
        <w:fldChar w:fldCharType="end"/>
      </w:r>
    </w:p>
    <w:p>
      <w:pPr>
        <w:pStyle w:val="15"/>
        <w:tabs>
          <w:tab w:val="right" w:leader="dot" w:pos="9218"/>
        </w:tabs>
        <w:spacing w:line="360" w:lineRule="auto"/>
        <w:rPr>
          <w:rFonts w:hint="eastAsia" w:ascii="宋体" w:hAnsi="宋体" w:eastAsia="宋体" w:cs="宋体"/>
          <w:color w:val="auto"/>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_Toc14473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xml:space="preserve">第二章  </w:t>
      </w:r>
      <w:r>
        <w:rPr>
          <w:rFonts w:hint="eastAsia" w:ascii="宋体" w:hAnsi="宋体" w:cs="宋体"/>
          <w:color w:val="auto"/>
          <w:highlight w:val="none"/>
          <w:lang w:eastAsia="zh-CN"/>
        </w:rPr>
        <w:t>供应商</w:t>
      </w:r>
      <w:r>
        <w:rPr>
          <w:rFonts w:hint="eastAsia" w:ascii="宋体" w:hAnsi="宋体" w:eastAsia="宋体" w:cs="宋体"/>
          <w:color w:val="auto"/>
          <w:highlight w:val="none"/>
        </w:rPr>
        <w:t>须知</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_Toc14473 \h </w:instrText>
      </w:r>
      <w:r>
        <w:rPr>
          <w:rFonts w:hint="eastAsia" w:ascii="宋体" w:hAnsi="宋体" w:eastAsia="宋体" w:cs="宋体"/>
          <w:color w:val="auto"/>
        </w:rPr>
        <w:fldChar w:fldCharType="separate"/>
      </w:r>
      <w:r>
        <w:rPr>
          <w:rFonts w:hint="eastAsia" w:ascii="宋体" w:hAnsi="宋体" w:eastAsia="宋体" w:cs="宋体"/>
          <w:color w:val="auto"/>
        </w:rPr>
        <w:t>7</w:t>
      </w:r>
      <w:r>
        <w:rPr>
          <w:rFonts w:hint="eastAsia" w:ascii="宋体" w:hAnsi="宋体" w:eastAsia="宋体" w:cs="宋体"/>
          <w:color w:val="auto"/>
        </w:rPr>
        <w:fldChar w:fldCharType="end"/>
      </w:r>
      <w:r>
        <w:rPr>
          <w:rFonts w:hint="eastAsia" w:ascii="宋体" w:hAnsi="宋体" w:eastAsia="宋体" w:cs="宋体"/>
          <w:color w:val="auto"/>
          <w:highlight w:val="none"/>
        </w:rPr>
        <w:fldChar w:fldCharType="end"/>
      </w:r>
    </w:p>
    <w:p>
      <w:pPr>
        <w:pStyle w:val="15"/>
        <w:tabs>
          <w:tab w:val="right" w:leader="dot" w:pos="9218"/>
        </w:tabs>
        <w:spacing w:line="360" w:lineRule="auto"/>
        <w:rPr>
          <w:rFonts w:hint="eastAsia" w:ascii="宋体" w:hAnsi="宋体" w:eastAsia="宋体" w:cs="宋体"/>
          <w:color w:val="auto"/>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_Toc4403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第三章  合同条款及格</w:t>
      </w:r>
      <w:r>
        <w:rPr>
          <w:rFonts w:hint="eastAsia" w:ascii="宋体" w:hAnsi="宋体" w:eastAsia="宋体" w:cs="宋体"/>
          <w:color w:val="auto"/>
          <w:highlight w:val="none"/>
          <w:lang w:val="en-US" w:eastAsia="zh-CN"/>
        </w:rPr>
        <w:t>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_Toc4403 \h </w:instrText>
      </w:r>
      <w:r>
        <w:rPr>
          <w:rFonts w:hint="eastAsia" w:ascii="宋体" w:hAnsi="宋体" w:eastAsia="宋体" w:cs="宋体"/>
          <w:color w:val="auto"/>
        </w:rPr>
        <w:fldChar w:fldCharType="separate"/>
      </w:r>
      <w:r>
        <w:rPr>
          <w:rFonts w:hint="eastAsia" w:ascii="宋体" w:hAnsi="宋体" w:eastAsia="宋体" w:cs="宋体"/>
          <w:color w:val="auto"/>
        </w:rPr>
        <w:t>27</w:t>
      </w:r>
      <w:r>
        <w:rPr>
          <w:rFonts w:hint="eastAsia" w:ascii="宋体" w:hAnsi="宋体" w:eastAsia="宋体" w:cs="宋体"/>
          <w:color w:val="auto"/>
        </w:rPr>
        <w:fldChar w:fldCharType="end"/>
      </w:r>
      <w:r>
        <w:rPr>
          <w:rFonts w:hint="eastAsia" w:ascii="宋体" w:hAnsi="宋体" w:eastAsia="宋体" w:cs="宋体"/>
          <w:color w:val="auto"/>
          <w:highlight w:val="none"/>
        </w:rPr>
        <w:fldChar w:fldCharType="end"/>
      </w:r>
    </w:p>
    <w:p>
      <w:pPr>
        <w:pStyle w:val="15"/>
        <w:tabs>
          <w:tab w:val="right" w:leader="dot" w:pos="9218"/>
        </w:tabs>
        <w:spacing w:line="360" w:lineRule="auto"/>
        <w:rPr>
          <w:rFonts w:hint="eastAsia" w:ascii="宋体" w:hAnsi="宋体" w:eastAsia="宋体" w:cs="宋体"/>
          <w:color w:val="auto"/>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_Toc30034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2"/>
          <w:highlight w:val="none"/>
          <w:lang w:val="en-US" w:eastAsia="zh-CN"/>
        </w:rPr>
        <w:t>第四章  磋商内容及技术要求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_Toc30034 \h </w:instrText>
      </w:r>
      <w:r>
        <w:rPr>
          <w:rFonts w:hint="eastAsia" w:ascii="宋体" w:hAnsi="宋体" w:eastAsia="宋体" w:cs="宋体"/>
          <w:color w:val="auto"/>
        </w:rPr>
        <w:fldChar w:fldCharType="separate"/>
      </w:r>
      <w:r>
        <w:rPr>
          <w:rFonts w:hint="eastAsia" w:ascii="宋体" w:hAnsi="宋体" w:eastAsia="宋体" w:cs="宋体"/>
          <w:color w:val="auto"/>
        </w:rPr>
        <w:t>30</w:t>
      </w:r>
      <w:r>
        <w:rPr>
          <w:rFonts w:hint="eastAsia" w:ascii="宋体" w:hAnsi="宋体" w:eastAsia="宋体" w:cs="宋体"/>
          <w:color w:val="auto"/>
        </w:rPr>
        <w:fldChar w:fldCharType="end"/>
      </w:r>
      <w:r>
        <w:rPr>
          <w:rFonts w:hint="eastAsia" w:ascii="宋体" w:hAnsi="宋体" w:eastAsia="宋体" w:cs="宋体"/>
          <w:color w:val="auto"/>
          <w:highlight w:val="none"/>
        </w:rPr>
        <w:fldChar w:fldCharType="end"/>
      </w:r>
    </w:p>
    <w:p>
      <w:pPr>
        <w:pStyle w:val="15"/>
        <w:tabs>
          <w:tab w:val="right" w:leader="dot" w:pos="9218"/>
        </w:tabs>
        <w:spacing w:line="360" w:lineRule="auto"/>
        <w:rPr>
          <w:rFonts w:hint="eastAsia" w:ascii="宋体" w:hAnsi="宋体" w:eastAsia="宋体" w:cs="宋体"/>
          <w:color w:val="auto"/>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_Toc16274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2"/>
          <w:highlight w:val="none"/>
          <w:lang w:val="en-US" w:eastAsia="zh-CN"/>
        </w:rPr>
        <w:t>第五章  竞争性磋商响应文件</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_Toc16274 \h </w:instrText>
      </w:r>
      <w:r>
        <w:rPr>
          <w:rFonts w:hint="eastAsia" w:ascii="宋体" w:hAnsi="宋体" w:eastAsia="宋体" w:cs="宋体"/>
          <w:color w:val="auto"/>
        </w:rPr>
        <w:fldChar w:fldCharType="separate"/>
      </w:r>
      <w:r>
        <w:rPr>
          <w:rFonts w:hint="eastAsia" w:ascii="宋体" w:hAnsi="宋体" w:eastAsia="宋体" w:cs="宋体"/>
          <w:color w:val="auto"/>
        </w:rPr>
        <w:t>42</w:t>
      </w:r>
      <w:r>
        <w:rPr>
          <w:rFonts w:hint="eastAsia" w:ascii="宋体" w:hAnsi="宋体" w:eastAsia="宋体" w:cs="宋体"/>
          <w:color w:val="auto"/>
        </w:rPr>
        <w:fldChar w:fldCharType="end"/>
      </w:r>
      <w:r>
        <w:rPr>
          <w:rFonts w:hint="eastAsia" w:ascii="宋体" w:hAnsi="宋体" w:eastAsia="宋体" w:cs="宋体"/>
          <w:color w:val="auto"/>
          <w:highlight w:val="none"/>
        </w:rPr>
        <w:fldChar w:fldCharType="end"/>
      </w:r>
    </w:p>
    <w:p>
      <w:pPr>
        <w:pStyle w:val="15"/>
        <w:tabs>
          <w:tab w:val="right" w:leader="dot" w:pos="8302"/>
        </w:tabs>
        <w:spacing w:line="360" w:lineRule="auto"/>
        <w:rPr>
          <w:rFonts w:hint="eastAsia" w:ascii="宋体" w:hAnsi="宋体" w:eastAsia="宋体" w:cs="宋体"/>
          <w:color w:val="auto"/>
          <w:sz w:val="44"/>
          <w:szCs w:val="32"/>
          <w:highlight w:val="none"/>
        </w:rPr>
      </w:pPr>
      <w:r>
        <w:rPr>
          <w:rFonts w:hint="eastAsia" w:ascii="宋体" w:hAnsi="宋体" w:eastAsia="宋体" w:cs="宋体"/>
          <w:color w:val="auto"/>
          <w:highlight w:val="none"/>
        </w:rPr>
        <w:fldChar w:fldCharType="end"/>
      </w:r>
    </w:p>
    <w:p>
      <w:pPr>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bidi w:val="0"/>
        <w:spacing w:line="360" w:lineRule="auto"/>
        <w:ind w:left="0" w:leftChars="0" w:firstLine="0" w:firstLineChars="0"/>
        <w:rPr>
          <w:rFonts w:hint="eastAsia" w:ascii="宋体" w:hAnsi="宋体" w:eastAsia="宋体" w:cs="宋体"/>
          <w:color w:val="auto"/>
        </w:rPr>
      </w:pPr>
    </w:p>
    <w:p>
      <w:pPr>
        <w:pStyle w:val="3"/>
        <w:keepNext/>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highlight w:val="none"/>
        </w:rPr>
      </w:pPr>
      <w:bookmarkStart w:id="0" w:name="_Toc32462"/>
      <w:bookmarkStart w:id="1" w:name="_Toc363473971"/>
      <w:bookmarkStart w:id="2" w:name="_Toc363474016"/>
      <w:bookmarkStart w:id="3" w:name="_Toc403077638"/>
      <w:r>
        <w:rPr>
          <w:rFonts w:hint="eastAsia" w:ascii="宋体" w:hAnsi="宋体" w:eastAsia="宋体" w:cs="宋体"/>
          <w:color w:val="auto"/>
          <w:highlight w:val="none"/>
        </w:rPr>
        <w:t>第一章  竞争性</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rPr>
        <w:t>公告</w:t>
      </w:r>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jc w:val="left"/>
        <w:textAlignment w:val="baseline"/>
        <w:rPr>
          <w:rFonts w:hint="eastAsia" w:ascii="宋体" w:hAnsi="宋体" w:eastAsia="宋体" w:cs="宋体"/>
          <w:b w:val="0"/>
          <w:bCs w:val="0"/>
          <w:sz w:val="21"/>
          <w:szCs w:val="21"/>
        </w:rPr>
      </w:pPr>
      <w:bookmarkStart w:id="4" w:name="_Toc2929"/>
      <w:bookmarkStart w:id="5" w:name="_Toc389582035"/>
      <w:r>
        <w:rPr>
          <w:rStyle w:val="22"/>
          <w:rFonts w:hint="eastAsia" w:ascii="宋体" w:hAnsi="宋体" w:eastAsia="宋体" w:cs="宋体"/>
          <w:b/>
          <w:bCs/>
          <w:i w:val="0"/>
          <w:iCs w:val="0"/>
          <w:caps w:val="0"/>
          <w:color w:val="333333"/>
          <w:spacing w:val="0"/>
          <w:sz w:val="21"/>
          <w:szCs w:val="21"/>
          <w:shd w:val="clear" w:fill="FFFFFF"/>
          <w:vertAlign w:val="baseline"/>
        </w:rPr>
        <w:t>项目概况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店塔镇生活垃圾场项目运营服务采购项目的潜在供应商应在登录全国公共资源交易中心平台 (陕西省) 使用CA 锁报名后自行下载获取采购文件，并于 2023年08月08日 15时30分 （北京时间）前提交响应文件。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2"/>
          <w:rFonts w:hint="eastAsia" w:ascii="宋体" w:hAnsi="宋体" w:eastAsia="宋体" w:cs="宋体"/>
          <w:b/>
          <w:bCs/>
          <w:i w:val="0"/>
          <w:iCs w:val="0"/>
          <w:caps w:val="0"/>
          <w:color w:val="333333"/>
          <w:spacing w:val="0"/>
          <w:sz w:val="21"/>
          <w:szCs w:val="21"/>
          <w:shd w:val="clear" w:fill="FFFFFF"/>
          <w:vertAlign w:val="baseline"/>
        </w:rPr>
        <w:t>一、项目基本情况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项目编号：HC2023-YL39</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项目名称：店塔镇生活垃圾场项目运营服务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采购方式：竞争性磋商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预算金额：930,000.00元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采购需求：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合同包1(店塔镇生活垃圾场项目运营服务):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63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合同包预算金额：930,000.00元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63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合同包最高限价：930,000.00元</w:t>
      </w:r>
    </w:p>
    <w:tbl>
      <w:tblPr>
        <w:tblStyle w:val="20"/>
        <w:tblW w:w="9295" w:type="dxa"/>
        <w:tblInd w:w="-2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43"/>
        <w:gridCol w:w="1304"/>
        <w:gridCol w:w="1262"/>
        <w:gridCol w:w="1083"/>
        <w:gridCol w:w="1125"/>
        <w:gridCol w:w="1646"/>
        <w:gridCol w:w="1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1" w:hRule="atLeast"/>
          <w:tblHeader/>
        </w:trPr>
        <w:tc>
          <w:tcPr>
            <w:tcW w:w="11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leftChars="0" w:right="0" w:firstLine="0" w:firstLineChars="0"/>
              <w:jc w:val="both"/>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品目号</w:t>
            </w:r>
          </w:p>
        </w:tc>
        <w:tc>
          <w:tcPr>
            <w:tcW w:w="13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leftChars="0" w:right="0" w:firstLine="0" w:firstLineChars="0"/>
              <w:jc w:val="both"/>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品目名称</w:t>
            </w:r>
          </w:p>
        </w:tc>
        <w:tc>
          <w:tcPr>
            <w:tcW w:w="12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leftChars="0" w:right="0" w:firstLine="0" w:firstLineChars="0"/>
              <w:jc w:val="both"/>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采购标的</w:t>
            </w:r>
          </w:p>
        </w:tc>
        <w:tc>
          <w:tcPr>
            <w:tcW w:w="10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leftChars="0" w:right="0" w:firstLine="0" w:firstLineChars="0"/>
              <w:jc w:val="both"/>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数量（单位）</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leftChars="0" w:right="0" w:firstLine="0" w:firstLineChars="0"/>
              <w:jc w:val="both"/>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技术规格、参数及要求</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leftChars="0" w:right="0" w:firstLine="0" w:firstLineChars="0"/>
              <w:jc w:val="both"/>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品目预算(元)</w:t>
            </w:r>
          </w:p>
        </w:tc>
        <w:tc>
          <w:tcPr>
            <w:tcW w:w="17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leftChars="0" w:right="0" w:firstLine="0" w:firstLineChars="0"/>
              <w:jc w:val="both"/>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11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1-1</w:t>
            </w:r>
          </w:p>
        </w:tc>
        <w:tc>
          <w:tcPr>
            <w:tcW w:w="13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leftChars="0" w:right="0" w:firstLine="0" w:firstLineChars="0"/>
              <w:jc w:val="both"/>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其他公共设施管理服务</w:t>
            </w:r>
          </w:p>
        </w:tc>
        <w:tc>
          <w:tcPr>
            <w:tcW w:w="12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leftChars="0" w:right="0" w:firstLine="0" w:firstLineChars="0"/>
              <w:jc w:val="both"/>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生活垃圾场运营服务</w:t>
            </w:r>
          </w:p>
        </w:tc>
        <w:tc>
          <w:tcPr>
            <w:tcW w:w="10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leftChars="0" w:right="0" w:firstLine="0" w:firstLineChars="0"/>
              <w:jc w:val="both"/>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1(项)</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leftChars="0" w:right="0" w:firstLine="0" w:firstLineChars="0"/>
              <w:jc w:val="both"/>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详见采购文件</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0" w:firstLineChars="0"/>
              <w:jc w:val="both"/>
              <w:textAlignment w:val="center"/>
              <w:rPr>
                <w:rFonts w:hint="eastAsia" w:ascii="宋体" w:hAnsi="宋体" w:eastAsia="宋体" w:cs="宋体"/>
                <w:i w:val="0"/>
                <w:iCs w:val="0"/>
                <w:caps w:val="0"/>
                <w:color w:val="333333"/>
                <w:spacing w:val="0"/>
                <w:kern w:val="0"/>
                <w:sz w:val="21"/>
                <w:szCs w:val="21"/>
                <w:shd w:val="clear" w:fill="FFFFFF"/>
                <w:vertAlign w:val="baseline"/>
                <w:lang w:val="en-US" w:eastAsia="zh-CN" w:bidi="ar-SA"/>
              </w:rPr>
            </w:pPr>
            <w:r>
              <w:rPr>
                <w:rFonts w:hint="eastAsia" w:ascii="宋体" w:hAnsi="宋体" w:eastAsia="宋体" w:cs="宋体"/>
                <w:i w:val="0"/>
                <w:iCs w:val="0"/>
                <w:caps w:val="0"/>
                <w:color w:val="333333"/>
                <w:spacing w:val="0"/>
                <w:kern w:val="0"/>
                <w:sz w:val="21"/>
                <w:szCs w:val="21"/>
                <w:shd w:val="clear" w:fill="FFFFFF"/>
                <w:vertAlign w:val="baseline"/>
                <w:lang w:val="en-US" w:eastAsia="zh-CN" w:bidi="ar-SA"/>
              </w:rPr>
              <w:t>930,000.00</w:t>
            </w:r>
          </w:p>
        </w:tc>
        <w:tc>
          <w:tcPr>
            <w:tcW w:w="17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center"/>
              <w:rPr>
                <w:rFonts w:hint="eastAsia" w:ascii="宋体" w:hAnsi="宋体" w:eastAsia="宋体" w:cs="宋体"/>
                <w:i w:val="0"/>
                <w:iCs w:val="0"/>
                <w:caps w:val="0"/>
                <w:color w:val="333333"/>
                <w:spacing w:val="0"/>
                <w:kern w:val="0"/>
                <w:sz w:val="21"/>
                <w:szCs w:val="21"/>
                <w:shd w:val="clear" w:fill="FFFFFF"/>
                <w:vertAlign w:val="baseline"/>
                <w:lang w:val="en-US" w:eastAsia="zh-CN" w:bidi="ar-SA"/>
              </w:rPr>
            </w:pPr>
            <w:r>
              <w:rPr>
                <w:rFonts w:hint="eastAsia" w:ascii="宋体" w:hAnsi="宋体" w:eastAsia="宋体" w:cs="宋体"/>
                <w:i w:val="0"/>
                <w:iCs w:val="0"/>
                <w:caps w:val="0"/>
                <w:color w:val="333333"/>
                <w:spacing w:val="0"/>
                <w:kern w:val="0"/>
                <w:sz w:val="21"/>
                <w:szCs w:val="21"/>
                <w:shd w:val="clear" w:fill="FFFFFF"/>
                <w:vertAlign w:val="baseline"/>
                <w:lang w:val="en-US" w:eastAsia="zh-CN" w:bidi="ar-SA"/>
              </w:rPr>
              <w:t>930,000.00</w:t>
            </w:r>
          </w:p>
        </w:tc>
      </w:tr>
    </w:tbl>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63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本合同包不接受联合体投标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63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合同履行期限：无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2"/>
          <w:rFonts w:hint="eastAsia" w:ascii="宋体" w:hAnsi="宋体" w:eastAsia="宋体" w:cs="宋体"/>
          <w:b/>
          <w:bCs/>
          <w:i w:val="0"/>
          <w:iCs w:val="0"/>
          <w:caps w:val="0"/>
          <w:color w:val="333333"/>
          <w:spacing w:val="0"/>
          <w:sz w:val="21"/>
          <w:szCs w:val="21"/>
          <w:shd w:val="clear" w:fill="FFFFFF"/>
          <w:vertAlign w:val="baseline"/>
        </w:rPr>
        <w:t>二、申请人的资格要求：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1.满足《中华人民共和国政府采购法》第二十二条规定;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2.落实政府采购政策需满足的资格要求：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合同包1(店塔镇生活垃圾场项目运营服务)落实政府采购政策需满足的资格要求如下: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480" w:right="0" w:firstLine="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(1)《政府采购促进中小企业发展管理办法》 (财库〔2020〕46 号) ；</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(2)《财政部司法部关于政府采购支持监狱企业发展有关问题的通知》(财库〔2014〕68 号) ；</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(3)《财政部、民政部、中国残疾人联合会关于促进残疾人就业政府采购 政策的通知》(财库[2017]141 号) ；</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(4)陕西省财政厅关于印发《陕西省中小企业政府采购信用融资办法》(陕 财办采〔2018〕23 号) ；相关政策、业务流程、办理平台(http://www.ccgpsha anxi.gov.cn/zcdservice/zcd/shanxi/)；</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(5) 《关于在政府采购活动中查询及使用信用记录有关问题的通知》  (财 库〔2016〕125 号) ；</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(6)《榆林市财政局关于进一步加大政府采购支持中小企业力度的通知》 (榆政财采发〔2023〕10 号)；</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(7)《陕西省财政厅关于进一步加大政府采购支持中小企业力度的通知》(陕财采发〔2023〕5 号)；</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（8）.其他需要落实的政府采购政策。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3.本项目的特定资格要求：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合同包1(店塔镇生活垃圾场项目运营服务)特定资格要求如下: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480" w:right="0" w:firstLine="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(1) 供应商为具有独立承担民事责任能力的法人、事业法人、其他组织或 自然人。企业法人应提供合法有效的标识有统一社会信用代码的营业执照；事业 法人应提供事业单位法人证书；其他组织应提供合法登记证明文件；自然人应提 供身份证；</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(2) 财务状况报告：提供 2021年度或2022年度的财务审计报告，成立时 间至提交投标文件递交截止时间不足一年的，须提供其基本存款账户开户银行近 三个月内出具的银行资信证明或自成立以来的财务报表；</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(3) 税收缴纳证明：提供 2023年01月1日至今已缴纳的至少一个月的纳税证明 (银行缴费凭证) 或完税证明(时间以税款所属日期为准、税种须包含增值税或企业所得税或营业税) ，依法免税的单位应提供相关证明材料；</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(4) 社会保障资金缴纳证明：提供 2023 年01 月1日至今已缴纳的至少一 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(5) 参加政府采购活动前三年内，在经营活动中没有重大违法记录的书面 声明；</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(6)提供具有履行合同所必需的设备和专业技术能力的证明资料或承诺书；</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(7) 对列入“信用中国”网站(www.creditchina.gov.cn)“记录失信被执行人、税收违法黑名单、企业经营异常名录”记录名单；中国政府采购网(www.ccgp.gov.cn)“政府采购严重违法失信行为信息记录”的单位，应当拒绝参与政府采购活动 (附投标截止日前的查询结果但以投标截止日当天查询结果为准) 。提供“信用中国”网站(www.creditchina.gov.cn)、“信用中国 (陕西榆林) ”网站 (http：//www.ylcredit.gov.cn/) 、中国政府采购网(www.ccgp.gov.cn) 等网页截图及信用中国报告加盖供应商公章 (鲜章) 为准；</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(8)本项目专门面向中小企业采购，预留份额为整体预留，投标供应商须提供《中小企业声明函》；</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备注：(1) 本项目不接受联合体投标、不允许分包、转包，单位负责人为 同一人或者存在直接控股、管理关系的不同供应商，不得参加同一合同项下的政 府采购活动；(2) 事业单位法人参与投标可不提供财务状况报告和社会保障资 金缴纳证明及税收缴纳证明。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2"/>
          <w:rFonts w:hint="eastAsia" w:ascii="宋体" w:hAnsi="宋体" w:eastAsia="宋体" w:cs="宋体"/>
          <w:b/>
          <w:bCs/>
          <w:i w:val="0"/>
          <w:iCs w:val="0"/>
          <w:caps w:val="0"/>
          <w:color w:val="333333"/>
          <w:spacing w:val="0"/>
          <w:sz w:val="21"/>
          <w:szCs w:val="21"/>
          <w:shd w:val="clear" w:fill="FFFFFF"/>
          <w:vertAlign w:val="baseline"/>
        </w:rPr>
        <w:t>三、获取采购文件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时间： 2023年07月26日 至 2023年08月01日 ，每天上午 09:00:00 至 12:00:00 ，下午 12:00:00 至 17:00:00 （北京时间）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途径：登录全国公共资源交易中心平台 (陕西省) 使用CA 锁报名后自行下载</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方式：在线获取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售价： 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2"/>
          <w:rFonts w:hint="eastAsia" w:ascii="宋体" w:hAnsi="宋体" w:eastAsia="宋体" w:cs="宋体"/>
          <w:b/>
          <w:bCs/>
          <w:i w:val="0"/>
          <w:iCs w:val="0"/>
          <w:caps w:val="0"/>
          <w:color w:val="333333"/>
          <w:spacing w:val="0"/>
          <w:sz w:val="21"/>
          <w:szCs w:val="21"/>
          <w:shd w:val="clear" w:fill="FFFFFF"/>
          <w:vertAlign w:val="baseline"/>
        </w:rPr>
        <w:t>四、响应文件提交</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截止时间： 2023年08月08日 15时30分00秒 （北京时间）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地点：网上递交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2"/>
          <w:rFonts w:hint="eastAsia" w:ascii="宋体" w:hAnsi="宋体" w:eastAsia="宋体" w:cs="宋体"/>
          <w:b/>
          <w:bCs/>
          <w:i w:val="0"/>
          <w:iCs w:val="0"/>
          <w:caps w:val="0"/>
          <w:color w:val="333333"/>
          <w:spacing w:val="0"/>
          <w:sz w:val="21"/>
          <w:szCs w:val="21"/>
          <w:shd w:val="clear" w:fill="FFFFFF"/>
          <w:vertAlign w:val="baseline"/>
        </w:rPr>
        <w:t>五、开启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时间： 2023年08月08日 15时30分00秒 （北京时间）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地点：榆林市公共资源交易中心十楼开标2室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2"/>
          <w:rFonts w:hint="eastAsia" w:ascii="宋体" w:hAnsi="宋体" w:eastAsia="宋体" w:cs="宋体"/>
          <w:b/>
          <w:bCs/>
          <w:i w:val="0"/>
          <w:iCs w:val="0"/>
          <w:caps w:val="0"/>
          <w:color w:val="333333"/>
          <w:spacing w:val="0"/>
          <w:sz w:val="21"/>
          <w:szCs w:val="21"/>
          <w:shd w:val="clear" w:fill="FFFFFF"/>
          <w:vertAlign w:val="baseline"/>
        </w:rPr>
        <w:t>六、公告期限</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自本公告发布之日起3个工作日。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2"/>
          <w:rFonts w:hint="eastAsia" w:ascii="宋体" w:hAnsi="宋体" w:eastAsia="宋体" w:cs="宋体"/>
          <w:b/>
          <w:bCs/>
          <w:i w:val="0"/>
          <w:iCs w:val="0"/>
          <w:caps w:val="0"/>
          <w:color w:val="333333"/>
          <w:spacing w:val="0"/>
          <w:sz w:val="21"/>
          <w:szCs w:val="21"/>
          <w:shd w:val="clear" w:fill="FFFFFF"/>
          <w:vertAlign w:val="baseline"/>
        </w:rPr>
        <w:t>七、其他补充事宜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226" w:right="-226"/>
        <w:jc w:val="left"/>
        <w:textAlignment w:val="baseline"/>
        <w:rPr>
          <w:rFonts w:hint="eastAsia" w:ascii="宋体" w:hAnsi="宋体" w:eastAsia="宋体" w:cs="宋体"/>
          <w:b w:val="0"/>
          <w:bCs w:val="0"/>
          <w:sz w:val="21"/>
          <w:szCs w:val="21"/>
        </w:rPr>
      </w:pPr>
      <w:r>
        <w:rPr>
          <w:rStyle w:val="22"/>
          <w:rFonts w:hint="eastAsia" w:ascii="宋体" w:hAnsi="宋体" w:eastAsia="宋体" w:cs="宋体"/>
          <w:b/>
          <w:bCs/>
          <w:i w:val="0"/>
          <w:iCs w:val="0"/>
          <w:caps w:val="0"/>
          <w:color w:val="333333"/>
          <w:spacing w:val="0"/>
          <w:sz w:val="21"/>
          <w:szCs w:val="21"/>
          <w:shd w:val="clear" w:fill="FFFFFF"/>
          <w:vertAlign w:val="baseline"/>
        </w:rPr>
        <w:t>1、本项目专门面向中小企业采购；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226" w:right="-226"/>
        <w:jc w:val="left"/>
        <w:textAlignment w:val="baseline"/>
        <w:rPr>
          <w:rFonts w:hint="eastAsia" w:ascii="宋体" w:hAnsi="宋体" w:eastAsia="宋体" w:cs="宋体"/>
          <w:b w:val="0"/>
          <w:bCs w:val="0"/>
          <w:sz w:val="21"/>
          <w:szCs w:val="21"/>
        </w:rPr>
      </w:pPr>
      <w:r>
        <w:rPr>
          <w:rStyle w:val="22"/>
          <w:rFonts w:hint="eastAsia" w:ascii="宋体" w:hAnsi="宋体" w:eastAsia="宋体" w:cs="宋体"/>
          <w:b/>
          <w:bCs/>
          <w:i w:val="0"/>
          <w:iCs w:val="0"/>
          <w:caps w:val="0"/>
          <w:color w:val="333333"/>
          <w:spacing w:val="0"/>
          <w:sz w:val="21"/>
          <w:szCs w:val="21"/>
          <w:shd w:val="clear" w:fill="FFFFFF"/>
          <w:vertAlign w:val="baseline"/>
        </w:rPr>
        <w:t>2、特别提醒：1、供应商可登录全国公共资源交易中心平台(陕西省)(h ttp://www.sxggzyjy.cn/) ,选择“电子交易平台-陕西政府采购交易系统-陕西 省公共资源交易平台-投标人”进行登录，登录后选择“交易乙方”身份进入投标人界面进行报名并免费下载磋商文件；2、CA 锁购买：榆林市市民大厦四楼窗口,电话：0912-3515031；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226" w:right="-226"/>
        <w:jc w:val="left"/>
        <w:textAlignment w:val="baseline"/>
        <w:rPr>
          <w:rFonts w:hint="eastAsia" w:ascii="宋体" w:hAnsi="宋体" w:eastAsia="宋体" w:cs="宋体"/>
          <w:b w:val="0"/>
          <w:bCs w:val="0"/>
          <w:sz w:val="21"/>
          <w:szCs w:val="21"/>
        </w:rPr>
      </w:pPr>
      <w:r>
        <w:rPr>
          <w:rStyle w:val="22"/>
          <w:rFonts w:hint="eastAsia" w:ascii="宋体" w:hAnsi="宋体" w:eastAsia="宋体" w:cs="宋体"/>
          <w:b/>
          <w:bCs/>
          <w:i w:val="0"/>
          <w:iCs w:val="0"/>
          <w:caps w:val="0"/>
          <w:color w:val="333333"/>
          <w:spacing w:val="0"/>
          <w:sz w:val="21"/>
          <w:szCs w:val="21"/>
          <w:shd w:val="clear" w:fill="FFFFFF"/>
          <w:vertAlign w:val="baseline"/>
        </w:rPr>
        <w:t>3、本项目采用电子化招投标方式和“不见面”开标形 式，投标人使用数字认证证书 (CA 锁) 对投标文件进行签章、加密、递交及开标时解密等相关招投标事宜。供应商应于响应文件递交截止时间前任意时段登录交易平台〖首页〉电子交易平台〉企业端〗在线提交电子响应文件，逾期提交系 统将拒绝接收。供应商可登录榆林交易平台〖首页〉不见面开标〗在线参与开评 标过程，详见《榆林市不见面开标大厅操作手册 (投标人) 》 (交易平台〖首页〉 服务指南〉下载专区〗中的《榆林市不见面开标大厅操作手册 (投标人) 》)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226" w:right="-226"/>
        <w:jc w:val="left"/>
        <w:textAlignment w:val="baseline"/>
        <w:rPr>
          <w:rFonts w:hint="eastAsia" w:ascii="宋体" w:hAnsi="宋体" w:eastAsia="宋体" w:cs="宋体"/>
          <w:b w:val="0"/>
          <w:bCs w:val="0"/>
          <w:sz w:val="21"/>
          <w:szCs w:val="21"/>
        </w:rPr>
      </w:pPr>
      <w:r>
        <w:rPr>
          <w:rStyle w:val="22"/>
          <w:rFonts w:hint="eastAsia" w:ascii="宋体" w:hAnsi="宋体" w:eastAsia="宋体" w:cs="宋体"/>
          <w:b/>
          <w:bCs/>
          <w:i w:val="0"/>
          <w:iCs w:val="0"/>
          <w:caps w:val="0"/>
          <w:color w:val="333333"/>
          <w:spacing w:val="0"/>
          <w:sz w:val="21"/>
          <w:szCs w:val="21"/>
          <w:shd w:val="clear" w:fill="FFFFFF"/>
          <w:vertAlign w:val="baseline"/>
        </w:rPr>
        <w:t>4、请供应商按照陕西省财政厅关于政府采购投标人注册登记有关事项的通知中 的要求，通过陕西省政府采购网 (http://www.ccgp-shaanxi.gov.cn/) 注册登 记加入陕西省政府采购供应商库；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226" w:right="-226"/>
        <w:jc w:val="left"/>
        <w:textAlignment w:val="baseline"/>
        <w:rPr>
          <w:rFonts w:hint="eastAsia" w:ascii="宋体" w:hAnsi="宋体" w:eastAsia="宋体" w:cs="宋体"/>
          <w:b w:val="0"/>
          <w:bCs w:val="0"/>
          <w:sz w:val="21"/>
          <w:szCs w:val="21"/>
        </w:rPr>
      </w:pPr>
      <w:r>
        <w:rPr>
          <w:rStyle w:val="22"/>
          <w:rFonts w:hint="eastAsia" w:ascii="宋体" w:hAnsi="宋体" w:eastAsia="宋体" w:cs="宋体"/>
          <w:b/>
          <w:bCs/>
          <w:i w:val="0"/>
          <w:iCs w:val="0"/>
          <w:caps w:val="0"/>
          <w:color w:val="333333"/>
          <w:spacing w:val="0"/>
          <w:sz w:val="21"/>
          <w:szCs w:val="21"/>
          <w:shd w:val="clear" w:fill="FFFFFF"/>
          <w:vertAlign w:val="baseline"/>
        </w:rPr>
        <w:t>5、供应商应随时关注发布的变更公告，当澄 清或修改的内容影响响应文件编制时，将在交易平台上同步发布答疑文件，此时 投标人应从“项目流程〉答疑文件下载”下载最新发布的答疑文件 (*.SXSCF 格式) ，并使用该文件重新编制电子响应文件 (*.SXSTF 格式) ，使用旧版电子 招标文件或旧版答疑文件制作的电子响应文件，系统将拒绝接收；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226" w:right="-226"/>
        <w:jc w:val="left"/>
        <w:textAlignment w:val="baseline"/>
        <w:rPr>
          <w:rFonts w:hint="eastAsia" w:ascii="宋体" w:hAnsi="宋体" w:eastAsia="宋体" w:cs="宋体"/>
          <w:b w:val="0"/>
          <w:bCs w:val="0"/>
          <w:sz w:val="21"/>
          <w:szCs w:val="21"/>
        </w:rPr>
      </w:pPr>
      <w:r>
        <w:rPr>
          <w:rFonts w:hint="eastAsia" w:ascii="宋体" w:hAnsi="宋体" w:eastAsia="宋体" w:cs="宋体"/>
          <w:b/>
          <w:bCs/>
          <w:i w:val="0"/>
          <w:iCs w:val="0"/>
          <w:caps w:val="0"/>
          <w:color w:val="333333"/>
          <w:spacing w:val="0"/>
          <w:sz w:val="21"/>
          <w:szCs w:val="21"/>
          <w:shd w:val="clear" w:fill="FFFFFF"/>
          <w:vertAlign w:val="baseline"/>
        </w:rPr>
        <w:t>6、合同履行期限：服务期：3 年(一次招标，招标延用两年，合同一年一签。)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22"/>
          <w:rFonts w:hint="eastAsia" w:ascii="宋体" w:hAnsi="宋体" w:eastAsia="宋体" w:cs="宋体"/>
          <w:b/>
          <w:bCs/>
          <w:i w:val="0"/>
          <w:iCs w:val="0"/>
          <w:caps w:val="0"/>
          <w:color w:val="333333"/>
          <w:spacing w:val="0"/>
          <w:sz w:val="21"/>
          <w:szCs w:val="21"/>
          <w:shd w:val="clear" w:fill="FFFFFF"/>
          <w:vertAlign w:val="baseline"/>
        </w:rPr>
        <w:t>八、对本次招标提出询问，请按以下方式联系。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jc w:val="left"/>
        <w:textAlignment w:val="baseline"/>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vertAlign w:val="baseline"/>
        </w:rPr>
        <w:t>1.采购人信息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名称：神木市店塔镇人民政府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地址：陕西省神木市店塔镇店塔村阳塔组人民路15号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联系方式：15091888804</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jc w:val="left"/>
        <w:textAlignment w:val="baseline"/>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vertAlign w:val="baseline"/>
        </w:rPr>
        <w:t>2.采购代理机构信息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名称：华春建设工程项目管理有限责任公司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地址：陕西省榆林高新区高科城C座写字楼603</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联系方式：09123428555</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jc w:val="left"/>
        <w:textAlignment w:val="baseline"/>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vertAlign w:val="baseline"/>
        </w:rPr>
        <w:t>3.项目联系方式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项目联系人：徐工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电话：09123428555</w:t>
      </w:r>
    </w:p>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page"/>
      </w:r>
    </w:p>
    <w:p>
      <w:pPr>
        <w:pStyle w:val="3"/>
        <w:spacing w:line="360" w:lineRule="auto"/>
        <w:jc w:val="center"/>
        <w:rPr>
          <w:rFonts w:hint="eastAsia" w:ascii="宋体" w:hAnsi="宋体" w:eastAsia="宋体" w:cs="宋体"/>
          <w:color w:val="auto"/>
          <w:highlight w:val="none"/>
        </w:rPr>
      </w:pPr>
      <w:bookmarkStart w:id="6" w:name="_Toc14473"/>
      <w:r>
        <w:rPr>
          <w:rFonts w:hint="eastAsia" w:ascii="宋体" w:hAnsi="宋体" w:eastAsia="宋体" w:cs="宋体"/>
          <w:color w:val="auto"/>
          <w:highlight w:val="none"/>
        </w:rPr>
        <w:t xml:space="preserve">第二章  </w:t>
      </w:r>
      <w:bookmarkEnd w:id="4"/>
      <w:bookmarkEnd w:id="5"/>
      <w:r>
        <w:rPr>
          <w:rFonts w:hint="eastAsia" w:ascii="宋体" w:cs="宋体"/>
          <w:color w:val="auto"/>
          <w:highlight w:val="none"/>
          <w:lang w:eastAsia="zh-CN"/>
        </w:rPr>
        <w:t>供应商</w:t>
      </w:r>
      <w:r>
        <w:rPr>
          <w:rFonts w:hint="eastAsia" w:ascii="宋体" w:hAnsi="宋体" w:eastAsia="宋体" w:cs="宋体"/>
          <w:color w:val="auto"/>
          <w:highlight w:val="none"/>
        </w:rPr>
        <w:t>须知</w:t>
      </w:r>
      <w:bookmarkEnd w:id="6"/>
    </w:p>
    <w:p>
      <w:pPr>
        <w:pStyle w:val="10"/>
        <w:spacing w:line="360" w:lineRule="auto"/>
        <w:jc w:val="center"/>
        <w:rPr>
          <w:rFonts w:hint="eastAsia" w:ascii="宋体" w:hAnsi="宋体" w:eastAsia="宋体" w:cs="宋体"/>
          <w:b/>
          <w:color w:val="auto"/>
          <w:sz w:val="32"/>
          <w:highlight w:val="none"/>
        </w:rPr>
      </w:pPr>
      <w:r>
        <w:rPr>
          <w:rFonts w:hint="eastAsia" w:hAnsi="宋体" w:cs="宋体"/>
          <w:b/>
          <w:color w:val="auto"/>
          <w:sz w:val="32"/>
          <w:highlight w:val="none"/>
          <w:lang w:eastAsia="zh-CN"/>
        </w:rPr>
        <w:t>供应商</w:t>
      </w:r>
      <w:r>
        <w:rPr>
          <w:rFonts w:hint="eastAsia" w:ascii="宋体" w:hAnsi="宋体" w:eastAsia="宋体" w:cs="宋体"/>
          <w:b/>
          <w:color w:val="auto"/>
          <w:sz w:val="32"/>
          <w:highlight w:val="none"/>
        </w:rPr>
        <w:t>须知前附表</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本表是对</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须知的具体补充和修改，如有矛盾，应以本资料表为准。</w:t>
      </w:r>
    </w:p>
    <w:tbl>
      <w:tblPr>
        <w:tblStyle w:val="20"/>
        <w:tblW w:w="965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17"/>
        <w:gridCol w:w="88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838" w:type="dxa"/>
            <w:noWrap w:val="0"/>
            <w:vAlign w:val="top"/>
          </w:tcPr>
          <w:p>
            <w:pPr>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采购人：</w:t>
            </w:r>
            <w:r>
              <w:rPr>
                <w:rFonts w:hint="eastAsia" w:ascii="宋体" w:hAnsi="宋体" w:cs="宋体"/>
                <w:color w:val="auto"/>
                <w:sz w:val="24"/>
                <w:szCs w:val="24"/>
                <w:highlight w:val="none"/>
                <w:lang w:eastAsia="zh-CN"/>
              </w:rPr>
              <w:t>神木市店塔镇人民政府</w:t>
            </w:r>
          </w:p>
          <w:p>
            <w:pPr>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b/>
                <w:bCs/>
                <w:color w:val="auto"/>
                <w:sz w:val="24"/>
                <w:szCs w:val="24"/>
                <w:highlight w:val="none"/>
                <w:lang w:eastAsia="zh-CN"/>
              </w:rPr>
              <w:t>代理机构</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华春建设工程项目管理有限责任公司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val="en-US"/>
              </w:rPr>
            </w:pPr>
            <w:r>
              <w:rPr>
                <w:rFonts w:hint="eastAsia" w:ascii="宋体" w:hAnsi="宋体" w:eastAsia="宋体" w:cs="宋体"/>
                <w:b/>
                <w:bCs/>
                <w:color w:val="auto"/>
                <w:sz w:val="24"/>
                <w:szCs w:val="24"/>
                <w:highlight w:val="none"/>
              </w:rPr>
              <w:t>项目名称：</w:t>
            </w:r>
            <w:r>
              <w:rPr>
                <w:rFonts w:hint="eastAsia" w:ascii="宋体" w:hAnsi="宋体" w:cs="宋体"/>
                <w:color w:val="auto"/>
                <w:sz w:val="24"/>
                <w:szCs w:val="24"/>
                <w:lang w:val="en-US" w:eastAsia="zh-CN"/>
              </w:rPr>
              <w:t>店塔镇生活垃圾填埋场运营管理项目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采购预算金额：</w:t>
            </w:r>
            <w:r>
              <w:rPr>
                <w:rFonts w:hint="eastAsia" w:ascii="宋体" w:hAnsi="宋体" w:cs="宋体"/>
                <w:b w:val="0"/>
                <w:bCs w:val="0"/>
                <w:color w:val="auto"/>
                <w:sz w:val="24"/>
                <w:szCs w:val="24"/>
                <w:highlight w:val="none"/>
                <w:lang w:val="en-US" w:eastAsia="zh-CN"/>
              </w:rPr>
              <w:t>93</w:t>
            </w:r>
            <w:r>
              <w:rPr>
                <w:rFonts w:hint="eastAsia" w:ascii="宋体" w:hAnsi="宋体" w:eastAsia="宋体" w:cs="宋体"/>
                <w:b w:val="0"/>
                <w:bCs w:val="0"/>
                <w:color w:val="auto"/>
                <w:sz w:val="24"/>
                <w:szCs w:val="24"/>
                <w:highlight w:val="none"/>
                <w:lang w:val="en-US" w:eastAsia="zh-CN"/>
              </w:rPr>
              <w:t>0000.00</w:t>
            </w:r>
            <w:r>
              <w:rPr>
                <w:rFonts w:hint="eastAsia" w:ascii="宋体" w:hAnsi="宋体" w:eastAsia="宋体" w:cs="宋体"/>
                <w:b w:val="0"/>
                <w:bCs w:val="0"/>
                <w:color w:val="auto"/>
                <w:sz w:val="24"/>
                <w:szCs w:val="24"/>
                <w:highlight w:val="none"/>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采购方式：</w:t>
            </w:r>
            <w:r>
              <w:rPr>
                <w:rFonts w:hint="eastAsia" w:ascii="宋体" w:hAnsi="宋体" w:eastAsia="宋体" w:cs="宋体"/>
                <w:color w:val="auto"/>
                <w:sz w:val="24"/>
                <w:szCs w:val="24"/>
                <w:highlight w:val="none"/>
              </w:rPr>
              <w:t>竞争性</w:t>
            </w:r>
            <w:r>
              <w:rPr>
                <w:rFonts w:hint="eastAsia" w:ascii="宋体" w:hAnsi="宋体" w:eastAsia="宋体" w:cs="宋体"/>
                <w:color w:val="auto"/>
                <w:sz w:val="24"/>
                <w:szCs w:val="24"/>
                <w:highlight w:val="none"/>
                <w:lang w:eastAsia="zh-CN"/>
              </w:rPr>
              <w:t>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88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采购内容及要求：</w:t>
            </w:r>
            <w:r>
              <w:rPr>
                <w:rFonts w:hint="eastAsia" w:ascii="宋体" w:hAnsi="宋体" w:eastAsia="宋体" w:cs="宋体"/>
                <w:color w:val="auto"/>
                <w:sz w:val="24"/>
                <w:szCs w:val="24"/>
                <w:highlight w:val="none"/>
              </w:rPr>
              <w:t>详见</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 xml:space="preserve">第四章 </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内容及技术要求</w:t>
            </w:r>
            <w:r>
              <w:rPr>
                <w:rFonts w:hint="eastAsia" w:ascii="宋体" w:hAnsi="宋体" w:eastAsia="宋体" w:cs="宋体"/>
                <w:b/>
                <w:bCs/>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szCs w:val="24"/>
                <w:highlight w:val="none"/>
                <w:lang w:val="zh-CN"/>
              </w:rPr>
              <w:t>分包：</w:t>
            </w:r>
            <w:r>
              <w:rPr>
                <w:rFonts w:hint="eastAsia" w:ascii="宋体" w:hAnsi="宋体" w:eastAsia="宋体" w:cs="宋体"/>
                <w:color w:val="auto"/>
                <w:sz w:val="24"/>
                <w:szCs w:val="24"/>
                <w:highlight w:val="none"/>
                <w:lang w:val="zh-CN"/>
              </w:rPr>
              <w:t>不允许分包。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服务</w:t>
            </w:r>
            <w:r>
              <w:rPr>
                <w:rFonts w:hint="eastAsia" w:ascii="宋体" w:hAnsi="宋体" w:eastAsia="宋体" w:cs="宋体"/>
                <w:b/>
                <w:bCs/>
                <w:color w:val="auto"/>
                <w:sz w:val="24"/>
                <w:szCs w:val="24"/>
                <w:highlight w:val="none"/>
              </w:rPr>
              <w:t>期：</w:t>
            </w:r>
            <w:r>
              <w:rPr>
                <w:rFonts w:hint="eastAsia" w:ascii="宋体" w:hAnsi="宋体" w:cs="宋体"/>
                <w:i w:val="0"/>
                <w:iCs w:val="0"/>
                <w:caps w:val="0"/>
                <w:color w:val="auto"/>
                <w:spacing w:val="0"/>
                <w:sz w:val="24"/>
                <w:szCs w:val="24"/>
                <w:shd w:val="clear" w:color="auto" w:fill="FFFFFF"/>
                <w:lang w:eastAsia="zh-CN"/>
              </w:rPr>
              <w:t>3年(一次招标，招标延用两年，合同一年一签。)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t>质量：</w:t>
            </w:r>
            <w:r>
              <w:rPr>
                <w:rFonts w:hint="eastAsia" w:ascii="宋体" w:hAnsi="宋体" w:eastAsia="宋体" w:cs="宋体"/>
                <w:color w:val="auto"/>
                <w:sz w:val="24"/>
                <w:szCs w:val="24"/>
                <w:highlight w:val="none"/>
                <w:lang w:val="zh-CN"/>
              </w:rPr>
              <w:t>符合行业标准。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总价说明：</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总价：指完成本项目所有发生一切费用（含税）</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总价大于预算金额为无效报价。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响应说明：</w:t>
            </w:r>
            <w:r>
              <w:rPr>
                <w:rFonts w:hint="eastAsia" w:ascii="宋体" w:hAnsi="宋体" w:eastAsia="宋体" w:cs="宋体"/>
                <w:color w:val="auto"/>
                <w:sz w:val="24"/>
                <w:szCs w:val="24"/>
                <w:highlight w:val="none"/>
              </w:rPr>
              <w:t>本次采购</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可根据自身的资质情况和经营范围对本次项目进行响应，不得将其自行分解或只对本次项目中的品目进行不完全响应，任何不完全的响应将按无效</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88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备选方案：</w:t>
            </w:r>
            <w:r>
              <w:rPr>
                <w:rFonts w:hint="eastAsia" w:ascii="宋体" w:hAnsi="宋体" w:eastAsia="宋体" w:cs="宋体"/>
                <w:color w:val="auto"/>
                <w:sz w:val="24"/>
                <w:szCs w:val="24"/>
                <w:highlight w:val="none"/>
              </w:rPr>
              <w:t xml:space="preserve">不允许提供备选方案。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8838" w:type="dxa"/>
            <w:noWrap w:val="0"/>
            <w:vAlign w:val="center"/>
          </w:tcPr>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(1) </w:t>
            </w:r>
            <w:r>
              <w:rPr>
                <w:rFonts w:hint="eastAsia" w:ascii="宋体" w:hAnsi="宋体" w:cs="宋体"/>
                <w:sz w:val="24"/>
                <w:szCs w:val="24"/>
                <w:lang w:eastAsia="zh-CN"/>
              </w:rPr>
              <w:t>供应商</w:t>
            </w:r>
            <w:r>
              <w:rPr>
                <w:rFonts w:hint="eastAsia" w:ascii="宋体" w:hAnsi="宋体" w:eastAsia="宋体" w:cs="宋体"/>
                <w:sz w:val="24"/>
                <w:szCs w:val="24"/>
              </w:rPr>
              <w:t>为具有独立承担民事责任能力的法人、事业法人、其他组织或 自然人。企业法人应提供合法有效的标识有统一社会信用代码的营业执照；事业 法人应提供事业单位法人证书；其他组织应提供合法登记证明文件；自然人应提 供身份证；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 财务状况报告：提供 2021年度或2022年度的财务审计报告，成立时 间至提交投标文件递交截止时间不足一年的，须提供其基本存款账户开户银行近 三个月内出具的银行资信证明或自成立以来的财务报表；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 税收缴纳证明：提供 202</w:t>
            </w:r>
            <w:r>
              <w:rPr>
                <w:rFonts w:hint="eastAsia" w:ascii="宋体" w:hAnsi="宋体" w:cs="宋体"/>
                <w:sz w:val="24"/>
                <w:szCs w:val="24"/>
                <w:lang w:val="en-US" w:eastAsia="zh-CN"/>
              </w:rPr>
              <w:t>3</w:t>
            </w:r>
            <w:r>
              <w:rPr>
                <w:rFonts w:hint="eastAsia" w:ascii="宋体" w:hAnsi="宋体" w:eastAsia="宋体" w:cs="宋体"/>
                <w:sz w:val="24"/>
                <w:szCs w:val="24"/>
              </w:rPr>
              <w:t>年0</w:t>
            </w:r>
            <w:r>
              <w:rPr>
                <w:rFonts w:hint="eastAsia" w:ascii="宋体" w:hAnsi="宋体" w:cs="宋体"/>
                <w:sz w:val="24"/>
                <w:szCs w:val="24"/>
                <w:lang w:val="en-US" w:eastAsia="zh-CN"/>
              </w:rPr>
              <w:t>1</w:t>
            </w:r>
            <w:r>
              <w:rPr>
                <w:rFonts w:hint="eastAsia" w:ascii="宋体" w:hAnsi="宋体" w:eastAsia="宋体" w:cs="宋体"/>
                <w:sz w:val="24"/>
                <w:szCs w:val="24"/>
              </w:rPr>
              <w:t>月1日至今已缴纳的至少一个月的纳税证明 (银行缴费凭证)或完税证明(时间以税款所属日期为准、税种须包含增值税或企业所得税或营业税)，依法免税的单位应提供相关证明材料；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)社会保障资金缴纳证明：提供202</w:t>
            </w:r>
            <w:r>
              <w:rPr>
                <w:rFonts w:hint="eastAsia" w:ascii="宋体" w:hAnsi="宋体" w:cs="宋体"/>
                <w:sz w:val="24"/>
                <w:szCs w:val="24"/>
                <w:lang w:val="en-US" w:eastAsia="zh-CN"/>
              </w:rPr>
              <w:t>3</w:t>
            </w:r>
            <w:r>
              <w:rPr>
                <w:rFonts w:hint="eastAsia" w:ascii="宋体" w:hAnsi="宋体" w:eastAsia="宋体" w:cs="宋体"/>
                <w:sz w:val="24"/>
                <w:szCs w:val="24"/>
              </w:rPr>
              <w:t>年0</w:t>
            </w:r>
            <w:r>
              <w:rPr>
                <w:rFonts w:hint="eastAsia" w:ascii="宋体" w:hAnsi="宋体" w:cs="宋体"/>
                <w:sz w:val="24"/>
                <w:szCs w:val="24"/>
                <w:lang w:val="en-US" w:eastAsia="zh-CN"/>
              </w:rPr>
              <w:t>1</w:t>
            </w:r>
            <w:r>
              <w:rPr>
                <w:rFonts w:hint="eastAsia" w:ascii="宋体" w:hAnsi="宋体" w:eastAsia="宋体" w:cs="宋体"/>
                <w:sz w:val="24"/>
                <w:szCs w:val="24"/>
              </w:rPr>
              <w:t>月1日至今已缴纳的至少一个月的社会保障资金银行缴费单据或社保机构开具的社会保险参保缴费情况证明，依法不需要缴纳社会保障资金的单位应提供相关证明材料；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)参加政府采购活动前三年内，在经营活动中没有重大违法记录的书面 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6</w:t>
            </w:r>
            <w:r>
              <w:rPr>
                <w:rFonts w:hint="eastAsia" w:ascii="宋体" w:hAnsi="宋体" w:eastAsia="宋体" w:cs="宋体"/>
                <w:sz w:val="24"/>
                <w:szCs w:val="24"/>
              </w:rPr>
              <w:t>)提供具有履行合同所必需的设备和专业技术能力的证明资料或承诺书；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7</w:t>
            </w:r>
            <w:r>
              <w:rPr>
                <w:rFonts w:hint="eastAsia" w:ascii="宋体" w:hAnsi="宋体" w:eastAsia="宋体" w:cs="宋体"/>
                <w:sz w:val="24"/>
                <w:szCs w:val="24"/>
              </w:rPr>
              <w:t>)对列入“信用中国”网站(www.creditchina.gov.cn)“记录失信被执行人、税收违法黑名单、企业经营异常名录”记录名单；中国政府采购网(www.ccgp.gov.cn)“政府采购严重违法失信行为信息记录”的单位，应当拒绝参与政府采购活动 (附投标截止日前的查询结果但以投标截止日当天查询结果为准) 。提供“信用中国”网站(www.creditchina.gov.cn)、“信用中国 (陕西榆林) ”网站 (http：//www.ylcredit.gov.cn/) 、中国政府采购网(www.ccgp.gov.cn) 等网页截图及信用中国报告加盖</w:t>
            </w:r>
            <w:r>
              <w:rPr>
                <w:rFonts w:hint="eastAsia" w:ascii="宋体" w:hAnsi="宋体" w:cs="宋体"/>
                <w:sz w:val="24"/>
                <w:szCs w:val="24"/>
                <w:lang w:eastAsia="zh-CN"/>
              </w:rPr>
              <w:t>供应商</w:t>
            </w:r>
            <w:r>
              <w:rPr>
                <w:rFonts w:hint="eastAsia" w:ascii="宋体" w:hAnsi="宋体" w:eastAsia="宋体" w:cs="宋体"/>
                <w:sz w:val="24"/>
                <w:szCs w:val="24"/>
              </w:rPr>
              <w:t>公章(鲜章)为准；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8</w:t>
            </w:r>
            <w:r>
              <w:rPr>
                <w:rFonts w:hint="eastAsia" w:ascii="宋体" w:hAnsi="宋体" w:eastAsia="宋体" w:cs="宋体"/>
                <w:sz w:val="24"/>
                <w:szCs w:val="24"/>
              </w:rPr>
              <w:t>)本项目专门面向中小企业采购，预留份额为整体预留，投标供应商须提供《中小企业声明函》；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sz w:val="24"/>
                <w:szCs w:val="24"/>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rPr>
              <w:t>13</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保证金：</w:t>
            </w:r>
          </w:p>
          <w:p>
            <w:pPr>
              <w:pStyle w:val="2"/>
              <w:keepNext w:val="0"/>
              <w:keepLines w:val="0"/>
              <w:pageBreakBefore w:val="0"/>
              <w:kinsoku/>
              <w:wordWrap/>
              <w:overflowPunct/>
              <w:topLinePunct w:val="0"/>
              <w:autoSpaceDE/>
              <w:autoSpaceDN/>
              <w:bidi w:val="0"/>
              <w:spacing w:after="0" w:line="36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不要求</w:t>
            </w:r>
            <w:bookmarkStart w:id="7" w:name="_Hlk81404720"/>
            <w:r>
              <w:rPr>
                <w:rFonts w:hint="eastAsia" w:ascii="宋体" w:hAnsi="宋体" w:eastAsia="宋体" w:cs="宋体"/>
                <w:color w:val="auto"/>
                <w:sz w:val="24"/>
                <w:szCs w:val="24"/>
              </w:rPr>
              <w:t>，投标信用承诺书</w:t>
            </w:r>
            <w:bookmarkEnd w:id="7"/>
            <w:r>
              <w:rPr>
                <w:rFonts w:hint="eastAsia" w:ascii="宋体" w:hAnsi="宋体" w:eastAsia="宋体" w:cs="宋体"/>
                <w:color w:val="auto"/>
                <w:sz w:val="24"/>
                <w:szCs w:val="24"/>
              </w:rPr>
              <w:t>代替</w:t>
            </w: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保证金</w:t>
            </w:r>
            <w:r>
              <w:rPr>
                <w:rFonts w:hint="eastAsia" w:ascii="宋体" w:hAnsi="宋体" w:eastAsia="宋体" w:cs="宋体"/>
                <w:color w:val="auto"/>
                <w:sz w:val="24"/>
                <w:szCs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有效期:</w:t>
            </w:r>
            <w:r>
              <w:rPr>
                <w:rFonts w:hint="eastAsia" w:ascii="宋体" w:hAnsi="宋体" w:eastAsia="宋体" w:cs="宋体"/>
                <w:color w:val="auto"/>
                <w:sz w:val="24"/>
                <w:szCs w:val="24"/>
                <w:highlight w:val="none"/>
              </w:rPr>
              <w:t xml:space="preserve"> 从</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响应文件提交截止之日起 90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8838" w:type="dxa"/>
            <w:noWrap w:val="0"/>
            <w:vAlign w:val="center"/>
          </w:tcPr>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4"/>
                <w:szCs w:val="24"/>
                <w:lang w:val="en-US"/>
              </w:rPr>
            </w:pPr>
            <w:r>
              <w:rPr>
                <w:rFonts w:hint="eastAsia" w:ascii="宋体" w:hAnsi="宋体" w:eastAsia="宋体" w:cs="宋体"/>
                <w:sz w:val="24"/>
                <w:szCs w:val="24"/>
                <w:highlight w:val="none"/>
                <w:lang w:val="zh-CN"/>
              </w:rPr>
              <w:t>供应商无需提交纸质版响应文件，待成交结果公示发布后五个工作日内，成交单位需补交一正二副的纸质版响应文件(备案用)。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电子磋商响应文件编制要求：</w:t>
            </w:r>
          </w:p>
          <w:p>
            <w:pPr>
              <w:pStyle w:val="8"/>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lang w:val="en-US" w:eastAsia="zh-CN"/>
              </w:rPr>
              <w:t>本项目的磋商响应文件必须使用专用工具软件编制，编制完成后需电子签章，并通过“</w:t>
            </w:r>
            <w:r>
              <w:rPr>
                <w:rFonts w:hint="eastAsia" w:ascii="宋体" w:hAnsi="宋体" w:eastAsia="宋体" w:cs="宋体"/>
                <w:color w:val="auto"/>
                <w:sz w:val="24"/>
                <w:szCs w:val="24"/>
                <w:lang w:val="zh-TW" w:eastAsia="zh-TW" w:bidi="zh-TW"/>
              </w:rPr>
              <w:t>全国公共资源交易平台（陕西省·榆林市）</w:t>
            </w:r>
            <w:r>
              <w:rPr>
                <w:rFonts w:hint="eastAsia" w:ascii="宋体" w:hAnsi="宋体" w:eastAsia="宋体" w:cs="宋体"/>
                <w:color w:val="auto"/>
                <w:sz w:val="24"/>
                <w:szCs w:val="24"/>
                <w:lang w:val="en-US" w:eastAsia="zh-CN"/>
              </w:rPr>
              <w:t>”完成投标过程，投标人在磋商响应文件的编制和递交，应按照磋商文件的规定进行，如未按照磋商文件要求编制、递交电子磋商响应文件，将可能导致投标无效，其后果由投标人自负。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8838" w:type="dxa"/>
            <w:noWrap w:val="0"/>
            <w:vAlign w:val="center"/>
          </w:tcPr>
          <w:p>
            <w:pPr>
              <w:pStyle w:val="11"/>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电子投标注意事项：</w:t>
            </w:r>
          </w:p>
          <w:p>
            <w:pPr>
              <w:pStyle w:val="8"/>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投标人应及时下载磋商文件等相关文件，在投标截止前必须上传磋商响应文件，开标时需携带生成电子磋商响应文件时使用的CA锁，以便对上传的磋商响应文件进行解密，因投标人原因造成其磋商响应文件无法解密的，按无效投标处理。</w:t>
            </w:r>
          </w:p>
          <w:p>
            <w:pPr>
              <w:pStyle w:val="2"/>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该项目将采取“不见面”开标的形式，供应商无须到达开标现场，即可在网上直接参与开标活动。</w:t>
            </w:r>
          </w:p>
          <w:p>
            <w:pPr>
              <w:pStyle w:val="2"/>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相关注意事项如下：</w:t>
            </w:r>
          </w:p>
          <w:p>
            <w:pPr>
              <w:pStyle w:val="2"/>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1、开标当日，请各供应商在开标截止时间前至少提前半小时登录“不见面”开标系统登录方式有以下几种：</w:t>
            </w:r>
          </w:p>
          <w:p>
            <w:pPr>
              <w:pStyle w:val="2"/>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1）IE浏览器输入网址：</w:t>
            </w:r>
          </w:p>
          <w:p>
            <w:pPr>
              <w:pStyle w:val="2"/>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http://111.20.184.126:8081/BidOpeningHallCS/bidhall/default/login；</w:t>
            </w:r>
          </w:p>
          <w:p>
            <w:pPr>
              <w:pStyle w:val="2"/>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2）在【全国公共资源交易平台（陕西省·榆林市）】网站首页点击不见面开标模块进入；</w:t>
            </w:r>
          </w:p>
          <w:p>
            <w:pPr>
              <w:pStyle w:val="2"/>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3）在【全国公共资源交易平台（陕西省）】网站首页点击不见面开标模块选择榆林市进入。</w:t>
            </w:r>
          </w:p>
          <w:p>
            <w:pPr>
              <w:pStyle w:val="2"/>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注：登录不见面开标系统请选择IE11浏览器</w:t>
            </w:r>
          </w:p>
          <w:p>
            <w:pPr>
              <w:pStyle w:val="2"/>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2、供应商应按要求及时签到（签到时间为投标截止时间前1小时内，如果未签到将视为放弃投标资格），评审过程中，评标委员会可能会就某些问题要求供应商进行在线澄清，请供应商保持在线直到评审结束；</w:t>
            </w:r>
          </w:p>
          <w:p>
            <w:pPr>
              <w:pStyle w:val="2"/>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开标过程中，供应商在收到工作人员“开始解密”指令后，请及时使用CA对电子投标文件进行解密。解密时所用CA应与加密投标文件时所用CA相同；注：竞争性磋商方式解密时间为30分钟在解密时间内供应商全部解密完成后，可提前进入开标下一阶段。</w:t>
            </w:r>
          </w:p>
          <w:p>
            <w:pPr>
              <w:pStyle w:val="2"/>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4、相关技术问题，请咨询软件开发商：技术支持热线：400-998-0000/400-928-0095</w:t>
            </w:r>
          </w:p>
          <w:p>
            <w:pPr>
              <w:pStyle w:val="8"/>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5、榆林不见面开标系统操作手册下载方式：登录【全国公共资源交易平台（陕西省·榆林市）】网站首页选择【服务指南】-【下载专区】-点击【榆林不见面开标系统操作手册（投标人）】进行下载。</w:t>
            </w:r>
          </w:p>
          <w:p>
            <w:pPr>
              <w:pStyle w:val="8"/>
              <w:keepNext w:val="0"/>
              <w:keepLines w:val="0"/>
              <w:pageBreakBefore w:val="0"/>
              <w:numPr>
                <w:ilvl w:val="0"/>
                <w:numId w:val="0"/>
              </w:numPr>
              <w:kinsoku/>
              <w:wordWrap/>
              <w:overflowPunct/>
              <w:topLinePunct w:val="0"/>
              <w:autoSpaceDE/>
              <w:autoSpaceDN/>
              <w:bidi w:val="0"/>
              <w:adjustRightInd w:val="0"/>
              <w:snapToGrid w:val="0"/>
              <w:spacing w:line="360" w:lineRule="auto"/>
              <w:ind w:firstLine="723" w:firstLineChars="300"/>
              <w:jc w:val="both"/>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bCs/>
                <w:color w:val="auto"/>
                <w:sz w:val="24"/>
                <w:szCs w:val="24"/>
              </w:rPr>
              <w:t>进入公共资源交易平台的各方交易主体，均应在“信用中国(陕西榆林)”网站进行注册、登录、自主上报信用承诺书(网址:https://credit.yl.gov.cn/)。各相关交易主体注册、登陆后根据承诺事项选择相应的模板填写《信用承诺书》，并载明承诺事由，政府采购活动中，各方交易主体的承诺事由为“公共资源交易平台的所有活动”。投标人请将申报截图附在投标文件投标人委托代理人员附件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响应文件递交及</w:t>
            </w:r>
            <w:r>
              <w:rPr>
                <w:rFonts w:hint="eastAsia" w:ascii="宋体"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时间：</w:t>
            </w:r>
          </w:p>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响应文件递交截止时间：2023年08月08日 15时30分00秒 </w:t>
            </w:r>
            <w:r>
              <w:rPr>
                <w:rFonts w:hint="eastAsia" w:ascii="宋体" w:hAnsi="宋体" w:eastAsia="宋体" w:cs="宋体"/>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响应文件递交：</w:t>
            </w:r>
            <w:r>
              <w:rPr>
                <w:rFonts w:hint="eastAsia" w:ascii="宋体" w:hAnsi="宋体" w:eastAsia="宋体" w:cs="宋体"/>
                <w:color w:val="auto"/>
                <w:sz w:val="24"/>
                <w:szCs w:val="24"/>
                <w:highlight w:val="none"/>
                <w:lang w:val="en-US" w:eastAsia="zh-CN"/>
              </w:rPr>
              <w:t>网上递交</w:t>
            </w:r>
          </w:p>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时间：2023年08月08日 15时30分00秒</w:t>
            </w:r>
          </w:p>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地点：榆林市公共资源交易中心十楼开标2室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7</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评审方法：</w:t>
            </w:r>
            <w:r>
              <w:rPr>
                <w:rFonts w:hint="eastAsia" w:ascii="宋体" w:hAnsi="宋体" w:eastAsia="宋体" w:cs="宋体"/>
                <w:color w:val="auto"/>
                <w:kern w:val="0"/>
                <w:sz w:val="24"/>
                <w:szCs w:val="24"/>
                <w:shd w:val="clear" w:color="auto" w:fill="FFFFFF"/>
              </w:rPr>
              <w:t>综合评分法</w:t>
            </w:r>
            <w:r>
              <w:rPr>
                <w:rFonts w:hint="eastAsia" w:ascii="宋体" w:hAnsi="宋体" w:eastAsia="宋体" w:cs="宋体"/>
                <w:color w:val="auto"/>
                <w:sz w:val="24"/>
                <w:szCs w:val="24"/>
                <w:highlight w:val="none"/>
              </w:rPr>
              <w:t>（详见</w:t>
            </w:r>
            <w:r>
              <w:rPr>
                <w:rFonts w:hint="eastAsia" w:ascii="宋体" w:hAnsi="宋体" w:eastAsia="宋体" w:cs="宋体"/>
                <w:color w:val="auto"/>
                <w:sz w:val="24"/>
                <w:szCs w:val="24"/>
                <w:highlight w:val="none"/>
                <w:lang w:eastAsia="zh-CN"/>
              </w:rPr>
              <w:t>本章</w:t>
            </w:r>
            <w:r>
              <w:rPr>
                <w:rFonts w:hint="eastAsia" w:ascii="宋体" w:hAnsi="宋体" w:eastAsia="宋体" w:cs="宋体"/>
                <w:color w:val="auto"/>
                <w:sz w:val="24"/>
                <w:szCs w:val="24"/>
                <w:highlight w:val="none"/>
              </w:rPr>
              <w:t xml:space="preserve">第五节 </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与评审）。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8</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履约保证金：</w:t>
            </w:r>
            <w:r>
              <w:rPr>
                <w:rFonts w:hint="eastAsia" w:ascii="宋体" w:hAnsi="宋体" w:eastAsia="宋体" w:cs="宋体"/>
                <w:color w:val="auto"/>
                <w:sz w:val="24"/>
                <w:szCs w:val="24"/>
                <w:highlight w:val="none"/>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踏勘现场：自行踏勘</w:t>
            </w:r>
            <w:r>
              <w:rPr>
                <w:rFonts w:hint="eastAsia" w:ascii="宋体" w:hAnsi="宋体" w:eastAsia="宋体" w:cs="宋体"/>
                <w:b/>
                <w:bCs/>
                <w:color w:val="auto"/>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成交服务费：</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成交服务费包含采购代理服务费及</w:t>
            </w:r>
            <w:r>
              <w:rPr>
                <w:rFonts w:hint="eastAsia" w:ascii="宋体"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时发生的其他费用，均由</w:t>
            </w:r>
            <w:r>
              <w:rPr>
                <w:rFonts w:hint="eastAsia" w:ascii="宋体" w:hAnsi="宋体" w:eastAsia="宋体" w:cs="宋体"/>
                <w:b/>
                <w:bCs/>
                <w:color w:val="auto"/>
                <w:sz w:val="24"/>
                <w:szCs w:val="24"/>
                <w:highlight w:val="none"/>
                <w:lang w:eastAsia="zh-CN"/>
              </w:rPr>
              <w:t>中标供应商</w:t>
            </w:r>
            <w:r>
              <w:rPr>
                <w:rFonts w:hint="eastAsia" w:ascii="宋体" w:hAnsi="宋体" w:eastAsia="宋体" w:cs="宋体"/>
                <w:b/>
                <w:bCs/>
                <w:color w:val="auto"/>
                <w:sz w:val="24"/>
                <w:szCs w:val="24"/>
                <w:highlight w:val="none"/>
              </w:rPr>
              <w:t>承担。</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(1)采购代理服务费参照国家标准（计价格[2002]1980号）</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类标准收取，以成交价为计算基数；</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时可能发生的其他费用（以实际发生额为准）。</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(2)成交商在领取成交通知书前，须向采购代理机构一次性支付成交服务费。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解释：</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构成竞争性</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文件组成部分的各章节中出现的措辞“委托人”、“发包人“和“供应商”、“承包人”，在</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阶段应当分别按“采购人”和“</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”进行理解。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http://www.ccgp-shaanxi.gov.cn/zcdservice/zcd/shanxi/）在线申请，依法参加政府采购信用融资活动。</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w:t>
            </w:r>
          </w:p>
        </w:tc>
        <w:tc>
          <w:tcPr>
            <w:tcW w:w="8838" w:type="dxa"/>
            <w:noWrap w:val="0"/>
            <w:vAlign w:val="center"/>
          </w:tcPr>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color w:val="auto"/>
                <w:spacing w:val="12"/>
                <w:sz w:val="24"/>
                <w:szCs w:val="24"/>
                <w:lang w:eastAsia="zh-CN"/>
              </w:rPr>
            </w:pPr>
            <w:r>
              <w:rPr>
                <w:rFonts w:hint="eastAsia" w:ascii="宋体" w:hAnsi="宋体" w:eastAsia="宋体" w:cs="宋体"/>
                <w:b/>
                <w:bCs/>
                <w:color w:val="auto"/>
                <w:sz w:val="24"/>
                <w:szCs w:val="24"/>
                <w:lang w:val="en-US" w:eastAsia="zh-CN"/>
              </w:rPr>
              <w:t>本次采购所属行业：</w:t>
            </w:r>
            <w:r>
              <w:rPr>
                <w:rFonts w:hint="eastAsia" w:ascii="宋体" w:hAnsi="宋体" w:cs="宋体"/>
                <w:b/>
                <w:bCs/>
                <w:color w:val="auto"/>
                <w:sz w:val="24"/>
                <w:szCs w:val="24"/>
                <w:lang w:val="en-US" w:eastAsia="zh-CN"/>
              </w:rPr>
              <w:t>其他未列明行业</w:t>
            </w:r>
            <w:r>
              <w:rPr>
                <w:rFonts w:hint="eastAsia" w:ascii="宋体" w:hAnsi="宋体" w:eastAsia="宋体" w:cs="宋体"/>
                <w:b/>
                <w:bCs/>
                <w:color w:val="auto"/>
                <w:sz w:val="24"/>
                <w:szCs w:val="24"/>
                <w:lang w:val="en-US" w:eastAsia="zh-CN"/>
              </w:rPr>
              <w:t>。</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pacing w:val="12"/>
                <w:sz w:val="24"/>
                <w:szCs w:val="24"/>
                <w:lang w:eastAsia="zh-CN"/>
              </w:rPr>
              <w:t>☑</w:t>
            </w:r>
            <w:r>
              <w:rPr>
                <w:rFonts w:hint="eastAsia" w:ascii="宋体" w:hAnsi="宋体" w:eastAsia="宋体" w:cs="宋体"/>
                <w:color w:val="auto"/>
                <w:spacing w:val="7"/>
                <w:sz w:val="24"/>
                <w:szCs w:val="24"/>
              </w:rPr>
              <w:t>专门面向中小企业采购项目</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pacing w:val="8"/>
                <w:sz w:val="24"/>
                <w:szCs w:val="24"/>
                <w:lang w:eastAsia="zh-CN"/>
              </w:rPr>
              <w:t>□</w:t>
            </w:r>
            <w:r>
              <w:rPr>
                <w:rFonts w:hint="eastAsia" w:ascii="宋体" w:hAnsi="宋体" w:eastAsia="宋体" w:cs="宋体"/>
                <w:color w:val="auto"/>
                <w:spacing w:val="8"/>
                <w:sz w:val="24"/>
                <w:szCs w:val="24"/>
              </w:rPr>
              <w:t>非专门面向中小企业采购项目(价格扣除)</w:t>
            </w:r>
            <w:r>
              <w:rPr>
                <w:rFonts w:hint="eastAsia" w:ascii="宋体" w:hAnsi="宋体" w:eastAsia="宋体" w:cs="宋体"/>
                <w:color w:val="auto"/>
                <w:spacing w:val="6"/>
                <w:sz w:val="24"/>
                <w:szCs w:val="24"/>
              </w:rPr>
              <w:t>：</w:t>
            </w:r>
          </w:p>
          <w:p>
            <w:pPr>
              <w:keepNext w:val="0"/>
              <w:keepLines w:val="0"/>
              <w:pageBreakBefore w:val="0"/>
              <w:kinsoku/>
              <w:wordWrap/>
              <w:overflowPunct/>
              <w:topLinePunct w:val="0"/>
              <w:autoSpaceDE/>
              <w:autoSpaceDN/>
              <w:bidi w:val="0"/>
              <w:spacing w:line="360" w:lineRule="auto"/>
              <w:ind w:left="116" w:right="114" w:hanging="2"/>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pacing w:val="10"/>
                <w:sz w:val="24"/>
                <w:szCs w:val="24"/>
              </w:rPr>
              <w:t>对小型和微型企业产品的价格给予10%~20%的扣除</w:t>
            </w:r>
            <w:r>
              <w:rPr>
                <w:rFonts w:hint="eastAsia" w:ascii="宋体" w:hAnsi="宋体" w:eastAsia="宋体" w:cs="宋体"/>
                <w:color w:val="auto"/>
                <w:spacing w:val="9"/>
                <w:sz w:val="24"/>
                <w:szCs w:val="24"/>
              </w:rPr>
              <w:t>，</w:t>
            </w:r>
            <w:r>
              <w:rPr>
                <w:rFonts w:hint="eastAsia" w:ascii="宋体" w:hAnsi="宋体" w:eastAsia="宋体" w:cs="宋体"/>
                <w:color w:val="auto"/>
                <w:spacing w:val="12"/>
                <w:sz w:val="24"/>
                <w:szCs w:val="24"/>
              </w:rPr>
              <w:t>用扣</w:t>
            </w:r>
            <w:r>
              <w:rPr>
                <w:rFonts w:hint="eastAsia" w:ascii="宋体" w:hAnsi="宋体" w:eastAsia="宋体" w:cs="宋体"/>
                <w:color w:val="auto"/>
                <w:spacing w:val="11"/>
                <w:sz w:val="24"/>
                <w:szCs w:val="24"/>
              </w:rPr>
              <w:t>除</w:t>
            </w:r>
            <w:r>
              <w:rPr>
                <w:rFonts w:hint="eastAsia" w:ascii="宋体" w:hAnsi="宋体" w:eastAsia="宋体" w:cs="宋体"/>
                <w:color w:val="auto"/>
                <w:spacing w:val="6"/>
                <w:sz w:val="24"/>
                <w:szCs w:val="24"/>
              </w:rPr>
              <w:t>后的价格参与评审。本项目的扣除比例为：小型</w:t>
            </w:r>
            <w:r>
              <w:rPr>
                <w:rFonts w:hint="eastAsia" w:ascii="宋体" w:hAnsi="宋体" w:eastAsia="宋体" w:cs="宋体"/>
                <w:color w:val="auto"/>
                <w:spacing w:val="1"/>
                <w:sz w:val="24"/>
                <w:szCs w:val="24"/>
              </w:rPr>
              <w:t>企业扣除20%，微型企业扣除20</w:t>
            </w:r>
            <w:r>
              <w:rPr>
                <w:rFonts w:hint="eastAsia" w:ascii="宋体" w:hAnsi="宋体" w:eastAsia="宋体" w:cs="宋体"/>
                <w:color w:val="auto"/>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w:t>
            </w:r>
          </w:p>
        </w:tc>
        <w:tc>
          <w:tcPr>
            <w:tcW w:w="8838" w:type="dxa"/>
            <w:noWrap w:val="0"/>
            <w:vAlign w:val="center"/>
          </w:tcPr>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支持监狱企业发展：</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eq \o\ac(</w:instrText>
            </w:r>
            <w:r>
              <w:rPr>
                <w:rFonts w:hint="eastAsia" w:ascii="宋体" w:hAnsi="宋体" w:eastAsia="宋体" w:cs="宋体"/>
                <w:color w:val="auto"/>
                <w:position w:val="-4"/>
                <w:sz w:val="36"/>
                <w:szCs w:val="24"/>
                <w:lang w:val="en-US" w:eastAsia="zh-CN"/>
              </w:rPr>
              <w:instrText xml:space="preserve">□</w:instrText>
            </w:r>
            <w:r>
              <w:rPr>
                <w:rFonts w:hint="eastAsia" w:ascii="宋体" w:hAnsi="宋体" w:eastAsia="宋体" w:cs="宋体"/>
                <w:color w:val="auto"/>
                <w:position w:val="0"/>
                <w:sz w:val="24"/>
                <w:szCs w:val="24"/>
                <w:lang w:val="en-US" w:eastAsia="zh-CN"/>
              </w:rPr>
              <w:instrText xml:space="preserve">)</w:instrText>
            </w:r>
            <w:r>
              <w:rPr>
                <w:rFonts w:hint="eastAsia" w:ascii="宋体" w:hAnsi="宋体" w:eastAsia="宋体" w:cs="宋体"/>
                <w:color w:val="auto"/>
                <w:sz w:val="24"/>
                <w:szCs w:val="24"/>
                <w:lang w:val="en-US" w:eastAsia="zh-CN"/>
              </w:rPr>
              <w:fldChar w:fldCharType="end"/>
            </w:r>
            <w:r>
              <w:rPr>
                <w:rFonts w:hint="eastAsia" w:ascii="宋体" w:hAnsi="宋体" w:eastAsia="宋体" w:cs="宋体"/>
                <w:color w:val="auto"/>
                <w:sz w:val="24"/>
                <w:szCs w:val="24"/>
                <w:lang w:val="en-US" w:eastAsia="zh-CN"/>
              </w:rPr>
              <w:t>专门面向监狱企业采购项目</w:t>
            </w:r>
          </w:p>
          <w:p>
            <w:pPr>
              <w:keepNext w:val="0"/>
              <w:keepLines w:val="0"/>
              <w:pageBreakBefore w:val="0"/>
              <w:kinsoku/>
              <w:wordWrap/>
              <w:overflowPunct/>
              <w:topLinePunct w:val="0"/>
              <w:autoSpaceDE/>
              <w:autoSpaceDN/>
              <w:bidi w:val="0"/>
              <w:spacing w:line="360" w:lineRule="auto"/>
              <w:ind w:left="0" w:leftChars="0" w:right="106" w:firstLine="0" w:firstLineChars="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eq \o\ac(</w:instrText>
            </w:r>
            <w:r>
              <w:rPr>
                <w:rFonts w:hint="eastAsia" w:ascii="宋体" w:hAnsi="宋体" w:eastAsia="宋体" w:cs="宋体"/>
                <w:color w:val="auto"/>
                <w:position w:val="-4"/>
                <w:sz w:val="36"/>
                <w:szCs w:val="24"/>
                <w:lang w:val="en-US" w:eastAsia="zh-CN"/>
              </w:rPr>
              <w:instrText xml:space="preserve">□</w:instrText>
            </w:r>
            <w:r>
              <w:rPr>
                <w:rFonts w:hint="eastAsia" w:ascii="宋体" w:hAnsi="宋体" w:eastAsia="宋体" w:cs="宋体"/>
                <w:color w:val="auto"/>
                <w:position w:val="0"/>
                <w:sz w:val="24"/>
                <w:szCs w:val="24"/>
                <w:lang w:val="en-US" w:eastAsia="zh-CN"/>
              </w:rPr>
              <w:instrText xml:space="preserve">,√)</w:instrText>
            </w:r>
            <w:r>
              <w:rPr>
                <w:rFonts w:hint="eastAsia" w:ascii="宋体" w:hAnsi="宋体" w:eastAsia="宋体" w:cs="宋体"/>
                <w:color w:val="auto"/>
                <w:sz w:val="24"/>
                <w:szCs w:val="24"/>
                <w:lang w:val="en-US" w:eastAsia="zh-CN"/>
              </w:rPr>
              <w:fldChar w:fldCharType="end"/>
            </w:r>
            <w:r>
              <w:rPr>
                <w:rFonts w:hint="eastAsia" w:ascii="宋体" w:hAnsi="宋体" w:eastAsia="宋体" w:cs="宋体"/>
                <w:color w:val="auto"/>
                <w:sz w:val="24"/>
                <w:szCs w:val="24"/>
                <w:lang w:val="en-US" w:eastAsia="zh-CN"/>
              </w:rPr>
              <w:t>非专门面向监狱企业采购项目（价格扣除）：</w:t>
            </w:r>
            <w:r>
              <w:rPr>
                <w:rFonts w:hint="eastAsia" w:ascii="宋体" w:hAnsi="宋体" w:eastAsia="宋体" w:cs="宋体"/>
                <w:color w:val="auto"/>
                <w:spacing w:val="6"/>
                <w:sz w:val="24"/>
                <w:szCs w:val="24"/>
              </w:rPr>
              <w:t>监狱企业</w:t>
            </w:r>
            <w:r>
              <w:rPr>
                <w:rFonts w:hint="eastAsia" w:ascii="宋体" w:hAnsi="宋体" w:eastAsia="宋体" w:cs="宋体"/>
                <w:color w:val="auto"/>
                <w:spacing w:val="4"/>
                <w:sz w:val="24"/>
                <w:szCs w:val="24"/>
              </w:rPr>
              <w:t>可</w:t>
            </w:r>
            <w:r>
              <w:rPr>
                <w:rFonts w:hint="eastAsia" w:ascii="宋体" w:hAnsi="宋体" w:eastAsia="宋体" w:cs="宋体"/>
                <w:color w:val="auto"/>
                <w:spacing w:val="10"/>
                <w:sz w:val="24"/>
                <w:szCs w:val="24"/>
              </w:rPr>
              <w:t>视同小微企业在价格评审时给予10%~20%的扣除，</w:t>
            </w:r>
            <w:r>
              <w:rPr>
                <w:rFonts w:hint="eastAsia" w:ascii="宋体" w:hAnsi="宋体" w:eastAsia="宋体" w:cs="宋体"/>
                <w:color w:val="auto"/>
                <w:spacing w:val="6"/>
                <w:sz w:val="24"/>
                <w:szCs w:val="24"/>
              </w:rPr>
              <w:t>用</w:t>
            </w:r>
            <w:r>
              <w:rPr>
                <w:rFonts w:hint="eastAsia" w:ascii="宋体" w:hAnsi="宋体" w:eastAsia="宋体" w:cs="宋体"/>
                <w:color w:val="auto"/>
                <w:spacing w:val="18"/>
                <w:sz w:val="24"/>
                <w:szCs w:val="24"/>
              </w:rPr>
              <w:t>扣</w:t>
            </w:r>
            <w:r>
              <w:rPr>
                <w:rFonts w:hint="eastAsia" w:ascii="宋体" w:hAnsi="宋体" w:eastAsia="宋体" w:cs="宋体"/>
                <w:color w:val="auto"/>
                <w:spacing w:val="17"/>
                <w:sz w:val="24"/>
                <w:szCs w:val="24"/>
              </w:rPr>
              <w:t>除后的价格参与评审。本项目的扣除比例为：扣除</w:t>
            </w:r>
            <w:r>
              <w:rPr>
                <w:rFonts w:hint="eastAsia" w:ascii="宋体" w:hAnsi="宋体" w:eastAsia="宋体" w:cs="宋体"/>
                <w:color w:val="auto"/>
                <w:spacing w:val="2"/>
                <w:sz w:val="24"/>
                <w:szCs w:val="24"/>
                <w:lang w:val="en-US" w:eastAsia="zh-CN"/>
              </w:rPr>
              <w:t>20</w:t>
            </w:r>
            <w:r>
              <w:rPr>
                <w:rFonts w:hint="eastAsia" w:ascii="宋体" w:hAnsi="宋体" w:eastAsia="宋体" w:cs="宋体"/>
                <w:color w:val="auto"/>
                <w:spacing w:val="1"/>
                <w:sz w:val="24"/>
                <w:szCs w:val="24"/>
              </w:rPr>
              <w:t>%。</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eq \o\ac(</w:instrText>
            </w:r>
            <w:r>
              <w:rPr>
                <w:rFonts w:hint="eastAsia" w:ascii="宋体" w:hAnsi="宋体" w:eastAsia="宋体" w:cs="宋体"/>
                <w:color w:val="auto"/>
                <w:position w:val="-4"/>
                <w:sz w:val="36"/>
                <w:szCs w:val="24"/>
                <w:lang w:val="en-US" w:eastAsia="zh-CN"/>
              </w:rPr>
              <w:instrText xml:space="preserve">□</w:instrText>
            </w:r>
            <w:r>
              <w:rPr>
                <w:rFonts w:hint="eastAsia" w:ascii="宋体" w:hAnsi="宋体" w:eastAsia="宋体" w:cs="宋体"/>
                <w:color w:val="auto"/>
                <w:position w:val="0"/>
                <w:sz w:val="24"/>
                <w:szCs w:val="24"/>
                <w:lang w:val="en-US" w:eastAsia="zh-CN"/>
              </w:rPr>
              <w:instrText xml:space="preserve">)</w:instrText>
            </w:r>
            <w:r>
              <w:rPr>
                <w:rFonts w:hint="eastAsia" w:ascii="宋体" w:hAnsi="宋体" w:eastAsia="宋体" w:cs="宋体"/>
                <w:color w:val="auto"/>
                <w:sz w:val="24"/>
                <w:szCs w:val="24"/>
                <w:lang w:val="en-US" w:eastAsia="zh-CN"/>
              </w:rPr>
              <w:fldChar w:fldCharType="end"/>
            </w:r>
            <w:r>
              <w:rPr>
                <w:rFonts w:hint="eastAsia" w:ascii="宋体" w:hAnsi="宋体" w:eastAsia="宋体" w:cs="宋体"/>
                <w:color w:val="auto"/>
                <w:sz w:val="24"/>
                <w:szCs w:val="24"/>
                <w:lang w:val="en-US" w:eastAsia="zh-CN"/>
              </w:rPr>
              <w:t>非专门面向监狱企业采购项目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宋体"/>
                <w:color w:val="auto"/>
                <w:sz w:val="24"/>
                <w:szCs w:val="24"/>
                <w:highlight w:val="none"/>
                <w:lang w:val="en-US" w:eastAsia="zh-CN"/>
              </w:rPr>
            </w:pPr>
            <w:bookmarkStart w:id="8" w:name="_Toc6903"/>
            <w:r>
              <w:rPr>
                <w:rFonts w:hint="eastAsia" w:ascii="宋体" w:hAnsi="宋体" w:eastAsia="宋体" w:cs="宋体"/>
                <w:color w:val="auto"/>
                <w:sz w:val="24"/>
                <w:szCs w:val="24"/>
                <w:highlight w:val="none"/>
                <w:lang w:val="en-US" w:eastAsia="zh-CN"/>
              </w:rPr>
              <w:t>25</w:t>
            </w:r>
          </w:p>
        </w:tc>
        <w:tc>
          <w:tcPr>
            <w:tcW w:w="8838" w:type="dxa"/>
            <w:noWrap w:val="0"/>
            <w:vAlign w:val="center"/>
          </w:tcPr>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lang w:eastAsia="zh-CN"/>
              </w:rPr>
              <w:t>榆林市</w:t>
            </w:r>
            <w:r>
              <w:rPr>
                <w:rFonts w:hint="eastAsia" w:ascii="宋体" w:hAnsi="宋体" w:eastAsia="宋体" w:cs="宋体"/>
                <w:color w:val="auto"/>
                <w:spacing w:val="9"/>
                <w:sz w:val="24"/>
                <w:szCs w:val="24"/>
              </w:rPr>
              <w:t>公共资源交易平台全流程电子化政府采购项目内容</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1、关于需要特别提醒投标人的内容</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1.1、本项目采用电子化投标的方式</w:t>
            </w:r>
            <w:r>
              <w:rPr>
                <w:rFonts w:hint="eastAsia" w:ascii="宋体" w:hAnsi="宋体" w:cs="宋体"/>
                <w:color w:val="auto"/>
                <w:spacing w:val="9"/>
                <w:sz w:val="24"/>
                <w:szCs w:val="24"/>
                <w:lang w:eastAsia="zh-CN"/>
              </w:rPr>
              <w:t>，</w:t>
            </w:r>
            <w:r>
              <w:rPr>
                <w:rFonts w:hint="eastAsia" w:ascii="宋体" w:hAnsi="宋体" w:eastAsia="宋体" w:cs="宋体"/>
                <w:color w:val="auto"/>
                <w:spacing w:val="9"/>
                <w:sz w:val="24"/>
                <w:szCs w:val="24"/>
                <w:lang w:val="en-US" w:eastAsia="zh-CN"/>
              </w:rPr>
              <w:t>投标人</w:t>
            </w:r>
            <w:r>
              <w:rPr>
                <w:rFonts w:hint="eastAsia" w:ascii="宋体" w:hAnsi="宋体" w:eastAsia="宋体" w:cs="宋体"/>
                <w:color w:val="auto"/>
                <w:spacing w:val="9"/>
                <w:sz w:val="24"/>
                <w:szCs w:val="24"/>
              </w:rPr>
              <w:t>须使用数字认证证书对电子投标文件进行签章、加密、递交及开标时解密等相关招投标事宜。如因投标人自身原因数字认证证书造成无法解密投标文件，按无效投标对待。</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1.</w:t>
            </w:r>
            <w:r>
              <w:rPr>
                <w:rFonts w:hint="eastAsia" w:ascii="宋体" w:hAnsi="宋体" w:eastAsia="宋体" w:cs="宋体"/>
                <w:color w:val="auto"/>
                <w:spacing w:val="9"/>
                <w:sz w:val="24"/>
                <w:szCs w:val="24"/>
                <w:lang w:val="en-US" w:eastAsia="zh-CN"/>
              </w:rPr>
              <w:t>2</w:t>
            </w:r>
            <w:r>
              <w:rPr>
                <w:rFonts w:hint="eastAsia" w:ascii="宋体" w:hAnsi="宋体" w:eastAsia="宋体" w:cs="宋体"/>
                <w:color w:val="auto"/>
                <w:spacing w:val="9"/>
                <w:sz w:val="24"/>
                <w:szCs w:val="24"/>
              </w:rPr>
              <w:t>、制作电子投标文件</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9"/>
                <w:sz w:val="24"/>
                <w:szCs w:val="24"/>
              </w:rPr>
            </w:pPr>
            <w:r>
              <w:rPr>
                <w:rFonts w:hint="eastAsia" w:ascii="宋体" w:hAnsi="宋体" w:cs="宋体"/>
                <w:color w:val="auto"/>
                <w:spacing w:val="9"/>
                <w:sz w:val="24"/>
                <w:szCs w:val="24"/>
                <w:lang w:val="en-US" w:eastAsia="zh-CN"/>
              </w:rPr>
              <w:t>供应商</w:t>
            </w:r>
            <w:r>
              <w:rPr>
                <w:rFonts w:hint="eastAsia" w:ascii="宋体" w:hAnsi="宋体" w:eastAsia="宋体" w:cs="宋体"/>
                <w:color w:val="auto"/>
                <w:spacing w:val="9"/>
                <w:sz w:val="24"/>
                <w:szCs w:val="24"/>
              </w:rPr>
              <w:t>须在“全国公共资源交易中心平台（陕西省）（http://www.sxggzyjy.cn/）”的“服务指南”栏目“下载专区”中，免费下载“陕西省公共资源交易平台政府采购电子标书制作工具”，并升级至最新版本，使用该客户端制作电子投标文件，制作扩展名为“.SXSTF”的电子投标文件。”</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1.4、递交电子响应文件</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响应文件。上传成功后，电子化平台将予以记录。</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2、关于报名</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2.1、</w:t>
            </w:r>
            <w:r>
              <w:rPr>
                <w:rFonts w:hint="eastAsia" w:ascii="宋体" w:hAnsi="宋体" w:eastAsia="宋体" w:cs="宋体"/>
                <w:color w:val="auto"/>
                <w:spacing w:val="9"/>
                <w:sz w:val="24"/>
                <w:szCs w:val="24"/>
                <w:lang w:val="en-US" w:eastAsia="zh-CN"/>
              </w:rPr>
              <w:t>获取</w:t>
            </w:r>
            <w:r>
              <w:rPr>
                <w:rFonts w:hint="eastAsia" w:ascii="宋体" w:hAnsi="宋体" w:eastAsia="宋体" w:cs="宋体"/>
                <w:color w:val="auto"/>
                <w:spacing w:val="9"/>
                <w:sz w:val="24"/>
                <w:szCs w:val="24"/>
              </w:rPr>
              <w:t>须知：使用捆绑省交易平台的CA锁登录电子交易平台，通过政府采购系统企业端进入，点击我要投标，完善相关投标信息；</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2.</w:t>
            </w:r>
            <w:r>
              <w:rPr>
                <w:rFonts w:hint="eastAsia" w:ascii="宋体" w:hAnsi="宋体" w:eastAsia="宋体" w:cs="宋体"/>
                <w:color w:val="auto"/>
                <w:spacing w:val="9"/>
                <w:sz w:val="24"/>
                <w:szCs w:val="24"/>
                <w:lang w:val="en-US" w:eastAsia="zh-CN"/>
              </w:rPr>
              <w:t>2</w:t>
            </w:r>
            <w:r>
              <w:rPr>
                <w:rFonts w:hint="eastAsia" w:ascii="宋体" w:hAnsi="宋体" w:eastAsia="宋体" w:cs="宋体"/>
                <w:color w:val="auto"/>
                <w:spacing w:val="9"/>
                <w:sz w:val="24"/>
                <w:szCs w:val="24"/>
              </w:rPr>
              <w:t>、相关操作流程详见全国公共资源交易平台（陕西省）网站[服务指南-下载专区]中的《陕西省公共资源交易中心政府采购项目投标指南》；</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2.</w:t>
            </w:r>
            <w:r>
              <w:rPr>
                <w:rFonts w:hint="eastAsia" w:ascii="宋体" w:hAnsi="宋体" w:eastAsia="宋体" w:cs="宋体"/>
                <w:color w:val="auto"/>
                <w:spacing w:val="9"/>
                <w:sz w:val="24"/>
                <w:szCs w:val="24"/>
                <w:lang w:val="en-US" w:eastAsia="zh-CN"/>
              </w:rPr>
              <w:t>3</w:t>
            </w:r>
            <w:r>
              <w:rPr>
                <w:rFonts w:hint="eastAsia" w:ascii="宋体" w:hAnsi="宋体" w:eastAsia="宋体" w:cs="宋体"/>
                <w:color w:val="auto"/>
                <w:spacing w:val="9"/>
                <w:sz w:val="24"/>
                <w:szCs w:val="24"/>
              </w:rPr>
              <w:t>、电子招标文件技术支持：4009280095、4009980000。</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3、关于文件的制作和签名</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3.1、编制电子投标文件时，应使用最新发布的电子招标文件及专用制作工具进行编制。并使用数字认证证书（CA）对电子投标文件进行签署、加密、递交及开标时解密等相关操作。</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3.2.1电子招标文件下载</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cs="宋体"/>
                <w:color w:val="auto"/>
                <w:spacing w:val="9"/>
                <w:sz w:val="24"/>
                <w:szCs w:val="24"/>
                <w:lang w:val="en-US" w:eastAsia="zh-CN"/>
              </w:rPr>
              <w:t>供应商</w:t>
            </w:r>
            <w:r>
              <w:rPr>
                <w:rFonts w:hint="eastAsia" w:ascii="宋体" w:hAnsi="宋体" w:eastAsia="宋体" w:cs="宋体"/>
                <w:color w:val="auto"/>
                <w:spacing w:val="9"/>
                <w:sz w:val="24"/>
                <w:szCs w:val="24"/>
              </w:rPr>
              <w:t>登录全国公共资源交易平台（陕西省）网站[电子交易平台-企业端]后，在[我的项目]中点击“项目流程-交易文件下载”下载电子招标文件（*.SXSZF）;</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注意：该项目如有变更文件，则应点击“项目流程&gt;答疑文件下载”下载更新后的电子招标文件（*.SXSCF），使用旧版电子招标文件制作的电子投标文件，系统将拒绝接收。</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3.2.</w:t>
            </w:r>
            <w:r>
              <w:rPr>
                <w:rFonts w:hint="eastAsia" w:ascii="宋体" w:hAnsi="宋体" w:eastAsia="宋体" w:cs="宋体"/>
                <w:color w:val="auto"/>
                <w:spacing w:val="9"/>
                <w:sz w:val="24"/>
                <w:szCs w:val="24"/>
                <w:lang w:val="en-US" w:eastAsia="zh-CN"/>
              </w:rPr>
              <w:t>1</w:t>
            </w:r>
            <w:r>
              <w:rPr>
                <w:rFonts w:hint="eastAsia" w:ascii="宋体" w:hAnsi="宋体" w:eastAsia="宋体" w:cs="宋体"/>
                <w:color w:val="auto"/>
                <w:spacing w:val="9"/>
                <w:sz w:val="24"/>
                <w:szCs w:val="24"/>
              </w:rPr>
              <w:t>制作电子投标文件</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电子投标文件同样需要使用上述软件进行编制。在编制过程中，如有技术性问题，请先翻阅操作手册或致电软件开发商，技术支持热线：4009280095、4009980000。</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4、关于响应文件递交与解密</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4.1.文件递交</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4.1.1电子投标文件可于提交投标文件截止时间前任意时段登录全国公共资源交易平台（陕西省）网站[电子交易平台-企业端]进行提交，逾期系统将拒绝接收。提交时，</w:t>
            </w:r>
            <w:r>
              <w:rPr>
                <w:rFonts w:hint="eastAsia" w:ascii="宋体" w:hAnsi="宋体" w:cs="宋体"/>
                <w:color w:val="auto"/>
                <w:spacing w:val="9"/>
                <w:sz w:val="24"/>
                <w:szCs w:val="24"/>
                <w:lang w:val="en-US" w:eastAsia="zh-CN"/>
              </w:rPr>
              <w:t>供应商</w:t>
            </w:r>
            <w:r>
              <w:rPr>
                <w:rFonts w:hint="eastAsia" w:ascii="宋体" w:hAnsi="宋体" w:eastAsia="宋体" w:cs="宋体"/>
                <w:color w:val="auto"/>
                <w:spacing w:val="9"/>
                <w:sz w:val="24"/>
                <w:szCs w:val="24"/>
              </w:rPr>
              <w:t>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4.1.2逾期将被拒绝接收。</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4.2.文件开启与解密</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4.2.1。在开标环节出现下列情况之一的，其投标文件视为无效文件：</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a.</w:t>
            </w:r>
            <w:r>
              <w:rPr>
                <w:rFonts w:hint="eastAsia" w:ascii="宋体" w:hAnsi="宋体" w:cs="宋体"/>
                <w:color w:val="auto"/>
                <w:spacing w:val="9"/>
                <w:sz w:val="24"/>
                <w:szCs w:val="24"/>
                <w:lang w:val="en-US" w:eastAsia="zh-CN"/>
              </w:rPr>
              <w:t>供应商</w:t>
            </w:r>
            <w:r>
              <w:rPr>
                <w:rFonts w:hint="eastAsia" w:ascii="宋体" w:hAnsi="宋体" w:eastAsia="宋体" w:cs="宋体"/>
                <w:color w:val="auto"/>
                <w:spacing w:val="9"/>
                <w:sz w:val="24"/>
                <w:szCs w:val="24"/>
              </w:rPr>
              <w:t>拒绝对电子投标文件进行解密的；</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b.因</w:t>
            </w:r>
            <w:r>
              <w:rPr>
                <w:rFonts w:hint="eastAsia" w:ascii="宋体" w:hAnsi="宋体" w:cs="宋体"/>
                <w:color w:val="auto"/>
                <w:spacing w:val="9"/>
                <w:sz w:val="24"/>
                <w:szCs w:val="24"/>
                <w:lang w:val="en-US" w:eastAsia="zh-CN"/>
              </w:rPr>
              <w:t>供应商</w:t>
            </w:r>
            <w:r>
              <w:rPr>
                <w:rFonts w:hint="eastAsia" w:ascii="宋体" w:hAnsi="宋体" w:eastAsia="宋体" w:cs="宋体"/>
                <w:color w:val="auto"/>
                <w:spacing w:val="9"/>
                <w:sz w:val="24"/>
                <w:szCs w:val="24"/>
              </w:rPr>
              <w:t>自身原因（如未带CA锁、或所带CA锁与制作电子投标文件使用的CA锁不一致、或沿用旧版招标文件编制投标文件等情形），导致在规定时间内无法解密投标文件的；</w:t>
            </w:r>
          </w:p>
          <w:p>
            <w:pPr>
              <w:keepNext w:val="0"/>
              <w:keepLines w:val="0"/>
              <w:pageBreakBefore w:val="0"/>
              <w:kinsoku/>
              <w:wordWrap/>
              <w:overflowPunct/>
              <w:topLinePunct w:val="0"/>
              <w:autoSpaceDE/>
              <w:autoSpaceDN/>
              <w:bidi w:val="0"/>
              <w:spacing w:line="360" w:lineRule="auto"/>
              <w:ind w:left="277"/>
              <w:textAlignment w:val="auto"/>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c.上传的电子投标文件无法打开的；</w:t>
            </w:r>
          </w:p>
          <w:p>
            <w:pPr>
              <w:keepNext w:val="0"/>
              <w:keepLines w:val="0"/>
              <w:pageBreakBefore w:val="0"/>
              <w:kinsoku/>
              <w:wordWrap/>
              <w:overflowPunct/>
              <w:topLinePunct w:val="0"/>
              <w:autoSpaceDE/>
              <w:autoSpaceDN/>
              <w:bidi w:val="0"/>
              <w:adjustRightInd w:val="0"/>
              <w:snapToGrid w:val="0"/>
              <w:spacing w:line="360" w:lineRule="auto"/>
              <w:ind w:firstLine="516"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pacing w:val="9"/>
                <w:sz w:val="24"/>
                <w:szCs w:val="24"/>
              </w:rPr>
              <w:t>d.政府采购法律法规规定的其他无效情形。</w:t>
            </w:r>
          </w:p>
        </w:tc>
      </w:tr>
      <w:bookmarkEnd w:id="1"/>
      <w:bookmarkEnd w:id="2"/>
      <w:bookmarkEnd w:id="3"/>
    </w:tbl>
    <w:p>
      <w:pPr>
        <w:pStyle w:val="5"/>
        <w:keepLines w:val="0"/>
        <w:pageBreakBefore w:val="0"/>
        <w:widowControl w:val="0"/>
        <w:kinsoku/>
        <w:wordWrap/>
        <w:overflowPunct/>
        <w:topLinePunct w:val="0"/>
        <w:autoSpaceDE/>
        <w:autoSpaceDN/>
        <w:bidi w:val="0"/>
        <w:adjustRightInd w:val="0"/>
        <w:snapToGrid w:val="0"/>
        <w:spacing w:beforeLines="0" w:line="360" w:lineRule="auto"/>
        <w:ind w:left="0" w:leftChars="0" w:firstLine="482"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1．适用范围</w:t>
      </w:r>
      <w:bookmarkEnd w:id="8"/>
    </w:p>
    <w:p>
      <w:pPr>
        <w:pStyle w:val="16"/>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1．1本磋商文件仅适用于本次磋商所叙述的</w:t>
      </w:r>
      <w:r>
        <w:rPr>
          <w:rFonts w:hint="eastAsia" w:ascii="宋体" w:hAnsi="宋体" w:eastAsia="宋体" w:cs="宋体"/>
          <w:color w:val="auto"/>
          <w:sz w:val="24"/>
          <w:szCs w:val="24"/>
          <w:lang w:val="en-US" w:eastAsia="zh-CN"/>
        </w:rPr>
        <w:t>店塔镇生活垃圾填埋场运营管理项目服务项目</w:t>
      </w:r>
      <w:r>
        <w:rPr>
          <w:rFonts w:hint="eastAsia" w:ascii="宋体" w:hAnsi="宋体" w:eastAsia="宋体" w:cs="宋体"/>
          <w:color w:val="auto"/>
          <w:sz w:val="24"/>
          <w:szCs w:val="24"/>
        </w:rPr>
        <w:t>。</w:t>
      </w:r>
      <w:bookmarkStart w:id="9" w:name="_Toc8700"/>
    </w:p>
    <w:p>
      <w:pPr>
        <w:pStyle w:val="16"/>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2．定义</w:t>
      </w:r>
      <w:bookmarkEnd w:id="9"/>
    </w:p>
    <w:p>
      <w:pPr>
        <w:pStyle w:val="16"/>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2．1“采购人”系指</w:t>
      </w:r>
      <w:r>
        <w:rPr>
          <w:rFonts w:hint="eastAsia" w:ascii="宋体" w:hAnsi="宋体" w:eastAsia="宋体" w:cs="宋体"/>
          <w:color w:val="auto"/>
          <w:sz w:val="24"/>
          <w:szCs w:val="24"/>
          <w:lang w:val="en-US" w:eastAsia="zh-CN"/>
        </w:rPr>
        <w:t>神木市店塔镇人民政府</w:t>
      </w:r>
      <w:r>
        <w:rPr>
          <w:rFonts w:hint="eastAsia" w:ascii="宋体" w:hAnsi="宋体" w:eastAsia="宋体" w:cs="宋体"/>
          <w:color w:val="auto"/>
          <w:sz w:val="24"/>
          <w:szCs w:val="24"/>
        </w:rPr>
        <w:t>。</w:t>
      </w:r>
    </w:p>
    <w:p>
      <w:pPr>
        <w:pStyle w:val="16"/>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2．2“采购代理机构”系指组织本次磋商活动的</w:t>
      </w:r>
      <w:r>
        <w:rPr>
          <w:rFonts w:hint="eastAsia" w:ascii="宋体" w:hAnsi="宋体" w:eastAsia="宋体" w:cs="宋体"/>
          <w:color w:val="auto"/>
          <w:sz w:val="24"/>
          <w:szCs w:val="24"/>
          <w:lang w:eastAsia="zh-CN"/>
        </w:rPr>
        <w:t>华春建设工程项目管理有限责任公司</w:t>
      </w:r>
      <w:r>
        <w:rPr>
          <w:rFonts w:hint="eastAsia" w:ascii="宋体" w:hAnsi="宋体" w:eastAsia="宋体" w:cs="宋体"/>
          <w:color w:val="auto"/>
          <w:sz w:val="24"/>
          <w:szCs w:val="24"/>
        </w:rPr>
        <w:t>。</w:t>
      </w:r>
    </w:p>
    <w:p>
      <w:pPr>
        <w:pStyle w:val="16"/>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2．3“供应商”系指无条件接受磋商文件的各项要求，具备相应履约能力、具有《中华人民共和国政府采购法》第22规定的相关条件并向磋商小组提交响应文件的供应商。</w:t>
      </w:r>
    </w:p>
    <w:p>
      <w:pPr>
        <w:pStyle w:val="5"/>
        <w:keepLines w:val="0"/>
        <w:pageBreakBefore w:val="0"/>
        <w:widowControl w:val="0"/>
        <w:numPr>
          <w:ilvl w:val="0"/>
          <w:numId w:val="1"/>
        </w:numPr>
        <w:kinsoku/>
        <w:wordWrap/>
        <w:overflowPunct/>
        <w:topLinePunct w:val="0"/>
        <w:autoSpaceDE/>
        <w:autoSpaceDN/>
        <w:bidi w:val="0"/>
        <w:adjustRightInd w:val="0"/>
        <w:snapToGrid w:val="0"/>
        <w:spacing w:beforeLines="0" w:line="360" w:lineRule="auto"/>
        <w:jc w:val="both"/>
        <w:textAlignment w:val="auto"/>
        <w:rPr>
          <w:rFonts w:hint="eastAsia" w:ascii="宋体" w:hAnsi="宋体" w:eastAsia="宋体" w:cs="宋体"/>
          <w:color w:val="auto"/>
          <w:sz w:val="24"/>
          <w:szCs w:val="24"/>
        </w:rPr>
      </w:pPr>
      <w:bookmarkStart w:id="10" w:name="_Toc5914"/>
      <w:r>
        <w:rPr>
          <w:rFonts w:hint="eastAsia" w:ascii="宋体" w:hAnsi="宋体" w:eastAsia="宋体" w:cs="宋体"/>
          <w:color w:val="auto"/>
          <w:sz w:val="24"/>
          <w:szCs w:val="24"/>
        </w:rPr>
        <w:t>合格供应商的范围</w:t>
      </w:r>
      <w:bookmarkEnd w:id="10"/>
    </w:p>
    <w:p>
      <w:pPr>
        <w:pStyle w:val="16"/>
        <w:pageBreakBefore w:val="0"/>
        <w:kinsoku/>
        <w:wordWrap/>
        <w:overflowPunct/>
        <w:topLinePunct w:val="0"/>
        <w:bidi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3．1具有独立承担民事责任的能力；</w:t>
      </w:r>
    </w:p>
    <w:p>
      <w:pPr>
        <w:pStyle w:val="16"/>
        <w:pageBreakBefore w:val="0"/>
        <w:kinsoku/>
        <w:wordWrap/>
        <w:overflowPunct/>
        <w:topLinePunct w:val="0"/>
        <w:bidi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3.1.1法人或者其他组织的营业执照等证明文件；</w:t>
      </w:r>
    </w:p>
    <w:p>
      <w:pPr>
        <w:pStyle w:val="16"/>
        <w:pageBreakBefore w:val="0"/>
        <w:kinsoku/>
        <w:wordWrap/>
        <w:overflowPunct/>
        <w:topLinePunct w:val="0"/>
        <w:bidi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3.1.2具备履行合同所必需的设备和专业技术能力的证明材料；</w:t>
      </w:r>
    </w:p>
    <w:p>
      <w:pPr>
        <w:pStyle w:val="16"/>
        <w:pageBreakBefore w:val="0"/>
        <w:kinsoku/>
        <w:wordWrap/>
        <w:overflowPunct/>
        <w:topLinePunct w:val="0"/>
        <w:bidi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3.1.3具备法律、行政法规规定的其他条件的证明材料。</w:t>
      </w:r>
    </w:p>
    <w:p>
      <w:pPr>
        <w:pStyle w:val="16"/>
        <w:pageBreakBefore w:val="0"/>
        <w:kinsoku/>
        <w:wordWrap/>
        <w:overflowPunct/>
        <w:topLinePunct w:val="0"/>
        <w:bidi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3．2具有履行合同所必需的设备和专业技术能力；</w:t>
      </w:r>
    </w:p>
    <w:p>
      <w:pPr>
        <w:pStyle w:val="16"/>
        <w:pageBreakBefore w:val="0"/>
        <w:kinsoku/>
        <w:wordWrap/>
        <w:overflowPunct/>
        <w:topLinePunct w:val="0"/>
        <w:bidi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3．3 具备法律行政法规规定的其他条件；</w:t>
      </w:r>
    </w:p>
    <w:p>
      <w:pPr>
        <w:pStyle w:val="16"/>
        <w:pageBreakBefore w:val="0"/>
        <w:kinsoku/>
        <w:wordWrap/>
        <w:overflowPunct/>
        <w:topLinePunct w:val="0"/>
        <w:bidi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3．4完全满足磋商文件的实质性要求；</w:t>
      </w:r>
    </w:p>
    <w:p>
      <w:pPr>
        <w:pStyle w:val="16"/>
        <w:pageBreakBefore w:val="0"/>
        <w:kinsoku/>
        <w:wordWrap/>
        <w:overflowPunct/>
        <w:topLinePunct w:val="0"/>
        <w:bidi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3．5凡具备磋商文件要求资格，有服务能力的供应商均可参加。</w:t>
      </w:r>
    </w:p>
    <w:p>
      <w:pPr>
        <w:pStyle w:val="16"/>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如不具备以上条件则按《中华人民共和国政府采购法》第七十七条规定处理。</w:t>
      </w:r>
      <w:bookmarkStart w:id="11" w:name="_Toc26793"/>
    </w:p>
    <w:p>
      <w:pPr>
        <w:pStyle w:val="16"/>
        <w:pageBreakBefore w:val="0"/>
        <w:kinsoku/>
        <w:wordWrap/>
        <w:overflowPunct/>
        <w:topLinePunct w:val="0"/>
        <w:bidi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4．磋商代表</w:t>
      </w:r>
      <w:bookmarkEnd w:id="11"/>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4．1磋商代表必须是法定代表人，或持有《法定代表人授权委托书》的被授权代表人。</w:t>
      </w:r>
      <w:bookmarkStart w:id="12" w:name="_Toc13042"/>
    </w:p>
    <w:p>
      <w:pPr>
        <w:pStyle w:val="16"/>
        <w:pageBreakBefore w:val="0"/>
        <w:kinsoku/>
        <w:wordWrap/>
        <w:overflowPunct/>
        <w:topLinePunct w:val="0"/>
        <w:bidi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5．费用</w:t>
      </w:r>
      <w:bookmarkEnd w:id="12"/>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5．1无论磋商结果如何，供应商自行承担所有与参加磋商有关的全部费用；</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5.2 本项目报价为采购人完成采购范围内全部工作的报价，包括人工费、、税金、评审费等能达到使用要求的一切费用。</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5.3不接受任何选择性报价，只能有一个磋商报价。</w:t>
      </w:r>
      <w:bookmarkStart w:id="13" w:name="_Toc25125"/>
    </w:p>
    <w:p>
      <w:pPr>
        <w:pStyle w:val="16"/>
        <w:pageBreakBefore w:val="0"/>
        <w:kinsoku/>
        <w:wordWrap/>
        <w:overflowPunct/>
        <w:topLinePunct w:val="0"/>
        <w:bidi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6．响应文件</w:t>
      </w:r>
      <w:bookmarkEnd w:id="13"/>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6．1响应文件的组成</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highlight w:val="yellow"/>
        </w:rPr>
      </w:pPr>
      <w:r>
        <w:rPr>
          <w:rFonts w:hint="eastAsia" w:ascii="宋体" w:hAnsi="宋体" w:eastAsia="宋体" w:cs="宋体"/>
          <w:color w:val="auto"/>
          <w:sz w:val="24"/>
          <w:szCs w:val="24"/>
        </w:rPr>
        <w:t>6．2响应文件编制要求</w:t>
      </w:r>
    </w:p>
    <w:p>
      <w:pPr>
        <w:pStyle w:val="16"/>
        <w:pageBreakBefore w:val="0"/>
        <w:kinsoku/>
        <w:wordWrap/>
        <w:overflowPunct/>
        <w:topLinePunct w:val="0"/>
        <w:bidi w:val="0"/>
        <w:spacing w:line="360" w:lineRule="auto"/>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（1）响应文件应字迹清楚、内容齐全、数字准确、不应有涂改增删处。如修改时，修改处须有响应文件授权代表签字或盖章。</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）响应文件中报价表必须加盖供应商公章和法定代表人或被授权人签字或盖章。</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）本项目磋商有效期为九十个日历日。</w:t>
      </w:r>
    </w:p>
    <w:p>
      <w:pPr>
        <w:pStyle w:val="16"/>
        <w:pageBreakBefore w:val="0"/>
        <w:kinsoku/>
        <w:wordWrap/>
        <w:overflowPunct/>
        <w:topLinePunct w:val="0"/>
        <w:bidi w:val="0"/>
        <w:spacing w:line="360" w:lineRule="auto"/>
        <w:ind w:left="240" w:leftChars="100"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6．3响应文件必须在递交截止时间前送达磋商地点，逾期送达的文件将不被接收。</w:t>
      </w:r>
      <w:bookmarkStart w:id="14" w:name="_Toc2451"/>
    </w:p>
    <w:p>
      <w:pPr>
        <w:pStyle w:val="16"/>
        <w:pageBreakBefore w:val="0"/>
        <w:kinsoku/>
        <w:wordWrap/>
        <w:overflowPunct/>
        <w:topLinePunct w:val="0"/>
        <w:bidi w:val="0"/>
        <w:spacing w:line="360" w:lineRule="auto"/>
        <w:ind w:left="240" w:leftChars="100"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7．磋商保证金</w:t>
      </w:r>
      <w:bookmarkEnd w:id="14"/>
    </w:p>
    <w:p>
      <w:pPr>
        <w:pStyle w:val="16"/>
        <w:pageBreakBefore w:val="0"/>
        <w:kinsoku/>
        <w:wordWrap/>
        <w:overflowPunct/>
        <w:topLinePunct w:val="0"/>
        <w:bidi w:val="0"/>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不要求提供。</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rPr>
      </w:pPr>
      <w:bookmarkStart w:id="15" w:name="_Toc5798"/>
      <w:r>
        <w:rPr>
          <w:rFonts w:hint="eastAsia" w:ascii="宋体" w:hAnsi="宋体" w:eastAsia="宋体" w:cs="宋体"/>
          <w:color w:val="auto"/>
          <w:sz w:val="24"/>
          <w:szCs w:val="24"/>
        </w:rPr>
        <w:t>8．评审工作程序</w:t>
      </w:r>
      <w:bookmarkEnd w:id="15"/>
      <w:r>
        <w:rPr>
          <w:rFonts w:hint="eastAsia" w:ascii="宋体" w:hAnsi="宋体" w:eastAsia="宋体" w:cs="宋体"/>
          <w:color w:val="auto"/>
          <w:sz w:val="24"/>
          <w:szCs w:val="24"/>
        </w:rPr>
        <w:t xml:space="preserve">     </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8.1主持人按下列程序进行开标：</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采购代理机构在规定的时间和地点组织公开磋商。磋商时所有供应商代表自愿参加，不参加的视为认同磋商结果，参加磋商的代表应签名报到以证明其出席。</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磋商时，由供应商将电子响应文件解密后，由系统公布供应商名称以及采购代理机构认为合适的其他内容。</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采购代理机构将做磋商记录，存档备查。</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）响应文件送交评标委员会进行评审；评标委员会首先对供应商的资格证明文件及符合性进行审查（资格及符合性审查条件不符合响应文件规定的供应商，不再进入下一步评审）；</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）磋商；</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）供应商线上进行二次报价；</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）评审；</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）磋商。</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小组依据磋商文件的规定，采购对响应文件的有效性、完整性和对磋商文件的响应程度进行审查，以确定是否对磋商文件的要求做出实质性响应。未对磋商文件做实质性响应的供应商，不得进入具体磋商程序。</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highlight w:val="red"/>
          <w:lang w:val="zh-CN"/>
        </w:rPr>
      </w:pPr>
      <w:r>
        <w:rPr>
          <w:rFonts w:hint="eastAsia" w:ascii="宋体" w:hAnsi="宋体" w:eastAsia="宋体" w:cs="宋体"/>
          <w:color w:val="auto"/>
          <w:sz w:val="24"/>
          <w:szCs w:val="24"/>
          <w:lang w:val="zh-CN"/>
        </w:rPr>
        <w:t>在磋商文件及程序符合法律规定的前提下，递交响应文件或对磋商文件做出实质响应的供应商少于</w:t>
      </w:r>
      <w:r>
        <w:rPr>
          <w:rFonts w:hint="eastAsia" w:ascii="宋体" w:hAnsi="宋体" w:eastAsia="宋体" w:cs="宋体"/>
          <w:color w:val="auto"/>
          <w:sz w:val="24"/>
          <w:szCs w:val="24"/>
        </w:rPr>
        <w:t>3家</w:t>
      </w:r>
      <w:r>
        <w:rPr>
          <w:rFonts w:hint="eastAsia" w:ascii="宋体" w:hAnsi="宋体" w:eastAsia="宋体" w:cs="宋体"/>
          <w:color w:val="auto"/>
          <w:sz w:val="24"/>
          <w:szCs w:val="24"/>
          <w:lang w:val="zh-CN"/>
        </w:rPr>
        <w:t>时，</w:t>
      </w:r>
      <w:r>
        <w:rPr>
          <w:rFonts w:hint="eastAsia" w:ascii="宋体" w:hAnsi="宋体" w:eastAsia="宋体" w:cs="宋体"/>
          <w:color w:val="auto"/>
          <w:sz w:val="24"/>
          <w:szCs w:val="24"/>
        </w:rPr>
        <w:t>采购过程中符合要求的供应商（社会资本）只有2家的，</w:t>
      </w:r>
      <w:r>
        <w:rPr>
          <w:rFonts w:hint="eastAsia" w:ascii="宋体" w:hAnsi="宋体" w:eastAsia="宋体" w:cs="宋体"/>
          <w:color w:val="auto"/>
          <w:sz w:val="24"/>
          <w:szCs w:val="24"/>
          <w:lang w:val="zh-CN"/>
        </w:rPr>
        <w:t>在书面征得供应商及采购人同意情况下，并报经财政部门核准后，可以按照公平、公正和竞争原则，继续进行磋商采购；</w:t>
      </w:r>
      <w:r>
        <w:rPr>
          <w:rFonts w:hint="eastAsia" w:ascii="宋体" w:hAnsi="宋体" w:eastAsia="宋体" w:cs="宋体"/>
          <w:color w:val="auto"/>
          <w:sz w:val="24"/>
          <w:szCs w:val="24"/>
        </w:rPr>
        <w:t>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8.2磋商开始，与供应商谈各项内容：</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磋商小组所有成员集中与单一供应商按照</w:t>
      </w:r>
      <w:r>
        <w:rPr>
          <w:rFonts w:hint="eastAsia" w:ascii="宋体" w:hAnsi="宋体" w:eastAsia="宋体" w:cs="宋体"/>
          <w:color w:val="auto"/>
          <w:sz w:val="24"/>
          <w:szCs w:val="24"/>
        </w:rPr>
        <w:t>顺序</w:t>
      </w:r>
      <w:r>
        <w:rPr>
          <w:rFonts w:hint="eastAsia" w:ascii="宋体" w:hAnsi="宋体" w:eastAsia="宋体" w:cs="宋体"/>
          <w:color w:val="auto"/>
          <w:sz w:val="24"/>
          <w:szCs w:val="24"/>
          <w:lang w:val="zh-CN"/>
        </w:rPr>
        <w:t>分别进行磋商。磋商小组可根据供应商的报价，响应内容及磋商的情况，给予每个正在参加磋商的供应商相同的机会。</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eq \o\ac(</w:instrText>
      </w:r>
      <w:r>
        <w:rPr>
          <w:rFonts w:hint="eastAsia" w:ascii="宋体" w:hAnsi="宋体" w:eastAsia="宋体" w:cs="宋体"/>
          <w:color w:val="auto"/>
          <w:position w:val="-4"/>
          <w:sz w:val="36"/>
          <w:szCs w:val="24"/>
          <w:lang w:val="zh-CN"/>
        </w:rPr>
        <w:instrText xml:space="preserve">○</w:instrText>
      </w:r>
      <w:r>
        <w:rPr>
          <w:rFonts w:hint="eastAsia" w:ascii="宋体" w:hAnsi="宋体" w:eastAsia="宋体" w:cs="宋体"/>
          <w:color w:val="auto"/>
          <w:position w:val="0"/>
          <w:sz w:val="24"/>
          <w:szCs w:val="24"/>
          <w:lang w:val="zh-CN"/>
        </w:rPr>
        <w:instrText xml:space="preserve">,1)</w:instrTex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rPr>
        <w:t xml:space="preserve">在磋商过程中，磋商小组可以根据磋商文件和磋商情况实质性变动采购需求中的技术、服务要求以及合同草案条款，但不得变动磋商文件中的其他内容。实质性变动的内容，须经采购人代表确认。 </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4"/>
          <w:sz w:val="36"/>
          <w:szCs w:val="24"/>
        </w:rPr>
        <w:instrText xml:space="preserve">○</w:instrText>
      </w:r>
      <w:r>
        <w:rPr>
          <w:rFonts w:hint="eastAsia" w:ascii="宋体" w:hAnsi="宋体" w:eastAsia="宋体" w:cs="宋体"/>
          <w:color w:val="auto"/>
          <w:position w:val="0"/>
          <w:sz w:val="24"/>
          <w:szCs w:val="24"/>
        </w:rPr>
        <w:instrText xml:space="preserve">,2)</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对磋商文件作出的实质性变动是磋商文件的有效组成部分，磋商小组应当及时以书面形式同时通知所有参加磋商的供应商。 </w:t>
      </w:r>
    </w:p>
    <w:p>
      <w:pPr>
        <w:pStyle w:val="16"/>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4"/>
          <w:sz w:val="36"/>
          <w:szCs w:val="24"/>
        </w:rPr>
        <w:instrText xml:space="preserve">○</w:instrText>
      </w:r>
      <w:r>
        <w:rPr>
          <w:rFonts w:hint="eastAsia" w:ascii="宋体" w:hAnsi="宋体" w:eastAsia="宋体" w:cs="宋体"/>
          <w:color w:val="auto"/>
          <w:position w:val="0"/>
          <w:sz w:val="24"/>
          <w:szCs w:val="24"/>
        </w:rPr>
        <w:instrText xml:space="preserve">,3)</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供应商应当按照磋商文件的变动情况和磋商小组的要求重新提交响应文件，并由其授权代表签章。</w:t>
      </w:r>
    </w:p>
    <w:p>
      <w:pPr>
        <w:pStyle w:val="16"/>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 xml:space="preserve">   8.3各供应商进行二次报价</w:t>
      </w:r>
      <w:r>
        <w:rPr>
          <w:rFonts w:hint="eastAsia" w:ascii="宋体" w:hAnsi="宋体" w:eastAsia="宋体" w:cs="宋体"/>
          <w:b/>
          <w:bCs/>
          <w:color w:val="auto"/>
          <w:sz w:val="24"/>
          <w:szCs w:val="24"/>
        </w:rPr>
        <w:t>：供应商</w:t>
      </w:r>
      <w:r>
        <w:rPr>
          <w:rFonts w:hint="eastAsia" w:ascii="宋体" w:hAnsi="宋体" w:eastAsia="宋体" w:cs="宋体"/>
          <w:b/>
          <w:bCs/>
          <w:color w:val="auto"/>
          <w:sz w:val="24"/>
          <w:szCs w:val="24"/>
          <w:lang w:eastAsia="zh-CN"/>
        </w:rPr>
        <w:t>应</w:t>
      </w:r>
      <w:r>
        <w:rPr>
          <w:rFonts w:hint="eastAsia" w:ascii="宋体" w:hAnsi="宋体" w:eastAsia="宋体" w:cs="宋体"/>
          <w:b/>
          <w:bCs/>
          <w:color w:val="auto"/>
          <w:sz w:val="24"/>
          <w:szCs w:val="24"/>
        </w:rPr>
        <w:t>使用 CA 锁，在规定的时间内在电脑上进行最终报价。</w:t>
      </w:r>
    </w:p>
    <w:p>
      <w:pPr>
        <w:pStyle w:val="16"/>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本次磋商不公开各供应商的项目报价</w:t>
      </w:r>
      <w:r>
        <w:rPr>
          <w:rFonts w:hint="eastAsia" w:ascii="宋体" w:hAnsi="宋体" w:eastAsia="宋体" w:cs="宋体"/>
          <w:b/>
          <w:color w:val="auto"/>
          <w:sz w:val="24"/>
          <w:szCs w:val="24"/>
          <w:lang w:eastAsia="zh-CN"/>
        </w:rPr>
        <w:t>。</w:t>
      </w:r>
    </w:p>
    <w:p>
      <w:pPr>
        <w:pStyle w:val="16"/>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磋商结束后，参加磋商的供应商应当对磋商的承诺以书面形式确认，并由授权代表签字或盖章。</w:t>
      </w:r>
    </w:p>
    <w:p>
      <w:pPr>
        <w:pStyle w:val="16"/>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color w:val="auto"/>
          <w:sz w:val="24"/>
          <w:szCs w:val="24"/>
          <w:lang w:val="zh-CN"/>
        </w:rPr>
      </w:pPr>
      <w:r>
        <w:rPr>
          <w:rFonts w:hint="eastAsia" w:ascii="宋体" w:hAnsi="宋体" w:eastAsia="宋体" w:cs="宋体"/>
          <w:b/>
          <w:color w:val="auto"/>
          <w:sz w:val="24"/>
          <w:szCs w:val="24"/>
        </w:rPr>
        <w:t>凡因供应商对竞争性磋商文件阅读不深、理解不透、误解、疏漏、或因市场行情了解不清造成的后果和风险均由供应商自负</w:t>
      </w:r>
    </w:p>
    <w:p>
      <w:pPr>
        <w:pStyle w:val="16"/>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8.4</w:t>
      </w:r>
      <w:r>
        <w:rPr>
          <w:rFonts w:hint="eastAsia" w:ascii="宋体" w:hAnsi="宋体" w:eastAsia="宋体" w:cs="宋体"/>
          <w:color w:val="auto"/>
          <w:sz w:val="24"/>
          <w:szCs w:val="24"/>
        </w:rPr>
        <w:t>由磋商小组采用综合评分法对提交最后报价的供应商的响应文件和最后报价进行综合评分。</w:t>
      </w:r>
    </w:p>
    <w:p>
      <w:pPr>
        <w:pStyle w:val="16"/>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8.5确定成交供应商。</w:t>
      </w:r>
    </w:p>
    <w:p>
      <w:pPr>
        <w:pStyle w:val="5"/>
        <w:keepLines w:val="0"/>
        <w:pageBreakBefore w:val="0"/>
        <w:widowControl w:val="0"/>
        <w:kinsoku/>
        <w:wordWrap/>
        <w:overflowPunct/>
        <w:topLinePunct w:val="0"/>
        <w:autoSpaceDE/>
        <w:autoSpaceDN/>
        <w:bidi w:val="0"/>
        <w:adjustRightInd w:val="0"/>
        <w:snapToGrid w:val="0"/>
        <w:spacing w:beforeLines="0" w:line="360" w:lineRule="auto"/>
        <w:jc w:val="both"/>
        <w:textAlignment w:val="auto"/>
        <w:rPr>
          <w:rFonts w:hint="eastAsia" w:ascii="宋体" w:hAnsi="宋体" w:eastAsia="宋体" w:cs="宋体"/>
          <w:color w:val="auto"/>
          <w:sz w:val="24"/>
          <w:szCs w:val="24"/>
        </w:rPr>
      </w:pPr>
      <w:bookmarkStart w:id="16" w:name="_Toc15875"/>
      <w:r>
        <w:rPr>
          <w:rFonts w:hint="eastAsia" w:ascii="宋体" w:hAnsi="宋体" w:eastAsia="宋体" w:cs="宋体"/>
          <w:color w:val="auto"/>
          <w:sz w:val="24"/>
          <w:szCs w:val="24"/>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磋商内容</w:t>
      </w:r>
      <w:bookmarkEnd w:id="16"/>
    </w:p>
    <w:p>
      <w:pPr>
        <w:pStyle w:val="16"/>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9.1采购项目的价格、技术方案、质量保证措施、针对本项目的承诺、商务响应等内容。</w:t>
      </w:r>
      <w:bookmarkStart w:id="17" w:name="_Toc4639"/>
    </w:p>
    <w:p>
      <w:pPr>
        <w:pStyle w:val="5"/>
        <w:keepLines w:val="0"/>
        <w:pageBreakBefore w:val="0"/>
        <w:widowControl w:val="0"/>
        <w:kinsoku/>
        <w:wordWrap/>
        <w:overflowPunct/>
        <w:topLinePunct w:val="0"/>
        <w:autoSpaceDE/>
        <w:autoSpaceDN/>
        <w:bidi w:val="0"/>
        <w:adjustRightInd w:val="0"/>
        <w:snapToGrid w:val="0"/>
        <w:spacing w:beforeLines="0" w:line="360" w:lineRule="auto"/>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10.评审</w:t>
      </w:r>
      <w:bookmarkEnd w:id="17"/>
    </w:p>
    <w:p>
      <w:pPr>
        <w:pStyle w:val="16"/>
        <w:keepLines w:val="0"/>
        <w:pageBreakBefore w:val="0"/>
        <w:widowControl w:val="0"/>
        <w:kinsoku/>
        <w:wordWrap/>
        <w:overflowPunct/>
        <w:topLinePunct w:val="0"/>
        <w:autoSpaceDE/>
        <w:autoSpaceDN/>
        <w:bidi w:val="0"/>
        <w:adjustRightInd w:val="0"/>
        <w:snapToGrid w:val="0"/>
        <w:spacing w:line="360" w:lineRule="auto"/>
        <w:ind w:firstLine="241" w:firstLineChars="1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 xml:space="preserve">  </w:t>
      </w:r>
      <w:r>
        <w:rPr>
          <w:rFonts w:hint="eastAsia" w:ascii="宋体" w:hAnsi="宋体" w:eastAsia="宋体" w:cs="宋体"/>
          <w:color w:val="auto"/>
          <w:sz w:val="24"/>
          <w:szCs w:val="24"/>
        </w:rPr>
        <w:t>10.1评审原则</w:t>
      </w:r>
    </w:p>
    <w:p>
      <w:pPr>
        <w:pStyle w:val="16"/>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次磋商遵循公开透明、公平竞争、公正和诚实信用的原则。磋商小组成员按照客观、公正、审慎的原则，根据磋商文件规定的评审程序、评审方法和评审标准进行独立评审。未实质性响应磋商文件的响应文件按无效响应处理。严格按照竞争性磋商文件的要求和内容进行评审。</w:t>
      </w:r>
    </w:p>
    <w:p>
      <w:pPr>
        <w:pStyle w:val="16"/>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磋商小组依据磋商文件的规定，对响应文件的有效性、完整性和对磋商文件的响应程度进行审查，以确定是否对磋商文件的要求做出实质性响应。未对磋商文件做实质性响应的供应商，不得进入具体磋商程序。</w:t>
      </w:r>
    </w:p>
    <w:p>
      <w:pPr>
        <w:pStyle w:val="16"/>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（3）磋商小组应当根据综合评分情况，按照评审得分由高到低顺序推荐3名以上成交候选供应商，并编写评审报告。</w:t>
      </w:r>
    </w:p>
    <w:p>
      <w:pPr>
        <w:pStyle w:val="16"/>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hint="eastAsia" w:ascii="宋体" w:hAnsi="宋体" w:eastAsia="宋体" w:cs="宋体"/>
          <w:bCs/>
          <w:color w:val="auto"/>
          <w:sz w:val="24"/>
          <w:szCs w:val="24"/>
          <w:lang w:val="zh-CN"/>
        </w:rPr>
      </w:pPr>
      <w:r>
        <w:rPr>
          <w:rFonts w:hint="eastAsia" w:ascii="宋体" w:hAnsi="宋体" w:eastAsia="宋体" w:cs="宋体"/>
          <w:color w:val="auto"/>
          <w:sz w:val="24"/>
          <w:szCs w:val="24"/>
          <w:lang w:val="zh-CN"/>
        </w:rPr>
        <w:t>（4）</w:t>
      </w:r>
      <w:r>
        <w:rPr>
          <w:rFonts w:hint="eastAsia" w:ascii="宋体" w:hAnsi="宋体" w:eastAsia="宋体" w:cs="宋体"/>
          <w:bCs/>
          <w:color w:val="auto"/>
          <w:sz w:val="24"/>
          <w:szCs w:val="24"/>
          <w:lang w:val="zh-CN"/>
        </w:rPr>
        <w:t>评审报告应当由磋商小组全体人员签字或盖章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6"/>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（5）本项目评标过程实行全程录音、录像监控，</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在</w:t>
      </w:r>
      <w:r>
        <w:rPr>
          <w:rFonts w:hint="eastAsia" w:ascii="宋体" w:hAnsi="宋体" w:eastAsia="宋体" w:cs="宋体"/>
          <w:bCs/>
          <w:color w:val="auto"/>
          <w:sz w:val="24"/>
          <w:szCs w:val="24"/>
          <w:lang w:eastAsia="zh-CN"/>
        </w:rPr>
        <w:t>磋商</w:t>
      </w:r>
      <w:r>
        <w:rPr>
          <w:rFonts w:hint="eastAsia" w:ascii="宋体" w:hAnsi="宋体" w:eastAsia="宋体" w:cs="宋体"/>
          <w:bCs/>
          <w:color w:val="auto"/>
          <w:sz w:val="24"/>
          <w:szCs w:val="24"/>
        </w:rPr>
        <w:t>过程中所进行的试图影响</w:t>
      </w:r>
      <w:r>
        <w:rPr>
          <w:rFonts w:hint="eastAsia" w:ascii="宋体" w:hAnsi="宋体" w:eastAsia="宋体" w:cs="宋体"/>
          <w:bCs/>
          <w:color w:val="auto"/>
          <w:sz w:val="24"/>
          <w:szCs w:val="24"/>
          <w:lang w:eastAsia="zh-CN"/>
        </w:rPr>
        <w:t>采购</w:t>
      </w:r>
      <w:r>
        <w:rPr>
          <w:rFonts w:hint="eastAsia" w:ascii="宋体" w:hAnsi="宋体" w:eastAsia="宋体" w:cs="宋体"/>
          <w:bCs/>
          <w:color w:val="auto"/>
          <w:sz w:val="24"/>
          <w:szCs w:val="24"/>
        </w:rPr>
        <w:t>结果的不公正活动，可能导致其磋商被拒绝。</w:t>
      </w:r>
    </w:p>
    <w:p>
      <w:pPr>
        <w:pStyle w:val="5"/>
        <w:keepNext/>
        <w:keepLines w:val="0"/>
        <w:pageBreakBefore w:val="0"/>
        <w:widowControl w:val="0"/>
        <w:kinsoku/>
        <w:wordWrap/>
        <w:overflowPunct/>
        <w:topLinePunct w:val="0"/>
        <w:autoSpaceDE/>
        <w:autoSpaceDN/>
        <w:bidi w:val="0"/>
        <w:adjustRightInd w:val="0"/>
        <w:snapToGrid w:val="0"/>
        <w:spacing w:beforeLines="0" w:line="360" w:lineRule="auto"/>
        <w:jc w:val="both"/>
        <w:textAlignment w:val="auto"/>
        <w:rPr>
          <w:rFonts w:hint="eastAsia" w:ascii="宋体" w:hAnsi="宋体" w:eastAsia="宋体" w:cs="宋体"/>
          <w:bCs w:val="0"/>
          <w:color w:val="auto"/>
          <w:sz w:val="32"/>
          <w:szCs w:val="32"/>
          <w:lang w:val="zh-CN"/>
        </w:rPr>
      </w:pPr>
      <w:r>
        <w:rPr>
          <w:rFonts w:hint="eastAsia" w:ascii="宋体" w:hAnsi="宋体" w:eastAsia="宋体" w:cs="宋体"/>
          <w:bCs w:val="0"/>
          <w:color w:val="auto"/>
          <w:sz w:val="32"/>
          <w:szCs w:val="32"/>
          <w:lang w:val="zh-CN"/>
        </w:rPr>
        <w:t>资格审查</w:t>
      </w:r>
    </w:p>
    <w:tbl>
      <w:tblPr>
        <w:tblStyle w:val="20"/>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604"/>
        <w:gridCol w:w="5586"/>
        <w:gridCol w:w="18"/>
        <w:gridCol w:w="1943"/>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8" w:type="dxa"/>
            <w:noWrap w:val="0"/>
            <w:vAlign w:val="center"/>
          </w:tcPr>
          <w:p>
            <w:pPr>
              <w:pageBreakBefore w:val="0"/>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604" w:type="dxa"/>
            <w:noWrap w:val="0"/>
            <w:vAlign w:val="center"/>
          </w:tcPr>
          <w:p>
            <w:pPr>
              <w:pageBreakBefore w:val="0"/>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检查项</w:t>
            </w:r>
          </w:p>
        </w:tc>
        <w:tc>
          <w:tcPr>
            <w:tcW w:w="5604" w:type="dxa"/>
            <w:gridSpan w:val="2"/>
            <w:noWrap w:val="0"/>
            <w:vAlign w:val="center"/>
          </w:tcPr>
          <w:p>
            <w:pPr>
              <w:pageBreakBefore w:val="0"/>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项目内容</w:t>
            </w:r>
          </w:p>
        </w:tc>
        <w:tc>
          <w:tcPr>
            <w:tcW w:w="1961" w:type="dxa"/>
            <w:gridSpan w:val="2"/>
            <w:noWrap w:val="0"/>
            <w:vAlign w:val="center"/>
          </w:tcPr>
          <w:p>
            <w:pPr>
              <w:pageBreakBefore w:val="0"/>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营业执照</w:t>
            </w:r>
          </w:p>
        </w:tc>
        <w:tc>
          <w:tcPr>
            <w:tcW w:w="56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sz w:val="24"/>
                <w:szCs w:val="24"/>
              </w:rPr>
              <w:t xml:space="preserve">(1) </w:t>
            </w:r>
            <w:r>
              <w:rPr>
                <w:rFonts w:hint="eastAsia" w:ascii="宋体" w:hAnsi="宋体" w:cs="宋体"/>
                <w:sz w:val="24"/>
                <w:szCs w:val="24"/>
                <w:lang w:eastAsia="zh-CN"/>
              </w:rPr>
              <w:t>供应商</w:t>
            </w:r>
            <w:r>
              <w:rPr>
                <w:rFonts w:hint="eastAsia" w:ascii="宋体" w:hAnsi="宋体" w:eastAsia="宋体" w:cs="宋体"/>
                <w:sz w:val="24"/>
                <w:szCs w:val="24"/>
              </w:rPr>
              <w:t>为具有独立承担民事责任能力的法人、事业法人、其他组织或 自然人。企业法人应提供合法有效的标识有统一社会信用代码的营业执照；事业 法人应提供事业单位法人证书；其他组织应提供合法登记证明文件；自然人应提 供身份证；</w:t>
            </w:r>
          </w:p>
        </w:tc>
        <w:tc>
          <w:tcPr>
            <w:tcW w:w="1961" w:type="dxa"/>
            <w:gridSpan w:val="2"/>
            <w:noWrap w:val="0"/>
            <w:vAlign w:val="center"/>
          </w:tcPr>
          <w:p>
            <w:pPr>
              <w:pageBreakBefore w:val="0"/>
              <w:kinsoku/>
              <w:wordWrap/>
              <w:overflowPunct/>
              <w:topLinePunct w:val="0"/>
              <w:bidi w:val="0"/>
              <w:snapToGrid w:val="0"/>
              <w:spacing w:line="360" w:lineRule="auto"/>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sz w:val="24"/>
                <w:szCs w:val="24"/>
              </w:rPr>
              <w:t>财务状况报告</w:t>
            </w:r>
          </w:p>
        </w:tc>
        <w:tc>
          <w:tcPr>
            <w:tcW w:w="56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i w:val="0"/>
                <w:caps w:val="0"/>
                <w:color w:val="auto"/>
                <w:spacing w:val="0"/>
                <w:sz w:val="24"/>
                <w:szCs w:val="24"/>
                <w:shd w:val="clear" w:color="auto" w:fill="FFFFFF"/>
              </w:rPr>
            </w:pPr>
            <w:r>
              <w:rPr>
                <w:rFonts w:hint="eastAsia" w:ascii="宋体" w:hAnsi="宋体" w:eastAsia="宋体" w:cs="宋体"/>
                <w:sz w:val="24"/>
                <w:szCs w:val="24"/>
              </w:rPr>
              <w:t>(2) 财务状况报告：提供 2021年度或2022年度的财务审计报告，成立时 间至提交投标文件递交截止时间不足一年的，须提供其基本存款账户开户银行近 三个月内出具的银行资信证明或自成立以来的财务报表；</w:t>
            </w:r>
          </w:p>
        </w:tc>
        <w:tc>
          <w:tcPr>
            <w:tcW w:w="1961" w:type="dxa"/>
            <w:gridSpan w:val="2"/>
            <w:noWrap w:val="0"/>
            <w:vAlign w:val="center"/>
          </w:tcPr>
          <w:p>
            <w:pPr>
              <w:pageBreakBefore w:val="0"/>
              <w:kinsoku/>
              <w:wordWrap/>
              <w:overflowPunct/>
              <w:topLinePunct w:val="0"/>
              <w:bidi w:val="0"/>
              <w:snapToGrid w:val="0"/>
              <w:spacing w:line="360" w:lineRule="auto"/>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税收缴纳证明</w:t>
            </w:r>
          </w:p>
        </w:tc>
        <w:tc>
          <w:tcPr>
            <w:tcW w:w="56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i w:val="0"/>
                <w:caps w:val="0"/>
                <w:color w:val="auto"/>
                <w:spacing w:val="0"/>
                <w:sz w:val="24"/>
                <w:szCs w:val="24"/>
                <w:shd w:val="clear" w:color="auto" w:fill="FFFFFF"/>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 税收缴纳证明：提供 202</w:t>
            </w:r>
            <w:r>
              <w:rPr>
                <w:rFonts w:hint="eastAsia" w:ascii="宋体" w:hAnsi="宋体" w:cs="宋体"/>
                <w:sz w:val="24"/>
                <w:szCs w:val="24"/>
                <w:lang w:val="en-US" w:eastAsia="zh-CN"/>
              </w:rPr>
              <w:t>3</w:t>
            </w:r>
            <w:r>
              <w:rPr>
                <w:rFonts w:hint="eastAsia" w:ascii="宋体" w:hAnsi="宋体" w:eastAsia="宋体" w:cs="宋体"/>
                <w:sz w:val="24"/>
                <w:szCs w:val="24"/>
              </w:rPr>
              <w:t>年0</w:t>
            </w:r>
            <w:r>
              <w:rPr>
                <w:rFonts w:hint="eastAsia" w:ascii="宋体" w:hAnsi="宋体" w:cs="宋体"/>
                <w:sz w:val="24"/>
                <w:szCs w:val="24"/>
                <w:lang w:val="en-US" w:eastAsia="zh-CN"/>
              </w:rPr>
              <w:t>1</w:t>
            </w:r>
            <w:r>
              <w:rPr>
                <w:rFonts w:hint="eastAsia" w:ascii="宋体" w:hAnsi="宋体" w:eastAsia="宋体" w:cs="宋体"/>
                <w:sz w:val="24"/>
                <w:szCs w:val="24"/>
              </w:rPr>
              <w:t>月1日至今已缴纳的至少一个月的纳税证明 (银行缴费凭证) 或完税证明(时间以税款所属日期为准、税种须包含增值税或企业所得税或营业税) ，依法免税的单位应提供相关证明材料；</w:t>
            </w:r>
          </w:p>
        </w:tc>
        <w:tc>
          <w:tcPr>
            <w:tcW w:w="1961" w:type="dxa"/>
            <w:gridSpan w:val="2"/>
            <w:noWrap w:val="0"/>
            <w:vAlign w:val="center"/>
          </w:tcPr>
          <w:p>
            <w:pPr>
              <w:pageBreakBefore w:val="0"/>
              <w:kinsoku/>
              <w:wordWrap/>
              <w:overflowPunct/>
              <w:topLinePunct w:val="0"/>
              <w:bidi w:val="0"/>
              <w:snapToGrid w:val="0"/>
              <w:spacing w:line="360" w:lineRule="auto"/>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社保缴纳证明</w:t>
            </w:r>
          </w:p>
        </w:tc>
        <w:tc>
          <w:tcPr>
            <w:tcW w:w="56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 w:val="24"/>
                <w:szCs w:val="24"/>
                <w:lang w:val="zh-CN"/>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 社会保障资金缴纳证明：提供 202</w:t>
            </w:r>
            <w:r>
              <w:rPr>
                <w:rFonts w:hint="eastAsia" w:ascii="宋体" w:hAnsi="宋体" w:cs="宋体"/>
                <w:sz w:val="24"/>
                <w:szCs w:val="24"/>
                <w:lang w:val="en-US" w:eastAsia="zh-CN"/>
              </w:rPr>
              <w:t>3</w:t>
            </w:r>
            <w:r>
              <w:rPr>
                <w:rFonts w:hint="eastAsia" w:ascii="宋体" w:hAnsi="宋体" w:eastAsia="宋体" w:cs="宋体"/>
                <w:sz w:val="24"/>
                <w:szCs w:val="24"/>
              </w:rPr>
              <w:t xml:space="preserve"> 年0</w:t>
            </w:r>
            <w:r>
              <w:rPr>
                <w:rFonts w:hint="eastAsia" w:ascii="宋体" w:hAnsi="宋体" w:cs="宋体"/>
                <w:sz w:val="24"/>
                <w:szCs w:val="24"/>
                <w:lang w:val="en-US" w:eastAsia="zh-CN"/>
              </w:rPr>
              <w:t>1</w:t>
            </w:r>
            <w:r>
              <w:rPr>
                <w:rFonts w:hint="eastAsia" w:ascii="宋体" w:hAnsi="宋体" w:eastAsia="宋体" w:cs="宋体"/>
                <w:sz w:val="24"/>
                <w:szCs w:val="24"/>
              </w:rPr>
              <w:t xml:space="preserve"> 月1日至今已缴纳的至少一 个月的社会保障资金银行缴费单据或社保机构开具的社会保险参保缴费情况证明，依法不需要缴纳社会保障资金的单位应提供相关证明材料；</w:t>
            </w:r>
          </w:p>
        </w:tc>
        <w:tc>
          <w:tcPr>
            <w:tcW w:w="1961" w:type="dxa"/>
            <w:gridSpan w:val="2"/>
            <w:noWrap w:val="0"/>
            <w:vAlign w:val="center"/>
          </w:tcPr>
          <w:p>
            <w:pPr>
              <w:pageBreakBefore w:val="0"/>
              <w:kinsoku/>
              <w:wordWrap/>
              <w:overflowPunct/>
              <w:topLinePunct w:val="0"/>
              <w:bidi w:val="0"/>
              <w:snapToGrid w:val="0"/>
              <w:spacing w:line="360" w:lineRule="auto"/>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书面声明</w:t>
            </w:r>
          </w:p>
        </w:tc>
        <w:tc>
          <w:tcPr>
            <w:tcW w:w="56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color w:val="auto"/>
                <w:sz w:val="24"/>
                <w:szCs w:val="24"/>
                <w:lang w:val="zh-CN"/>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 参加政府采购活动前三年内，在经营活动中没有重大违法记录的书面 声明；</w:t>
            </w:r>
          </w:p>
        </w:tc>
        <w:tc>
          <w:tcPr>
            <w:tcW w:w="1961" w:type="dxa"/>
            <w:gridSpan w:val="2"/>
            <w:noWrap w:val="0"/>
            <w:vAlign w:val="center"/>
          </w:tcPr>
          <w:p>
            <w:pPr>
              <w:pageBreakBefore w:val="0"/>
              <w:kinsoku/>
              <w:wordWrap/>
              <w:overflowPunct/>
              <w:topLinePunct w:val="0"/>
              <w:bidi w:val="0"/>
              <w:snapToGrid w:val="0"/>
              <w:spacing w:line="360" w:lineRule="auto"/>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承诺书</w:t>
            </w:r>
          </w:p>
        </w:tc>
        <w:tc>
          <w:tcPr>
            <w:tcW w:w="56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6</w:t>
            </w:r>
            <w:r>
              <w:rPr>
                <w:rFonts w:hint="eastAsia" w:ascii="宋体" w:hAnsi="宋体" w:eastAsia="宋体" w:cs="宋体"/>
                <w:sz w:val="24"/>
                <w:szCs w:val="24"/>
              </w:rPr>
              <w:t>)提供具有履行合同所必需的设备和专业技术能力的证明资料或承诺书；</w:t>
            </w:r>
          </w:p>
        </w:tc>
        <w:tc>
          <w:tcPr>
            <w:tcW w:w="1961" w:type="dxa"/>
            <w:gridSpan w:val="2"/>
            <w:noWrap w:val="0"/>
            <w:vAlign w:val="center"/>
          </w:tcPr>
          <w:p>
            <w:pPr>
              <w:pageBreakBefore w:val="0"/>
              <w:kinsoku/>
              <w:wordWrap/>
              <w:overflowPunct/>
              <w:topLinePunct w:val="0"/>
              <w:bidi w:val="0"/>
              <w:snapToGrid w:val="0"/>
              <w:spacing w:line="360" w:lineRule="auto"/>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信用要求</w:t>
            </w:r>
          </w:p>
        </w:tc>
        <w:tc>
          <w:tcPr>
            <w:tcW w:w="56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7</w:t>
            </w:r>
            <w:r>
              <w:rPr>
                <w:rFonts w:hint="eastAsia" w:ascii="宋体" w:hAnsi="宋体" w:eastAsia="宋体" w:cs="宋体"/>
                <w:sz w:val="24"/>
                <w:szCs w:val="24"/>
              </w:rPr>
              <w:t>) 对列入“信用中国”网站(www.creditchina.gov.cn)“记录失信被执行人、税收违法黑名单、企业经营异常名录”记录名单；中国政府采购网(www.ccgp.gov.cn)“政府采购严重违法失信行为信息记录”的单位，应当拒绝参与政府采购活动 (附投标截止日前的查询结果但以投标截止日当天查询结果为准) 。提供“信用中国”网站(www.creditchina.gov.cn)、“信用中国 (陕西榆林) ”网站 (http：//www.ylcredit.gov.cn/) 、中国政府采购网(www.ccgp.gov.cn) 等网页截图及信用中国报告加盖</w:t>
            </w:r>
            <w:r>
              <w:rPr>
                <w:rFonts w:hint="eastAsia" w:ascii="宋体" w:hAnsi="宋体" w:cs="宋体"/>
                <w:sz w:val="24"/>
                <w:szCs w:val="24"/>
                <w:lang w:eastAsia="zh-CN"/>
              </w:rPr>
              <w:t>供应商</w:t>
            </w:r>
            <w:r>
              <w:rPr>
                <w:rFonts w:hint="eastAsia" w:ascii="宋体" w:hAnsi="宋体" w:eastAsia="宋体" w:cs="宋体"/>
                <w:sz w:val="24"/>
                <w:szCs w:val="24"/>
              </w:rPr>
              <w:t>公章 (鲜章) 为准；</w:t>
            </w:r>
          </w:p>
        </w:tc>
        <w:tc>
          <w:tcPr>
            <w:tcW w:w="1961" w:type="dxa"/>
            <w:gridSpan w:val="2"/>
            <w:noWrap w:val="0"/>
            <w:vAlign w:val="center"/>
          </w:tcPr>
          <w:p>
            <w:pPr>
              <w:pageBreakBefore w:val="0"/>
              <w:kinsoku/>
              <w:wordWrap/>
              <w:overflowPunct/>
              <w:topLinePunct w:val="0"/>
              <w:bidi w:val="0"/>
              <w:spacing w:line="360" w:lineRule="auto"/>
              <w:ind w:left="0" w:leftChars="0"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699"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sz w:val="24"/>
                <w:szCs w:val="24"/>
              </w:rPr>
              <w:t>中小企业采购</w:t>
            </w:r>
          </w:p>
        </w:tc>
        <w:tc>
          <w:tcPr>
            <w:tcW w:w="5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sz w:val="24"/>
                <w:szCs w:val="24"/>
              </w:rPr>
              <w:t>(</w:t>
            </w:r>
            <w:r>
              <w:rPr>
                <w:rFonts w:hint="eastAsia" w:ascii="宋体" w:hAnsi="宋体" w:cs="宋体"/>
                <w:sz w:val="24"/>
                <w:szCs w:val="24"/>
                <w:lang w:val="en-US" w:eastAsia="zh-CN"/>
              </w:rPr>
              <w:t>8</w:t>
            </w:r>
            <w:r>
              <w:rPr>
                <w:rFonts w:hint="eastAsia" w:ascii="宋体" w:hAnsi="宋体" w:eastAsia="宋体" w:cs="宋体"/>
                <w:sz w:val="24"/>
                <w:szCs w:val="24"/>
              </w:rPr>
              <w:t>)本项目专门面向中小企业采购，预留份额为整体预留，投标供应商须提供《中小企业声明函》；</w:t>
            </w:r>
          </w:p>
        </w:tc>
        <w:tc>
          <w:tcPr>
            <w:tcW w:w="1961" w:type="dxa"/>
            <w:gridSpan w:val="2"/>
            <w:noWrap w:val="0"/>
            <w:vAlign w:val="center"/>
          </w:tcPr>
          <w:p>
            <w:pPr>
              <w:pageBreakBefore w:val="0"/>
              <w:kinsoku/>
              <w:wordWrap/>
              <w:overflowPunct/>
              <w:topLinePunct w:val="0"/>
              <w:bidi w:val="0"/>
              <w:spacing w:line="360" w:lineRule="auto"/>
              <w:ind w:left="0" w:leftChars="0" w:firstLine="0" w:firstLineChars="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23"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其他</w:t>
            </w:r>
          </w:p>
        </w:tc>
        <w:tc>
          <w:tcPr>
            <w:tcW w:w="5586"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firstLine="0" w:firstLineChars="0"/>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本项目不接受联合体投标，单位负责人为同一人或者存在直接控股、管理关系的不同</w:t>
            </w:r>
            <w:r>
              <w:rPr>
                <w:rFonts w:hint="eastAsia" w:ascii="宋体" w:hAnsi="宋体" w:cs="宋体"/>
                <w:color w:val="auto"/>
                <w:sz w:val="24"/>
                <w:szCs w:val="24"/>
                <w:lang w:eastAsia="zh-CN"/>
              </w:rPr>
              <w:t>供应商</w:t>
            </w:r>
            <w:r>
              <w:rPr>
                <w:rFonts w:hint="eastAsia" w:ascii="宋体" w:hAnsi="宋体" w:eastAsia="宋体" w:cs="宋体"/>
                <w:color w:val="auto"/>
                <w:sz w:val="24"/>
                <w:szCs w:val="24"/>
                <w:lang w:eastAsia="zh-CN"/>
              </w:rPr>
              <w:t>，不得参加同一合同项下的政府采购活动.</w:t>
            </w:r>
          </w:p>
        </w:tc>
        <w:tc>
          <w:tcPr>
            <w:tcW w:w="1961" w:type="dxa"/>
            <w:gridSpan w:val="2"/>
            <w:noWrap w:val="0"/>
            <w:vAlign w:val="center"/>
          </w:tcPr>
          <w:p>
            <w:pPr>
              <w:pageBreakBefore w:val="0"/>
              <w:kinsoku/>
              <w:wordWrap/>
              <w:overflowPunct/>
              <w:topLinePunct w:val="0"/>
              <w:bidi w:val="0"/>
              <w:spacing w:line="360" w:lineRule="auto"/>
              <w:ind w:left="0" w:leftChars="0" w:firstLine="0" w:firstLineChars="0"/>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投标须知前附表第</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条供应商资质要求</w:t>
            </w:r>
          </w:p>
        </w:tc>
      </w:tr>
    </w:tbl>
    <w:p>
      <w:pPr>
        <w:pStyle w:val="16"/>
        <w:pageBreakBefore w:val="0"/>
        <w:kinsoku/>
        <w:wordWrap/>
        <w:overflowPunct/>
        <w:topLinePunct w:val="0"/>
        <w:bidi w:val="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注：结论为 “合格”和“不合格”；上表所列所有评审项目均符合要求的结论为“合格”，有任意一项不符合要求则结论为“不合格”。</w:t>
      </w:r>
    </w:p>
    <w:p>
      <w:pPr>
        <w:pageBreakBefore w:val="0"/>
        <w:numPr>
          <w:ilvl w:val="0"/>
          <w:numId w:val="0"/>
        </w:numPr>
        <w:kinsoku/>
        <w:wordWrap/>
        <w:overflowPunct/>
        <w:topLinePunct w:val="0"/>
        <w:bidi w:val="0"/>
        <w:snapToGrid w:val="0"/>
        <w:spacing w:line="360" w:lineRule="auto"/>
        <w:ind w:firstLine="241" w:firstLineChars="100"/>
        <w:rPr>
          <w:rFonts w:hint="eastAsia" w:ascii="宋体" w:hAnsi="宋体" w:eastAsia="宋体" w:cs="宋体"/>
          <w:b/>
          <w:bCs/>
          <w:color w:val="auto"/>
          <w:sz w:val="24"/>
          <w:szCs w:val="24"/>
        </w:rPr>
      </w:pPr>
      <w:r>
        <w:rPr>
          <w:rFonts w:hint="eastAsia" w:ascii="宋体" w:hAnsi="宋体" w:eastAsia="宋体" w:cs="宋体"/>
          <w:b/>
          <w:bCs/>
          <w:color w:val="auto"/>
          <w:sz w:val="24"/>
          <w:szCs w:val="24"/>
        </w:rPr>
        <w:t>符合性审查</w:t>
      </w:r>
    </w:p>
    <w:p>
      <w:pPr>
        <w:keepNext w:val="0"/>
        <w:keepLines w:val="0"/>
        <w:pageBreakBefore w:val="0"/>
        <w:kinsoku/>
        <w:wordWrap/>
        <w:overflowPunct/>
        <w:topLinePunct w:val="0"/>
        <w:bidi w:val="0"/>
        <w:spacing w:afterAutospacing="0" w:line="36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评标</w:t>
      </w:r>
      <w:r>
        <w:rPr>
          <w:rFonts w:hint="eastAsia" w:ascii="宋体" w:hAnsi="宋体" w:eastAsia="宋体" w:cs="宋体"/>
          <w:color w:val="auto"/>
          <w:sz w:val="24"/>
          <w:szCs w:val="24"/>
          <w:highlight w:val="none"/>
        </w:rPr>
        <w:t>小组对通过资格审查的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按照以下要求对其</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的符合性进行审查，出现下列情形之一，</w:t>
      </w:r>
      <w:r>
        <w:rPr>
          <w:rFonts w:hint="eastAsia" w:ascii="宋体" w:hAnsi="宋体" w:eastAsia="宋体" w:cs="宋体"/>
          <w:color w:val="auto"/>
          <w:sz w:val="24"/>
          <w:szCs w:val="24"/>
          <w:highlight w:val="none"/>
          <w:lang w:eastAsia="zh-CN"/>
        </w:rPr>
        <w:t>视为</w:t>
      </w:r>
      <w:r>
        <w:rPr>
          <w:rFonts w:hint="eastAsia" w:ascii="宋体" w:hAnsi="宋体" w:eastAsia="宋体" w:cs="宋体"/>
          <w:color w:val="auto"/>
          <w:sz w:val="24"/>
          <w:szCs w:val="24"/>
          <w:highlight w:val="none"/>
        </w:rPr>
        <w:t>不合格，为无效</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，不得进入详细评审。</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未按照</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要求签署、盖章的；</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)不具备</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中规定的资格要求的；</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)报价超过</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中规定的预算金额或者最高限价的；</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含有采购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不能接受的附加条件的；</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技术文件及服务方案不合理，不满足磋商文件要求和采购人需求的；</w:t>
      </w:r>
    </w:p>
    <w:p>
      <w:pPr>
        <w:spacing w:line="360" w:lineRule="auto"/>
        <w:ind w:firstLine="360" w:firstLineChars="150"/>
        <w:rPr>
          <w:rFonts w:hint="eastAsia" w:ascii="宋体" w:hAnsi="宋体" w:eastAsia="宋体" w:cs="宋体"/>
          <w:b/>
          <w:bCs/>
          <w:color w:val="auto"/>
          <w:sz w:val="24"/>
          <w:szCs w:val="24"/>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)法律、法规和</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规定的其他无效情形；</w:t>
      </w:r>
    </w:p>
    <w:p>
      <w:pPr>
        <w:spacing w:line="360" w:lineRule="auto"/>
        <w:ind w:firstLine="452" w:firstLineChars="150"/>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11．详细评审</w:t>
      </w:r>
    </w:p>
    <w:p>
      <w:pPr>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政府采购法》、《中华人民共和国政府采购法实施条例》及省、市有关规定，磋商小组成员按照客观、公正、谨慎的原则，根据磋商文件规定的评审程序、评审方法和评审标准进行独立评审。根据排名先后确定成交候选供应商。</w:t>
      </w:r>
    </w:p>
    <w:p>
      <w:pPr>
        <w:pageBreakBefore w:val="0"/>
        <w:kinsoku/>
        <w:wordWrap/>
        <w:overflowPunct/>
        <w:topLinePunct w:val="0"/>
        <w:bidi w:val="0"/>
        <w:snapToGrid w:val="0"/>
        <w:spacing w:line="360" w:lineRule="auto"/>
        <w:ind w:left="0" w:leftChars="0" w:firstLine="0" w:firstLineChars="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具体评审标准如下</w:t>
      </w:r>
      <w:r>
        <w:rPr>
          <w:rFonts w:hint="eastAsia" w:ascii="宋体" w:hAnsi="宋体" w:eastAsia="宋体" w:cs="宋体"/>
          <w:b/>
          <w:bCs/>
          <w:color w:val="auto"/>
          <w:sz w:val="24"/>
          <w:szCs w:val="24"/>
          <w:lang w:eastAsia="zh-CN"/>
        </w:rPr>
        <w:t>：</w:t>
      </w:r>
    </w:p>
    <w:tbl>
      <w:tblPr>
        <w:tblStyle w:val="20"/>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202"/>
        <w:gridCol w:w="7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16" w:type="dxa"/>
            <w:tcBorders>
              <w:top w:val="single" w:color="auto" w:sz="12" w:space="0"/>
              <w:left w:val="single" w:color="auto" w:sz="12"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项别</w:t>
            </w:r>
          </w:p>
        </w:tc>
        <w:tc>
          <w:tcPr>
            <w:tcW w:w="1202" w:type="dxa"/>
            <w:tcBorders>
              <w:top w:val="single" w:color="auto" w:sz="12"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赋分区间</w:t>
            </w:r>
          </w:p>
        </w:tc>
        <w:tc>
          <w:tcPr>
            <w:tcW w:w="7941" w:type="dxa"/>
            <w:tcBorders>
              <w:top w:val="single" w:color="auto" w:sz="12"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评标要素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8" w:hRule="atLeast"/>
          <w:jc w:val="center"/>
        </w:trPr>
        <w:tc>
          <w:tcPr>
            <w:tcW w:w="916" w:type="dxa"/>
            <w:tcBorders>
              <w:top w:val="single" w:color="auto" w:sz="4" w:space="0"/>
              <w:left w:val="single" w:color="auto" w:sz="12"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价格</w:t>
            </w:r>
          </w:p>
        </w:tc>
        <w:tc>
          <w:tcPr>
            <w:tcW w:w="1202"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794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满足磋商文件要求且最后报价最低价格为磋商基准价，其价格分为满分。其他</w:t>
            </w:r>
            <w:r>
              <w:rPr>
                <w:rFonts w:hint="eastAsia" w:ascii="宋体" w:hAnsi="宋体" w:eastAsia="宋体" w:cs="宋体"/>
                <w:color w:val="auto"/>
                <w:sz w:val="24"/>
                <w:szCs w:val="24"/>
                <w:lang w:val="zh-TW"/>
              </w:rPr>
              <w:t>服务商</w:t>
            </w:r>
            <w:r>
              <w:rPr>
                <w:rFonts w:hint="eastAsia" w:ascii="宋体" w:hAnsi="宋体" w:eastAsia="宋体" w:cs="宋体"/>
                <w:color w:val="auto"/>
                <w:sz w:val="24"/>
                <w:szCs w:val="24"/>
                <w:lang w:val="zh-TW" w:eastAsia="zh-TW"/>
              </w:rPr>
              <w:t>的价格分统一按照下列公式计算：</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磋商报价得分=（磋商基准价/最后磋商报价）×</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磋商小组认为供应商的报价明显低于其他通过符合性审查供应商的报价，有可能影响服务质量或者不能诚信履约的，应当要求其在评标现场合理的时间内提供书面说明，必要时提交相关证明材料；供应商不能证明其报价合理性的，磋商小组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5" w:hRule="atLeast"/>
          <w:jc w:val="center"/>
        </w:trPr>
        <w:tc>
          <w:tcPr>
            <w:tcW w:w="916" w:type="dxa"/>
            <w:vMerge w:val="restart"/>
            <w:tcBorders>
              <w:top w:val="single" w:color="auto" w:sz="4" w:space="0"/>
              <w:left w:val="single" w:color="auto" w:sz="12"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宋体" w:hAnsi="宋体" w:eastAsia="宋体" w:cs="宋体"/>
                <w:bCs/>
                <w:color w:val="auto"/>
                <w:kern w:val="0"/>
                <w:sz w:val="24"/>
                <w:szCs w:val="24"/>
              </w:rPr>
            </w:pPr>
            <w:r>
              <w:rPr>
                <w:rFonts w:hint="eastAsia" w:ascii="宋体" w:hAnsi="宋体" w:eastAsia="宋体" w:cs="宋体"/>
                <w:color w:val="auto"/>
                <w:sz w:val="24"/>
                <w:szCs w:val="24"/>
              </w:rPr>
              <w:t>针对本项目编制服务方案</w:t>
            </w:r>
          </w:p>
        </w:tc>
        <w:tc>
          <w:tcPr>
            <w:tcW w:w="1202"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对项目的认识和理解程度</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zh-TW" w:eastAsia="zh-TW"/>
              </w:rPr>
              <w:t>分)</w:t>
            </w:r>
          </w:p>
        </w:tc>
        <w:tc>
          <w:tcPr>
            <w:tcW w:w="7941" w:type="dxa"/>
            <w:tcBorders>
              <w:top w:val="single" w:color="auto" w:sz="4" w:space="0"/>
              <w:bottom w:val="single" w:color="auto" w:sz="4" w:space="0"/>
            </w:tcBorders>
            <w:noWrap w:val="0"/>
            <w:vAlign w:val="top"/>
          </w:tcPr>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lang w:val="zh-TW" w:eastAsia="zh-TW"/>
              </w:rPr>
            </w:pPr>
            <w:r>
              <w:rPr>
                <w:rFonts w:hint="eastAsia"/>
                <w:lang w:val="en-US" w:eastAsia="zh-CN"/>
              </w:rPr>
              <w:t>1、</w:t>
            </w:r>
            <w:r>
              <w:rPr>
                <w:rFonts w:hint="eastAsia"/>
                <w:lang w:val="zh-TW" w:eastAsia="zh-TW"/>
              </w:rPr>
              <w:t>对项目的认识和理解到位深入，抓住项目重点，思路明确分析准确到位:提出的相应对策合理，切实可行，得</w:t>
            </w:r>
            <w:r>
              <w:rPr>
                <w:rFonts w:hint="eastAsia"/>
                <w:lang w:val="en-US" w:eastAsia="zh-CN"/>
              </w:rPr>
              <w:t>5</w:t>
            </w:r>
            <w:r>
              <w:rPr>
                <w:rFonts w:hint="eastAsia"/>
                <w:lang w:val="zh-TW" w:eastAsia="zh-TW"/>
              </w:rPr>
              <w:t>分</w:t>
            </w:r>
            <w:r>
              <w:rPr>
                <w:rFonts w:hint="eastAsia"/>
                <w:lang w:val="zh-TW"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lang w:val="en-US" w:eastAsia="zh-CN"/>
              </w:rPr>
            </w:pPr>
            <w:r>
              <w:rPr>
                <w:rFonts w:hint="eastAsia"/>
                <w:lang w:val="en-US" w:eastAsia="zh-CN"/>
              </w:rPr>
              <w:t>2、</w:t>
            </w:r>
            <w:r>
              <w:rPr>
                <w:rFonts w:hint="eastAsia"/>
                <w:lang w:val="zh-TW" w:eastAsia="zh-TW"/>
              </w:rPr>
              <w:t>对项目的认识和理解基本到位，抓住项目重点，思路基本明确，分析基本到位:提出的相应对策合理，得3分</w:t>
            </w:r>
            <w:r>
              <w:rPr>
                <w:rFonts w:hint="eastAsia"/>
                <w:lang w:val="zh-TW"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lang w:val="en-US" w:eastAsia="zh-CN"/>
              </w:rPr>
            </w:pPr>
            <w:r>
              <w:rPr>
                <w:rFonts w:hint="eastAsia"/>
                <w:lang w:val="en-US" w:eastAsia="zh-CN"/>
              </w:rPr>
              <w:t>3、</w:t>
            </w:r>
            <w:r>
              <w:rPr>
                <w:rFonts w:hint="eastAsia"/>
                <w:lang w:val="zh-TW" w:eastAsia="zh-TW"/>
              </w:rPr>
              <w:t>对项目的认识和理解基本到位，没有抓住项目重点，思路不够明确，分析不够准确:提出的相应对策不够合理，不可行得</w:t>
            </w:r>
            <w:r>
              <w:rPr>
                <w:rFonts w:hint="eastAsia"/>
                <w:lang w:val="en-US" w:eastAsia="zh-CN"/>
              </w:rPr>
              <w:t>1</w:t>
            </w:r>
            <w:r>
              <w:rPr>
                <w:rFonts w:hint="eastAsia"/>
                <w:lang w:val="zh-TW" w:eastAsia="zh-TW"/>
              </w:rPr>
              <w:t>分。</w:t>
            </w:r>
          </w:p>
          <w:p>
            <w:pPr>
              <w:pStyle w:val="2"/>
              <w:ind w:left="0" w:leftChars="0" w:firstLine="0" w:firstLineChars="0"/>
              <w:rPr>
                <w:rFonts w:hint="eastAsia" w:eastAsia="宋体"/>
                <w:lang w:val="en-US"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TW" w:eastAsia="zh-TW"/>
              </w:rPr>
              <w:t>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916" w:type="dxa"/>
            <w:vMerge w:val="continue"/>
            <w:tcBorders>
              <w:left w:val="single" w:color="auto" w:sz="12"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rPr>
            </w:pPr>
          </w:p>
        </w:tc>
        <w:tc>
          <w:tcPr>
            <w:tcW w:w="1202"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rPr>
            </w:pPr>
            <w:r>
              <w:rPr>
                <w:rFonts w:hint="eastAsia"/>
              </w:rPr>
              <w:t>项目运营方案</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pPr>
            <w:r>
              <w:t>(</w:t>
            </w:r>
            <w:r>
              <w:rPr>
                <w:rFonts w:hint="eastAsia"/>
                <w:lang w:val="en-US" w:eastAsia="zh-CN"/>
              </w:rPr>
              <w:t>40</w:t>
            </w:r>
            <w:r>
              <w:t xml:space="preserve">分) </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宋体" w:hAnsi="宋体" w:eastAsia="宋体" w:cs="宋体"/>
                <w:color w:val="auto"/>
                <w:sz w:val="24"/>
                <w:szCs w:val="24"/>
                <w:lang w:val="en-US" w:eastAsia="zh-CN"/>
              </w:rPr>
            </w:pPr>
          </w:p>
        </w:tc>
        <w:tc>
          <w:tcPr>
            <w:tcW w:w="7941"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1、提供的整体具体实施计划满足</w:t>
            </w:r>
            <w:r>
              <w:rPr>
                <w:rFonts w:hint="eastAsia" w:ascii="宋体" w:hAnsi="宋体" w:cs="宋体"/>
                <w:color w:val="auto"/>
                <w:sz w:val="24"/>
                <w:szCs w:val="24"/>
                <w:highlight w:val="none"/>
                <w:lang w:eastAsia="zh-CN"/>
              </w:rPr>
              <w:t>采购</w:t>
            </w:r>
            <w:r>
              <w:rPr>
                <w:rFonts w:hint="eastAsia" w:ascii="宋体" w:hAnsi="宋体" w:eastAsia="宋体" w:cs="宋体"/>
                <w:color w:val="auto"/>
                <w:sz w:val="24"/>
                <w:szCs w:val="24"/>
                <w:highlight w:val="none"/>
              </w:rPr>
              <w:t>需求，计</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2、提供的</w:t>
            </w:r>
            <w:r>
              <w:rPr>
                <w:rFonts w:hint="eastAsia" w:ascii="宋体" w:hAnsi="宋体" w:cs="宋体"/>
                <w:color w:val="auto"/>
                <w:sz w:val="24"/>
                <w:szCs w:val="24"/>
                <w:lang w:val="en-US" w:eastAsia="zh-CN"/>
              </w:rPr>
              <w:t>技术方案</w:t>
            </w:r>
            <w:r>
              <w:rPr>
                <w:rFonts w:hint="eastAsia" w:ascii="宋体" w:hAnsi="宋体" w:eastAsia="宋体" w:cs="宋体"/>
                <w:color w:val="auto"/>
                <w:sz w:val="24"/>
                <w:szCs w:val="24"/>
                <w:lang w:val="en-US" w:eastAsia="zh-CN"/>
              </w:rPr>
              <w:t>对</w:t>
            </w:r>
            <w:r>
              <w:rPr>
                <w:rFonts w:hint="eastAsia" w:ascii="宋体" w:hAnsi="宋体" w:cs="宋体"/>
                <w:color w:val="auto"/>
                <w:sz w:val="24"/>
                <w:szCs w:val="24"/>
                <w:lang w:val="en-US" w:eastAsia="zh-CN"/>
              </w:rPr>
              <w:t>垃圾场</w:t>
            </w:r>
            <w:r>
              <w:rPr>
                <w:rFonts w:hint="eastAsia" w:ascii="宋体" w:hAnsi="宋体" w:eastAsia="宋体" w:cs="宋体"/>
                <w:color w:val="auto"/>
                <w:sz w:val="24"/>
                <w:szCs w:val="24"/>
                <w:lang w:val="en-US" w:eastAsia="zh-CN"/>
              </w:rPr>
              <w:t>运营管理制度，内容完整、思路清晰的</w:t>
            </w:r>
            <w:r>
              <w:rPr>
                <w:rFonts w:hint="eastAsia" w:ascii="宋体" w:hAnsi="宋体" w:eastAsia="宋体" w:cs="宋体"/>
                <w:color w:val="auto"/>
                <w:sz w:val="24"/>
                <w:szCs w:val="24"/>
                <w:highlight w:val="none"/>
              </w:rPr>
              <w:t>计</w:t>
            </w:r>
            <w:r>
              <w:rPr>
                <w:rFonts w:hint="eastAsia" w:ascii="宋体" w:hAnsi="宋体" w:eastAsia="宋体" w:cs="宋体"/>
                <w:color w:val="auto"/>
                <w:sz w:val="24"/>
                <w:szCs w:val="24"/>
                <w:lang w:val="en-US" w:eastAsia="zh-CN"/>
              </w:rPr>
              <w:t>5分；3、提供的</w:t>
            </w:r>
            <w:r>
              <w:rPr>
                <w:rFonts w:hint="eastAsia" w:ascii="宋体" w:hAnsi="宋体" w:cs="宋体"/>
                <w:color w:val="auto"/>
                <w:sz w:val="24"/>
                <w:szCs w:val="24"/>
                <w:lang w:val="en-US" w:eastAsia="zh-CN"/>
              </w:rPr>
              <w:t>技术方案对</w:t>
            </w:r>
            <w:r>
              <w:rPr>
                <w:rFonts w:hint="eastAsia" w:ascii="宋体" w:hAnsi="宋体" w:eastAsia="宋体" w:cs="宋体"/>
                <w:color w:val="auto"/>
                <w:sz w:val="24"/>
                <w:szCs w:val="24"/>
                <w:lang w:val="zh-CN" w:eastAsia="zh-CN"/>
              </w:rPr>
              <w:t>场地安全管理制度</w:t>
            </w:r>
            <w:r>
              <w:rPr>
                <w:rFonts w:hint="eastAsia" w:ascii="宋体" w:hAnsi="宋体" w:eastAsia="宋体" w:cs="宋体"/>
                <w:color w:val="auto"/>
                <w:sz w:val="24"/>
                <w:szCs w:val="24"/>
                <w:lang w:val="en-US" w:eastAsia="zh-CN"/>
              </w:rPr>
              <w:t>思路清晰完整、方法明确的</w:t>
            </w:r>
            <w:r>
              <w:rPr>
                <w:rFonts w:hint="eastAsia" w:ascii="宋体" w:hAnsi="宋体" w:eastAsia="宋体" w:cs="宋体"/>
                <w:color w:val="auto"/>
                <w:sz w:val="24"/>
                <w:szCs w:val="24"/>
                <w:highlight w:val="none"/>
              </w:rPr>
              <w:t>计</w:t>
            </w:r>
            <w:r>
              <w:rPr>
                <w:rFonts w:hint="eastAsia" w:ascii="宋体" w:hAnsi="宋体" w:eastAsia="宋体" w:cs="宋体"/>
                <w:color w:val="auto"/>
                <w:sz w:val="24"/>
                <w:szCs w:val="24"/>
                <w:lang w:val="en-US" w:eastAsia="zh-CN"/>
              </w:rPr>
              <w:t>5分；</w:t>
            </w:r>
          </w:p>
          <w:p>
            <w:p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4、编制内容全面完整、清晰明确、，对发展方向、重大工程或任务可提出创新举措的</w:t>
            </w:r>
            <w:r>
              <w:rPr>
                <w:rFonts w:hint="eastAsia" w:ascii="宋体" w:hAnsi="宋体" w:eastAsia="宋体" w:cs="宋体"/>
                <w:color w:val="auto"/>
                <w:sz w:val="24"/>
                <w:szCs w:val="24"/>
                <w:highlight w:val="none"/>
              </w:rPr>
              <w:t>计</w:t>
            </w:r>
            <w:r>
              <w:rPr>
                <w:rFonts w:hint="eastAsia" w:ascii="宋体" w:hAnsi="宋体" w:eastAsia="宋体" w:cs="宋体"/>
                <w:color w:val="auto"/>
                <w:sz w:val="24"/>
                <w:szCs w:val="24"/>
                <w:lang w:val="en-US" w:eastAsia="zh-CN"/>
              </w:rPr>
              <w:t>5分；</w:t>
            </w:r>
          </w:p>
          <w:p>
            <w:p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r>
              <w:rPr>
                <w:rFonts w:hint="eastAsia" w:ascii="宋体" w:hAnsi="宋体" w:cs="宋体"/>
                <w:color w:val="auto"/>
                <w:sz w:val="24"/>
                <w:szCs w:val="24"/>
                <w:lang w:val="en-US" w:eastAsia="zh-CN"/>
              </w:rPr>
              <w:t>运营服务</w:t>
            </w:r>
            <w:r>
              <w:rPr>
                <w:rFonts w:hint="eastAsia" w:ascii="宋体" w:hAnsi="宋体" w:eastAsia="宋体" w:cs="宋体"/>
                <w:color w:val="auto"/>
                <w:sz w:val="24"/>
                <w:szCs w:val="24"/>
                <w:lang w:val="en-US" w:eastAsia="zh-CN"/>
              </w:rPr>
              <w:t>项目服务规划定位准确，规划方案可行，可操作性强的</w:t>
            </w:r>
            <w:r>
              <w:rPr>
                <w:rFonts w:hint="eastAsia" w:ascii="宋体" w:hAnsi="宋体" w:eastAsia="宋体" w:cs="宋体"/>
                <w:color w:val="auto"/>
                <w:sz w:val="24"/>
                <w:szCs w:val="24"/>
                <w:highlight w:val="none"/>
              </w:rPr>
              <w:t>计</w:t>
            </w:r>
            <w:r>
              <w:rPr>
                <w:rFonts w:hint="eastAsia" w:ascii="宋体" w:hAnsi="宋体" w:eastAsia="宋体" w:cs="宋体"/>
                <w:color w:val="auto"/>
                <w:sz w:val="24"/>
                <w:szCs w:val="24"/>
                <w:lang w:val="en-US" w:eastAsia="zh-CN"/>
              </w:rPr>
              <w:t>5分；</w:t>
            </w:r>
          </w:p>
          <w:p>
            <w:pPr>
              <w:pStyle w:val="2"/>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6、工作计划目标明确，进度安排方案科学合理，措施全面及可行性高的</w:t>
            </w:r>
            <w:r>
              <w:rPr>
                <w:rFonts w:hint="eastAsia" w:ascii="宋体" w:hAnsi="宋体" w:eastAsia="宋体" w:cs="宋体"/>
                <w:color w:val="auto"/>
                <w:sz w:val="24"/>
                <w:szCs w:val="24"/>
                <w:highlight w:val="none"/>
              </w:rPr>
              <w:t>计</w:t>
            </w:r>
            <w:r>
              <w:rPr>
                <w:rFonts w:hint="eastAsia" w:ascii="宋体" w:hAnsi="宋体" w:eastAsia="宋体" w:cs="宋体"/>
                <w:color w:val="auto"/>
                <w:sz w:val="24"/>
                <w:szCs w:val="24"/>
                <w:lang w:val="en-US" w:eastAsia="zh-CN"/>
              </w:rPr>
              <w:t>5分；</w:t>
            </w:r>
          </w:p>
          <w:p>
            <w:pPr>
              <w:pStyle w:val="2"/>
              <w:ind w:left="0" w:leftChars="0" w:firstLine="0" w:firstLineChars="0"/>
              <w:rPr>
                <w:rFonts w:hint="default"/>
                <w:lang w:val="en-US" w:eastAsia="zh-CN"/>
              </w:rPr>
            </w:pPr>
            <w:r>
              <w:rPr>
                <w:rFonts w:hint="eastAsia" w:ascii="宋体" w:hAnsi="宋体" w:eastAsia="宋体" w:cs="宋体"/>
                <w:color w:val="auto"/>
                <w:sz w:val="24"/>
                <w:szCs w:val="24"/>
                <w:lang w:val="en-US" w:eastAsia="zh-CN"/>
              </w:rPr>
              <w:t>7、对工作进度保障措施全面有效、合法、及时，</w:t>
            </w:r>
            <w:r>
              <w:rPr>
                <w:rFonts w:ascii="宋体" w:hAnsi="宋体" w:eastAsia="宋体" w:cs="宋体"/>
                <w:spacing w:val="4"/>
                <w:sz w:val="24"/>
                <w:szCs w:val="24"/>
              </w:rPr>
              <w:t>满足项目需求</w:t>
            </w:r>
            <w:r>
              <w:rPr>
                <w:rFonts w:hint="eastAsia" w:ascii="宋体" w:hAnsi="宋体" w:eastAsia="宋体" w:cs="宋体"/>
                <w:spacing w:val="4"/>
                <w:sz w:val="24"/>
                <w:szCs w:val="24"/>
                <w:lang w:eastAsia="zh-CN"/>
              </w:rPr>
              <w:t>的</w:t>
            </w:r>
            <w:r>
              <w:rPr>
                <w:rFonts w:ascii="宋体" w:hAnsi="宋体" w:eastAsia="宋体" w:cs="宋体"/>
                <w:spacing w:val="4"/>
                <w:sz w:val="24"/>
                <w:szCs w:val="24"/>
              </w:rPr>
              <w:t>计</w:t>
            </w:r>
            <w:r>
              <w:rPr>
                <w:rFonts w:hint="eastAsia" w:ascii="宋体" w:hAnsi="宋体" w:eastAsia="宋体" w:cs="宋体"/>
                <w:spacing w:val="4"/>
                <w:sz w:val="24"/>
                <w:szCs w:val="24"/>
                <w:lang w:val="en-US" w:eastAsia="zh-CN"/>
              </w:rPr>
              <w:t>5</w:t>
            </w:r>
            <w:r>
              <w:rPr>
                <w:rFonts w:hint="eastAsia" w:ascii="宋体" w:hAnsi="宋体" w:eastAsia="宋体" w:cs="宋体"/>
                <w:color w:val="auto"/>
                <w:sz w:val="24"/>
                <w:szCs w:val="24"/>
                <w:lang w:val="en-US" w:eastAsia="zh-CN"/>
              </w:rPr>
              <w:t>分；</w:t>
            </w:r>
          </w:p>
          <w:p>
            <w:pPr>
              <w:pStyle w:val="2"/>
              <w:ind w:left="0" w:leftChars="0" w:firstLine="0" w:firstLineChars="0"/>
              <w:rPr>
                <w:rFonts w:hint="default"/>
                <w:lang w:val="en-US" w:eastAsia="zh-CN"/>
              </w:rPr>
            </w:pPr>
            <w:r>
              <w:rPr>
                <w:rFonts w:hint="eastAsia" w:ascii="宋体" w:hAnsi="宋体" w:eastAsia="宋体" w:cs="宋体"/>
                <w:color w:val="auto"/>
                <w:sz w:val="24"/>
                <w:szCs w:val="24"/>
                <w:lang w:val="en-US" w:eastAsia="zh-CN"/>
              </w:rPr>
              <w:t>8、项目实施过程中的关键点分析准确，相应保障措施得当计5分；</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备注：评审项得分为 </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分的，每有一项不满足招标文件要求的扣 1分，缺项不得分。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916" w:type="dxa"/>
            <w:vMerge w:val="continue"/>
            <w:tcBorders>
              <w:left w:val="single" w:color="auto" w:sz="12"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rPr>
            </w:pPr>
          </w:p>
        </w:tc>
        <w:tc>
          <w:tcPr>
            <w:tcW w:w="1202"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安全管理措施和质量控制措施</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（10分）</w:t>
            </w:r>
          </w:p>
        </w:tc>
        <w:tc>
          <w:tcPr>
            <w:tcW w:w="7941"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lang w:val="zh-TW" w:eastAsia="zh-CN"/>
              </w:rPr>
            </w:pPr>
            <w:r>
              <w:rPr>
                <w:rFonts w:hint="eastAsia"/>
                <w:lang w:val="zh-TW" w:eastAsia="zh-CN"/>
              </w:rPr>
              <w:t>对服务管理中的安全管理措施和质量控制措施进行评比：</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lang w:val="zh-TW" w:eastAsia="zh-CN"/>
              </w:rPr>
            </w:pPr>
            <w:r>
              <w:rPr>
                <w:rFonts w:hint="eastAsia"/>
                <w:lang w:val="zh-TW" w:eastAsia="zh-CN"/>
              </w:rPr>
              <w:t>1、有完善的安全管理规范， 施工质量的保障监督机制非常具体，计</w:t>
            </w:r>
            <w:r>
              <w:rPr>
                <w:rFonts w:hint="eastAsia"/>
                <w:lang w:val="en-US" w:eastAsia="zh-CN"/>
              </w:rPr>
              <w:t>7-10</w:t>
            </w:r>
            <w:r>
              <w:rPr>
                <w:rFonts w:hint="eastAsia"/>
                <w:lang w:val="zh-TW" w:eastAsia="zh-CN"/>
              </w:rPr>
              <w:t>分；</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lang w:val="zh-TW" w:eastAsia="zh-CN"/>
              </w:rPr>
            </w:pPr>
            <w:r>
              <w:rPr>
                <w:rFonts w:hint="eastAsia"/>
                <w:lang w:val="zh-TW" w:eastAsia="zh-CN"/>
              </w:rPr>
              <w:t>2、有齐全的安全管理规范， 施工质量的保障监督机制基本具有，记</w:t>
            </w:r>
            <w:r>
              <w:rPr>
                <w:rFonts w:hint="eastAsia"/>
                <w:lang w:val="en-US" w:eastAsia="zh-CN"/>
              </w:rPr>
              <w:t>3-6</w:t>
            </w:r>
            <w:r>
              <w:rPr>
                <w:rFonts w:hint="eastAsia"/>
                <w:lang w:val="zh-TW" w:eastAsia="zh-CN"/>
              </w:rPr>
              <w:t xml:space="preserve"> 分；</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lang w:val="zh-TW" w:eastAsia="zh-CN"/>
              </w:rPr>
            </w:pPr>
            <w:r>
              <w:rPr>
                <w:rFonts w:hint="eastAsia"/>
                <w:lang w:val="zh-TW" w:eastAsia="zh-CN"/>
              </w:rPr>
              <w:t>3、安全管理不规范， 施工质量的保障监督机制不全面，计1-2分。</w:t>
            </w:r>
          </w:p>
          <w:p>
            <w:pPr>
              <w:pStyle w:val="2"/>
              <w:ind w:left="0" w:leftChars="0" w:firstLine="0" w:firstLineChars="0"/>
              <w:rPr>
                <w:rFonts w:hint="eastAsia"/>
                <w:lang w:val="zh-TW"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TW" w:eastAsia="zh-TW"/>
              </w:rPr>
              <w:t>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916" w:type="dxa"/>
            <w:vMerge w:val="continue"/>
            <w:tcBorders>
              <w:left w:val="single" w:color="auto" w:sz="12"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rPr>
            </w:pPr>
          </w:p>
        </w:tc>
        <w:tc>
          <w:tcPr>
            <w:tcW w:w="1202"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应急</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方案</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val="zh-TW" w:eastAsia="zh-TW"/>
              </w:rPr>
              <w:t>分)</w:t>
            </w:r>
          </w:p>
        </w:tc>
        <w:tc>
          <w:tcPr>
            <w:tcW w:w="7941"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1、提供突发事件应急方案，如</w:t>
            </w:r>
            <w:r>
              <w:rPr>
                <w:rFonts w:hint="eastAsia" w:ascii="宋体" w:hAnsi="宋体" w:cs="宋体"/>
                <w:color w:val="auto"/>
                <w:sz w:val="24"/>
                <w:szCs w:val="24"/>
                <w:lang w:val="zh-TW" w:eastAsia="zh-CN"/>
              </w:rPr>
              <w:t>建筑</w:t>
            </w:r>
            <w:r>
              <w:rPr>
                <w:rFonts w:hint="eastAsia" w:ascii="宋体" w:hAnsi="宋体" w:eastAsia="宋体" w:cs="宋体"/>
                <w:color w:val="auto"/>
                <w:sz w:val="24"/>
                <w:szCs w:val="24"/>
                <w:lang w:val="zh-TW" w:eastAsia="zh-TW"/>
              </w:rPr>
              <w:t>内发生突发 (火灾、失 盗等) 事件的应急处理与信息反馈机制满足项目需求，计</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zh-TW" w:eastAsia="zh-TW"/>
              </w:rPr>
              <w:t>分；</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2、提供自然灾害引发的安全事故的应急处理与信息反馈机制满足 项目需求，计</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zh-TW" w:eastAsia="zh-TW"/>
              </w:rPr>
              <w:t>分。</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TW"/>
              </w:rPr>
              <w:t>备注：评审项得分为</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zh-TW" w:eastAsia="zh-TW"/>
              </w:rPr>
              <w:t>分的，每一项有不满足招标文件要求的扣 1分，缺项不得分。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916" w:type="dxa"/>
            <w:vMerge w:val="continue"/>
            <w:tcBorders>
              <w:left w:val="single" w:color="auto" w:sz="12"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rPr>
            </w:pPr>
          </w:p>
        </w:tc>
        <w:tc>
          <w:tcPr>
            <w:tcW w:w="1202"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合同</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履行</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TW" w:eastAsia="zh-TW"/>
              </w:rPr>
              <w:t>分)</w:t>
            </w:r>
          </w:p>
        </w:tc>
        <w:tc>
          <w:tcPr>
            <w:tcW w:w="7941"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合同履行过程中对现场管理、日常垃圾推平整工作、消毒工作、覆土工作、进出场管理、场区道路清扫、渗漏液体看护工作等质量保证及履约做出实质性承诺计</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zh-TW" w:eastAsia="zh-TW"/>
              </w:rPr>
              <w:t xml:space="preserve"> 分。</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备注：评审项得分为</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zh-TW" w:eastAsia="zh-TW"/>
              </w:rPr>
              <w:t xml:space="preserve"> 分的，每一项有不满足招标文件要求的扣 1分，缺项不得分。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916" w:type="dxa"/>
            <w:vMerge w:val="continue"/>
            <w:tcBorders>
              <w:left w:val="single" w:color="auto" w:sz="12" w:space="0"/>
            </w:tcBorders>
            <w:noWrap w:val="0"/>
            <w:vAlign w:val="top"/>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Cs/>
                <w:color w:val="auto"/>
                <w:kern w:val="0"/>
                <w:sz w:val="24"/>
                <w:szCs w:val="24"/>
              </w:rPr>
            </w:pPr>
          </w:p>
        </w:tc>
        <w:tc>
          <w:tcPr>
            <w:tcW w:w="1202"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人员</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配备</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TW" w:eastAsia="zh-TW"/>
              </w:rPr>
              <w:t>分</w:t>
            </w:r>
            <w:r>
              <w:rPr>
                <w:rFonts w:hint="eastAsia" w:ascii="宋体" w:hAnsi="宋体" w:eastAsia="宋体" w:cs="宋体"/>
                <w:color w:val="auto"/>
                <w:sz w:val="24"/>
                <w:szCs w:val="24"/>
                <w:lang w:val="zh-TW" w:eastAsia="zh-CN"/>
              </w:rPr>
              <w:t>）</w:t>
            </w:r>
          </w:p>
        </w:tc>
        <w:tc>
          <w:tcPr>
            <w:tcW w:w="7941"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组织机构健全，拟派人员岗位职责分工明确，计</w:t>
            </w:r>
            <w:r>
              <w:rPr>
                <w:rFonts w:hint="eastAsia" w:ascii="宋体" w:hAnsi="宋体" w:cs="宋体"/>
                <w:color w:val="auto"/>
                <w:sz w:val="24"/>
                <w:szCs w:val="24"/>
                <w:lang w:val="en-US" w:eastAsia="zh-CN"/>
              </w:rPr>
              <w:t>2分；</w:t>
            </w:r>
          </w:p>
          <w:p>
            <w:pPr>
              <w:keepNext w:val="0"/>
              <w:keepLines w:val="0"/>
              <w:pageBreakBefore w:val="0"/>
              <w:kinsoku/>
              <w:wordWrap/>
              <w:overflowPunct/>
              <w:topLinePunct w:val="0"/>
              <w:autoSpaceDE/>
              <w:autoSpaceDN/>
              <w:bidi w:val="0"/>
              <w:adjustRightInd w:val="0"/>
              <w:snapToGrid w:val="0"/>
              <w:spacing w:line="360" w:lineRule="auto"/>
              <w:ind w:left="0" w:leftChars="0" w:right="106" w:firstLine="0" w:firstLineChars="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人员构成、人员工作经历、工作分工三部分内容，提供一项计0-1分，满分3分</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916" w:type="dxa"/>
            <w:vMerge w:val="continue"/>
            <w:tcBorders>
              <w:left w:val="single" w:color="auto" w:sz="12" w:space="0"/>
            </w:tcBorders>
            <w:noWrap w:val="0"/>
            <w:vAlign w:val="center"/>
          </w:tcPr>
          <w:p>
            <w:pPr>
              <w:spacing w:line="360" w:lineRule="auto"/>
              <w:ind w:left="0" w:leftChars="0" w:right="0" w:rightChars="0" w:firstLine="0" w:firstLineChars="0"/>
              <w:jc w:val="center"/>
              <w:rPr>
                <w:rFonts w:ascii="宋体" w:hAnsi="宋体" w:eastAsia="宋体" w:cs="宋体"/>
                <w:spacing w:val="7"/>
                <w:sz w:val="23"/>
                <w:szCs w:val="23"/>
              </w:rPr>
            </w:pPr>
          </w:p>
        </w:tc>
        <w:tc>
          <w:tcPr>
            <w:tcW w:w="1202"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投入设备工具情况</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（5分）</w:t>
            </w:r>
          </w:p>
        </w:tc>
        <w:tc>
          <w:tcPr>
            <w:tcW w:w="7941" w:type="dxa"/>
            <w:tcBorders>
              <w:top w:val="single" w:color="auto" w:sz="4" w:space="0"/>
              <w:bottom w:val="single" w:color="auto" w:sz="4" w:space="0"/>
            </w:tcBorders>
            <w:noWrap w:val="0"/>
            <w:vAlign w:val="top"/>
          </w:tcPr>
          <w:p>
            <w:pPr>
              <w:spacing w:line="360" w:lineRule="auto"/>
              <w:ind w:left="0" w:leftChars="0" w:right="0" w:rightChars="0"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根据供应商拟投入的仪器设备与本项目匹配程度更先进,提供主要设备清单及购买主要机械设备的发票或租赁合同</w:t>
            </w:r>
            <w:r>
              <w:rPr>
                <w:rFonts w:hint="eastAsia" w:ascii="宋体" w:hAnsi="宋体" w:eastAsia="宋体" w:cs="宋体"/>
                <w:color w:val="auto"/>
                <w:sz w:val="24"/>
                <w:szCs w:val="24"/>
                <w:lang w:val="zh-TW" w:eastAsia="zh-TW"/>
              </w:rPr>
              <w:t>计</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zh-TW" w:eastAsia="zh-TW"/>
              </w:rPr>
              <w:t xml:space="preserve"> 分</w:t>
            </w:r>
            <w:r>
              <w:rPr>
                <w:rFonts w:hint="eastAsia" w:ascii="宋体" w:hAnsi="宋体" w:cs="宋体"/>
                <w:color w:val="000000"/>
                <w:sz w:val="24"/>
                <w:highlight w:val="none"/>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left="0" w:leftChars="0" w:right="106" w:firstLine="0" w:firstLineChars="0"/>
              <w:textAlignment w:val="auto"/>
              <w:rPr>
                <w:rFonts w:ascii="宋体" w:hAnsi="宋体" w:eastAsia="宋体" w:cs="宋体"/>
                <w:spacing w:val="18"/>
                <w:sz w:val="24"/>
                <w:szCs w:val="24"/>
              </w:rPr>
            </w:pPr>
            <w:r>
              <w:rPr>
                <w:rFonts w:ascii="宋体" w:hAnsi="宋体" w:eastAsia="宋体" w:cs="宋体"/>
                <w:spacing w:val="2"/>
                <w:sz w:val="24"/>
                <w:szCs w:val="24"/>
              </w:rPr>
              <w:t xml:space="preserve">备注：评审项得分为 </w:t>
            </w:r>
            <w:r>
              <w:rPr>
                <w:rFonts w:hint="eastAsia" w:ascii="宋体" w:hAnsi="宋体" w:cs="宋体"/>
                <w:spacing w:val="2"/>
                <w:sz w:val="24"/>
                <w:szCs w:val="24"/>
                <w:lang w:val="en-US" w:eastAsia="zh-CN"/>
              </w:rPr>
              <w:t>5</w:t>
            </w:r>
            <w:r>
              <w:rPr>
                <w:rFonts w:ascii="宋体" w:hAnsi="宋体" w:eastAsia="宋体" w:cs="宋体"/>
                <w:spacing w:val="2"/>
                <w:sz w:val="24"/>
                <w:szCs w:val="24"/>
              </w:rPr>
              <w:t>分的，每一项有不满足招标文件要求的扣 1</w:t>
            </w:r>
            <w:r>
              <w:rPr>
                <w:rFonts w:ascii="宋体" w:hAnsi="宋体" w:eastAsia="宋体" w:cs="宋体"/>
                <w:spacing w:val="8"/>
                <w:sz w:val="24"/>
                <w:szCs w:val="24"/>
              </w:rPr>
              <w:t>分</w:t>
            </w:r>
            <w:r>
              <w:rPr>
                <w:rFonts w:ascii="宋体" w:hAnsi="宋体" w:eastAsia="宋体" w:cs="宋体"/>
                <w:spacing w:val="7"/>
                <w:sz w:val="24"/>
                <w:szCs w:val="24"/>
              </w:rPr>
              <w:t>，缺项不得分。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916" w:type="dxa"/>
            <w:vMerge w:val="continue"/>
            <w:tcBorders>
              <w:left w:val="single" w:color="auto" w:sz="12"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center"/>
              <w:textAlignment w:val="auto"/>
              <w:rPr>
                <w:rFonts w:hint="eastAsia" w:ascii="宋体" w:hAnsi="宋体" w:eastAsia="宋体" w:cs="宋体"/>
                <w:kern w:val="2"/>
                <w:sz w:val="24"/>
                <w:szCs w:val="24"/>
                <w:lang w:val="en-US" w:eastAsia="zh-CN" w:bidi="ar-SA"/>
              </w:rPr>
            </w:pPr>
          </w:p>
        </w:tc>
        <w:tc>
          <w:tcPr>
            <w:tcW w:w="1202"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服务承诺</w:t>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TW" w:eastAsia="zh-TW"/>
              </w:rPr>
              <w:t>分</w:t>
            </w:r>
            <w:r>
              <w:rPr>
                <w:rFonts w:hint="eastAsia" w:ascii="宋体" w:hAnsi="宋体" w:eastAsia="宋体" w:cs="宋体"/>
                <w:color w:val="auto"/>
                <w:sz w:val="24"/>
                <w:szCs w:val="24"/>
                <w:lang w:val="zh-TW" w:eastAsia="zh-CN"/>
              </w:rPr>
              <w:t>）</w:t>
            </w:r>
          </w:p>
        </w:tc>
        <w:tc>
          <w:tcPr>
            <w:tcW w:w="7941"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针对本项目承诺并接受采购人对管理服务的监督、批评和建议，计</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keepNext w:val="0"/>
              <w:keepLines w:val="0"/>
              <w:pageBreakBefore w:val="0"/>
              <w:kinsoku/>
              <w:wordWrap/>
              <w:overflowPunct/>
              <w:topLinePunct w:val="0"/>
              <w:autoSpaceDE/>
              <w:autoSpaceDN/>
              <w:bidi w:val="0"/>
              <w:adjustRightInd w:val="0"/>
              <w:snapToGrid w:val="0"/>
              <w:spacing w:line="360" w:lineRule="auto"/>
              <w:ind w:left="0" w:leftChars="0" w:right="106" w:firstLine="0" w:firstLineChars="0"/>
              <w:textAlignment w:val="auto"/>
              <w:rPr>
                <w:rFonts w:ascii="宋体" w:hAnsi="宋体" w:eastAsia="宋体" w:cs="宋体"/>
                <w:spacing w:val="2"/>
                <w:sz w:val="24"/>
                <w:szCs w:val="24"/>
              </w:rPr>
            </w:pPr>
            <w:r>
              <w:rPr>
                <w:rFonts w:hint="eastAsia" w:ascii="宋体" w:hAnsi="宋体" w:eastAsia="宋体" w:cs="宋体"/>
                <w:sz w:val="24"/>
                <w:szCs w:val="24"/>
              </w:rPr>
              <w:t>备注：评审项得分为</w:t>
            </w:r>
            <w:r>
              <w:rPr>
                <w:rFonts w:hint="eastAsia" w:ascii="宋体" w:hAnsi="宋体" w:eastAsia="宋体" w:cs="宋体"/>
                <w:sz w:val="24"/>
                <w:szCs w:val="24"/>
                <w:lang w:val="en-US" w:eastAsia="zh-CN"/>
              </w:rPr>
              <w:t>5</w:t>
            </w:r>
            <w:r>
              <w:rPr>
                <w:rFonts w:hint="eastAsia" w:ascii="宋体" w:hAnsi="宋体" w:eastAsia="宋体" w:cs="宋体"/>
                <w:sz w:val="24"/>
                <w:szCs w:val="24"/>
              </w:rPr>
              <w:t>分的，每有一项存在不足(存在不足指内容不够完整或与分析不到位或内容不符合实际情况)扣1分，扣完为止。内容有重大缺陷无法满足实际工作需要的不得分。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4" w:hRule="atLeast"/>
          <w:jc w:val="center"/>
        </w:trPr>
        <w:tc>
          <w:tcPr>
            <w:tcW w:w="916" w:type="dxa"/>
            <w:tcBorders>
              <w:top w:val="single" w:color="auto" w:sz="4" w:space="0"/>
              <w:left w:val="single" w:color="auto" w:sz="12"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rPr>
            </w:pPr>
            <w:r>
              <w:rPr>
                <w:rFonts w:hint="eastAsia"/>
                <w:lang w:val="zh-TW" w:eastAsia="zh-TW"/>
              </w:rPr>
              <w:t>业绩</w:t>
            </w:r>
          </w:p>
        </w:tc>
        <w:tc>
          <w:tcPr>
            <w:tcW w:w="1202"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TW" w:eastAsia="zh-TW"/>
              </w:rPr>
              <w:t>分</w:t>
            </w:r>
          </w:p>
        </w:tc>
        <w:tc>
          <w:tcPr>
            <w:tcW w:w="7941"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auto"/>
              <w:ind w:left="0" w:leftChars="0" w:right="106"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提供 2019 年1月（以合同签订日期为准）起至提交磋商响应文件截止日期前承担的类似项目业绩（中标通知书或合同）（提供一个有效业绩得</w:t>
            </w:r>
            <w:r>
              <w:rPr>
                <w:rFonts w:hint="eastAsia" w:ascii="宋体" w:hAnsi="宋体" w:cs="宋体"/>
                <w:color w:val="auto"/>
                <w:sz w:val="24"/>
                <w:szCs w:val="24"/>
                <w:lang w:val="en-US" w:eastAsia="zh-CN"/>
              </w:rPr>
              <w:t>2.5</w:t>
            </w:r>
            <w:r>
              <w:rPr>
                <w:rFonts w:hint="eastAsia" w:ascii="宋体" w:hAnsi="宋体" w:eastAsia="宋体" w:cs="宋体"/>
                <w:color w:val="auto"/>
                <w:sz w:val="24"/>
                <w:szCs w:val="24"/>
                <w:lang w:val="en-US" w:eastAsia="zh-CN"/>
              </w:rPr>
              <w:t>分）</w:t>
            </w:r>
          </w:p>
        </w:tc>
      </w:tr>
    </w:tbl>
    <w:p>
      <w:pPr>
        <w:pStyle w:val="16"/>
        <w:pageBreakBefore w:val="0"/>
        <w:kinsoku/>
        <w:wordWrap/>
        <w:overflowPunct/>
        <w:topLinePunct w:val="0"/>
        <w:bidi w:val="0"/>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注：</w:t>
      </w:r>
      <w:r>
        <w:rPr>
          <w:rFonts w:hint="eastAsia" w:ascii="宋体" w:hAnsi="宋体" w:eastAsia="宋体" w:cs="宋体"/>
          <w:color w:val="auto"/>
          <w:sz w:val="24"/>
          <w:szCs w:val="24"/>
        </w:rPr>
        <w:t>1）若出现缺项或只有标题无内容或内容有严重错误者，该项得0分。</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以上各项打分均由磋商小组共同认定，如磋商小组在认定上出现意见分歧，由磋商小组进行表决，以少数服从多数决定原则确定，并作记录。</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3)如磋商小组一致认为</w:t>
      </w:r>
      <w:r>
        <w:rPr>
          <w:rFonts w:hint="eastAsia" w:ascii="宋体" w:hAnsi="宋体" w:eastAsia="宋体" w:cs="宋体"/>
          <w:snapToGrid w:val="0"/>
          <w:color w:val="auto"/>
          <w:kern w:val="0"/>
          <w:sz w:val="24"/>
          <w:szCs w:val="24"/>
        </w:rPr>
        <w:t>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磋商处理。</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4)若出现综合得分并列时，比较技术得分，此分项得分高者排序在前；若技术得分仍相同，比较价格得分，此分项得分高者排序在前；若磋商报价得分仍相同，则由磋商小组无记名投票，得票高者排序在前。</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 评委打分超过得分界限或未按本方法赋分时，该评委的打分按废票处理。</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 各种计算采用插入法，数字均保留两位小数，第三位“四舍五入”。</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7) 评标时，对小型和微型企业给与用扣除后的价格参与评审。根据《政府采购促进中小企业发展</w:t>
      </w:r>
      <w:r>
        <w:rPr>
          <w:rFonts w:hint="eastAsia" w:ascii="宋体" w:hAnsi="宋体" w:eastAsia="宋体" w:cs="宋体"/>
          <w:color w:val="auto"/>
          <w:sz w:val="24"/>
          <w:szCs w:val="24"/>
          <w:lang w:val="en-US" w:eastAsia="zh-CN"/>
        </w:rPr>
        <w:t>管理</w:t>
      </w:r>
      <w:r>
        <w:rPr>
          <w:rFonts w:hint="eastAsia" w:ascii="宋体" w:hAnsi="宋体" w:eastAsia="宋体" w:cs="宋体"/>
          <w:color w:val="auto"/>
          <w:sz w:val="24"/>
          <w:szCs w:val="24"/>
        </w:rPr>
        <w:t>办法》（财库（20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46</w:t>
      </w:r>
      <w:r>
        <w:rPr>
          <w:rFonts w:hint="eastAsia" w:ascii="宋体" w:hAnsi="宋体" w:eastAsia="宋体" w:cs="宋体"/>
          <w:color w:val="auto"/>
          <w:sz w:val="24"/>
          <w:szCs w:val="24"/>
        </w:rPr>
        <w:t>号）规定</w:t>
      </w:r>
      <w:r>
        <w:rPr>
          <w:rFonts w:hint="eastAsia" w:ascii="宋体" w:hAnsi="宋体" w:eastAsia="宋体" w:cs="宋体"/>
          <w:color w:val="auto"/>
          <w:sz w:val="24"/>
          <w:szCs w:val="24"/>
          <w:lang w:eastAsia="zh-CN"/>
        </w:rPr>
        <w:t>。</w:t>
      </w:r>
    </w:p>
    <w:p>
      <w:pPr>
        <w:pageBreakBefore w:val="0"/>
        <w:kinsoku/>
        <w:wordWrap/>
        <w:overflowPunct/>
        <w:topLinePunct w:val="0"/>
        <w:bidi w:val="0"/>
        <w:adjustRightInd w:val="0"/>
        <w:snapToGrid w:val="0"/>
        <w:spacing w:line="360" w:lineRule="auto"/>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8）对既属于监狱企业、福利企业，同时又满足中小微企业规定的供应商，其价格扣除仅适用一次。</w:t>
      </w:r>
    </w:p>
    <w:p>
      <w:pPr>
        <w:pStyle w:val="16"/>
        <w:pageBreakBefore w:val="0"/>
        <w:kinsoku/>
        <w:wordWrap/>
        <w:overflowPunct/>
        <w:topLinePunct w:val="0"/>
        <w:bidi w:val="0"/>
        <w:spacing w:line="360" w:lineRule="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12</w:t>
      </w:r>
      <w:r>
        <w:rPr>
          <w:rFonts w:hint="eastAsia" w:ascii="宋体" w:hAnsi="宋体" w:eastAsia="宋体" w:cs="宋体"/>
          <w:b/>
          <w:color w:val="auto"/>
          <w:sz w:val="24"/>
          <w:szCs w:val="24"/>
        </w:rPr>
        <w:t>．</w:t>
      </w:r>
      <w:r>
        <w:rPr>
          <w:rFonts w:hint="eastAsia" w:ascii="宋体" w:hAnsi="宋体" w:eastAsia="宋体" w:cs="宋体"/>
          <w:b/>
          <w:bCs/>
          <w:color w:val="auto"/>
          <w:sz w:val="24"/>
          <w:szCs w:val="24"/>
          <w:lang w:val="zh-CN"/>
        </w:rPr>
        <w:t>磋商小组</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磋商小组由采购人代表和评审专家共同组成。评审专家应当从政府采购评审专家库内相关专业的专家名单中随机抽取。</w:t>
      </w:r>
    </w:p>
    <w:p>
      <w:pPr>
        <w:pStyle w:val="16"/>
        <w:pageBreakBefore w:val="0"/>
        <w:kinsoku/>
        <w:wordWrap/>
        <w:overflowPunct/>
        <w:topLinePunct w:val="0"/>
        <w:bidi w:val="0"/>
        <w:spacing w:line="360" w:lineRule="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13</w:t>
      </w:r>
      <w:r>
        <w:rPr>
          <w:rFonts w:hint="eastAsia" w:ascii="宋体" w:hAnsi="宋体" w:eastAsia="宋体" w:cs="宋体"/>
          <w:b/>
          <w:color w:val="auto"/>
          <w:sz w:val="24"/>
          <w:szCs w:val="24"/>
        </w:rPr>
        <w:t>．</w:t>
      </w:r>
      <w:r>
        <w:rPr>
          <w:rFonts w:hint="eastAsia" w:ascii="宋体" w:hAnsi="宋体" w:eastAsia="宋体" w:cs="宋体"/>
          <w:b/>
          <w:bCs/>
          <w:color w:val="auto"/>
          <w:sz w:val="24"/>
          <w:szCs w:val="24"/>
          <w:lang w:val="zh-CN"/>
        </w:rPr>
        <w:t>磋商评审纪律</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13.1磋商小组成员</w:t>
      </w:r>
      <w:r>
        <w:rPr>
          <w:rFonts w:hint="eastAsia" w:ascii="宋体" w:hAnsi="宋体" w:eastAsia="宋体" w:cs="宋体"/>
          <w:color w:val="auto"/>
          <w:sz w:val="24"/>
          <w:szCs w:val="24"/>
          <w:lang w:val="zh-CN"/>
        </w:rPr>
        <w:t>内部讨论的情况和意见必须保密，任何人不得以任何形式透露给供应商或与供应商有关的单位或个人；</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13.2</w:t>
      </w:r>
      <w:r>
        <w:rPr>
          <w:rFonts w:hint="eastAsia" w:ascii="宋体" w:hAnsi="宋体" w:eastAsia="宋体" w:cs="宋体"/>
          <w:color w:val="auto"/>
          <w:sz w:val="24"/>
          <w:szCs w:val="24"/>
          <w:lang w:val="zh-CN"/>
        </w:rPr>
        <w:t>在磋商过程中，供应商不得以任何形式对磋商小组成员进行旨在影响磋商结果的私下接触，否则取消其磋商资格；</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13.3</w:t>
      </w:r>
      <w:r>
        <w:rPr>
          <w:rFonts w:hint="eastAsia" w:ascii="宋体" w:hAnsi="宋体" w:eastAsia="宋体" w:cs="宋体"/>
          <w:color w:val="auto"/>
          <w:sz w:val="24"/>
          <w:szCs w:val="24"/>
          <w:lang w:val="zh-CN"/>
        </w:rPr>
        <w:t>磋商小组采用以及与磋商有关的人员应当对评审情况和评审过程中获悉的国家秘密、商业秘密予以保密。</w:t>
      </w:r>
    </w:p>
    <w:p>
      <w:pPr>
        <w:pStyle w:val="16"/>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14．无效报价情况说明</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bookmarkStart w:id="128" w:name="_GoBack"/>
      <w:r>
        <w:rPr>
          <w:rFonts w:hint="eastAsia" w:ascii="宋体" w:hAnsi="宋体" w:eastAsia="宋体" w:cs="宋体"/>
          <w:color w:val="auto"/>
          <w:sz w:val="24"/>
          <w:szCs w:val="24"/>
          <w:lang w:val="zh-CN"/>
        </w:rPr>
        <w:t xml:space="preserve">响应文件有下列情形之一的，应当按照无效响应文件处理： </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14.1在规定的截止时间之后递交的； </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14.2未按采购文件规定要求密封、签署、盖章的； </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14.3未按规定交纳保证金的； </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14.4不具备采购文件中规定的资格要求的； </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14.5报价超过采购预算的；</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14.6 文件数量不足的；</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14.7未全部响应采购文件规定的实质性要求的；</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14.8不符合法律、法规规定的其他情形。</w:t>
      </w:r>
    </w:p>
    <w:bookmarkEnd w:id="128"/>
    <w:p>
      <w:pPr>
        <w:pStyle w:val="16"/>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15．对响应文件的修正</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15．1磋商中，对价格的计算错误按下述原则修正：</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（1）磋商时，响应文件正本与副本不一致的，以正本为准。</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响应文件的大写和小写金额不一致的，以大写金额为准；总价金额与按单价汇总金额不一致的，以单价金额计算结果为准；单价金额小数点有明显错位的，应以总价为准，并修改单价；对不同文字文本磋商文件的解释发生异议的，以中文文本为准。</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（3）供应商不同意以上修正，则其响应文件将被拒绝。</w:t>
      </w:r>
    </w:p>
    <w:p>
      <w:pPr>
        <w:pStyle w:val="16"/>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16. 成交公告</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成交公告内容应当包括采购人和采购代理机构的名称、地址、联系方式，项目名称和项目编号，成交供应商名称、地址和成交金额以及磋商小组成员等。</w:t>
      </w:r>
    </w:p>
    <w:p>
      <w:pPr>
        <w:pStyle w:val="16"/>
        <w:pageBreakBefore w:val="0"/>
        <w:kinsoku/>
        <w:wordWrap/>
        <w:overflowPunct/>
        <w:topLinePunct w:val="0"/>
        <w:bidi w:val="0"/>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17．</w:t>
      </w:r>
      <w:r>
        <w:rPr>
          <w:rFonts w:hint="eastAsia" w:ascii="宋体" w:hAnsi="宋体" w:eastAsia="宋体" w:cs="宋体"/>
          <w:b/>
          <w:color w:val="auto"/>
          <w:sz w:val="24"/>
          <w:szCs w:val="24"/>
        </w:rPr>
        <w:t xml:space="preserve">成交通知  </w:t>
      </w:r>
    </w:p>
    <w:p>
      <w:pPr>
        <w:pStyle w:val="16"/>
        <w:pageBreakBefore w:val="0"/>
        <w:kinsoku/>
        <w:wordWrap/>
        <w:overflowPunct/>
        <w:topLinePunct w:val="0"/>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17．1在磋商有效期内，采购代理机构以书面形式通知所选定的成交供应商。 </w:t>
      </w:r>
    </w:p>
    <w:p>
      <w:pPr>
        <w:pStyle w:val="16"/>
        <w:pageBreakBefore w:val="0"/>
        <w:kinsoku/>
        <w:wordWrap/>
        <w:overflowPunct/>
        <w:topLinePunct w:val="0"/>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17．2当成交供应商按规定与采购人签订合同后，采购代理机构将向其他供应商并退还投标保证金。采购代理机构对落标的供应商不作落标原因的解释。</w:t>
      </w:r>
    </w:p>
    <w:p>
      <w:pPr>
        <w:pStyle w:val="16"/>
        <w:pageBreakBefore w:val="0"/>
        <w:kinsoku/>
        <w:wordWrap/>
        <w:overflowPunct/>
        <w:topLinePunct w:val="0"/>
        <w:bidi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17．3成交通知书将是合同的一个组成部分。</w:t>
      </w:r>
    </w:p>
    <w:p>
      <w:pPr>
        <w:pageBreakBefore w:val="0"/>
        <w:kinsoku/>
        <w:wordWrap/>
        <w:overflowPunct/>
        <w:topLinePunct w:val="0"/>
        <w:bidi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18．合同授予</w:t>
      </w:r>
    </w:p>
    <w:p>
      <w:pPr>
        <w:pStyle w:val="16"/>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18.1 磋商文件、响应文件及磋商过程中有关补充文件均作为合同附件，并与合同具有相同的法律效力。</w:t>
      </w:r>
    </w:p>
    <w:p>
      <w:pPr>
        <w:pStyle w:val="16"/>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18.2当按照合同履行义务，完成磋商项目。未经采购人同意，成交供应商不得向他人转让成交项目。</w:t>
      </w:r>
    </w:p>
    <w:p>
      <w:pPr>
        <w:pStyle w:val="16"/>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bCs/>
          <w:color w:val="auto"/>
          <w:sz w:val="24"/>
          <w:szCs w:val="24"/>
        </w:rPr>
        <w:t>19．</w:t>
      </w:r>
      <w:r>
        <w:rPr>
          <w:rFonts w:hint="eastAsia" w:ascii="宋体" w:hAnsi="宋体" w:eastAsia="宋体" w:cs="宋体"/>
          <w:b/>
          <w:color w:val="auto"/>
          <w:sz w:val="24"/>
          <w:szCs w:val="24"/>
        </w:rPr>
        <w:t>签订合同</w:t>
      </w:r>
    </w:p>
    <w:p>
      <w:pPr>
        <w:pStyle w:val="16"/>
        <w:pageBreakBefore w:val="0"/>
        <w:kinsoku/>
        <w:wordWrap/>
        <w:overflowPunct/>
        <w:topLinePunct w:val="0"/>
        <w:bidi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19.1成交供应商应按成交通知书中规定的时间与采购人签订合同，否则按违约处理，其磋商保证金不予退还，并赔偿本次及再次采购所发生的费用。</w:t>
      </w:r>
    </w:p>
    <w:p>
      <w:pPr>
        <w:pStyle w:val="16"/>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19.2磋商文件、成交供应商的响应报价文件及评审过程中有关澄清文件均应作为合同附件，并与合同具有相同的法律效力。</w:t>
      </w:r>
    </w:p>
    <w:p>
      <w:pPr>
        <w:pStyle w:val="16"/>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20.招标代理服务费</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20.1供应商依据成交金额向采购代理交纳招标代理服务费，招标代理服务收费按差额定率累进法计算，具体收费标准参照（计价格[2002]1980号）文件规定执行。供应商可将此费用考虑在磋商总报价中，采购人不再单独支付。</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20.2 中标人在取得成交通知书时，向采购代理机构一次性缴付招标代理服务费。</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20.3 招标代理服务费以电汇或现金形式缴纳。</w:t>
      </w:r>
    </w:p>
    <w:p>
      <w:pPr>
        <w:pageBreakBefore w:val="0"/>
        <w:kinsoku/>
        <w:wordWrap/>
        <w:overflowPunct/>
        <w:topLinePunct w:val="0"/>
        <w:bidi w:val="0"/>
        <w:spacing w:after="163" w:afterLines="50" w:line="360" w:lineRule="auto"/>
        <w:ind w:left="-2" w:leftChars="-59" w:hanging="140" w:hangingChars="58"/>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21.说明  </w:t>
      </w:r>
    </w:p>
    <w:p>
      <w:pPr>
        <w:spacing w:line="360" w:lineRule="auto"/>
        <w:ind w:firstLine="512" w:firstLineChars="200"/>
        <w:outlineLvl w:val="2"/>
        <w:rPr>
          <w:rFonts w:hint="eastAsia" w:ascii="宋体" w:hAnsi="宋体" w:eastAsia="宋体" w:cs="宋体"/>
          <w:color w:val="auto"/>
          <w:spacing w:val="4"/>
          <w:sz w:val="24"/>
          <w:szCs w:val="24"/>
          <w:lang w:val="en-US" w:eastAsia="zh-CN"/>
        </w:rPr>
      </w:pPr>
      <w:bookmarkStart w:id="18" w:name="_Toc23370"/>
      <w:r>
        <w:rPr>
          <w:rFonts w:hint="eastAsia" w:ascii="宋体" w:hAnsi="宋体" w:eastAsia="宋体" w:cs="宋体"/>
          <w:color w:val="auto"/>
          <w:spacing w:val="13"/>
          <w:position w:val="1"/>
          <w:sz w:val="23"/>
          <w:szCs w:val="23"/>
          <w:lang w:val="en-US" w:eastAsia="zh-CN"/>
        </w:rPr>
        <w:t>21.1、</w:t>
      </w:r>
      <w:bookmarkStart w:id="19" w:name="_Toc26038"/>
      <w:bookmarkStart w:id="20" w:name="_Toc20184"/>
      <w:bookmarkStart w:id="21" w:name="_Toc6716"/>
      <w:bookmarkStart w:id="22" w:name="_Toc13885"/>
      <w:bookmarkStart w:id="23" w:name="_Toc21517"/>
      <w:bookmarkStart w:id="24" w:name="_Toc21818"/>
      <w:bookmarkStart w:id="25" w:name="_Toc28576"/>
      <w:bookmarkStart w:id="26" w:name="_Toc5823"/>
      <w:bookmarkStart w:id="27" w:name="_Toc18036"/>
      <w:bookmarkStart w:id="28" w:name="_Toc20097"/>
      <w:bookmarkStart w:id="29" w:name="_Toc11560"/>
      <w:r>
        <w:rPr>
          <w:rFonts w:hint="eastAsia" w:ascii="宋体" w:hAnsi="宋体" w:eastAsia="宋体" w:cs="宋体"/>
          <w:color w:val="auto"/>
          <w:spacing w:val="4"/>
          <w:sz w:val="24"/>
          <w:szCs w:val="24"/>
          <w:lang w:val="en-US" w:eastAsia="zh-CN"/>
        </w:rPr>
        <w:t>政策性扣减</w:t>
      </w:r>
      <w:bookmarkEnd w:id="18"/>
      <w:bookmarkEnd w:id="19"/>
      <w:bookmarkEnd w:id="20"/>
      <w:bookmarkEnd w:id="21"/>
      <w:bookmarkEnd w:id="22"/>
      <w:bookmarkEnd w:id="23"/>
      <w:bookmarkEnd w:id="24"/>
      <w:bookmarkEnd w:id="25"/>
      <w:bookmarkEnd w:id="26"/>
      <w:bookmarkEnd w:id="27"/>
      <w:bookmarkEnd w:id="28"/>
      <w:bookmarkEnd w:id="29"/>
    </w:p>
    <w:p>
      <w:pPr>
        <w:spacing w:line="360" w:lineRule="auto"/>
        <w:ind w:firstLine="496" w:firstLineChars="200"/>
        <w:rPr>
          <w:rFonts w:hint="eastAsia" w:ascii="宋体" w:hAnsi="宋体" w:eastAsia="宋体" w:cs="宋体"/>
          <w:color w:val="auto"/>
          <w:spacing w:val="4"/>
          <w:sz w:val="24"/>
          <w:szCs w:val="24"/>
          <w:lang w:val="en-US" w:eastAsia="zh-CN"/>
        </w:rPr>
      </w:pPr>
      <w:r>
        <w:rPr>
          <w:rFonts w:hint="eastAsia" w:ascii="宋体" w:hAnsi="宋体" w:eastAsia="宋体" w:cs="宋体"/>
          <w:color w:val="auto"/>
          <w:spacing w:val="4"/>
          <w:sz w:val="24"/>
          <w:szCs w:val="24"/>
          <w:lang w:val="en-US" w:eastAsia="zh-CN"/>
        </w:rPr>
        <w:t>21.1.1、政策性价格优惠折扣规定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（1）对小型和微型企业产品的价格给予</w:t>
      </w:r>
      <w:r>
        <w:rPr>
          <w:rFonts w:hint="eastAsia" w:ascii="宋体" w:hAnsi="宋体" w:eastAsia="宋体" w:cs="宋体"/>
          <w:b w:val="0"/>
          <w:bCs/>
          <w:color w:val="auto"/>
          <w:spacing w:val="4"/>
          <w:sz w:val="24"/>
          <w:szCs w:val="24"/>
          <w:lang w:val="en-US" w:eastAsia="zh-CN"/>
        </w:rPr>
        <w:t>20</w:t>
      </w:r>
      <w:r>
        <w:rPr>
          <w:rFonts w:hint="eastAsia" w:ascii="宋体" w:hAnsi="宋体" w:eastAsia="宋体" w:cs="宋体"/>
          <w:b w:val="0"/>
          <w:bCs/>
          <w:color w:val="auto"/>
          <w:spacing w:val="4"/>
          <w:sz w:val="24"/>
          <w:szCs w:val="24"/>
        </w:rPr>
        <w:t>%的扣除，用扣除后的价格参与评审。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（2）联合体共同参加非专门面向中小企业的政府采购活动，联合协议中约定，小型和微型企业的协议合同金额占到联合体协议合同金额的30%以上的，可给予联合体</w:t>
      </w:r>
      <w:r>
        <w:rPr>
          <w:rFonts w:hint="eastAsia" w:ascii="宋体" w:hAnsi="宋体" w:eastAsia="宋体" w:cs="宋体"/>
          <w:b w:val="0"/>
          <w:bCs/>
          <w:color w:val="auto"/>
          <w:spacing w:val="4"/>
          <w:sz w:val="24"/>
          <w:szCs w:val="24"/>
          <w:lang w:val="en-US" w:eastAsia="zh-CN"/>
        </w:rPr>
        <w:t>6</w:t>
      </w:r>
      <w:r>
        <w:rPr>
          <w:rFonts w:hint="eastAsia" w:ascii="宋体" w:hAnsi="宋体" w:eastAsia="宋体" w:cs="宋体"/>
          <w:b w:val="0"/>
          <w:bCs/>
          <w:color w:val="auto"/>
          <w:spacing w:val="4"/>
          <w:sz w:val="24"/>
          <w:szCs w:val="24"/>
        </w:rPr>
        <w:t>%的价格扣除，用扣除后的价格参与评审。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3）参加本项目的小微企业须提供《小微企业声明函》（附件）、提供小微企业的备案截图或中小企业管理部门开具的中小企业证明函，未提供的不视为小微企业。本项目提供的货物不包括使用大型企业注册商标的货物，小型、微型企业提供中型企业制造的货物的，视同为中型企业。</w:t>
      </w:r>
      <w:r>
        <w:rPr>
          <w:rFonts w:hint="eastAsia" w:ascii="宋体" w:hAnsi="宋体" w:cs="宋体"/>
          <w:b w:val="0"/>
          <w:bCs/>
          <w:color w:val="auto"/>
          <w:spacing w:val="4"/>
          <w:sz w:val="24"/>
          <w:szCs w:val="24"/>
          <w:lang w:eastAsia="zh-CN"/>
        </w:rPr>
        <w:t>供应商</w:t>
      </w:r>
      <w:r>
        <w:rPr>
          <w:rFonts w:hint="eastAsia" w:ascii="宋体" w:hAnsi="宋体" w:eastAsia="宋体" w:cs="宋体"/>
          <w:b w:val="0"/>
          <w:bCs/>
          <w:color w:val="auto"/>
          <w:spacing w:val="4"/>
          <w:sz w:val="24"/>
          <w:szCs w:val="24"/>
        </w:rPr>
        <w:t>须作出承诺，保证真实性，如有虚假，将依法承担相应责任。未提供的不视为小微企业。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（4）</w:t>
      </w:r>
      <w:r>
        <w:rPr>
          <w:rFonts w:hint="eastAsia" w:ascii="宋体" w:hAnsi="宋体" w:eastAsia="宋体" w:cs="宋体"/>
          <w:b w:val="0"/>
          <w:bCs/>
          <w:color w:val="auto"/>
          <w:spacing w:val="4"/>
          <w:sz w:val="24"/>
          <w:szCs w:val="24"/>
          <w:lang w:val="en-US" w:eastAsia="zh-CN"/>
        </w:rPr>
        <w:t>《政府采购促进中小企业发展管理办法》（财库【2020】46号）</w:t>
      </w:r>
      <w:r>
        <w:rPr>
          <w:rFonts w:hint="eastAsia" w:ascii="宋体" w:hAnsi="宋体" w:eastAsia="宋体" w:cs="宋体"/>
          <w:b w:val="0"/>
          <w:bCs/>
          <w:color w:val="auto"/>
          <w:spacing w:val="4"/>
          <w:sz w:val="24"/>
          <w:szCs w:val="24"/>
        </w:rPr>
        <w:t>和《工业和信息化部、国家统计局、国家发展和改革委员会、财政部关于印发&lt;中小企业划型标准规定&gt;的通知》（工信部联企业【2011】300号）文件规定标准确认。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lang w:val="en-US" w:eastAsia="zh-CN"/>
        </w:rPr>
        <w:t>21.1.2</w:t>
      </w:r>
      <w:r>
        <w:rPr>
          <w:rFonts w:hint="eastAsia" w:ascii="宋体" w:hAnsi="宋体" w:eastAsia="宋体" w:cs="宋体"/>
          <w:b w:val="0"/>
          <w:bCs/>
          <w:color w:val="auto"/>
          <w:spacing w:val="4"/>
          <w:sz w:val="24"/>
          <w:szCs w:val="24"/>
        </w:rPr>
        <w:t>、监狱企业的价格评分标准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（1）在政府采购活动中，监狱企业视同小型、微型企业，享受预留份额、评审中价格扣除等政府采购促进中小企业发展的政府采购政策。对监狱企业产品的价格给予</w:t>
      </w:r>
      <w:r>
        <w:rPr>
          <w:rFonts w:hint="eastAsia" w:ascii="宋体" w:hAnsi="宋体" w:eastAsia="宋体" w:cs="宋体"/>
          <w:b w:val="0"/>
          <w:bCs/>
          <w:color w:val="auto"/>
          <w:spacing w:val="4"/>
          <w:sz w:val="24"/>
          <w:szCs w:val="24"/>
          <w:lang w:val="en-US" w:eastAsia="zh-CN"/>
        </w:rPr>
        <w:t>20</w:t>
      </w:r>
      <w:r>
        <w:rPr>
          <w:rFonts w:hint="eastAsia" w:ascii="宋体" w:hAnsi="宋体" w:eastAsia="宋体" w:cs="宋体"/>
          <w:b w:val="0"/>
          <w:bCs/>
          <w:color w:val="auto"/>
          <w:spacing w:val="4"/>
          <w:sz w:val="24"/>
          <w:szCs w:val="24"/>
        </w:rPr>
        <w:t>%的扣除，用扣除后的价格参与评审。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（2）监狱企业参加政府采购活动时，应当提供由省级以上监狱管理局、戒毒管理局（含新疆生产建设兵团）出具的属于监狱企业的证明文件。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（3）监狱企业按《财政部、司法部关于政府采购支持监狱企业发展有关问题的通知》（财库〔2014〕68号）文件规定标准执行。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（4）监狱企业属于小型、微型企业的，不重复享受政策。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lang w:val="en-US" w:eastAsia="zh-CN"/>
        </w:rPr>
        <w:t>21.1.</w:t>
      </w:r>
      <w:r>
        <w:rPr>
          <w:rFonts w:hint="eastAsia" w:ascii="宋体" w:hAnsi="宋体" w:eastAsia="宋体" w:cs="宋体"/>
          <w:b w:val="0"/>
          <w:bCs/>
          <w:color w:val="auto"/>
          <w:spacing w:val="4"/>
          <w:sz w:val="24"/>
          <w:szCs w:val="24"/>
        </w:rPr>
        <w:t>3、残疾人福利性单位的价格评分标准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（1）在政府采购活动中，残疾人福利性单位视同小型、微型企业，享受预留份额、评审中价格扣除等政府采购促进中小企业发展的政府采购政策。对残疾人福利性单位产品的价格给予</w:t>
      </w:r>
      <w:r>
        <w:rPr>
          <w:rFonts w:hint="eastAsia" w:ascii="宋体" w:hAnsi="宋体" w:eastAsia="宋体" w:cs="宋体"/>
          <w:b w:val="0"/>
          <w:bCs/>
          <w:color w:val="auto"/>
          <w:spacing w:val="4"/>
          <w:sz w:val="24"/>
          <w:szCs w:val="24"/>
          <w:lang w:val="en-US" w:eastAsia="zh-CN"/>
        </w:rPr>
        <w:t>20</w:t>
      </w:r>
      <w:r>
        <w:rPr>
          <w:rFonts w:hint="eastAsia" w:ascii="宋体" w:hAnsi="宋体" w:eastAsia="宋体" w:cs="宋体"/>
          <w:b w:val="0"/>
          <w:bCs/>
          <w:color w:val="auto"/>
          <w:spacing w:val="4"/>
          <w:sz w:val="24"/>
          <w:szCs w:val="24"/>
        </w:rPr>
        <w:t>%的扣除，用扣除后的价格参与评审。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（2）残疾人福利性单位属于小型、微型企业的，不重复享受政策。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3）符合条件的残疾人福利性单位在参加政府采购活动时，应当提供本通知规定的《残疾人福利性单位声明函》（见附件）、提供市级以上民政局、财政局、残联部门出具的福利性企业的证明文件，并对声明的真实性负责，未提供的不视为残疾人福利性单位。</w:t>
      </w:r>
    </w:p>
    <w:p>
      <w:pPr>
        <w:pageBreakBefore w:val="0"/>
        <w:tabs>
          <w:tab w:val="left" w:pos="360"/>
        </w:tabs>
        <w:kinsoku/>
        <w:wordWrap/>
        <w:overflowPunct/>
        <w:topLinePunct w:val="0"/>
        <w:bidi w:val="0"/>
        <w:snapToGrid w:val="0"/>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23、需要补充的其他内容</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23.1供应商对采购事项有疑问的，应当按照《政府采购质疑和投诉办法》规定，以书面形式向采购人或代理机构提出，经法定代表人签字并加盖公章。</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23.2供应商认为采购文件、采购过程、中标或者成交结果使自己的权益受到损害的，可以在知道或者应知其权益受到损害之日起7个工作日内，以书面形式向采购人、采购代理机构提出质疑。</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23.3供应商对磋商文件条款或技术参数有异议的，应当在开标前通过澄清或修改程序提出。供应商已经参与开标，并于开标后对磋商文件提出质疑的，其质疑应当被视为无效质疑。在法定质疑期内对采购文件只能是一次性提出针对同一采购程序环节的质疑。</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23.4提出质疑的供应商（以下简称质疑供应商）应当是参与所质疑项目采购活动的供应商。潜在供应商已依法获取其可质疑的采购文件的，可以对该文件提出质疑。</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23.5对采购文件提出质疑的，应当在获取采购文件或者采购文件公告期限届满之日起7个工作日内提出。</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23.6供应商提出质疑应当提交质疑函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按照“谁主张、谁举证”的原则，质疑书应当附上相关证明材料，否则质疑将视为无有效证据支持，将被予以驳回。</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23.7有下列情形之一的，属于无效质疑，代理机构可不予受理：</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23.7.1未在有效期限内提出质疑的；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23.7.2质疑未以书面形式提出的；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23.7.3所提交材料未明示属于质疑材料的；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23.7.4质疑书没有法定代表人签署本人姓名或印盖本人姓名章并加盖供应商公章；质疑书由参加采购项目的授权代表签署本人姓名或印盖本人姓名章的，没有法定代表人的特别授权；质疑书加盖合同专用章的；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23.7.5质疑书未提供有效联系人或联系方式的；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23.7.6质疑事项已经进入投诉或者诉讼程序的；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23.7.7其它不符合受理条件的情形。</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23.8采购人或代理机构将在收到书面质疑后7个工作日内审查质疑事项，作出答复或相关处理决定，并以书面形式通知质疑供应商和其他有关供应商，但答复的内容不涉及商业秘密。若质疑涉及政府采购制度或程序，将被转交政府采购的管理部门审查。</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23.9供应商对评审过程、中标或者成交结果提出质疑的，采购人、采购代理机构可以组织原评标委员会、竞争性</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小组、询价小组或者竞争性磋商小组协助答复质疑。</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23.10质疑人有下列情形之一的，代理机构应驳回质疑：</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23.10.1质疑缺乏事实和法律依据的；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23.10.2质疑人捏造事实、提供虚假材料，或在一定期限内多次质疑而无实据的；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23.10.3质疑已经处理并答复后，质疑人就同一事项又提起质疑且未提供新的有效证据的；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23.10.4其他根据相关法律、法规应当予以驳回的情形。</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23.11供应商进行虚假和恶意质疑的，代理机构可以提请有关部门将其列入不良记录名单，在一至三年内禁止参加政府采购活动，并将处理决定在相关政府采购媒体上公布。</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23.12采购人、采购代理机构认为供应商质疑不成立，或者成立但未对中标、成交结果构成影响的，继续开展采购活动；认为供应商质疑成立且影响或者可能影响中标、成交结果的，按照下列情况处理：</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（一）对采购文件提出的质疑，依法通过澄清或者修改可以继续开展采购活动的，澄清或者修改采购文件后继续开展采购活动；否则应当修改采购文件后重新开展采购活动。</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质疑答复导致中标、成交结果改变的，采购人或者采购代理机构应当将有关情况书面报告本级财政部门。</w:t>
      </w:r>
    </w:p>
    <w:p>
      <w:pPr>
        <w:pageBreakBefore w:val="0"/>
        <w:kinsoku/>
        <w:wordWrap/>
        <w:overflowPunct/>
        <w:topLinePunct w:val="0"/>
        <w:bidi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23.13质疑供应商对采购人、采购代理机构的答复不满意，或者采购人、采购代理机构未在规定时间内作出答复的，可以在答复期满后15个工作日内向本办法第六条规定的财政部门提起投诉。</w:t>
      </w:r>
    </w:p>
    <w:p>
      <w:pPr>
        <w:pageBreakBefore w:val="0"/>
        <w:kinsoku/>
        <w:wordWrap/>
        <w:overflowPunct/>
        <w:topLinePunct w:val="0"/>
        <w:bidi w:val="0"/>
        <w:spacing w:line="360" w:lineRule="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23.14质疑提出时间：质疑需在有效期内提出，逾期不予受理。</w:t>
      </w:r>
    </w:p>
    <w:p>
      <w:pPr>
        <w:pageBreakBefore w:val="0"/>
        <w:kinsoku/>
        <w:wordWrap/>
        <w:overflowPunct/>
        <w:topLinePunct w:val="0"/>
        <w:bidi w:val="0"/>
        <w:spacing w:line="360" w:lineRule="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质疑递交地址：榆林市榆溪大道辅路高科城 C 座写字楼 603 室</w:t>
      </w:r>
    </w:p>
    <w:p>
      <w:pPr>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联系人：徐工 联系电话：0912-3428555</w:t>
      </w:r>
      <w:r>
        <w:rPr>
          <w:rFonts w:hint="eastAsia" w:ascii="宋体" w:hAnsi="宋体" w:eastAsia="宋体" w:cs="宋体"/>
          <w:b/>
          <w:color w:val="auto"/>
          <w:sz w:val="24"/>
          <w:szCs w:val="24"/>
        </w:rPr>
        <w:br w:type="page"/>
      </w:r>
    </w:p>
    <w:p>
      <w:pPr>
        <w:pStyle w:val="3"/>
        <w:spacing w:line="360" w:lineRule="auto"/>
        <w:jc w:val="center"/>
        <w:rPr>
          <w:rFonts w:hint="eastAsia" w:ascii="宋体" w:hAnsi="宋体" w:eastAsia="宋体" w:cs="宋体"/>
          <w:color w:val="auto"/>
          <w:lang w:val="en-US" w:eastAsia="zh-CN"/>
        </w:rPr>
      </w:pPr>
      <w:bookmarkStart w:id="30" w:name="_Toc403077645"/>
      <w:bookmarkStart w:id="31" w:name="_Toc4403"/>
      <w:bookmarkStart w:id="32" w:name="_Toc363474023"/>
      <w:r>
        <w:rPr>
          <w:rFonts w:hint="eastAsia" w:ascii="宋体" w:hAnsi="宋体" w:eastAsia="宋体" w:cs="宋体"/>
          <w:color w:val="auto"/>
          <w:highlight w:val="none"/>
        </w:rPr>
        <w:t>第三章  合同条款及格</w:t>
      </w:r>
      <w:bookmarkEnd w:id="30"/>
      <w:r>
        <w:rPr>
          <w:rFonts w:hint="eastAsia" w:ascii="宋体" w:hAnsi="宋体" w:eastAsia="宋体" w:cs="宋体"/>
          <w:color w:val="auto"/>
          <w:highlight w:val="none"/>
          <w:lang w:val="en-US" w:eastAsia="zh-CN"/>
        </w:rPr>
        <w:t>式</w:t>
      </w:r>
      <w:bookmarkEnd w:id="31"/>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bookmarkStart w:id="33" w:name="_Toc4537"/>
      <w:r>
        <w:rPr>
          <w:rFonts w:hint="eastAsia" w:ascii="宋体" w:hAnsi="宋体" w:eastAsia="宋体" w:cs="宋体"/>
        </w:rPr>
        <w:t>发包方(以下简称狎方</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承包方(以下简称乙方</w:t>
      </w:r>
    </w:p>
    <w:p>
      <w:pPr>
        <w:pStyle w:val="17"/>
        <w:keepNext w:val="0"/>
        <w:keepLines w:val="0"/>
        <w:widowControl/>
        <w:suppressLineNumbers w:val="0"/>
        <w:spacing w:before="0" w:beforeAutospacing="0" w:after="0" w:afterAutospacing="0" w:line="360" w:lineRule="auto"/>
        <w:ind w:left="0" w:right="0" w:firstLine="480" w:firstLineChars="200"/>
        <w:rPr>
          <w:rFonts w:hint="eastAsia" w:ascii="宋体" w:hAnsi="宋体" w:eastAsia="宋体" w:cs="宋体"/>
        </w:rPr>
      </w:pPr>
      <w:r>
        <w:rPr>
          <w:rFonts w:hint="eastAsia" w:ascii="宋体" w:hAnsi="宋体" w:eastAsia="宋体" w:cs="宋体"/>
        </w:rPr>
        <w:t>为使店塔镇生活垃圾填埋场管理工作更为高效和规范，经甲乙双方协商一致，就店塔镇生活垃圾填埋场运营管理事宜订立以下合同条款，以此共同遵守。</w:t>
      </w:r>
    </w:p>
    <w:p>
      <w:pPr>
        <w:pStyle w:val="17"/>
        <w:keepNext w:val="0"/>
        <w:keepLines w:val="0"/>
        <w:widowControl/>
        <w:suppressLineNumbers w:val="0"/>
        <w:spacing w:before="0" w:beforeAutospacing="0" w:after="0" w:afterAutospacing="0" w:line="360" w:lineRule="auto"/>
        <w:ind w:right="0"/>
        <w:rPr>
          <w:rFonts w:hint="eastAsia" w:ascii="宋体" w:hAnsi="宋体" w:eastAsia="宋体" w:cs="宋体"/>
        </w:rPr>
      </w:pPr>
      <w:r>
        <w:rPr>
          <w:rFonts w:hint="eastAsia" w:ascii="宋体" w:hAnsi="宋体" w:eastAsia="宋体" w:cs="宋体"/>
        </w:rPr>
        <w:t>一、承包项目</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1、项目名称：店塔镇生活垃圾填埋场运营管理项目。</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2、项目概况：店塔镇生活垃圾填埋场位于店塔镇石拉沟村，垃圾处理方式现以简易填埋为主，生活垃圾填埋场的运营管理工作包括现场管理、日常垃圾推平整工作、消毒工作、覆土工作、进出场管理、场区道路清扫、渗漏液体看护工作。</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二、承包期限</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年 月 日至 年 月日</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三、承包费用</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1、每年项目承包费用为：元(大写：元整),承包费用已含税。</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2、合同生效后甲方每年 月 日前向乙方支付当年的承包费用。在甲方付款前乙方应向甲方提供合法有效的发票作为付款凭证。</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四、承包项目内容</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(一)填埋场现场管理和推土工作</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1、乙方负责引导垃圾运输车辆倒垃圾到甲方指定区域，按甲方要求使用装载机、挖掘机及时平整垃圾(机械有乙方自行采购使用)。</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2、乙方负责平整、清理填埋场道路，确保垃圾填埋工作顺进行。</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3、乙方负责填理场全部设施、设备的管理工作。(维修更有甲方负责)</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(二)填埋场消毒工作</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1、乙方负责按甲方要求每天对生活垃圾填埋场实施药消毒2次，不影响周边环境。</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2、甲方可根据天气变化、重要活动需要等情况随时调整消毒时间要求。</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3、乙方使用消毒药物种类应符合国家有关法规、标准，并向甲方上报。</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三、填埋场覆土工作</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乙方负责按甲方要求按每月对生活垃圾填埋场实施2次覆土处理，覆土区域由甲方指定。每次覆土面积不小于1000平方米，覆土厚度达到0.5米以上。</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四、填埋场进出管理</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乙方负责按照甲方要求协助做好填埋场进出管理工作，任何运输车辆、垃圾、设备、设施、物品必须通过甲方审批，经甲方同意后方可进出填埋场。</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五、双方责任义务</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1、甲方责任</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(1)根据工作要求标准，监督和指导乙方的工作。</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(2)甲方原则上不干预乙方公司内部管理、人员安排等，但如乙方现场管理人员工作严重失职，不能配合甲方突击检查和其它重要活动需要，造成工作不到位或管理水平低下、素质太差，甲方有权责令乙方更换管理人员。</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(3)甲方每月通过定期和不定期检查的形式，对乙方运营理工作质量进行监督和考评/如乙方工作质量未达到合同要求，方根据实际情况扣减乙方当月承包费用。</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(4)由于乙方一次性投入机械设备等作业工具，合同履行期满时，同等条件下甲方必须优先选择和乙方续签运营合同。</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2、乙方责任</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(1)乙方应按相关法规标准及市、镇工作要求做好所承包的作业项目，无条件接受甲方或上级管理部门的监督、考核和工作指导。</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(2)乙方未经甲方同意，不得擅自将本项目部分或全部转包或分包给他人，否则，将视为乙方违约，甲方有权解除合同，并向乙方追究法律责任。</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(3)乙方必须落实安全生产和安全防火措施，如发生任何安全事故，一切责任及造成损失均由乙方负责承担，与甲方无关。</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(4)乙方及其工人必须遵守国家法律、法规的规定。乙方及其工人如有违纪违法、发生工伤意外事故，乙方承担一切经济责任和法律责任。</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(5)由于承包范围内的设备、器械被盗或损坏或操作不当而导致他人死伤或造成其他损失的，由乙方负责赔偿和承担一切责任。</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(6)填埋场现有的属于甲方所有的设施、设备，如因乙方管理不善造成损坏，由乙方负责赔偿。</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(7)乙方必须按照甲方要求配备足够的工作人员，聘用人员必须符合《中华人民共和国劳动法》等法规要求，如乙方出现违规违法用工行为， 一切经济责任和法律责任均由乙方负责承担。</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(8)按国家规定应由乙方缴纳的各种费用，已包含在合同,由乙方向有关部门交付。乙方工人的工资、保险费、工具一切费用支出， 由乙方负责，自负盈亏，与甲方无关。</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(9)乙方无故停止工作，甲方有权按损失程度扣减承包款，旬乙方追究法律责任，并有权单方面解除合同。</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(10)由于乙方原因，导致双方签订的合同终止或被解除的，乙方因此而遭受的损失，将由乙方独立承担，甲方对此不负任何责任，也不作任何赔偿。</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六、附则</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1、本合同在执行过程中，如遇未尽事宜，由甲乙双方协商后，另行签订补充合同，与本合同具有同等的法律效力。</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2、本合同正本一式四份，甲方三份，乙方一份，均具有同等法律效力。</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3、本合同自甲乙双方法定代表人或委托代理人签字、盖章之日起生效；</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工上</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甲方(公章)</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rPr>
        <w:t>乙方(公章):</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签约代表：</w:t>
      </w:r>
      <w:r>
        <w:rPr>
          <w:rFonts w:hint="eastAsia" w:ascii="宋体" w:hAnsi="宋体" w:eastAsia="宋体" w:cs="宋体"/>
          <w:lang w:val="en-US" w:eastAsia="zh-CN"/>
        </w:rPr>
        <w:t xml:space="preserve">                           </w:t>
      </w:r>
      <w:r>
        <w:rPr>
          <w:rFonts w:hint="eastAsia" w:ascii="宋体" w:hAnsi="宋体" w:eastAsia="宋体" w:cs="宋体"/>
        </w:rPr>
        <w:t>签约代表：</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rPr>
      </w:pPr>
      <w:r>
        <w:rPr>
          <w:rFonts w:hint="eastAsia" w:ascii="宋体" w:hAnsi="宋体" w:eastAsia="宋体" w:cs="宋体"/>
        </w:rPr>
        <w:t>年 月 日</w:t>
      </w:r>
    </w:p>
    <w:p>
      <w:pPr>
        <w:pStyle w:val="17"/>
        <w:keepNext w:val="0"/>
        <w:keepLines w:val="0"/>
        <w:widowControl/>
        <w:suppressLineNumbers w:val="0"/>
        <w:spacing w:before="0" w:beforeAutospacing="0" w:after="0" w:afterAutospacing="0"/>
        <w:ind w:left="0" w:right="0" w:firstLine="0"/>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Arial"/>
          <w:sz w:val="21"/>
        </w:rPr>
      </w:pPr>
    </w:p>
    <w:p>
      <w:pPr>
        <w:pStyle w:val="2"/>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p>
    <w:p>
      <w:pPr>
        <w:pStyle w:val="2"/>
      </w:pPr>
    </w:p>
    <w:bookmarkEnd w:id="32"/>
    <w:bookmarkEnd w:id="33"/>
    <w:p>
      <w:pPr>
        <w:pStyle w:val="3"/>
        <w:numPr>
          <w:ilvl w:val="0"/>
          <w:numId w:val="0"/>
        </w:numPr>
        <w:bidi w:val="0"/>
        <w:spacing w:line="360" w:lineRule="auto"/>
        <w:ind w:firstLine="2249" w:firstLineChars="700"/>
        <w:jc w:val="both"/>
        <w:rPr>
          <w:rFonts w:hint="eastAsia" w:ascii="宋体" w:hAnsi="宋体" w:eastAsia="宋体" w:cs="宋体"/>
          <w:color w:val="auto"/>
          <w:szCs w:val="22"/>
          <w:highlight w:val="none"/>
          <w:lang w:val="en-US" w:eastAsia="zh-CN"/>
        </w:rPr>
      </w:pPr>
      <w:bookmarkStart w:id="34" w:name="_Toc13308"/>
      <w:bookmarkStart w:id="35" w:name="_Toc19246"/>
      <w:bookmarkStart w:id="36" w:name="_Toc26595"/>
      <w:bookmarkStart w:id="37" w:name="_Toc19199"/>
      <w:bookmarkStart w:id="38" w:name="_Toc8333"/>
      <w:bookmarkStart w:id="39" w:name="_Toc29888"/>
      <w:bookmarkStart w:id="40" w:name="_Toc30034"/>
      <w:bookmarkStart w:id="41" w:name="_Toc389582037"/>
      <w:bookmarkStart w:id="42" w:name="_Toc31520"/>
      <w:r>
        <w:rPr>
          <w:rFonts w:hint="eastAsia" w:ascii="宋体" w:hAnsi="宋体" w:eastAsia="宋体" w:cs="宋体"/>
          <w:color w:val="auto"/>
          <w:szCs w:val="22"/>
          <w:highlight w:val="none"/>
          <w:lang w:val="en-US" w:eastAsia="zh-CN"/>
        </w:rPr>
        <w:t>第四章  磋商内容及技术要求</w:t>
      </w:r>
      <w:bookmarkEnd w:id="34"/>
      <w:bookmarkEnd w:id="35"/>
      <w:bookmarkEnd w:id="36"/>
      <w:bookmarkEnd w:id="37"/>
      <w:bookmarkEnd w:id="38"/>
      <w:bookmarkEnd w:id="39"/>
      <w:bookmarkEnd w:id="40"/>
      <w:bookmarkEnd w:id="41"/>
      <w:bookmarkEnd w:id="42"/>
      <w:bookmarkStart w:id="43" w:name="_Toc4053"/>
      <w:bookmarkStart w:id="44" w:name="_Toc2711"/>
      <w:bookmarkStart w:id="45" w:name="_Toc11450"/>
      <w:bookmarkStart w:id="46" w:name="_Toc20481"/>
      <w:bookmarkStart w:id="47" w:name="_Toc1025"/>
      <w:bookmarkStart w:id="48" w:name="_Toc23856"/>
      <w:bookmarkStart w:id="49" w:name="_Toc389582038"/>
    </w:p>
    <w:bookmarkEnd w:id="43"/>
    <w:bookmarkEnd w:id="44"/>
    <w:bookmarkEnd w:id="45"/>
    <w:bookmarkEnd w:id="46"/>
    <w:bookmarkEnd w:id="47"/>
    <w:bookmarkEnd w:id="48"/>
    <w:bookmarkEnd w:id="49"/>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一、采购内容 </w:t>
      </w:r>
    </w:p>
    <w:p>
      <w:pPr>
        <w:pStyle w:val="17"/>
        <w:keepNext w:val="0"/>
        <w:keepLines w:val="0"/>
        <w:widowControl/>
        <w:suppressLineNumbers w:val="0"/>
        <w:spacing w:before="0" w:beforeAutospacing="0" w:after="0" w:afterAutospacing="0" w:line="360" w:lineRule="auto"/>
        <w:ind w:left="0" w:right="0" w:firstLine="0"/>
        <w:rPr>
          <w:rFonts w:hint="eastAsia" w:ascii="宋体" w:hAnsi="宋体" w:eastAsia="宋体" w:cs="宋体"/>
          <w:sz w:val="24"/>
          <w:szCs w:val="24"/>
        </w:rPr>
      </w:pPr>
      <w:r>
        <w:rPr>
          <w:rFonts w:hint="eastAsia" w:ascii="宋体" w:hAnsi="宋体" w:eastAsia="宋体" w:cs="宋体"/>
          <w:sz w:val="24"/>
          <w:szCs w:val="24"/>
          <w:lang w:val="en-US" w:eastAsia="zh-CN"/>
        </w:rPr>
        <w:t>1、项目概况：</w:t>
      </w:r>
      <w:r>
        <w:rPr>
          <w:rFonts w:hint="eastAsia" w:ascii="宋体" w:hAnsi="宋体" w:eastAsia="宋体" w:cs="宋体"/>
          <w:sz w:val="24"/>
          <w:szCs w:val="24"/>
        </w:rPr>
        <w:t>店塔镇生活垃圾填埋场位于店塔镇石拉沟村，垃圾处理方式现以简易填埋为主，生活垃圾填埋场的运营管理工作包括现场管理、日常垃圾推平整工作、消毒工作、覆土工作、进出场管理、场区道路清扫、渗漏液体看护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2、项目地址：</w:t>
      </w:r>
      <w:r>
        <w:rPr>
          <w:rFonts w:hint="eastAsia" w:ascii="宋体" w:hAnsi="宋体" w:eastAsia="宋体" w:cs="宋体"/>
          <w:sz w:val="24"/>
          <w:szCs w:val="24"/>
        </w:rPr>
        <w:t>神木市</w:t>
      </w:r>
      <w:r>
        <w:rPr>
          <w:rFonts w:hint="eastAsia" w:ascii="宋体" w:hAnsi="宋体" w:eastAsia="宋体" w:cs="宋体"/>
          <w:sz w:val="24"/>
          <w:szCs w:val="24"/>
          <w:lang w:eastAsia="zh-CN"/>
        </w:rPr>
        <w:t>店塔镇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3、本项目采购预算为：（￥：9</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 xml:space="preserve">0000元/年）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4、服务期：</w:t>
      </w:r>
      <w:r>
        <w:rPr>
          <w:rFonts w:hint="eastAsia" w:ascii="宋体" w:hAnsi="宋体" w:eastAsia="宋体" w:cs="宋体"/>
          <w:i w:val="0"/>
          <w:iCs w:val="0"/>
          <w:caps w:val="0"/>
          <w:color w:val="auto"/>
          <w:spacing w:val="0"/>
          <w:sz w:val="24"/>
          <w:szCs w:val="24"/>
          <w:shd w:val="clear" w:color="auto" w:fill="FFFFFF"/>
          <w:lang w:eastAsia="zh-CN"/>
        </w:rPr>
        <w:t>3年(一次招标，招标延用两年，合同一年一签。)</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2" w:firstLineChars="200"/>
        <w:textAlignment w:val="auto"/>
        <w:outlineLvl w:val="9"/>
        <w:rPr>
          <w:rFonts w:hint="eastAsia" w:ascii="宋体" w:hAnsi="宋体" w:eastAsia="宋体" w:cs="宋体"/>
          <w:b/>
          <w:bCs/>
          <w:sz w:val="24"/>
          <w:szCs w:val="24"/>
          <w:lang w:val="en-US" w:eastAsia="zh-CN"/>
        </w:rPr>
      </w:pPr>
      <w:bookmarkStart w:id="50" w:name="第五章  合同基本条款"/>
      <w:bookmarkEnd w:id="50"/>
      <w:r>
        <w:rPr>
          <w:rFonts w:hint="eastAsia" w:ascii="宋体" w:hAnsi="宋体" w:eastAsia="宋体" w:cs="宋体"/>
          <w:b/>
          <w:bCs/>
          <w:sz w:val="24"/>
          <w:szCs w:val="24"/>
          <w:lang w:val="en-US" w:eastAsia="zh-CN"/>
        </w:rPr>
        <w:t xml:space="preserve">二、服务内容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1、神木市店塔镇店塔镇生活垃圾填埋运营服务所有内容；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2、成果要求：针对本项目提供相应的质量保证及措施，投入专业技术人员的配置情况、分工合理性、组织结构设置健全性等，服务质量必须符合采购人的要求；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三、人员及机械要求</w:t>
      </w:r>
    </w:p>
    <w:p>
      <w:pPr>
        <w:widowControl/>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根据实地测量并核实核算，</w:t>
      </w:r>
      <w:r>
        <w:rPr>
          <w:rFonts w:hint="eastAsia" w:ascii="宋体" w:hAnsi="宋体" w:cs="宋体"/>
          <w:color w:val="000000"/>
          <w:sz w:val="24"/>
          <w:szCs w:val="24"/>
          <w:lang w:eastAsia="zh-CN"/>
        </w:rPr>
        <w:t>至少</w:t>
      </w:r>
      <w:r>
        <w:rPr>
          <w:rFonts w:hint="eastAsia" w:ascii="宋体" w:hAnsi="宋体" w:eastAsia="宋体" w:cs="宋体"/>
          <w:color w:val="000000"/>
          <w:sz w:val="24"/>
          <w:szCs w:val="24"/>
        </w:rPr>
        <w:t>配置人员</w:t>
      </w:r>
      <w:r>
        <w:rPr>
          <w:rFonts w:hint="eastAsia" w:ascii="宋体" w:hAnsi="宋体" w:cs="宋体"/>
          <w:color w:val="000000"/>
          <w:sz w:val="24"/>
          <w:szCs w:val="24"/>
          <w:lang w:val="en-US" w:eastAsia="zh-CN"/>
        </w:rPr>
        <w:t>12</w:t>
      </w:r>
      <w:r>
        <w:rPr>
          <w:rFonts w:hint="eastAsia" w:ascii="宋体" w:hAnsi="宋体" w:eastAsia="宋体" w:cs="宋体"/>
          <w:color w:val="000000"/>
          <w:sz w:val="24"/>
          <w:szCs w:val="24"/>
        </w:rPr>
        <w:t>人，</w:t>
      </w:r>
      <w:r>
        <w:rPr>
          <w:rFonts w:hint="eastAsia" w:ascii="宋体" w:hAnsi="宋体" w:cs="宋体"/>
          <w:color w:val="000000"/>
          <w:sz w:val="24"/>
          <w:szCs w:val="24"/>
          <w:lang w:eastAsia="zh-CN"/>
        </w:rPr>
        <w:t>自有机械</w:t>
      </w:r>
      <w:r>
        <w:rPr>
          <w:rFonts w:hint="eastAsia" w:ascii="宋体" w:hAnsi="宋体" w:eastAsia="宋体" w:cs="宋体"/>
          <w:color w:val="000000"/>
          <w:sz w:val="24"/>
          <w:szCs w:val="24"/>
          <w:lang w:val="en-US" w:eastAsia="zh-CN"/>
        </w:rPr>
        <w:t>2</w:t>
      </w:r>
      <w:r>
        <w:rPr>
          <w:rFonts w:hint="eastAsia" w:ascii="宋体" w:hAnsi="宋体" w:cs="宋体"/>
          <w:color w:val="000000"/>
          <w:sz w:val="24"/>
          <w:szCs w:val="24"/>
          <w:lang w:eastAsia="zh-CN"/>
        </w:rPr>
        <w:t>台</w:t>
      </w:r>
      <w:r>
        <w:rPr>
          <w:rFonts w:hint="eastAsia" w:ascii="宋体" w:hAnsi="宋体" w:eastAsia="宋体" w:cs="宋体"/>
          <w:color w:val="000000"/>
          <w:sz w:val="24"/>
          <w:szCs w:val="24"/>
        </w:rPr>
        <w:t xml:space="preserve">，具体情况如下：  </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rPr>
        <w:t>人员配置：</w:t>
      </w:r>
      <w:r>
        <w:rPr>
          <w:rFonts w:hint="eastAsia" w:ascii="宋体" w:hAnsi="宋体" w:eastAsia="宋体" w:cs="宋体"/>
          <w:color w:val="000000"/>
          <w:sz w:val="24"/>
          <w:szCs w:val="24"/>
        </w:rPr>
        <w:t>经理1人</w:t>
      </w:r>
      <w:r>
        <w:rPr>
          <w:rFonts w:hint="eastAsia" w:ascii="宋体" w:hAnsi="宋体" w:cs="宋体"/>
          <w:color w:val="000000"/>
          <w:sz w:val="24"/>
          <w:szCs w:val="24"/>
          <w:lang w:eastAsia="zh-CN"/>
        </w:rPr>
        <w:t>、</w:t>
      </w:r>
      <w:r>
        <w:rPr>
          <w:rFonts w:hint="eastAsia" w:ascii="宋体" w:hAnsi="宋体" w:eastAsia="宋体" w:cs="宋体"/>
          <w:color w:val="000000"/>
          <w:sz w:val="24"/>
          <w:szCs w:val="24"/>
        </w:rPr>
        <w:t>现场负责人1人</w:t>
      </w:r>
      <w:r>
        <w:rPr>
          <w:rFonts w:hint="eastAsia" w:ascii="宋体" w:hAnsi="宋体" w:cs="宋体"/>
          <w:color w:val="000000"/>
          <w:sz w:val="24"/>
          <w:szCs w:val="24"/>
          <w:lang w:eastAsia="zh-CN"/>
        </w:rPr>
        <w:t>、</w:t>
      </w:r>
      <w:r>
        <w:rPr>
          <w:rFonts w:hint="eastAsia" w:ascii="宋体" w:hAnsi="宋体" w:eastAsia="宋体" w:cs="宋体"/>
          <w:color w:val="000000"/>
          <w:sz w:val="24"/>
          <w:szCs w:val="24"/>
        </w:rPr>
        <w:t>司机</w:t>
      </w:r>
      <w:r>
        <w:rPr>
          <w:rFonts w:hint="eastAsia" w:ascii="宋体" w:hAnsi="宋体" w:eastAsia="宋体" w:cs="宋体"/>
          <w:color w:val="000000"/>
          <w:sz w:val="24"/>
          <w:szCs w:val="24"/>
        </w:rPr>
        <w:tab/>
      </w:r>
      <w:r>
        <w:rPr>
          <w:rFonts w:hint="eastAsia" w:ascii="宋体" w:hAnsi="宋体" w:eastAsia="宋体" w:cs="宋体"/>
          <w:color w:val="000000"/>
          <w:sz w:val="24"/>
          <w:szCs w:val="24"/>
        </w:rPr>
        <w:t>2人</w:t>
      </w:r>
      <w:r>
        <w:rPr>
          <w:rFonts w:hint="eastAsia" w:ascii="宋体" w:hAnsi="宋体" w:cs="宋体"/>
          <w:color w:val="000000"/>
          <w:sz w:val="24"/>
          <w:szCs w:val="24"/>
          <w:lang w:eastAsia="zh-CN"/>
        </w:rPr>
        <w:t>、</w:t>
      </w:r>
      <w:r>
        <w:rPr>
          <w:rFonts w:hint="eastAsia" w:ascii="宋体" w:hAnsi="宋体" w:eastAsia="宋体" w:cs="宋体"/>
          <w:color w:val="000000"/>
          <w:sz w:val="24"/>
          <w:szCs w:val="24"/>
        </w:rPr>
        <w:t>门卫管理员</w:t>
      </w:r>
      <w:r>
        <w:rPr>
          <w:rFonts w:hint="eastAsia" w:ascii="宋体" w:hAnsi="宋体" w:eastAsia="宋体" w:cs="宋体"/>
          <w:color w:val="000000"/>
          <w:sz w:val="24"/>
          <w:szCs w:val="24"/>
        </w:rPr>
        <w:tab/>
      </w:r>
      <w:r>
        <w:rPr>
          <w:rFonts w:hint="eastAsia" w:ascii="宋体" w:hAnsi="宋体" w:eastAsia="宋体" w:cs="宋体"/>
          <w:color w:val="000000"/>
          <w:sz w:val="24"/>
          <w:szCs w:val="24"/>
        </w:rPr>
        <w:t>2人</w:t>
      </w:r>
      <w:r>
        <w:rPr>
          <w:rFonts w:hint="eastAsia" w:ascii="宋体" w:hAnsi="宋体" w:cs="宋体"/>
          <w:color w:val="000000"/>
          <w:sz w:val="24"/>
          <w:szCs w:val="24"/>
          <w:lang w:eastAsia="zh-CN"/>
        </w:rPr>
        <w:t>、</w:t>
      </w:r>
      <w:r>
        <w:rPr>
          <w:rFonts w:hint="eastAsia" w:ascii="宋体" w:hAnsi="宋体" w:eastAsia="宋体" w:cs="宋体"/>
          <w:color w:val="000000"/>
          <w:sz w:val="24"/>
          <w:szCs w:val="24"/>
        </w:rPr>
        <w:t>除臭员</w:t>
      </w:r>
      <w:r>
        <w:rPr>
          <w:rFonts w:hint="eastAsia" w:ascii="宋体" w:hAnsi="宋体" w:eastAsia="宋体" w:cs="宋体"/>
          <w:color w:val="000000"/>
          <w:sz w:val="24"/>
          <w:szCs w:val="24"/>
        </w:rPr>
        <w:tab/>
      </w:r>
      <w:r>
        <w:rPr>
          <w:rFonts w:hint="eastAsia" w:ascii="宋体" w:hAnsi="宋体" w:eastAsia="宋体" w:cs="宋体"/>
          <w:color w:val="000000"/>
          <w:sz w:val="24"/>
          <w:szCs w:val="24"/>
        </w:rPr>
        <w:t>3人</w:t>
      </w:r>
      <w:r>
        <w:rPr>
          <w:rFonts w:hint="eastAsia" w:ascii="宋体" w:hAnsi="宋体" w:cs="宋体"/>
          <w:color w:val="000000"/>
          <w:sz w:val="24"/>
          <w:szCs w:val="24"/>
          <w:lang w:eastAsia="zh-CN"/>
        </w:rPr>
        <w:t>、</w:t>
      </w:r>
      <w:r>
        <w:rPr>
          <w:rFonts w:hint="eastAsia" w:ascii="宋体" w:hAnsi="宋体" w:eastAsia="宋体" w:cs="宋体"/>
          <w:color w:val="000000"/>
          <w:sz w:val="24"/>
          <w:szCs w:val="24"/>
        </w:rPr>
        <w:t>清洁工</w:t>
      </w:r>
      <w:r>
        <w:rPr>
          <w:rFonts w:hint="eastAsia" w:ascii="宋体" w:hAnsi="宋体" w:eastAsia="宋体" w:cs="宋体"/>
          <w:color w:val="000000"/>
          <w:sz w:val="24"/>
          <w:szCs w:val="24"/>
        </w:rPr>
        <w:tab/>
      </w:r>
      <w:r>
        <w:rPr>
          <w:rFonts w:hint="eastAsia" w:ascii="宋体" w:hAnsi="宋体" w:eastAsia="宋体" w:cs="宋体"/>
          <w:color w:val="000000"/>
          <w:sz w:val="24"/>
          <w:szCs w:val="24"/>
        </w:rPr>
        <w:t>3人</w:t>
      </w:r>
      <w:r>
        <w:rPr>
          <w:rFonts w:hint="eastAsia" w:ascii="宋体" w:hAnsi="宋体" w:eastAsia="宋体" w:cs="宋体"/>
          <w:color w:val="00000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cs="宋体"/>
          <w:b/>
          <w:bCs/>
          <w:color w:val="000000"/>
          <w:sz w:val="24"/>
          <w:szCs w:val="24"/>
          <w:lang w:eastAsia="zh-CN"/>
        </w:rPr>
        <w:t>机械</w:t>
      </w:r>
      <w:r>
        <w:rPr>
          <w:rFonts w:hint="eastAsia" w:ascii="宋体" w:hAnsi="宋体" w:eastAsia="宋体" w:cs="宋体"/>
          <w:b/>
          <w:bCs/>
          <w:color w:val="000000"/>
          <w:sz w:val="24"/>
          <w:szCs w:val="24"/>
        </w:rPr>
        <w:t>配置：</w:t>
      </w:r>
      <w:r>
        <w:rPr>
          <w:rFonts w:hint="eastAsia" w:ascii="宋体" w:hAnsi="宋体" w:eastAsia="宋体" w:cs="宋体"/>
          <w:color w:val="000000"/>
          <w:sz w:val="24"/>
          <w:szCs w:val="24"/>
        </w:rPr>
        <w:t>装载机</w:t>
      </w:r>
      <w:r>
        <w:rPr>
          <w:rFonts w:hint="eastAsia" w:ascii="宋体" w:hAnsi="宋体" w:eastAsia="宋体" w:cs="宋体"/>
          <w:color w:val="000000"/>
          <w:sz w:val="24"/>
          <w:szCs w:val="24"/>
        </w:rPr>
        <w:tab/>
      </w:r>
      <w:r>
        <w:rPr>
          <w:rFonts w:hint="eastAsia" w:ascii="宋体" w:hAnsi="宋体" w:eastAsia="宋体" w:cs="宋体"/>
          <w:color w:val="000000"/>
          <w:sz w:val="24"/>
          <w:szCs w:val="24"/>
        </w:rPr>
        <w:t>1 台</w:t>
      </w:r>
      <w:r>
        <w:rPr>
          <w:rFonts w:hint="eastAsia" w:ascii="宋体" w:hAnsi="宋体" w:cs="宋体"/>
          <w:color w:val="000000"/>
          <w:sz w:val="24"/>
          <w:szCs w:val="24"/>
          <w:lang w:eastAsia="zh-CN"/>
        </w:rPr>
        <w:t>、</w:t>
      </w:r>
      <w:r>
        <w:rPr>
          <w:rFonts w:hint="eastAsia" w:ascii="宋体" w:hAnsi="宋体" w:eastAsia="宋体" w:cs="宋体"/>
          <w:color w:val="000000"/>
          <w:sz w:val="24"/>
          <w:szCs w:val="24"/>
        </w:rPr>
        <w:t>挖机(300)</w:t>
      </w:r>
      <w:r>
        <w:rPr>
          <w:rFonts w:hint="eastAsia" w:ascii="宋体" w:hAnsi="宋体" w:eastAsia="宋体" w:cs="宋体"/>
          <w:color w:val="000000"/>
          <w:sz w:val="24"/>
          <w:szCs w:val="24"/>
        </w:rPr>
        <w:tab/>
      </w:r>
      <w:r>
        <w:rPr>
          <w:rFonts w:hint="eastAsia" w:ascii="宋体" w:hAnsi="宋体" w:eastAsia="宋体" w:cs="宋体"/>
          <w:color w:val="000000"/>
          <w:sz w:val="24"/>
          <w:szCs w:val="24"/>
        </w:rPr>
        <w:t>1 台</w:t>
      </w:r>
      <w:r>
        <w:rPr>
          <w:rFonts w:hint="eastAsia" w:ascii="宋体" w:hAnsi="宋体" w:eastAsia="宋体" w:cs="宋体"/>
          <w:color w:val="00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四、服务保证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1、成交供应商须按照国家相关政策法规以及相关文件精神，即合理安排，真实评估， 符合有关技术标准要求。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2、做好工作，合理安排人员时间，按照既定方案，保质保量完成工作任务。 </w:t>
      </w:r>
    </w:p>
    <w:p>
      <w:pPr>
        <w:pStyle w:val="4"/>
        <w:spacing w:line="360" w:lineRule="auto"/>
        <w:jc w:val="both"/>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五、</w:t>
      </w:r>
      <w:r>
        <w:rPr>
          <w:rFonts w:hint="eastAsia" w:ascii="宋体" w:hAnsi="宋体" w:eastAsia="宋体" w:cs="宋体"/>
          <w:sz w:val="24"/>
          <w:szCs w:val="24"/>
          <w:lang w:val="zh-CN" w:eastAsia="zh-CN"/>
        </w:rPr>
        <w:t>考核：按照采购人制定的考核管理办法进行考核</w:t>
      </w:r>
      <w:r>
        <w:rPr>
          <w:rFonts w:hint="eastAsia" w:ascii="宋体" w:hAnsi="宋体" w:cs="宋体"/>
          <w:sz w:val="24"/>
          <w:szCs w:val="24"/>
          <w:lang w:val="zh-CN" w:eastAsia="zh-CN"/>
        </w:rPr>
        <w:t>，经采购人考核验收合格，经双方同意，续签下一年合同。</w:t>
      </w:r>
    </w:p>
    <w:p>
      <w:pPr>
        <w:rPr>
          <w:rFonts w:hint="eastAsia" w:ascii="宋体" w:hAnsi="宋体" w:eastAsia="宋体" w:cs="宋体"/>
          <w:color w:val="auto"/>
          <w:sz w:val="24"/>
          <w:szCs w:val="24"/>
          <w:lang w:val="en-US" w:eastAsia="zh-CN"/>
        </w:rPr>
      </w:pPr>
    </w:p>
    <w:p>
      <w:pPr>
        <w:pStyle w:val="1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sectPr>
          <w:headerReference r:id="rId9" w:type="default"/>
          <w:footerReference r:id="rId10" w:type="default"/>
          <w:pgSz w:w="11906" w:h="16839"/>
          <w:pgMar w:top="1431" w:right="1580" w:bottom="1166" w:left="1580" w:header="850" w:footer="992" w:gutter="0"/>
          <w:pgNumType w:fmt="decimal"/>
          <w:cols w:space="720" w:num="1"/>
        </w:sectPr>
      </w:pPr>
    </w:p>
    <w:p>
      <w:pPr>
        <w:rPr>
          <w:rFonts w:hint="eastAsia" w:eastAsia="宋体"/>
          <w:lang w:val="en-US" w:eastAsia="zh-CN"/>
        </w:rPr>
      </w:pPr>
      <w:r>
        <w:rPr>
          <w:rFonts w:hint="eastAsia"/>
          <w:lang w:val="en-US" w:eastAsia="zh-CN"/>
        </w:rPr>
        <w:t>附：</w:t>
      </w:r>
    </w:p>
    <w:p>
      <w:pPr>
        <w:jc w:val="center"/>
        <w:rPr>
          <w:rFonts w:hint="eastAsia" w:ascii="黑体" w:hAnsi="宋体" w:eastAsia="黑体"/>
          <w:color w:val="000000"/>
          <w:kern w:val="0"/>
        </w:rPr>
      </w:pPr>
      <w:r>
        <w:rPr>
          <w:rFonts w:hint="eastAsia" w:ascii="黑体" w:hAnsi="宋体" w:eastAsia="黑体"/>
          <w:color w:val="000000"/>
          <w:kern w:val="0"/>
        </w:rPr>
        <w:t>生活垃圾卫生填埋场运行管理考核评价标准</w:t>
      </w:r>
    </w:p>
    <w:tbl>
      <w:tblPr>
        <w:tblStyle w:val="20"/>
        <w:tblW w:w="14260" w:type="dxa"/>
        <w:jc w:val="center"/>
        <w:tblLayout w:type="fixed"/>
        <w:tblCellMar>
          <w:top w:w="0" w:type="dxa"/>
          <w:left w:w="108" w:type="dxa"/>
          <w:bottom w:w="0" w:type="dxa"/>
          <w:right w:w="108" w:type="dxa"/>
        </w:tblCellMar>
      </w:tblPr>
      <w:tblGrid>
        <w:gridCol w:w="466"/>
        <w:gridCol w:w="43"/>
        <w:gridCol w:w="692"/>
        <w:gridCol w:w="43"/>
        <w:gridCol w:w="701"/>
        <w:gridCol w:w="34"/>
        <w:gridCol w:w="491"/>
        <w:gridCol w:w="173"/>
        <w:gridCol w:w="627"/>
        <w:gridCol w:w="108"/>
        <w:gridCol w:w="7404"/>
        <w:gridCol w:w="163"/>
        <w:gridCol w:w="1000"/>
        <w:gridCol w:w="148"/>
        <w:gridCol w:w="606"/>
        <w:gridCol w:w="121"/>
        <w:gridCol w:w="600"/>
        <w:gridCol w:w="143"/>
        <w:gridCol w:w="580"/>
        <w:gridCol w:w="117"/>
      </w:tblGrid>
      <w:tr>
        <w:tblPrEx>
          <w:tblCellMar>
            <w:top w:w="0" w:type="dxa"/>
            <w:left w:w="108" w:type="dxa"/>
            <w:bottom w:w="0" w:type="dxa"/>
            <w:right w:w="108" w:type="dxa"/>
          </w:tblCellMar>
        </w:tblPrEx>
        <w:trPr>
          <w:gridAfter w:val="1"/>
          <w:wAfter w:w="117" w:type="dxa"/>
          <w:trHeight w:val="726"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序号</w:t>
            </w:r>
          </w:p>
        </w:tc>
        <w:tc>
          <w:tcPr>
            <w:tcW w:w="735"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项目</w:t>
            </w:r>
          </w:p>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名称</w:t>
            </w:r>
          </w:p>
        </w:tc>
        <w:tc>
          <w:tcPr>
            <w:tcW w:w="744"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项目</w:t>
            </w:r>
          </w:p>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总分</w:t>
            </w:r>
          </w:p>
        </w:tc>
        <w:tc>
          <w:tcPr>
            <w:tcW w:w="525"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分值</w:t>
            </w:r>
          </w:p>
        </w:tc>
        <w:tc>
          <w:tcPr>
            <w:tcW w:w="800"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考核内容</w:t>
            </w:r>
          </w:p>
        </w:tc>
        <w:tc>
          <w:tcPr>
            <w:tcW w:w="7675"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评分标准</w:t>
            </w:r>
          </w:p>
        </w:tc>
        <w:tc>
          <w:tcPr>
            <w:tcW w:w="1000" w:type="dxa"/>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考核</w:t>
            </w:r>
          </w:p>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说明</w:t>
            </w:r>
          </w:p>
        </w:tc>
        <w:tc>
          <w:tcPr>
            <w:tcW w:w="754"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考核记录</w:t>
            </w:r>
          </w:p>
        </w:tc>
        <w:tc>
          <w:tcPr>
            <w:tcW w:w="721"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分项 得分</w:t>
            </w:r>
          </w:p>
        </w:tc>
        <w:tc>
          <w:tcPr>
            <w:tcW w:w="723"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项目  得分</w:t>
            </w:r>
          </w:p>
        </w:tc>
      </w:tr>
      <w:tr>
        <w:tblPrEx>
          <w:tblCellMar>
            <w:top w:w="0" w:type="dxa"/>
            <w:left w:w="108" w:type="dxa"/>
            <w:bottom w:w="0" w:type="dxa"/>
            <w:right w:w="108" w:type="dxa"/>
          </w:tblCellMar>
        </w:tblPrEx>
        <w:trPr>
          <w:gridAfter w:val="1"/>
          <w:wAfter w:w="117" w:type="dxa"/>
          <w:cantSplit/>
          <w:trHeight w:val="659" w:hRule="atLeast"/>
          <w:jc w:val="center"/>
        </w:trPr>
        <w:tc>
          <w:tcPr>
            <w:tcW w:w="466" w:type="dxa"/>
            <w:vMerge w:val="restart"/>
            <w:tcBorders>
              <w:top w:val="single" w:color="auto" w:sz="4" w:space="0"/>
              <w:left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1</w:t>
            </w:r>
          </w:p>
        </w:tc>
        <w:tc>
          <w:tcPr>
            <w:tcW w:w="735" w:type="dxa"/>
            <w:gridSpan w:val="2"/>
            <w:vMerge w:val="restart"/>
            <w:tcBorders>
              <w:top w:val="single" w:color="auto" w:sz="4" w:space="0"/>
              <w:left w:val="nil"/>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垃圾运输与称重计量</w:t>
            </w:r>
          </w:p>
        </w:tc>
        <w:tc>
          <w:tcPr>
            <w:tcW w:w="744" w:type="dxa"/>
            <w:gridSpan w:val="2"/>
            <w:vMerge w:val="restart"/>
            <w:tcBorders>
              <w:top w:val="single" w:color="auto" w:sz="4" w:space="0"/>
              <w:left w:val="nil"/>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525"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3</w:t>
            </w:r>
          </w:p>
        </w:tc>
        <w:tc>
          <w:tcPr>
            <w:tcW w:w="800"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垃圾运输</w:t>
            </w:r>
          </w:p>
        </w:tc>
        <w:tc>
          <w:tcPr>
            <w:tcW w:w="7675"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1、进场垃圾运输车辆车况良好，无破损，车容整洁，得1分。发现一辆车况不好的，车辆破损，车容不整洁的，扣分，扣完为止。</w:t>
            </w:r>
          </w:p>
          <w:p>
            <w:pPr>
              <w:widowControl/>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2、运输途中无散泼滴漏现象发生，得1分。发现一辆有散泼滴漏现象的，扣分，扣完为止。</w:t>
            </w:r>
          </w:p>
          <w:p>
            <w:pPr>
              <w:widowControl/>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3、进场道路整洁，呈路本色，无黑臭现象（特别是夏季），得1分。未达到要求的，扣1分。</w:t>
            </w:r>
          </w:p>
        </w:tc>
        <w:tc>
          <w:tcPr>
            <w:tcW w:w="1000" w:type="dxa"/>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检查</w:t>
            </w:r>
          </w:p>
        </w:tc>
        <w:tc>
          <w:tcPr>
            <w:tcW w:w="754"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21"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23" w:type="dxa"/>
            <w:gridSpan w:val="2"/>
            <w:vMerge w:val="restart"/>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gridAfter w:val="1"/>
          <w:wAfter w:w="117" w:type="dxa"/>
          <w:cantSplit/>
          <w:trHeight w:val="750" w:hRule="atLeast"/>
          <w:jc w:val="center"/>
        </w:trPr>
        <w:tc>
          <w:tcPr>
            <w:tcW w:w="466"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gridSpan w:val="2"/>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44" w:type="dxa"/>
            <w:gridSpan w:val="2"/>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525"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2</w:t>
            </w:r>
          </w:p>
        </w:tc>
        <w:tc>
          <w:tcPr>
            <w:tcW w:w="800"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垃圾接纳</w:t>
            </w:r>
          </w:p>
        </w:tc>
        <w:tc>
          <w:tcPr>
            <w:tcW w:w="7675"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1、按规定接纳符合入场要求填埋废物的，得分。每发现一次不符合的，扣分，扣完为止。</w:t>
            </w:r>
          </w:p>
          <w:p>
            <w:pPr>
              <w:widowControl/>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2、未发生违返规定接纳非服务范围填埋废物的，得分。每发现一次，扣分。</w:t>
            </w:r>
          </w:p>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color w:val="000000"/>
                <w:kern w:val="0"/>
                <w:sz w:val="21"/>
                <w:szCs w:val="21"/>
              </w:rPr>
              <w:t>3、未发生违返规定接纳危险废物和医疗废物的，得1分。每发现一次，扣1分。</w:t>
            </w:r>
          </w:p>
        </w:tc>
        <w:tc>
          <w:tcPr>
            <w:tcW w:w="1000" w:type="dxa"/>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检查</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资料</w:t>
            </w:r>
          </w:p>
        </w:tc>
        <w:tc>
          <w:tcPr>
            <w:tcW w:w="754"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21"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23"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gridAfter w:val="1"/>
          <w:wAfter w:w="117" w:type="dxa"/>
          <w:cantSplit/>
          <w:trHeight w:val="1265" w:hRule="atLeast"/>
          <w:jc w:val="center"/>
        </w:trPr>
        <w:tc>
          <w:tcPr>
            <w:tcW w:w="466"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gridSpan w:val="2"/>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44" w:type="dxa"/>
            <w:gridSpan w:val="2"/>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525"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2</w:t>
            </w:r>
          </w:p>
        </w:tc>
        <w:tc>
          <w:tcPr>
            <w:tcW w:w="800"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垃圾检验</w:t>
            </w:r>
          </w:p>
        </w:tc>
        <w:tc>
          <w:tcPr>
            <w:tcW w:w="7675" w:type="dxa"/>
            <w:gridSpan w:val="3"/>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1、有进场垃圾质量源头控制措施的，得分。没有相应措施的，扣分。</w:t>
            </w:r>
          </w:p>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2、填埋场或作业库区入口设置有《入场须知》告之的，得分。没有设置的，扣分。</w:t>
            </w:r>
          </w:p>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3、发生有违反规定的垃圾进场，采取相应补救措施的，得1分。未采取相应补救措施的，</w:t>
            </w:r>
            <w:r>
              <w:rPr>
                <w:rFonts w:hint="eastAsia" w:ascii="宋体" w:hAnsi="宋体" w:eastAsia="宋体" w:cs="宋体"/>
                <w:color w:val="000000"/>
                <w:kern w:val="0"/>
                <w:sz w:val="21"/>
                <w:szCs w:val="21"/>
              </w:rPr>
              <w:t>每发现一次，</w:t>
            </w:r>
            <w:r>
              <w:rPr>
                <w:rFonts w:hint="eastAsia" w:ascii="宋体" w:hAnsi="宋体" w:eastAsia="宋体" w:cs="宋体"/>
                <w:sz w:val="21"/>
                <w:szCs w:val="21"/>
              </w:rPr>
              <w:t>扣分</w:t>
            </w:r>
            <w:r>
              <w:rPr>
                <w:rFonts w:hint="eastAsia" w:ascii="宋体" w:hAnsi="宋体" w:eastAsia="宋体" w:cs="宋体"/>
                <w:color w:val="000000"/>
                <w:kern w:val="0"/>
                <w:sz w:val="21"/>
                <w:szCs w:val="21"/>
              </w:rPr>
              <w:t>，扣完为止</w:t>
            </w:r>
            <w:r>
              <w:rPr>
                <w:rFonts w:hint="eastAsia" w:ascii="宋体" w:hAnsi="宋体" w:eastAsia="宋体" w:cs="宋体"/>
                <w:sz w:val="21"/>
                <w:szCs w:val="21"/>
              </w:rPr>
              <w:t>。</w:t>
            </w:r>
          </w:p>
        </w:tc>
        <w:tc>
          <w:tcPr>
            <w:tcW w:w="1000" w:type="dxa"/>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w:t>
            </w:r>
          </w:p>
          <w:p>
            <w:pPr>
              <w:widowControl/>
              <w:spacing w:line="240" w:lineRule="auto"/>
              <w:ind w:left="0" w:leftChars="0" w:firstLine="0" w:firstLineChars="0"/>
              <w:jc w:val="both"/>
              <w:rPr>
                <w:rFonts w:hint="eastAsia"/>
              </w:rPr>
            </w:pPr>
            <w:r>
              <w:rPr>
                <w:rFonts w:hint="eastAsia" w:ascii="宋体" w:hAnsi="宋体" w:eastAsia="宋体" w:cs="宋体"/>
                <w:color w:val="000000"/>
                <w:kern w:val="0"/>
                <w:sz w:val="21"/>
                <w:szCs w:val="21"/>
              </w:rPr>
              <w:t>检查</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资料</w:t>
            </w:r>
          </w:p>
        </w:tc>
        <w:tc>
          <w:tcPr>
            <w:tcW w:w="754"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21" w:type="dxa"/>
            <w:gridSpan w:val="2"/>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kern w:val="0"/>
                <w:sz w:val="21"/>
                <w:szCs w:val="21"/>
              </w:rPr>
            </w:pPr>
          </w:p>
        </w:tc>
        <w:tc>
          <w:tcPr>
            <w:tcW w:w="723"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gridAfter w:val="1"/>
          <w:wAfter w:w="117" w:type="dxa"/>
          <w:cantSplit/>
          <w:trHeight w:val="1309" w:hRule="atLeast"/>
          <w:jc w:val="center"/>
        </w:trPr>
        <w:tc>
          <w:tcPr>
            <w:tcW w:w="466"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gridSpan w:val="2"/>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44" w:type="dxa"/>
            <w:gridSpan w:val="2"/>
            <w:vMerge w:val="continue"/>
            <w:tcBorders>
              <w:left w:val="nil"/>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p>
        </w:tc>
        <w:tc>
          <w:tcPr>
            <w:tcW w:w="525"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2</w:t>
            </w:r>
          </w:p>
        </w:tc>
        <w:tc>
          <w:tcPr>
            <w:tcW w:w="800"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称重计量</w:t>
            </w:r>
          </w:p>
        </w:tc>
        <w:tc>
          <w:tcPr>
            <w:tcW w:w="7675" w:type="dxa"/>
            <w:gridSpan w:val="3"/>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color w:val="000000"/>
                <w:kern w:val="0"/>
                <w:sz w:val="21"/>
                <w:szCs w:val="21"/>
              </w:rPr>
              <w:t>1、建有称重计量系统的，</w:t>
            </w:r>
            <w:r>
              <w:rPr>
                <w:rFonts w:hint="eastAsia" w:ascii="宋体" w:hAnsi="宋体" w:eastAsia="宋体" w:cs="宋体"/>
                <w:sz w:val="21"/>
                <w:szCs w:val="21"/>
              </w:rPr>
              <w:t>得1分。没有的，扣1分。</w:t>
            </w:r>
          </w:p>
          <w:p>
            <w:pPr>
              <w:widowControl/>
              <w:spacing w:line="240" w:lineRule="auto"/>
              <w:ind w:left="0" w:leftChars="0" w:firstLine="0" w:firstLineChars="0"/>
              <w:jc w:val="left"/>
              <w:rPr>
                <w:rFonts w:hint="eastAsia" w:ascii="宋体" w:hAnsi="宋体" w:eastAsia="宋体" w:cs="宋体"/>
                <w:sz w:val="21"/>
                <w:szCs w:val="21"/>
              </w:rPr>
            </w:pPr>
            <w:r>
              <w:rPr>
                <w:rFonts w:hint="eastAsia" w:ascii="宋体" w:hAnsi="宋体" w:eastAsia="宋体" w:cs="宋体"/>
                <w:color w:val="000000"/>
                <w:kern w:val="0"/>
                <w:sz w:val="21"/>
                <w:szCs w:val="21"/>
              </w:rPr>
              <w:t>2、称重计量系统稳定运行的，</w:t>
            </w:r>
            <w:r>
              <w:rPr>
                <w:rFonts w:hint="eastAsia" w:ascii="宋体" w:hAnsi="宋体" w:eastAsia="宋体" w:cs="宋体"/>
                <w:sz w:val="21"/>
                <w:szCs w:val="21"/>
              </w:rPr>
              <w:t>得1分。数据记录不连续、不完整的，扣分。</w:t>
            </w:r>
          </w:p>
          <w:p>
            <w:pPr>
              <w:widowControl/>
              <w:spacing w:line="240" w:lineRule="auto"/>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color w:val="000000"/>
                <w:kern w:val="0"/>
                <w:sz w:val="21"/>
                <w:szCs w:val="21"/>
              </w:rPr>
              <w:t>称重计量数据真实、台帐健全的，</w:t>
            </w:r>
            <w:r>
              <w:rPr>
                <w:rFonts w:hint="eastAsia" w:ascii="宋体" w:hAnsi="宋体" w:eastAsia="宋体" w:cs="宋体"/>
                <w:sz w:val="21"/>
                <w:szCs w:val="21"/>
              </w:rPr>
              <w:t>得1分。数据不真实的，扣1分；</w:t>
            </w:r>
            <w:r>
              <w:rPr>
                <w:rFonts w:hint="eastAsia" w:ascii="宋体" w:hAnsi="宋体" w:eastAsia="宋体" w:cs="宋体"/>
                <w:color w:val="000000"/>
                <w:kern w:val="0"/>
                <w:sz w:val="21"/>
                <w:szCs w:val="21"/>
              </w:rPr>
              <w:t>台帐不健全的，</w:t>
            </w:r>
            <w:r>
              <w:rPr>
                <w:rFonts w:hint="eastAsia" w:ascii="宋体" w:hAnsi="宋体" w:eastAsia="宋体" w:cs="宋体"/>
                <w:sz w:val="21"/>
                <w:szCs w:val="21"/>
              </w:rPr>
              <w:t>扣分。</w:t>
            </w:r>
          </w:p>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4、有</w:t>
            </w:r>
            <w:r>
              <w:rPr>
                <w:rFonts w:hint="eastAsia" w:ascii="宋体" w:hAnsi="宋体" w:eastAsia="宋体" w:cs="宋体"/>
                <w:color w:val="000000"/>
                <w:kern w:val="0"/>
                <w:sz w:val="21"/>
                <w:szCs w:val="21"/>
              </w:rPr>
              <w:t>故障应急预案的，</w:t>
            </w:r>
            <w:r>
              <w:rPr>
                <w:rFonts w:hint="eastAsia" w:ascii="宋体" w:hAnsi="宋体" w:eastAsia="宋体" w:cs="宋体"/>
                <w:sz w:val="21"/>
                <w:szCs w:val="21"/>
              </w:rPr>
              <w:t>得1分。没有的，扣1分。</w:t>
            </w:r>
          </w:p>
        </w:tc>
        <w:tc>
          <w:tcPr>
            <w:tcW w:w="1000" w:type="dxa"/>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检查</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资料</w:t>
            </w:r>
          </w:p>
        </w:tc>
        <w:tc>
          <w:tcPr>
            <w:tcW w:w="754"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21"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23"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gridAfter w:val="1"/>
          <w:wAfter w:w="117" w:type="dxa"/>
          <w:cantSplit/>
          <w:trHeight w:val="1183" w:hRule="atLeast"/>
          <w:jc w:val="center"/>
        </w:trPr>
        <w:tc>
          <w:tcPr>
            <w:tcW w:w="466" w:type="dxa"/>
            <w:vMerge w:val="continue"/>
            <w:tcBorders>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000000"/>
                <w:kern w:val="0"/>
                <w:sz w:val="21"/>
                <w:szCs w:val="21"/>
              </w:rPr>
            </w:pPr>
          </w:p>
        </w:tc>
        <w:tc>
          <w:tcPr>
            <w:tcW w:w="735" w:type="dxa"/>
            <w:gridSpan w:val="2"/>
            <w:vMerge w:val="continue"/>
            <w:tcBorders>
              <w:left w:val="nil"/>
              <w:bottom w:val="single" w:color="auto" w:sz="4" w:space="0"/>
              <w:right w:val="single" w:color="auto" w:sz="4" w:space="0"/>
            </w:tcBorders>
            <w:noWrap w:val="0"/>
            <w:vAlign w:val="center"/>
          </w:tcPr>
          <w:p>
            <w:pPr>
              <w:spacing w:line="240" w:lineRule="auto"/>
              <w:jc w:val="left"/>
              <w:rPr>
                <w:rFonts w:hint="eastAsia" w:ascii="宋体" w:hAnsi="宋体" w:eastAsia="宋体" w:cs="宋体"/>
                <w:color w:val="000000"/>
                <w:kern w:val="0"/>
                <w:sz w:val="21"/>
                <w:szCs w:val="21"/>
              </w:rPr>
            </w:pPr>
          </w:p>
        </w:tc>
        <w:tc>
          <w:tcPr>
            <w:tcW w:w="744" w:type="dxa"/>
            <w:gridSpan w:val="2"/>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kern w:val="0"/>
                <w:sz w:val="21"/>
                <w:szCs w:val="21"/>
              </w:rPr>
            </w:pPr>
          </w:p>
        </w:tc>
        <w:tc>
          <w:tcPr>
            <w:tcW w:w="525"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1</w:t>
            </w:r>
          </w:p>
        </w:tc>
        <w:tc>
          <w:tcPr>
            <w:tcW w:w="800"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计量维护与校验</w:t>
            </w:r>
          </w:p>
        </w:tc>
        <w:tc>
          <w:tcPr>
            <w:tcW w:w="7675" w:type="dxa"/>
            <w:gridSpan w:val="3"/>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1、有称重计量系统运行维护制度且正常开展维护的，得分。有维护制度但没有维护的，扣分; 没有维护制度的，扣分。</w:t>
            </w:r>
          </w:p>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color w:val="000000"/>
                <w:kern w:val="0"/>
                <w:sz w:val="21"/>
                <w:szCs w:val="21"/>
              </w:rPr>
              <w:t>2、每年对称重计量系统进行一次校验并提供相应检测报告</w:t>
            </w:r>
            <w:r>
              <w:rPr>
                <w:rFonts w:hint="eastAsia" w:ascii="宋体" w:hAnsi="宋体" w:eastAsia="宋体" w:cs="宋体"/>
                <w:sz w:val="21"/>
                <w:szCs w:val="21"/>
              </w:rPr>
              <w:t>或合格证</w:t>
            </w:r>
            <w:r>
              <w:rPr>
                <w:rFonts w:hint="eastAsia" w:ascii="宋体" w:hAnsi="宋体" w:eastAsia="宋体" w:cs="宋体"/>
                <w:color w:val="000000"/>
                <w:kern w:val="0"/>
                <w:sz w:val="21"/>
                <w:szCs w:val="21"/>
              </w:rPr>
              <w:t>的，得分。未进行校验的，扣分。</w:t>
            </w:r>
          </w:p>
        </w:tc>
        <w:tc>
          <w:tcPr>
            <w:tcW w:w="1000" w:type="dxa"/>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场检查</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资料</w:t>
            </w:r>
          </w:p>
        </w:tc>
        <w:tc>
          <w:tcPr>
            <w:tcW w:w="754"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21"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p>
        </w:tc>
        <w:tc>
          <w:tcPr>
            <w:tcW w:w="723"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726" w:hRule="atLeast"/>
          <w:jc w:val="center"/>
        </w:trPr>
        <w:tc>
          <w:tcPr>
            <w:tcW w:w="50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序号</w:t>
            </w:r>
          </w:p>
        </w:tc>
        <w:tc>
          <w:tcPr>
            <w:tcW w:w="735"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项目</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名称</w:t>
            </w:r>
          </w:p>
        </w:tc>
        <w:tc>
          <w:tcPr>
            <w:tcW w:w="735"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项目</w:t>
            </w:r>
          </w:p>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总分</w:t>
            </w:r>
          </w:p>
        </w:tc>
        <w:tc>
          <w:tcPr>
            <w:tcW w:w="664"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分值</w:t>
            </w:r>
          </w:p>
        </w:tc>
        <w:tc>
          <w:tcPr>
            <w:tcW w:w="735"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考核内容</w:t>
            </w:r>
          </w:p>
        </w:tc>
        <w:tc>
          <w:tcPr>
            <w:tcW w:w="7404"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评分标准</w:t>
            </w:r>
          </w:p>
        </w:tc>
        <w:tc>
          <w:tcPr>
            <w:tcW w:w="1311"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考核说明</w:t>
            </w:r>
          </w:p>
        </w:tc>
        <w:tc>
          <w:tcPr>
            <w:tcW w:w="727"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考核记录</w:t>
            </w:r>
          </w:p>
        </w:tc>
        <w:tc>
          <w:tcPr>
            <w:tcW w:w="743"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分项 得分</w:t>
            </w:r>
          </w:p>
        </w:tc>
        <w:tc>
          <w:tcPr>
            <w:tcW w:w="697"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项目  得分</w:t>
            </w:r>
          </w:p>
        </w:tc>
      </w:tr>
      <w:tr>
        <w:tblPrEx>
          <w:tblCellMar>
            <w:top w:w="0" w:type="dxa"/>
            <w:left w:w="108" w:type="dxa"/>
            <w:bottom w:w="0" w:type="dxa"/>
            <w:right w:w="108" w:type="dxa"/>
          </w:tblCellMar>
        </w:tblPrEx>
        <w:trPr>
          <w:cantSplit/>
          <w:trHeight w:val="731" w:hRule="atLeast"/>
          <w:jc w:val="center"/>
        </w:trPr>
        <w:tc>
          <w:tcPr>
            <w:tcW w:w="509" w:type="dxa"/>
            <w:gridSpan w:val="2"/>
            <w:vMerge w:val="restart"/>
            <w:tcBorders>
              <w:top w:val="single" w:color="auto" w:sz="4" w:space="0"/>
              <w:left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2</w:t>
            </w:r>
          </w:p>
        </w:tc>
        <w:tc>
          <w:tcPr>
            <w:tcW w:w="735" w:type="dxa"/>
            <w:gridSpan w:val="2"/>
            <w:vMerge w:val="restart"/>
            <w:tcBorders>
              <w:top w:val="single" w:color="auto" w:sz="4" w:space="0"/>
              <w:left w:val="nil"/>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工艺控制</w:t>
            </w:r>
          </w:p>
        </w:tc>
        <w:tc>
          <w:tcPr>
            <w:tcW w:w="735" w:type="dxa"/>
            <w:gridSpan w:val="2"/>
            <w:vMerge w:val="restart"/>
            <w:tcBorders>
              <w:top w:val="single" w:color="auto" w:sz="4" w:space="0"/>
              <w:left w:val="nil"/>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w:t>
            </w:r>
          </w:p>
        </w:tc>
        <w:tc>
          <w:tcPr>
            <w:tcW w:w="664" w:type="dxa"/>
            <w:gridSpan w:val="2"/>
            <w:tcBorders>
              <w:top w:val="single" w:color="auto" w:sz="4" w:space="0"/>
              <w:left w:val="nil"/>
              <w:bottom w:val="nil"/>
              <w:right w:val="single" w:color="auto" w:sz="4" w:space="0"/>
            </w:tcBorders>
            <w:noWrap w:val="0"/>
            <w:vAlign w:val="center"/>
          </w:tcPr>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3</w:t>
            </w:r>
          </w:p>
        </w:tc>
        <w:tc>
          <w:tcPr>
            <w:tcW w:w="735" w:type="dxa"/>
            <w:gridSpan w:val="2"/>
            <w:tcBorders>
              <w:top w:val="single" w:color="auto" w:sz="4" w:space="0"/>
              <w:left w:val="nil"/>
              <w:bottom w:val="nil"/>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防渗系统保护</w:t>
            </w:r>
          </w:p>
        </w:tc>
        <w:tc>
          <w:tcPr>
            <w:tcW w:w="7404" w:type="dxa"/>
            <w:tcBorders>
              <w:top w:val="single" w:color="auto" w:sz="4" w:space="0"/>
              <w:left w:val="nil"/>
              <w:bottom w:val="nil"/>
              <w:right w:val="single" w:color="auto" w:sz="4" w:space="0"/>
            </w:tcBorders>
            <w:noWrap w:val="0"/>
            <w:vAlign w:val="center"/>
          </w:tcPr>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作业前，对库底和边坡防渗系统有相应保护措施的，得3分。没有相应措施的，扣3分。</w:t>
            </w:r>
          </w:p>
        </w:tc>
        <w:tc>
          <w:tcPr>
            <w:tcW w:w="1311" w:type="dxa"/>
            <w:gridSpan w:val="3"/>
            <w:tcBorders>
              <w:top w:val="single" w:color="auto" w:sz="4" w:space="0"/>
              <w:left w:val="nil"/>
              <w:bottom w:val="nil"/>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27" w:type="dxa"/>
            <w:gridSpan w:val="2"/>
            <w:tcBorders>
              <w:top w:val="single" w:color="auto" w:sz="4" w:space="0"/>
              <w:left w:val="nil"/>
              <w:bottom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43" w:type="dxa"/>
            <w:gridSpan w:val="2"/>
            <w:tcBorders>
              <w:top w:val="single" w:color="auto" w:sz="4" w:space="0"/>
              <w:left w:val="nil"/>
              <w:bottom w:val="nil"/>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697" w:type="dxa"/>
            <w:gridSpan w:val="2"/>
            <w:vMerge w:val="restart"/>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cantSplit/>
          <w:trHeight w:val="1627" w:hRule="atLeast"/>
          <w:jc w:val="center"/>
        </w:trPr>
        <w:tc>
          <w:tcPr>
            <w:tcW w:w="509" w:type="dxa"/>
            <w:gridSpan w:val="2"/>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gridSpan w:val="2"/>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gridSpan w:val="2"/>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664"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5</w:t>
            </w:r>
          </w:p>
        </w:tc>
        <w:tc>
          <w:tcPr>
            <w:tcW w:w="735"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分区分单元填埋</w:t>
            </w:r>
          </w:p>
        </w:tc>
        <w:tc>
          <w:tcPr>
            <w:tcW w:w="7404"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1、有年度填埋作业计划的，得1分。没有的，扣1分。</w:t>
            </w:r>
          </w:p>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2、按填埋废物种类实行分区填埋的，得1分。未分区的，扣1分。</w:t>
            </w:r>
          </w:p>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3、有分单元填埋作业计划并执行的，得2分。有分单元填埋作业计划但未按计划执行的，扣1分；没有分单元填埋作业计划的，扣2分。</w:t>
            </w:r>
          </w:p>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4、预留雨季填埋作业区或有雨季作业措施的，得1分。未预留雨季填埋作业区或没有雨季作业措施的，扣1分。</w:t>
            </w:r>
          </w:p>
        </w:tc>
        <w:tc>
          <w:tcPr>
            <w:tcW w:w="1311"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27"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43"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p>
        </w:tc>
        <w:tc>
          <w:tcPr>
            <w:tcW w:w="697"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cantSplit/>
          <w:trHeight w:val="840" w:hRule="atLeast"/>
          <w:jc w:val="center"/>
        </w:trPr>
        <w:tc>
          <w:tcPr>
            <w:tcW w:w="509" w:type="dxa"/>
            <w:gridSpan w:val="2"/>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gridSpan w:val="2"/>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gridSpan w:val="2"/>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664"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4</w:t>
            </w:r>
          </w:p>
        </w:tc>
        <w:tc>
          <w:tcPr>
            <w:tcW w:w="735"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垃圾摊铺压实</w:t>
            </w:r>
          </w:p>
        </w:tc>
        <w:tc>
          <w:tcPr>
            <w:tcW w:w="7404"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1、按规范要求进行垃圾摊铺作业的，得2分。没有按规范要求进行的，扣2分。</w:t>
            </w:r>
          </w:p>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2、采用专用压实机进行分层压实的（无专用压实机但用推土机替代完成压实作业的），得2分。没有分层压实的，扣2分。</w:t>
            </w:r>
          </w:p>
        </w:tc>
        <w:tc>
          <w:tcPr>
            <w:tcW w:w="1311"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27"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43"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p>
        </w:tc>
        <w:tc>
          <w:tcPr>
            <w:tcW w:w="697"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cantSplit/>
          <w:trHeight w:val="877" w:hRule="atLeast"/>
          <w:jc w:val="center"/>
        </w:trPr>
        <w:tc>
          <w:tcPr>
            <w:tcW w:w="509" w:type="dxa"/>
            <w:gridSpan w:val="2"/>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gridSpan w:val="2"/>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gridSpan w:val="2"/>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664"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5</w:t>
            </w:r>
          </w:p>
        </w:tc>
        <w:tc>
          <w:tcPr>
            <w:tcW w:w="735"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垃圾堆体</w:t>
            </w:r>
          </w:p>
        </w:tc>
        <w:tc>
          <w:tcPr>
            <w:tcW w:w="7404"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1、垃圾堆体成型，结构稳定的，得2分。未达到要求的，扣2分。</w:t>
            </w:r>
          </w:p>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2、垃圾堆体顶平面坡度不小于2%，边坡坡比不大于1：3的，得3分。未达到要求的，扣3分。</w:t>
            </w:r>
          </w:p>
        </w:tc>
        <w:tc>
          <w:tcPr>
            <w:tcW w:w="1311"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tc>
        <w:tc>
          <w:tcPr>
            <w:tcW w:w="727"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43"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p>
        </w:tc>
        <w:tc>
          <w:tcPr>
            <w:tcW w:w="697"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cantSplit/>
          <w:trHeight w:val="1071" w:hRule="atLeast"/>
          <w:jc w:val="center"/>
        </w:trPr>
        <w:tc>
          <w:tcPr>
            <w:tcW w:w="509" w:type="dxa"/>
            <w:gridSpan w:val="2"/>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gridSpan w:val="2"/>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gridSpan w:val="2"/>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664"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w:t>
            </w:r>
          </w:p>
        </w:tc>
        <w:tc>
          <w:tcPr>
            <w:tcW w:w="735"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场区消杀除臭</w:t>
            </w:r>
          </w:p>
        </w:tc>
        <w:tc>
          <w:tcPr>
            <w:tcW w:w="7404"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1、有消杀措施且效果良好的，得1分。有消杀措施但效果不好的，扣分；没有消杀措施的，扣1分。</w:t>
            </w:r>
          </w:p>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2、有除臭措施且效果良好的，得1分。有除臭措施但效果不好的，扣分；没有除臭措施的，扣1分。</w:t>
            </w:r>
          </w:p>
        </w:tc>
        <w:tc>
          <w:tcPr>
            <w:tcW w:w="1311"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27"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43"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p>
        </w:tc>
        <w:tc>
          <w:tcPr>
            <w:tcW w:w="697"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cantSplit/>
          <w:trHeight w:val="1211" w:hRule="atLeast"/>
          <w:jc w:val="center"/>
        </w:trPr>
        <w:tc>
          <w:tcPr>
            <w:tcW w:w="509"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gridSpan w:val="2"/>
            <w:vMerge w:val="continue"/>
            <w:tcBorders>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gridSpan w:val="2"/>
            <w:vMerge w:val="continue"/>
            <w:tcBorders>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664"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3</w:t>
            </w:r>
          </w:p>
        </w:tc>
        <w:tc>
          <w:tcPr>
            <w:tcW w:w="735" w:type="dxa"/>
            <w:gridSpan w:val="2"/>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飘场物控制</w:t>
            </w:r>
          </w:p>
        </w:tc>
        <w:tc>
          <w:tcPr>
            <w:tcW w:w="7404"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1、设置有固定式防飞散设施的，得1分。没有的，扣1分。</w:t>
            </w:r>
          </w:p>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2、设置有移动式防飞散设施的，得1分。没有的，扣1分。</w:t>
            </w:r>
          </w:p>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3、作业现场无明显飘扬物的，得1分。飘扬物清理不及时的，扣1分。</w:t>
            </w:r>
          </w:p>
        </w:tc>
        <w:tc>
          <w:tcPr>
            <w:tcW w:w="1311"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tc>
        <w:tc>
          <w:tcPr>
            <w:tcW w:w="727"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43"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p>
        </w:tc>
        <w:tc>
          <w:tcPr>
            <w:tcW w:w="697"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bl>
    <w:p>
      <w:pPr>
        <w:spacing w:line="240" w:lineRule="auto"/>
        <w:rPr>
          <w:rFonts w:hint="eastAsia" w:ascii="宋体" w:hAnsi="宋体" w:eastAsia="宋体" w:cs="宋体"/>
          <w:sz w:val="24"/>
          <w:szCs w:val="24"/>
        </w:rPr>
      </w:pPr>
    </w:p>
    <w:p>
      <w:pPr>
        <w:spacing w:line="240" w:lineRule="auto"/>
        <w:rPr>
          <w:rFonts w:hint="eastAsia" w:ascii="宋体" w:hAnsi="宋体" w:eastAsia="宋体" w:cs="宋体"/>
          <w:sz w:val="24"/>
          <w:szCs w:val="24"/>
        </w:rPr>
      </w:pPr>
    </w:p>
    <w:p>
      <w:pPr>
        <w:widowControl/>
        <w:spacing w:line="240" w:lineRule="auto"/>
        <w:jc w:val="center"/>
        <w:rPr>
          <w:rFonts w:hint="eastAsia" w:ascii="宋体" w:hAnsi="宋体" w:eastAsia="宋体" w:cs="宋体"/>
          <w:b/>
          <w:color w:val="000000"/>
          <w:kern w:val="0"/>
          <w:sz w:val="24"/>
          <w:szCs w:val="24"/>
        </w:rPr>
      </w:pPr>
    </w:p>
    <w:tbl>
      <w:tblPr>
        <w:tblStyle w:val="20"/>
        <w:tblW w:w="14260" w:type="dxa"/>
        <w:jc w:val="center"/>
        <w:tblLayout w:type="fixed"/>
        <w:tblCellMar>
          <w:top w:w="0" w:type="dxa"/>
          <w:left w:w="108" w:type="dxa"/>
          <w:bottom w:w="0" w:type="dxa"/>
          <w:right w:w="108" w:type="dxa"/>
        </w:tblCellMar>
      </w:tblPr>
      <w:tblGrid>
        <w:gridCol w:w="509"/>
        <w:gridCol w:w="735"/>
        <w:gridCol w:w="735"/>
        <w:gridCol w:w="664"/>
        <w:gridCol w:w="735"/>
        <w:gridCol w:w="7929"/>
        <w:gridCol w:w="786"/>
        <w:gridCol w:w="685"/>
        <w:gridCol w:w="785"/>
        <w:gridCol w:w="697"/>
      </w:tblGrid>
      <w:tr>
        <w:tblPrEx>
          <w:tblCellMar>
            <w:top w:w="0" w:type="dxa"/>
            <w:left w:w="108" w:type="dxa"/>
            <w:bottom w:w="0" w:type="dxa"/>
            <w:right w:w="108" w:type="dxa"/>
          </w:tblCellMar>
        </w:tblPrEx>
        <w:trPr>
          <w:cantSplit/>
          <w:trHeight w:val="551"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序号</w:t>
            </w: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项目</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名称</w:t>
            </w:r>
          </w:p>
        </w:tc>
        <w:tc>
          <w:tcPr>
            <w:tcW w:w="735" w:type="dxa"/>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项目</w:t>
            </w:r>
          </w:p>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总分</w:t>
            </w:r>
          </w:p>
        </w:tc>
        <w:tc>
          <w:tcPr>
            <w:tcW w:w="664"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分值</w:t>
            </w: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考核内容</w:t>
            </w:r>
          </w:p>
        </w:tc>
        <w:tc>
          <w:tcPr>
            <w:tcW w:w="7929"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b/>
                <w:sz w:val="21"/>
                <w:szCs w:val="21"/>
              </w:rPr>
            </w:pPr>
            <w:r>
              <w:rPr>
                <w:rFonts w:hint="eastAsia" w:ascii="宋体" w:hAnsi="宋体" w:eastAsia="宋体" w:cs="宋体"/>
                <w:b/>
                <w:sz w:val="21"/>
                <w:szCs w:val="21"/>
              </w:rPr>
              <w:t>评分标准</w:t>
            </w:r>
          </w:p>
        </w:tc>
        <w:tc>
          <w:tcPr>
            <w:tcW w:w="786" w:type="dxa"/>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考核说明</w:t>
            </w:r>
          </w:p>
        </w:tc>
        <w:tc>
          <w:tcPr>
            <w:tcW w:w="685" w:type="dxa"/>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考核记录</w:t>
            </w:r>
          </w:p>
        </w:tc>
        <w:tc>
          <w:tcPr>
            <w:tcW w:w="785" w:type="dxa"/>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分项 得分</w:t>
            </w:r>
          </w:p>
        </w:tc>
        <w:tc>
          <w:tcPr>
            <w:tcW w:w="697" w:type="dxa"/>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both"/>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项目  得分</w:t>
            </w:r>
          </w:p>
        </w:tc>
      </w:tr>
      <w:tr>
        <w:tblPrEx>
          <w:tblCellMar>
            <w:top w:w="0" w:type="dxa"/>
            <w:left w:w="108" w:type="dxa"/>
            <w:bottom w:w="0" w:type="dxa"/>
            <w:right w:w="108" w:type="dxa"/>
          </w:tblCellMar>
        </w:tblPrEx>
        <w:trPr>
          <w:cantSplit/>
          <w:trHeight w:val="995" w:hRule="atLeast"/>
          <w:jc w:val="center"/>
        </w:trPr>
        <w:tc>
          <w:tcPr>
            <w:tcW w:w="509" w:type="dxa"/>
            <w:vMerge w:val="restart"/>
            <w:tcBorders>
              <w:top w:val="single" w:color="auto" w:sz="4" w:space="0"/>
              <w:left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2</w:t>
            </w:r>
          </w:p>
        </w:tc>
        <w:tc>
          <w:tcPr>
            <w:tcW w:w="735" w:type="dxa"/>
            <w:vMerge w:val="restart"/>
            <w:tcBorders>
              <w:top w:val="single" w:color="auto" w:sz="4" w:space="0"/>
              <w:left w:val="nil"/>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工艺控制</w:t>
            </w:r>
          </w:p>
        </w:tc>
        <w:tc>
          <w:tcPr>
            <w:tcW w:w="735" w:type="dxa"/>
            <w:vMerge w:val="restart"/>
            <w:tcBorders>
              <w:top w:val="single" w:color="auto" w:sz="4" w:space="0"/>
              <w:left w:val="nil"/>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p>
        </w:tc>
        <w:tc>
          <w:tcPr>
            <w:tcW w:w="664"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3</w:t>
            </w:r>
          </w:p>
        </w:tc>
        <w:tc>
          <w:tcPr>
            <w:tcW w:w="73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堆体覆盖</w:t>
            </w:r>
          </w:p>
        </w:tc>
        <w:tc>
          <w:tcPr>
            <w:tcW w:w="7929" w:type="dxa"/>
            <w:tcBorders>
              <w:top w:val="single" w:color="auto" w:sz="4" w:space="0"/>
              <w:left w:val="nil"/>
              <w:bottom w:val="single" w:color="auto" w:sz="4" w:space="0"/>
              <w:right w:val="single" w:color="auto" w:sz="4" w:space="0"/>
            </w:tcBorders>
            <w:noWrap w:val="0"/>
            <w:vAlign w:val="top"/>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1、每日覆盖措施有效、可行的，得1分。不可行的，扣1分。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2、中间覆盖效果明显，覆盖后雨水能及时导排出库区和垃圾堆体表面的，得1分。效果不明显的，扣1分。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3、垃圾作业面控制得当，暴露面积小的，得1分。垃圾暴露面大的，扣1分。</w:t>
            </w:r>
          </w:p>
        </w:tc>
        <w:tc>
          <w:tcPr>
            <w:tcW w:w="786"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tc>
        <w:tc>
          <w:tcPr>
            <w:tcW w:w="68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697"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cantSplit/>
          <w:trHeight w:val="1098" w:hRule="atLeast"/>
          <w:jc w:val="center"/>
        </w:trPr>
        <w:tc>
          <w:tcPr>
            <w:tcW w:w="509"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vMerge w:val="continue"/>
            <w:tcBorders>
              <w:left w:val="nil"/>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35" w:type="dxa"/>
            <w:vMerge w:val="continue"/>
            <w:tcBorders>
              <w:left w:val="nil"/>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p>
        </w:tc>
        <w:tc>
          <w:tcPr>
            <w:tcW w:w="664"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10</w:t>
            </w:r>
          </w:p>
        </w:tc>
        <w:tc>
          <w:tcPr>
            <w:tcW w:w="73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雨污分流</w:t>
            </w:r>
          </w:p>
        </w:tc>
        <w:tc>
          <w:tcPr>
            <w:tcW w:w="7929"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1、作业库区外围雨污分流设施完好、有效的，得2分。设施破损、未及时修复的，扣2分。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2、已填埋区域与未填埋区域区分明显，清污分开的，得2分。作业区未分区的，扣2分。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3、已填埋区域雨污分流措施得当，能最大限度减少渗滤液产生量的，得6分。雨污分流措施不得当，造成渗滤液产生量大的，酌情扣分，扣完为止。</w:t>
            </w:r>
          </w:p>
        </w:tc>
        <w:tc>
          <w:tcPr>
            <w:tcW w:w="786"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tc>
        <w:tc>
          <w:tcPr>
            <w:tcW w:w="68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697"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cantSplit/>
          <w:trHeight w:val="921" w:hRule="atLeast"/>
          <w:jc w:val="center"/>
        </w:trPr>
        <w:tc>
          <w:tcPr>
            <w:tcW w:w="509"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vMerge w:val="continue"/>
            <w:tcBorders>
              <w:left w:val="nil"/>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35" w:type="dxa"/>
            <w:vMerge w:val="continue"/>
            <w:tcBorders>
              <w:left w:val="nil"/>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p>
        </w:tc>
        <w:tc>
          <w:tcPr>
            <w:tcW w:w="664"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5</w:t>
            </w:r>
          </w:p>
        </w:tc>
        <w:tc>
          <w:tcPr>
            <w:tcW w:w="73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填埋气体收集及处理</w:t>
            </w:r>
          </w:p>
        </w:tc>
        <w:tc>
          <w:tcPr>
            <w:tcW w:w="7929" w:type="dxa"/>
            <w:tcBorders>
              <w:top w:val="single" w:color="auto" w:sz="4" w:space="0"/>
              <w:left w:val="nil"/>
              <w:bottom w:val="single" w:color="auto" w:sz="4" w:space="0"/>
              <w:right w:val="single" w:color="auto" w:sz="4" w:space="0"/>
            </w:tcBorders>
            <w:noWrap w:val="0"/>
            <w:vAlign w:val="top"/>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1、按规范要求设置有填埋气体导气石笼的，得2分。未设置的，扣2分。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2、设置有填埋气体导排和收集管道并进行利用或火炬燃烧的，得2分。未进行利用或火炬燃烧的，扣2分。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3、填埋气体处理系统运行记录完善、规范的，得1分。运行记录不完善、不规范的，扣1分。</w:t>
            </w:r>
          </w:p>
        </w:tc>
        <w:tc>
          <w:tcPr>
            <w:tcW w:w="786"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现场检查查看资料</w:t>
            </w:r>
          </w:p>
        </w:tc>
        <w:tc>
          <w:tcPr>
            <w:tcW w:w="68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697"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cantSplit/>
          <w:trHeight w:val="2872" w:hRule="atLeast"/>
          <w:jc w:val="center"/>
        </w:trPr>
        <w:tc>
          <w:tcPr>
            <w:tcW w:w="509" w:type="dxa"/>
            <w:vMerge w:val="continue"/>
            <w:tcBorders>
              <w:left w:val="single" w:color="auto" w:sz="4" w:space="0"/>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35" w:type="dxa"/>
            <w:vMerge w:val="continue"/>
            <w:tcBorders>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35" w:type="dxa"/>
            <w:vMerge w:val="continue"/>
            <w:tcBorders>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664"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73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渗滤液收集及处理</w:t>
            </w:r>
          </w:p>
        </w:tc>
        <w:tc>
          <w:tcPr>
            <w:tcW w:w="7929" w:type="dxa"/>
            <w:tcBorders>
              <w:top w:val="single" w:color="auto" w:sz="4" w:space="0"/>
              <w:left w:val="nil"/>
              <w:bottom w:val="single" w:color="auto" w:sz="4" w:space="0"/>
              <w:right w:val="single" w:color="auto" w:sz="4" w:space="0"/>
            </w:tcBorders>
            <w:noWrap w:val="0"/>
            <w:vAlign w:val="top"/>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1、建有完善的渗滤液收集系统且导排畅通的，得1分。收集系统不完善、不畅通的，扣1分。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2、渗滤液能及时导排出库区，作业区无囤积的，得2分。作业区有渗滤液囤积的，扣2分。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3、渗滤液处理设施规模得当的，得5分。设施规模偏小，造成处理现场渗滤液囤积的，扣5分。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4、渗滤液处理设施运行正常的，得5分。运行不正常，处理量大于70%小于100%设计规模的，酌情扣分；处理量小于70%设计规模的，扣5分。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5、渗滤液处理后出水水质达到环评要求且去向符合规定的，得5分。处理后出水水质不达标次数小于20%的，扣2分；不达标次数大于20%的，扣4分；长期超标的，扣5分。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6、渗滤液处理后污泥、浓缩液等去向合理，措施得当的，得1分。去向不合理，措施不当的，扣1分。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7、渗滤液处理运行记录完整、规范的，得1分。记录不完整、不规范的，扣1分。</w:t>
            </w:r>
          </w:p>
        </w:tc>
        <w:tc>
          <w:tcPr>
            <w:tcW w:w="786"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现场检查查看资料</w:t>
            </w:r>
          </w:p>
        </w:tc>
        <w:tc>
          <w:tcPr>
            <w:tcW w:w="68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697"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r>
    </w:tbl>
    <w:p>
      <w:pPr>
        <w:widowControl/>
        <w:tabs>
          <w:tab w:val="left" w:pos="601"/>
        </w:tabs>
        <w:spacing w:line="240" w:lineRule="auto"/>
        <w:ind w:left="0" w:leftChars="0" w:firstLine="0" w:firstLineChars="0"/>
        <w:jc w:val="left"/>
        <w:rPr>
          <w:rFonts w:hint="eastAsia" w:ascii="宋体" w:hAnsi="宋体" w:eastAsia="宋体" w:cs="宋体"/>
          <w:color w:val="000000"/>
          <w:kern w:val="0"/>
          <w:sz w:val="24"/>
          <w:szCs w:val="24"/>
        </w:rPr>
        <w:sectPr>
          <w:pgSz w:w="16838" w:h="11906" w:orient="landscape"/>
          <w:pgMar w:top="1797" w:right="1440" w:bottom="1797" w:left="1440" w:header="851" w:footer="992" w:gutter="0"/>
          <w:pgNumType w:fmt="decimal"/>
          <w:cols w:space="425" w:num="1"/>
          <w:docGrid w:linePitch="312" w:charSpace="0"/>
        </w:sectPr>
      </w:pPr>
    </w:p>
    <w:tbl>
      <w:tblPr>
        <w:tblStyle w:val="20"/>
        <w:tblW w:w="14488" w:type="dxa"/>
        <w:jc w:val="center"/>
        <w:tblLayout w:type="fixed"/>
        <w:tblCellMar>
          <w:top w:w="0" w:type="dxa"/>
          <w:left w:w="108" w:type="dxa"/>
          <w:bottom w:w="0" w:type="dxa"/>
          <w:right w:w="108" w:type="dxa"/>
        </w:tblCellMar>
      </w:tblPr>
      <w:tblGrid>
        <w:gridCol w:w="466"/>
        <w:gridCol w:w="735"/>
        <w:gridCol w:w="664"/>
        <w:gridCol w:w="701"/>
        <w:gridCol w:w="840"/>
        <w:gridCol w:w="7646"/>
        <w:gridCol w:w="1273"/>
        <w:gridCol w:w="735"/>
        <w:gridCol w:w="735"/>
        <w:gridCol w:w="693"/>
      </w:tblGrid>
      <w:tr>
        <w:tblPrEx>
          <w:tblCellMar>
            <w:top w:w="0" w:type="dxa"/>
            <w:left w:w="108" w:type="dxa"/>
            <w:bottom w:w="0" w:type="dxa"/>
            <w:right w:w="108" w:type="dxa"/>
          </w:tblCellMar>
        </w:tblPrEx>
        <w:trPr>
          <w:trHeight w:val="726"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序号</w:t>
            </w: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项目</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名称</w:t>
            </w:r>
          </w:p>
        </w:tc>
        <w:tc>
          <w:tcPr>
            <w:tcW w:w="664"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项目</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总分</w:t>
            </w:r>
          </w:p>
        </w:tc>
        <w:tc>
          <w:tcPr>
            <w:tcW w:w="701"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分值</w:t>
            </w:r>
          </w:p>
        </w:tc>
        <w:tc>
          <w:tcPr>
            <w:tcW w:w="840"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考核内容</w:t>
            </w:r>
          </w:p>
        </w:tc>
        <w:tc>
          <w:tcPr>
            <w:tcW w:w="7646"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评分标准</w:t>
            </w:r>
          </w:p>
        </w:tc>
        <w:tc>
          <w:tcPr>
            <w:tcW w:w="1273"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考核说明</w:t>
            </w: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考核</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记录</w:t>
            </w: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分项</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得分</w:t>
            </w:r>
          </w:p>
        </w:tc>
        <w:tc>
          <w:tcPr>
            <w:tcW w:w="693"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项目  得分</w:t>
            </w:r>
          </w:p>
        </w:tc>
      </w:tr>
      <w:tr>
        <w:tblPrEx>
          <w:tblCellMar>
            <w:top w:w="0" w:type="dxa"/>
            <w:left w:w="108" w:type="dxa"/>
            <w:bottom w:w="0" w:type="dxa"/>
            <w:right w:w="108" w:type="dxa"/>
          </w:tblCellMar>
        </w:tblPrEx>
        <w:trPr>
          <w:cantSplit/>
          <w:trHeight w:val="659" w:hRule="atLeast"/>
          <w:jc w:val="center"/>
        </w:trPr>
        <w:tc>
          <w:tcPr>
            <w:tcW w:w="46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3</w:t>
            </w:r>
          </w:p>
        </w:tc>
        <w:tc>
          <w:tcPr>
            <w:tcW w:w="735" w:type="dxa"/>
            <w:vMerge w:val="restart"/>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污染控制</w:t>
            </w:r>
          </w:p>
        </w:tc>
        <w:tc>
          <w:tcPr>
            <w:tcW w:w="664" w:type="dxa"/>
            <w:vMerge w:val="restart"/>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701"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84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环境及污染物监测</w:t>
            </w:r>
          </w:p>
        </w:tc>
        <w:tc>
          <w:tcPr>
            <w:tcW w:w="7646" w:type="dxa"/>
            <w:tcBorders>
              <w:top w:val="single" w:color="auto" w:sz="4" w:space="0"/>
              <w:left w:val="nil"/>
              <w:bottom w:val="single" w:color="auto" w:sz="4" w:space="0"/>
              <w:right w:val="single" w:color="auto" w:sz="4" w:space="0"/>
            </w:tcBorders>
            <w:noWrap w:val="0"/>
            <w:vAlign w:val="top"/>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1、配备有进行常规污染物检测的化验设备，化验人员操作熟练，开展自测，数据可信的，得1分。配备化验设备，自测项目较少，数据可信度差的，扣分。未配备化验设备和人员的，扣1分。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按规定频次与检测内容委托环境监测部门对渗滤液水质、渗滤液处理后出水水质、填埋气体、地下水、地表水、大气、噪声等污染物进行监测且出具报告的，得6分。委托内容不完整的，每少一大类，扣1分。监测频次符合要求，主要检测内容已包括但未全部监测的，每缺一项，扣分。未开展相应监测的，扣6分。</w:t>
            </w:r>
          </w:p>
        </w:tc>
        <w:tc>
          <w:tcPr>
            <w:tcW w:w="1273"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3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3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693" w:type="dxa"/>
            <w:vMerge w:val="restart"/>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cantSplit/>
          <w:trHeight w:val="750" w:hRule="atLeast"/>
          <w:jc w:val="center"/>
        </w:trPr>
        <w:tc>
          <w:tcPr>
            <w:tcW w:w="4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35" w:type="dxa"/>
            <w:vMerge w:val="continue"/>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664" w:type="dxa"/>
            <w:vMerge w:val="continue"/>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01"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84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环境影响</w:t>
            </w:r>
          </w:p>
        </w:tc>
        <w:tc>
          <w:tcPr>
            <w:tcW w:w="7646"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渗滤液处理后出水水质、地下水、地表水、大气、噪声等污染物经自测和权威部门监测后均达标的，得5分。排放指标监测数据达标率大于50%小于100%，扣分；排放指标监测数据达标率小于50%，扣5分。</w:t>
            </w:r>
          </w:p>
        </w:tc>
        <w:tc>
          <w:tcPr>
            <w:tcW w:w="1273"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3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3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693" w:type="dxa"/>
            <w:vMerge w:val="continue"/>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r>
    </w:tbl>
    <w:p/>
    <w:p>
      <w:pPr>
        <w:pStyle w:val="2"/>
      </w:pPr>
    </w:p>
    <w:p/>
    <w:p>
      <w:pPr>
        <w:pStyle w:val="2"/>
      </w:pPr>
    </w:p>
    <w:p/>
    <w:p>
      <w:pPr>
        <w:pStyle w:val="2"/>
      </w:pPr>
    </w:p>
    <w:p/>
    <w:p>
      <w:pPr>
        <w:pStyle w:val="2"/>
      </w:pPr>
    </w:p>
    <w:p/>
    <w:p>
      <w:pPr>
        <w:pStyle w:val="2"/>
      </w:pPr>
    </w:p>
    <w:tbl>
      <w:tblPr>
        <w:tblStyle w:val="20"/>
        <w:tblW w:w="14633" w:type="dxa"/>
        <w:jc w:val="center"/>
        <w:tblLayout w:type="fixed"/>
        <w:tblCellMar>
          <w:top w:w="0" w:type="dxa"/>
          <w:left w:w="108" w:type="dxa"/>
          <w:bottom w:w="0" w:type="dxa"/>
          <w:right w:w="108" w:type="dxa"/>
        </w:tblCellMar>
      </w:tblPr>
      <w:tblGrid>
        <w:gridCol w:w="466"/>
        <w:gridCol w:w="735"/>
        <w:gridCol w:w="664"/>
        <w:gridCol w:w="701"/>
        <w:gridCol w:w="840"/>
        <w:gridCol w:w="7718"/>
        <w:gridCol w:w="1260"/>
        <w:gridCol w:w="785"/>
        <w:gridCol w:w="735"/>
        <w:gridCol w:w="729"/>
      </w:tblGrid>
      <w:tr>
        <w:tblPrEx>
          <w:tblCellMar>
            <w:top w:w="0" w:type="dxa"/>
            <w:left w:w="108" w:type="dxa"/>
            <w:bottom w:w="0" w:type="dxa"/>
            <w:right w:w="108" w:type="dxa"/>
          </w:tblCellMar>
        </w:tblPrEx>
        <w:trPr>
          <w:trHeight w:val="726"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序号</w:t>
            </w: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项目</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名称</w:t>
            </w:r>
          </w:p>
        </w:tc>
        <w:tc>
          <w:tcPr>
            <w:tcW w:w="664"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项目</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总分</w:t>
            </w:r>
          </w:p>
        </w:tc>
        <w:tc>
          <w:tcPr>
            <w:tcW w:w="701"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分值</w:t>
            </w:r>
          </w:p>
        </w:tc>
        <w:tc>
          <w:tcPr>
            <w:tcW w:w="840"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考核内容</w:t>
            </w:r>
          </w:p>
        </w:tc>
        <w:tc>
          <w:tcPr>
            <w:tcW w:w="7718"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评分标准</w:t>
            </w:r>
          </w:p>
        </w:tc>
        <w:tc>
          <w:tcPr>
            <w:tcW w:w="1260"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考核说明</w:t>
            </w:r>
          </w:p>
        </w:tc>
        <w:tc>
          <w:tcPr>
            <w:tcW w:w="785"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考核记录</w:t>
            </w: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分项</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得分</w:t>
            </w:r>
          </w:p>
        </w:tc>
        <w:tc>
          <w:tcPr>
            <w:tcW w:w="729"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项目</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得分</w:t>
            </w:r>
          </w:p>
        </w:tc>
      </w:tr>
      <w:tr>
        <w:tblPrEx>
          <w:tblCellMar>
            <w:top w:w="0" w:type="dxa"/>
            <w:left w:w="108" w:type="dxa"/>
            <w:bottom w:w="0" w:type="dxa"/>
            <w:right w:w="108" w:type="dxa"/>
          </w:tblCellMar>
        </w:tblPrEx>
        <w:trPr>
          <w:cantSplit/>
          <w:trHeight w:val="659" w:hRule="atLeast"/>
          <w:jc w:val="center"/>
        </w:trPr>
        <w:tc>
          <w:tcPr>
            <w:tcW w:w="466" w:type="dxa"/>
            <w:vMerge w:val="restart"/>
            <w:tcBorders>
              <w:top w:val="single" w:color="auto" w:sz="4" w:space="0"/>
              <w:left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4</w:t>
            </w:r>
          </w:p>
        </w:tc>
        <w:tc>
          <w:tcPr>
            <w:tcW w:w="735" w:type="dxa"/>
            <w:vMerge w:val="restart"/>
            <w:tcBorders>
              <w:top w:val="single" w:color="auto" w:sz="4" w:space="0"/>
              <w:left w:val="nil"/>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内部管理</w:t>
            </w:r>
          </w:p>
        </w:tc>
        <w:tc>
          <w:tcPr>
            <w:tcW w:w="664" w:type="dxa"/>
            <w:vMerge w:val="restart"/>
            <w:tcBorders>
              <w:top w:val="single" w:color="auto" w:sz="4" w:space="0"/>
              <w:left w:val="nil"/>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701"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4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制度建设</w:t>
            </w:r>
          </w:p>
        </w:tc>
        <w:tc>
          <w:tcPr>
            <w:tcW w:w="7718"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1、规章制度、岗位职责、操作规程健全，得1分。每缺一项扣分。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2、运行作业手册及设备操作维护保养手册规范，得分。每缺一项扣分。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3、场内标志标识齐全、完整，得分。每缺一项扣分。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4、工艺运行和设施维护正常，得1分。每缺一项扣分。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5、有完善的内部运行考核制度并认真实施的，得分。如缺，扣分。</w:t>
            </w:r>
          </w:p>
        </w:tc>
        <w:tc>
          <w:tcPr>
            <w:tcW w:w="126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8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3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29" w:type="dxa"/>
            <w:vMerge w:val="restart"/>
            <w:tcBorders>
              <w:top w:val="single" w:color="auto" w:sz="4" w:space="0"/>
              <w:left w:val="nil"/>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cantSplit/>
          <w:trHeight w:val="750" w:hRule="atLeast"/>
          <w:jc w:val="center"/>
        </w:trPr>
        <w:tc>
          <w:tcPr>
            <w:tcW w:w="466"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vMerge w:val="continue"/>
            <w:tcBorders>
              <w:left w:val="nil"/>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664" w:type="dxa"/>
            <w:vMerge w:val="continue"/>
            <w:tcBorders>
              <w:left w:val="nil"/>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01"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84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安全管理</w:t>
            </w:r>
          </w:p>
        </w:tc>
        <w:tc>
          <w:tcPr>
            <w:tcW w:w="7718" w:type="dxa"/>
            <w:tcBorders>
              <w:top w:val="single" w:color="auto" w:sz="4" w:space="0"/>
              <w:left w:val="nil"/>
              <w:bottom w:val="single" w:color="auto" w:sz="4" w:space="0"/>
              <w:right w:val="single" w:color="auto" w:sz="4" w:space="0"/>
            </w:tcBorders>
            <w:noWrap w:val="0"/>
            <w:vAlign w:val="top"/>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1、安全设施、设备配合齐全的，得分。每缺一项扣分。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2、安全制度落实到位，各岗位操作人员经培训合格后上岗的，得分。每缺一项扣分。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3、严格执行安全操作规程操作，未发生安全责任事故的，得分。每发生一起扣分。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4、场内无拾拣人员，得分。如有，扣分。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5、生产作业区严禁明火和吸烟，有动火措施的，得分。如发现有明火和吸烟或没有动火措施的，扣分。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6、场区交通标志清楚、规范，场区内车速不宜大于20km/h，填埋区设置现场指挥人员，得分。每缺一项扣分。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7、有应急预案且措施到位的，得1分。如有，扣1分。</w:t>
            </w:r>
          </w:p>
        </w:tc>
        <w:tc>
          <w:tcPr>
            <w:tcW w:w="126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85"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3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29" w:type="dxa"/>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cantSplit/>
          <w:trHeight w:val="330" w:hRule="atLeast"/>
          <w:jc w:val="center"/>
        </w:trPr>
        <w:tc>
          <w:tcPr>
            <w:tcW w:w="466"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664" w:type="dxa"/>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01"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4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设备管理</w:t>
            </w:r>
          </w:p>
        </w:tc>
        <w:tc>
          <w:tcPr>
            <w:tcW w:w="7718" w:type="dxa"/>
            <w:tcBorders>
              <w:top w:val="single" w:color="auto" w:sz="4" w:space="0"/>
              <w:left w:val="nil"/>
              <w:bottom w:val="single" w:color="auto" w:sz="4" w:space="0"/>
              <w:right w:val="single" w:color="auto" w:sz="4" w:space="0"/>
            </w:tcBorders>
            <w:noWrap w:val="0"/>
            <w:vAlign w:val="top"/>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1、按照设备操作手册的要求，使用和管理好作业机械设备的，得1分。使用和管理不到位的，扣1分。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2、设备完好率高，维修保养及时的，得1分。设备完好率差，维修保养不及时的，扣1分。</w:t>
            </w:r>
          </w:p>
        </w:tc>
        <w:tc>
          <w:tcPr>
            <w:tcW w:w="126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85"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kern w:val="0"/>
                <w:sz w:val="21"/>
                <w:szCs w:val="21"/>
              </w:rPr>
            </w:pPr>
          </w:p>
        </w:tc>
        <w:tc>
          <w:tcPr>
            <w:tcW w:w="729" w:type="dxa"/>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cantSplit/>
          <w:trHeight w:val="465" w:hRule="atLeast"/>
          <w:jc w:val="center"/>
        </w:trPr>
        <w:tc>
          <w:tcPr>
            <w:tcW w:w="466" w:type="dxa"/>
            <w:vMerge w:val="continue"/>
            <w:tcBorders>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vMerge w:val="continue"/>
            <w:tcBorders>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664" w:type="dxa"/>
            <w:vMerge w:val="continue"/>
            <w:tcBorders>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01"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4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资料管理</w:t>
            </w:r>
          </w:p>
        </w:tc>
        <w:tc>
          <w:tcPr>
            <w:tcW w:w="7718" w:type="dxa"/>
            <w:tcBorders>
              <w:top w:val="single" w:color="auto" w:sz="4" w:space="0"/>
              <w:left w:val="nil"/>
              <w:bottom w:val="single" w:color="auto" w:sz="4" w:space="0"/>
              <w:right w:val="single" w:color="auto" w:sz="4" w:space="0"/>
            </w:tcBorders>
            <w:noWrap w:val="0"/>
            <w:vAlign w:val="top"/>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1、填埋场运行台帐资料分类清晰、内容完整、记录准确、真实可信的，得1分。每有一项不符合要求的，扣分。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2、配备有专（兼）职档案管理人员，有专用档案管理室的，得分。无专（兼）职档案管理人员的扣分；无专用档案管理室的，扣分。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3、运行台帐资料装订规范，记录完整、连续，保管得当的，得分。装订不规范的，扣分；记录不完整、不连续的，扣分；保管不当的，扣分。</w:t>
            </w:r>
          </w:p>
        </w:tc>
        <w:tc>
          <w:tcPr>
            <w:tcW w:w="126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85"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729" w:type="dxa"/>
            <w:vMerge w:val="continue"/>
            <w:tcBorders>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bl>
    <w:p/>
    <w:p>
      <w:pPr>
        <w:pStyle w:val="2"/>
      </w:pPr>
    </w:p>
    <w:tbl>
      <w:tblPr>
        <w:tblStyle w:val="20"/>
        <w:tblW w:w="14633" w:type="dxa"/>
        <w:jc w:val="center"/>
        <w:tblLayout w:type="fixed"/>
        <w:tblCellMar>
          <w:top w:w="0" w:type="dxa"/>
          <w:left w:w="108" w:type="dxa"/>
          <w:bottom w:w="0" w:type="dxa"/>
          <w:right w:w="108" w:type="dxa"/>
        </w:tblCellMar>
      </w:tblPr>
      <w:tblGrid>
        <w:gridCol w:w="466"/>
        <w:gridCol w:w="735"/>
        <w:gridCol w:w="664"/>
        <w:gridCol w:w="701"/>
        <w:gridCol w:w="840"/>
        <w:gridCol w:w="7718"/>
        <w:gridCol w:w="1260"/>
        <w:gridCol w:w="785"/>
        <w:gridCol w:w="735"/>
        <w:gridCol w:w="729"/>
      </w:tblGrid>
      <w:tr>
        <w:tblPrEx>
          <w:tblCellMar>
            <w:top w:w="0" w:type="dxa"/>
            <w:left w:w="108" w:type="dxa"/>
            <w:bottom w:w="0" w:type="dxa"/>
            <w:right w:w="108" w:type="dxa"/>
          </w:tblCellMar>
        </w:tblPrEx>
        <w:trPr>
          <w:cantSplit/>
          <w:trHeight w:val="450" w:hRule="atLeast"/>
          <w:jc w:val="center"/>
        </w:trPr>
        <w:tc>
          <w:tcPr>
            <w:tcW w:w="466" w:type="dxa"/>
            <w:vMerge w:val="restart"/>
            <w:tcBorders>
              <w:top w:val="single" w:color="auto" w:sz="4" w:space="0"/>
              <w:left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序号</w:t>
            </w:r>
          </w:p>
        </w:tc>
        <w:tc>
          <w:tcPr>
            <w:tcW w:w="735" w:type="dxa"/>
            <w:vMerge w:val="restart"/>
            <w:tcBorders>
              <w:top w:val="single" w:color="auto" w:sz="4" w:space="0"/>
              <w:left w:val="nil"/>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项目</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名称</w:t>
            </w:r>
          </w:p>
        </w:tc>
        <w:tc>
          <w:tcPr>
            <w:tcW w:w="664" w:type="dxa"/>
            <w:vMerge w:val="restart"/>
            <w:tcBorders>
              <w:top w:val="single" w:color="auto" w:sz="4" w:space="0"/>
              <w:left w:val="nil"/>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项目</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总分</w:t>
            </w:r>
          </w:p>
        </w:tc>
        <w:tc>
          <w:tcPr>
            <w:tcW w:w="701"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分值</w:t>
            </w:r>
          </w:p>
        </w:tc>
        <w:tc>
          <w:tcPr>
            <w:tcW w:w="840"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考核内容</w:t>
            </w:r>
          </w:p>
        </w:tc>
        <w:tc>
          <w:tcPr>
            <w:tcW w:w="7718"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评分标准</w:t>
            </w:r>
          </w:p>
        </w:tc>
        <w:tc>
          <w:tcPr>
            <w:tcW w:w="1260"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考核说明</w:t>
            </w:r>
          </w:p>
        </w:tc>
        <w:tc>
          <w:tcPr>
            <w:tcW w:w="785"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考核记录</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分项</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得分</w:t>
            </w:r>
          </w:p>
        </w:tc>
        <w:tc>
          <w:tcPr>
            <w:tcW w:w="7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项目</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得分</w:t>
            </w:r>
          </w:p>
        </w:tc>
      </w:tr>
      <w:tr>
        <w:tblPrEx>
          <w:tblCellMar>
            <w:top w:w="0" w:type="dxa"/>
            <w:left w:w="108" w:type="dxa"/>
            <w:bottom w:w="0" w:type="dxa"/>
            <w:right w:w="108" w:type="dxa"/>
          </w:tblCellMar>
        </w:tblPrEx>
        <w:trPr>
          <w:cantSplit/>
          <w:trHeight w:val="1094" w:hRule="atLeast"/>
          <w:jc w:val="center"/>
        </w:trPr>
        <w:tc>
          <w:tcPr>
            <w:tcW w:w="466" w:type="dxa"/>
            <w:vMerge w:val="restart"/>
            <w:tcBorders>
              <w:top w:val="single" w:color="auto" w:sz="4" w:space="0"/>
              <w:left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4</w:t>
            </w:r>
          </w:p>
        </w:tc>
        <w:tc>
          <w:tcPr>
            <w:tcW w:w="735" w:type="dxa"/>
            <w:vMerge w:val="restart"/>
            <w:tcBorders>
              <w:top w:val="single" w:color="auto" w:sz="4" w:space="0"/>
              <w:left w:val="nil"/>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内部管理</w:t>
            </w:r>
          </w:p>
        </w:tc>
        <w:tc>
          <w:tcPr>
            <w:tcW w:w="664" w:type="dxa"/>
            <w:vMerge w:val="restart"/>
            <w:tcBorders>
              <w:top w:val="single" w:color="auto" w:sz="4" w:space="0"/>
              <w:left w:val="nil"/>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18</w:t>
            </w:r>
          </w:p>
        </w:tc>
        <w:tc>
          <w:tcPr>
            <w:tcW w:w="701"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4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经费管理</w:t>
            </w:r>
          </w:p>
        </w:tc>
        <w:tc>
          <w:tcPr>
            <w:tcW w:w="7718"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1、运行经费有保障、拨付及时，能满足正常运行管理需要的，得2分。保障不到位的，扣1分；拨付不及时的，扣1分。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2、开支合理，帐目清晰规范的，得1 分。使用不合理的，扣分；帐目混乱的，扣分。</w:t>
            </w:r>
          </w:p>
        </w:tc>
        <w:tc>
          <w:tcPr>
            <w:tcW w:w="126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85"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kern w:val="0"/>
                <w:sz w:val="21"/>
                <w:szCs w:val="21"/>
              </w:rPr>
            </w:pPr>
          </w:p>
        </w:tc>
        <w:tc>
          <w:tcPr>
            <w:tcW w:w="729" w:type="dxa"/>
            <w:vMerge w:val="restart"/>
            <w:tcBorders>
              <w:top w:val="single" w:color="auto" w:sz="4" w:space="0"/>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cantSplit/>
          <w:trHeight w:val="1828" w:hRule="atLeast"/>
          <w:jc w:val="center"/>
        </w:trPr>
        <w:tc>
          <w:tcPr>
            <w:tcW w:w="466"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vMerge w:val="continue"/>
            <w:tcBorders>
              <w:left w:val="nil"/>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664" w:type="dxa"/>
            <w:vMerge w:val="continue"/>
            <w:tcBorders>
              <w:left w:val="nil"/>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01"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84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场容场貌</w:t>
            </w:r>
          </w:p>
        </w:tc>
        <w:tc>
          <w:tcPr>
            <w:tcW w:w="7718"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1、建筑物外观整洁、无明显的破损、渗漏、污染；场内道路完好、通畅、无破损；所有车辆在固定场所停放有序；场内照明设施完好； 场内绿化、景观良好，且绿地植被无死亡缺损现象，得1分。每发生一处不符合要求的，扣分。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办公室、现场管理用房、渗滤液处理车间内物品摆放整齐，卫生整洁，无烟头污渍等，照明齐全有效；门、窗、玻璃明亮无破损，墙壁整洁；办公桌椅、操作工具摆放整齐；卫生间设施齐全、无破损、无异味；操作人员着装整齐、干净、文明礼貌，得1分。每发生一处不符合要求的，扣分。</w:t>
            </w:r>
          </w:p>
        </w:tc>
        <w:tc>
          <w:tcPr>
            <w:tcW w:w="126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85"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kern w:val="0"/>
                <w:sz w:val="21"/>
                <w:szCs w:val="21"/>
              </w:rPr>
            </w:pPr>
          </w:p>
        </w:tc>
        <w:tc>
          <w:tcPr>
            <w:tcW w:w="729" w:type="dxa"/>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cantSplit/>
          <w:trHeight w:val="617" w:hRule="atLeast"/>
          <w:jc w:val="center"/>
        </w:trPr>
        <w:tc>
          <w:tcPr>
            <w:tcW w:w="466"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664" w:type="dxa"/>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01"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4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文化建设</w:t>
            </w:r>
          </w:p>
        </w:tc>
        <w:tc>
          <w:tcPr>
            <w:tcW w:w="7718"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有良好的企业文化氛围，职工工余生活丰富，单位内部和谐，得1分。否则不得分。</w:t>
            </w:r>
          </w:p>
        </w:tc>
        <w:tc>
          <w:tcPr>
            <w:tcW w:w="126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85"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kern w:val="0"/>
                <w:sz w:val="21"/>
                <w:szCs w:val="21"/>
              </w:rPr>
            </w:pPr>
          </w:p>
        </w:tc>
        <w:tc>
          <w:tcPr>
            <w:tcW w:w="729" w:type="dxa"/>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cantSplit/>
          <w:trHeight w:val="2260" w:hRule="atLeast"/>
          <w:jc w:val="center"/>
        </w:trPr>
        <w:tc>
          <w:tcPr>
            <w:tcW w:w="466" w:type="dxa"/>
            <w:vMerge w:val="continue"/>
            <w:tcBorders>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vMerge w:val="continue"/>
            <w:tcBorders>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664" w:type="dxa"/>
            <w:vMerge w:val="continue"/>
            <w:tcBorders>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01"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4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信息化建设</w:t>
            </w:r>
          </w:p>
        </w:tc>
        <w:tc>
          <w:tcPr>
            <w:tcW w:w="7718"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1、有很好的信息化建设平台，能较好地通过对内对外信息平台为运行管理服务的,得分。否则不得分。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2、每月及时上报建设部“全国生活垃圾处理管理信息系统”有关运营信息，数据真实可靠的，得分。否则不得分。</w:t>
            </w:r>
          </w:p>
        </w:tc>
        <w:tc>
          <w:tcPr>
            <w:tcW w:w="126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85"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kern w:val="0"/>
                <w:sz w:val="21"/>
                <w:szCs w:val="21"/>
              </w:rPr>
            </w:pPr>
          </w:p>
        </w:tc>
        <w:tc>
          <w:tcPr>
            <w:tcW w:w="729" w:type="dxa"/>
            <w:vMerge w:val="continue"/>
            <w:tcBorders>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bl>
    <w:p/>
    <w:p>
      <w:pPr>
        <w:pStyle w:val="2"/>
      </w:pPr>
    </w:p>
    <w:p/>
    <w:p>
      <w:pPr>
        <w:pStyle w:val="2"/>
      </w:pPr>
    </w:p>
    <w:tbl>
      <w:tblPr>
        <w:tblStyle w:val="20"/>
        <w:tblW w:w="14633" w:type="dxa"/>
        <w:jc w:val="center"/>
        <w:tblLayout w:type="fixed"/>
        <w:tblCellMar>
          <w:top w:w="0" w:type="dxa"/>
          <w:left w:w="108" w:type="dxa"/>
          <w:bottom w:w="0" w:type="dxa"/>
          <w:right w:w="108" w:type="dxa"/>
        </w:tblCellMar>
      </w:tblPr>
      <w:tblGrid>
        <w:gridCol w:w="466"/>
        <w:gridCol w:w="735"/>
        <w:gridCol w:w="664"/>
        <w:gridCol w:w="701"/>
        <w:gridCol w:w="840"/>
        <w:gridCol w:w="7718"/>
        <w:gridCol w:w="1260"/>
        <w:gridCol w:w="785"/>
        <w:gridCol w:w="735"/>
        <w:gridCol w:w="729"/>
      </w:tblGrid>
      <w:tr>
        <w:tblPrEx>
          <w:tblCellMar>
            <w:top w:w="0" w:type="dxa"/>
            <w:left w:w="108" w:type="dxa"/>
            <w:bottom w:w="0" w:type="dxa"/>
            <w:right w:w="108" w:type="dxa"/>
          </w:tblCellMar>
        </w:tblPrEx>
        <w:trPr>
          <w:cantSplit/>
          <w:trHeight w:val="450" w:hRule="atLeast"/>
          <w:jc w:val="center"/>
        </w:trPr>
        <w:tc>
          <w:tcPr>
            <w:tcW w:w="466" w:type="dxa"/>
            <w:vMerge w:val="restart"/>
            <w:tcBorders>
              <w:top w:val="single" w:color="auto" w:sz="4" w:space="0"/>
              <w:left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序号</w:t>
            </w:r>
          </w:p>
        </w:tc>
        <w:tc>
          <w:tcPr>
            <w:tcW w:w="735" w:type="dxa"/>
            <w:vMerge w:val="restart"/>
            <w:tcBorders>
              <w:top w:val="single" w:color="auto" w:sz="4" w:space="0"/>
              <w:left w:val="nil"/>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项目</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名称</w:t>
            </w:r>
          </w:p>
        </w:tc>
        <w:tc>
          <w:tcPr>
            <w:tcW w:w="664" w:type="dxa"/>
            <w:vMerge w:val="restart"/>
            <w:tcBorders>
              <w:top w:val="single" w:color="auto" w:sz="4" w:space="0"/>
              <w:left w:val="nil"/>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项目</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总分</w:t>
            </w:r>
          </w:p>
        </w:tc>
        <w:tc>
          <w:tcPr>
            <w:tcW w:w="701"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分值</w:t>
            </w:r>
          </w:p>
        </w:tc>
        <w:tc>
          <w:tcPr>
            <w:tcW w:w="840"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考核内容</w:t>
            </w:r>
          </w:p>
        </w:tc>
        <w:tc>
          <w:tcPr>
            <w:tcW w:w="7718"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评分标准</w:t>
            </w:r>
          </w:p>
        </w:tc>
        <w:tc>
          <w:tcPr>
            <w:tcW w:w="1260"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考核说明</w:t>
            </w:r>
          </w:p>
        </w:tc>
        <w:tc>
          <w:tcPr>
            <w:tcW w:w="785"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考核记录</w:t>
            </w: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分项</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得分</w:t>
            </w:r>
          </w:p>
        </w:tc>
        <w:tc>
          <w:tcPr>
            <w:tcW w:w="729" w:type="dxa"/>
            <w:vMerge w:val="restart"/>
            <w:tcBorders>
              <w:left w:val="nil"/>
              <w:right w:val="single" w:color="auto" w:sz="4" w:space="0"/>
            </w:tcBorders>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项目</w:t>
            </w:r>
          </w:p>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得分</w:t>
            </w:r>
          </w:p>
        </w:tc>
      </w:tr>
      <w:tr>
        <w:tblPrEx>
          <w:tblCellMar>
            <w:top w:w="0" w:type="dxa"/>
            <w:left w:w="108" w:type="dxa"/>
            <w:bottom w:w="0" w:type="dxa"/>
            <w:right w:w="108" w:type="dxa"/>
          </w:tblCellMar>
        </w:tblPrEx>
        <w:trPr>
          <w:cantSplit/>
          <w:trHeight w:val="2839" w:hRule="atLeast"/>
          <w:jc w:val="center"/>
        </w:trPr>
        <w:tc>
          <w:tcPr>
            <w:tcW w:w="466" w:type="dxa"/>
            <w:vMerge w:val="restart"/>
            <w:tcBorders>
              <w:top w:val="single" w:color="auto" w:sz="4" w:space="0"/>
              <w:left w:val="single" w:color="auto" w:sz="4" w:space="0"/>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5</w:t>
            </w:r>
          </w:p>
        </w:tc>
        <w:tc>
          <w:tcPr>
            <w:tcW w:w="735" w:type="dxa"/>
            <w:vMerge w:val="restart"/>
            <w:tcBorders>
              <w:top w:val="single" w:color="auto" w:sz="4" w:space="0"/>
              <w:left w:val="nil"/>
              <w:right w:val="single" w:color="auto" w:sz="4" w:space="0"/>
            </w:tcBorders>
            <w:noWrap w:val="0"/>
            <w:vAlign w:val="center"/>
          </w:tcPr>
          <w:p>
            <w:pPr>
              <w:spacing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运行监管</w:t>
            </w:r>
          </w:p>
        </w:tc>
        <w:tc>
          <w:tcPr>
            <w:tcW w:w="664" w:type="dxa"/>
            <w:vMerge w:val="restart"/>
            <w:tcBorders>
              <w:top w:val="single" w:color="auto" w:sz="4" w:space="0"/>
              <w:left w:val="nil"/>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1"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84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监管体系建设</w:t>
            </w:r>
          </w:p>
        </w:tc>
        <w:tc>
          <w:tcPr>
            <w:tcW w:w="7718"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1、上级主管部门或实行委托运行的填埋场的上级监管机构制定有相应的监管办法及措施的，得分。未制定有相应的监管办法及措施的，扣分。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2、现场有相应监管人员且认真履行职责的，得分。有相应监管人员但履行职责不力的，扣分。没有相应监管人员的，扣分。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3、建设有接入环保、环卫主管部门的在线监管系统并保持正常运行的，得1分。建有相应在线监管系统但运行不正常的，扣分。未建相应在线监管系统的，扣1分。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建有相应考核办法并开展量化考核的，得1分。没有相应考核办法的，扣1分。5、有委托第三方权威机构按规范要求进行环境监测、检验并出具相应合格报告的，得1分。监测频次不符合的，扣分；检测报告有不符合要求的，每发现一项扣分，扣完分为止。</w:t>
            </w:r>
          </w:p>
        </w:tc>
        <w:tc>
          <w:tcPr>
            <w:tcW w:w="126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现场检查</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tc>
        <w:tc>
          <w:tcPr>
            <w:tcW w:w="785"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kern w:val="0"/>
                <w:sz w:val="21"/>
                <w:szCs w:val="21"/>
              </w:rPr>
            </w:pPr>
          </w:p>
        </w:tc>
        <w:tc>
          <w:tcPr>
            <w:tcW w:w="729" w:type="dxa"/>
            <w:vMerge w:val="restart"/>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cantSplit/>
          <w:trHeight w:val="105" w:hRule="atLeast"/>
          <w:jc w:val="center"/>
        </w:trPr>
        <w:tc>
          <w:tcPr>
            <w:tcW w:w="466" w:type="dxa"/>
            <w:vMerge w:val="continue"/>
            <w:tcBorders>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vMerge w:val="continue"/>
            <w:tcBorders>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664" w:type="dxa"/>
            <w:vMerge w:val="continue"/>
            <w:tcBorders>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701"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84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公众参与</w:t>
            </w:r>
          </w:p>
        </w:tc>
        <w:tc>
          <w:tcPr>
            <w:tcW w:w="7718"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1、向公众开放，进行相应宣传，接待公众来访的，得分。未实施的，扣分。</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2、接受新闻媒体和舆论的监督，未发生有责投诉或曝光的，得分。每发现一次扣分，扣完为止。</w:t>
            </w:r>
          </w:p>
        </w:tc>
        <w:tc>
          <w:tcPr>
            <w:tcW w:w="1260" w:type="dxa"/>
            <w:tcBorders>
              <w:top w:val="single" w:color="auto" w:sz="4" w:space="0"/>
              <w:left w:val="nil"/>
              <w:bottom w:val="single" w:color="auto" w:sz="4" w:space="0"/>
              <w:right w:val="single" w:color="auto" w:sz="4" w:space="0"/>
            </w:tcBorders>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查看资料、</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查阅网站及媒体信息，征询当地环保部门意见</w:t>
            </w:r>
          </w:p>
        </w:tc>
        <w:tc>
          <w:tcPr>
            <w:tcW w:w="785"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c>
          <w:tcPr>
            <w:tcW w:w="735"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kern w:val="0"/>
                <w:sz w:val="21"/>
                <w:szCs w:val="21"/>
              </w:rPr>
            </w:pPr>
          </w:p>
        </w:tc>
        <w:tc>
          <w:tcPr>
            <w:tcW w:w="729" w:type="dxa"/>
            <w:vMerge w:val="continue"/>
            <w:tcBorders>
              <w:left w:val="nil"/>
              <w:right w:val="single" w:color="auto" w:sz="4" w:space="0"/>
            </w:tcBorders>
            <w:noWrap w:val="0"/>
            <w:vAlign w:val="center"/>
          </w:tcPr>
          <w:p>
            <w:pPr>
              <w:widowControl/>
              <w:spacing w:line="240" w:lineRule="auto"/>
              <w:jc w:val="left"/>
              <w:rPr>
                <w:rFonts w:hint="eastAsia" w:ascii="宋体" w:hAnsi="宋体" w:eastAsia="宋体" w:cs="宋体"/>
                <w:color w:val="000000"/>
                <w:kern w:val="0"/>
                <w:sz w:val="21"/>
                <w:szCs w:val="21"/>
              </w:rPr>
            </w:pPr>
          </w:p>
        </w:tc>
      </w:tr>
    </w:tbl>
    <w:p>
      <w:pPr>
        <w:rPr>
          <w:rFonts w:hint="eastAsia" w:ascii="宋体" w:hAnsi="宋体" w:eastAsia="宋体"/>
          <w:sz w:val="21"/>
          <w:szCs w:val="21"/>
        </w:rPr>
      </w:pPr>
      <w:r>
        <w:rPr>
          <w:rFonts w:hint="eastAsia" w:ascii="思源宋体 CN" w:hAnsi="思源宋体 CN" w:eastAsia="思源宋体 CN" w:cs="思源宋体 CN"/>
          <w:sz w:val="21"/>
          <w:szCs w:val="21"/>
        </w:rPr>
        <w:t>注：1、考核周期：首次考核周期为上一年度，第二次及以上考核周期为前一次考核后的时间（取自然年度）；考核周期以后发生的安全、环境方面重大事项也纳入考核内容。</w:t>
      </w:r>
    </w:p>
    <w:p>
      <w:pPr>
        <w:ind w:firstLine="420"/>
        <w:rPr>
          <w:rFonts w:hint="eastAsia" w:ascii="宋体" w:hAnsi="宋体" w:eastAsia="宋体"/>
          <w:sz w:val="21"/>
          <w:szCs w:val="21"/>
        </w:rPr>
      </w:pPr>
      <w:r>
        <w:rPr>
          <w:rFonts w:hint="eastAsia" w:ascii="思源宋体 CN" w:hAnsi="思源宋体 CN" w:eastAsia="思源宋体 CN" w:cs="思源宋体 CN"/>
          <w:sz w:val="21"/>
          <w:szCs w:val="21"/>
        </w:rPr>
        <w:t>2、提供资料：首次考核为上一年度和本年度资料，之后为上次考核年度以来的全部资料。</w:t>
      </w:r>
    </w:p>
    <w:p>
      <w:pPr>
        <w:ind w:firstLine="420"/>
        <w:rPr>
          <w:rFonts w:hint="eastAsia" w:ascii="宋体" w:hAnsi="宋体" w:eastAsia="宋体"/>
          <w:sz w:val="21"/>
          <w:szCs w:val="21"/>
        </w:rPr>
      </w:pPr>
      <w:r>
        <w:rPr>
          <w:rFonts w:hint="eastAsia" w:ascii="思源宋体 CN" w:hAnsi="思源宋体 CN" w:eastAsia="思源宋体 CN" w:cs="思源宋体 CN"/>
          <w:sz w:val="21"/>
          <w:szCs w:val="21"/>
        </w:rPr>
        <w:t>3、每项考核内容得分最多保留两位小数，每项扣分最高值为该项分值。</w:t>
      </w:r>
    </w:p>
    <w:p>
      <w:pPr>
        <w:ind w:firstLine="420"/>
        <w:rPr>
          <w:rFonts w:hint="eastAsia" w:ascii="宋体" w:hAnsi="宋体" w:eastAsia="宋体"/>
          <w:sz w:val="21"/>
          <w:szCs w:val="21"/>
        </w:rPr>
      </w:pPr>
    </w:p>
    <w:p>
      <w:pPr>
        <w:ind w:firstLine="420"/>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r>
        <w:rPr>
          <w:rFonts w:hint="eastAsia" w:ascii="思源宋体 CN" w:hAnsi="思源宋体 CN" w:eastAsia="思源宋体 CN" w:cs="思源宋体 CN"/>
          <w:sz w:val="21"/>
          <w:szCs w:val="21"/>
        </w:rPr>
        <w:t>附录：1、生活垃圾卫生填埋场环境监测采样频次、方法及监测项目要求</w:t>
      </w:r>
    </w:p>
    <w:p>
      <w:pPr>
        <w:ind w:firstLine="630" w:firstLineChars="300"/>
        <w:rPr>
          <w:rFonts w:hint="eastAsia" w:ascii="宋体" w:hAnsi="宋体" w:eastAsia="宋体"/>
          <w:sz w:val="21"/>
          <w:szCs w:val="21"/>
        </w:rPr>
      </w:pPr>
      <w:r>
        <w:rPr>
          <w:rFonts w:hint="eastAsia" w:ascii="思源宋体 CN" w:hAnsi="思源宋体 CN" w:eastAsia="思源宋体 CN" w:cs="思源宋体 CN"/>
          <w:sz w:val="21"/>
          <w:szCs w:val="21"/>
        </w:rPr>
        <w:t>2、生活垃圾卫生填埋场环境监测项目分析方法</w:t>
      </w:r>
    </w:p>
    <w:p>
      <w:pPr>
        <w:rPr>
          <w:rFonts w:hint="eastAsia" w:ascii="宋体" w:hAnsi="宋体" w:eastAsia="宋体"/>
          <w:sz w:val="21"/>
          <w:szCs w:val="21"/>
        </w:rPr>
      </w:pPr>
    </w:p>
    <w:p>
      <w:pPr>
        <w:jc w:val="center"/>
        <w:rPr>
          <w:rFonts w:hint="eastAsia" w:ascii="宋体" w:hAnsi="宋体" w:eastAsia="宋体"/>
          <w:b/>
          <w:sz w:val="28"/>
          <w:szCs w:val="28"/>
        </w:rPr>
      </w:pPr>
      <w:r>
        <w:rPr>
          <w:rFonts w:hint="eastAsia" w:ascii="思源宋体 CN" w:hAnsi="思源宋体 CN" w:eastAsia="思源宋体 CN" w:cs="思源宋体 CN"/>
          <w:b/>
          <w:sz w:val="28"/>
          <w:szCs w:val="28"/>
        </w:rPr>
        <w:t>生活垃圾卫生填埋场环境监测采样频次、方法及监测项目要求</w:t>
      </w:r>
    </w:p>
    <w:p>
      <w:pPr>
        <w:jc w:val="center"/>
        <w:rPr>
          <w:rFonts w:hint="eastAsia" w:ascii="宋体" w:hAnsi="宋体" w:eastAsia="宋体"/>
          <w:sz w:val="21"/>
          <w:szCs w:val="21"/>
        </w:rPr>
      </w:pPr>
      <w:r>
        <w:rPr>
          <w:rFonts w:hint="eastAsia" w:ascii="思源宋体 CN" w:hAnsi="思源宋体 CN" w:eastAsia="思源宋体 CN" w:cs="思源宋体 CN"/>
          <w:sz w:val="21"/>
          <w:szCs w:val="21"/>
        </w:rPr>
        <w:t>（按GB/T18772-2017要求执行）</w:t>
      </w:r>
    </w:p>
    <w:tbl>
      <w:tblPr>
        <w:tblStyle w:val="20"/>
        <w:tblW w:w="14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446"/>
        <w:gridCol w:w="1794"/>
        <w:gridCol w:w="2880"/>
        <w:gridCol w:w="2700"/>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序号</w:t>
            </w:r>
          </w:p>
        </w:tc>
        <w:tc>
          <w:tcPr>
            <w:tcW w:w="1446" w:type="dxa"/>
            <w:shd w:val="clear" w:color="auto" w:fill="auto"/>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类别</w:t>
            </w:r>
          </w:p>
        </w:tc>
        <w:tc>
          <w:tcPr>
            <w:tcW w:w="1794" w:type="dxa"/>
            <w:shd w:val="clear" w:color="auto" w:fill="auto"/>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采样点的布设</w:t>
            </w:r>
          </w:p>
        </w:tc>
        <w:tc>
          <w:tcPr>
            <w:tcW w:w="2880" w:type="dxa"/>
            <w:shd w:val="clear" w:color="auto" w:fill="auto"/>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采样频次</w:t>
            </w:r>
          </w:p>
        </w:tc>
        <w:tc>
          <w:tcPr>
            <w:tcW w:w="2700" w:type="dxa"/>
            <w:shd w:val="clear" w:color="auto" w:fill="auto"/>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采样方法</w:t>
            </w:r>
          </w:p>
        </w:tc>
        <w:tc>
          <w:tcPr>
            <w:tcW w:w="4892" w:type="dxa"/>
            <w:shd w:val="clear" w:color="auto" w:fill="auto"/>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648"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446"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大气污染物</w:t>
            </w:r>
          </w:p>
        </w:tc>
        <w:tc>
          <w:tcPr>
            <w:tcW w:w="1794"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按GB16297-1996标准要求布设</w:t>
            </w:r>
          </w:p>
        </w:tc>
        <w:tc>
          <w:tcPr>
            <w:tcW w:w="288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每年应监测4次，每季度1次</w:t>
            </w:r>
          </w:p>
        </w:tc>
        <w:tc>
          <w:tcPr>
            <w:tcW w:w="27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按HJ/T194-2005执行</w:t>
            </w:r>
          </w:p>
        </w:tc>
        <w:tc>
          <w:tcPr>
            <w:tcW w:w="4892"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臭气浓度、甲烷、总悬浮颗粒物、硫化氢、氨、甲硫醇、氮氧化合物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446"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填埋气体</w:t>
            </w:r>
          </w:p>
        </w:tc>
        <w:tc>
          <w:tcPr>
            <w:tcW w:w="1794"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气体收集导排系统的排气口</w:t>
            </w:r>
          </w:p>
        </w:tc>
        <w:tc>
          <w:tcPr>
            <w:tcW w:w="288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每季度应至少监测1次，一年不少于6次，两次不能在同一个月进行</w:t>
            </w:r>
          </w:p>
        </w:tc>
        <w:tc>
          <w:tcPr>
            <w:tcW w:w="27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按HJ/T194-2005执行</w:t>
            </w:r>
          </w:p>
        </w:tc>
        <w:tc>
          <w:tcPr>
            <w:tcW w:w="4892"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甲烷、二氧化碳、氧气、硫化氢、氨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46"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渗滤液</w:t>
            </w:r>
          </w:p>
        </w:tc>
        <w:tc>
          <w:tcPr>
            <w:tcW w:w="1794"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渗处理设施入口和排放口</w:t>
            </w:r>
          </w:p>
        </w:tc>
        <w:tc>
          <w:tcPr>
            <w:tcW w:w="288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每月应监测1次</w:t>
            </w:r>
          </w:p>
        </w:tc>
        <w:tc>
          <w:tcPr>
            <w:tcW w:w="27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弃去前3次、用第4次样品。按HJ/T91-2002执行</w:t>
            </w:r>
          </w:p>
        </w:tc>
        <w:tc>
          <w:tcPr>
            <w:tcW w:w="4892"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悬浮物、化学需氧量、五日生化需氧量、氨氮、大肠菌值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446"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外排水</w:t>
            </w:r>
          </w:p>
        </w:tc>
        <w:tc>
          <w:tcPr>
            <w:tcW w:w="1794"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废水外排口</w:t>
            </w:r>
          </w:p>
        </w:tc>
        <w:tc>
          <w:tcPr>
            <w:tcW w:w="288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连续外排时每日应监测一次</w:t>
            </w:r>
          </w:p>
        </w:tc>
        <w:tc>
          <w:tcPr>
            <w:tcW w:w="27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弃去前3次、用第4次样品。</w:t>
            </w:r>
          </w:p>
        </w:tc>
        <w:tc>
          <w:tcPr>
            <w:tcW w:w="4892"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PH、悬浮物、化学需氧量、五日生化需氧量、氨氮、粪大肠菌群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446"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地下水</w:t>
            </w:r>
          </w:p>
        </w:tc>
        <w:tc>
          <w:tcPr>
            <w:tcW w:w="1794"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应布设5点： </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本底井一眼、 </w:t>
            </w: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污染扩散井二眼、污染监视井二眼</w:t>
            </w:r>
          </w:p>
        </w:tc>
        <w:tc>
          <w:tcPr>
            <w:tcW w:w="288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每年按丰、平、枯水期各监测一次</w:t>
            </w:r>
          </w:p>
        </w:tc>
        <w:tc>
          <w:tcPr>
            <w:tcW w:w="27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小水桶提取水样，严禁用泵抽吸水样，弃去前3次水样，用第4次样品，每个样品采集2000mL，</w:t>
            </w:r>
          </w:p>
        </w:tc>
        <w:tc>
          <w:tcPr>
            <w:tcW w:w="4892"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pH、浊度、肉眼可见物、嗅味、色度、高锰酸盐指数、硫酸盐、溶解性总固体、氯化物、钙和镁总量、挥发酚、氨氮、硝酸盐氮、亚硝酸盐、总大肠菌群、细菌总数、铅、铬（六价）、镉、总汞、总砷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446"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噪声</w:t>
            </w:r>
          </w:p>
        </w:tc>
        <w:tc>
          <w:tcPr>
            <w:tcW w:w="1794"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88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7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按GB12349-1990规定执行</w:t>
            </w:r>
          </w:p>
        </w:tc>
        <w:tc>
          <w:tcPr>
            <w:tcW w:w="4892"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446"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填埋物</w:t>
            </w:r>
          </w:p>
        </w:tc>
        <w:tc>
          <w:tcPr>
            <w:tcW w:w="1794"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现场采样</w:t>
            </w:r>
          </w:p>
        </w:tc>
        <w:tc>
          <w:tcPr>
            <w:tcW w:w="288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每季度应监测1次，每次连续3天</w:t>
            </w:r>
          </w:p>
        </w:tc>
        <w:tc>
          <w:tcPr>
            <w:tcW w:w="27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立体对角线法在3个等距点采等量垃圾共20kg以上，最少采5车，总共100kg～200kg</w:t>
            </w:r>
          </w:p>
        </w:tc>
        <w:tc>
          <w:tcPr>
            <w:tcW w:w="4892"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垃圾物理成分分析、含水率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446"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苍蝇密度</w:t>
            </w:r>
          </w:p>
        </w:tc>
        <w:tc>
          <w:tcPr>
            <w:tcW w:w="1794"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每隔30m～50m设一点，放置诱蝇笼</w:t>
            </w:r>
          </w:p>
        </w:tc>
        <w:tc>
          <w:tcPr>
            <w:tcW w:w="288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苍蝇活跃季节每月应监测2次</w:t>
            </w:r>
          </w:p>
        </w:tc>
        <w:tc>
          <w:tcPr>
            <w:tcW w:w="27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日出时放诱蝇笼，日落时收笼，用杀虫剂杀灭，一并计数。</w:t>
            </w:r>
          </w:p>
        </w:tc>
        <w:tc>
          <w:tcPr>
            <w:tcW w:w="4892"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每笼计数，单位：只/（笼•d)</w:t>
            </w:r>
          </w:p>
        </w:tc>
      </w:tr>
    </w:tbl>
    <w:p>
      <w:pPr>
        <w:rPr>
          <w:rFonts w:hint="eastAsia" w:ascii="宋体" w:hAnsi="宋体" w:eastAsia="宋体"/>
          <w:sz w:val="21"/>
          <w:szCs w:val="21"/>
        </w:rPr>
      </w:pPr>
    </w:p>
    <w:p>
      <w:pPr>
        <w:rPr>
          <w:rFonts w:hint="eastAsia" w:ascii="宋体" w:hAnsi="宋体" w:eastAsia="宋体"/>
          <w:sz w:val="21"/>
          <w:szCs w:val="21"/>
        </w:rPr>
      </w:pPr>
    </w:p>
    <w:p>
      <w:pPr>
        <w:jc w:val="center"/>
        <w:rPr>
          <w:rFonts w:hint="eastAsia" w:ascii="宋体" w:hAnsi="宋体" w:eastAsia="宋体"/>
          <w:b/>
          <w:sz w:val="28"/>
          <w:szCs w:val="28"/>
        </w:rPr>
      </w:pPr>
      <w:r>
        <w:rPr>
          <w:rFonts w:hint="eastAsia" w:ascii="思源宋体 CN" w:hAnsi="思源宋体 CN" w:eastAsia="思源宋体 CN" w:cs="思源宋体 CN"/>
          <w:b/>
          <w:sz w:val="28"/>
          <w:szCs w:val="28"/>
        </w:rPr>
        <w:t>生活垃圾卫生填埋场环境监测项目分析方法</w:t>
      </w:r>
    </w:p>
    <w:p>
      <w:pPr>
        <w:jc w:val="center"/>
        <w:rPr>
          <w:rFonts w:hint="eastAsia" w:ascii="宋体" w:hAnsi="宋体" w:eastAsia="宋体"/>
          <w:sz w:val="21"/>
          <w:szCs w:val="21"/>
        </w:rPr>
      </w:pPr>
      <w:r>
        <w:rPr>
          <w:rFonts w:hint="eastAsia" w:ascii="思源宋体 CN" w:hAnsi="思源宋体 CN" w:eastAsia="思源宋体 CN" w:cs="思源宋体 CN"/>
          <w:sz w:val="21"/>
          <w:szCs w:val="21"/>
        </w:rPr>
        <w:t>（按GB/T18772-2017要求执行）</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430"/>
        <w:gridCol w:w="3600"/>
        <w:gridCol w:w="396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序号</w:t>
            </w:r>
          </w:p>
        </w:tc>
        <w:tc>
          <w:tcPr>
            <w:tcW w:w="2430" w:type="dxa"/>
            <w:shd w:val="clear" w:color="auto" w:fill="auto"/>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类别</w:t>
            </w:r>
          </w:p>
        </w:tc>
        <w:tc>
          <w:tcPr>
            <w:tcW w:w="3600" w:type="dxa"/>
            <w:shd w:val="clear" w:color="auto" w:fill="auto"/>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监测项目</w:t>
            </w:r>
          </w:p>
        </w:tc>
        <w:tc>
          <w:tcPr>
            <w:tcW w:w="3960" w:type="dxa"/>
            <w:shd w:val="clear" w:color="auto" w:fill="auto"/>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分析方法</w:t>
            </w:r>
          </w:p>
        </w:tc>
        <w:tc>
          <w:tcPr>
            <w:tcW w:w="3240" w:type="dxa"/>
            <w:shd w:val="clear" w:color="auto" w:fill="auto"/>
            <w:noWrap w:val="0"/>
            <w:vAlign w:val="center"/>
          </w:tcPr>
          <w:p>
            <w:pPr>
              <w:spacing w:line="240" w:lineRule="auto"/>
              <w:ind w:left="0" w:leftChars="0" w:firstLine="0" w:firstLineChars="0"/>
              <w:jc w:val="both"/>
              <w:rPr>
                <w:rFonts w:hint="eastAsia" w:ascii="宋体" w:hAnsi="宋体" w:eastAsia="宋体" w:cs="宋体"/>
                <w:b/>
                <w:sz w:val="21"/>
                <w:szCs w:val="21"/>
              </w:rPr>
            </w:pPr>
            <w:r>
              <w:rPr>
                <w:rFonts w:hint="eastAsia" w:ascii="宋体" w:hAnsi="宋体" w:eastAsia="宋体" w:cs="宋体"/>
                <w:b/>
                <w:sz w:val="21"/>
                <w:szCs w:val="21"/>
              </w:rPr>
              <w:t>方法来源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2430"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大气污染物监测</w:t>
            </w: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臭气浓度</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三点比较式臭袋法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GB/T14675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甲烷</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气相色谱分析法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总悬浮颗粒物</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重量法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GB/T15432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硫化氢</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气相色谱法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GB/T14678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氨</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次氯酸钠-水杨酸分光光度法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GB/T146792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甲硫醇</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气相色谱法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GB/T14678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氮氧化合物</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Saltzman法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GB/T15436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2430"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填埋气体</w:t>
            </w: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甲烷</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气相色谱分析法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二氧化碳</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气相色谱分析法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氧气</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气相色谱分析法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硫化氢</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气相色谱分析法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GB/T14678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氨</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次氯酸钠-水杨酸分光光度法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GB/T146792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2430"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渗滤液</w:t>
            </w: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悬浮物</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重量法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化学需氧量</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重铬酸盐法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GB/T11914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五日生化需氧量</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稀释与接种法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氨氮</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纲氏试剂比色法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蒸馏和滴定法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大肠菌值</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多管发酵法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2430"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填埋场外排水</w:t>
            </w: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PH</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玻璃电极法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GB/T6920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悬浮物</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重量法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化学需氧量</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重铬酸盐法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GB/T11914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五日生化需氧量</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稀释与接种法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氨氮</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纲氏试剂比色法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蒸馏和滴定法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粪大肠菌群</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多管发酵法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2430"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地下水</w:t>
            </w: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pH</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玻璃电极法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GB/T6920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浊度</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肉眼可见物</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嗅味</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色度</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高锰酸盐指数</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酸性或碱性高锰酸钾氧化法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GB/T11892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硫酸盐</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重量法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GB/T11899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火焰原子吸收分光光度法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GB/T13196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溶解性总固体</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氯化物</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硝酸银滴定法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GB/T11896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钙和镁总量</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EDTA滴定法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挥发酚</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蒸馏后4-氨基安替比林分光光度法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氨氮</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纳氏试剂比色法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蒸馏和滴定法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硝酸盐氮</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酚二磺酸分光光度法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麝香草酚分光光度法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亚硝酸盐</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分光光度法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总大肠菌群</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多管发酵法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细菌总数</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平皿计数法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铅</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原子吸收分光光度法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双硫腙分光光度法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铬（六价）</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二苯碳酰二肼分光光度法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镉</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原子吸收分光光度法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双硫腙分光光度法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总汞</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冷原子吸收分光光度法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vMerge w:val="restart"/>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总砷</w:t>
            </w: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二乙基二硫代氨基甲酸银分光光度法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GB/T7485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243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600" w:type="dxa"/>
            <w:vMerge w:val="continue"/>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c>
          <w:tcPr>
            <w:tcW w:w="396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氯化物发生原子吸收法</w:t>
            </w:r>
          </w:p>
        </w:tc>
        <w:tc>
          <w:tcPr>
            <w:tcW w:w="3240" w:type="dxa"/>
            <w:shd w:val="clear" w:color="auto" w:fill="auto"/>
            <w:noWrap w:val="0"/>
            <w:vAlign w:val="center"/>
          </w:tcPr>
          <w:p>
            <w:pPr>
              <w:widowControl/>
              <w:tabs>
                <w:tab w:val="left" w:pos="601"/>
              </w:tabs>
              <w:spacing w:line="240" w:lineRule="auto"/>
              <w:ind w:left="0" w:leftChars="0" w:firstLine="0" w:firstLineChars="0"/>
              <w:jc w:val="left"/>
              <w:rPr>
                <w:rFonts w:hint="eastAsia" w:ascii="宋体" w:hAnsi="宋体" w:eastAsia="宋体" w:cs="宋体"/>
                <w:color w:val="000000"/>
                <w:kern w:val="0"/>
                <w:sz w:val="21"/>
                <w:szCs w:val="21"/>
              </w:rPr>
            </w:pPr>
          </w:p>
        </w:tc>
      </w:tr>
    </w:tbl>
    <w:p>
      <w:pPr>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sectPr>
          <w:pgSz w:w="16839" w:h="11906" w:orient="landscape"/>
          <w:pgMar w:top="1580" w:right="1431" w:bottom="1580" w:left="1166" w:header="850" w:footer="992" w:gutter="0"/>
          <w:pgNumType w:fmt="decimal"/>
          <w:cols w:space="720" w:num="1"/>
        </w:sectPr>
      </w:pPr>
    </w:p>
    <w:p>
      <w:pPr>
        <w:pStyle w:val="3"/>
        <w:numPr>
          <w:ilvl w:val="0"/>
          <w:numId w:val="0"/>
        </w:numPr>
        <w:bidi w:val="0"/>
        <w:spacing w:line="360" w:lineRule="auto"/>
        <w:ind w:firstLine="2249" w:firstLineChars="700"/>
        <w:jc w:val="both"/>
        <w:rPr>
          <w:rFonts w:hint="eastAsia" w:ascii="宋体" w:hAnsi="宋体" w:eastAsia="宋体" w:cs="宋体"/>
          <w:color w:val="auto"/>
          <w:lang w:val="en-US" w:eastAsia="zh-CN"/>
        </w:rPr>
      </w:pPr>
      <w:bookmarkStart w:id="51" w:name="_Toc16274"/>
      <w:r>
        <w:rPr>
          <w:rFonts w:hint="eastAsia" w:ascii="宋体" w:hAnsi="宋体" w:eastAsia="宋体" w:cs="宋体"/>
          <w:color w:val="auto"/>
          <w:szCs w:val="22"/>
          <w:highlight w:val="none"/>
          <w:lang w:val="en-US" w:eastAsia="zh-CN"/>
        </w:rPr>
        <w:t>第五章  竞争性磋商响应文件</w:t>
      </w:r>
      <w:bookmarkEnd w:id="51"/>
    </w:p>
    <w:p>
      <w:pPr>
        <w:spacing w:line="360" w:lineRule="auto"/>
        <w:jc w:val="left"/>
        <w:rPr>
          <w:rFonts w:hint="eastAsia" w:ascii="宋体" w:hAnsi="宋体" w:eastAsia="宋体" w:cs="宋体"/>
          <w:b/>
          <w:color w:val="auto"/>
          <w:sz w:val="28"/>
          <w:szCs w:val="28"/>
          <w:highlight w:val="none"/>
          <w:lang w:bidi="ar"/>
        </w:rPr>
      </w:pPr>
    </w:p>
    <w:p>
      <w:pPr>
        <w:pStyle w:val="10"/>
        <w:spacing w:line="360" w:lineRule="auto"/>
        <w:ind w:firstLine="141" w:firstLineChars="50"/>
        <w:jc w:val="both"/>
        <w:rPr>
          <w:rFonts w:hint="eastAsia" w:ascii="宋体" w:hAnsi="宋体" w:eastAsia="宋体" w:cs="宋体"/>
          <w:b/>
          <w:color w:val="auto"/>
          <w:sz w:val="28"/>
          <w:szCs w:val="28"/>
          <w:highlight w:val="none"/>
          <w:lang w:bidi="ar"/>
        </w:rPr>
      </w:pPr>
      <w:r>
        <w:rPr>
          <w:rFonts w:hint="eastAsia" w:ascii="宋体" w:hAnsi="宋体" w:eastAsia="宋体" w:cs="宋体"/>
          <w:b/>
          <w:color w:val="auto"/>
          <w:sz w:val="28"/>
          <w:szCs w:val="28"/>
          <w:highlight w:val="none"/>
          <w:lang w:bidi="ar"/>
        </w:rPr>
        <w:t>采购项目编号：</w:t>
      </w:r>
      <w:r>
        <w:rPr>
          <w:rFonts w:hint="eastAsia" w:ascii="宋体" w:hAnsi="宋体" w:eastAsia="宋体" w:cs="宋体"/>
          <w:b/>
          <w:color w:val="auto"/>
          <w:sz w:val="28"/>
          <w:szCs w:val="28"/>
          <w:highlight w:val="none"/>
          <w:lang w:val="en-US" w:eastAsia="zh-CN" w:bidi="ar"/>
        </w:rPr>
        <w:t xml:space="preserve"> </w:t>
      </w:r>
      <w:r>
        <w:rPr>
          <w:rFonts w:hint="eastAsia" w:hAnsi="宋体" w:cs="宋体"/>
          <w:b/>
          <w:color w:val="auto"/>
          <w:sz w:val="28"/>
          <w:szCs w:val="28"/>
          <w:highlight w:val="none"/>
          <w:lang w:val="en-US" w:eastAsia="zh-CN" w:bidi="ar"/>
        </w:rPr>
        <w:t xml:space="preserve">                                </w:t>
      </w:r>
      <w:r>
        <w:rPr>
          <w:rFonts w:hint="eastAsia" w:ascii="宋体" w:hAnsi="宋体" w:eastAsia="宋体" w:cs="宋体"/>
          <w:b/>
          <w:color w:val="auto"/>
          <w:sz w:val="28"/>
          <w:szCs w:val="28"/>
          <w:highlight w:val="none"/>
          <w:lang w:bidi="ar"/>
        </w:rPr>
        <w:t>（正本或副本）</w:t>
      </w:r>
    </w:p>
    <w:p>
      <w:pPr>
        <w:spacing w:line="360" w:lineRule="auto"/>
        <w:rPr>
          <w:rFonts w:hint="eastAsia" w:ascii="宋体" w:hAnsi="宋体" w:eastAsia="宋体" w:cs="宋体"/>
          <w:color w:val="auto"/>
          <w:highlight w:val="none"/>
        </w:rPr>
      </w:pPr>
    </w:p>
    <w:p>
      <w:pPr>
        <w:pStyle w:val="8"/>
        <w:spacing w:line="360" w:lineRule="auto"/>
        <w:ind w:left="0" w:leftChars="0" w:firstLine="0" w:firstLineChars="0"/>
        <w:rPr>
          <w:rFonts w:hint="eastAsia" w:ascii="宋体" w:hAnsi="宋体" w:eastAsia="宋体" w:cs="宋体"/>
          <w:color w:val="auto"/>
          <w:highlight w:val="none"/>
        </w:rPr>
      </w:pPr>
    </w:p>
    <w:p>
      <w:pPr>
        <w:pStyle w:val="8"/>
        <w:spacing w:line="360" w:lineRule="auto"/>
        <w:ind w:left="0" w:leftChars="0" w:firstLine="0" w:firstLineChars="0"/>
        <w:rPr>
          <w:rFonts w:hint="eastAsia" w:ascii="宋体" w:hAnsi="宋体" w:eastAsia="宋体" w:cs="宋体"/>
          <w:color w:val="auto"/>
          <w:highlight w:val="none"/>
        </w:rPr>
      </w:pPr>
    </w:p>
    <w:p>
      <w:pPr>
        <w:pStyle w:val="23"/>
        <w:spacing w:line="360" w:lineRule="auto"/>
        <w:jc w:val="center"/>
        <w:rPr>
          <w:rFonts w:hint="eastAsia" w:ascii="宋体" w:hAnsi="宋体" w:eastAsia="宋体" w:cs="宋体"/>
          <w:b/>
          <w:bCs/>
          <w:color w:val="auto"/>
          <w:sz w:val="52"/>
          <w:szCs w:val="52"/>
          <w:highlight w:val="none"/>
          <w:lang w:eastAsia="zh-CN"/>
        </w:rPr>
      </w:pPr>
      <w:r>
        <w:rPr>
          <w:rFonts w:hint="eastAsia" w:ascii="宋体" w:hAnsi="宋体" w:eastAsia="宋体" w:cs="宋体"/>
          <w:b/>
          <w:bCs/>
          <w:color w:val="auto"/>
          <w:sz w:val="52"/>
          <w:szCs w:val="52"/>
          <w:highlight w:val="none"/>
          <w:lang w:val="en-US" w:eastAsia="zh-CN"/>
        </w:rPr>
        <w:t>店塔镇生活垃圾填埋场运营管理项目</w:t>
      </w:r>
    </w:p>
    <w:p>
      <w:pPr>
        <w:pStyle w:val="23"/>
        <w:spacing w:line="360" w:lineRule="auto"/>
        <w:rPr>
          <w:rFonts w:hint="eastAsia" w:ascii="宋体" w:hAnsi="宋体" w:eastAsia="宋体" w:cs="宋体"/>
          <w:b/>
          <w:bCs/>
          <w:color w:val="auto"/>
          <w:sz w:val="44"/>
          <w:szCs w:val="44"/>
          <w:highlight w:val="none"/>
          <w:lang w:eastAsia="zh-CN"/>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竞争性</w:t>
      </w:r>
      <w:r>
        <w:rPr>
          <w:rFonts w:hint="eastAsia" w:ascii="宋体" w:hAnsi="宋体" w:eastAsia="宋体" w:cs="宋体"/>
          <w:b/>
          <w:color w:val="auto"/>
          <w:sz w:val="72"/>
          <w:szCs w:val="72"/>
          <w:highlight w:val="none"/>
          <w:lang w:eastAsia="zh-CN"/>
        </w:rPr>
        <w:t>磋商</w:t>
      </w:r>
      <w:r>
        <w:rPr>
          <w:rFonts w:hint="eastAsia" w:ascii="宋体" w:hAnsi="宋体" w:eastAsia="宋体" w:cs="宋体"/>
          <w:b/>
          <w:color w:val="auto"/>
          <w:sz w:val="72"/>
          <w:szCs w:val="72"/>
          <w:highlight w:val="none"/>
        </w:rPr>
        <w:t>响应文件</w:t>
      </w:r>
    </w:p>
    <w:p>
      <w:pPr>
        <w:tabs>
          <w:tab w:val="center" w:pos="5346"/>
        </w:tabs>
        <w:spacing w:line="360" w:lineRule="auto"/>
        <w:ind w:left="0" w:leftChars="0" w:firstLine="0" w:firstLineChars="0"/>
        <w:jc w:val="both"/>
        <w:rPr>
          <w:rFonts w:hint="eastAsia" w:ascii="宋体" w:hAnsi="宋体" w:eastAsia="宋体" w:cs="宋体"/>
          <w:b/>
          <w:color w:val="auto"/>
          <w:sz w:val="32"/>
          <w:szCs w:val="32"/>
          <w:highlight w:val="none"/>
        </w:rPr>
      </w:pPr>
    </w:p>
    <w:p>
      <w:pPr>
        <w:pStyle w:val="2"/>
        <w:rPr>
          <w:rFonts w:hint="eastAsia" w:ascii="宋体" w:hAnsi="宋体" w:eastAsia="宋体" w:cs="宋体"/>
          <w:b/>
          <w:color w:val="auto"/>
          <w:sz w:val="32"/>
          <w:szCs w:val="32"/>
          <w:highlight w:val="none"/>
        </w:rPr>
      </w:pPr>
    </w:p>
    <w:p>
      <w:pPr>
        <w:rPr>
          <w:rFonts w:hint="eastAsia"/>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tabs>
          <w:tab w:val="center" w:pos="5346"/>
        </w:tabs>
        <w:spacing w:line="360" w:lineRule="auto"/>
        <w:ind w:firstLine="1205" w:firstLineChars="400"/>
        <w:jc w:val="both"/>
        <w:rPr>
          <w:rFonts w:hint="eastAsia" w:ascii="宋体" w:hAnsi="宋体" w:eastAsia="宋体" w:cs="宋体"/>
          <w:b/>
          <w:color w:val="auto"/>
          <w:sz w:val="30"/>
          <w:szCs w:val="30"/>
          <w:highlight w:val="none"/>
        </w:rPr>
      </w:pPr>
      <w:r>
        <w:rPr>
          <w:rFonts w:hint="eastAsia" w:ascii="宋体" w:hAnsi="宋体" w:cs="宋体"/>
          <w:b/>
          <w:color w:val="auto"/>
          <w:sz w:val="30"/>
          <w:szCs w:val="30"/>
          <w:highlight w:val="none"/>
          <w:lang w:eastAsia="zh-CN"/>
        </w:rPr>
        <w:t>供应商</w:t>
      </w:r>
      <w:r>
        <w:rPr>
          <w:rFonts w:hint="eastAsia" w:ascii="宋体" w:hAnsi="宋体" w:eastAsia="宋体" w:cs="宋体"/>
          <w:b/>
          <w:color w:val="auto"/>
          <w:sz w:val="30"/>
          <w:szCs w:val="30"/>
          <w:highlight w:val="none"/>
        </w:rPr>
        <w:t>名称：</w:t>
      </w:r>
      <w:r>
        <w:rPr>
          <w:rFonts w:hint="eastAsia" w:ascii="宋体" w:hAnsi="宋体" w:eastAsia="宋体" w:cs="宋体"/>
          <w:b/>
          <w:color w:val="auto"/>
          <w:sz w:val="30"/>
          <w:szCs w:val="30"/>
          <w:highlight w:val="none"/>
          <w:u w:val="single"/>
        </w:rPr>
        <w:t xml:space="preserve">       </w:t>
      </w:r>
      <w:r>
        <w:rPr>
          <w:rFonts w:hint="eastAsia" w:ascii="宋体" w:hAnsi="宋体" w:eastAsia="宋体" w:cs="宋体"/>
          <w:b/>
          <w:color w:val="auto"/>
          <w:sz w:val="30"/>
          <w:szCs w:val="30"/>
          <w:highlight w:val="none"/>
          <w:u w:val="single"/>
          <w:lang w:val="en-US" w:eastAsia="zh-CN"/>
        </w:rPr>
        <w:t xml:space="preserve">   </w:t>
      </w:r>
      <w:r>
        <w:rPr>
          <w:rFonts w:hint="eastAsia" w:ascii="宋体" w:hAnsi="宋体" w:eastAsia="宋体" w:cs="宋体"/>
          <w:b/>
          <w:color w:val="auto"/>
          <w:sz w:val="30"/>
          <w:szCs w:val="30"/>
          <w:highlight w:val="none"/>
          <w:u w:val="single"/>
        </w:rPr>
        <w:t xml:space="preserve">                 </w:t>
      </w:r>
      <w:r>
        <w:rPr>
          <w:rFonts w:hint="eastAsia" w:ascii="宋体" w:hAnsi="宋体" w:eastAsia="宋体" w:cs="宋体"/>
          <w:b/>
          <w:color w:val="auto"/>
          <w:sz w:val="30"/>
          <w:szCs w:val="30"/>
          <w:highlight w:val="none"/>
          <w:u w:val="single"/>
          <w:lang w:val="en-US" w:eastAsia="zh-CN"/>
        </w:rPr>
        <w:t xml:space="preserve"> </w:t>
      </w:r>
      <w:r>
        <w:rPr>
          <w:rFonts w:hint="eastAsia" w:ascii="宋体" w:hAnsi="宋体" w:eastAsia="宋体" w:cs="宋体"/>
          <w:b/>
          <w:color w:val="auto"/>
          <w:sz w:val="30"/>
          <w:szCs w:val="30"/>
          <w:highlight w:val="none"/>
        </w:rPr>
        <w:t>（</w:t>
      </w:r>
      <w:r>
        <w:rPr>
          <w:rFonts w:hint="eastAsia" w:ascii="宋体" w:hAnsi="宋体" w:eastAsia="宋体" w:cs="宋体"/>
          <w:b/>
          <w:color w:val="auto"/>
          <w:sz w:val="30"/>
          <w:szCs w:val="30"/>
          <w:highlight w:val="none"/>
          <w:lang w:eastAsia="zh-CN"/>
        </w:rPr>
        <w:t>盖</w:t>
      </w:r>
      <w:r>
        <w:rPr>
          <w:rFonts w:hint="eastAsia" w:ascii="宋体" w:hAnsi="宋体" w:eastAsia="宋体" w:cs="宋体"/>
          <w:b/>
          <w:color w:val="auto"/>
          <w:sz w:val="30"/>
          <w:szCs w:val="30"/>
          <w:highlight w:val="none"/>
        </w:rPr>
        <w:t>章）</w:t>
      </w:r>
    </w:p>
    <w:p>
      <w:pPr>
        <w:pStyle w:val="8"/>
        <w:spacing w:line="360" w:lineRule="auto"/>
        <w:ind w:left="0" w:leftChars="0" w:firstLine="0" w:firstLineChars="0"/>
        <w:jc w:val="center"/>
        <w:rPr>
          <w:rFonts w:hint="eastAsia" w:ascii="宋体" w:hAnsi="宋体" w:eastAsia="宋体" w:cs="宋体"/>
          <w:b/>
          <w:color w:val="auto"/>
          <w:sz w:val="30"/>
          <w:szCs w:val="30"/>
          <w:highlight w:val="none"/>
        </w:rPr>
      </w:pPr>
      <w:r>
        <w:rPr>
          <w:rFonts w:hint="eastAsia" w:ascii="宋体" w:hAnsi="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rPr>
        <w:t>法定代表人或</w:t>
      </w:r>
      <w:r>
        <w:rPr>
          <w:rFonts w:hint="eastAsia" w:ascii="宋体" w:hAnsi="宋体" w:eastAsia="宋体" w:cs="宋体"/>
          <w:b/>
          <w:color w:val="auto"/>
          <w:sz w:val="30"/>
          <w:szCs w:val="30"/>
          <w:highlight w:val="none"/>
          <w:lang w:eastAsia="zh-CN"/>
        </w:rPr>
        <w:t>被授权人</w:t>
      </w:r>
      <w:r>
        <w:rPr>
          <w:rFonts w:hint="eastAsia" w:ascii="宋体" w:hAnsi="宋体" w:eastAsia="宋体" w:cs="宋体"/>
          <w:color w:val="auto"/>
          <w:sz w:val="30"/>
          <w:szCs w:val="30"/>
          <w:highlight w:val="none"/>
        </w:rPr>
        <w:t>：</w:t>
      </w:r>
      <w:r>
        <w:rPr>
          <w:rFonts w:hint="eastAsia" w:ascii="宋体" w:hAnsi="宋体" w:eastAsia="宋体" w:cs="宋体"/>
          <w:b/>
          <w:color w:val="auto"/>
          <w:sz w:val="30"/>
          <w:szCs w:val="30"/>
          <w:highlight w:val="none"/>
          <w:u w:val="single"/>
        </w:rPr>
        <w:t xml:space="preserve">           </w:t>
      </w:r>
      <w:r>
        <w:rPr>
          <w:rFonts w:hint="eastAsia" w:ascii="宋体" w:hAnsi="宋体" w:eastAsia="宋体" w:cs="宋体"/>
          <w:b/>
          <w:color w:val="auto"/>
          <w:sz w:val="30"/>
          <w:szCs w:val="30"/>
          <w:highlight w:val="none"/>
        </w:rPr>
        <w:t>（</w:t>
      </w:r>
      <w:r>
        <w:rPr>
          <w:rFonts w:hint="eastAsia" w:ascii="宋体" w:hAnsi="宋体" w:eastAsia="宋体" w:cs="宋体"/>
          <w:b/>
          <w:color w:val="auto"/>
          <w:sz w:val="30"/>
          <w:szCs w:val="30"/>
          <w:highlight w:val="none"/>
          <w:lang w:eastAsia="zh-CN"/>
        </w:rPr>
        <w:t>签字或盖章</w:t>
      </w:r>
      <w:r>
        <w:rPr>
          <w:rFonts w:hint="eastAsia" w:ascii="宋体" w:hAnsi="宋体" w:eastAsia="宋体" w:cs="宋体"/>
          <w:b/>
          <w:color w:val="auto"/>
          <w:sz w:val="30"/>
          <w:szCs w:val="30"/>
          <w:highlight w:val="none"/>
        </w:rPr>
        <w:t>）</w:t>
      </w:r>
    </w:p>
    <w:p>
      <w:pPr>
        <w:pStyle w:val="8"/>
        <w:spacing w:line="360" w:lineRule="auto"/>
        <w:ind w:firstLine="960" w:firstLineChars="400"/>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 xml:space="preserve">年  </w:t>
      </w:r>
      <w:r>
        <w:rPr>
          <w:rFonts w:hint="eastAsia" w:ascii="宋体"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rPr>
        <w:t xml:space="preserve"> 月    日</w:t>
      </w:r>
      <w:bookmarkStart w:id="52" w:name="_Toc403077647"/>
      <w:bookmarkStart w:id="53" w:name="_Toc363474026"/>
    </w:p>
    <w:bookmarkEnd w:id="52"/>
    <w:bookmarkEnd w:id="53"/>
    <w:p>
      <w:pPr>
        <w:tabs>
          <w:tab w:val="left" w:pos="3329"/>
        </w:tabs>
        <w:spacing w:line="360" w:lineRule="auto"/>
        <w:jc w:val="center"/>
        <w:rPr>
          <w:rFonts w:hint="eastAsia" w:ascii="宋体" w:hAnsi="宋体" w:eastAsia="宋体" w:cs="宋体"/>
          <w:b/>
          <w:color w:val="auto"/>
          <w:sz w:val="44"/>
        </w:rPr>
      </w:pPr>
    </w:p>
    <w:p>
      <w:pPr>
        <w:tabs>
          <w:tab w:val="left" w:pos="3329"/>
        </w:tabs>
        <w:spacing w:line="360" w:lineRule="auto"/>
        <w:jc w:val="center"/>
        <w:rPr>
          <w:rFonts w:hint="eastAsia" w:ascii="宋体" w:hAnsi="宋体" w:eastAsia="宋体" w:cs="宋体"/>
          <w:b/>
          <w:color w:val="auto"/>
          <w:sz w:val="44"/>
        </w:rPr>
      </w:pPr>
      <w:r>
        <w:rPr>
          <w:rFonts w:hint="eastAsia" w:ascii="宋体" w:hAnsi="宋体" w:eastAsia="宋体" w:cs="宋体"/>
          <w:b/>
          <w:color w:val="auto"/>
          <w:sz w:val="44"/>
        </w:rPr>
        <w:t>目  录</w:t>
      </w:r>
    </w:p>
    <w:p>
      <w:pPr>
        <w:spacing w:line="360" w:lineRule="auto"/>
        <w:jc w:val="center"/>
        <w:rPr>
          <w:rFonts w:hint="eastAsia" w:ascii="宋体" w:hAnsi="宋体" w:eastAsia="宋体" w:cs="宋体"/>
          <w:b/>
          <w:bCs/>
          <w:color w:val="auto"/>
          <w:szCs w:val="24"/>
        </w:rPr>
      </w:pPr>
      <w:r>
        <w:rPr>
          <w:rFonts w:hint="eastAsia" w:ascii="宋体" w:hAnsi="宋体" w:eastAsia="宋体" w:cs="宋体"/>
          <w:b/>
          <w:bCs/>
          <w:color w:val="auto"/>
          <w:kern w:val="0"/>
          <w:sz w:val="24"/>
          <w:szCs w:val="24"/>
        </w:rPr>
        <w:t>(引用三级目录）</w:t>
      </w: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before="86" w:line="360" w:lineRule="auto"/>
        <w:outlineLvl w:val="1"/>
        <w:rPr>
          <w:rFonts w:hint="eastAsia" w:ascii="宋体" w:hAnsi="宋体" w:eastAsia="宋体" w:cs="宋体"/>
          <w:color w:val="auto"/>
          <w:sz w:val="43"/>
          <w:szCs w:val="43"/>
        </w:rPr>
      </w:pPr>
      <w:r>
        <w:rPr>
          <w:rFonts w:hint="eastAsia" w:ascii="宋体" w:hAnsi="宋体" w:eastAsia="宋体" w:cs="宋体"/>
          <w:bCs/>
          <w:color w:val="auto"/>
          <w:sz w:val="44"/>
        </w:rPr>
        <w:br w:type="page"/>
      </w:r>
      <w:bookmarkStart w:id="54" w:name="_Toc29065"/>
      <w:r>
        <w:rPr>
          <w:rFonts w:hint="eastAsia" w:ascii="宋体" w:hAnsi="宋体" w:cs="宋体"/>
          <w:bCs/>
          <w:color w:val="auto"/>
          <w:sz w:val="44"/>
          <w:lang w:val="en-US" w:eastAsia="zh-CN"/>
        </w:rPr>
        <w:t xml:space="preserve">     </w:t>
      </w:r>
      <w:r>
        <w:rPr>
          <w:rFonts w:hint="eastAsia" w:ascii="宋体" w:hAnsi="宋体" w:eastAsia="宋体" w:cs="宋体"/>
          <w:color w:val="auto"/>
          <w:spacing w:val="12"/>
          <w:sz w:val="43"/>
          <w:szCs w:val="43"/>
          <w14:textOutline w14:w="7972" w14:cap="sq" w14:cmpd="sng">
            <w14:solidFill>
              <w14:srgbClr w14:val="000000"/>
            </w14:solidFill>
            <w14:prstDash w14:val="solid"/>
            <w14:bevel/>
          </w14:textOutline>
        </w:rPr>
        <w:t>第</w:t>
      </w:r>
      <w:r>
        <w:rPr>
          <w:rFonts w:hint="eastAsia" w:ascii="宋体" w:hAnsi="宋体" w:eastAsia="宋体" w:cs="宋体"/>
          <w:color w:val="auto"/>
          <w:spacing w:val="9"/>
          <w:sz w:val="43"/>
          <w:szCs w:val="43"/>
          <w14:textOutline w14:w="7972" w14:cap="sq" w14:cmpd="sng">
            <w14:solidFill>
              <w14:srgbClr w14:val="000000"/>
            </w14:solidFill>
            <w14:prstDash w14:val="solid"/>
            <w14:bevel/>
          </w14:textOutline>
        </w:rPr>
        <w:t>一部分</w:t>
      </w:r>
      <w:r>
        <w:rPr>
          <w:rFonts w:hint="eastAsia" w:ascii="宋体" w:hAnsi="宋体" w:eastAsia="宋体" w:cs="宋体"/>
          <w:color w:val="auto"/>
          <w:spacing w:val="9"/>
          <w:sz w:val="43"/>
          <w:szCs w:val="43"/>
        </w:rPr>
        <w:t xml:space="preserve"> </w:t>
      </w:r>
      <w:r>
        <w:rPr>
          <w:rFonts w:hint="eastAsia" w:ascii="宋体" w:hAnsi="宋体" w:eastAsia="宋体" w:cs="宋体"/>
          <w:color w:val="auto"/>
          <w:spacing w:val="9"/>
          <w:sz w:val="43"/>
          <w:szCs w:val="43"/>
          <w14:textOutline w14:w="7972" w14:cap="sq" w14:cmpd="sng">
            <w14:solidFill>
              <w14:srgbClr w14:val="000000"/>
            </w14:solidFill>
            <w14:prstDash w14:val="solid"/>
            <w14:bevel/>
          </w14:textOutline>
        </w:rPr>
        <w:t>资格证明文件</w:t>
      </w:r>
      <w:bookmarkEnd w:id="54"/>
    </w:p>
    <w:p>
      <w:pPr>
        <w:spacing w:before="91" w:line="360" w:lineRule="auto"/>
        <w:ind w:right="61" w:firstLine="556"/>
        <w:rPr>
          <w:rFonts w:hint="eastAsia" w:ascii="宋体" w:hAnsi="宋体" w:eastAsia="宋体" w:cs="宋体"/>
          <w:color w:val="auto"/>
          <w:sz w:val="24"/>
          <w:szCs w:val="24"/>
        </w:rPr>
      </w:pPr>
      <w:r>
        <w:rPr>
          <w:rFonts w:hint="eastAsia" w:ascii="宋体" w:hAnsi="宋体" w:eastAsia="宋体" w:cs="宋体"/>
          <w:color w:val="auto"/>
          <w:spacing w:val="-1"/>
          <w:sz w:val="24"/>
          <w:szCs w:val="24"/>
          <w14:textOutline w14:w="5103" w14:cap="sq" w14:cmpd="sng">
            <w14:solidFill>
              <w14:srgbClr w14:val="000000"/>
            </w14:solidFill>
            <w14:prstDash w14:val="solid"/>
            <w14:bevel/>
          </w14:textOutline>
        </w:rPr>
        <w:t>供应商应按照竞争性</w:t>
      </w:r>
      <w:r>
        <w:rPr>
          <w:rFonts w:hint="eastAsia" w:ascii="宋体" w:hAnsi="宋体" w:eastAsia="宋体" w:cs="宋体"/>
          <w:color w:val="auto"/>
          <w:spacing w:val="-1"/>
          <w:sz w:val="24"/>
          <w:szCs w:val="24"/>
          <w:lang w:eastAsia="zh-CN"/>
          <w14:textOutline w14:w="5103" w14:cap="sq" w14:cmpd="sng">
            <w14:solidFill>
              <w14:srgbClr w14:val="000000"/>
            </w14:solidFill>
            <w14:prstDash w14:val="solid"/>
            <w14:bevel/>
          </w14:textOutline>
        </w:rPr>
        <w:t>磋商文件</w:t>
      </w:r>
      <w:r>
        <w:rPr>
          <w:rFonts w:hint="eastAsia" w:ascii="宋体" w:hAnsi="宋体" w:eastAsia="宋体" w:cs="宋体"/>
          <w:color w:val="auto"/>
          <w:spacing w:val="-1"/>
          <w:sz w:val="24"/>
          <w:szCs w:val="24"/>
          <w14:textOutline w14:w="5103" w14:cap="sq" w14:cmpd="sng">
            <w14:solidFill>
              <w14:srgbClr w14:val="000000"/>
            </w14:solidFill>
            <w14:prstDash w14:val="solid"/>
            <w14:bevel/>
          </w14:textOutline>
        </w:rPr>
        <w:t>的要求准备编制至</w:t>
      </w:r>
      <w:r>
        <w:rPr>
          <w:rFonts w:hint="eastAsia" w:ascii="宋体" w:hAnsi="宋体" w:eastAsia="宋体" w:cs="宋体"/>
          <w:color w:val="auto"/>
          <w:sz w:val="24"/>
          <w:szCs w:val="24"/>
          <w:lang w:eastAsia="zh-CN"/>
          <w14:textOutline w14:w="5103" w14:cap="sq" w14:cmpd="sng">
            <w14:solidFill>
              <w14:srgbClr w14:val="000000"/>
            </w14:solidFill>
            <w14:prstDash w14:val="solid"/>
            <w14:bevel/>
          </w14:textOutline>
        </w:rPr>
        <w:t>磋商</w:t>
      </w:r>
      <w:r>
        <w:rPr>
          <w:rFonts w:hint="eastAsia" w:ascii="宋体" w:hAnsi="宋体" w:eastAsia="宋体" w:cs="宋体"/>
          <w:color w:val="auto"/>
          <w:sz w:val="24"/>
          <w:szCs w:val="24"/>
          <w14:textOutline w14:w="5103" w14:cap="sq" w14:cmpd="sng">
            <w14:solidFill>
              <w14:srgbClr w14:val="000000"/>
            </w14:solidFill>
            <w14:prstDash w14:val="solid"/>
            <w14:bevel/>
          </w14:textOutline>
        </w:rPr>
        <w:t>响应文件中。</w:t>
      </w:r>
      <w:r>
        <w:rPr>
          <w:rFonts w:hint="eastAsia" w:ascii="宋体" w:hAnsi="宋体" w:eastAsia="宋体" w:cs="宋体"/>
          <w:color w:val="auto"/>
          <w:sz w:val="24"/>
          <w:szCs w:val="24"/>
        </w:rPr>
        <w:t xml:space="preserve"> </w:t>
      </w:r>
      <w:r>
        <w:rPr>
          <w:rFonts w:hint="eastAsia" w:ascii="宋体" w:hAnsi="宋体" w:eastAsia="宋体" w:cs="宋体"/>
          <w:color w:val="auto"/>
          <w:spacing w:val="-1"/>
          <w:sz w:val="24"/>
          <w:szCs w:val="24"/>
          <w14:textOutline w14:w="5103" w14:cap="sq" w14:cmpd="sng">
            <w14:solidFill>
              <w14:srgbClr w14:val="000000"/>
            </w14:solidFill>
            <w14:prstDash w14:val="solid"/>
            <w14:bevel/>
          </w14:textOutline>
        </w:rPr>
        <w:t>至少应包</w:t>
      </w:r>
      <w:r>
        <w:rPr>
          <w:rFonts w:hint="eastAsia" w:ascii="宋体" w:hAnsi="宋体" w:eastAsia="宋体" w:cs="宋体"/>
          <w:color w:val="auto"/>
          <w:sz w:val="24"/>
          <w:szCs w:val="24"/>
          <w14:textOutline w14:w="5103" w14:cap="sq" w14:cmpd="sng">
            <w14:solidFill>
              <w14:srgbClr w14:val="000000"/>
            </w14:solidFill>
            <w14:prstDash w14:val="solid"/>
            <w14:bevel/>
          </w14:textOutline>
        </w:rPr>
        <w:t>括以下内容：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2"/>
        <w:rPr>
          <w:rFonts w:hint="eastAsia" w:ascii="宋体" w:hAnsi="宋体" w:eastAsia="宋体" w:cs="宋体"/>
          <w:color w:val="auto"/>
          <w:sz w:val="24"/>
          <w:szCs w:val="24"/>
          <w:lang w:eastAsia="zh-CN"/>
        </w:rPr>
      </w:pPr>
      <w:r>
        <w:rPr>
          <w:rFonts w:hint="eastAsia" w:ascii="宋体" w:hAnsi="宋体" w:eastAsia="宋体" w:cs="宋体"/>
          <w:color w:val="auto"/>
          <w:spacing w:val="-1"/>
          <w:sz w:val="24"/>
          <w:szCs w:val="24"/>
        </w:rPr>
        <w:t>一、</w:t>
      </w:r>
      <w:bookmarkStart w:id="55" w:name="_Toc28784"/>
      <w:r>
        <w:rPr>
          <w:rFonts w:hint="eastAsia" w:ascii="宋体" w:hAnsi="宋体" w:eastAsia="宋体" w:cs="宋体"/>
          <w:color w:val="auto"/>
          <w:spacing w:val="2"/>
          <w:sz w:val="24"/>
          <w:szCs w:val="24"/>
        </w:rPr>
        <w:t>供应商资</w:t>
      </w:r>
      <w:r>
        <w:rPr>
          <w:rFonts w:hint="eastAsia" w:ascii="宋体" w:hAnsi="宋体" w:eastAsia="宋体" w:cs="宋体"/>
          <w:color w:val="auto"/>
          <w:spacing w:val="1"/>
          <w:sz w:val="24"/>
          <w:szCs w:val="24"/>
        </w:rPr>
        <w:t>格证明文件 (竞争性</w:t>
      </w:r>
      <w:r>
        <w:rPr>
          <w:rFonts w:hint="eastAsia" w:ascii="宋体" w:hAnsi="宋体" w:eastAsia="宋体" w:cs="宋体"/>
          <w:color w:val="auto"/>
          <w:spacing w:val="1"/>
          <w:sz w:val="24"/>
          <w:szCs w:val="24"/>
          <w:lang w:eastAsia="zh-CN"/>
        </w:rPr>
        <w:t>磋商文件</w:t>
      </w:r>
      <w:r>
        <w:rPr>
          <w:rFonts w:hint="eastAsia" w:ascii="宋体" w:hAnsi="宋体" w:eastAsia="宋体" w:cs="宋体"/>
          <w:color w:val="auto"/>
          <w:spacing w:val="1"/>
          <w:sz w:val="24"/>
          <w:szCs w:val="24"/>
        </w:rPr>
        <w:t>规定的资格证明文件复</w:t>
      </w:r>
      <w:bookmarkEnd w:id="55"/>
      <w:r>
        <w:rPr>
          <w:rFonts w:hint="eastAsia" w:ascii="宋体" w:hAnsi="宋体" w:eastAsia="宋体" w:cs="宋体"/>
          <w:color w:val="auto"/>
          <w:spacing w:val="-6"/>
          <w:sz w:val="24"/>
          <w:szCs w:val="24"/>
        </w:rPr>
        <w:t>印</w:t>
      </w:r>
      <w:r>
        <w:rPr>
          <w:rFonts w:hint="eastAsia" w:ascii="宋体" w:hAnsi="宋体" w:eastAsia="宋体" w:cs="宋体"/>
          <w:color w:val="auto"/>
          <w:spacing w:val="-5"/>
          <w:sz w:val="24"/>
          <w:szCs w:val="24"/>
        </w:rPr>
        <w:t>件</w:t>
      </w:r>
      <w:r>
        <w:rPr>
          <w:rFonts w:hint="eastAsia" w:ascii="宋体" w:hAnsi="宋体" w:eastAsia="宋体" w:cs="宋体"/>
          <w:color w:val="auto"/>
          <w:spacing w:val="-3"/>
          <w:sz w:val="24"/>
          <w:szCs w:val="24"/>
        </w:rPr>
        <w:t>或扫描件)</w:t>
      </w:r>
      <w:r>
        <w:rPr>
          <w:rFonts w:hint="eastAsia" w:ascii="宋体" w:hAnsi="宋体" w:cs="宋体"/>
          <w:color w:val="auto"/>
          <w:spacing w:val="-3"/>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4"/>
          <w:szCs w:val="24"/>
          <w:lang w:eastAsia="zh-CN"/>
        </w:rPr>
      </w:pPr>
      <w:r>
        <w:rPr>
          <w:rFonts w:hint="eastAsia" w:ascii="宋体" w:hAnsi="宋体" w:cs="宋体"/>
          <w:color w:val="auto"/>
          <w:spacing w:val="-1"/>
          <w:sz w:val="24"/>
          <w:szCs w:val="24"/>
          <w:lang w:eastAsia="zh-CN"/>
        </w:rPr>
        <w:t>二</w:t>
      </w:r>
      <w:r>
        <w:rPr>
          <w:rFonts w:hint="eastAsia" w:ascii="宋体" w:hAnsi="宋体" w:eastAsia="宋体" w:cs="宋体"/>
          <w:color w:val="auto"/>
          <w:spacing w:val="-1"/>
          <w:sz w:val="24"/>
          <w:szCs w:val="24"/>
        </w:rPr>
        <w:t>、竞争性</w:t>
      </w:r>
      <w:r>
        <w:rPr>
          <w:rFonts w:hint="eastAsia" w:ascii="宋体" w:hAnsi="宋体" w:eastAsia="宋体" w:cs="宋体"/>
          <w:color w:val="auto"/>
          <w:spacing w:val="-1"/>
          <w:sz w:val="24"/>
          <w:szCs w:val="24"/>
          <w:lang w:eastAsia="zh-CN"/>
        </w:rPr>
        <w:t>磋商文件</w:t>
      </w:r>
      <w:r>
        <w:rPr>
          <w:rFonts w:hint="eastAsia" w:ascii="宋体" w:hAnsi="宋体" w:eastAsia="宋体" w:cs="宋体"/>
          <w:color w:val="auto"/>
          <w:spacing w:val="-1"/>
          <w:sz w:val="24"/>
          <w:szCs w:val="24"/>
        </w:rPr>
        <w:t>要</w:t>
      </w:r>
      <w:r>
        <w:rPr>
          <w:rFonts w:hint="eastAsia" w:ascii="宋体" w:hAnsi="宋体" w:eastAsia="宋体" w:cs="宋体"/>
          <w:color w:val="auto"/>
          <w:sz w:val="24"/>
          <w:szCs w:val="24"/>
        </w:rPr>
        <w:t>求的其他资格证明资料</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76" w:firstLineChars="200"/>
        <w:textAlignment w:val="auto"/>
        <w:rPr>
          <w:rFonts w:hint="eastAsia" w:ascii="宋体" w:hAnsi="宋体" w:eastAsia="宋体" w:cs="宋体"/>
          <w:color w:val="auto"/>
          <w:spacing w:val="11"/>
          <w:sz w:val="24"/>
          <w:szCs w:val="24"/>
          <w:lang w:eastAsia="zh-CN"/>
          <w14:textOutline w14:w="5103" w14:cap="sq" w14:cmpd="sng">
            <w14:solidFill>
              <w14:srgbClr w14:val="000000"/>
            </w14:solidFill>
            <w14:prstDash w14:val="solid"/>
            <w14:bevel/>
          </w14:textOutline>
        </w:rPr>
      </w:pPr>
      <w:r>
        <w:rPr>
          <w:rFonts w:hint="eastAsia" w:ascii="宋体" w:hAnsi="宋体" w:cs="宋体"/>
          <w:color w:val="auto"/>
          <w:spacing w:val="-1"/>
          <w:sz w:val="24"/>
          <w:szCs w:val="24"/>
          <w:lang w:val="en-US" w:eastAsia="zh-CN"/>
        </w:rPr>
        <w:t>三</w:t>
      </w:r>
      <w:r>
        <w:rPr>
          <w:rFonts w:hint="eastAsia" w:ascii="宋体" w:hAnsi="宋体" w:eastAsia="宋体" w:cs="宋体"/>
          <w:color w:val="auto"/>
          <w:spacing w:val="-1"/>
          <w:sz w:val="24"/>
          <w:szCs w:val="24"/>
          <w:lang w:val="en-US" w:eastAsia="zh-CN"/>
        </w:rPr>
        <w:t>、</w:t>
      </w:r>
      <w:r>
        <w:rPr>
          <w:rFonts w:hint="eastAsia" w:ascii="宋体" w:hAnsi="宋体" w:eastAsia="宋体" w:cs="宋体"/>
          <w:color w:val="auto"/>
          <w:spacing w:val="-1"/>
          <w:sz w:val="24"/>
          <w:szCs w:val="24"/>
        </w:rPr>
        <w:t>法定代表人证明书及授权书</w:t>
      </w:r>
      <w:r>
        <w:rPr>
          <w:rFonts w:hint="eastAsia" w:ascii="宋体" w:hAnsi="宋体" w:cs="宋体"/>
          <w:color w:val="auto"/>
          <w:spacing w:val="-1"/>
          <w:sz w:val="24"/>
          <w:szCs w:val="24"/>
          <w:lang w:eastAsia="zh-CN"/>
        </w:rPr>
        <w:t>；</w:t>
      </w: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pStyle w:val="2"/>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rPr>
          <w:rFonts w:hint="eastAsia"/>
        </w:rPr>
      </w:pPr>
    </w:p>
    <w:p>
      <w:pPr>
        <w:rPr>
          <w:rFonts w:hint="eastAsia"/>
        </w:rPr>
      </w:pPr>
    </w:p>
    <w:p>
      <w:pPr>
        <w:pStyle w:val="2"/>
        <w:rPr>
          <w:rFonts w:hint="eastAsia"/>
        </w:rPr>
      </w:pPr>
    </w:p>
    <w:p>
      <w:pPr>
        <w:rPr>
          <w:rFonts w:hint="eastAsia"/>
        </w:rPr>
      </w:pPr>
    </w:p>
    <w:p>
      <w:pPr>
        <w:rPr>
          <w:rFonts w:hint="eastAsia"/>
        </w:rPr>
      </w:pP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pStyle w:val="2"/>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rPr>
          <w:rFonts w:hint="eastAsia"/>
        </w:rPr>
      </w:pPr>
    </w:p>
    <w:p>
      <w:pPr>
        <w:pStyle w:val="2"/>
        <w:rPr>
          <w:rFonts w:hint="eastAsia"/>
        </w:rPr>
      </w:pP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spacing w:before="181" w:line="360" w:lineRule="auto"/>
        <w:ind w:left="2475"/>
        <w:outlineLvl w:val="2"/>
        <w:rPr>
          <w:rFonts w:hint="eastAsia" w:ascii="宋体" w:hAnsi="宋体" w:eastAsia="宋体" w:cs="宋体"/>
          <w:b/>
          <w:kern w:val="0"/>
          <w:sz w:val="28"/>
          <w:szCs w:val="28"/>
          <w:shd w:val="clear" w:color="auto" w:fill="FFFFFF"/>
          <w:lang w:val="en-US" w:eastAsia="zh-CN" w:bidi="ar-SA"/>
        </w:rPr>
      </w:pPr>
      <w:r>
        <w:rPr>
          <w:rFonts w:hint="eastAsia" w:ascii="宋体" w:hAnsi="宋体" w:eastAsia="宋体" w:cs="宋体"/>
          <w:b/>
          <w:kern w:val="0"/>
          <w:sz w:val="28"/>
          <w:szCs w:val="28"/>
          <w:shd w:val="clear" w:color="auto" w:fill="FFFFFF"/>
          <w:lang w:val="en-US" w:eastAsia="zh-CN" w:bidi="ar-SA"/>
        </w:rPr>
        <w:t>(一)法定代表人证明书</w:t>
      </w:r>
    </w:p>
    <w:tbl>
      <w:tblPr>
        <w:tblStyle w:val="24"/>
        <w:tblW w:w="87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2038"/>
        <w:gridCol w:w="1906"/>
        <w:gridCol w:w="1334"/>
        <w:gridCol w:w="23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8740" w:type="dxa"/>
            <w:gridSpan w:val="5"/>
            <w:vAlign w:val="top"/>
          </w:tcPr>
          <w:p>
            <w:pPr>
              <w:spacing w:before="200" w:line="360" w:lineRule="auto"/>
              <w:ind w:left="0" w:leftChars="0" w:firstLine="0" w:firstLineChars="0"/>
              <w:rPr>
                <w:rFonts w:hint="eastAsia" w:ascii="宋体" w:hAnsi="宋体" w:eastAsia="宋体" w:cs="宋体"/>
                <w:color w:val="auto"/>
                <w:sz w:val="23"/>
                <w:szCs w:val="23"/>
              </w:rPr>
            </w:pPr>
            <w:r>
              <w:rPr>
                <w:rFonts w:hint="eastAsia" w:ascii="宋体" w:hAnsi="宋体" w:eastAsia="宋体" w:cs="宋体"/>
                <w:color w:val="auto"/>
                <w:spacing w:val="17"/>
                <w:sz w:val="23"/>
                <w:szCs w:val="23"/>
              </w:rPr>
              <w:t>致</w:t>
            </w:r>
            <w:r>
              <w:rPr>
                <w:rFonts w:hint="eastAsia" w:ascii="宋体" w:hAnsi="宋体" w:eastAsia="宋体" w:cs="宋体"/>
                <w:color w:val="auto"/>
                <w:spacing w:val="9"/>
                <w:sz w:val="23"/>
                <w:szCs w:val="23"/>
              </w:rPr>
              <w:t>：华春建设工程项目管理有限责任公司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084" w:type="dxa"/>
            <w:vMerge w:val="restart"/>
            <w:tcBorders>
              <w:bottom w:val="nil"/>
            </w:tcBorders>
            <w:textDirection w:val="tbRlV"/>
            <w:vAlign w:val="top"/>
          </w:tcPr>
          <w:p>
            <w:pPr>
              <w:spacing w:line="360" w:lineRule="auto"/>
              <w:rPr>
                <w:rFonts w:hint="eastAsia" w:ascii="宋体" w:hAnsi="宋体" w:eastAsia="宋体" w:cs="宋体"/>
                <w:color w:val="auto"/>
                <w:sz w:val="21"/>
              </w:rPr>
            </w:pPr>
          </w:p>
          <w:p>
            <w:pPr>
              <w:spacing w:before="77" w:line="360" w:lineRule="auto"/>
              <w:ind w:left="696"/>
              <w:rPr>
                <w:rFonts w:hint="eastAsia" w:ascii="宋体" w:hAnsi="宋体" w:eastAsia="宋体" w:cs="宋体"/>
                <w:color w:val="auto"/>
                <w:sz w:val="23"/>
                <w:szCs w:val="23"/>
              </w:rPr>
            </w:pPr>
            <w:r>
              <w:rPr>
                <w:rFonts w:hint="eastAsia" w:ascii="宋体" w:hAnsi="宋体" w:eastAsia="宋体" w:cs="宋体"/>
                <w:color w:val="auto"/>
                <w:spacing w:val="13"/>
                <w:sz w:val="23"/>
                <w:szCs w:val="23"/>
              </w:rPr>
              <w:t>企  业  法  人</w:t>
            </w:r>
          </w:p>
        </w:tc>
        <w:tc>
          <w:tcPr>
            <w:tcW w:w="2038" w:type="dxa"/>
            <w:vAlign w:val="top"/>
          </w:tcPr>
          <w:p>
            <w:pPr>
              <w:spacing w:before="195" w:line="360" w:lineRule="auto"/>
              <w:rPr>
                <w:rFonts w:hint="eastAsia" w:ascii="宋体" w:hAnsi="宋体" w:eastAsia="宋体" w:cs="宋体"/>
                <w:color w:val="auto"/>
                <w:sz w:val="23"/>
                <w:szCs w:val="23"/>
              </w:rPr>
            </w:pPr>
            <w:r>
              <w:rPr>
                <w:rFonts w:hint="eastAsia" w:ascii="宋体" w:hAnsi="宋体" w:eastAsia="宋体" w:cs="宋体"/>
                <w:color w:val="auto"/>
                <w:spacing w:val="8"/>
                <w:sz w:val="23"/>
                <w:szCs w:val="23"/>
              </w:rPr>
              <w:t>供应商名称</w:t>
            </w:r>
          </w:p>
        </w:tc>
        <w:tc>
          <w:tcPr>
            <w:tcW w:w="5618"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84" w:type="dxa"/>
            <w:vMerge w:val="continue"/>
            <w:tcBorders>
              <w:top w:val="nil"/>
              <w:bottom w:val="nil"/>
            </w:tcBorders>
            <w:textDirection w:val="tbRlV"/>
            <w:vAlign w:val="top"/>
          </w:tcPr>
          <w:p>
            <w:pPr>
              <w:spacing w:line="360" w:lineRule="auto"/>
              <w:rPr>
                <w:rFonts w:hint="eastAsia" w:ascii="宋体" w:hAnsi="宋体" w:eastAsia="宋体" w:cs="宋体"/>
                <w:color w:val="auto"/>
                <w:sz w:val="21"/>
              </w:rPr>
            </w:pPr>
          </w:p>
        </w:tc>
        <w:tc>
          <w:tcPr>
            <w:tcW w:w="2038" w:type="dxa"/>
            <w:vAlign w:val="top"/>
          </w:tcPr>
          <w:p>
            <w:pPr>
              <w:spacing w:before="197" w:line="360" w:lineRule="auto"/>
              <w:rPr>
                <w:rFonts w:hint="eastAsia" w:ascii="宋体" w:hAnsi="宋体" w:eastAsia="宋体" w:cs="宋体"/>
                <w:color w:val="auto"/>
                <w:sz w:val="23"/>
                <w:szCs w:val="23"/>
              </w:rPr>
            </w:pPr>
            <w:r>
              <w:rPr>
                <w:rFonts w:hint="eastAsia" w:ascii="宋体" w:hAnsi="宋体" w:eastAsia="宋体" w:cs="宋体"/>
                <w:color w:val="auto"/>
                <w:spacing w:val="9"/>
                <w:sz w:val="23"/>
                <w:szCs w:val="23"/>
              </w:rPr>
              <w:t>法</w:t>
            </w:r>
            <w:r>
              <w:rPr>
                <w:rFonts w:hint="eastAsia" w:ascii="宋体" w:hAnsi="宋体" w:eastAsia="宋体" w:cs="宋体"/>
                <w:color w:val="auto"/>
                <w:spacing w:val="6"/>
                <w:sz w:val="23"/>
                <w:szCs w:val="23"/>
              </w:rPr>
              <w:t xml:space="preserve"> 定 地 址</w:t>
            </w:r>
          </w:p>
        </w:tc>
        <w:tc>
          <w:tcPr>
            <w:tcW w:w="5618"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84" w:type="dxa"/>
            <w:vMerge w:val="continue"/>
            <w:tcBorders>
              <w:top w:val="nil"/>
              <w:bottom w:val="nil"/>
            </w:tcBorders>
            <w:textDirection w:val="tbRlV"/>
            <w:vAlign w:val="top"/>
          </w:tcPr>
          <w:p>
            <w:pPr>
              <w:spacing w:line="360" w:lineRule="auto"/>
              <w:rPr>
                <w:rFonts w:hint="eastAsia" w:ascii="宋体" w:hAnsi="宋体" w:eastAsia="宋体" w:cs="宋体"/>
                <w:color w:val="auto"/>
                <w:sz w:val="21"/>
              </w:rPr>
            </w:pPr>
          </w:p>
        </w:tc>
        <w:tc>
          <w:tcPr>
            <w:tcW w:w="2038" w:type="dxa"/>
            <w:vAlign w:val="top"/>
          </w:tcPr>
          <w:p>
            <w:pPr>
              <w:spacing w:before="197" w:line="360" w:lineRule="auto"/>
              <w:rPr>
                <w:rFonts w:hint="eastAsia" w:ascii="宋体" w:hAnsi="宋体" w:eastAsia="宋体" w:cs="宋体"/>
                <w:color w:val="auto"/>
                <w:sz w:val="23"/>
                <w:szCs w:val="23"/>
              </w:rPr>
            </w:pPr>
            <w:r>
              <w:rPr>
                <w:rFonts w:hint="eastAsia" w:ascii="宋体" w:hAnsi="宋体" w:eastAsia="宋体" w:cs="宋体"/>
                <w:color w:val="auto"/>
                <w:spacing w:val="4"/>
                <w:sz w:val="23"/>
                <w:szCs w:val="23"/>
              </w:rPr>
              <w:t xml:space="preserve">邮 政 编 </w:t>
            </w:r>
            <w:r>
              <w:rPr>
                <w:rFonts w:hint="eastAsia" w:ascii="宋体" w:hAnsi="宋体" w:eastAsia="宋体" w:cs="宋体"/>
                <w:color w:val="auto"/>
                <w:spacing w:val="3"/>
                <w:sz w:val="23"/>
                <w:szCs w:val="23"/>
              </w:rPr>
              <w:t>码</w:t>
            </w:r>
          </w:p>
        </w:tc>
        <w:tc>
          <w:tcPr>
            <w:tcW w:w="5618"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84" w:type="dxa"/>
            <w:vMerge w:val="continue"/>
            <w:tcBorders>
              <w:top w:val="nil"/>
              <w:bottom w:val="nil"/>
            </w:tcBorders>
            <w:textDirection w:val="tbRlV"/>
            <w:vAlign w:val="top"/>
          </w:tcPr>
          <w:p>
            <w:pPr>
              <w:spacing w:line="360" w:lineRule="auto"/>
              <w:rPr>
                <w:rFonts w:hint="eastAsia" w:ascii="宋体" w:hAnsi="宋体" w:eastAsia="宋体" w:cs="宋体"/>
                <w:color w:val="auto"/>
                <w:sz w:val="21"/>
              </w:rPr>
            </w:pPr>
          </w:p>
        </w:tc>
        <w:tc>
          <w:tcPr>
            <w:tcW w:w="2038" w:type="dxa"/>
            <w:vAlign w:val="top"/>
          </w:tcPr>
          <w:p>
            <w:pPr>
              <w:spacing w:before="198" w:line="360" w:lineRule="auto"/>
              <w:rPr>
                <w:rFonts w:hint="eastAsia" w:ascii="宋体" w:hAnsi="宋体" w:eastAsia="宋体" w:cs="宋体"/>
                <w:color w:val="auto"/>
                <w:sz w:val="23"/>
                <w:szCs w:val="23"/>
              </w:rPr>
            </w:pPr>
            <w:r>
              <w:rPr>
                <w:rFonts w:hint="eastAsia" w:ascii="宋体" w:hAnsi="宋体" w:eastAsia="宋体" w:cs="宋体"/>
                <w:color w:val="auto"/>
                <w:spacing w:val="3"/>
                <w:sz w:val="23"/>
                <w:szCs w:val="23"/>
              </w:rPr>
              <w:t>网       址</w:t>
            </w:r>
          </w:p>
        </w:tc>
        <w:tc>
          <w:tcPr>
            <w:tcW w:w="5618"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84" w:type="dxa"/>
            <w:vMerge w:val="continue"/>
            <w:tcBorders>
              <w:top w:val="nil"/>
              <w:bottom w:val="nil"/>
            </w:tcBorders>
            <w:textDirection w:val="tbRlV"/>
            <w:vAlign w:val="top"/>
          </w:tcPr>
          <w:p>
            <w:pPr>
              <w:spacing w:line="360" w:lineRule="auto"/>
              <w:rPr>
                <w:rFonts w:hint="eastAsia" w:ascii="宋体" w:hAnsi="宋体" w:eastAsia="宋体" w:cs="宋体"/>
                <w:color w:val="auto"/>
                <w:sz w:val="21"/>
              </w:rPr>
            </w:pPr>
          </w:p>
        </w:tc>
        <w:tc>
          <w:tcPr>
            <w:tcW w:w="2038" w:type="dxa"/>
            <w:vAlign w:val="top"/>
          </w:tcPr>
          <w:p>
            <w:pPr>
              <w:spacing w:before="197" w:line="360" w:lineRule="auto"/>
              <w:rPr>
                <w:rFonts w:hint="eastAsia" w:ascii="宋体" w:hAnsi="宋体" w:eastAsia="宋体" w:cs="宋体"/>
                <w:color w:val="auto"/>
                <w:sz w:val="23"/>
                <w:szCs w:val="23"/>
              </w:rPr>
            </w:pPr>
            <w:r>
              <w:rPr>
                <w:rFonts w:hint="eastAsia" w:ascii="宋体" w:hAnsi="宋体" w:eastAsia="宋体" w:cs="宋体"/>
                <w:color w:val="auto"/>
                <w:spacing w:val="8"/>
                <w:sz w:val="23"/>
                <w:szCs w:val="23"/>
              </w:rPr>
              <w:t>工商登记机</w:t>
            </w:r>
            <w:r>
              <w:rPr>
                <w:rFonts w:hint="eastAsia" w:ascii="宋体" w:hAnsi="宋体" w:eastAsia="宋体" w:cs="宋体"/>
                <w:color w:val="auto"/>
                <w:spacing w:val="7"/>
                <w:sz w:val="23"/>
                <w:szCs w:val="23"/>
              </w:rPr>
              <w:t>关</w:t>
            </w:r>
          </w:p>
        </w:tc>
        <w:tc>
          <w:tcPr>
            <w:tcW w:w="5618"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84" w:type="dxa"/>
            <w:vMerge w:val="continue"/>
            <w:tcBorders>
              <w:top w:val="nil"/>
            </w:tcBorders>
            <w:textDirection w:val="tbRlV"/>
            <w:vAlign w:val="top"/>
          </w:tcPr>
          <w:p>
            <w:pPr>
              <w:spacing w:line="360" w:lineRule="auto"/>
              <w:rPr>
                <w:rFonts w:hint="eastAsia" w:ascii="宋体" w:hAnsi="宋体" w:eastAsia="宋体" w:cs="宋体"/>
                <w:color w:val="auto"/>
                <w:sz w:val="21"/>
              </w:rPr>
            </w:pPr>
          </w:p>
        </w:tc>
        <w:tc>
          <w:tcPr>
            <w:tcW w:w="2038" w:type="dxa"/>
            <w:vAlign w:val="top"/>
          </w:tcPr>
          <w:p>
            <w:pPr>
              <w:spacing w:before="197" w:line="360" w:lineRule="auto"/>
              <w:rPr>
                <w:rFonts w:hint="eastAsia" w:ascii="宋体" w:hAnsi="宋体" w:eastAsia="宋体" w:cs="宋体"/>
                <w:color w:val="auto"/>
                <w:sz w:val="23"/>
                <w:szCs w:val="23"/>
              </w:rPr>
            </w:pPr>
            <w:r>
              <w:rPr>
                <w:rFonts w:hint="eastAsia" w:ascii="宋体" w:hAnsi="宋体" w:eastAsia="宋体" w:cs="宋体"/>
                <w:color w:val="auto"/>
                <w:spacing w:val="11"/>
                <w:sz w:val="23"/>
                <w:szCs w:val="23"/>
              </w:rPr>
              <w:t>机</w:t>
            </w:r>
            <w:r>
              <w:rPr>
                <w:rFonts w:hint="eastAsia" w:ascii="宋体" w:hAnsi="宋体" w:eastAsia="宋体" w:cs="宋体"/>
                <w:color w:val="auto"/>
                <w:spacing w:val="8"/>
                <w:sz w:val="23"/>
                <w:szCs w:val="23"/>
              </w:rPr>
              <w:t>构代码证号</w:t>
            </w:r>
          </w:p>
        </w:tc>
        <w:tc>
          <w:tcPr>
            <w:tcW w:w="5618"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3122" w:type="dxa"/>
            <w:gridSpan w:val="2"/>
            <w:vAlign w:val="top"/>
          </w:tcPr>
          <w:p>
            <w:pPr>
              <w:spacing w:before="197" w:line="360" w:lineRule="auto"/>
              <w:jc w:val="both"/>
              <w:rPr>
                <w:rFonts w:hint="eastAsia" w:ascii="宋体" w:hAnsi="宋体" w:eastAsia="宋体" w:cs="宋体"/>
                <w:color w:val="auto"/>
                <w:sz w:val="23"/>
                <w:szCs w:val="23"/>
              </w:rPr>
            </w:pPr>
            <w:r>
              <w:rPr>
                <w:rFonts w:hint="eastAsia" w:ascii="宋体" w:hAnsi="宋体" w:eastAsia="宋体" w:cs="宋体"/>
                <w:color w:val="auto"/>
                <w:spacing w:val="11"/>
                <w:sz w:val="23"/>
                <w:szCs w:val="23"/>
              </w:rPr>
              <w:t>采</w:t>
            </w:r>
            <w:r>
              <w:rPr>
                <w:rFonts w:hint="eastAsia" w:ascii="宋体" w:hAnsi="宋体" w:eastAsia="宋体" w:cs="宋体"/>
                <w:color w:val="auto"/>
                <w:spacing w:val="8"/>
                <w:sz w:val="23"/>
                <w:szCs w:val="23"/>
              </w:rPr>
              <w:t>购项目名称</w:t>
            </w:r>
          </w:p>
        </w:tc>
        <w:tc>
          <w:tcPr>
            <w:tcW w:w="5618"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3122" w:type="dxa"/>
            <w:gridSpan w:val="2"/>
            <w:vAlign w:val="top"/>
          </w:tcPr>
          <w:p>
            <w:pPr>
              <w:spacing w:before="198" w:line="360" w:lineRule="auto"/>
              <w:jc w:val="both"/>
              <w:rPr>
                <w:rFonts w:hint="eastAsia" w:ascii="宋体" w:hAnsi="宋体" w:eastAsia="宋体" w:cs="宋体"/>
                <w:color w:val="auto"/>
                <w:sz w:val="23"/>
                <w:szCs w:val="23"/>
              </w:rPr>
            </w:pPr>
            <w:r>
              <w:rPr>
                <w:rFonts w:hint="eastAsia" w:ascii="宋体" w:hAnsi="宋体" w:eastAsia="宋体" w:cs="宋体"/>
                <w:color w:val="auto"/>
                <w:spacing w:val="11"/>
                <w:sz w:val="23"/>
                <w:szCs w:val="23"/>
              </w:rPr>
              <w:t>采</w:t>
            </w:r>
            <w:r>
              <w:rPr>
                <w:rFonts w:hint="eastAsia" w:ascii="宋体" w:hAnsi="宋体" w:eastAsia="宋体" w:cs="宋体"/>
                <w:color w:val="auto"/>
                <w:spacing w:val="8"/>
                <w:sz w:val="23"/>
                <w:szCs w:val="23"/>
              </w:rPr>
              <w:t>购项目编号</w:t>
            </w:r>
          </w:p>
        </w:tc>
        <w:tc>
          <w:tcPr>
            <w:tcW w:w="5618"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84" w:type="dxa"/>
            <w:vMerge w:val="restart"/>
            <w:tcBorders>
              <w:bottom w:val="nil"/>
            </w:tcBorders>
            <w:vAlign w:val="top"/>
          </w:tcPr>
          <w:p>
            <w:pPr>
              <w:spacing w:before="206" w:line="360" w:lineRule="auto"/>
              <w:ind w:left="0" w:leftChars="0" w:firstLine="0" w:firstLineChars="0"/>
              <w:rPr>
                <w:rFonts w:hint="eastAsia" w:ascii="宋体" w:hAnsi="宋体" w:eastAsia="宋体" w:cs="宋体"/>
                <w:color w:val="auto"/>
                <w:sz w:val="23"/>
                <w:szCs w:val="23"/>
              </w:rPr>
            </w:pPr>
            <w:r>
              <w:rPr>
                <w:rFonts w:hint="eastAsia" w:ascii="宋体" w:hAnsi="宋体" w:eastAsia="宋体" w:cs="宋体"/>
                <w:color w:val="auto"/>
                <w:spacing w:val="8"/>
                <w:sz w:val="23"/>
                <w:szCs w:val="23"/>
              </w:rPr>
              <w:t>法定代表人</w:t>
            </w:r>
          </w:p>
        </w:tc>
        <w:tc>
          <w:tcPr>
            <w:tcW w:w="2038" w:type="dxa"/>
            <w:vAlign w:val="top"/>
          </w:tcPr>
          <w:p>
            <w:pPr>
              <w:spacing w:before="197" w:line="360" w:lineRule="auto"/>
              <w:rPr>
                <w:rFonts w:hint="eastAsia" w:ascii="宋体" w:hAnsi="宋体" w:eastAsia="宋体" w:cs="宋体"/>
                <w:color w:val="auto"/>
                <w:sz w:val="23"/>
                <w:szCs w:val="23"/>
              </w:rPr>
            </w:pPr>
            <w:r>
              <w:rPr>
                <w:rFonts w:hint="eastAsia" w:ascii="宋体" w:hAnsi="宋体" w:eastAsia="宋体" w:cs="宋体"/>
                <w:color w:val="auto"/>
                <w:spacing w:val="7"/>
                <w:sz w:val="23"/>
                <w:szCs w:val="23"/>
              </w:rPr>
              <w:t>姓</w:t>
            </w:r>
            <w:r>
              <w:rPr>
                <w:rFonts w:hint="eastAsia" w:ascii="宋体" w:hAnsi="宋体" w:eastAsia="宋体" w:cs="宋体"/>
                <w:color w:val="auto"/>
                <w:spacing w:val="5"/>
                <w:sz w:val="23"/>
                <w:szCs w:val="23"/>
              </w:rPr>
              <w:t xml:space="preserve">    名</w:t>
            </w:r>
          </w:p>
        </w:tc>
        <w:tc>
          <w:tcPr>
            <w:tcW w:w="1906" w:type="dxa"/>
            <w:vAlign w:val="top"/>
          </w:tcPr>
          <w:p>
            <w:pPr>
              <w:spacing w:before="197" w:line="360" w:lineRule="auto"/>
              <w:rPr>
                <w:rFonts w:hint="eastAsia" w:ascii="宋体" w:hAnsi="宋体" w:eastAsia="宋体" w:cs="宋体"/>
                <w:color w:val="auto"/>
                <w:sz w:val="23"/>
                <w:szCs w:val="23"/>
              </w:rPr>
            </w:pPr>
          </w:p>
        </w:tc>
        <w:tc>
          <w:tcPr>
            <w:tcW w:w="1334" w:type="dxa"/>
            <w:vAlign w:val="top"/>
          </w:tcPr>
          <w:p>
            <w:pPr>
              <w:spacing w:before="196" w:line="360" w:lineRule="auto"/>
              <w:ind w:left="0" w:leftChars="0" w:firstLine="0" w:firstLineChars="0"/>
              <w:rPr>
                <w:rFonts w:hint="eastAsia" w:ascii="宋体" w:hAnsi="宋体" w:eastAsia="宋体" w:cs="宋体"/>
                <w:color w:val="auto"/>
                <w:sz w:val="23"/>
                <w:szCs w:val="23"/>
              </w:rPr>
            </w:pPr>
            <w:r>
              <w:rPr>
                <w:rFonts w:hint="eastAsia" w:ascii="宋体" w:hAnsi="宋体" w:eastAsia="宋体" w:cs="宋体"/>
                <w:color w:val="auto"/>
                <w:spacing w:val="7"/>
                <w:sz w:val="23"/>
                <w:szCs w:val="23"/>
              </w:rPr>
              <w:t>性</w:t>
            </w:r>
            <w:r>
              <w:rPr>
                <w:rFonts w:hint="eastAsia" w:ascii="宋体" w:hAnsi="宋体" w:eastAsia="宋体" w:cs="宋体"/>
                <w:color w:val="auto"/>
                <w:spacing w:val="5"/>
                <w:sz w:val="23"/>
                <w:szCs w:val="23"/>
              </w:rPr>
              <w:t xml:space="preserve">    别</w:t>
            </w:r>
          </w:p>
        </w:tc>
        <w:tc>
          <w:tcPr>
            <w:tcW w:w="2378" w:type="dxa"/>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84" w:type="dxa"/>
            <w:vMerge w:val="continue"/>
            <w:tcBorders>
              <w:top w:val="nil"/>
              <w:bottom w:val="nil"/>
            </w:tcBorders>
            <w:vAlign w:val="top"/>
          </w:tcPr>
          <w:p>
            <w:pPr>
              <w:spacing w:line="360" w:lineRule="auto"/>
              <w:rPr>
                <w:rFonts w:hint="eastAsia" w:ascii="宋体" w:hAnsi="宋体" w:eastAsia="宋体" w:cs="宋体"/>
                <w:color w:val="auto"/>
                <w:sz w:val="21"/>
              </w:rPr>
            </w:pPr>
          </w:p>
        </w:tc>
        <w:tc>
          <w:tcPr>
            <w:tcW w:w="2038" w:type="dxa"/>
            <w:vAlign w:val="top"/>
          </w:tcPr>
          <w:p>
            <w:pPr>
              <w:spacing w:before="198" w:line="360" w:lineRule="auto"/>
              <w:rPr>
                <w:rFonts w:hint="eastAsia" w:ascii="宋体" w:hAnsi="宋体" w:eastAsia="宋体" w:cs="宋体"/>
                <w:color w:val="auto"/>
                <w:sz w:val="23"/>
                <w:szCs w:val="23"/>
              </w:rPr>
            </w:pPr>
            <w:r>
              <w:rPr>
                <w:rFonts w:hint="eastAsia" w:ascii="宋体" w:hAnsi="宋体" w:eastAsia="宋体" w:cs="宋体"/>
                <w:color w:val="auto"/>
                <w:spacing w:val="5"/>
                <w:sz w:val="23"/>
                <w:szCs w:val="23"/>
              </w:rPr>
              <w:t>职    务</w:t>
            </w:r>
          </w:p>
        </w:tc>
        <w:tc>
          <w:tcPr>
            <w:tcW w:w="1906" w:type="dxa"/>
            <w:vAlign w:val="top"/>
          </w:tcPr>
          <w:p>
            <w:pPr>
              <w:spacing w:line="360" w:lineRule="auto"/>
              <w:rPr>
                <w:rFonts w:hint="eastAsia" w:ascii="宋体" w:hAnsi="宋体" w:eastAsia="宋体" w:cs="宋体"/>
                <w:color w:val="auto"/>
                <w:sz w:val="21"/>
              </w:rPr>
            </w:pPr>
          </w:p>
        </w:tc>
        <w:tc>
          <w:tcPr>
            <w:tcW w:w="1334" w:type="dxa"/>
            <w:vAlign w:val="top"/>
          </w:tcPr>
          <w:p>
            <w:pPr>
              <w:spacing w:before="198" w:line="360" w:lineRule="auto"/>
              <w:ind w:left="0" w:leftChars="0" w:firstLine="0" w:firstLineChars="0"/>
              <w:rPr>
                <w:rFonts w:hint="eastAsia" w:ascii="宋体" w:hAnsi="宋体" w:eastAsia="宋体" w:cs="宋体"/>
                <w:color w:val="auto"/>
                <w:sz w:val="23"/>
                <w:szCs w:val="23"/>
              </w:rPr>
            </w:pPr>
            <w:r>
              <w:rPr>
                <w:rFonts w:hint="eastAsia" w:ascii="宋体" w:hAnsi="宋体" w:eastAsia="宋体" w:cs="宋体"/>
                <w:color w:val="auto"/>
                <w:spacing w:val="8"/>
                <w:sz w:val="23"/>
                <w:szCs w:val="23"/>
              </w:rPr>
              <w:t>联</w:t>
            </w:r>
            <w:r>
              <w:rPr>
                <w:rFonts w:hint="eastAsia" w:ascii="宋体" w:hAnsi="宋体" w:eastAsia="宋体" w:cs="宋体"/>
                <w:color w:val="auto"/>
                <w:spacing w:val="7"/>
                <w:sz w:val="23"/>
                <w:szCs w:val="23"/>
              </w:rPr>
              <w:t>系电话</w:t>
            </w:r>
          </w:p>
        </w:tc>
        <w:tc>
          <w:tcPr>
            <w:tcW w:w="2378" w:type="dxa"/>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84" w:type="dxa"/>
            <w:vMerge w:val="continue"/>
            <w:tcBorders>
              <w:top w:val="nil"/>
            </w:tcBorders>
            <w:vAlign w:val="top"/>
          </w:tcPr>
          <w:p>
            <w:pPr>
              <w:spacing w:line="360" w:lineRule="auto"/>
              <w:rPr>
                <w:rFonts w:hint="eastAsia" w:ascii="宋体" w:hAnsi="宋体" w:eastAsia="宋体" w:cs="宋体"/>
                <w:color w:val="auto"/>
                <w:sz w:val="21"/>
              </w:rPr>
            </w:pPr>
          </w:p>
        </w:tc>
        <w:tc>
          <w:tcPr>
            <w:tcW w:w="2038" w:type="dxa"/>
            <w:vAlign w:val="top"/>
          </w:tcPr>
          <w:p>
            <w:pPr>
              <w:spacing w:before="196" w:line="360" w:lineRule="auto"/>
              <w:rPr>
                <w:rFonts w:hint="eastAsia" w:ascii="宋体" w:hAnsi="宋体" w:eastAsia="宋体" w:cs="宋体"/>
                <w:color w:val="auto"/>
                <w:sz w:val="23"/>
                <w:szCs w:val="23"/>
              </w:rPr>
            </w:pPr>
            <w:r>
              <w:rPr>
                <w:rFonts w:hint="eastAsia" w:ascii="宋体" w:hAnsi="宋体" w:eastAsia="宋体" w:cs="宋体"/>
                <w:color w:val="auto"/>
                <w:spacing w:val="6"/>
                <w:sz w:val="23"/>
                <w:szCs w:val="23"/>
              </w:rPr>
              <w:t xml:space="preserve">传    </w:t>
            </w:r>
            <w:r>
              <w:rPr>
                <w:rFonts w:hint="eastAsia" w:ascii="宋体" w:hAnsi="宋体" w:eastAsia="宋体" w:cs="宋体"/>
                <w:color w:val="auto"/>
                <w:spacing w:val="4"/>
                <w:sz w:val="23"/>
                <w:szCs w:val="23"/>
              </w:rPr>
              <w:t>真</w:t>
            </w:r>
          </w:p>
        </w:tc>
        <w:tc>
          <w:tcPr>
            <w:tcW w:w="5618"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9" w:hRule="atLeast"/>
        </w:trPr>
        <w:tc>
          <w:tcPr>
            <w:tcW w:w="1084" w:type="dxa"/>
            <w:vMerge w:val="restart"/>
            <w:tcBorders>
              <w:bottom w:val="nil"/>
            </w:tcBorders>
            <w:vAlign w:val="top"/>
          </w:tcPr>
          <w:p>
            <w:pPr>
              <w:spacing w:before="197" w:line="360" w:lineRule="auto"/>
              <w:ind w:left="0" w:leftChars="0" w:firstLine="0" w:firstLineChars="0"/>
              <w:rPr>
                <w:rFonts w:hint="eastAsia" w:ascii="宋体" w:hAnsi="宋体" w:eastAsia="宋体" w:cs="宋体"/>
                <w:color w:val="auto"/>
                <w:sz w:val="23"/>
                <w:szCs w:val="23"/>
              </w:rPr>
            </w:pPr>
            <w:r>
              <w:rPr>
                <w:rFonts w:hint="eastAsia" w:ascii="宋体" w:hAnsi="宋体" w:eastAsia="宋体" w:cs="宋体"/>
                <w:color w:val="auto"/>
                <w:spacing w:val="4"/>
                <w:sz w:val="23"/>
                <w:szCs w:val="23"/>
              </w:rPr>
              <w:t>法定代表人身份证复印件</w:t>
            </w:r>
          </w:p>
        </w:tc>
        <w:tc>
          <w:tcPr>
            <w:tcW w:w="3944" w:type="dxa"/>
            <w:gridSpan w:val="2"/>
            <w:vAlign w:val="top"/>
          </w:tcPr>
          <w:p>
            <w:pPr>
              <w:spacing w:before="74" w:line="360" w:lineRule="auto"/>
              <w:ind w:left="116"/>
              <w:rPr>
                <w:rFonts w:hint="eastAsia" w:ascii="宋体" w:hAnsi="宋体" w:eastAsia="宋体" w:cs="宋体"/>
                <w:color w:val="auto"/>
                <w:sz w:val="23"/>
                <w:szCs w:val="23"/>
              </w:rPr>
            </w:pPr>
            <w:r>
              <w:rPr>
                <w:rFonts w:hint="eastAsia" w:ascii="宋体" w:hAnsi="宋体" w:eastAsia="宋体" w:cs="宋体"/>
                <w:color w:val="auto"/>
                <w:spacing w:val="2"/>
                <w:sz w:val="23"/>
                <w:szCs w:val="23"/>
              </w:rPr>
              <w:t>二代身份证正</w:t>
            </w:r>
            <w:r>
              <w:rPr>
                <w:rFonts w:hint="eastAsia" w:ascii="宋体" w:hAnsi="宋体" w:eastAsia="宋体" w:cs="宋体"/>
                <w:color w:val="auto"/>
                <w:spacing w:val="1"/>
                <w:sz w:val="23"/>
                <w:szCs w:val="23"/>
              </w:rPr>
              <w:t>面都需复印</w:t>
            </w: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before="75" w:line="360" w:lineRule="auto"/>
              <w:ind w:left="123"/>
              <w:rPr>
                <w:rFonts w:hint="eastAsia" w:ascii="宋体" w:hAnsi="宋体" w:eastAsia="宋体" w:cs="宋体"/>
                <w:color w:val="auto"/>
                <w:sz w:val="23"/>
                <w:szCs w:val="23"/>
              </w:rPr>
            </w:pPr>
            <w:r>
              <w:rPr>
                <w:rFonts w:hint="eastAsia" w:ascii="宋体" w:hAnsi="宋体" w:eastAsia="宋体" w:cs="宋体"/>
                <w:color w:val="auto"/>
                <w:spacing w:val="27"/>
                <w:sz w:val="23"/>
                <w:szCs w:val="23"/>
              </w:rPr>
              <w:t>(粘贴处</w:t>
            </w:r>
            <w:r>
              <w:rPr>
                <w:rFonts w:hint="eastAsia" w:ascii="宋体" w:hAnsi="宋体" w:eastAsia="宋体" w:cs="宋体"/>
                <w:color w:val="auto"/>
                <w:spacing w:val="26"/>
                <w:sz w:val="23"/>
                <w:szCs w:val="23"/>
              </w:rPr>
              <w:t>)</w:t>
            </w:r>
          </w:p>
        </w:tc>
        <w:tc>
          <w:tcPr>
            <w:tcW w:w="3712" w:type="dxa"/>
            <w:gridSpan w:val="2"/>
            <w:vAlign w:val="top"/>
          </w:tcPr>
          <w:p>
            <w:pPr>
              <w:spacing w:before="197" w:line="360" w:lineRule="auto"/>
              <w:ind w:left="130"/>
              <w:rPr>
                <w:rFonts w:hint="eastAsia" w:ascii="宋体" w:hAnsi="宋体" w:eastAsia="宋体" w:cs="宋体"/>
                <w:color w:val="auto"/>
                <w:sz w:val="23"/>
                <w:szCs w:val="23"/>
              </w:rPr>
            </w:pPr>
            <w:r>
              <w:rPr>
                <w:rFonts w:hint="eastAsia" w:ascii="宋体" w:hAnsi="宋体" w:eastAsia="宋体" w:cs="宋体"/>
                <w:color w:val="auto"/>
                <w:spacing w:val="22"/>
                <w:sz w:val="23"/>
                <w:szCs w:val="23"/>
              </w:rPr>
              <w:t>(</w:t>
            </w:r>
            <w:r>
              <w:rPr>
                <w:rFonts w:hint="eastAsia" w:ascii="宋体" w:hAnsi="宋体" w:eastAsia="宋体" w:cs="宋体"/>
                <w:color w:val="auto"/>
                <w:spacing w:val="19"/>
                <w:sz w:val="23"/>
                <w:szCs w:val="23"/>
              </w:rPr>
              <w:t>法定代表人签章)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1" w:hRule="atLeast"/>
        </w:trPr>
        <w:tc>
          <w:tcPr>
            <w:tcW w:w="1084" w:type="dxa"/>
            <w:vMerge w:val="continue"/>
            <w:tcBorders>
              <w:top w:val="nil"/>
            </w:tcBorders>
            <w:vAlign w:val="top"/>
          </w:tcPr>
          <w:p>
            <w:pPr>
              <w:spacing w:line="360" w:lineRule="auto"/>
              <w:rPr>
                <w:rFonts w:hint="eastAsia" w:ascii="宋体" w:hAnsi="宋体" w:eastAsia="宋体" w:cs="宋体"/>
                <w:color w:val="auto"/>
                <w:sz w:val="21"/>
              </w:rPr>
            </w:pPr>
          </w:p>
        </w:tc>
        <w:tc>
          <w:tcPr>
            <w:tcW w:w="3944" w:type="dxa"/>
            <w:gridSpan w:val="2"/>
            <w:vAlign w:val="top"/>
          </w:tcPr>
          <w:p>
            <w:pPr>
              <w:spacing w:before="199" w:line="360" w:lineRule="auto"/>
              <w:ind w:left="116"/>
              <w:rPr>
                <w:rFonts w:hint="eastAsia" w:ascii="宋体" w:hAnsi="宋体" w:eastAsia="宋体" w:cs="宋体"/>
                <w:color w:val="auto"/>
                <w:sz w:val="23"/>
                <w:szCs w:val="23"/>
              </w:rPr>
            </w:pPr>
            <w:r>
              <w:rPr>
                <w:rFonts w:hint="eastAsia" w:ascii="宋体" w:hAnsi="宋体" w:eastAsia="宋体" w:cs="宋体"/>
                <w:color w:val="auto"/>
                <w:spacing w:val="2"/>
                <w:sz w:val="23"/>
                <w:szCs w:val="23"/>
              </w:rPr>
              <w:t>二代身份证背</w:t>
            </w:r>
            <w:r>
              <w:rPr>
                <w:rFonts w:hint="eastAsia" w:ascii="宋体" w:hAnsi="宋体" w:eastAsia="宋体" w:cs="宋体"/>
                <w:color w:val="auto"/>
                <w:spacing w:val="1"/>
                <w:sz w:val="23"/>
                <w:szCs w:val="23"/>
              </w:rPr>
              <w:t>面都需复印</w:t>
            </w: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before="75" w:line="360" w:lineRule="auto"/>
              <w:ind w:left="123"/>
              <w:rPr>
                <w:rFonts w:hint="eastAsia" w:ascii="宋体" w:hAnsi="宋体" w:eastAsia="宋体" w:cs="宋体"/>
                <w:color w:val="auto"/>
                <w:sz w:val="23"/>
                <w:szCs w:val="23"/>
              </w:rPr>
            </w:pPr>
            <w:r>
              <w:rPr>
                <w:rFonts w:hint="eastAsia" w:ascii="宋体" w:hAnsi="宋体" w:eastAsia="宋体" w:cs="宋体"/>
                <w:color w:val="auto"/>
                <w:spacing w:val="27"/>
                <w:sz w:val="23"/>
                <w:szCs w:val="23"/>
              </w:rPr>
              <w:t>(粘贴处</w:t>
            </w:r>
            <w:r>
              <w:rPr>
                <w:rFonts w:hint="eastAsia" w:ascii="宋体" w:hAnsi="宋体" w:eastAsia="宋体" w:cs="宋体"/>
                <w:color w:val="auto"/>
                <w:spacing w:val="26"/>
                <w:sz w:val="23"/>
                <w:szCs w:val="23"/>
              </w:rPr>
              <w:t>)</w:t>
            </w:r>
          </w:p>
        </w:tc>
        <w:tc>
          <w:tcPr>
            <w:tcW w:w="3712" w:type="dxa"/>
            <w:gridSpan w:val="2"/>
            <w:vAlign w:val="top"/>
          </w:tcPr>
          <w:p>
            <w:pPr>
              <w:spacing w:before="199" w:line="360" w:lineRule="auto"/>
              <w:ind w:left="245"/>
              <w:rPr>
                <w:rFonts w:hint="eastAsia" w:ascii="宋体" w:hAnsi="宋体" w:eastAsia="宋体" w:cs="宋体"/>
                <w:color w:val="auto"/>
                <w:sz w:val="23"/>
                <w:szCs w:val="23"/>
              </w:rPr>
            </w:pPr>
            <w:r>
              <w:rPr>
                <w:rFonts w:hint="eastAsia" w:ascii="宋体" w:hAnsi="宋体" w:eastAsia="宋体" w:cs="宋体"/>
                <w:color w:val="auto"/>
                <w:spacing w:val="24"/>
                <w:sz w:val="23"/>
                <w:szCs w:val="23"/>
              </w:rPr>
              <w:t>(企业公章)</w:t>
            </w: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before="74" w:line="360" w:lineRule="auto"/>
              <w:ind w:left="1554"/>
              <w:rPr>
                <w:rFonts w:hint="eastAsia" w:ascii="宋体" w:hAnsi="宋体" w:eastAsia="宋体" w:cs="宋体"/>
                <w:color w:val="auto"/>
                <w:sz w:val="23"/>
                <w:szCs w:val="23"/>
              </w:rPr>
            </w:pPr>
            <w:r>
              <w:rPr>
                <w:rFonts w:hint="eastAsia" w:ascii="宋体" w:hAnsi="宋体" w:eastAsia="宋体" w:cs="宋体"/>
                <w:color w:val="auto"/>
                <w:spacing w:val="14"/>
                <w:sz w:val="23"/>
                <w:szCs w:val="23"/>
              </w:rPr>
              <w:t>年</w:t>
            </w:r>
            <w:r>
              <w:rPr>
                <w:rFonts w:hint="eastAsia" w:ascii="宋体" w:hAnsi="宋体" w:eastAsia="宋体" w:cs="宋体"/>
                <w:color w:val="auto"/>
                <w:spacing w:val="11"/>
                <w:sz w:val="23"/>
                <w:szCs w:val="23"/>
              </w:rPr>
              <w:t xml:space="preserve">  月  日</w:t>
            </w:r>
          </w:p>
        </w:tc>
      </w:tr>
    </w:tbl>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rPr>
        <w:sectPr>
          <w:pgSz w:w="11906" w:h="16839"/>
          <w:pgMar w:top="1431" w:right="1580" w:bottom="1166" w:left="1580" w:header="850" w:footer="992" w:gutter="0"/>
          <w:pgNumType w:fmt="decimal"/>
          <w:cols w:space="720" w:num="1"/>
        </w:sectPr>
      </w:pPr>
    </w:p>
    <w:p>
      <w:pPr>
        <w:spacing w:before="181" w:line="360" w:lineRule="auto"/>
        <w:ind w:left="2475"/>
        <w:outlineLvl w:val="2"/>
        <w:rPr>
          <w:rFonts w:hint="eastAsia" w:ascii="宋体" w:hAnsi="宋体" w:eastAsia="宋体" w:cs="宋体"/>
          <w:b/>
          <w:kern w:val="0"/>
          <w:sz w:val="28"/>
          <w:szCs w:val="28"/>
          <w:shd w:val="clear" w:color="auto" w:fill="FFFFFF"/>
          <w:lang w:val="en-US" w:eastAsia="zh-CN" w:bidi="ar-SA"/>
        </w:rPr>
      </w:pPr>
      <w:r>
        <w:rPr>
          <w:rFonts w:hint="eastAsia" w:ascii="宋体" w:hAnsi="宋体" w:eastAsia="宋体" w:cs="宋体"/>
          <w:b/>
          <w:kern w:val="0"/>
          <w:sz w:val="28"/>
          <w:szCs w:val="28"/>
          <w:shd w:val="clear" w:color="auto" w:fill="FFFFFF"/>
          <w:lang w:val="en-US" w:eastAsia="zh-CN" w:bidi="ar-SA"/>
        </w:rPr>
        <w:t>(二) 法定代表人授权书</w:t>
      </w:r>
    </w:p>
    <w:tbl>
      <w:tblPr>
        <w:tblStyle w:val="24"/>
        <w:tblW w:w="8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9"/>
        <w:gridCol w:w="2159"/>
        <w:gridCol w:w="1437"/>
        <w:gridCol w:w="1080"/>
        <w:gridCol w:w="1403"/>
        <w:gridCol w:w="23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8944" w:type="dxa"/>
            <w:gridSpan w:val="6"/>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致：华春建设工程项目管理有限责任公司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9" w:type="dxa"/>
            <w:vMerge w:val="restart"/>
            <w:tcBorders>
              <w:bottom w:val="nil"/>
            </w:tcBorders>
            <w:textDirection w:val="tbRlV"/>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被  授  权  人</w:t>
            </w: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姓    名</w:t>
            </w:r>
          </w:p>
        </w:tc>
        <w:tc>
          <w:tcPr>
            <w:tcW w:w="2517" w:type="dxa"/>
            <w:gridSpan w:val="2"/>
            <w:vAlign w:val="top"/>
          </w:tcPr>
          <w:p>
            <w:pPr>
              <w:spacing w:line="360" w:lineRule="auto"/>
              <w:ind w:firstLine="540" w:firstLineChars="225"/>
              <w:rPr>
                <w:rFonts w:hint="eastAsia" w:ascii="宋体" w:hAnsi="宋体" w:eastAsia="宋体" w:cs="宋体"/>
                <w:color w:val="auto"/>
                <w:sz w:val="24"/>
              </w:rPr>
            </w:pPr>
          </w:p>
        </w:tc>
        <w:tc>
          <w:tcPr>
            <w:tcW w:w="1403" w:type="dxa"/>
            <w:vAlign w:val="top"/>
          </w:tcPr>
          <w:p>
            <w:pPr>
              <w:spacing w:line="360" w:lineRule="auto"/>
              <w:ind w:left="0" w:leftChars="0" w:firstLine="0" w:firstLineChars="0"/>
              <w:rPr>
                <w:rFonts w:hint="eastAsia" w:ascii="宋体" w:hAnsi="宋体" w:eastAsia="宋体" w:cs="宋体"/>
                <w:color w:val="auto"/>
                <w:sz w:val="24"/>
              </w:rPr>
            </w:pPr>
            <w:r>
              <w:rPr>
                <w:rFonts w:hint="eastAsia" w:ascii="宋体" w:hAnsi="宋体" w:eastAsia="宋体" w:cs="宋体"/>
                <w:color w:val="auto"/>
                <w:sz w:val="24"/>
              </w:rPr>
              <w:t>性    别</w:t>
            </w:r>
          </w:p>
        </w:tc>
        <w:tc>
          <w:tcPr>
            <w:tcW w:w="2346" w:type="dxa"/>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9" w:type="dxa"/>
            <w:vMerge w:val="continue"/>
            <w:tcBorders>
              <w:top w:val="nil"/>
              <w:bottom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职    务</w:t>
            </w:r>
          </w:p>
        </w:tc>
        <w:tc>
          <w:tcPr>
            <w:tcW w:w="2517" w:type="dxa"/>
            <w:gridSpan w:val="2"/>
            <w:vAlign w:val="top"/>
          </w:tcPr>
          <w:p>
            <w:pPr>
              <w:spacing w:line="360" w:lineRule="auto"/>
              <w:ind w:firstLine="540" w:firstLineChars="225"/>
              <w:rPr>
                <w:rFonts w:hint="eastAsia" w:ascii="宋体" w:hAnsi="宋体" w:eastAsia="宋体" w:cs="宋体"/>
                <w:color w:val="auto"/>
                <w:sz w:val="24"/>
              </w:rPr>
            </w:pPr>
          </w:p>
        </w:tc>
        <w:tc>
          <w:tcPr>
            <w:tcW w:w="1403" w:type="dxa"/>
            <w:vAlign w:val="top"/>
          </w:tcPr>
          <w:p>
            <w:pPr>
              <w:spacing w:line="360" w:lineRule="auto"/>
              <w:ind w:left="0" w:leftChars="0" w:firstLine="0" w:firstLineChars="0"/>
              <w:rPr>
                <w:rFonts w:hint="eastAsia" w:ascii="宋体" w:hAnsi="宋体" w:eastAsia="宋体" w:cs="宋体"/>
                <w:color w:val="auto"/>
                <w:sz w:val="24"/>
              </w:rPr>
            </w:pPr>
            <w:r>
              <w:rPr>
                <w:rFonts w:hint="eastAsia" w:ascii="宋体" w:hAnsi="宋体" w:eastAsia="宋体" w:cs="宋体"/>
                <w:color w:val="auto"/>
                <w:sz w:val="24"/>
              </w:rPr>
              <w:t>手机号码</w:t>
            </w:r>
          </w:p>
        </w:tc>
        <w:tc>
          <w:tcPr>
            <w:tcW w:w="2346" w:type="dxa"/>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9" w:type="dxa"/>
            <w:vMerge w:val="continue"/>
            <w:tcBorders>
              <w:top w:val="nil"/>
              <w:bottom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联系电话</w:t>
            </w:r>
          </w:p>
        </w:tc>
        <w:tc>
          <w:tcPr>
            <w:tcW w:w="2517" w:type="dxa"/>
            <w:gridSpan w:val="2"/>
            <w:vAlign w:val="top"/>
          </w:tcPr>
          <w:p>
            <w:pPr>
              <w:spacing w:line="360" w:lineRule="auto"/>
              <w:ind w:firstLine="540" w:firstLineChars="225"/>
              <w:rPr>
                <w:rFonts w:hint="eastAsia" w:ascii="宋体" w:hAnsi="宋体" w:eastAsia="宋体" w:cs="宋体"/>
                <w:color w:val="auto"/>
                <w:sz w:val="24"/>
              </w:rPr>
            </w:pPr>
          </w:p>
        </w:tc>
        <w:tc>
          <w:tcPr>
            <w:tcW w:w="1403"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传真</w:t>
            </w:r>
          </w:p>
        </w:tc>
        <w:tc>
          <w:tcPr>
            <w:tcW w:w="2346" w:type="dxa"/>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9" w:type="dxa"/>
            <w:vMerge w:val="continue"/>
            <w:tcBorders>
              <w:top w:val="nil"/>
              <w:bottom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通讯地址</w:t>
            </w:r>
          </w:p>
        </w:tc>
        <w:tc>
          <w:tcPr>
            <w:tcW w:w="6266" w:type="dxa"/>
            <w:gridSpan w:val="4"/>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9" w:type="dxa"/>
            <w:vMerge w:val="continue"/>
            <w:tcBorders>
              <w:top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网    址</w:t>
            </w:r>
          </w:p>
        </w:tc>
        <w:tc>
          <w:tcPr>
            <w:tcW w:w="6266" w:type="dxa"/>
            <w:gridSpan w:val="4"/>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519" w:type="dxa"/>
            <w:vMerge w:val="restart"/>
            <w:tcBorders>
              <w:bottom w:val="nil"/>
            </w:tcBorders>
            <w:textDirection w:val="tbRlV"/>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被 授 权 项 目 与 内 容</w:t>
            </w: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供应商名称</w:t>
            </w:r>
          </w:p>
        </w:tc>
        <w:tc>
          <w:tcPr>
            <w:tcW w:w="6266" w:type="dxa"/>
            <w:gridSpan w:val="4"/>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519" w:type="dxa"/>
            <w:vMerge w:val="continue"/>
            <w:tcBorders>
              <w:top w:val="nil"/>
              <w:bottom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采购项目名称</w:t>
            </w:r>
          </w:p>
        </w:tc>
        <w:tc>
          <w:tcPr>
            <w:tcW w:w="6266" w:type="dxa"/>
            <w:gridSpan w:val="4"/>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519" w:type="dxa"/>
            <w:vMerge w:val="continue"/>
            <w:tcBorders>
              <w:top w:val="nil"/>
              <w:bottom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采购项目编号</w:t>
            </w:r>
          </w:p>
        </w:tc>
        <w:tc>
          <w:tcPr>
            <w:tcW w:w="6266" w:type="dxa"/>
            <w:gridSpan w:val="4"/>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519" w:type="dxa"/>
            <w:vMerge w:val="continue"/>
            <w:tcBorders>
              <w:top w:val="nil"/>
              <w:bottom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授权范围</w:t>
            </w:r>
          </w:p>
        </w:tc>
        <w:tc>
          <w:tcPr>
            <w:tcW w:w="6266" w:type="dxa"/>
            <w:gridSpan w:val="4"/>
            <w:vAlign w:val="top"/>
          </w:tcPr>
          <w:p>
            <w:pPr>
              <w:spacing w:line="360" w:lineRule="auto"/>
              <w:ind w:left="0" w:leftChars="0" w:firstLine="0" w:firstLineChars="0"/>
              <w:rPr>
                <w:rFonts w:hint="eastAsia" w:ascii="宋体" w:hAnsi="宋体" w:eastAsia="宋体" w:cs="宋体"/>
                <w:color w:val="auto"/>
                <w:sz w:val="24"/>
              </w:rPr>
            </w:pPr>
            <w:r>
              <w:rPr>
                <w:rFonts w:hint="eastAsia" w:ascii="宋体" w:hAnsi="宋体" w:eastAsia="宋体" w:cs="宋体"/>
                <w:color w:val="auto"/>
                <w:sz w:val="24"/>
              </w:rPr>
              <w:t>全权办理本次招标采购项目的投标、联系、洽谈、签约、 执行等具体事务，签署全部有关文件、文书、协议及合同。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9" w:type="dxa"/>
            <w:vMerge w:val="continue"/>
            <w:tcBorders>
              <w:top w:val="nil"/>
              <w:bottom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法律责任</w:t>
            </w:r>
          </w:p>
        </w:tc>
        <w:tc>
          <w:tcPr>
            <w:tcW w:w="6266" w:type="dxa"/>
            <w:gridSpan w:val="4"/>
            <w:vAlign w:val="top"/>
          </w:tcPr>
          <w:p>
            <w:pPr>
              <w:spacing w:line="360" w:lineRule="auto"/>
              <w:ind w:left="0" w:leftChars="0" w:firstLine="0" w:firstLineChars="0"/>
              <w:rPr>
                <w:rFonts w:hint="eastAsia" w:ascii="宋体" w:hAnsi="宋体" w:eastAsia="宋体" w:cs="宋体"/>
                <w:color w:val="auto"/>
                <w:sz w:val="24"/>
              </w:rPr>
            </w:pPr>
            <w:r>
              <w:rPr>
                <w:rFonts w:hint="eastAsia" w:ascii="宋体" w:hAnsi="宋体" w:eastAsia="宋体" w:cs="宋体"/>
                <w:color w:val="auto"/>
                <w:sz w:val="24"/>
              </w:rPr>
              <w:t>本公司对被授权人在本项目中的签名承担全部法律责任。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519" w:type="dxa"/>
            <w:vMerge w:val="continue"/>
            <w:tcBorders>
              <w:top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授权期限</w:t>
            </w:r>
          </w:p>
        </w:tc>
        <w:tc>
          <w:tcPr>
            <w:tcW w:w="6266" w:type="dxa"/>
            <w:gridSpan w:val="4"/>
            <w:vAlign w:val="top"/>
          </w:tcPr>
          <w:p>
            <w:pPr>
              <w:spacing w:line="360" w:lineRule="auto"/>
              <w:ind w:left="0" w:leftChars="0" w:firstLine="0" w:firstLineChars="0"/>
              <w:rPr>
                <w:rFonts w:hint="eastAsia" w:ascii="宋体" w:hAnsi="宋体" w:eastAsia="宋体" w:cs="宋体"/>
                <w:color w:val="auto"/>
                <w:sz w:val="24"/>
              </w:rPr>
            </w:pPr>
            <w:r>
              <w:rPr>
                <w:rFonts w:hint="eastAsia" w:ascii="宋体" w:hAnsi="宋体" w:eastAsia="宋体" w:cs="宋体"/>
                <w:color w:val="auto"/>
                <w:sz w:val="24"/>
              </w:rPr>
              <w:t>本授权书自开标会议之日计算有效期为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4115" w:type="dxa"/>
            <w:gridSpan w:val="3"/>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法定代表人身份证复印件</w:t>
            </w:r>
          </w:p>
        </w:tc>
        <w:tc>
          <w:tcPr>
            <w:tcW w:w="4829" w:type="dxa"/>
            <w:gridSpan w:val="3"/>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法定代表人签署栏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2" w:hRule="atLeast"/>
        </w:trPr>
        <w:tc>
          <w:tcPr>
            <w:tcW w:w="4115" w:type="dxa"/>
            <w:gridSpan w:val="3"/>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二代身份证正面都需复印</w:t>
            </w:r>
          </w:p>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(粘贴处)</w:t>
            </w:r>
          </w:p>
        </w:tc>
        <w:tc>
          <w:tcPr>
            <w:tcW w:w="4829" w:type="dxa"/>
            <w:gridSpan w:val="3"/>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4115" w:type="dxa"/>
            <w:gridSpan w:val="3"/>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二代身份证背面都需复印</w:t>
            </w:r>
          </w:p>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(粘贴处)</w:t>
            </w:r>
          </w:p>
        </w:tc>
        <w:tc>
          <w:tcPr>
            <w:tcW w:w="4829" w:type="dxa"/>
            <w:gridSpan w:val="3"/>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(单位公章)</w:t>
            </w:r>
          </w:p>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7" w:hRule="atLeast"/>
        </w:trPr>
        <w:tc>
          <w:tcPr>
            <w:tcW w:w="4115" w:type="dxa"/>
            <w:gridSpan w:val="3"/>
            <w:vAlign w:val="top"/>
          </w:tcPr>
          <w:p>
            <w:pPr>
              <w:spacing w:before="118" w:line="360" w:lineRule="auto"/>
              <w:ind w:left="117"/>
              <w:rPr>
                <w:rFonts w:hint="eastAsia" w:ascii="宋体" w:hAnsi="宋体" w:eastAsia="宋体" w:cs="宋体"/>
                <w:color w:val="auto"/>
                <w:sz w:val="23"/>
                <w:szCs w:val="23"/>
              </w:rPr>
            </w:pPr>
            <w:r>
              <w:rPr>
                <w:rFonts w:hint="eastAsia" w:ascii="宋体" w:hAnsi="宋体" w:eastAsia="宋体" w:cs="宋体"/>
                <w:color w:val="auto"/>
                <w:spacing w:val="9"/>
                <w:sz w:val="23"/>
                <w:szCs w:val="23"/>
              </w:rPr>
              <w:t>被授权人身份证复印件</w:t>
            </w:r>
          </w:p>
          <w:p>
            <w:pPr>
              <w:spacing w:before="74" w:line="360" w:lineRule="auto"/>
              <w:ind w:left="122"/>
              <w:rPr>
                <w:rFonts w:hint="eastAsia" w:ascii="宋体" w:hAnsi="宋体" w:eastAsia="宋体" w:cs="宋体"/>
                <w:color w:val="auto"/>
                <w:sz w:val="23"/>
                <w:szCs w:val="23"/>
              </w:rPr>
            </w:pPr>
            <w:r>
              <w:rPr>
                <w:rFonts w:hint="eastAsia" w:ascii="宋体" w:hAnsi="宋体" w:eastAsia="宋体" w:cs="宋体"/>
                <w:color w:val="auto"/>
                <w:spacing w:val="3"/>
                <w:sz w:val="23"/>
                <w:szCs w:val="23"/>
              </w:rPr>
              <w:t>正</w:t>
            </w:r>
            <w:r>
              <w:rPr>
                <w:rFonts w:hint="eastAsia" w:ascii="宋体" w:hAnsi="宋体" w:eastAsia="宋体" w:cs="宋体"/>
                <w:color w:val="auto"/>
                <w:spacing w:val="2"/>
                <w:sz w:val="23"/>
                <w:szCs w:val="23"/>
              </w:rPr>
              <w:t>面</w:t>
            </w:r>
          </w:p>
        </w:tc>
        <w:tc>
          <w:tcPr>
            <w:tcW w:w="4829" w:type="dxa"/>
            <w:gridSpan w:val="3"/>
            <w:vAlign w:val="top"/>
          </w:tcPr>
          <w:p>
            <w:pPr>
              <w:spacing w:before="118" w:line="360" w:lineRule="auto"/>
              <w:ind w:left="113"/>
              <w:rPr>
                <w:rFonts w:hint="eastAsia" w:ascii="宋体" w:hAnsi="宋体" w:eastAsia="宋体" w:cs="宋体"/>
                <w:color w:val="auto"/>
                <w:sz w:val="23"/>
                <w:szCs w:val="23"/>
              </w:rPr>
            </w:pPr>
            <w:r>
              <w:rPr>
                <w:rFonts w:hint="eastAsia" w:ascii="宋体" w:hAnsi="宋体" w:eastAsia="宋体" w:cs="宋体"/>
                <w:color w:val="auto"/>
                <w:spacing w:val="9"/>
                <w:sz w:val="23"/>
                <w:szCs w:val="23"/>
              </w:rPr>
              <w:t>被授权人身份证复印件</w:t>
            </w:r>
          </w:p>
          <w:p>
            <w:pPr>
              <w:spacing w:before="74" w:line="360" w:lineRule="auto"/>
              <w:ind w:left="114"/>
              <w:rPr>
                <w:rFonts w:hint="eastAsia" w:ascii="宋体" w:hAnsi="宋体" w:eastAsia="宋体" w:cs="宋体"/>
                <w:color w:val="auto"/>
                <w:sz w:val="23"/>
                <w:szCs w:val="23"/>
              </w:rPr>
            </w:pPr>
            <w:r>
              <w:rPr>
                <w:rFonts w:hint="eastAsia" w:ascii="宋体" w:hAnsi="宋体" w:eastAsia="宋体" w:cs="宋体"/>
                <w:color w:val="auto"/>
                <w:spacing w:val="5"/>
                <w:sz w:val="23"/>
                <w:szCs w:val="23"/>
              </w:rPr>
              <w:t>反</w:t>
            </w:r>
            <w:r>
              <w:rPr>
                <w:rFonts w:hint="eastAsia" w:ascii="宋体" w:hAnsi="宋体" w:eastAsia="宋体" w:cs="宋体"/>
                <w:color w:val="auto"/>
                <w:spacing w:val="4"/>
                <w:sz w:val="23"/>
                <w:szCs w:val="23"/>
              </w:rPr>
              <w:t>面</w:t>
            </w:r>
          </w:p>
        </w:tc>
      </w:tr>
    </w:tbl>
    <w:p>
      <w:pPr>
        <w:spacing w:before="75" w:line="360" w:lineRule="auto"/>
        <w:ind w:left="331"/>
        <w:rPr>
          <w:rFonts w:hint="eastAsia" w:ascii="宋体" w:hAnsi="宋体" w:eastAsia="宋体" w:cs="宋体"/>
          <w:color w:val="auto"/>
          <w:sz w:val="23"/>
          <w:szCs w:val="23"/>
        </w:rPr>
      </w:pPr>
      <w:r>
        <w:rPr>
          <w:rFonts w:hint="eastAsia" w:ascii="宋体" w:hAnsi="宋体" w:eastAsia="宋体" w:cs="宋体"/>
          <w:color w:val="auto"/>
          <w:spacing w:val="7"/>
          <w:sz w:val="23"/>
          <w:szCs w:val="23"/>
        </w:rPr>
        <w:t>供应商名称(公章)</w:t>
      </w:r>
      <w:r>
        <w:rPr>
          <w:rFonts w:hint="eastAsia" w:ascii="宋体" w:hAnsi="宋体" w:eastAsia="宋体" w:cs="宋体"/>
          <w:color w:val="auto"/>
          <w:spacing w:val="6"/>
          <w:sz w:val="23"/>
          <w:szCs w:val="23"/>
        </w:rPr>
        <w:t>：</w:t>
      </w:r>
      <w:r>
        <w:rPr>
          <w:rFonts w:hint="eastAsia" w:ascii="宋体" w:hAnsi="宋体" w:eastAsia="宋体" w:cs="宋体"/>
          <w:color w:val="auto"/>
          <w:sz w:val="23"/>
          <w:szCs w:val="23"/>
          <w:u w:val="single" w:color="auto"/>
        </w:rPr>
        <w:t xml:space="preserve">                     </w:t>
      </w:r>
    </w:p>
    <w:p>
      <w:pPr>
        <w:spacing w:before="75" w:line="360" w:lineRule="auto"/>
        <w:ind w:left="332"/>
        <w:rPr>
          <w:rFonts w:hint="eastAsia" w:ascii="宋体" w:hAnsi="宋体" w:eastAsia="宋体" w:cs="宋体"/>
          <w:color w:val="auto"/>
          <w:sz w:val="23"/>
          <w:szCs w:val="23"/>
        </w:rPr>
      </w:pPr>
      <w:r>
        <w:rPr>
          <w:rFonts w:hint="eastAsia" w:ascii="宋体" w:hAnsi="宋体" w:eastAsia="宋体" w:cs="宋体"/>
          <w:color w:val="auto"/>
          <w:spacing w:val="14"/>
          <w:sz w:val="23"/>
          <w:szCs w:val="23"/>
        </w:rPr>
        <w:t>法</w:t>
      </w:r>
      <w:r>
        <w:rPr>
          <w:rFonts w:hint="eastAsia" w:ascii="宋体" w:hAnsi="宋体" w:eastAsia="宋体" w:cs="宋体"/>
          <w:color w:val="auto"/>
          <w:spacing w:val="7"/>
          <w:sz w:val="23"/>
          <w:szCs w:val="23"/>
        </w:rPr>
        <w:t>定代表人(签字并盖章)：</w:t>
      </w:r>
      <w:r>
        <w:rPr>
          <w:rFonts w:hint="eastAsia" w:ascii="宋体" w:hAnsi="宋体" w:eastAsia="宋体" w:cs="宋体"/>
          <w:color w:val="auto"/>
          <w:sz w:val="23"/>
          <w:szCs w:val="23"/>
          <w:u w:val="single" w:color="auto"/>
        </w:rPr>
        <w:t xml:space="preserve">               </w:t>
      </w:r>
    </w:p>
    <w:p>
      <w:pPr>
        <w:tabs>
          <w:tab w:val="left" w:pos="6717"/>
        </w:tabs>
        <w:spacing w:before="30" w:line="360" w:lineRule="auto"/>
        <w:jc w:val="right"/>
        <w:rPr>
          <w:rFonts w:hint="eastAsia" w:ascii="宋体" w:hAnsi="宋体" w:eastAsia="宋体" w:cs="宋体"/>
          <w:color w:val="auto"/>
          <w:sz w:val="23"/>
          <w:szCs w:val="23"/>
        </w:rPr>
      </w:pPr>
      <w:r>
        <w:rPr>
          <w:rFonts w:hint="eastAsia" w:ascii="宋体" w:hAnsi="宋体" w:eastAsia="宋体" w:cs="宋体"/>
          <w:color w:val="auto"/>
          <w:spacing w:val="-8"/>
          <w:sz w:val="23"/>
          <w:szCs w:val="23"/>
          <w:u w:val="single" w:color="auto"/>
        </w:rPr>
        <w:t xml:space="preserve"> </w:t>
      </w:r>
      <w:r>
        <w:rPr>
          <w:rFonts w:hint="eastAsia" w:ascii="宋体" w:hAnsi="宋体" w:cs="宋体"/>
          <w:color w:val="auto"/>
          <w:spacing w:val="-8"/>
          <w:sz w:val="23"/>
          <w:szCs w:val="23"/>
          <w:u w:val="single" w:color="auto"/>
          <w:lang w:val="en-US" w:eastAsia="zh-CN"/>
        </w:rPr>
        <w:t xml:space="preserve">    </w:t>
      </w:r>
      <w:r>
        <w:rPr>
          <w:rFonts w:hint="eastAsia" w:ascii="宋体" w:hAnsi="宋体" w:eastAsia="宋体" w:cs="宋体"/>
          <w:color w:val="auto"/>
          <w:spacing w:val="-8"/>
          <w:sz w:val="23"/>
          <w:szCs w:val="23"/>
          <w:u w:val="single" w:color="auto"/>
        </w:rPr>
        <w:t xml:space="preserve"> </w:t>
      </w:r>
      <w:r>
        <w:rPr>
          <w:rFonts w:hint="eastAsia" w:ascii="宋体" w:hAnsi="宋体" w:eastAsia="宋体" w:cs="宋体"/>
          <w:color w:val="auto"/>
          <w:spacing w:val="-8"/>
          <w:sz w:val="23"/>
          <w:szCs w:val="23"/>
        </w:rPr>
        <w:t>年</w:t>
      </w:r>
      <w:r>
        <w:rPr>
          <w:rFonts w:hint="eastAsia" w:ascii="宋体" w:hAnsi="宋体" w:eastAsia="宋体" w:cs="宋体"/>
          <w:color w:val="auto"/>
          <w:spacing w:val="-8"/>
          <w:sz w:val="23"/>
          <w:szCs w:val="23"/>
          <w:u w:val="single" w:color="auto"/>
        </w:rPr>
        <w:t xml:space="preserve"> </w:t>
      </w:r>
      <w:r>
        <w:rPr>
          <w:rFonts w:hint="eastAsia" w:ascii="宋体" w:hAnsi="宋体" w:cs="宋体"/>
          <w:color w:val="auto"/>
          <w:spacing w:val="-8"/>
          <w:sz w:val="23"/>
          <w:szCs w:val="23"/>
          <w:u w:val="single" w:color="auto"/>
          <w:lang w:val="en-US" w:eastAsia="zh-CN"/>
        </w:rPr>
        <w:t xml:space="preserve">  </w:t>
      </w:r>
      <w:r>
        <w:rPr>
          <w:rFonts w:hint="eastAsia" w:ascii="宋体" w:hAnsi="宋体" w:eastAsia="宋体" w:cs="宋体"/>
          <w:color w:val="auto"/>
          <w:spacing w:val="-8"/>
          <w:sz w:val="23"/>
          <w:szCs w:val="23"/>
          <w:u w:val="single" w:color="auto"/>
        </w:rPr>
        <w:t xml:space="preserve">  </w:t>
      </w:r>
      <w:r>
        <w:rPr>
          <w:rFonts w:hint="eastAsia" w:ascii="宋体" w:hAnsi="宋体" w:eastAsia="宋体" w:cs="宋体"/>
          <w:color w:val="auto"/>
          <w:spacing w:val="-8"/>
          <w:sz w:val="23"/>
          <w:szCs w:val="23"/>
        </w:rPr>
        <w:t xml:space="preserve"> 月</w:t>
      </w:r>
      <w:r>
        <w:rPr>
          <w:rFonts w:hint="eastAsia" w:ascii="宋体" w:hAnsi="宋体" w:eastAsia="宋体" w:cs="宋体"/>
          <w:color w:val="auto"/>
          <w:spacing w:val="-8"/>
          <w:sz w:val="23"/>
          <w:szCs w:val="23"/>
          <w:u w:val="single" w:color="auto"/>
        </w:rPr>
        <w:t xml:space="preserve">     </w:t>
      </w:r>
      <w:r>
        <w:rPr>
          <w:rFonts w:hint="eastAsia" w:ascii="宋体" w:hAnsi="宋体" w:eastAsia="宋体" w:cs="宋体"/>
          <w:color w:val="auto"/>
          <w:spacing w:val="-8"/>
          <w:sz w:val="23"/>
          <w:szCs w:val="23"/>
        </w:rPr>
        <w:t xml:space="preserve"> 日</w:t>
      </w:r>
    </w:p>
    <w:p>
      <w:pPr>
        <w:spacing w:before="100" w:line="360" w:lineRule="auto"/>
        <w:ind w:firstLine="1832" w:firstLineChars="400"/>
        <w:outlineLvl w:val="1"/>
        <w:rPr>
          <w:rFonts w:hint="eastAsia" w:ascii="宋体" w:hAnsi="宋体" w:eastAsia="宋体" w:cs="宋体"/>
          <w:color w:val="auto"/>
          <w:sz w:val="43"/>
          <w:szCs w:val="43"/>
        </w:rPr>
      </w:pPr>
      <w:bookmarkStart w:id="56" w:name="_Toc12484"/>
      <w:r>
        <w:rPr>
          <w:rFonts w:hint="eastAsia" w:ascii="宋体" w:hAnsi="宋体" w:eastAsia="宋体" w:cs="宋体"/>
          <w:color w:val="auto"/>
          <w:spacing w:val="14"/>
          <w:position w:val="19"/>
          <w:sz w:val="43"/>
          <w:szCs w:val="43"/>
          <w14:textOutline w14:w="7972" w14:cap="sq" w14:cmpd="sng">
            <w14:solidFill>
              <w14:srgbClr w14:val="000000"/>
            </w14:solidFill>
            <w14:prstDash w14:val="solid"/>
            <w14:bevel/>
          </w14:textOutline>
        </w:rPr>
        <w:t>第</w:t>
      </w:r>
      <w:r>
        <w:rPr>
          <w:rFonts w:hint="eastAsia" w:ascii="宋体" w:hAnsi="宋体" w:eastAsia="宋体" w:cs="宋体"/>
          <w:color w:val="auto"/>
          <w:spacing w:val="9"/>
          <w:position w:val="19"/>
          <w:sz w:val="43"/>
          <w:szCs w:val="43"/>
          <w14:textOutline w14:w="7972" w14:cap="sq" w14:cmpd="sng">
            <w14:solidFill>
              <w14:srgbClr w14:val="000000"/>
            </w14:solidFill>
            <w14:prstDash w14:val="solid"/>
            <w14:bevel/>
          </w14:textOutline>
        </w:rPr>
        <w:t>二部分</w:t>
      </w:r>
      <w:r>
        <w:rPr>
          <w:rFonts w:hint="eastAsia" w:ascii="宋体" w:hAnsi="宋体" w:eastAsia="宋体" w:cs="宋体"/>
          <w:color w:val="auto"/>
          <w:spacing w:val="9"/>
          <w:position w:val="19"/>
          <w:sz w:val="43"/>
          <w:szCs w:val="43"/>
        </w:rPr>
        <w:t xml:space="preserve"> </w:t>
      </w:r>
      <w:r>
        <w:rPr>
          <w:rFonts w:hint="eastAsia" w:ascii="宋体" w:hAnsi="宋体" w:eastAsia="宋体" w:cs="宋体"/>
          <w:color w:val="auto"/>
          <w:spacing w:val="9"/>
          <w:position w:val="19"/>
          <w:sz w:val="43"/>
          <w:szCs w:val="43"/>
          <w14:textOutline w14:w="7972" w14:cap="sq" w14:cmpd="sng">
            <w14:solidFill>
              <w14:srgbClr w14:val="000000"/>
            </w14:solidFill>
            <w14:prstDash w14:val="solid"/>
            <w14:bevel/>
          </w14:textOutline>
        </w:rPr>
        <w:t>符合性证明文件</w:t>
      </w:r>
      <w:bookmarkEnd w:id="56"/>
    </w:p>
    <w:p>
      <w:pPr>
        <w:spacing w:before="181" w:line="360" w:lineRule="auto"/>
        <w:ind w:left="2475"/>
        <w:outlineLvl w:val="2"/>
        <w:rPr>
          <w:rFonts w:hint="eastAsia" w:ascii="宋体" w:hAnsi="宋体" w:eastAsia="宋体" w:cs="宋体"/>
          <w:b/>
          <w:kern w:val="0"/>
          <w:sz w:val="28"/>
          <w:szCs w:val="28"/>
          <w:shd w:val="clear" w:color="auto" w:fill="FFFFFF"/>
          <w:lang w:val="en-US" w:eastAsia="zh-CN" w:bidi="ar-SA"/>
        </w:rPr>
      </w:pPr>
      <w:bookmarkStart w:id="57" w:name="_Toc6683"/>
      <w:r>
        <w:rPr>
          <w:rFonts w:hint="eastAsia" w:ascii="宋体" w:hAnsi="宋体" w:eastAsia="宋体" w:cs="宋体"/>
          <w:b/>
          <w:kern w:val="0"/>
          <w:sz w:val="28"/>
          <w:szCs w:val="28"/>
          <w:shd w:val="clear" w:color="auto" w:fill="FFFFFF"/>
          <w:lang w:val="en-US" w:eastAsia="zh-CN" w:bidi="ar-SA"/>
        </w:rPr>
        <w:t>一、响应函</w:t>
      </w:r>
      <w:bookmarkEnd w:id="57"/>
    </w:p>
    <w:p>
      <w:pPr>
        <w:spacing w:line="360" w:lineRule="auto"/>
        <w:rPr>
          <w:rFonts w:hint="eastAsia" w:ascii="宋体" w:hAnsi="宋体" w:eastAsia="宋体" w:cs="宋体"/>
          <w:color w:val="auto"/>
          <w:sz w:val="24"/>
        </w:rPr>
      </w:pPr>
      <w:bookmarkStart w:id="58" w:name="_Toc283240496"/>
      <w:bookmarkStart w:id="59" w:name="_Toc334522291"/>
      <w:bookmarkStart w:id="60" w:name="_Toc347478746"/>
      <w:bookmarkStart w:id="61" w:name="_Toc312789403"/>
      <w:bookmarkStart w:id="62" w:name="_Toc311415657"/>
      <w:bookmarkStart w:id="63" w:name="_Toc9587"/>
      <w:bookmarkStart w:id="64" w:name="_Toc283626511"/>
      <w:r>
        <w:rPr>
          <w:rFonts w:hint="eastAsia" w:ascii="宋体" w:hAnsi="宋体" w:eastAsia="宋体" w:cs="宋体"/>
          <w:color w:val="auto"/>
          <w:kern w:val="0"/>
          <w:sz w:val="24"/>
          <w:szCs w:val="24"/>
          <w:lang w:eastAsia="zh-CN"/>
        </w:rPr>
        <w:t>华春建设工程项目管理有限责任公司</w:t>
      </w:r>
      <w:r>
        <w:rPr>
          <w:rFonts w:hint="eastAsia" w:ascii="宋体" w:hAnsi="宋体" w:eastAsia="宋体" w:cs="宋体"/>
          <w:color w:val="auto"/>
          <w:kern w:val="0"/>
          <w:sz w:val="24"/>
          <w:szCs w:val="24"/>
        </w:rPr>
        <w:t>：</w:t>
      </w:r>
    </w:p>
    <w:p>
      <w:pPr>
        <w:spacing w:line="360" w:lineRule="auto"/>
        <w:ind w:firstLine="540" w:firstLineChars="225"/>
        <w:rPr>
          <w:rFonts w:hint="eastAsia" w:ascii="宋体" w:hAnsi="宋体" w:eastAsia="宋体" w:cs="宋体"/>
          <w:color w:val="auto"/>
          <w:sz w:val="24"/>
        </w:rPr>
      </w:pPr>
      <w:bookmarkStart w:id="65" w:name="_Hlt491573407"/>
      <w:bookmarkEnd w:id="65"/>
      <w:r>
        <w:rPr>
          <w:rFonts w:hint="eastAsia" w:ascii="宋体" w:hAnsi="宋体" w:eastAsia="宋体" w:cs="宋体"/>
          <w:color w:val="auto"/>
          <w:sz w:val="24"/>
        </w:rPr>
        <w:t>我单位收到贵公司</w:t>
      </w:r>
      <w:r>
        <w:rPr>
          <w:rFonts w:hint="eastAsia" w:ascii="宋体" w:hAnsi="宋体" w:eastAsia="宋体" w:cs="宋体"/>
          <w:color w:val="auto"/>
          <w:sz w:val="24"/>
          <w:u w:val="single"/>
        </w:rPr>
        <w:t xml:space="preserve">   （采购项目名称、采购项目编号）  </w:t>
      </w:r>
      <w:r>
        <w:rPr>
          <w:rFonts w:hint="eastAsia" w:ascii="宋体" w:hAnsi="宋体" w:eastAsia="宋体" w:cs="宋体"/>
          <w:color w:val="auto"/>
          <w:sz w:val="24"/>
          <w:lang w:eastAsia="zh-CN"/>
        </w:rPr>
        <w:t>磋商</w:t>
      </w:r>
      <w:r>
        <w:rPr>
          <w:rFonts w:hint="eastAsia" w:ascii="宋体" w:hAnsi="宋体" w:eastAsia="宋体" w:cs="宋体"/>
          <w:color w:val="auto"/>
          <w:sz w:val="24"/>
        </w:rPr>
        <w:t>文件，经详细研究，决定参加本次投标活动，签字代表</w:t>
      </w:r>
      <w:r>
        <w:rPr>
          <w:rFonts w:hint="eastAsia" w:ascii="宋体" w:hAnsi="宋体" w:eastAsia="宋体" w:cs="宋体"/>
          <w:color w:val="auto"/>
          <w:sz w:val="24"/>
          <w:u w:val="single"/>
        </w:rPr>
        <w:t xml:space="preserve"> (全名、职务)</w:t>
      </w:r>
      <w:r>
        <w:rPr>
          <w:rFonts w:hint="eastAsia" w:ascii="宋体" w:hAnsi="宋体" w:eastAsia="宋体" w:cs="宋体"/>
          <w:color w:val="auto"/>
          <w:sz w:val="24"/>
        </w:rPr>
        <w:t>经正式授权并代表</w:t>
      </w:r>
      <w:r>
        <w:rPr>
          <w:rFonts w:hint="eastAsia" w:ascii="宋体" w:hAnsi="宋体" w:eastAsia="宋体" w:cs="宋体"/>
          <w:color w:val="auto"/>
          <w:sz w:val="24"/>
          <w:u w:val="single"/>
        </w:rPr>
        <w:t>（投标单位名称、地址。</w:t>
      </w:r>
      <w:r>
        <w:rPr>
          <w:rFonts w:hint="eastAsia" w:ascii="宋体" w:hAnsi="宋体" w:eastAsia="宋体" w:cs="宋体"/>
          <w:color w:val="auto"/>
          <w:sz w:val="24"/>
        </w:rPr>
        <w:t>为此，我方郑重声明以下几点，并愿负法律责任。</w:t>
      </w:r>
    </w:p>
    <w:p>
      <w:pPr>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1、按照</w:t>
      </w:r>
      <w:r>
        <w:rPr>
          <w:rFonts w:hint="eastAsia" w:ascii="宋体" w:hAnsi="宋体" w:eastAsia="宋体" w:cs="宋体"/>
          <w:color w:val="auto"/>
          <w:sz w:val="24"/>
          <w:lang w:eastAsia="zh-CN"/>
        </w:rPr>
        <w:t>磋商文件</w:t>
      </w:r>
      <w:r>
        <w:rPr>
          <w:rFonts w:hint="eastAsia" w:ascii="宋体" w:hAnsi="宋体" w:eastAsia="宋体" w:cs="宋体"/>
          <w:color w:val="auto"/>
          <w:sz w:val="24"/>
        </w:rPr>
        <w:t>中的一切要求，提供完全满足采购需求的合格产品、全面技术和售后服务保障。</w:t>
      </w:r>
    </w:p>
    <w:p>
      <w:pPr>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2、如若中标，将根据</w:t>
      </w:r>
      <w:r>
        <w:rPr>
          <w:rFonts w:hint="eastAsia" w:ascii="宋体" w:hAnsi="宋体" w:eastAsia="宋体" w:cs="宋体"/>
          <w:color w:val="auto"/>
          <w:sz w:val="24"/>
          <w:lang w:eastAsia="zh-CN"/>
        </w:rPr>
        <w:t>磋商文件</w:t>
      </w:r>
      <w:r>
        <w:rPr>
          <w:rFonts w:hint="eastAsia" w:ascii="宋体" w:hAnsi="宋体" w:eastAsia="宋体" w:cs="宋体"/>
          <w:color w:val="auto"/>
          <w:sz w:val="24"/>
        </w:rPr>
        <w:t>的要求、</w:t>
      </w:r>
      <w:r>
        <w:rPr>
          <w:rFonts w:hint="eastAsia" w:ascii="宋体" w:hAnsi="宋体" w:eastAsia="宋体" w:cs="宋体"/>
          <w:color w:val="auto"/>
          <w:sz w:val="24"/>
          <w:lang w:eastAsia="zh-CN"/>
        </w:rPr>
        <w:t>磋商响应文件</w:t>
      </w:r>
      <w:r>
        <w:rPr>
          <w:rFonts w:hint="eastAsia" w:ascii="宋体" w:hAnsi="宋体" w:eastAsia="宋体" w:cs="宋体"/>
          <w:color w:val="auto"/>
          <w:sz w:val="24"/>
        </w:rPr>
        <w:t>及承诺条件，全面签约并履行合同规定的责任和义务。</w:t>
      </w:r>
    </w:p>
    <w:p>
      <w:pPr>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3、我方提交的</w:t>
      </w:r>
      <w:r>
        <w:rPr>
          <w:rFonts w:hint="eastAsia" w:ascii="宋体" w:hAnsi="宋体" w:eastAsia="宋体" w:cs="宋体"/>
          <w:color w:val="auto"/>
          <w:sz w:val="24"/>
          <w:lang w:eastAsia="zh-CN"/>
        </w:rPr>
        <w:t>磋商响应文件</w:t>
      </w:r>
      <w:r>
        <w:rPr>
          <w:rFonts w:hint="eastAsia" w:ascii="宋体" w:hAnsi="宋体" w:eastAsia="宋体" w:cs="宋体"/>
          <w:color w:val="auto"/>
          <w:sz w:val="24"/>
        </w:rPr>
        <w:t>包括：正本壹份、副本壹份、电子版（word或PDF文件U盘）壹份。</w:t>
      </w:r>
    </w:p>
    <w:p>
      <w:pPr>
        <w:kinsoku w:val="0"/>
        <w:spacing w:line="360" w:lineRule="auto"/>
        <w:rPr>
          <w:rFonts w:hint="eastAsia" w:ascii="宋体" w:hAnsi="宋体" w:eastAsia="宋体" w:cs="宋体"/>
          <w:color w:val="auto"/>
          <w:sz w:val="24"/>
        </w:rPr>
      </w:pPr>
      <w:r>
        <w:rPr>
          <w:rFonts w:hint="eastAsia" w:ascii="宋体" w:hAnsi="宋体" w:eastAsia="宋体" w:cs="宋体"/>
          <w:color w:val="auto"/>
          <w:sz w:val="24"/>
        </w:rPr>
        <w:t>4、我方所附开标一览表中的</w:t>
      </w:r>
      <w:r>
        <w:rPr>
          <w:rFonts w:hint="eastAsia" w:ascii="宋体" w:hAnsi="宋体" w:eastAsia="宋体" w:cs="宋体"/>
          <w:color w:val="auto"/>
          <w:sz w:val="24"/>
          <w:lang w:eastAsia="zh-CN"/>
        </w:rPr>
        <w:t>磋商</w:t>
      </w:r>
      <w:r>
        <w:rPr>
          <w:rFonts w:hint="eastAsia" w:ascii="宋体" w:hAnsi="宋体" w:eastAsia="宋体" w:cs="宋体"/>
          <w:color w:val="auto"/>
          <w:sz w:val="24"/>
        </w:rPr>
        <w:t>总价为：</w:t>
      </w:r>
      <w:r>
        <w:rPr>
          <w:rFonts w:hint="eastAsia" w:ascii="宋体" w:hAnsi="宋体" w:eastAsia="宋体" w:cs="宋体"/>
          <w:color w:val="auto"/>
          <w:sz w:val="24"/>
          <w:u w:val="single"/>
        </w:rPr>
        <w:t>（小写金额）</w:t>
      </w:r>
      <w:r>
        <w:rPr>
          <w:rFonts w:hint="eastAsia" w:ascii="宋体" w:hAnsi="宋体" w:eastAsia="宋体" w:cs="宋体"/>
          <w:color w:val="auto"/>
          <w:sz w:val="24"/>
        </w:rPr>
        <w:t>（即：</w:t>
      </w:r>
      <w:r>
        <w:rPr>
          <w:rFonts w:hint="eastAsia" w:ascii="宋体" w:hAnsi="宋体" w:eastAsia="宋体" w:cs="宋体"/>
          <w:color w:val="auto"/>
          <w:sz w:val="24"/>
          <w:u w:val="single"/>
        </w:rPr>
        <w:t>大写金额</w:t>
      </w:r>
      <w:r>
        <w:rPr>
          <w:rFonts w:hint="eastAsia" w:ascii="宋体" w:hAnsi="宋体" w:eastAsia="宋体" w:cs="宋体"/>
          <w:color w:val="auto"/>
          <w:sz w:val="24"/>
        </w:rPr>
        <w:t>）</w:t>
      </w:r>
      <w:r>
        <w:rPr>
          <w:rFonts w:hint="eastAsia" w:ascii="宋体" w:hAnsi="宋体" w:eastAsia="宋体" w:cs="宋体"/>
          <w:color w:val="auto"/>
          <w:sz w:val="24"/>
          <w:lang w:eastAsia="zh-CN"/>
        </w:rPr>
        <w:t>，</w:t>
      </w:r>
      <w:r>
        <w:rPr>
          <w:rFonts w:hint="eastAsia" w:ascii="宋体" w:hAnsi="宋体" w:eastAsia="宋体" w:cs="宋体"/>
          <w:b/>
          <w:color w:val="auto"/>
          <w:sz w:val="24"/>
          <w:szCs w:val="24"/>
          <w:lang w:eastAsia="zh-CN"/>
        </w:rPr>
        <w:t>服务</w:t>
      </w:r>
      <w:r>
        <w:rPr>
          <w:rFonts w:hint="eastAsia" w:ascii="宋体" w:hAnsi="宋体" w:eastAsia="宋体" w:cs="宋体"/>
          <w:b/>
          <w:color w:val="auto"/>
          <w:sz w:val="24"/>
          <w:szCs w:val="24"/>
        </w:rPr>
        <w:t>期</w:t>
      </w:r>
      <w:r>
        <w:rPr>
          <w:rFonts w:hint="eastAsia" w:ascii="宋体" w:hAnsi="宋体" w:eastAsia="宋体" w:cs="宋体"/>
          <w:b/>
          <w:color w:val="auto"/>
          <w:sz w:val="24"/>
          <w:szCs w:val="24"/>
          <w:u w:val="single"/>
          <w:lang w:val="en-US" w:eastAsia="zh-CN"/>
        </w:rPr>
        <w:t xml:space="preserve">                 </w:t>
      </w:r>
      <w:r>
        <w:rPr>
          <w:rFonts w:hint="eastAsia" w:ascii="宋体" w:hAnsi="宋体" w:eastAsia="宋体" w:cs="宋体"/>
          <w:color w:val="auto"/>
          <w:sz w:val="24"/>
        </w:rPr>
        <w:t>；</w:t>
      </w:r>
    </w:p>
    <w:p>
      <w:pPr>
        <w:kinsoku w:val="0"/>
        <w:spacing w:line="360" w:lineRule="auto"/>
        <w:rPr>
          <w:rFonts w:hint="eastAsia" w:ascii="宋体" w:hAnsi="宋体" w:eastAsia="宋体" w:cs="宋体"/>
          <w:color w:val="auto"/>
          <w:sz w:val="24"/>
        </w:rPr>
      </w:pPr>
      <w:r>
        <w:rPr>
          <w:rFonts w:hint="eastAsia" w:ascii="宋体" w:hAnsi="宋体" w:eastAsia="宋体" w:cs="宋体"/>
          <w:color w:val="auto"/>
          <w:sz w:val="24"/>
        </w:rPr>
        <w:t>5、我方按</w:t>
      </w:r>
      <w:r>
        <w:rPr>
          <w:rFonts w:hint="eastAsia" w:ascii="宋体" w:hAnsi="宋体" w:eastAsia="宋体" w:cs="宋体"/>
          <w:color w:val="auto"/>
          <w:sz w:val="24"/>
          <w:lang w:eastAsia="zh-CN"/>
        </w:rPr>
        <w:t>磋商</w:t>
      </w:r>
      <w:r>
        <w:rPr>
          <w:rFonts w:hint="eastAsia" w:ascii="宋体" w:hAnsi="宋体" w:eastAsia="宋体" w:cs="宋体"/>
          <w:color w:val="auto"/>
          <w:sz w:val="24"/>
        </w:rPr>
        <w:t>文件要求交纳投标保证金为：</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6、我方已详细阅读并完全理解</w:t>
      </w:r>
      <w:r>
        <w:rPr>
          <w:rFonts w:hint="eastAsia" w:ascii="宋体" w:hAnsi="宋体" w:eastAsia="宋体" w:cs="宋体"/>
          <w:color w:val="auto"/>
          <w:sz w:val="24"/>
          <w:lang w:eastAsia="zh-CN"/>
        </w:rPr>
        <w:t>磋商文件</w:t>
      </w:r>
      <w:r>
        <w:rPr>
          <w:rFonts w:hint="eastAsia" w:ascii="宋体" w:hAnsi="宋体" w:eastAsia="宋体" w:cs="宋体"/>
          <w:color w:val="auto"/>
          <w:sz w:val="24"/>
        </w:rPr>
        <w:t>内容，同意放弃有不明及误解的权利。</w:t>
      </w:r>
    </w:p>
    <w:p>
      <w:pPr>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7、我方同意提供与本次招标有关的任何证明资料，并为资料的真实性承担法律责任。</w:t>
      </w:r>
    </w:p>
    <w:p>
      <w:pPr>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8、我方的</w:t>
      </w:r>
      <w:r>
        <w:rPr>
          <w:rFonts w:hint="eastAsia" w:ascii="宋体" w:hAnsi="宋体" w:eastAsia="宋体" w:cs="宋体"/>
          <w:color w:val="auto"/>
          <w:sz w:val="24"/>
          <w:lang w:eastAsia="zh-CN"/>
        </w:rPr>
        <w:t>磋商响应文件</w:t>
      </w:r>
      <w:r>
        <w:rPr>
          <w:rFonts w:hint="eastAsia" w:ascii="宋体" w:hAnsi="宋体" w:eastAsia="宋体" w:cs="宋体"/>
          <w:color w:val="auto"/>
          <w:sz w:val="24"/>
        </w:rPr>
        <w:t>在开标之日起有效期为</w:t>
      </w:r>
      <w:r>
        <w:rPr>
          <w:rFonts w:hint="eastAsia" w:ascii="宋体" w:hAnsi="宋体" w:eastAsia="宋体" w:cs="宋体"/>
          <w:color w:val="auto"/>
          <w:sz w:val="24"/>
          <w:u w:val="single"/>
        </w:rPr>
        <w:t xml:space="preserve">      </w:t>
      </w:r>
      <w:r>
        <w:rPr>
          <w:rFonts w:hint="eastAsia" w:ascii="宋体" w:hAnsi="宋体" w:eastAsia="宋体" w:cs="宋体"/>
          <w:color w:val="auto"/>
          <w:sz w:val="24"/>
        </w:rPr>
        <w:t>天。</w:t>
      </w:r>
    </w:p>
    <w:p>
      <w:pPr>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9、所有关于本次投标的函电，请按下列地址、方式联系：</w:t>
      </w:r>
    </w:p>
    <w:p>
      <w:pPr>
        <w:kinsoku w:val="0"/>
        <w:spacing w:line="360" w:lineRule="auto"/>
        <w:ind w:firstLine="840"/>
        <w:rPr>
          <w:rFonts w:hint="eastAsia" w:ascii="宋体" w:hAnsi="宋体" w:eastAsia="宋体" w:cs="宋体"/>
          <w:color w:val="auto"/>
          <w:sz w:val="24"/>
        </w:rPr>
      </w:pPr>
      <w:r>
        <w:rPr>
          <w:rFonts w:hint="eastAsia" w:ascii="宋体" w:hAnsi="宋体" w:eastAsia="宋体" w:cs="宋体"/>
          <w:color w:val="auto"/>
          <w:sz w:val="24"/>
        </w:rPr>
        <w:t>地    址：</w:t>
      </w:r>
      <w:r>
        <w:rPr>
          <w:rFonts w:hint="eastAsia" w:ascii="宋体" w:hAnsi="宋体" w:eastAsia="宋体" w:cs="宋体"/>
          <w:color w:val="auto"/>
          <w:sz w:val="24"/>
          <w:u w:val="single"/>
        </w:rPr>
        <w:t xml:space="preserve">                                                     </w:t>
      </w:r>
    </w:p>
    <w:p>
      <w:pPr>
        <w:kinsoku w:val="0"/>
        <w:spacing w:line="360" w:lineRule="auto"/>
        <w:ind w:firstLine="840"/>
        <w:rPr>
          <w:rFonts w:hint="eastAsia" w:ascii="宋体" w:hAnsi="宋体" w:eastAsia="宋体" w:cs="宋体"/>
          <w:color w:val="auto"/>
          <w:sz w:val="24"/>
          <w:u w:val="single"/>
        </w:rPr>
      </w:pPr>
      <w:r>
        <w:rPr>
          <w:rFonts w:hint="eastAsia" w:ascii="宋体" w:hAnsi="宋体" w:eastAsia="宋体" w:cs="宋体"/>
          <w:color w:val="auto"/>
          <w:sz w:val="24"/>
        </w:rPr>
        <w:t>电    话：</w:t>
      </w:r>
      <w:r>
        <w:rPr>
          <w:rFonts w:hint="eastAsia" w:ascii="宋体" w:hAnsi="宋体" w:eastAsia="宋体" w:cs="宋体"/>
          <w:color w:val="auto"/>
          <w:sz w:val="24"/>
          <w:u w:val="single"/>
        </w:rPr>
        <w:t xml:space="preserve">                                                     </w:t>
      </w:r>
    </w:p>
    <w:p>
      <w:pPr>
        <w:kinsoku w:val="0"/>
        <w:spacing w:line="360" w:lineRule="auto"/>
        <w:ind w:firstLine="840"/>
        <w:rPr>
          <w:rFonts w:hint="eastAsia" w:ascii="宋体" w:hAnsi="宋体" w:eastAsia="宋体" w:cs="宋体"/>
          <w:color w:val="auto"/>
          <w:sz w:val="24"/>
          <w:u w:val="single"/>
        </w:rPr>
      </w:pPr>
      <w:r>
        <w:rPr>
          <w:rFonts w:hint="eastAsia" w:ascii="宋体" w:hAnsi="宋体" w:eastAsia="宋体" w:cs="宋体"/>
          <w:color w:val="auto"/>
          <w:sz w:val="24"/>
        </w:rPr>
        <w:t>传    真：</w:t>
      </w:r>
      <w:r>
        <w:rPr>
          <w:rFonts w:hint="eastAsia" w:ascii="宋体" w:hAnsi="宋体" w:eastAsia="宋体" w:cs="宋体"/>
          <w:color w:val="auto"/>
          <w:sz w:val="24"/>
          <w:u w:val="single"/>
        </w:rPr>
        <w:t xml:space="preserve">                                                     </w:t>
      </w:r>
    </w:p>
    <w:p>
      <w:pPr>
        <w:kinsoku w:val="0"/>
        <w:spacing w:line="360" w:lineRule="auto"/>
        <w:ind w:firstLine="840"/>
        <w:rPr>
          <w:rFonts w:hint="eastAsia" w:ascii="宋体" w:hAnsi="宋体" w:eastAsia="宋体" w:cs="宋体"/>
          <w:color w:val="auto"/>
          <w:sz w:val="24"/>
        </w:rPr>
      </w:pPr>
      <w:r>
        <w:rPr>
          <w:rFonts w:hint="eastAsia" w:ascii="宋体" w:hAnsi="宋体" w:eastAsia="宋体" w:cs="宋体"/>
          <w:color w:val="auto"/>
          <w:sz w:val="24"/>
        </w:rPr>
        <w:t>邮    编：</w:t>
      </w:r>
      <w:r>
        <w:rPr>
          <w:rFonts w:hint="eastAsia" w:ascii="宋体" w:hAnsi="宋体" w:eastAsia="宋体" w:cs="宋体"/>
          <w:color w:val="auto"/>
          <w:sz w:val="24"/>
          <w:u w:val="single"/>
        </w:rPr>
        <w:t xml:space="preserve">                                                     </w:t>
      </w:r>
    </w:p>
    <w:p>
      <w:pPr>
        <w:kinsoku w:val="0"/>
        <w:spacing w:line="360" w:lineRule="auto"/>
        <w:rPr>
          <w:rFonts w:hint="eastAsia" w:ascii="宋体" w:hAnsi="宋体" w:eastAsia="宋体" w:cs="宋体"/>
          <w:color w:val="auto"/>
          <w:sz w:val="24"/>
        </w:rPr>
      </w:pPr>
      <w:r>
        <w:rPr>
          <w:rFonts w:hint="eastAsia" w:ascii="宋体" w:hAnsi="宋体" w:eastAsia="宋体" w:cs="宋体"/>
          <w:color w:val="auto"/>
          <w:sz w:val="24"/>
        </w:rPr>
        <w:t>投标单位：全称（公章）</w:t>
      </w:r>
      <w:r>
        <w:rPr>
          <w:rFonts w:hint="eastAsia" w:ascii="宋体" w:hAnsi="宋体" w:eastAsia="宋体" w:cs="宋体"/>
          <w:color w:val="auto"/>
          <w:sz w:val="24"/>
          <w:u w:val="single"/>
        </w:rPr>
        <w:t xml:space="preserve">                                         </w:t>
      </w:r>
    </w:p>
    <w:p>
      <w:pPr>
        <w:kinsoku w:val="0"/>
        <w:spacing w:line="360" w:lineRule="auto"/>
        <w:rPr>
          <w:rFonts w:hint="eastAsia" w:ascii="宋体" w:hAnsi="宋体" w:eastAsia="宋体" w:cs="宋体"/>
          <w:color w:val="auto"/>
          <w:sz w:val="24"/>
          <w:u w:val="single"/>
        </w:rPr>
      </w:pPr>
      <w:r>
        <w:rPr>
          <w:rFonts w:hint="eastAsia" w:ascii="宋体" w:hAnsi="宋体" w:eastAsia="宋体" w:cs="宋体"/>
          <w:color w:val="auto"/>
          <w:sz w:val="24"/>
          <w:szCs w:val="24"/>
        </w:rPr>
        <w:t>法人代表或被授权代表</w:t>
      </w:r>
      <w:r>
        <w:rPr>
          <w:rFonts w:hint="eastAsia" w:ascii="宋体" w:hAnsi="宋体" w:eastAsia="宋体" w:cs="宋体"/>
          <w:color w:val="auto"/>
          <w:sz w:val="24"/>
        </w:rPr>
        <w:t>（</w:t>
      </w:r>
      <w:r>
        <w:rPr>
          <w:rFonts w:hint="eastAsia" w:ascii="宋体" w:hAnsi="宋体" w:eastAsia="宋体" w:cs="宋体"/>
          <w:color w:val="auto"/>
          <w:kern w:val="0"/>
          <w:sz w:val="24"/>
          <w:szCs w:val="24"/>
          <w:lang w:bidi="ar"/>
        </w:rPr>
        <w:t>盖章或签字</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p>
    <w:p>
      <w:pPr>
        <w:kinsoku w:val="0"/>
        <w:spacing w:line="360" w:lineRule="auto"/>
        <w:ind w:firstLine="570"/>
        <w:rPr>
          <w:rFonts w:hint="eastAsia" w:ascii="宋体" w:hAnsi="宋体" w:eastAsia="宋体" w:cs="宋体"/>
          <w:color w:val="auto"/>
          <w:sz w:val="24"/>
        </w:rPr>
      </w:pPr>
      <w:r>
        <w:rPr>
          <w:rFonts w:hint="eastAsia" w:ascii="宋体" w:hAnsi="宋体" w:eastAsia="宋体" w:cs="宋体"/>
          <w:color w:val="auto"/>
          <w:sz w:val="24"/>
        </w:rPr>
        <w:t xml:space="preserve">                                                年   月   日</w:t>
      </w:r>
    </w:p>
    <w:p>
      <w:pPr>
        <w:spacing w:before="274" w:line="360" w:lineRule="auto"/>
        <w:ind w:left="2845"/>
        <w:rPr>
          <w:rFonts w:hint="eastAsia" w:ascii="宋体" w:hAnsi="宋体" w:eastAsia="宋体" w:cs="宋体"/>
          <w:b/>
          <w:kern w:val="0"/>
          <w:sz w:val="28"/>
          <w:szCs w:val="28"/>
          <w:shd w:val="clear" w:color="auto" w:fill="FFFFFF"/>
          <w:lang w:val="en-US" w:eastAsia="zh-CN" w:bidi="ar-SA"/>
        </w:rPr>
      </w:pPr>
      <w:r>
        <w:rPr>
          <w:rFonts w:hint="eastAsia" w:ascii="宋体" w:hAnsi="宋体" w:eastAsia="宋体" w:cs="宋体"/>
          <w:color w:val="auto"/>
          <w:sz w:val="24"/>
          <w:szCs w:val="24"/>
        </w:rPr>
        <w:br w:type="page"/>
      </w:r>
      <w:bookmarkStart w:id="66" w:name="_Toc31273"/>
      <w:bookmarkStart w:id="67" w:name="_Toc462325842"/>
      <w:bookmarkStart w:id="68" w:name="_Toc20560"/>
      <w:bookmarkStart w:id="69" w:name="_Toc27905"/>
      <w:bookmarkStart w:id="70" w:name="_Toc15060"/>
      <w:bookmarkStart w:id="71" w:name="_Toc16042"/>
      <w:bookmarkStart w:id="72" w:name="_Toc708"/>
      <w:bookmarkStart w:id="73" w:name="_Toc5066"/>
      <w:r>
        <w:rPr>
          <w:rFonts w:hint="eastAsia" w:ascii="宋体" w:hAnsi="宋体" w:eastAsia="宋体" w:cs="宋体"/>
          <w:b/>
          <w:kern w:val="0"/>
          <w:sz w:val="28"/>
          <w:szCs w:val="28"/>
          <w:shd w:val="clear" w:color="auto" w:fill="FFFFFF"/>
          <w:lang w:val="en-US" w:eastAsia="zh-CN" w:bidi="ar-SA"/>
        </w:rPr>
        <w:t>二、磋商报价表</w:t>
      </w:r>
      <w:bookmarkEnd w:id="66"/>
    </w:p>
    <w:p>
      <w:pPr>
        <w:spacing w:before="274" w:line="360" w:lineRule="auto"/>
        <w:ind w:left="2845"/>
        <w:rPr>
          <w:rFonts w:hint="eastAsia" w:ascii="宋体" w:hAnsi="宋体" w:eastAsia="宋体" w:cs="宋体"/>
          <w:b/>
          <w:kern w:val="0"/>
          <w:sz w:val="24"/>
          <w:szCs w:val="24"/>
          <w:shd w:val="clear" w:color="auto" w:fill="FFFFFF"/>
          <w:lang w:val="en-US" w:eastAsia="zh-CN" w:bidi="ar-SA"/>
        </w:rPr>
      </w:pPr>
      <w:bookmarkStart w:id="74" w:name="_Toc18127"/>
      <w:r>
        <w:rPr>
          <w:rFonts w:hint="eastAsia" w:ascii="宋体" w:hAnsi="宋体" w:eastAsia="宋体" w:cs="宋体"/>
          <w:b/>
          <w:kern w:val="0"/>
          <w:sz w:val="24"/>
          <w:szCs w:val="24"/>
          <w:shd w:val="clear" w:color="auto" w:fill="FFFFFF"/>
          <w:lang w:val="en-US" w:eastAsia="zh-CN" w:bidi="ar-SA"/>
        </w:rPr>
        <w:t>2.1磋商一览表</w:t>
      </w:r>
      <w:bookmarkEnd w:id="58"/>
      <w:bookmarkEnd w:id="59"/>
      <w:bookmarkEnd w:id="60"/>
      <w:bookmarkEnd w:id="61"/>
      <w:bookmarkEnd w:id="62"/>
      <w:bookmarkEnd w:id="63"/>
      <w:bookmarkEnd w:id="64"/>
      <w:bookmarkEnd w:id="67"/>
      <w:bookmarkEnd w:id="68"/>
      <w:bookmarkEnd w:id="69"/>
      <w:bookmarkEnd w:id="70"/>
      <w:bookmarkEnd w:id="71"/>
      <w:bookmarkEnd w:id="72"/>
      <w:bookmarkEnd w:id="73"/>
      <w:bookmarkEnd w:id="74"/>
    </w:p>
    <w:tbl>
      <w:tblPr>
        <w:tblStyle w:val="20"/>
        <w:tblW w:w="96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6"/>
        <w:gridCol w:w="7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21" w:hRule="atLeast"/>
          <w:jc w:val="center"/>
        </w:trPr>
        <w:tc>
          <w:tcPr>
            <w:tcW w:w="1756" w:type="dxa"/>
            <w:noWrap w:val="0"/>
            <w:vAlign w:val="center"/>
          </w:tcPr>
          <w:p>
            <w:pPr>
              <w:spacing w:line="360" w:lineRule="auto"/>
              <w:ind w:left="0" w:leftChars="0" w:firstLine="0" w:firstLineChars="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磋商</w:t>
            </w:r>
            <w:r>
              <w:rPr>
                <w:rFonts w:hint="eastAsia" w:ascii="宋体" w:hAnsi="宋体" w:eastAsia="宋体" w:cs="宋体"/>
                <w:b/>
                <w:bCs/>
                <w:color w:val="auto"/>
                <w:sz w:val="24"/>
                <w:szCs w:val="24"/>
              </w:rPr>
              <w:t>总价</w:t>
            </w:r>
          </w:p>
          <w:p>
            <w:pPr>
              <w:spacing w:line="360" w:lineRule="auto"/>
              <w:ind w:left="0" w:leftChars="0" w:firstLine="0" w:firstLineChars="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（人民币）</w:t>
            </w:r>
          </w:p>
        </w:tc>
        <w:tc>
          <w:tcPr>
            <w:tcW w:w="7903" w:type="dxa"/>
            <w:noWrap w:val="0"/>
            <w:vAlign w:val="center"/>
          </w:tcPr>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小写金额：</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 xml:space="preserve">元 </w:t>
            </w:r>
          </w:p>
          <w:p>
            <w:pPr>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大写金额：</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元</w:t>
            </w:r>
            <w:r>
              <w:rPr>
                <w:rFonts w:hint="eastAsia" w:ascii="宋体" w:hAnsi="宋体" w:eastAsia="宋体" w:cs="宋体"/>
                <w:color w:val="auto"/>
                <w:sz w:val="24"/>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8" w:hRule="atLeast"/>
          <w:jc w:val="center"/>
        </w:trPr>
        <w:tc>
          <w:tcPr>
            <w:tcW w:w="1756" w:type="dxa"/>
            <w:noWrap w:val="0"/>
            <w:vAlign w:val="center"/>
          </w:tcPr>
          <w:p>
            <w:pPr>
              <w:spacing w:line="360" w:lineRule="auto"/>
              <w:ind w:left="0" w:leftChars="0" w:firstLine="0" w:firstLineChars="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采购项目名称</w:t>
            </w:r>
          </w:p>
        </w:tc>
        <w:tc>
          <w:tcPr>
            <w:tcW w:w="7903" w:type="dxa"/>
            <w:noWrap w:val="0"/>
            <w:vAlign w:val="center"/>
          </w:tcPr>
          <w:p>
            <w:pPr>
              <w:widowControl/>
              <w:spacing w:line="360" w:lineRule="auto"/>
              <w:jc w:val="left"/>
              <w:rPr>
                <w:rFonts w:hint="eastAsia" w:ascii="宋体" w:hAnsi="宋体" w:eastAsia="宋体" w:cs="宋体"/>
                <w:b/>
                <w:bCs/>
                <w:color w:val="auto"/>
                <w:kern w:val="0"/>
                <w:sz w:val="24"/>
                <w:szCs w:val="24"/>
              </w:rPr>
            </w:pPr>
          </w:p>
          <w:p>
            <w:pPr>
              <w:widowControl/>
              <w:spacing w:line="360" w:lineRule="auto"/>
              <w:jc w:val="center"/>
              <w:rPr>
                <w:rFonts w:hint="eastAsia" w:ascii="宋体" w:hAnsi="宋体" w:eastAsia="宋体" w:cs="宋体"/>
                <w:b/>
                <w:bCs/>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3" w:hRule="atLeast"/>
          <w:jc w:val="center"/>
        </w:trPr>
        <w:tc>
          <w:tcPr>
            <w:tcW w:w="1756" w:type="dxa"/>
            <w:noWrap w:val="0"/>
            <w:vAlign w:val="center"/>
          </w:tcPr>
          <w:p>
            <w:pPr>
              <w:spacing w:line="360" w:lineRule="auto"/>
              <w:ind w:left="0" w:leftChars="0" w:firstLine="0" w:firstLineChars="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采购项目编号</w:t>
            </w:r>
          </w:p>
        </w:tc>
        <w:tc>
          <w:tcPr>
            <w:tcW w:w="7903" w:type="dxa"/>
            <w:noWrap w:val="0"/>
            <w:vAlign w:val="center"/>
          </w:tcPr>
          <w:p>
            <w:pPr>
              <w:spacing w:line="360" w:lineRule="auto"/>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756" w:type="dxa"/>
            <w:noWrap w:val="0"/>
            <w:vAlign w:val="center"/>
          </w:tcPr>
          <w:p>
            <w:pPr>
              <w:spacing w:line="360" w:lineRule="auto"/>
              <w:ind w:left="0" w:leftChars="0" w:firstLine="0" w:firstLineChars="0"/>
              <w:jc w:val="both"/>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供应商</w:t>
            </w:r>
          </w:p>
        </w:tc>
        <w:tc>
          <w:tcPr>
            <w:tcW w:w="7903" w:type="dxa"/>
            <w:noWrap w:val="0"/>
            <w:vAlign w:val="center"/>
          </w:tcPr>
          <w:p>
            <w:pPr>
              <w:spacing w:line="360" w:lineRule="auto"/>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14" w:hRule="atLeast"/>
          <w:jc w:val="center"/>
        </w:trPr>
        <w:tc>
          <w:tcPr>
            <w:tcW w:w="1756" w:type="dxa"/>
            <w:noWrap w:val="0"/>
            <w:vAlign w:val="center"/>
          </w:tcPr>
          <w:p>
            <w:pPr>
              <w:spacing w:line="360" w:lineRule="auto"/>
              <w:ind w:left="0" w:leftChars="0" w:firstLine="0" w:firstLineChars="0"/>
              <w:jc w:val="both"/>
              <w:rPr>
                <w:rFonts w:hint="eastAsia" w:ascii="宋体" w:hAnsi="宋体" w:eastAsia="宋体" w:cs="宋体"/>
                <w:b/>
                <w:bCs/>
                <w:color w:val="auto"/>
                <w:sz w:val="24"/>
                <w:szCs w:val="24"/>
              </w:rPr>
            </w:pPr>
            <w:r>
              <w:rPr>
                <w:rFonts w:hint="eastAsia" w:ascii="宋体" w:hAnsi="宋体" w:eastAsia="宋体" w:cs="宋体"/>
                <w:b/>
                <w:color w:val="auto"/>
                <w:sz w:val="24"/>
                <w:szCs w:val="24"/>
                <w:lang w:eastAsia="zh-CN"/>
              </w:rPr>
              <w:t>服务</w:t>
            </w:r>
            <w:r>
              <w:rPr>
                <w:rFonts w:hint="eastAsia" w:ascii="宋体" w:hAnsi="宋体" w:eastAsia="宋体" w:cs="宋体"/>
                <w:b/>
                <w:color w:val="auto"/>
                <w:sz w:val="24"/>
                <w:szCs w:val="24"/>
              </w:rPr>
              <w:t>期</w:t>
            </w:r>
          </w:p>
        </w:tc>
        <w:tc>
          <w:tcPr>
            <w:tcW w:w="7903" w:type="dxa"/>
            <w:noWrap w:val="0"/>
            <w:vAlign w:val="center"/>
          </w:tcPr>
          <w:p>
            <w:pPr>
              <w:spacing w:line="360" w:lineRule="auto"/>
              <w:rPr>
                <w:rFonts w:hint="eastAsia" w:ascii="宋体" w:hAnsi="宋体" w:eastAsia="宋体" w:cs="宋体"/>
                <w:color w:val="auto"/>
                <w:sz w:val="24"/>
                <w:szCs w:val="24"/>
              </w:rPr>
            </w:pPr>
          </w:p>
        </w:tc>
      </w:tr>
    </w:tbl>
    <w:p>
      <w:pPr>
        <w:spacing w:line="360" w:lineRule="auto"/>
        <w:rPr>
          <w:rFonts w:hint="eastAsia" w:ascii="宋体" w:hAnsi="宋体" w:eastAsia="宋体" w:cs="宋体"/>
          <w:color w:val="auto"/>
        </w:rPr>
      </w:pPr>
    </w:p>
    <w:p>
      <w:pPr>
        <w:spacing w:line="360" w:lineRule="auto"/>
        <w:ind w:left="0" w:leftChars="0" w:firstLine="0" w:firstLineChars="0"/>
        <w:rPr>
          <w:rFonts w:hint="eastAsia" w:ascii="宋体" w:hAnsi="宋体" w:eastAsia="宋体" w:cs="宋体"/>
          <w:color w:val="auto"/>
          <w:sz w:val="24"/>
        </w:rPr>
      </w:pPr>
    </w:p>
    <w:p>
      <w:pPr>
        <w:spacing w:line="360" w:lineRule="auto"/>
        <w:ind w:firstLine="360" w:firstLineChars="150"/>
        <w:rPr>
          <w:rFonts w:hint="eastAsia" w:ascii="宋体" w:hAnsi="宋体" w:eastAsia="宋体" w:cs="宋体"/>
          <w:color w:val="auto"/>
          <w:sz w:val="24"/>
        </w:rPr>
      </w:pPr>
    </w:p>
    <w:p>
      <w:pPr>
        <w:widowControl/>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法人代表或被授权代表：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 xml:space="preserve">（盖章或签字） </w:t>
      </w:r>
    </w:p>
    <w:p>
      <w:pPr>
        <w:spacing w:line="360" w:lineRule="auto"/>
        <w:ind w:right="-161"/>
        <w:rPr>
          <w:rFonts w:hint="eastAsia" w:ascii="宋体" w:hAnsi="宋体" w:eastAsia="宋体" w:cs="宋体"/>
          <w:color w:val="auto"/>
          <w:sz w:val="24"/>
          <w:szCs w:val="24"/>
          <w:u w:val="single"/>
        </w:rPr>
      </w:pPr>
    </w:p>
    <w:p>
      <w:pPr>
        <w:widowControl/>
        <w:spacing w:line="360" w:lineRule="auto"/>
        <w:jc w:val="center"/>
        <w:rPr>
          <w:rFonts w:hint="eastAsia" w:ascii="宋体" w:hAnsi="宋体" w:eastAsia="宋体" w:cs="宋体"/>
          <w:color w:val="auto"/>
        </w:rPr>
      </w:pP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cs="宋体"/>
          <w:color w:val="auto"/>
          <w:sz w:val="24"/>
          <w:szCs w:val="24"/>
          <w:lang w:eastAsia="zh-CN"/>
        </w:rPr>
        <w:t>供</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应</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 xml:space="preserve">（盖单位章） </w:t>
      </w:r>
    </w:p>
    <w:p>
      <w:pPr>
        <w:spacing w:line="360" w:lineRule="auto"/>
        <w:ind w:right="-161" w:firstLine="2640" w:firstLineChars="1100"/>
        <w:rPr>
          <w:rFonts w:hint="eastAsia" w:ascii="宋体" w:hAnsi="宋体" w:eastAsia="宋体" w:cs="宋体"/>
          <w:color w:val="auto"/>
          <w:sz w:val="24"/>
          <w:szCs w:val="24"/>
          <w:u w:val="single"/>
        </w:rPr>
      </w:pPr>
    </w:p>
    <w:p>
      <w:pPr>
        <w:pStyle w:val="2"/>
        <w:spacing w:line="360" w:lineRule="auto"/>
        <w:ind w:firstLine="2160" w:firstLineChars="900"/>
        <w:jc w:val="both"/>
        <w:rPr>
          <w:rFonts w:hint="eastAsia" w:ascii="宋体" w:hAnsi="宋体" w:eastAsia="宋体" w:cs="宋体"/>
          <w:b/>
          <w:kern w:val="0"/>
          <w:sz w:val="24"/>
          <w:szCs w:val="24"/>
          <w:shd w:val="clear" w:color="auto" w:fill="FFFFFF"/>
          <w:lang w:val="en-US" w:eastAsia="zh-CN" w:bidi="ar-SA"/>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bookmarkStart w:id="75" w:name="_Toc16000"/>
      <w:bookmarkStart w:id="76" w:name="_Toc312789404"/>
      <w:bookmarkStart w:id="77" w:name="_Toc347478747"/>
      <w:bookmarkStart w:id="78" w:name="_Toc283240497"/>
      <w:bookmarkStart w:id="79" w:name="_Toc311415658"/>
      <w:bookmarkStart w:id="80" w:name="_Toc334522292"/>
      <w:r>
        <w:rPr>
          <w:rFonts w:hint="eastAsia" w:ascii="宋体" w:hAnsi="宋体" w:eastAsia="宋体" w:cs="宋体"/>
          <w:b w:val="0"/>
          <w:color w:val="auto"/>
          <w:sz w:val="24"/>
          <w:szCs w:val="24"/>
          <w:u w:val="single"/>
        </w:rPr>
        <w:br w:type="page"/>
      </w:r>
      <w:bookmarkStart w:id="81" w:name="_Toc8483"/>
      <w:bookmarkStart w:id="82" w:name="_Toc27665"/>
      <w:bookmarkStart w:id="83" w:name="_Toc29346"/>
      <w:bookmarkStart w:id="84" w:name="_Toc20819"/>
      <w:bookmarkStart w:id="85" w:name="_Toc30603"/>
      <w:bookmarkStart w:id="86" w:name="_Toc9067"/>
      <w:bookmarkStart w:id="87" w:name="_Toc12397"/>
      <w:bookmarkStart w:id="88" w:name="_Toc20392"/>
      <w:r>
        <w:rPr>
          <w:rFonts w:hint="eastAsia" w:ascii="宋体" w:hAnsi="宋体" w:eastAsia="宋体" w:cs="宋体"/>
          <w:b/>
          <w:kern w:val="0"/>
          <w:sz w:val="24"/>
          <w:szCs w:val="24"/>
          <w:shd w:val="clear" w:color="auto" w:fill="FFFFFF"/>
          <w:lang w:val="en-US" w:eastAsia="zh-CN" w:bidi="ar-SA"/>
        </w:rPr>
        <w:t>2.2分项报价表</w:t>
      </w:r>
    </w:p>
    <w:p>
      <w:pPr>
        <w:shd w:val="clear" w:color="auto" w:fill="auto"/>
        <w:jc w:val="center"/>
        <w:rPr>
          <w:rFonts w:hint="eastAsia" w:ascii="宋体" w:hAnsi="Times New Roman" w:eastAsia="宋体" w:cs="Times New Roman"/>
          <w:color w:val="auto"/>
          <w:kern w:val="0"/>
          <w:highlight w:val="none"/>
          <w:lang w:eastAsia="zh-CN"/>
        </w:rPr>
      </w:pPr>
      <w:r>
        <w:rPr>
          <w:rFonts w:hint="eastAsia" w:ascii="宋体" w:hAnsi="宋体" w:eastAsia="宋体" w:cs="Times New Roman"/>
          <w:b/>
          <w:color w:val="auto"/>
          <w:kern w:val="0"/>
          <w:sz w:val="24"/>
          <w:highlight w:val="none"/>
        </w:rPr>
        <w:t>（格式自拟，</w:t>
      </w:r>
      <w:r>
        <w:rPr>
          <w:rFonts w:hint="eastAsia" w:ascii="宋体" w:hAnsi="宋体" w:eastAsia="宋体" w:cs="Times New Roman"/>
          <w:b/>
          <w:color w:val="auto"/>
          <w:kern w:val="0"/>
          <w:sz w:val="24"/>
          <w:highlight w:val="none"/>
          <w:lang w:eastAsia="zh-CN"/>
        </w:rPr>
        <w:t>投标人</w:t>
      </w:r>
      <w:r>
        <w:rPr>
          <w:rFonts w:hint="eastAsia" w:ascii="宋体" w:hAnsi="宋体" w:eastAsia="宋体" w:cs="Times New Roman"/>
          <w:b/>
          <w:color w:val="auto"/>
          <w:kern w:val="0"/>
          <w:sz w:val="24"/>
          <w:highlight w:val="none"/>
        </w:rPr>
        <w:t>根据项目情况自行编制，须包含本项目的所有内容）</w:t>
      </w:r>
    </w:p>
    <w:p>
      <w:pPr>
        <w:widowControl/>
        <w:spacing w:line="360" w:lineRule="auto"/>
        <w:jc w:val="center"/>
        <w:rPr>
          <w:rFonts w:hint="eastAsia" w:ascii="宋体" w:hAnsi="宋体" w:eastAsia="宋体" w:cs="宋体"/>
          <w:color w:val="auto"/>
          <w:sz w:val="24"/>
          <w:szCs w:val="24"/>
          <w:lang w:val="en-US" w:eastAsia="zh-CN"/>
        </w:rPr>
      </w:pPr>
    </w:p>
    <w:p>
      <w:pPr>
        <w:widowControl/>
        <w:spacing w:line="360" w:lineRule="auto"/>
        <w:jc w:val="center"/>
        <w:rPr>
          <w:rFonts w:hint="eastAsia" w:ascii="宋体" w:hAnsi="宋体" w:eastAsia="宋体" w:cs="宋体"/>
          <w:color w:val="auto"/>
          <w:sz w:val="24"/>
          <w:szCs w:val="24"/>
          <w:lang w:val="en-US" w:eastAsia="zh-CN"/>
        </w:rPr>
      </w:pPr>
    </w:p>
    <w:p>
      <w:pPr>
        <w:widowControl/>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法人代表或被授权代表：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 xml:space="preserve">（盖章或签字） </w:t>
      </w:r>
    </w:p>
    <w:p>
      <w:pPr>
        <w:widowControl/>
        <w:spacing w:line="360" w:lineRule="auto"/>
        <w:jc w:val="center"/>
        <w:rPr>
          <w:rFonts w:hint="eastAsia" w:ascii="宋体" w:hAnsi="宋体" w:eastAsia="宋体" w:cs="宋体"/>
          <w:color w:val="auto"/>
        </w:rPr>
      </w:pP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cs="宋体"/>
          <w:color w:val="auto"/>
          <w:sz w:val="24"/>
          <w:szCs w:val="24"/>
          <w:lang w:eastAsia="zh-CN"/>
        </w:rPr>
        <w:t>供</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应</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 xml:space="preserve">（盖单位章） </w:t>
      </w:r>
    </w:p>
    <w:p>
      <w:pPr>
        <w:spacing w:before="181" w:line="360" w:lineRule="auto"/>
        <w:ind w:left="2475"/>
        <w:outlineLvl w:val="2"/>
        <w:rPr>
          <w:rFonts w:hint="eastAsia" w:ascii="宋体" w:hAnsi="宋体" w:eastAsia="宋体" w:cs="宋体"/>
          <w:b/>
          <w:kern w:val="0"/>
          <w:sz w:val="28"/>
          <w:szCs w:val="28"/>
          <w:shd w:val="clear" w:color="auto" w:fill="FFFFFF"/>
          <w:lang w:val="en-US" w:eastAsia="zh-CN" w:bidi="ar-SA"/>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b w:val="0"/>
          <w:color w:val="auto"/>
          <w:sz w:val="24"/>
          <w:szCs w:val="24"/>
          <w:u w:val="single"/>
        </w:rPr>
        <w:br w:type="page"/>
      </w:r>
      <w:r>
        <w:rPr>
          <w:rFonts w:hint="eastAsia" w:ascii="宋体" w:hAnsi="宋体" w:cs="宋体"/>
          <w:b w:val="0"/>
          <w:color w:val="auto"/>
          <w:sz w:val="24"/>
          <w:szCs w:val="24"/>
          <w:u w:val="single"/>
          <w:lang w:val="en-US" w:eastAsia="zh-CN"/>
        </w:rPr>
        <w:t xml:space="preserve"> </w:t>
      </w:r>
      <w:r>
        <w:rPr>
          <w:rFonts w:hint="eastAsia" w:ascii="宋体" w:hAnsi="宋体" w:cs="宋体"/>
          <w:b w:val="0"/>
          <w:color w:val="auto"/>
          <w:sz w:val="24"/>
          <w:szCs w:val="24"/>
          <w:u w:val="none"/>
          <w:lang w:val="en-US" w:eastAsia="zh-CN"/>
        </w:rPr>
        <w:t xml:space="preserve">   </w:t>
      </w:r>
      <w:r>
        <w:rPr>
          <w:rFonts w:hint="eastAsia" w:ascii="宋体" w:hAnsi="宋体" w:eastAsia="宋体" w:cs="宋体"/>
          <w:b/>
          <w:kern w:val="0"/>
          <w:sz w:val="28"/>
          <w:szCs w:val="28"/>
          <w:shd w:val="clear" w:color="auto" w:fill="FFFFFF"/>
          <w:lang w:val="en-US" w:eastAsia="zh-CN" w:bidi="ar-SA"/>
        </w:rPr>
        <w:t xml:space="preserve">   三、</w:t>
      </w:r>
      <w:bookmarkEnd w:id="81"/>
      <w:bookmarkEnd w:id="82"/>
      <w:bookmarkEnd w:id="83"/>
      <w:bookmarkEnd w:id="84"/>
      <w:bookmarkEnd w:id="85"/>
      <w:bookmarkEnd w:id="86"/>
      <w:bookmarkEnd w:id="87"/>
      <w:r>
        <w:rPr>
          <w:rFonts w:hint="eastAsia" w:ascii="宋体" w:hAnsi="宋体" w:eastAsia="宋体" w:cs="宋体"/>
          <w:b/>
          <w:kern w:val="0"/>
          <w:sz w:val="28"/>
          <w:szCs w:val="28"/>
          <w:shd w:val="clear" w:color="auto" w:fill="FFFFFF"/>
          <w:lang w:val="en-US" w:eastAsia="zh-CN" w:bidi="ar-SA"/>
        </w:rPr>
        <w:t>承诺书</w:t>
      </w:r>
    </w:p>
    <w:p>
      <w:pPr>
        <w:pStyle w:val="17"/>
        <w:keepNext w:val="0"/>
        <w:keepLines w:val="0"/>
        <w:pageBreakBefore w:val="0"/>
        <w:widowControl/>
        <w:shd w:val="clear" w:color="060000" w:fill="FFFFFF"/>
        <w:kinsoku/>
        <w:wordWrap/>
        <w:overflowPunct/>
        <w:topLinePunct w:val="0"/>
        <w:autoSpaceDE/>
        <w:autoSpaceDN/>
        <w:bidi w:val="0"/>
        <w:adjustRightInd w:val="0"/>
        <w:snapToGrid w:val="0"/>
        <w:spacing w:before="0" w:beforeAutospacing="0" w:after="0" w:afterAutospacing="0" w:line="360" w:lineRule="auto"/>
        <w:ind w:firstLine="480"/>
        <w:jc w:val="center"/>
        <w:textAlignment w:val="auto"/>
        <w:rPr>
          <w:rFonts w:hint="eastAsia" w:ascii="宋体" w:hAnsi="宋体" w:eastAsia="宋体" w:cs="宋体"/>
          <w:b/>
          <w:kern w:val="0"/>
          <w:sz w:val="24"/>
          <w:szCs w:val="24"/>
          <w:shd w:val="clear" w:color="auto" w:fill="FFFFFF"/>
          <w:lang w:val="en-US" w:eastAsia="zh-CN" w:bidi="ar-SA"/>
        </w:rPr>
      </w:pPr>
      <w:r>
        <w:rPr>
          <w:rFonts w:hint="eastAsia" w:ascii="宋体" w:hAnsi="宋体" w:eastAsia="宋体" w:cs="宋体"/>
          <w:b/>
          <w:kern w:val="0"/>
          <w:sz w:val="24"/>
          <w:szCs w:val="24"/>
          <w:shd w:val="clear" w:color="auto" w:fill="FFFFFF"/>
          <w:lang w:val="en-US" w:eastAsia="zh-CN" w:bidi="ar-SA"/>
        </w:rPr>
        <w:t>榆林市政府采购服务类项目供应商信用承诺书</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市场主体名称：</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证件类型：统一社会信用代码</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48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证件号码：</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48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法人代表：</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480"/>
        <w:jc w:val="both"/>
        <w:textAlignment w:val="auto"/>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rPr>
        <w:t>承诺有效期限：   年    月    日—    年    月     日</w:t>
      </w:r>
      <w:r>
        <w:rPr>
          <w:rFonts w:hint="eastAsia" w:ascii="宋体" w:hAnsi="宋体" w:eastAsia="宋体" w:cs="宋体"/>
          <w:color w:val="auto"/>
          <w:sz w:val="24"/>
          <w:szCs w:val="24"/>
          <w:shd w:val="clear" w:color="auto" w:fill="FFFFFF"/>
          <w:lang w:eastAsia="zh-CN"/>
        </w:rPr>
        <w:t>（有效期一年）</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承诺内容：</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为维护公开、公平、公正的政府采购市场秩序，树立诚实守信的政府采购供应商形象，本单位自愿做出以下承诺：</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一、承诺本单位严格遵守国家法律、法规和规章，全面履行应尽的责任和义务，全面做到履约守信，具备《政府采购法》第二十二条第一款规定的条件;</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二、承诺本单位提供给注册登记部门、行业管理部门、司法部门、行业组织以及在政府采购活动中提交的所有资料均合法、真实、有效，无任何伪造、修改、虚假成份，并对所提供资料的真实性负责；</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三、承诺本单位严格依法开展生产经营活动，主动接受行业监管，自愿接受依法开展的日常检查；违法失信经营后将自愿接受约束和惩戒，并依法承担相应责任；</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四、承诺本单位自觉接受行政管理部门、行业组织、社会公众、新闻舆论的监督；</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五、承诺本单位自我约束、自我管理，重合同、守信用，不制假售假、商标侵权、虚假宣传、违约毁约、恶意逃债、偷税漏税、价格欺诈、垄断和不正当竞争，维护经营者、消费者的合法权益；</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六、承诺本单位提出政府采购质疑和投诉坚持依法依规、诚实信用原则，在全国范围12个月内没有三次以上查无实据的政府采购投诉；</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七、根据政府采购相关法律法规的规定需要作出的其他承诺：</w:t>
      </w:r>
      <w:r>
        <w:rPr>
          <w:rFonts w:hint="eastAsia" w:ascii="宋体" w:hAnsi="宋体" w:eastAsia="宋体" w:cs="宋体"/>
          <w:color w:val="auto"/>
          <w:sz w:val="24"/>
          <w:szCs w:val="24"/>
          <w:u w:val="single"/>
          <w:shd w:val="clear" w:color="auto" w:fill="FFFFFF"/>
        </w:rPr>
        <w:t>                                                              </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八、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         </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xml:space="preserve">              承诺单位（盖章）：</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       法定代表人（负责人）：</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2160" w:firstLineChars="90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法定代表人（负责人）身份证号：</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承诺日期：</w:t>
      </w:r>
    </w:p>
    <w:p>
      <w:pPr>
        <w:pStyle w:val="1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注：法定代表人或负责人、主体名称发生变更的应当重新做出承诺；承诺书标题按照工程类、货物类、服务类确定。</w:t>
      </w:r>
    </w:p>
    <w:p>
      <w:pPr>
        <w:pStyle w:val="2"/>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60" w:lineRule="auto"/>
        <w:rPr>
          <w:rFonts w:hint="eastAsia" w:ascii="宋体" w:hAnsi="宋体" w:eastAsia="宋体" w:cs="宋体"/>
          <w:color w:val="auto"/>
          <w:sz w:val="24"/>
          <w:szCs w:val="24"/>
        </w:rPr>
      </w:pPr>
    </w:p>
    <w:p>
      <w:pPr>
        <w:pStyle w:val="2"/>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rPr>
      </w:pPr>
    </w:p>
    <w:p>
      <w:pPr>
        <w:rPr>
          <w:rFonts w:hint="eastAsia"/>
        </w:rPr>
      </w:pPr>
    </w:p>
    <w:p>
      <w:pPr>
        <w:pStyle w:val="2"/>
        <w:spacing w:line="360" w:lineRule="auto"/>
        <w:rPr>
          <w:rFonts w:hint="eastAsia" w:ascii="宋体" w:hAnsi="宋体" w:eastAsia="宋体" w:cs="宋体"/>
          <w:color w:val="auto"/>
          <w:sz w:val="24"/>
          <w:szCs w:val="24"/>
        </w:rPr>
      </w:pPr>
    </w:p>
    <w:p>
      <w:pPr>
        <w:pStyle w:val="2"/>
        <w:spacing w:line="360" w:lineRule="auto"/>
        <w:ind w:left="0" w:leftChars="0" w:firstLine="0" w:firstLineChars="0"/>
        <w:rPr>
          <w:rFonts w:hint="eastAsia" w:ascii="宋体" w:hAnsi="宋体" w:eastAsia="宋体" w:cs="宋体"/>
          <w:color w:val="auto"/>
          <w:sz w:val="24"/>
          <w:szCs w:val="24"/>
        </w:rPr>
      </w:pPr>
    </w:p>
    <w:p>
      <w:pPr>
        <w:keepNext w:val="0"/>
        <w:keepLines w:val="0"/>
        <w:widowControl/>
        <w:suppressLineNumbers w:val="0"/>
        <w:jc w:val="center"/>
        <w:rPr>
          <w:rFonts w:hint="eastAsia" w:ascii="宋体" w:hAnsi="宋体" w:eastAsia="宋体" w:cs="宋体"/>
          <w:b/>
          <w:kern w:val="0"/>
          <w:sz w:val="24"/>
          <w:szCs w:val="24"/>
          <w:shd w:val="clear" w:color="auto" w:fill="FFFFFF"/>
          <w:lang w:val="en-US" w:eastAsia="zh-CN"/>
        </w:rPr>
      </w:pPr>
      <w:bookmarkStart w:id="89" w:name="_Toc6447"/>
      <w:bookmarkStart w:id="90" w:name="_Toc363474034"/>
      <w:bookmarkStart w:id="91" w:name="_Toc403077657"/>
      <w:bookmarkStart w:id="92" w:name="_Toc11449"/>
      <w:bookmarkStart w:id="93" w:name="_Toc30095"/>
      <w:r>
        <w:rPr>
          <w:rFonts w:hint="eastAsia" w:ascii="宋体" w:hAnsi="宋体" w:eastAsia="宋体" w:cs="宋体"/>
          <w:b/>
          <w:kern w:val="0"/>
          <w:sz w:val="24"/>
          <w:szCs w:val="24"/>
          <w:shd w:val="clear" w:color="auto" w:fill="FFFFFF"/>
          <w:lang w:val="en-US" w:eastAsia="zh-CN"/>
        </w:rPr>
        <w:t>投标信用承诺书</w:t>
      </w:r>
    </w:p>
    <w:p>
      <w:pPr>
        <w:spacing w:before="78" w:line="415" w:lineRule="auto"/>
        <w:ind w:right="240"/>
        <w:rPr>
          <w:rFonts w:hint="eastAsia" w:ascii="宋体" w:hAnsi="宋体" w:eastAsia="宋体" w:cs="宋体"/>
          <w:color w:val="000000"/>
          <w:spacing w:val="-22"/>
          <w:w w:val="100"/>
          <w:sz w:val="24"/>
          <w:szCs w:val="24"/>
          <w:highlight w:val="none"/>
          <w:u w:val="single"/>
          <w:lang w:val="en-US" w:eastAsia="zh-CN"/>
        </w:rPr>
      </w:pPr>
      <w:r>
        <w:rPr>
          <w:rFonts w:hint="eastAsia" w:ascii="宋体" w:hAnsi="宋体" w:eastAsia="宋体" w:cs="宋体"/>
          <w:color w:val="000000"/>
          <w:spacing w:val="-22"/>
          <w:w w:val="100"/>
          <w:sz w:val="24"/>
          <w:szCs w:val="24"/>
          <w:highlight w:val="none"/>
          <w:lang w:eastAsia="zh-CN"/>
        </w:rPr>
        <w:t>项目名称：</w:t>
      </w:r>
      <w:r>
        <w:rPr>
          <w:rFonts w:hint="eastAsia" w:ascii="宋体" w:hAnsi="宋体" w:eastAsia="宋体" w:cs="宋体"/>
          <w:color w:val="000000"/>
          <w:spacing w:val="-22"/>
          <w:w w:val="100"/>
          <w:sz w:val="24"/>
          <w:szCs w:val="24"/>
          <w:highlight w:val="none"/>
          <w:u w:val="single"/>
          <w:lang w:val="en-US" w:eastAsia="zh-CN"/>
        </w:rPr>
        <w:t xml:space="preserve">                                                                         </w:t>
      </w:r>
    </w:p>
    <w:p>
      <w:pPr>
        <w:spacing w:before="78" w:line="415" w:lineRule="auto"/>
        <w:ind w:left="2" w:right="24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pacing w:val="-22"/>
          <w:w w:val="100"/>
          <w:sz w:val="24"/>
          <w:szCs w:val="24"/>
          <w:highlight w:val="none"/>
          <w:lang w:eastAsia="zh-CN"/>
        </w:rPr>
        <w:t>投</w:t>
      </w:r>
      <w:r>
        <w:rPr>
          <w:rFonts w:hint="eastAsia" w:ascii="宋体" w:hAnsi="宋体" w:eastAsia="宋体" w:cs="宋体"/>
          <w:color w:val="000000"/>
          <w:spacing w:val="-22"/>
          <w:w w:val="100"/>
          <w:sz w:val="24"/>
          <w:szCs w:val="24"/>
          <w:highlight w:val="none"/>
          <w:lang w:val="en-US" w:eastAsia="zh-CN"/>
        </w:rPr>
        <w:t xml:space="preserve">   </w:t>
      </w:r>
      <w:r>
        <w:rPr>
          <w:rFonts w:hint="eastAsia" w:ascii="宋体" w:hAnsi="宋体" w:eastAsia="宋体" w:cs="宋体"/>
          <w:color w:val="000000"/>
          <w:spacing w:val="-22"/>
          <w:w w:val="100"/>
          <w:sz w:val="24"/>
          <w:szCs w:val="24"/>
          <w:highlight w:val="none"/>
          <w:lang w:eastAsia="zh-CN"/>
        </w:rPr>
        <w:t>标</w:t>
      </w:r>
      <w:r>
        <w:rPr>
          <w:rFonts w:hint="eastAsia" w:ascii="宋体" w:hAnsi="宋体" w:eastAsia="宋体" w:cs="宋体"/>
          <w:color w:val="000000"/>
          <w:spacing w:val="-22"/>
          <w:w w:val="100"/>
          <w:sz w:val="24"/>
          <w:szCs w:val="24"/>
          <w:highlight w:val="none"/>
          <w:lang w:val="en-US" w:eastAsia="zh-CN"/>
        </w:rPr>
        <w:t xml:space="preserve">  </w:t>
      </w:r>
      <w:r>
        <w:rPr>
          <w:rFonts w:hint="eastAsia" w:ascii="宋体" w:hAnsi="宋体" w:eastAsia="宋体" w:cs="宋体"/>
          <w:color w:val="000000"/>
          <w:spacing w:val="-22"/>
          <w:w w:val="100"/>
          <w:sz w:val="24"/>
          <w:szCs w:val="24"/>
          <w:highlight w:val="none"/>
          <w:lang w:eastAsia="zh-CN"/>
        </w:rPr>
        <w:t>人：</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p>
    <w:p>
      <w:pPr>
        <w:spacing w:before="1" w:line="415" w:lineRule="auto"/>
        <w:ind w:right="240"/>
        <w:rPr>
          <w:rFonts w:hint="eastAsia" w:ascii="宋体" w:hAnsi="宋体" w:eastAsia="宋体" w:cs="宋体"/>
          <w:color w:val="000000"/>
          <w:spacing w:val="16"/>
          <w:sz w:val="24"/>
          <w:szCs w:val="24"/>
          <w:highlight w:val="none"/>
        </w:rPr>
      </w:pPr>
      <w:r>
        <w:rPr>
          <w:rFonts w:hint="eastAsia" w:ascii="宋体" w:hAnsi="宋体" w:eastAsia="宋体" w:cs="宋体"/>
          <w:color w:val="000000"/>
          <w:spacing w:val="-23"/>
          <w:w w:val="98"/>
          <w:sz w:val="24"/>
          <w:szCs w:val="24"/>
          <w:highlight w:val="none"/>
        </w:rPr>
        <w:t>统一社会信用代码：</w:t>
      </w:r>
      <w:r>
        <w:rPr>
          <w:rFonts w:hint="eastAsia" w:ascii="宋体" w:hAnsi="宋体" w:eastAsia="宋体" w:cs="宋体"/>
          <w:color w:val="000000"/>
          <w:spacing w:val="2"/>
          <w:sz w:val="24"/>
          <w:szCs w:val="24"/>
          <w:highlight w:val="none"/>
          <w:u w:val="single"/>
        </w:rPr>
        <w:t xml:space="preserve">                                </w:t>
      </w:r>
      <w:r>
        <w:rPr>
          <w:rFonts w:hint="eastAsia" w:ascii="宋体" w:hAnsi="宋体" w:eastAsia="宋体" w:cs="宋体"/>
          <w:color w:val="000000"/>
          <w:spacing w:val="-23"/>
          <w:w w:val="98"/>
          <w:sz w:val="24"/>
          <w:szCs w:val="24"/>
          <w:highlight w:val="none"/>
        </w:rPr>
        <w:t>法人代表：</w:t>
      </w:r>
      <w:r>
        <w:rPr>
          <w:rFonts w:hint="eastAsia" w:ascii="宋体" w:hAnsi="宋体" w:eastAsia="宋体" w:cs="宋体"/>
          <w:color w:val="000000"/>
          <w:spacing w:val="3"/>
          <w:sz w:val="24"/>
          <w:szCs w:val="24"/>
          <w:highlight w:val="none"/>
          <w:u w:val="single"/>
        </w:rPr>
        <w:t xml:space="preserve">                  </w:t>
      </w:r>
      <w:r>
        <w:rPr>
          <w:rFonts w:hint="eastAsia" w:ascii="宋体" w:hAnsi="宋体" w:eastAsia="宋体" w:cs="宋体"/>
          <w:color w:val="000000"/>
          <w:spacing w:val="16"/>
          <w:sz w:val="24"/>
          <w:szCs w:val="24"/>
          <w:highlight w:val="none"/>
        </w:rPr>
        <w:t xml:space="preserve"> </w:t>
      </w:r>
    </w:p>
    <w:p>
      <w:pPr>
        <w:spacing w:before="1" w:line="415" w:lineRule="auto"/>
        <w:ind w:left="542" w:leftChars="202" w:right="240" w:hanging="57" w:hangingChars="25"/>
        <w:rPr>
          <w:rFonts w:hint="eastAsia" w:ascii="宋体" w:hAnsi="宋体" w:eastAsia="宋体" w:cs="宋体"/>
          <w:color w:val="000000"/>
          <w:sz w:val="24"/>
          <w:szCs w:val="24"/>
          <w:highlight w:val="none"/>
        </w:rPr>
      </w:pPr>
      <w:r>
        <w:rPr>
          <w:rFonts w:hint="eastAsia" w:ascii="宋体" w:hAnsi="宋体" w:eastAsia="宋体" w:cs="宋体"/>
          <w:color w:val="000000"/>
          <w:spacing w:val="-5"/>
          <w:sz w:val="24"/>
          <w:szCs w:val="24"/>
          <w:highlight w:val="none"/>
        </w:rPr>
        <w:t>在本项目招投标活动中，我公司（单位）</w:t>
      </w:r>
      <w:r>
        <w:rPr>
          <w:rFonts w:hint="eastAsia" w:ascii="宋体" w:hAnsi="宋体" w:eastAsia="宋体" w:cs="宋体"/>
          <w:color w:val="000000"/>
          <w:spacing w:val="36"/>
          <w:sz w:val="24"/>
          <w:szCs w:val="24"/>
          <w:highlight w:val="none"/>
        </w:rPr>
        <w:t xml:space="preserve"> </w:t>
      </w:r>
      <w:r>
        <w:rPr>
          <w:rFonts w:hint="eastAsia" w:ascii="宋体" w:hAnsi="宋体" w:eastAsia="宋体" w:cs="宋体"/>
          <w:color w:val="000000"/>
          <w:spacing w:val="-5"/>
          <w:sz w:val="24"/>
          <w:szCs w:val="24"/>
          <w:highlight w:val="none"/>
        </w:rPr>
        <w:t>自愿作出以下投标信用承诺：</w:t>
      </w:r>
    </w:p>
    <w:p>
      <w:pPr>
        <w:spacing w:line="204" w:lineRule="auto"/>
        <w:ind w:firstLine="486"/>
        <w:rPr>
          <w:rFonts w:hint="eastAsia" w:ascii="宋体" w:hAnsi="宋体" w:eastAsia="宋体" w:cs="宋体"/>
          <w:color w:val="000000"/>
          <w:sz w:val="24"/>
          <w:szCs w:val="24"/>
          <w:highlight w:val="none"/>
        </w:rPr>
      </w:pPr>
      <w:r>
        <w:rPr>
          <w:rFonts w:hint="eastAsia" w:ascii="宋体" w:hAnsi="宋体" w:eastAsia="宋体" w:cs="宋体"/>
          <w:color w:val="000000"/>
          <w:spacing w:val="-7"/>
          <w:sz w:val="24"/>
          <w:szCs w:val="24"/>
          <w:highlight w:val="none"/>
        </w:rPr>
        <w:t>（一）</w:t>
      </w:r>
      <w:r>
        <w:rPr>
          <w:rFonts w:hint="eastAsia" w:ascii="宋体" w:hAnsi="宋体" w:eastAsia="宋体" w:cs="宋体"/>
          <w:color w:val="000000"/>
          <w:spacing w:val="25"/>
          <w:sz w:val="24"/>
          <w:szCs w:val="24"/>
          <w:highlight w:val="none"/>
        </w:rPr>
        <w:t xml:space="preserve"> </w:t>
      </w:r>
      <w:r>
        <w:rPr>
          <w:rFonts w:hint="eastAsia" w:ascii="宋体" w:hAnsi="宋体" w:eastAsia="宋体" w:cs="宋体"/>
          <w:color w:val="000000"/>
          <w:spacing w:val="-7"/>
          <w:sz w:val="24"/>
          <w:szCs w:val="24"/>
          <w:highlight w:val="none"/>
        </w:rPr>
        <w:t>能严格遵守法律法规、职业道德和行业规范。</w:t>
      </w:r>
    </w:p>
    <w:p>
      <w:pPr>
        <w:spacing w:before="277" w:line="415" w:lineRule="auto"/>
        <w:ind w:firstLine="486"/>
        <w:rPr>
          <w:rFonts w:hint="eastAsia" w:ascii="宋体" w:hAnsi="宋体" w:eastAsia="宋体" w:cs="宋体"/>
          <w:color w:val="000000"/>
          <w:sz w:val="24"/>
          <w:szCs w:val="24"/>
          <w:highlight w:val="none"/>
        </w:rPr>
      </w:pPr>
      <w:r>
        <w:rPr>
          <w:rFonts w:hint="eastAsia" w:ascii="宋体" w:hAnsi="宋体" w:eastAsia="宋体" w:cs="宋体"/>
          <w:color w:val="000000"/>
          <w:spacing w:val="-14"/>
          <w:sz w:val="24"/>
          <w:szCs w:val="24"/>
          <w:highlight w:val="none"/>
        </w:rPr>
        <w:t>（二）</w:t>
      </w:r>
      <w:r>
        <w:rPr>
          <w:rFonts w:hint="eastAsia" w:ascii="宋体" w:hAnsi="宋体" w:eastAsia="宋体" w:cs="宋体"/>
          <w:color w:val="000000"/>
          <w:spacing w:val="16"/>
          <w:sz w:val="24"/>
          <w:szCs w:val="24"/>
          <w:highlight w:val="none"/>
        </w:rPr>
        <w:t xml:space="preserve"> </w:t>
      </w:r>
      <w:r>
        <w:rPr>
          <w:rFonts w:hint="eastAsia" w:ascii="宋体" w:hAnsi="宋体" w:eastAsia="宋体" w:cs="宋体"/>
          <w:color w:val="000000"/>
          <w:spacing w:val="-14"/>
          <w:sz w:val="24"/>
          <w:szCs w:val="24"/>
          <w:highlight w:val="none"/>
        </w:rPr>
        <w:t>不得有以下违法违规行为：1.围标串标；以他人名义或者其他方式弄虚作假投</w:t>
      </w:r>
      <w:r>
        <w:rPr>
          <w:rFonts w:hint="eastAsia" w:ascii="宋体" w:hAnsi="宋体" w:eastAsia="宋体" w:cs="宋体"/>
          <w:color w:val="000000"/>
          <w:spacing w:val="-15"/>
          <w:sz w:val="24"/>
          <w:szCs w:val="24"/>
          <w:highlight w:val="none"/>
        </w:rPr>
        <w:t>标；出让出租资格、资质证书供他人投标；恶意竞标、强揽工程；以暴力、威胁、利诱等</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pacing w:val="-1"/>
          <w:sz w:val="24"/>
          <w:szCs w:val="24"/>
          <w:highlight w:val="none"/>
        </w:rPr>
        <w:t>手段阻止或者控制其他潜在投标人参与招投标活动。2.向招投标监督部门、交易中心、招标人、招标代理机构、评审委员会及其成员等当事主体赠送财物。3.投标截止后至中标人</w:t>
      </w:r>
      <w:r>
        <w:rPr>
          <w:rFonts w:hint="eastAsia" w:ascii="宋体" w:hAnsi="宋体" w:eastAsia="宋体" w:cs="宋体"/>
          <w:color w:val="000000"/>
          <w:spacing w:val="30"/>
          <w:sz w:val="24"/>
          <w:szCs w:val="24"/>
          <w:highlight w:val="none"/>
        </w:rPr>
        <w:t xml:space="preserve"> </w:t>
      </w:r>
      <w:r>
        <w:rPr>
          <w:rFonts w:hint="eastAsia" w:ascii="宋体" w:hAnsi="宋体" w:eastAsia="宋体" w:cs="宋体"/>
          <w:color w:val="000000"/>
          <w:spacing w:val="-5"/>
          <w:sz w:val="24"/>
          <w:szCs w:val="24"/>
          <w:highlight w:val="none"/>
        </w:rPr>
        <w:t>确定前，修改或者撤销投标文件。4.在被确定为中标人后无正当理由：不按照招标文件和</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pacing w:val="-5"/>
          <w:sz w:val="24"/>
          <w:szCs w:val="24"/>
          <w:highlight w:val="none"/>
        </w:rPr>
        <w:t>投标文件与招标人签订合同；在签订合同时向招标人提出附加条件、或者改变投标文件的</w:t>
      </w:r>
      <w:r>
        <w:rPr>
          <w:rFonts w:hint="eastAsia" w:ascii="宋体" w:hAnsi="宋体" w:eastAsia="宋体" w:cs="宋体"/>
          <w:color w:val="000000"/>
          <w:spacing w:val="-10"/>
          <w:sz w:val="24"/>
          <w:szCs w:val="24"/>
          <w:highlight w:val="none"/>
        </w:rPr>
        <w:t>实质性内容；放弃中标；不按照招标文件的规定提交履约保证金。5.招投标法规定的其它</w:t>
      </w:r>
      <w:r>
        <w:rPr>
          <w:rFonts w:hint="eastAsia" w:ascii="宋体" w:hAnsi="宋体" w:eastAsia="宋体" w:cs="宋体"/>
          <w:color w:val="000000"/>
          <w:spacing w:val="-2"/>
          <w:sz w:val="24"/>
          <w:szCs w:val="24"/>
          <w:highlight w:val="none"/>
        </w:rPr>
        <w:t>违法违规行为。</w:t>
      </w:r>
    </w:p>
    <w:p>
      <w:pPr>
        <w:spacing w:before="276" w:line="415" w:lineRule="auto"/>
        <w:ind w:left="1" w:firstLine="484"/>
        <w:rPr>
          <w:rFonts w:hint="eastAsia" w:ascii="宋体" w:hAnsi="宋体" w:eastAsia="宋体" w:cs="宋体"/>
          <w:color w:val="000000"/>
          <w:sz w:val="24"/>
          <w:szCs w:val="24"/>
          <w:highlight w:val="none"/>
        </w:rPr>
      </w:pPr>
      <w:r>
        <w:rPr>
          <w:rFonts w:hint="eastAsia" w:ascii="宋体" w:hAnsi="宋体" w:eastAsia="宋体" w:cs="宋体"/>
          <w:color w:val="000000"/>
          <w:spacing w:val="-7"/>
          <w:sz w:val="24"/>
          <w:szCs w:val="24"/>
          <w:highlight w:val="none"/>
        </w:rPr>
        <w:t>（三）若我公司（单位）</w:t>
      </w:r>
      <w:r>
        <w:rPr>
          <w:rFonts w:hint="eastAsia" w:ascii="宋体" w:hAnsi="宋体" w:eastAsia="宋体" w:cs="宋体"/>
          <w:color w:val="000000"/>
          <w:spacing w:val="-10"/>
          <w:sz w:val="24"/>
          <w:szCs w:val="24"/>
          <w:highlight w:val="none"/>
        </w:rPr>
        <w:t xml:space="preserve"> </w:t>
      </w:r>
      <w:r>
        <w:rPr>
          <w:rFonts w:hint="eastAsia" w:ascii="宋体" w:hAnsi="宋体" w:eastAsia="宋体" w:cs="宋体"/>
          <w:color w:val="000000"/>
          <w:spacing w:val="-7"/>
          <w:sz w:val="24"/>
          <w:szCs w:val="24"/>
          <w:highlight w:val="none"/>
        </w:rPr>
        <w:t>及相关参与人员违背以上承诺事项，即被视为失信企业（法</w:t>
      </w:r>
      <w:r>
        <w:rPr>
          <w:rFonts w:hint="eastAsia" w:ascii="宋体" w:hAnsi="宋体" w:eastAsia="宋体" w:cs="宋体"/>
          <w:color w:val="000000"/>
          <w:spacing w:val="-4"/>
          <w:sz w:val="24"/>
          <w:szCs w:val="24"/>
          <w:highlight w:val="none"/>
        </w:rPr>
        <w:t>人</w:t>
      </w:r>
      <w:r>
        <w:rPr>
          <w:rFonts w:hint="eastAsia" w:ascii="宋体" w:hAnsi="宋体" w:eastAsia="宋体" w:cs="宋体"/>
          <w:color w:val="000000"/>
          <w:spacing w:val="-62"/>
          <w:sz w:val="24"/>
          <w:szCs w:val="24"/>
          <w:highlight w:val="none"/>
        </w:rPr>
        <w:t>）</w:t>
      </w:r>
      <w:r>
        <w:rPr>
          <w:rFonts w:hint="eastAsia" w:ascii="宋体" w:hAnsi="宋体" w:eastAsia="宋体" w:cs="宋体"/>
          <w:color w:val="000000"/>
          <w:spacing w:val="34"/>
          <w:sz w:val="24"/>
          <w:szCs w:val="24"/>
          <w:highlight w:val="none"/>
        </w:rPr>
        <w:t xml:space="preserve"> </w:t>
      </w:r>
      <w:r>
        <w:rPr>
          <w:rFonts w:hint="eastAsia" w:ascii="宋体" w:hAnsi="宋体" w:eastAsia="宋体" w:cs="宋体"/>
          <w:color w:val="000000"/>
          <w:spacing w:val="-62"/>
          <w:sz w:val="24"/>
          <w:szCs w:val="24"/>
          <w:highlight w:val="none"/>
        </w:rPr>
        <w:t>，</w:t>
      </w:r>
      <w:r>
        <w:rPr>
          <w:rFonts w:hint="eastAsia" w:ascii="宋体" w:hAnsi="宋体" w:eastAsia="宋体" w:cs="宋体"/>
          <w:color w:val="000000"/>
          <w:spacing w:val="-4"/>
          <w:sz w:val="24"/>
          <w:szCs w:val="24"/>
          <w:highlight w:val="none"/>
        </w:rPr>
        <w:t>依据《关于对公共资源交易领域严重失信主体开展联合惩戒的备忘录》（发改法规</w:t>
      </w:r>
      <w:r>
        <w:rPr>
          <w:rFonts w:hint="eastAsia" w:ascii="宋体" w:hAnsi="宋体" w:eastAsia="宋体" w:cs="宋体"/>
          <w:color w:val="000000"/>
          <w:spacing w:val="-5"/>
          <w:sz w:val="24"/>
          <w:szCs w:val="24"/>
          <w:highlight w:val="none"/>
        </w:rPr>
        <w:t>[2018]457</w:t>
      </w:r>
      <w:r>
        <w:rPr>
          <w:rFonts w:hint="eastAsia" w:ascii="宋体" w:hAnsi="宋体" w:eastAsia="宋体" w:cs="宋体"/>
          <w:color w:val="000000"/>
          <w:spacing w:val="-45"/>
          <w:sz w:val="24"/>
          <w:szCs w:val="24"/>
          <w:highlight w:val="none"/>
        </w:rPr>
        <w:t xml:space="preserve"> </w:t>
      </w:r>
      <w:r>
        <w:rPr>
          <w:rFonts w:hint="eastAsia" w:ascii="宋体" w:hAnsi="宋体" w:eastAsia="宋体" w:cs="宋体"/>
          <w:color w:val="000000"/>
          <w:spacing w:val="-5"/>
          <w:sz w:val="24"/>
          <w:szCs w:val="24"/>
          <w:highlight w:val="none"/>
        </w:rPr>
        <w:t>号</w:t>
      </w:r>
      <w:r>
        <w:rPr>
          <w:rFonts w:hint="eastAsia" w:ascii="宋体" w:hAnsi="宋体" w:eastAsia="宋体" w:cs="宋体"/>
          <w:color w:val="000000"/>
          <w:spacing w:val="-82"/>
          <w:sz w:val="24"/>
          <w:szCs w:val="24"/>
          <w:highlight w:val="none"/>
        </w:rPr>
        <w:t>）</w:t>
      </w:r>
      <w:r>
        <w:rPr>
          <w:rFonts w:hint="eastAsia" w:ascii="宋体" w:hAnsi="宋体" w:eastAsia="宋体" w:cs="宋体"/>
          <w:color w:val="000000"/>
          <w:spacing w:val="30"/>
          <w:sz w:val="24"/>
          <w:szCs w:val="24"/>
          <w:highlight w:val="none"/>
        </w:rPr>
        <w:t xml:space="preserve"> </w:t>
      </w:r>
      <w:r>
        <w:rPr>
          <w:rFonts w:hint="eastAsia" w:ascii="宋体" w:hAnsi="宋体" w:eastAsia="宋体" w:cs="宋体"/>
          <w:color w:val="000000"/>
          <w:spacing w:val="-82"/>
          <w:sz w:val="24"/>
          <w:szCs w:val="24"/>
          <w:highlight w:val="none"/>
        </w:rPr>
        <w:t>，</w:t>
      </w:r>
      <w:r>
        <w:rPr>
          <w:rFonts w:hint="eastAsia" w:ascii="宋体" w:hAnsi="宋体" w:eastAsia="宋体" w:cs="宋体"/>
          <w:color w:val="000000"/>
          <w:spacing w:val="-71"/>
          <w:sz w:val="24"/>
          <w:szCs w:val="24"/>
          <w:highlight w:val="none"/>
        </w:rPr>
        <w:t xml:space="preserve"> </w:t>
      </w:r>
      <w:r>
        <w:rPr>
          <w:rFonts w:hint="eastAsia" w:ascii="宋体" w:hAnsi="宋体" w:eastAsia="宋体" w:cs="宋体"/>
          <w:color w:val="000000"/>
          <w:spacing w:val="-5"/>
          <w:sz w:val="24"/>
          <w:szCs w:val="24"/>
          <w:highlight w:val="none"/>
        </w:rPr>
        <w:t>自愿接受</w:t>
      </w:r>
      <w:r>
        <w:rPr>
          <w:rFonts w:hint="eastAsia" w:ascii="宋体" w:hAnsi="宋体" w:eastAsia="宋体" w:cs="宋体"/>
          <w:color w:val="000000"/>
          <w:spacing w:val="-33"/>
          <w:sz w:val="24"/>
          <w:szCs w:val="24"/>
          <w:highlight w:val="none"/>
        </w:rPr>
        <w:t xml:space="preserve"> </w:t>
      </w:r>
      <w:r>
        <w:rPr>
          <w:rFonts w:hint="eastAsia" w:ascii="宋体" w:hAnsi="宋体" w:eastAsia="宋体" w:cs="宋体"/>
          <w:color w:val="000000"/>
          <w:spacing w:val="-5"/>
          <w:sz w:val="24"/>
          <w:szCs w:val="24"/>
          <w:highlight w:val="none"/>
        </w:rPr>
        <w:t>1</w:t>
      </w:r>
      <w:r>
        <w:rPr>
          <w:rFonts w:hint="eastAsia" w:ascii="宋体" w:hAnsi="宋体" w:eastAsia="宋体" w:cs="宋体"/>
          <w:color w:val="000000"/>
          <w:spacing w:val="-49"/>
          <w:sz w:val="24"/>
          <w:szCs w:val="24"/>
          <w:highlight w:val="none"/>
        </w:rPr>
        <w:t xml:space="preserve"> </w:t>
      </w:r>
      <w:r>
        <w:rPr>
          <w:rFonts w:hint="eastAsia" w:ascii="宋体" w:hAnsi="宋体" w:eastAsia="宋体" w:cs="宋体"/>
          <w:color w:val="000000"/>
          <w:spacing w:val="-5"/>
          <w:sz w:val="24"/>
          <w:szCs w:val="24"/>
          <w:highlight w:val="none"/>
        </w:rPr>
        <w:t>至</w:t>
      </w:r>
      <w:r>
        <w:rPr>
          <w:rFonts w:hint="eastAsia" w:ascii="宋体" w:hAnsi="宋体" w:eastAsia="宋体" w:cs="宋体"/>
          <w:color w:val="000000"/>
          <w:spacing w:val="-46"/>
          <w:sz w:val="24"/>
          <w:szCs w:val="24"/>
          <w:highlight w:val="none"/>
        </w:rPr>
        <w:t xml:space="preserve"> </w:t>
      </w:r>
      <w:r>
        <w:rPr>
          <w:rFonts w:hint="eastAsia" w:ascii="宋体" w:hAnsi="宋体" w:eastAsia="宋体" w:cs="宋体"/>
          <w:color w:val="000000"/>
          <w:spacing w:val="-5"/>
          <w:sz w:val="24"/>
          <w:szCs w:val="24"/>
          <w:highlight w:val="none"/>
        </w:rPr>
        <w:t>3</w:t>
      </w:r>
      <w:r>
        <w:rPr>
          <w:rFonts w:hint="eastAsia" w:ascii="宋体" w:hAnsi="宋体" w:eastAsia="宋体" w:cs="宋体"/>
          <w:color w:val="000000"/>
          <w:spacing w:val="-49"/>
          <w:sz w:val="24"/>
          <w:szCs w:val="24"/>
          <w:highlight w:val="none"/>
        </w:rPr>
        <w:t xml:space="preserve"> </w:t>
      </w:r>
      <w:r>
        <w:rPr>
          <w:rFonts w:hint="eastAsia" w:ascii="宋体" w:hAnsi="宋体" w:eastAsia="宋体" w:cs="宋体"/>
          <w:color w:val="000000"/>
          <w:spacing w:val="-5"/>
          <w:sz w:val="24"/>
          <w:szCs w:val="24"/>
          <w:highlight w:val="none"/>
        </w:rPr>
        <w:t>年内限制参与公共资源交易活动。</w:t>
      </w:r>
    </w:p>
    <w:p>
      <w:pPr>
        <w:spacing w:line="352" w:lineRule="auto"/>
        <w:rPr>
          <w:rFonts w:hint="eastAsia" w:ascii="宋体" w:hAnsi="宋体" w:eastAsia="宋体" w:cs="宋体"/>
          <w:color w:val="000000"/>
          <w:highlight w:val="none"/>
        </w:rPr>
      </w:pPr>
    </w:p>
    <w:p>
      <w:pPr>
        <w:spacing w:line="352" w:lineRule="auto"/>
        <w:rPr>
          <w:rFonts w:hint="eastAsia" w:ascii="宋体" w:hAnsi="宋体" w:eastAsia="宋体" w:cs="宋体"/>
          <w:color w:val="000000"/>
          <w:highlight w:val="none"/>
        </w:rPr>
      </w:pPr>
    </w:p>
    <w:p>
      <w:pPr>
        <w:spacing w:before="78" w:line="184" w:lineRule="auto"/>
        <w:ind w:firstLine="480"/>
        <w:rPr>
          <w:rFonts w:hint="eastAsia" w:ascii="宋体" w:hAnsi="宋体" w:eastAsia="宋体" w:cs="宋体"/>
          <w:color w:val="000000"/>
          <w:sz w:val="24"/>
          <w:szCs w:val="24"/>
          <w:highlight w:val="none"/>
        </w:rPr>
      </w:pPr>
      <w:r>
        <w:rPr>
          <w:rFonts w:hint="eastAsia" w:ascii="宋体" w:hAnsi="宋体" w:eastAsia="宋体" w:cs="宋体"/>
          <w:color w:val="000000"/>
          <w:spacing w:val="3"/>
          <w:sz w:val="24"/>
          <w:szCs w:val="24"/>
          <w:highlight w:val="none"/>
        </w:rPr>
        <w:t>法定代表人（</w:t>
      </w:r>
      <w:r>
        <w:rPr>
          <w:rFonts w:hint="eastAsia" w:ascii="宋体" w:hAnsi="宋体" w:eastAsia="宋体" w:cs="宋体"/>
          <w:color w:val="000000"/>
          <w:spacing w:val="3"/>
          <w:sz w:val="24"/>
          <w:szCs w:val="24"/>
          <w:highlight w:val="none"/>
          <w:lang w:eastAsia="zh-CN"/>
        </w:rPr>
        <w:t>签字或盖章</w:t>
      </w:r>
      <w:r>
        <w:rPr>
          <w:rFonts w:hint="eastAsia" w:ascii="宋体" w:hAnsi="宋体" w:eastAsia="宋体" w:cs="宋体"/>
          <w:color w:val="000000"/>
          <w:spacing w:val="-75"/>
          <w:sz w:val="24"/>
          <w:szCs w:val="24"/>
          <w:highlight w:val="none"/>
        </w:rPr>
        <w:t>）</w:t>
      </w:r>
      <w:r>
        <w:rPr>
          <w:rFonts w:hint="eastAsia" w:ascii="宋体" w:hAnsi="宋体" w:eastAsia="宋体" w:cs="宋体"/>
          <w:color w:val="000000"/>
          <w:spacing w:val="14"/>
          <w:sz w:val="24"/>
          <w:szCs w:val="24"/>
          <w:highlight w:val="none"/>
        </w:rPr>
        <w:t xml:space="preserve"> </w:t>
      </w:r>
      <w:r>
        <w:rPr>
          <w:rFonts w:hint="eastAsia" w:ascii="宋体" w:hAnsi="宋体" w:eastAsia="宋体" w:cs="宋体"/>
          <w:color w:val="000000"/>
          <w:spacing w:val="-75"/>
          <w:sz w:val="24"/>
          <w:szCs w:val="24"/>
          <w:highlight w:val="none"/>
        </w:rPr>
        <w:t>：</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pacing w:val="3"/>
          <w:sz w:val="24"/>
          <w:szCs w:val="24"/>
          <w:highlight w:val="none"/>
        </w:rPr>
        <w:t>投标人（盖章</w:t>
      </w:r>
      <w:r>
        <w:rPr>
          <w:rFonts w:hint="eastAsia" w:ascii="宋体" w:hAnsi="宋体" w:eastAsia="宋体" w:cs="宋体"/>
          <w:color w:val="000000"/>
          <w:spacing w:val="-75"/>
          <w:sz w:val="24"/>
          <w:szCs w:val="24"/>
          <w:highlight w:val="none"/>
        </w:rPr>
        <w:t>）</w:t>
      </w:r>
      <w:r>
        <w:rPr>
          <w:rFonts w:hint="eastAsia" w:ascii="宋体" w:hAnsi="宋体" w:eastAsia="宋体" w:cs="宋体"/>
          <w:color w:val="000000"/>
          <w:spacing w:val="-7"/>
          <w:sz w:val="24"/>
          <w:szCs w:val="24"/>
          <w:highlight w:val="none"/>
        </w:rPr>
        <w:t xml:space="preserve"> </w:t>
      </w:r>
      <w:r>
        <w:rPr>
          <w:rFonts w:hint="eastAsia" w:ascii="宋体" w:hAnsi="宋体" w:eastAsia="宋体" w:cs="宋体"/>
          <w:color w:val="000000"/>
          <w:spacing w:val="-75"/>
          <w:sz w:val="24"/>
          <w:szCs w:val="24"/>
          <w:highlight w:val="none"/>
        </w:rPr>
        <w:t>：</w:t>
      </w:r>
    </w:p>
    <w:p>
      <w:pPr>
        <w:spacing w:line="339" w:lineRule="auto"/>
        <w:rPr>
          <w:rFonts w:hint="eastAsia" w:ascii="宋体" w:hAnsi="宋体" w:eastAsia="宋体" w:cs="宋体"/>
          <w:color w:val="000000"/>
          <w:highlight w:val="none"/>
        </w:rPr>
      </w:pPr>
    </w:p>
    <w:p>
      <w:pPr>
        <w:spacing w:line="340" w:lineRule="auto"/>
        <w:rPr>
          <w:rFonts w:hint="eastAsia" w:ascii="宋体" w:hAnsi="宋体" w:eastAsia="宋体" w:cs="宋体"/>
          <w:color w:val="000000"/>
          <w:highlight w:val="none"/>
        </w:rPr>
      </w:pPr>
    </w:p>
    <w:p>
      <w:pPr>
        <w:spacing w:before="78" w:line="184" w:lineRule="auto"/>
        <w:ind w:firstLine="4439"/>
        <w:rPr>
          <w:rFonts w:hint="eastAsia" w:ascii="宋体" w:hAnsi="宋体" w:eastAsia="宋体" w:cs="宋体"/>
          <w:color w:val="000000"/>
          <w:sz w:val="24"/>
          <w:szCs w:val="24"/>
          <w:highlight w:val="none"/>
        </w:rPr>
      </w:pPr>
      <w:r>
        <w:rPr>
          <w:rFonts w:hint="eastAsia" w:ascii="宋体" w:hAnsi="宋体" w:eastAsia="宋体" w:cs="宋体"/>
          <w:color w:val="000000"/>
          <w:spacing w:val="-23"/>
          <w:w w:val="99"/>
          <w:sz w:val="24"/>
          <w:szCs w:val="24"/>
          <w:highlight w:val="none"/>
        </w:rPr>
        <w:t>承诺时间：</w:t>
      </w:r>
      <w:r>
        <w:rPr>
          <w:rFonts w:hint="eastAsia" w:ascii="宋体" w:hAnsi="宋体" w:eastAsia="宋体" w:cs="宋体"/>
          <w:color w:val="000000"/>
          <w:spacing w:val="7"/>
          <w:sz w:val="24"/>
          <w:szCs w:val="24"/>
          <w:highlight w:val="none"/>
          <w:u w:val="single"/>
        </w:rPr>
        <w:t xml:space="preserve">        </w:t>
      </w:r>
      <w:r>
        <w:rPr>
          <w:rFonts w:hint="eastAsia" w:ascii="宋体" w:hAnsi="宋体" w:eastAsia="宋体" w:cs="宋体"/>
          <w:color w:val="000000"/>
          <w:spacing w:val="-23"/>
          <w:w w:val="99"/>
          <w:sz w:val="24"/>
          <w:szCs w:val="24"/>
          <w:highlight w:val="none"/>
        </w:rPr>
        <w:t>年</w:t>
      </w:r>
      <w:r>
        <w:rPr>
          <w:rFonts w:hint="eastAsia" w:ascii="宋体" w:hAnsi="宋体" w:eastAsia="宋体" w:cs="宋体"/>
          <w:color w:val="000000"/>
          <w:spacing w:val="3"/>
          <w:sz w:val="24"/>
          <w:szCs w:val="24"/>
          <w:highlight w:val="none"/>
          <w:u w:val="single"/>
        </w:rPr>
        <w:t xml:space="preserve">     </w:t>
      </w:r>
      <w:r>
        <w:rPr>
          <w:rFonts w:hint="eastAsia" w:ascii="宋体" w:hAnsi="宋体" w:eastAsia="宋体" w:cs="宋体"/>
          <w:color w:val="000000"/>
          <w:spacing w:val="-23"/>
          <w:w w:val="99"/>
          <w:sz w:val="24"/>
          <w:szCs w:val="24"/>
          <w:highlight w:val="none"/>
        </w:rPr>
        <w:t>月</w:t>
      </w:r>
      <w:r>
        <w:rPr>
          <w:rFonts w:hint="eastAsia" w:ascii="宋体" w:hAnsi="宋体" w:eastAsia="宋体" w:cs="宋体"/>
          <w:color w:val="000000"/>
          <w:spacing w:val="10"/>
          <w:sz w:val="24"/>
          <w:szCs w:val="24"/>
          <w:highlight w:val="none"/>
          <w:u w:val="single"/>
        </w:rPr>
        <w:t xml:space="preserve">     </w:t>
      </w:r>
      <w:r>
        <w:rPr>
          <w:rFonts w:hint="eastAsia" w:ascii="宋体" w:hAnsi="宋体" w:eastAsia="宋体" w:cs="宋体"/>
          <w:color w:val="000000"/>
          <w:spacing w:val="-23"/>
          <w:w w:val="99"/>
          <w:sz w:val="24"/>
          <w:szCs w:val="24"/>
          <w:highlight w:val="none"/>
        </w:rPr>
        <w:t>日</w:t>
      </w:r>
    </w:p>
    <w:p>
      <w:pPr>
        <w:spacing w:line="314" w:lineRule="auto"/>
        <w:rPr>
          <w:rFonts w:hint="eastAsia" w:ascii="宋体" w:hAnsi="宋体" w:eastAsia="宋体" w:cs="宋体"/>
          <w:color w:val="000000"/>
          <w:highlight w:val="none"/>
        </w:rPr>
      </w:pPr>
    </w:p>
    <w:p>
      <w:pPr>
        <w:spacing w:line="315" w:lineRule="auto"/>
        <w:rPr>
          <w:rFonts w:hint="eastAsia" w:ascii="宋体" w:hAnsi="宋体" w:eastAsia="宋体" w:cs="宋体"/>
          <w:color w:val="000000"/>
          <w:highlight w:val="none"/>
        </w:rPr>
      </w:pPr>
    </w:p>
    <w:p>
      <w:pPr>
        <w:spacing w:before="79" w:line="184" w:lineRule="auto"/>
        <w:ind w:firstLine="2"/>
        <w:rPr>
          <w:rFonts w:hint="eastAsia" w:ascii="宋体" w:hAnsi="宋体" w:eastAsia="宋体" w:cs="宋体"/>
          <w:color w:val="000000"/>
          <w:highlight w:val="none"/>
        </w:rPr>
        <w:sectPr>
          <w:headerReference r:id="rId11" w:type="default"/>
          <w:footerReference r:id="rId12" w:type="default"/>
          <w:pgSz w:w="11906" w:h="16838"/>
          <w:pgMar w:top="1440" w:right="1800" w:bottom="1440" w:left="1800" w:header="850" w:footer="998" w:gutter="0"/>
          <w:pgNumType w:fmt="decimal"/>
          <w:cols w:space="720" w:num="1"/>
        </w:sectPr>
      </w:pPr>
      <w:r>
        <w:rPr>
          <w:rFonts w:hint="eastAsia" w:ascii="宋体" w:hAnsi="宋体" w:eastAsia="宋体" w:cs="宋体"/>
          <w:color w:val="000000"/>
          <w:spacing w:val="-5"/>
          <w:sz w:val="24"/>
          <w:szCs w:val="24"/>
          <w:highlight w:val="none"/>
        </w:rPr>
        <w:t>说明：</w:t>
      </w:r>
      <w:r>
        <w:rPr>
          <w:rFonts w:hint="eastAsia" w:ascii="宋体" w:hAnsi="宋体" w:eastAsia="宋体" w:cs="宋体"/>
          <w:color w:val="000000"/>
          <w:spacing w:val="61"/>
          <w:sz w:val="24"/>
          <w:szCs w:val="24"/>
          <w:highlight w:val="none"/>
        </w:rPr>
        <w:t xml:space="preserve"> </w:t>
      </w:r>
      <w:r>
        <w:rPr>
          <w:rFonts w:hint="eastAsia" w:ascii="宋体" w:hAnsi="宋体" w:eastAsia="宋体" w:cs="宋体"/>
          <w:color w:val="000000"/>
          <w:spacing w:val="-5"/>
          <w:sz w:val="24"/>
          <w:szCs w:val="24"/>
          <w:highlight w:val="none"/>
        </w:rPr>
        <w:t>本承诺书效力和作用等同投标保证金，其有效期与投标有效期一致</w:t>
      </w:r>
    </w:p>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投标人信用承诺书</w:t>
      </w:r>
    </w:p>
    <w:p>
      <w:pPr>
        <w:keepNext w:val="0"/>
        <w:keepLines w:val="0"/>
        <w:pageBreakBefore w:val="0"/>
        <w:widowControl/>
        <w:kinsoku/>
        <w:wordWrap/>
        <w:overflowPunct/>
        <w:topLinePunct w:val="0"/>
        <w:autoSpaceDE/>
        <w:autoSpaceDN/>
        <w:bidi w:val="0"/>
        <w:adjustRightInd w:val="0"/>
        <w:snapToGrid w:val="0"/>
        <w:spacing w:line="420" w:lineRule="exact"/>
        <w:jc w:val="left"/>
        <w:textAlignment w:val="auto"/>
        <w:rPr>
          <w:rFonts w:hint="eastAsia" w:ascii="宋体" w:hAnsi="宋体" w:eastAsia="宋体" w:cs="宋体"/>
          <w:color w:val="auto"/>
          <w:u w:val="single"/>
        </w:rPr>
      </w:pPr>
      <w:r>
        <w:rPr>
          <w:rFonts w:hint="eastAsia" w:ascii="宋体" w:hAnsi="宋体" w:eastAsia="宋体" w:cs="宋体"/>
          <w:color w:val="auto"/>
        </w:rPr>
        <w:t>投标人：</w:t>
      </w:r>
      <w:r>
        <w:rPr>
          <w:rFonts w:hint="eastAsia" w:ascii="宋体" w:hAnsi="宋体" w:eastAsia="宋体" w:cs="宋体"/>
          <w:color w:val="auto"/>
          <w:u w:val="single"/>
        </w:rPr>
        <w:t xml:space="preserve">                                           </w:t>
      </w:r>
    </w:p>
    <w:p>
      <w:pPr>
        <w:keepNext w:val="0"/>
        <w:keepLines w:val="0"/>
        <w:pageBreakBefore w:val="0"/>
        <w:widowControl/>
        <w:kinsoku/>
        <w:wordWrap/>
        <w:overflowPunct/>
        <w:topLinePunct w:val="0"/>
        <w:autoSpaceDE/>
        <w:autoSpaceDN/>
        <w:bidi w:val="0"/>
        <w:adjustRightInd w:val="0"/>
        <w:snapToGrid w:val="0"/>
        <w:spacing w:line="420" w:lineRule="exact"/>
        <w:jc w:val="left"/>
        <w:textAlignment w:val="auto"/>
        <w:rPr>
          <w:rFonts w:hint="eastAsia" w:ascii="宋体" w:hAnsi="宋体" w:eastAsia="宋体" w:cs="宋体"/>
          <w:color w:val="auto"/>
          <w:u w:val="single"/>
        </w:rPr>
      </w:pPr>
      <w:r>
        <w:rPr>
          <w:rFonts w:hint="eastAsia" w:ascii="宋体" w:hAnsi="宋体" w:eastAsia="宋体" w:cs="宋体"/>
          <w:color w:val="auto"/>
        </w:rPr>
        <w:t>统一社会信用代码：</w:t>
      </w:r>
      <w:r>
        <w:rPr>
          <w:rFonts w:hint="eastAsia" w:ascii="宋体" w:hAnsi="宋体" w:eastAsia="宋体" w:cs="宋体"/>
          <w:color w:val="auto"/>
          <w:u w:val="single"/>
        </w:rPr>
        <w:t xml:space="preserve">                             </w:t>
      </w:r>
      <w:r>
        <w:rPr>
          <w:rFonts w:hint="eastAsia" w:ascii="宋体" w:hAnsi="宋体" w:eastAsia="宋体" w:cs="宋体"/>
          <w:color w:val="auto"/>
        </w:rPr>
        <w:t>法人代表：</w:t>
      </w:r>
      <w:r>
        <w:rPr>
          <w:rFonts w:hint="eastAsia" w:ascii="宋体" w:hAnsi="宋体" w:eastAsia="宋体" w:cs="宋体"/>
          <w:color w:val="auto"/>
          <w:u w:val="single"/>
        </w:rPr>
        <w:t xml:space="preserve">                  </w:t>
      </w:r>
    </w:p>
    <w:p>
      <w:pPr>
        <w:keepNext w:val="0"/>
        <w:keepLines w:val="0"/>
        <w:pageBreakBefore w:val="0"/>
        <w:widowControl/>
        <w:kinsoku/>
        <w:wordWrap/>
        <w:overflowPunct/>
        <w:topLinePunct w:val="0"/>
        <w:autoSpaceDE/>
        <w:autoSpaceDN/>
        <w:bidi w:val="0"/>
        <w:adjustRightInd w:val="0"/>
        <w:snapToGrid w:val="0"/>
        <w:spacing w:line="420" w:lineRule="exact"/>
        <w:jc w:val="left"/>
        <w:textAlignment w:val="auto"/>
        <w:rPr>
          <w:rFonts w:hint="eastAsia" w:ascii="宋体" w:hAnsi="宋体" w:eastAsia="宋体" w:cs="宋体"/>
          <w:color w:val="auto"/>
          <w:u w:val="single"/>
        </w:rPr>
      </w:pPr>
      <w:r>
        <w:rPr>
          <w:rFonts w:hint="eastAsia" w:ascii="宋体" w:hAnsi="宋体" w:eastAsia="宋体" w:cs="宋体"/>
          <w:color w:val="auto"/>
        </w:rPr>
        <w:t>承诺有效期限：</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jc w:val="left"/>
        <w:textAlignment w:val="auto"/>
        <w:rPr>
          <w:rFonts w:hint="eastAsia" w:ascii="宋体" w:hAnsi="宋体" w:eastAsia="宋体" w:cs="宋体"/>
          <w:color w:val="auto"/>
        </w:rPr>
      </w:pPr>
      <w:r>
        <w:rPr>
          <w:rFonts w:hint="eastAsia" w:ascii="宋体" w:hAnsi="宋体" w:eastAsia="宋体" w:cs="宋体"/>
          <w:color w:val="auto"/>
        </w:rPr>
        <w:t>在</w:t>
      </w:r>
      <w:r>
        <w:rPr>
          <w:rFonts w:hint="eastAsia" w:ascii="宋体" w:hAnsi="宋体" w:eastAsia="宋体" w:cs="宋体"/>
          <w:color w:val="auto"/>
          <w:u w:val="single"/>
        </w:rPr>
        <w:t xml:space="preserve">            </w:t>
      </w:r>
      <w:r>
        <w:rPr>
          <w:rFonts w:hint="eastAsia" w:ascii="宋体" w:hAnsi="宋体" w:eastAsia="宋体" w:cs="宋体"/>
          <w:color w:val="auto"/>
        </w:rPr>
        <w:t>项目招投标活动中，我公司</w:t>
      </w:r>
      <w:r>
        <w:rPr>
          <w:rFonts w:hint="eastAsia" w:ascii="宋体" w:hAnsi="宋体" w:eastAsia="宋体" w:cs="宋体"/>
          <w:color w:val="auto"/>
          <w:u w:val="single"/>
        </w:rPr>
        <w:t xml:space="preserve">      </w:t>
      </w:r>
      <w:r>
        <w:rPr>
          <w:rFonts w:hint="eastAsia" w:ascii="宋体" w:hAnsi="宋体" w:eastAsia="宋体" w:cs="宋体"/>
          <w:color w:val="auto"/>
        </w:rPr>
        <w:t>（单位名称）郑重作出以下信用承诺：</w:t>
      </w:r>
    </w:p>
    <w:p>
      <w:pPr>
        <w:keepNext w:val="0"/>
        <w:keepLines w:val="0"/>
        <w:pageBreakBefore w:val="0"/>
        <w:widowControl/>
        <w:kinsoku/>
        <w:wordWrap/>
        <w:overflowPunct/>
        <w:topLinePunct w:val="0"/>
        <w:autoSpaceDE/>
        <w:autoSpaceDN/>
        <w:bidi w:val="0"/>
        <w:adjustRightInd w:val="0"/>
        <w:snapToGrid w:val="0"/>
        <w:spacing w:line="420" w:lineRule="exact"/>
        <w:ind w:firstLine="480"/>
        <w:jc w:val="left"/>
        <w:textAlignment w:val="auto"/>
        <w:rPr>
          <w:rFonts w:hint="eastAsia" w:ascii="宋体" w:hAnsi="宋体" w:eastAsia="宋体" w:cs="宋体"/>
          <w:color w:val="auto"/>
        </w:rPr>
      </w:pPr>
      <w:r>
        <w:rPr>
          <w:rFonts w:hint="eastAsia" w:ascii="宋体" w:hAnsi="宋体" w:eastAsia="宋体" w:cs="宋体"/>
          <w:color w:val="auto"/>
        </w:rPr>
        <w:t>（一）能严格遵守法律法规、职业道德和行业规范，具有独立承担民事责任的能力；符合依法依规应当具备的相关资质（资格）条件；具有独立承担中标项目的履约能力；具有良好的商业信誉和健全的财务会计制度；有依法缴纳税收和社会保障资金的良好记录；无法律法规规定禁止开展从业活动情形。所递交文件资料合法、真实、准确、完整、有效。</w:t>
      </w:r>
    </w:p>
    <w:p>
      <w:pPr>
        <w:keepNext w:val="0"/>
        <w:keepLines w:val="0"/>
        <w:pageBreakBefore w:val="0"/>
        <w:widowControl/>
        <w:kinsoku/>
        <w:wordWrap/>
        <w:overflowPunct/>
        <w:topLinePunct w:val="0"/>
        <w:autoSpaceDE/>
        <w:autoSpaceDN/>
        <w:bidi w:val="0"/>
        <w:adjustRightInd w:val="0"/>
        <w:snapToGrid w:val="0"/>
        <w:spacing w:line="420" w:lineRule="exact"/>
        <w:ind w:firstLine="480"/>
        <w:jc w:val="left"/>
        <w:textAlignment w:val="auto"/>
        <w:rPr>
          <w:rFonts w:hint="eastAsia" w:ascii="宋体" w:hAnsi="宋体" w:eastAsia="宋体" w:cs="宋体"/>
          <w:color w:val="auto"/>
        </w:rPr>
      </w:pPr>
      <w:r>
        <w:rPr>
          <w:rFonts w:hint="eastAsia" w:ascii="宋体" w:hAnsi="宋体" w:eastAsia="宋体" w:cs="宋体"/>
          <w:color w:val="auto"/>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招标文件和投标文件与招标人签订合同；在签订合同时向招标人提出附加条件、或者改变投标文件的实质性内容；放弃中标；不按照招标文件的规定提交履约保证金。5.招投标法规定的其它违法违规行为。</w:t>
      </w:r>
    </w:p>
    <w:p>
      <w:pPr>
        <w:keepNext w:val="0"/>
        <w:keepLines w:val="0"/>
        <w:pageBreakBefore w:val="0"/>
        <w:widowControl/>
        <w:kinsoku/>
        <w:wordWrap/>
        <w:overflowPunct/>
        <w:topLinePunct w:val="0"/>
        <w:autoSpaceDE/>
        <w:autoSpaceDN/>
        <w:bidi w:val="0"/>
        <w:adjustRightInd w:val="0"/>
        <w:snapToGrid w:val="0"/>
        <w:spacing w:line="420" w:lineRule="exact"/>
        <w:ind w:firstLine="480"/>
        <w:jc w:val="left"/>
        <w:textAlignment w:val="auto"/>
        <w:rPr>
          <w:rFonts w:hint="eastAsia" w:ascii="宋体" w:hAnsi="宋体" w:eastAsia="宋体" w:cs="宋体"/>
          <w:color w:val="auto"/>
        </w:rPr>
      </w:pPr>
      <w:r>
        <w:rPr>
          <w:rFonts w:hint="eastAsia" w:ascii="宋体" w:hAnsi="宋体" w:eastAsia="宋体" w:cs="宋体"/>
          <w:color w:val="auto"/>
        </w:rPr>
        <w:t>（三）自愿接受招投标监督部门和有关行政监督部门的依法检查。</w:t>
      </w:r>
    </w:p>
    <w:p>
      <w:pPr>
        <w:keepNext w:val="0"/>
        <w:keepLines w:val="0"/>
        <w:pageBreakBefore w:val="0"/>
        <w:widowControl/>
        <w:kinsoku/>
        <w:wordWrap/>
        <w:overflowPunct/>
        <w:topLinePunct w:val="0"/>
        <w:autoSpaceDE/>
        <w:autoSpaceDN/>
        <w:bidi w:val="0"/>
        <w:adjustRightInd w:val="0"/>
        <w:snapToGrid w:val="0"/>
        <w:spacing w:line="420" w:lineRule="exact"/>
        <w:ind w:firstLine="480"/>
        <w:jc w:val="left"/>
        <w:textAlignment w:val="auto"/>
        <w:rPr>
          <w:rFonts w:hint="eastAsia" w:ascii="宋体" w:hAnsi="宋体" w:eastAsia="宋体" w:cs="宋体"/>
          <w:color w:val="auto"/>
        </w:rPr>
      </w:pPr>
      <w:r>
        <w:rPr>
          <w:rFonts w:hint="eastAsia" w:ascii="宋体" w:hAnsi="宋体" w:eastAsia="宋体" w:cs="宋体"/>
          <w:color w:val="auto"/>
        </w:rPr>
        <w:t>（四）同意将此信用承诺纳入陕西省公共信用信息平台和榆林市公共信用信息共享平台，并上网公示，接受社会监督。</w:t>
      </w:r>
    </w:p>
    <w:p>
      <w:pPr>
        <w:keepNext w:val="0"/>
        <w:keepLines w:val="0"/>
        <w:pageBreakBefore w:val="0"/>
        <w:widowControl/>
        <w:kinsoku/>
        <w:wordWrap/>
        <w:overflowPunct/>
        <w:topLinePunct w:val="0"/>
        <w:autoSpaceDE/>
        <w:autoSpaceDN/>
        <w:bidi w:val="0"/>
        <w:adjustRightInd w:val="0"/>
        <w:snapToGrid w:val="0"/>
        <w:spacing w:line="420" w:lineRule="exact"/>
        <w:ind w:firstLine="480"/>
        <w:jc w:val="left"/>
        <w:textAlignment w:val="auto"/>
        <w:rPr>
          <w:rFonts w:hint="eastAsia" w:ascii="宋体" w:hAnsi="宋体" w:eastAsia="宋体" w:cs="宋体"/>
          <w:color w:val="auto"/>
        </w:rPr>
      </w:pPr>
      <w:r>
        <w:rPr>
          <w:rFonts w:hint="eastAsia" w:ascii="宋体" w:hAnsi="宋体" w:eastAsia="宋体" w:cs="宋体"/>
          <w:color w:val="auto"/>
        </w:rPr>
        <w:t>（五）若我公司（单位）及相关参与人员违背以上承诺事项，即被视为失信企业（法人），依据《关于对公共资源交易领域严重失信主体开展联合惩戒的备忘录》（发改法规[2018]457号），自愿接受失信联合惩戒和依法给予的行政处罚（处理），并依法承担赔偿责任和刑事责任。</w:t>
      </w:r>
    </w:p>
    <w:p>
      <w:pPr>
        <w:keepNext w:val="0"/>
        <w:keepLines w:val="0"/>
        <w:pageBreakBefore w:val="0"/>
        <w:widowControl/>
        <w:tabs>
          <w:tab w:val="left" w:pos="4395"/>
        </w:tabs>
        <w:kinsoku/>
        <w:wordWrap/>
        <w:overflowPunct/>
        <w:topLinePunct w:val="0"/>
        <w:autoSpaceDE/>
        <w:autoSpaceDN/>
        <w:bidi w:val="0"/>
        <w:adjustRightInd w:val="0"/>
        <w:snapToGrid w:val="0"/>
        <w:spacing w:line="420" w:lineRule="exact"/>
        <w:jc w:val="left"/>
        <w:textAlignment w:val="auto"/>
        <w:rPr>
          <w:rFonts w:hint="eastAsia" w:ascii="宋体" w:hAnsi="宋体" w:eastAsia="宋体" w:cs="宋体"/>
          <w:color w:val="auto"/>
        </w:rPr>
      </w:pPr>
      <w:r>
        <w:rPr>
          <w:rFonts w:hint="eastAsia" w:ascii="宋体" w:hAnsi="宋体" w:cs="宋体"/>
          <w:color w:val="auto"/>
          <w:lang w:eastAsia="zh-CN"/>
        </w:rPr>
        <w:t>供应商</w:t>
      </w:r>
      <w:r>
        <w:rPr>
          <w:rFonts w:hint="eastAsia" w:ascii="宋体" w:hAnsi="宋体" w:eastAsia="宋体" w:cs="宋体"/>
          <w:color w:val="auto"/>
        </w:rPr>
        <w:t>（盖章）：</w:t>
      </w:r>
      <w:r>
        <w:rPr>
          <w:rFonts w:hint="eastAsia" w:ascii="宋体" w:hAnsi="宋体" w:eastAsia="宋体" w:cs="宋体"/>
          <w:color w:val="auto"/>
          <w:u w:val="single"/>
        </w:rPr>
        <w:t xml:space="preserve">                    </w:t>
      </w:r>
    </w:p>
    <w:p>
      <w:pPr>
        <w:keepNext w:val="0"/>
        <w:keepLines w:val="0"/>
        <w:pageBreakBefore w:val="0"/>
        <w:widowControl/>
        <w:tabs>
          <w:tab w:val="left" w:pos="4395"/>
        </w:tabs>
        <w:kinsoku/>
        <w:wordWrap/>
        <w:overflowPunct/>
        <w:topLinePunct w:val="0"/>
        <w:autoSpaceDE/>
        <w:autoSpaceDN/>
        <w:bidi w:val="0"/>
        <w:adjustRightInd w:val="0"/>
        <w:snapToGrid w:val="0"/>
        <w:spacing w:line="420" w:lineRule="exact"/>
        <w:jc w:val="left"/>
        <w:textAlignment w:val="auto"/>
        <w:rPr>
          <w:rFonts w:hint="eastAsia" w:ascii="宋体" w:hAnsi="宋体" w:eastAsia="宋体" w:cs="宋体"/>
          <w:color w:val="auto"/>
        </w:rPr>
      </w:pPr>
      <w:r>
        <w:rPr>
          <w:rFonts w:hint="eastAsia" w:ascii="宋体" w:hAnsi="宋体" w:eastAsia="宋体" w:cs="宋体"/>
          <w:color w:val="auto"/>
        </w:rPr>
        <w:t>法定代表人（签章）：</w:t>
      </w:r>
      <w:r>
        <w:rPr>
          <w:rFonts w:hint="eastAsia" w:ascii="宋体" w:hAnsi="宋体" w:eastAsia="宋体" w:cs="宋体"/>
          <w:color w:val="auto"/>
          <w:u w:val="single"/>
        </w:rPr>
        <w:t xml:space="preserve">                </w:t>
      </w:r>
      <w:r>
        <w:rPr>
          <w:rFonts w:hint="eastAsia" w:ascii="宋体" w:hAnsi="宋体" w:eastAsia="宋体" w:cs="宋体"/>
          <w:color w:val="auto"/>
        </w:rPr>
        <w:t xml:space="preserve">                                             </w:t>
      </w:r>
    </w:p>
    <w:p>
      <w:pPr>
        <w:pStyle w:val="25"/>
        <w:keepNext w:val="0"/>
        <w:keepLines w:val="0"/>
        <w:pageBreakBefore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承诺时间：       年     月     日</w:t>
      </w:r>
    </w:p>
    <w:p>
      <w:pPr>
        <w:pStyle w:val="18"/>
        <w:spacing w:line="360" w:lineRule="auto"/>
        <w:ind w:firstLine="184"/>
        <w:rPr>
          <w:rFonts w:hint="eastAsia" w:ascii="宋体" w:hAnsi="宋体" w:eastAsia="宋体" w:cs="宋体"/>
          <w:b/>
          <w:bCs/>
          <w:color w:val="auto"/>
          <w:lang w:val="en-US" w:eastAsia="zh-CN"/>
        </w:rPr>
      </w:pPr>
      <w:r>
        <w:rPr>
          <w:rFonts w:hint="eastAsia" w:ascii="宋体" w:hAnsi="宋体" w:eastAsia="宋体" w:cs="宋体"/>
          <w:b/>
          <w:bCs/>
          <w:color w:val="auto"/>
        </w:rPr>
        <w:t>备注：1.投标有效期为一年。2.需在信用中国(陕西榆林)”网站申报。</w:t>
      </w:r>
      <w:r>
        <w:rPr>
          <w:rFonts w:hint="eastAsia" w:ascii="宋体" w:hAnsi="宋体" w:eastAsia="宋体" w:cs="宋体"/>
          <w:b/>
          <w:bCs/>
          <w:color w:val="auto"/>
          <w:lang w:val="en-US" w:eastAsia="zh-CN"/>
        </w:rPr>
        <w:t>(详见后附政府政策扫描件）</w:t>
      </w:r>
    </w:p>
    <w:p>
      <w:pPr>
        <w:pStyle w:val="2"/>
        <w:spacing w:line="360" w:lineRule="auto"/>
        <w:rPr>
          <w:rFonts w:hint="eastAsia" w:ascii="宋体" w:hAnsi="宋体" w:eastAsia="宋体" w:cs="宋体"/>
          <w:b/>
          <w:bCs/>
          <w:color w:val="auto"/>
          <w:sz w:val="18"/>
          <w:szCs w:val="18"/>
          <w:lang w:val="en-US" w:eastAsia="zh-CN"/>
        </w:rPr>
      </w:pPr>
    </w:p>
    <w:p>
      <w:pPr>
        <w:spacing w:line="360" w:lineRule="auto"/>
        <w:rPr>
          <w:rFonts w:hint="eastAsia" w:ascii="宋体" w:hAnsi="宋体" w:eastAsia="宋体" w:cs="宋体"/>
          <w:b/>
          <w:bCs/>
          <w:color w:val="auto"/>
          <w:sz w:val="18"/>
          <w:szCs w:val="18"/>
          <w:lang w:val="en-US" w:eastAsia="zh-CN"/>
        </w:rPr>
      </w:pPr>
    </w:p>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投标人委托代理人员信用承诺书</w:t>
      </w:r>
    </w:p>
    <w:p>
      <w:pPr>
        <w:widowControl/>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在</w:t>
      </w:r>
      <w:r>
        <w:rPr>
          <w:rFonts w:hint="eastAsia" w:ascii="宋体" w:hAnsi="宋体" w:eastAsia="宋体" w:cs="宋体"/>
          <w:color w:val="auto"/>
          <w:u w:val="single"/>
        </w:rPr>
        <w:t xml:space="preserve">                                   </w:t>
      </w:r>
      <w:r>
        <w:rPr>
          <w:rFonts w:hint="eastAsia" w:ascii="宋体" w:hAnsi="宋体" w:eastAsia="宋体" w:cs="宋体"/>
          <w:color w:val="auto"/>
        </w:rPr>
        <w:t>项目招投标活动中，我个人郑重作出以下信用承诺：</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（一）能严格遵守法律法规、职业道德和行业规范，具有独立承担民事责任的能力；无法律法规规定禁止开展从业活动情形。我所递交的文件资料合法、真实、准确、完整、有效，无弄虚作假等情形。</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招标文件和投标文件与招标人签订合同；在签订合同时向招标人提出附加条件、或者改变投标文件的实质性内容；放弃中标；不按照招标文件的规定提交履约保证金。5.招投标法规定的其它违法违规行为。</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（三）自愿接受招投标监督部门和有关行政监督部门的依法检查。</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（四）同意将此信用承诺纳入陕西省公共信用信息平台和榆林市公共信用信息共享平台，并接受社会监督。</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五）若我违背以上承诺事项，即被视为失信人，依据《关于对公共资源交易领域严重失信主体开展联合惩戒的备忘录》（发改法规[2018]457号），自愿接受失信联合惩戒和依法给予的行政处罚（处理），并依法承担赔偿责任和刑事责任。</w:t>
      </w:r>
    </w:p>
    <w:p>
      <w:pPr>
        <w:widowControl/>
        <w:spacing w:line="360" w:lineRule="auto"/>
        <w:ind w:firstLine="482"/>
        <w:jc w:val="left"/>
        <w:rPr>
          <w:rFonts w:hint="eastAsia" w:ascii="宋体" w:hAnsi="宋体" w:eastAsia="宋体" w:cs="宋体"/>
          <w:color w:val="auto"/>
        </w:rPr>
      </w:pPr>
      <w:r>
        <w:rPr>
          <w:rFonts w:hint="eastAsia" w:ascii="宋体" w:hAnsi="宋体" w:eastAsia="宋体" w:cs="宋体"/>
          <w:color w:val="auto"/>
        </w:rPr>
        <w:t>承诺有效期限：</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widowControl/>
        <w:spacing w:line="360" w:lineRule="auto"/>
        <w:ind w:firstLine="482"/>
        <w:jc w:val="left"/>
        <w:rPr>
          <w:rFonts w:hint="eastAsia"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 xml:space="preserve">                                                        </w:t>
      </w:r>
    </w:p>
    <w:p>
      <w:pPr>
        <w:widowControl/>
        <w:spacing w:line="360" w:lineRule="auto"/>
        <w:ind w:firstLine="482"/>
        <w:jc w:val="left"/>
        <w:rPr>
          <w:rFonts w:hint="eastAsia" w:ascii="宋体" w:hAnsi="宋体" w:eastAsia="宋体" w:cs="宋体"/>
          <w:color w:val="auto"/>
          <w:u w:val="single"/>
        </w:rPr>
      </w:pPr>
      <w:r>
        <w:rPr>
          <w:rFonts w:hint="eastAsia" w:ascii="宋体" w:hAnsi="宋体" w:eastAsia="宋体" w:cs="宋体"/>
          <w:color w:val="auto"/>
        </w:rPr>
        <w:t>承诺人（签字）：</w:t>
      </w:r>
      <w:r>
        <w:rPr>
          <w:rFonts w:hint="eastAsia" w:ascii="宋体" w:hAnsi="宋体" w:eastAsia="宋体" w:cs="宋体"/>
          <w:color w:val="auto"/>
          <w:u w:val="single"/>
        </w:rPr>
        <w:t xml:space="preserve">                 </w:t>
      </w:r>
    </w:p>
    <w:p>
      <w:pPr>
        <w:widowControl/>
        <w:spacing w:line="360" w:lineRule="auto"/>
        <w:ind w:firstLine="482"/>
        <w:jc w:val="left"/>
        <w:rPr>
          <w:rFonts w:hint="eastAsia" w:ascii="宋体" w:hAnsi="宋体" w:eastAsia="宋体" w:cs="宋体"/>
          <w:color w:val="auto"/>
          <w:szCs w:val="22"/>
        </w:rPr>
      </w:pPr>
      <w:r>
        <w:rPr>
          <w:rFonts w:hint="eastAsia" w:ascii="宋体" w:hAnsi="宋体" w:eastAsia="宋体" w:cs="宋体"/>
          <w:color w:val="auto"/>
          <w:szCs w:val="22"/>
        </w:rPr>
        <w:t xml:space="preserve">承诺时间： </w:t>
      </w:r>
      <w:r>
        <w:rPr>
          <w:rFonts w:hint="eastAsia" w:ascii="宋体" w:hAnsi="宋体" w:eastAsia="宋体" w:cs="宋体"/>
          <w:color w:val="auto"/>
          <w:szCs w:val="22"/>
          <w:u w:val="single"/>
        </w:rPr>
        <w:t xml:space="preserve">     </w:t>
      </w:r>
      <w:r>
        <w:rPr>
          <w:rFonts w:hint="eastAsia" w:ascii="宋体" w:hAnsi="宋体" w:eastAsia="宋体" w:cs="宋体"/>
          <w:color w:val="auto"/>
          <w:szCs w:val="22"/>
        </w:rPr>
        <w:t xml:space="preserve"> 年 </w:t>
      </w:r>
      <w:r>
        <w:rPr>
          <w:rFonts w:hint="eastAsia" w:ascii="宋体" w:hAnsi="宋体" w:eastAsia="宋体" w:cs="宋体"/>
          <w:color w:val="auto"/>
          <w:szCs w:val="22"/>
          <w:u w:val="single"/>
        </w:rPr>
        <w:t xml:space="preserve">   </w:t>
      </w:r>
      <w:r>
        <w:rPr>
          <w:rFonts w:hint="eastAsia" w:ascii="宋体" w:hAnsi="宋体" w:eastAsia="宋体" w:cs="宋体"/>
          <w:color w:val="auto"/>
          <w:szCs w:val="22"/>
        </w:rPr>
        <w:t xml:space="preserve"> 月 </w:t>
      </w:r>
      <w:r>
        <w:rPr>
          <w:rFonts w:hint="eastAsia" w:ascii="宋体" w:hAnsi="宋体" w:eastAsia="宋体" w:cs="宋体"/>
          <w:color w:val="auto"/>
          <w:szCs w:val="22"/>
          <w:u w:val="single"/>
        </w:rPr>
        <w:t xml:space="preserve">   </w:t>
      </w:r>
      <w:r>
        <w:rPr>
          <w:rFonts w:hint="eastAsia" w:ascii="宋体" w:hAnsi="宋体" w:eastAsia="宋体" w:cs="宋体"/>
          <w:color w:val="auto"/>
          <w:szCs w:val="22"/>
        </w:rPr>
        <w:t xml:space="preserve"> 日</w:t>
      </w:r>
      <w:bookmarkEnd w:id="89"/>
      <w:bookmarkEnd w:id="90"/>
      <w:bookmarkEnd w:id="91"/>
      <w:bookmarkEnd w:id="92"/>
      <w:bookmarkEnd w:id="93"/>
    </w:p>
    <w:p>
      <w:pPr>
        <w:pStyle w:val="18"/>
        <w:spacing w:line="360" w:lineRule="auto"/>
        <w:ind w:firstLine="183"/>
        <w:rPr>
          <w:rFonts w:hint="eastAsia" w:ascii="宋体" w:hAnsi="宋体" w:eastAsia="宋体" w:cs="宋体"/>
          <w:color w:val="auto"/>
        </w:rPr>
      </w:pPr>
    </w:p>
    <w:p>
      <w:pPr>
        <w:pStyle w:val="18"/>
        <w:spacing w:line="360" w:lineRule="auto"/>
        <w:ind w:firstLine="184"/>
        <w:rPr>
          <w:rFonts w:hint="eastAsia" w:ascii="宋体" w:hAnsi="宋体" w:eastAsia="宋体" w:cs="宋体"/>
          <w:b/>
          <w:bCs/>
          <w:color w:val="auto"/>
        </w:rPr>
      </w:pPr>
      <w:r>
        <w:rPr>
          <w:rFonts w:hint="eastAsia" w:ascii="宋体" w:hAnsi="宋体" w:eastAsia="宋体" w:cs="宋体"/>
          <w:b/>
          <w:bCs/>
          <w:color w:val="auto"/>
        </w:rPr>
        <w:t>备注：1.投标有效期为一年。2.需在信用中国(陕西榆林)”网站申报。(详见后附政府政策扫描件）</w:t>
      </w:r>
    </w:p>
    <w:p>
      <w:pPr>
        <w:spacing w:line="360" w:lineRule="auto"/>
        <w:jc w:val="center"/>
        <w:outlineLvl w:val="0"/>
        <w:rPr>
          <w:rFonts w:hint="eastAsia" w:ascii="宋体" w:hAnsi="宋体" w:eastAsia="宋体" w:cs="宋体"/>
          <w:b/>
          <w:kern w:val="0"/>
          <w:sz w:val="28"/>
          <w:szCs w:val="28"/>
          <w:shd w:val="clear" w:color="auto" w:fill="FFFFFF"/>
          <w:lang w:val="en-US" w:eastAsia="zh-CN" w:bidi="ar-SA"/>
        </w:rPr>
      </w:pPr>
      <w:r>
        <w:rPr>
          <w:rFonts w:hint="eastAsia" w:ascii="宋体" w:hAnsi="宋体" w:eastAsia="宋体" w:cs="宋体"/>
          <w:b/>
          <w:bCs/>
          <w:color w:val="auto"/>
        </w:rPr>
        <w:br w:type="page"/>
      </w:r>
      <w:bookmarkStart w:id="94" w:name="_Toc31105"/>
      <w:bookmarkStart w:id="95" w:name="_Toc21069"/>
      <w:r>
        <w:rPr>
          <w:rFonts w:hint="eastAsia" w:ascii="宋体" w:hAnsi="宋体" w:cs="宋体"/>
          <w:b/>
          <w:kern w:val="0"/>
          <w:sz w:val="28"/>
          <w:szCs w:val="28"/>
          <w:shd w:val="clear" w:color="auto" w:fill="FFFFFF"/>
          <w:lang w:val="en-US" w:eastAsia="zh-CN" w:bidi="ar-SA"/>
        </w:rPr>
        <w:t>四</w:t>
      </w:r>
      <w:r>
        <w:rPr>
          <w:rFonts w:hint="eastAsia" w:ascii="宋体" w:hAnsi="宋体" w:eastAsia="宋体" w:cs="宋体"/>
          <w:b/>
          <w:kern w:val="0"/>
          <w:sz w:val="28"/>
          <w:szCs w:val="28"/>
          <w:shd w:val="clear" w:color="auto" w:fill="FFFFFF"/>
          <w:lang w:val="en-US" w:eastAsia="zh-CN" w:bidi="ar-SA"/>
        </w:rPr>
        <w:t>、</w:t>
      </w:r>
      <w:bookmarkEnd w:id="94"/>
      <w:r>
        <w:rPr>
          <w:rFonts w:hint="eastAsia" w:ascii="宋体" w:hAnsi="宋体" w:eastAsia="宋体" w:cs="宋体"/>
          <w:b/>
          <w:kern w:val="0"/>
          <w:sz w:val="28"/>
          <w:szCs w:val="28"/>
          <w:shd w:val="clear" w:color="auto" w:fill="FFFFFF"/>
          <w:lang w:val="en-US" w:eastAsia="zh-CN" w:bidi="ar-SA"/>
        </w:rPr>
        <w:t>技术参数偏差表</w:t>
      </w:r>
      <w:bookmarkEnd w:id="95"/>
    </w:p>
    <w:p>
      <w:pPr>
        <w:spacing w:line="360" w:lineRule="auto"/>
        <w:rPr>
          <w:rFonts w:hint="eastAsia" w:ascii="宋体" w:hAnsi="宋体" w:eastAsia="宋体" w:cs="宋体"/>
          <w:color w:val="auto"/>
        </w:rPr>
      </w:pPr>
    </w:p>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采购项目编号：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tbl>
      <w:tblPr>
        <w:tblStyle w:val="20"/>
        <w:tblW w:w="96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953"/>
        <w:gridCol w:w="2100"/>
        <w:gridCol w:w="2645"/>
        <w:gridCol w:w="1559"/>
        <w:gridCol w:w="14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95" w:hRule="exact"/>
          <w:jc w:val="center"/>
        </w:trPr>
        <w:tc>
          <w:tcPr>
            <w:tcW w:w="1953" w:type="dxa"/>
            <w:noWrap w:val="0"/>
            <w:vAlign w:val="top"/>
          </w:tcPr>
          <w:p>
            <w:pPr>
              <w:spacing w:line="360" w:lineRule="auto"/>
              <w:ind w:firstLine="482" w:firstLineChars="200"/>
              <w:jc w:val="both"/>
              <w:rPr>
                <w:rFonts w:hint="eastAsia" w:ascii="宋体" w:hAnsi="宋体" w:eastAsia="宋体" w:cs="宋体"/>
                <w:b/>
                <w:bCs/>
                <w:color w:val="auto"/>
                <w:sz w:val="24"/>
                <w:szCs w:val="24"/>
              </w:rPr>
            </w:pPr>
            <w:r>
              <w:rPr>
                <w:rFonts w:hint="eastAsia" w:ascii="宋体" w:hAnsi="宋体" w:eastAsia="宋体" w:cs="宋体"/>
                <w:b/>
                <w:color w:val="auto"/>
                <w:sz w:val="24"/>
              </w:rPr>
              <w:t>序号</w:t>
            </w:r>
          </w:p>
        </w:tc>
        <w:tc>
          <w:tcPr>
            <w:tcW w:w="2100" w:type="dxa"/>
            <w:noWrap w:val="0"/>
            <w:vAlign w:val="top"/>
          </w:tcPr>
          <w:p>
            <w:pPr>
              <w:spacing w:line="360" w:lineRule="auto"/>
              <w:ind w:left="0" w:leftChars="0" w:firstLine="0" w:firstLineChars="0"/>
              <w:jc w:val="both"/>
              <w:rPr>
                <w:rFonts w:hint="eastAsia" w:ascii="宋体" w:hAnsi="宋体" w:eastAsia="宋体" w:cs="宋体"/>
                <w:b/>
                <w:bCs/>
                <w:color w:val="auto"/>
                <w:sz w:val="24"/>
                <w:szCs w:val="24"/>
              </w:rPr>
            </w:pPr>
            <w:r>
              <w:rPr>
                <w:rFonts w:hint="eastAsia" w:ascii="宋体" w:hAnsi="宋体" w:eastAsia="宋体" w:cs="宋体"/>
                <w:b/>
                <w:color w:val="auto"/>
                <w:sz w:val="24"/>
                <w:lang w:eastAsia="zh-CN"/>
              </w:rPr>
              <w:t>磋商文件</w:t>
            </w:r>
            <w:r>
              <w:rPr>
                <w:rFonts w:hint="eastAsia" w:ascii="宋体" w:hAnsi="宋体" w:cs="宋体"/>
                <w:b/>
                <w:color w:val="auto"/>
                <w:sz w:val="24"/>
                <w:lang w:eastAsia="zh-CN"/>
              </w:rPr>
              <w:t>技术</w:t>
            </w:r>
            <w:r>
              <w:rPr>
                <w:rFonts w:hint="eastAsia" w:ascii="宋体" w:hAnsi="宋体" w:eastAsia="宋体" w:cs="宋体"/>
                <w:b/>
                <w:color w:val="auto"/>
                <w:sz w:val="24"/>
              </w:rPr>
              <w:t>要求</w:t>
            </w:r>
          </w:p>
        </w:tc>
        <w:tc>
          <w:tcPr>
            <w:tcW w:w="2645" w:type="dxa"/>
            <w:noWrap w:val="0"/>
            <w:vAlign w:val="top"/>
          </w:tcPr>
          <w:p>
            <w:pPr>
              <w:spacing w:line="360" w:lineRule="auto"/>
              <w:ind w:left="0" w:leftChars="0" w:firstLine="0" w:firstLineChars="0"/>
              <w:jc w:val="both"/>
              <w:rPr>
                <w:rFonts w:hint="eastAsia" w:ascii="宋体" w:hAnsi="宋体" w:eastAsia="宋体" w:cs="宋体"/>
                <w:b/>
                <w:bCs/>
                <w:color w:val="auto"/>
                <w:sz w:val="24"/>
                <w:szCs w:val="24"/>
              </w:rPr>
            </w:pPr>
            <w:r>
              <w:rPr>
                <w:rFonts w:hint="eastAsia" w:ascii="宋体" w:hAnsi="宋体" w:eastAsia="宋体" w:cs="宋体"/>
                <w:b/>
                <w:color w:val="auto"/>
                <w:sz w:val="24"/>
                <w:lang w:eastAsia="zh-CN"/>
              </w:rPr>
              <w:t>磋商响应文件</w:t>
            </w:r>
            <w:r>
              <w:rPr>
                <w:rFonts w:hint="eastAsia" w:ascii="宋体" w:hAnsi="宋体" w:eastAsia="宋体" w:cs="宋体"/>
                <w:b/>
                <w:color w:val="auto"/>
                <w:sz w:val="24"/>
              </w:rPr>
              <w:t>商务响应</w:t>
            </w:r>
          </w:p>
        </w:tc>
        <w:tc>
          <w:tcPr>
            <w:tcW w:w="1559" w:type="dxa"/>
            <w:noWrap w:val="0"/>
            <w:vAlign w:val="top"/>
          </w:tcPr>
          <w:p>
            <w:pPr>
              <w:spacing w:line="360" w:lineRule="auto"/>
              <w:ind w:firstLine="482" w:firstLineChars="200"/>
              <w:jc w:val="both"/>
              <w:rPr>
                <w:rFonts w:hint="eastAsia" w:ascii="宋体" w:hAnsi="宋体" w:eastAsia="宋体" w:cs="宋体"/>
                <w:b/>
                <w:bCs/>
                <w:color w:val="auto"/>
                <w:sz w:val="24"/>
                <w:szCs w:val="24"/>
              </w:rPr>
            </w:pPr>
            <w:r>
              <w:rPr>
                <w:rFonts w:hint="eastAsia" w:ascii="宋体" w:hAnsi="宋体" w:eastAsia="宋体" w:cs="宋体"/>
                <w:b/>
                <w:color w:val="auto"/>
                <w:sz w:val="24"/>
              </w:rPr>
              <w:t>偏离</w:t>
            </w:r>
          </w:p>
        </w:tc>
        <w:tc>
          <w:tcPr>
            <w:tcW w:w="1417" w:type="dxa"/>
            <w:noWrap w:val="0"/>
            <w:vAlign w:val="top"/>
          </w:tcPr>
          <w:p>
            <w:pPr>
              <w:spacing w:line="360" w:lineRule="auto"/>
              <w:ind w:firstLine="482" w:firstLineChars="200"/>
              <w:jc w:val="both"/>
              <w:rPr>
                <w:rFonts w:hint="eastAsia" w:ascii="宋体" w:hAnsi="宋体" w:eastAsia="宋体" w:cs="宋体"/>
                <w:b/>
                <w:bCs/>
                <w:color w:val="auto"/>
                <w:sz w:val="24"/>
                <w:szCs w:val="24"/>
              </w:rPr>
            </w:pPr>
            <w:r>
              <w:rPr>
                <w:rFonts w:hint="eastAsia" w:ascii="宋体" w:hAnsi="宋体" w:eastAsia="宋体" w:cs="宋体"/>
                <w:b/>
                <w:color w:val="auto"/>
                <w:sz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1953" w:type="dxa"/>
            <w:noWrap w:val="0"/>
            <w:vAlign w:val="center"/>
          </w:tcPr>
          <w:p>
            <w:pPr>
              <w:spacing w:line="360" w:lineRule="auto"/>
              <w:jc w:val="center"/>
              <w:rPr>
                <w:rFonts w:hint="eastAsia" w:ascii="宋体" w:hAnsi="宋体" w:eastAsia="宋体" w:cs="宋体"/>
                <w:color w:val="auto"/>
                <w:sz w:val="24"/>
                <w:szCs w:val="24"/>
              </w:rPr>
            </w:pPr>
          </w:p>
        </w:tc>
        <w:tc>
          <w:tcPr>
            <w:tcW w:w="2100" w:type="dxa"/>
            <w:noWrap w:val="0"/>
            <w:vAlign w:val="center"/>
          </w:tcPr>
          <w:p>
            <w:pPr>
              <w:spacing w:line="360" w:lineRule="auto"/>
              <w:jc w:val="center"/>
              <w:rPr>
                <w:rFonts w:hint="eastAsia" w:ascii="宋体" w:hAnsi="宋体" w:eastAsia="宋体" w:cs="宋体"/>
                <w:color w:val="auto"/>
                <w:sz w:val="24"/>
                <w:szCs w:val="24"/>
              </w:rPr>
            </w:pPr>
          </w:p>
        </w:tc>
        <w:tc>
          <w:tcPr>
            <w:tcW w:w="2645"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center"/>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1953" w:type="dxa"/>
            <w:noWrap w:val="0"/>
            <w:vAlign w:val="center"/>
          </w:tcPr>
          <w:p>
            <w:pPr>
              <w:spacing w:line="360" w:lineRule="auto"/>
              <w:jc w:val="center"/>
              <w:rPr>
                <w:rFonts w:hint="eastAsia" w:ascii="宋体" w:hAnsi="宋体" w:eastAsia="宋体" w:cs="宋体"/>
                <w:color w:val="auto"/>
                <w:sz w:val="24"/>
                <w:szCs w:val="24"/>
              </w:rPr>
            </w:pPr>
          </w:p>
        </w:tc>
        <w:tc>
          <w:tcPr>
            <w:tcW w:w="2100" w:type="dxa"/>
            <w:noWrap w:val="0"/>
            <w:vAlign w:val="center"/>
          </w:tcPr>
          <w:p>
            <w:pPr>
              <w:spacing w:line="360" w:lineRule="auto"/>
              <w:jc w:val="center"/>
              <w:rPr>
                <w:rFonts w:hint="eastAsia" w:ascii="宋体" w:hAnsi="宋体" w:eastAsia="宋体" w:cs="宋体"/>
                <w:color w:val="auto"/>
                <w:sz w:val="24"/>
                <w:szCs w:val="24"/>
              </w:rPr>
            </w:pPr>
          </w:p>
        </w:tc>
        <w:tc>
          <w:tcPr>
            <w:tcW w:w="2645"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1953" w:type="dxa"/>
            <w:noWrap w:val="0"/>
            <w:vAlign w:val="center"/>
          </w:tcPr>
          <w:p>
            <w:pPr>
              <w:spacing w:line="360" w:lineRule="auto"/>
              <w:jc w:val="center"/>
              <w:rPr>
                <w:rFonts w:hint="eastAsia" w:ascii="宋体" w:hAnsi="宋体" w:eastAsia="宋体" w:cs="宋体"/>
                <w:color w:val="auto"/>
                <w:sz w:val="24"/>
                <w:szCs w:val="24"/>
              </w:rPr>
            </w:pPr>
          </w:p>
        </w:tc>
        <w:tc>
          <w:tcPr>
            <w:tcW w:w="2100" w:type="dxa"/>
            <w:noWrap w:val="0"/>
            <w:vAlign w:val="center"/>
          </w:tcPr>
          <w:p>
            <w:pPr>
              <w:spacing w:line="360" w:lineRule="auto"/>
              <w:jc w:val="center"/>
              <w:rPr>
                <w:rFonts w:hint="eastAsia" w:ascii="宋体" w:hAnsi="宋体" w:eastAsia="宋体" w:cs="宋体"/>
                <w:color w:val="auto"/>
                <w:sz w:val="24"/>
                <w:szCs w:val="24"/>
              </w:rPr>
            </w:pPr>
          </w:p>
        </w:tc>
        <w:tc>
          <w:tcPr>
            <w:tcW w:w="2645"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1953" w:type="dxa"/>
            <w:noWrap w:val="0"/>
            <w:vAlign w:val="center"/>
          </w:tcPr>
          <w:p>
            <w:pPr>
              <w:spacing w:line="360" w:lineRule="auto"/>
              <w:jc w:val="center"/>
              <w:rPr>
                <w:rFonts w:hint="eastAsia" w:ascii="宋体" w:hAnsi="宋体" w:eastAsia="宋体" w:cs="宋体"/>
                <w:color w:val="auto"/>
                <w:sz w:val="24"/>
                <w:szCs w:val="24"/>
              </w:rPr>
            </w:pPr>
          </w:p>
        </w:tc>
        <w:tc>
          <w:tcPr>
            <w:tcW w:w="2100" w:type="dxa"/>
            <w:noWrap w:val="0"/>
            <w:vAlign w:val="center"/>
          </w:tcPr>
          <w:p>
            <w:pPr>
              <w:spacing w:line="360" w:lineRule="auto"/>
              <w:jc w:val="center"/>
              <w:rPr>
                <w:rFonts w:hint="eastAsia" w:ascii="宋体" w:hAnsi="宋体" w:eastAsia="宋体" w:cs="宋体"/>
                <w:color w:val="auto"/>
                <w:sz w:val="24"/>
                <w:szCs w:val="24"/>
              </w:rPr>
            </w:pPr>
          </w:p>
        </w:tc>
        <w:tc>
          <w:tcPr>
            <w:tcW w:w="2645"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1953" w:type="dxa"/>
            <w:noWrap w:val="0"/>
            <w:vAlign w:val="center"/>
          </w:tcPr>
          <w:p>
            <w:pPr>
              <w:spacing w:line="360" w:lineRule="auto"/>
              <w:jc w:val="center"/>
              <w:rPr>
                <w:rFonts w:hint="eastAsia" w:ascii="宋体" w:hAnsi="宋体" w:eastAsia="宋体" w:cs="宋体"/>
                <w:color w:val="auto"/>
                <w:sz w:val="24"/>
                <w:szCs w:val="24"/>
              </w:rPr>
            </w:pPr>
          </w:p>
        </w:tc>
        <w:tc>
          <w:tcPr>
            <w:tcW w:w="2100" w:type="dxa"/>
            <w:noWrap w:val="0"/>
            <w:vAlign w:val="center"/>
          </w:tcPr>
          <w:p>
            <w:pPr>
              <w:spacing w:line="360" w:lineRule="auto"/>
              <w:jc w:val="center"/>
              <w:rPr>
                <w:rFonts w:hint="eastAsia" w:ascii="宋体" w:hAnsi="宋体" w:eastAsia="宋体" w:cs="宋体"/>
                <w:color w:val="auto"/>
                <w:sz w:val="24"/>
                <w:szCs w:val="24"/>
              </w:rPr>
            </w:pPr>
          </w:p>
        </w:tc>
        <w:tc>
          <w:tcPr>
            <w:tcW w:w="2645"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1953" w:type="dxa"/>
            <w:noWrap w:val="0"/>
            <w:vAlign w:val="center"/>
          </w:tcPr>
          <w:p>
            <w:pPr>
              <w:spacing w:line="360" w:lineRule="auto"/>
              <w:jc w:val="center"/>
              <w:rPr>
                <w:rFonts w:hint="eastAsia" w:ascii="宋体" w:hAnsi="宋体" w:eastAsia="宋体" w:cs="宋体"/>
                <w:color w:val="auto"/>
                <w:sz w:val="24"/>
                <w:szCs w:val="24"/>
              </w:rPr>
            </w:pPr>
          </w:p>
        </w:tc>
        <w:tc>
          <w:tcPr>
            <w:tcW w:w="2100" w:type="dxa"/>
            <w:noWrap w:val="0"/>
            <w:vAlign w:val="center"/>
          </w:tcPr>
          <w:p>
            <w:pPr>
              <w:spacing w:line="360" w:lineRule="auto"/>
              <w:jc w:val="center"/>
              <w:rPr>
                <w:rFonts w:hint="eastAsia" w:ascii="宋体" w:hAnsi="宋体" w:eastAsia="宋体" w:cs="宋体"/>
                <w:color w:val="auto"/>
                <w:sz w:val="24"/>
                <w:szCs w:val="24"/>
              </w:rPr>
            </w:pPr>
          </w:p>
        </w:tc>
        <w:tc>
          <w:tcPr>
            <w:tcW w:w="2645"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1953" w:type="dxa"/>
            <w:noWrap w:val="0"/>
            <w:vAlign w:val="center"/>
          </w:tcPr>
          <w:p>
            <w:pPr>
              <w:spacing w:line="360" w:lineRule="auto"/>
              <w:jc w:val="center"/>
              <w:rPr>
                <w:rFonts w:hint="eastAsia" w:ascii="宋体" w:hAnsi="宋体" w:eastAsia="宋体" w:cs="宋体"/>
                <w:color w:val="auto"/>
                <w:sz w:val="24"/>
                <w:szCs w:val="24"/>
              </w:rPr>
            </w:pPr>
          </w:p>
        </w:tc>
        <w:tc>
          <w:tcPr>
            <w:tcW w:w="2100" w:type="dxa"/>
            <w:noWrap w:val="0"/>
            <w:vAlign w:val="center"/>
          </w:tcPr>
          <w:p>
            <w:pPr>
              <w:spacing w:line="360" w:lineRule="auto"/>
              <w:jc w:val="center"/>
              <w:rPr>
                <w:rFonts w:hint="eastAsia" w:ascii="宋体" w:hAnsi="宋体" w:eastAsia="宋体" w:cs="宋体"/>
                <w:color w:val="auto"/>
                <w:sz w:val="24"/>
                <w:szCs w:val="24"/>
              </w:rPr>
            </w:pPr>
          </w:p>
        </w:tc>
        <w:tc>
          <w:tcPr>
            <w:tcW w:w="2645"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1953" w:type="dxa"/>
            <w:noWrap w:val="0"/>
            <w:vAlign w:val="center"/>
          </w:tcPr>
          <w:p>
            <w:pPr>
              <w:spacing w:line="360" w:lineRule="auto"/>
              <w:jc w:val="center"/>
              <w:rPr>
                <w:rFonts w:hint="eastAsia" w:ascii="宋体" w:hAnsi="宋体" w:eastAsia="宋体" w:cs="宋体"/>
                <w:color w:val="auto"/>
                <w:sz w:val="24"/>
                <w:szCs w:val="24"/>
              </w:rPr>
            </w:pPr>
          </w:p>
        </w:tc>
        <w:tc>
          <w:tcPr>
            <w:tcW w:w="2100" w:type="dxa"/>
            <w:noWrap w:val="0"/>
            <w:vAlign w:val="center"/>
          </w:tcPr>
          <w:p>
            <w:pPr>
              <w:spacing w:line="360" w:lineRule="auto"/>
              <w:jc w:val="center"/>
              <w:rPr>
                <w:rFonts w:hint="eastAsia" w:ascii="宋体" w:hAnsi="宋体" w:eastAsia="宋体" w:cs="宋体"/>
                <w:color w:val="auto"/>
                <w:sz w:val="24"/>
                <w:szCs w:val="24"/>
              </w:rPr>
            </w:pPr>
          </w:p>
        </w:tc>
        <w:tc>
          <w:tcPr>
            <w:tcW w:w="2645"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1953" w:type="dxa"/>
            <w:noWrap w:val="0"/>
            <w:vAlign w:val="center"/>
          </w:tcPr>
          <w:p>
            <w:pPr>
              <w:spacing w:line="360" w:lineRule="auto"/>
              <w:jc w:val="center"/>
              <w:rPr>
                <w:rFonts w:hint="eastAsia" w:ascii="宋体" w:hAnsi="宋体" w:eastAsia="宋体" w:cs="宋体"/>
                <w:color w:val="auto"/>
                <w:sz w:val="24"/>
                <w:szCs w:val="24"/>
              </w:rPr>
            </w:pPr>
          </w:p>
        </w:tc>
        <w:tc>
          <w:tcPr>
            <w:tcW w:w="2100" w:type="dxa"/>
            <w:noWrap w:val="0"/>
            <w:vAlign w:val="center"/>
          </w:tcPr>
          <w:p>
            <w:pPr>
              <w:spacing w:line="360" w:lineRule="auto"/>
              <w:jc w:val="center"/>
              <w:rPr>
                <w:rFonts w:hint="eastAsia" w:ascii="宋体" w:hAnsi="宋体" w:eastAsia="宋体" w:cs="宋体"/>
                <w:color w:val="auto"/>
                <w:sz w:val="24"/>
                <w:szCs w:val="24"/>
              </w:rPr>
            </w:pPr>
          </w:p>
        </w:tc>
        <w:tc>
          <w:tcPr>
            <w:tcW w:w="2645"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bl>
    <w:p>
      <w:pPr>
        <w:pStyle w:val="10"/>
        <w:spacing w:line="360" w:lineRule="auto"/>
        <w:rPr>
          <w:rFonts w:hint="eastAsia" w:ascii="宋体" w:hAnsi="宋体" w:eastAsia="宋体" w:cs="宋体"/>
          <w:color w:val="auto"/>
        </w:rPr>
      </w:pPr>
      <w:r>
        <w:rPr>
          <w:rFonts w:hint="eastAsia" w:ascii="宋体" w:hAnsi="宋体" w:eastAsia="宋体" w:cs="宋体"/>
          <w:color w:val="auto"/>
        </w:rPr>
        <w:t>说明：</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1、请按项目的实际技术参数，逐条对应</w:t>
      </w:r>
      <w:r>
        <w:rPr>
          <w:rFonts w:hint="eastAsia" w:ascii="宋体" w:hAnsi="宋体" w:eastAsia="宋体" w:cs="宋体"/>
          <w:color w:val="auto"/>
          <w:sz w:val="24"/>
          <w:lang w:eastAsia="zh-CN"/>
        </w:rPr>
        <w:t>磋商文件</w:t>
      </w:r>
      <w:r>
        <w:rPr>
          <w:rFonts w:hint="eastAsia" w:ascii="宋体" w:hAnsi="宋体" w:eastAsia="宋体" w:cs="宋体"/>
          <w:color w:val="auto"/>
          <w:sz w:val="24"/>
        </w:rPr>
        <w:t>的“采购内容及要求”，认真填写本表。偏离情况填写：优于、等于或低于，偏离说明对偏离情况做出详细说明。</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cs="宋体"/>
          <w:color w:val="auto"/>
          <w:sz w:val="24"/>
          <w:lang w:eastAsia="zh-CN"/>
        </w:rPr>
        <w:t>供应商</w:t>
      </w:r>
      <w:r>
        <w:rPr>
          <w:rFonts w:hint="eastAsia" w:ascii="宋体" w:hAnsi="宋体" w:eastAsia="宋体" w:cs="宋体"/>
          <w:color w:val="auto"/>
          <w:sz w:val="24"/>
        </w:rPr>
        <w:t>应按实际情况填写。</w:t>
      </w:r>
    </w:p>
    <w:p>
      <w:pPr>
        <w:spacing w:line="360" w:lineRule="auto"/>
        <w:ind w:right="-161" w:firstLine="2640" w:firstLineChars="1100"/>
        <w:rPr>
          <w:rFonts w:hint="eastAsia" w:ascii="宋体" w:hAnsi="宋体" w:eastAsia="宋体" w:cs="宋体"/>
          <w:color w:val="auto"/>
          <w:sz w:val="24"/>
        </w:rPr>
      </w:pPr>
    </w:p>
    <w:p>
      <w:pPr>
        <w:widowControl/>
        <w:spacing w:line="360" w:lineRule="auto"/>
        <w:jc w:val="center"/>
        <w:rPr>
          <w:rFonts w:hint="eastAsia" w:ascii="宋体" w:hAnsi="宋体" w:eastAsia="宋体" w:cs="宋体"/>
          <w:color w:val="auto"/>
        </w:rPr>
      </w:pPr>
      <w:r>
        <w:rPr>
          <w:rFonts w:hint="eastAsia" w:ascii="宋体" w:hAnsi="宋体" w:eastAsia="宋体" w:cs="宋体"/>
          <w:color w:val="auto"/>
          <w:sz w:val="24"/>
          <w:szCs w:val="24"/>
        </w:rPr>
        <w:t>法人代表或被授权代表：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 xml:space="preserve">（盖章或签字） </w:t>
      </w:r>
    </w:p>
    <w:p>
      <w:pPr>
        <w:widowControl/>
        <w:spacing w:line="360" w:lineRule="auto"/>
        <w:jc w:val="center"/>
        <w:rPr>
          <w:rFonts w:hint="eastAsia" w:ascii="宋体" w:hAnsi="宋体" w:eastAsia="宋体" w:cs="宋体"/>
          <w:color w:val="auto"/>
        </w:rPr>
      </w:pPr>
      <w:r>
        <w:rPr>
          <w:rFonts w:hint="eastAsia" w:ascii="宋体" w:hAnsi="宋体" w:cs="宋体"/>
          <w:color w:val="auto"/>
          <w:sz w:val="24"/>
          <w:szCs w:val="24"/>
          <w:lang w:eastAsia="zh-CN"/>
        </w:rPr>
        <w:t>供</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应</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 xml:space="preserve">（盖单位章） </w:t>
      </w:r>
    </w:p>
    <w:p>
      <w:pPr>
        <w:spacing w:before="185" w:line="360" w:lineRule="auto"/>
        <w:ind w:firstLine="1440" w:firstLineChars="600"/>
        <w:outlineLvl w:val="1"/>
        <w:rPr>
          <w:rFonts w:hint="eastAsia" w:ascii="宋体" w:hAnsi="宋体" w:eastAsia="宋体" w:cs="宋体"/>
          <w:color w:val="auto"/>
          <w:sz w:val="23"/>
          <w:szCs w:val="23"/>
          <w:u w:val="single" w:color="auto"/>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b w:val="0"/>
          <w:color w:val="auto"/>
          <w:sz w:val="24"/>
          <w:szCs w:val="24"/>
          <w:u w:val="single"/>
        </w:rPr>
        <w:br w:type="page"/>
      </w:r>
    </w:p>
    <w:p>
      <w:pPr>
        <w:pStyle w:val="4"/>
        <w:spacing w:line="360" w:lineRule="auto"/>
        <w:jc w:val="center"/>
        <w:rPr>
          <w:rFonts w:hint="eastAsia" w:ascii="宋体" w:hAnsi="宋体" w:eastAsia="宋体" w:cs="宋体"/>
          <w:b/>
          <w:bCs w:val="0"/>
          <w:kern w:val="0"/>
          <w:sz w:val="28"/>
          <w:szCs w:val="28"/>
          <w:shd w:val="clear" w:color="auto" w:fill="FFFFFF"/>
          <w:lang w:val="en-US" w:eastAsia="zh-CN" w:bidi="ar-SA"/>
        </w:rPr>
      </w:pPr>
      <w:r>
        <w:rPr>
          <w:rFonts w:hint="eastAsia" w:ascii="宋体" w:hAnsi="宋体" w:cs="宋体"/>
          <w:b/>
          <w:bCs w:val="0"/>
          <w:kern w:val="0"/>
          <w:sz w:val="28"/>
          <w:szCs w:val="28"/>
          <w:shd w:val="clear" w:color="auto" w:fill="FFFFFF"/>
          <w:lang w:val="en-US" w:eastAsia="zh-CN" w:bidi="ar-SA"/>
        </w:rPr>
        <w:t>五</w:t>
      </w:r>
      <w:r>
        <w:rPr>
          <w:rFonts w:hint="eastAsia" w:ascii="宋体" w:hAnsi="宋体" w:eastAsia="宋体" w:cs="宋体"/>
          <w:b/>
          <w:bCs w:val="0"/>
          <w:kern w:val="0"/>
          <w:sz w:val="28"/>
          <w:szCs w:val="28"/>
          <w:shd w:val="clear" w:color="auto" w:fill="FFFFFF"/>
          <w:lang w:val="en-US" w:eastAsia="zh-CN" w:bidi="ar-SA"/>
        </w:rPr>
        <w:t>、商务响应说明书</w:t>
      </w:r>
    </w:p>
    <w:p>
      <w:pPr>
        <w:spacing w:line="360" w:lineRule="auto"/>
        <w:rPr>
          <w:rFonts w:hint="eastAsia" w:ascii="宋体" w:hAnsi="宋体" w:eastAsia="宋体" w:cs="宋体"/>
          <w:color w:val="auto"/>
        </w:rPr>
      </w:pPr>
      <w:r>
        <w:rPr>
          <w:rFonts w:hint="eastAsia" w:ascii="宋体" w:hAnsi="宋体" w:eastAsia="宋体" w:cs="宋体"/>
          <w:color w:val="auto"/>
          <w:sz w:val="24"/>
          <w:szCs w:val="22"/>
        </w:rPr>
        <w:t>采购项目</w:t>
      </w:r>
      <w:r>
        <w:rPr>
          <w:rFonts w:hint="eastAsia" w:ascii="宋体" w:hAnsi="宋体" w:eastAsia="宋体" w:cs="宋体"/>
          <w:color w:val="auto"/>
          <w:sz w:val="24"/>
        </w:rPr>
        <w:t>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采购项目编号：</w:t>
      </w:r>
      <w:r>
        <w:rPr>
          <w:rFonts w:hint="eastAsia" w:ascii="宋体" w:hAnsi="宋体" w:eastAsia="宋体" w:cs="宋体"/>
          <w:color w:val="auto"/>
          <w:sz w:val="24"/>
          <w:u w:val="single"/>
        </w:rPr>
        <w:t xml:space="preserve">              </w:t>
      </w:r>
    </w:p>
    <w:tbl>
      <w:tblPr>
        <w:tblStyle w:val="20"/>
        <w:tblW w:w="87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621"/>
        <w:gridCol w:w="2264"/>
        <w:gridCol w:w="2603"/>
        <w:gridCol w:w="864"/>
        <w:gridCol w:w="1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jc w:val="center"/>
        </w:trPr>
        <w:tc>
          <w:tcPr>
            <w:tcW w:w="1621" w:type="dxa"/>
            <w:noWrap w:val="0"/>
            <w:vAlign w:val="top"/>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序号</w:t>
            </w:r>
          </w:p>
        </w:tc>
        <w:tc>
          <w:tcPr>
            <w:tcW w:w="2264" w:type="dxa"/>
            <w:noWrap w:val="0"/>
            <w:vAlign w:val="top"/>
          </w:tcPr>
          <w:p>
            <w:pPr>
              <w:spacing w:line="360" w:lineRule="auto"/>
              <w:ind w:left="0" w:leftChars="0" w:firstLine="0" w:firstLineChars="0"/>
              <w:jc w:val="both"/>
              <w:rPr>
                <w:rFonts w:hint="eastAsia" w:ascii="宋体" w:hAnsi="宋体" w:eastAsia="宋体" w:cs="宋体"/>
                <w:b/>
                <w:color w:val="auto"/>
                <w:sz w:val="24"/>
              </w:rPr>
            </w:pPr>
            <w:r>
              <w:rPr>
                <w:rFonts w:hint="eastAsia" w:ascii="宋体" w:hAnsi="宋体" w:eastAsia="宋体" w:cs="宋体"/>
                <w:b/>
                <w:color w:val="auto"/>
                <w:sz w:val="24"/>
                <w:lang w:eastAsia="zh-CN"/>
              </w:rPr>
              <w:t>磋商文件</w:t>
            </w:r>
            <w:r>
              <w:rPr>
                <w:rFonts w:hint="eastAsia" w:ascii="宋体" w:hAnsi="宋体" w:eastAsia="宋体" w:cs="宋体"/>
                <w:b/>
                <w:color w:val="auto"/>
                <w:sz w:val="24"/>
              </w:rPr>
              <w:t>商务要求</w:t>
            </w:r>
          </w:p>
        </w:tc>
        <w:tc>
          <w:tcPr>
            <w:tcW w:w="2603" w:type="dxa"/>
            <w:noWrap w:val="0"/>
            <w:vAlign w:val="top"/>
          </w:tcPr>
          <w:p>
            <w:pPr>
              <w:spacing w:line="360" w:lineRule="auto"/>
              <w:ind w:left="0" w:leftChars="0" w:firstLine="0" w:firstLineChars="0"/>
              <w:jc w:val="both"/>
              <w:rPr>
                <w:rFonts w:hint="eastAsia" w:ascii="宋体" w:hAnsi="宋体" w:eastAsia="宋体" w:cs="宋体"/>
                <w:b/>
                <w:color w:val="auto"/>
                <w:sz w:val="24"/>
              </w:rPr>
            </w:pPr>
            <w:r>
              <w:rPr>
                <w:rFonts w:hint="eastAsia" w:ascii="宋体" w:hAnsi="宋体" w:eastAsia="宋体" w:cs="宋体"/>
                <w:b/>
                <w:color w:val="auto"/>
                <w:sz w:val="24"/>
                <w:lang w:eastAsia="zh-CN"/>
              </w:rPr>
              <w:t>磋商响应文件</w:t>
            </w:r>
            <w:r>
              <w:rPr>
                <w:rFonts w:hint="eastAsia" w:ascii="宋体" w:hAnsi="宋体" w:eastAsia="宋体" w:cs="宋体"/>
                <w:b/>
                <w:color w:val="auto"/>
                <w:sz w:val="24"/>
              </w:rPr>
              <w:t>商务响应</w:t>
            </w:r>
          </w:p>
        </w:tc>
        <w:tc>
          <w:tcPr>
            <w:tcW w:w="864" w:type="dxa"/>
            <w:noWrap w:val="0"/>
            <w:vAlign w:val="top"/>
          </w:tcPr>
          <w:p>
            <w:pPr>
              <w:spacing w:line="360" w:lineRule="auto"/>
              <w:ind w:left="0" w:leftChars="0" w:firstLine="0" w:firstLineChars="0"/>
              <w:jc w:val="both"/>
              <w:rPr>
                <w:rFonts w:hint="eastAsia" w:ascii="宋体" w:hAnsi="宋体" w:eastAsia="宋体" w:cs="宋体"/>
                <w:b/>
                <w:color w:val="auto"/>
                <w:sz w:val="24"/>
              </w:rPr>
            </w:pPr>
            <w:r>
              <w:rPr>
                <w:rFonts w:hint="eastAsia" w:ascii="宋体" w:hAnsi="宋体" w:eastAsia="宋体" w:cs="宋体"/>
                <w:b/>
                <w:color w:val="auto"/>
                <w:sz w:val="24"/>
              </w:rPr>
              <w:t>偏离</w:t>
            </w:r>
          </w:p>
        </w:tc>
        <w:tc>
          <w:tcPr>
            <w:tcW w:w="1440" w:type="dxa"/>
            <w:noWrap w:val="0"/>
            <w:vAlign w:val="top"/>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603" w:type="dxa"/>
            <w:noWrap w:val="0"/>
            <w:vAlign w:val="top"/>
          </w:tcPr>
          <w:p>
            <w:pPr>
              <w:spacing w:line="360" w:lineRule="auto"/>
              <w:jc w:val="center"/>
              <w:rPr>
                <w:rFonts w:hint="eastAsia" w:ascii="宋体" w:hAnsi="宋体" w:eastAsia="宋体" w:cs="宋体"/>
                <w:color w:val="auto"/>
                <w:sz w:val="24"/>
              </w:rPr>
            </w:pPr>
          </w:p>
        </w:tc>
        <w:tc>
          <w:tcPr>
            <w:tcW w:w="864"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91"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603" w:type="dxa"/>
            <w:noWrap w:val="0"/>
            <w:vAlign w:val="top"/>
          </w:tcPr>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tc>
        <w:tc>
          <w:tcPr>
            <w:tcW w:w="864"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603" w:type="dxa"/>
            <w:noWrap w:val="0"/>
            <w:vAlign w:val="top"/>
          </w:tcPr>
          <w:p>
            <w:pPr>
              <w:spacing w:line="360" w:lineRule="auto"/>
              <w:jc w:val="center"/>
              <w:rPr>
                <w:rFonts w:hint="eastAsia" w:ascii="宋体" w:hAnsi="宋体" w:eastAsia="宋体" w:cs="宋体"/>
                <w:color w:val="auto"/>
                <w:sz w:val="24"/>
              </w:rPr>
            </w:pPr>
          </w:p>
        </w:tc>
        <w:tc>
          <w:tcPr>
            <w:tcW w:w="864"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603" w:type="dxa"/>
            <w:noWrap w:val="0"/>
            <w:vAlign w:val="top"/>
          </w:tcPr>
          <w:p>
            <w:pPr>
              <w:spacing w:line="360" w:lineRule="auto"/>
              <w:jc w:val="center"/>
              <w:rPr>
                <w:rFonts w:hint="eastAsia" w:ascii="宋体" w:hAnsi="宋体" w:eastAsia="宋体" w:cs="宋体"/>
                <w:color w:val="auto"/>
                <w:sz w:val="24"/>
              </w:rPr>
            </w:pPr>
          </w:p>
        </w:tc>
        <w:tc>
          <w:tcPr>
            <w:tcW w:w="864"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603" w:type="dxa"/>
            <w:noWrap w:val="0"/>
            <w:vAlign w:val="top"/>
          </w:tcPr>
          <w:p>
            <w:pPr>
              <w:spacing w:line="360" w:lineRule="auto"/>
              <w:jc w:val="center"/>
              <w:rPr>
                <w:rFonts w:hint="eastAsia" w:ascii="宋体" w:hAnsi="宋体" w:eastAsia="宋体" w:cs="宋体"/>
                <w:color w:val="auto"/>
                <w:sz w:val="24"/>
              </w:rPr>
            </w:pPr>
          </w:p>
        </w:tc>
        <w:tc>
          <w:tcPr>
            <w:tcW w:w="864"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91"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603" w:type="dxa"/>
            <w:noWrap w:val="0"/>
            <w:vAlign w:val="top"/>
          </w:tcPr>
          <w:p>
            <w:pPr>
              <w:spacing w:line="360" w:lineRule="auto"/>
              <w:jc w:val="center"/>
              <w:rPr>
                <w:rFonts w:hint="eastAsia" w:ascii="宋体" w:hAnsi="宋体" w:eastAsia="宋体" w:cs="宋体"/>
                <w:color w:val="auto"/>
                <w:sz w:val="24"/>
              </w:rPr>
            </w:pPr>
          </w:p>
        </w:tc>
        <w:tc>
          <w:tcPr>
            <w:tcW w:w="864"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603" w:type="dxa"/>
            <w:noWrap w:val="0"/>
            <w:vAlign w:val="top"/>
          </w:tcPr>
          <w:p>
            <w:pPr>
              <w:spacing w:line="360" w:lineRule="auto"/>
              <w:jc w:val="center"/>
              <w:rPr>
                <w:rFonts w:hint="eastAsia" w:ascii="宋体" w:hAnsi="宋体" w:eastAsia="宋体" w:cs="宋体"/>
                <w:color w:val="auto"/>
                <w:sz w:val="24"/>
              </w:rPr>
            </w:pPr>
          </w:p>
        </w:tc>
        <w:tc>
          <w:tcPr>
            <w:tcW w:w="864"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603" w:type="dxa"/>
            <w:noWrap w:val="0"/>
            <w:vAlign w:val="top"/>
          </w:tcPr>
          <w:p>
            <w:pPr>
              <w:spacing w:line="360" w:lineRule="auto"/>
              <w:jc w:val="center"/>
              <w:rPr>
                <w:rFonts w:hint="eastAsia" w:ascii="宋体" w:hAnsi="宋体" w:eastAsia="宋体" w:cs="宋体"/>
                <w:color w:val="auto"/>
                <w:sz w:val="24"/>
              </w:rPr>
            </w:pPr>
          </w:p>
        </w:tc>
        <w:tc>
          <w:tcPr>
            <w:tcW w:w="864"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603" w:type="dxa"/>
            <w:noWrap w:val="0"/>
            <w:vAlign w:val="top"/>
          </w:tcPr>
          <w:p>
            <w:pPr>
              <w:spacing w:line="360" w:lineRule="auto"/>
              <w:jc w:val="center"/>
              <w:rPr>
                <w:rFonts w:hint="eastAsia" w:ascii="宋体" w:hAnsi="宋体" w:eastAsia="宋体" w:cs="宋体"/>
                <w:color w:val="auto"/>
                <w:sz w:val="24"/>
              </w:rPr>
            </w:pPr>
          </w:p>
        </w:tc>
        <w:tc>
          <w:tcPr>
            <w:tcW w:w="864"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bl>
    <w:p>
      <w:pPr>
        <w:spacing w:line="360" w:lineRule="auto"/>
        <w:rPr>
          <w:rFonts w:hint="eastAsia" w:ascii="宋体" w:hAnsi="宋体" w:eastAsia="宋体" w:cs="宋体"/>
          <w:color w:val="auto"/>
          <w:sz w:val="23"/>
        </w:rPr>
      </w:pP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声明：1、供应商如有商务偏离，在表中逐项列明。除本商务偏离表中所列的偏离项目外，其它所有商务均完全响应</w:t>
      </w:r>
      <w:r>
        <w:rPr>
          <w:rFonts w:hint="eastAsia" w:ascii="宋体" w:hAnsi="宋体" w:eastAsia="宋体" w:cs="宋体"/>
          <w:color w:val="auto"/>
          <w:sz w:val="24"/>
          <w:szCs w:val="24"/>
          <w:lang w:eastAsia="zh-CN"/>
        </w:rPr>
        <w:t>磋商文件</w:t>
      </w:r>
      <w:r>
        <w:rPr>
          <w:rFonts w:hint="eastAsia" w:ascii="宋体" w:hAnsi="宋体" w:eastAsia="宋体" w:cs="宋体"/>
          <w:color w:val="auto"/>
          <w:sz w:val="24"/>
          <w:szCs w:val="24"/>
        </w:rPr>
        <w:t>中的要求。</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2、如供应商全部</w:t>
      </w:r>
      <w:r>
        <w:rPr>
          <w:rFonts w:hint="eastAsia" w:ascii="宋体" w:hAnsi="宋体" w:eastAsia="宋体" w:cs="宋体"/>
          <w:color w:val="auto"/>
          <w:sz w:val="24"/>
          <w:szCs w:val="24"/>
          <w:lang w:eastAsia="zh-CN"/>
        </w:rPr>
        <w:t>响应磋商文件</w:t>
      </w:r>
      <w:r>
        <w:rPr>
          <w:rFonts w:hint="eastAsia" w:ascii="宋体" w:hAnsi="宋体" w:eastAsia="宋体" w:cs="宋体"/>
          <w:color w:val="auto"/>
          <w:sz w:val="24"/>
          <w:szCs w:val="24"/>
        </w:rPr>
        <w:t>商务要求，在“</w:t>
      </w:r>
      <w:r>
        <w:rPr>
          <w:rFonts w:hint="eastAsia" w:ascii="宋体" w:hAnsi="宋体" w:eastAsia="宋体" w:cs="宋体"/>
          <w:color w:val="auto"/>
          <w:sz w:val="24"/>
          <w:szCs w:val="24"/>
          <w:lang w:eastAsia="zh-CN"/>
        </w:rPr>
        <w:t>磋商文件</w:t>
      </w:r>
      <w:r>
        <w:rPr>
          <w:rFonts w:hint="eastAsia" w:ascii="宋体" w:hAnsi="宋体" w:eastAsia="宋体" w:cs="宋体"/>
          <w:color w:val="auto"/>
          <w:sz w:val="24"/>
          <w:szCs w:val="24"/>
        </w:rPr>
        <w:t>商务要求”及“</w:t>
      </w:r>
      <w:r>
        <w:rPr>
          <w:rFonts w:hint="eastAsia" w:ascii="宋体" w:hAnsi="宋体" w:eastAsia="宋体" w:cs="宋体"/>
          <w:color w:val="auto"/>
          <w:sz w:val="24"/>
          <w:szCs w:val="24"/>
          <w:lang w:eastAsia="zh-CN"/>
        </w:rPr>
        <w:t>磋商响应文件</w:t>
      </w:r>
      <w:r>
        <w:rPr>
          <w:rFonts w:hint="eastAsia" w:ascii="宋体" w:hAnsi="宋体" w:eastAsia="宋体" w:cs="宋体"/>
          <w:color w:val="auto"/>
          <w:sz w:val="24"/>
          <w:szCs w:val="24"/>
        </w:rPr>
        <w:t>商务要求”栏中填写“全部”字样，在“偏离”栏填入“无偏离”字样。</w:t>
      </w:r>
    </w:p>
    <w:p>
      <w:pPr>
        <w:spacing w:line="360" w:lineRule="auto"/>
        <w:rPr>
          <w:rFonts w:hint="eastAsia" w:ascii="宋体" w:hAnsi="宋体" w:eastAsia="宋体" w:cs="宋体"/>
          <w:color w:val="auto"/>
          <w:sz w:val="23"/>
        </w:rPr>
      </w:pPr>
    </w:p>
    <w:p>
      <w:pPr>
        <w:widowControl/>
        <w:spacing w:line="360" w:lineRule="auto"/>
        <w:jc w:val="both"/>
        <w:rPr>
          <w:rFonts w:hint="eastAsia" w:ascii="宋体" w:hAnsi="宋体" w:eastAsia="宋体" w:cs="宋体"/>
          <w:color w:val="auto"/>
        </w:rPr>
      </w:pPr>
      <w:r>
        <w:rPr>
          <w:rFonts w:hint="eastAsia" w:ascii="宋体" w:hAnsi="宋体" w:eastAsia="宋体" w:cs="宋体"/>
          <w:color w:val="auto"/>
          <w:sz w:val="24"/>
          <w:szCs w:val="24"/>
        </w:rPr>
        <w:t>法人代表或被授权代表：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 xml:space="preserve">（盖章或签字） </w:t>
      </w:r>
    </w:p>
    <w:p>
      <w:pPr>
        <w:widowControl/>
        <w:spacing w:line="360" w:lineRule="auto"/>
        <w:jc w:val="both"/>
        <w:rPr>
          <w:rFonts w:hint="eastAsia" w:ascii="宋体" w:hAnsi="宋体" w:eastAsia="宋体" w:cs="宋体"/>
          <w:color w:val="auto"/>
        </w:rPr>
      </w:pPr>
      <w:r>
        <w:rPr>
          <w:rFonts w:hint="eastAsia" w:ascii="宋体" w:hAnsi="宋体" w:cs="宋体"/>
          <w:color w:val="auto"/>
          <w:sz w:val="24"/>
          <w:szCs w:val="24"/>
          <w:lang w:eastAsia="zh-CN"/>
        </w:rPr>
        <w:t>供</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应</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 xml:space="preserve">（盖单位章） </w:t>
      </w:r>
    </w:p>
    <w:p>
      <w:pPr>
        <w:pStyle w:val="2"/>
        <w:spacing w:line="360" w:lineRule="auto"/>
        <w:rPr>
          <w:rFonts w:hint="eastAsia" w:ascii="宋体" w:hAnsi="宋体" w:eastAsia="宋体" w:cs="宋体"/>
          <w:color w:val="auto"/>
          <w:sz w:val="23"/>
          <w:szCs w:val="23"/>
          <w:u w:val="single" w:color="auto"/>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b w:val="0"/>
          <w:color w:val="auto"/>
          <w:sz w:val="24"/>
          <w:szCs w:val="24"/>
          <w:u w:val="single"/>
        </w:rPr>
        <w:br w:type="page"/>
      </w:r>
    </w:p>
    <w:bookmarkEnd w:id="75"/>
    <w:bookmarkEnd w:id="76"/>
    <w:bookmarkEnd w:id="77"/>
    <w:bookmarkEnd w:id="78"/>
    <w:bookmarkEnd w:id="79"/>
    <w:bookmarkEnd w:id="80"/>
    <w:bookmarkEnd w:id="88"/>
    <w:p>
      <w:pPr>
        <w:spacing w:before="187" w:line="360" w:lineRule="auto"/>
        <w:ind w:firstLine="1832" w:firstLineChars="400"/>
        <w:outlineLvl w:val="1"/>
        <w:rPr>
          <w:rFonts w:hint="eastAsia" w:ascii="宋体" w:hAnsi="宋体" w:eastAsia="宋体" w:cs="宋体"/>
          <w:color w:val="auto"/>
          <w:sz w:val="43"/>
          <w:szCs w:val="43"/>
        </w:rPr>
      </w:pPr>
      <w:bookmarkStart w:id="96" w:name="_Toc4511"/>
      <w:r>
        <w:rPr>
          <w:rFonts w:hint="eastAsia" w:ascii="宋体" w:hAnsi="宋体" w:eastAsia="宋体" w:cs="宋体"/>
          <w:color w:val="auto"/>
          <w:spacing w:val="14"/>
          <w:position w:val="26"/>
          <w:sz w:val="43"/>
          <w:szCs w:val="43"/>
          <w14:textOutline w14:w="7972" w14:cap="sq" w14:cmpd="sng">
            <w14:solidFill>
              <w14:srgbClr w14:val="000000"/>
            </w14:solidFill>
            <w14:prstDash w14:val="solid"/>
            <w14:bevel/>
          </w14:textOutline>
        </w:rPr>
        <w:t>第</w:t>
      </w:r>
      <w:r>
        <w:rPr>
          <w:rFonts w:hint="eastAsia" w:ascii="宋体" w:hAnsi="宋体" w:eastAsia="宋体" w:cs="宋体"/>
          <w:color w:val="auto"/>
          <w:spacing w:val="8"/>
          <w:position w:val="26"/>
          <w:sz w:val="43"/>
          <w:szCs w:val="43"/>
          <w14:textOutline w14:w="7972" w14:cap="sq" w14:cmpd="sng">
            <w14:solidFill>
              <w14:srgbClr w14:val="000000"/>
            </w14:solidFill>
            <w14:prstDash w14:val="solid"/>
            <w14:bevel/>
          </w14:textOutline>
        </w:rPr>
        <w:t>三部分</w:t>
      </w:r>
      <w:r>
        <w:rPr>
          <w:rFonts w:hint="eastAsia" w:ascii="宋体" w:hAnsi="宋体" w:eastAsia="宋体" w:cs="宋体"/>
          <w:color w:val="auto"/>
          <w:spacing w:val="8"/>
          <w:position w:val="26"/>
          <w:sz w:val="43"/>
          <w:szCs w:val="43"/>
        </w:rPr>
        <w:t xml:space="preserve"> </w:t>
      </w:r>
      <w:r>
        <w:rPr>
          <w:rFonts w:hint="eastAsia" w:ascii="宋体" w:hAnsi="宋体" w:eastAsia="宋体" w:cs="宋体"/>
          <w:color w:val="auto"/>
          <w:spacing w:val="8"/>
          <w:position w:val="26"/>
          <w:sz w:val="43"/>
          <w:szCs w:val="43"/>
          <w14:textOutline w14:w="7972" w14:cap="sq" w14:cmpd="sng">
            <w14:solidFill>
              <w14:srgbClr w14:val="000000"/>
            </w14:solidFill>
            <w14:prstDash w14:val="solid"/>
            <w14:bevel/>
          </w14:textOutline>
        </w:rPr>
        <w:t>响应方案</w:t>
      </w:r>
      <w:bookmarkEnd w:id="96"/>
    </w:p>
    <w:p>
      <w:pPr>
        <w:keepNext w:val="0"/>
        <w:keepLines w:val="0"/>
        <w:widowControl/>
        <w:suppressLineNumbers w:val="0"/>
        <w:jc w:val="left"/>
      </w:pPr>
      <w:bookmarkStart w:id="97" w:name="_Toc2336"/>
      <w:r>
        <w:rPr>
          <w:rFonts w:hint="eastAsia" w:ascii="宋体" w:hAnsi="宋体" w:eastAsia="宋体" w:cs="宋体"/>
          <w:color w:val="000000"/>
          <w:kern w:val="0"/>
          <w:sz w:val="24"/>
          <w:szCs w:val="24"/>
          <w:lang w:val="en-US" w:eastAsia="zh-CN" w:bidi="ar"/>
        </w:rPr>
        <w:t xml:space="preserve">(一)供应商基本信息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如设立时间、隶属关系、经营范围、资质等级及单位人员情况。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(二)供应商性质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中小企业、残疾人福利性单位投标时，应提供声明函(按下文给定格式)。未提供或未按给定格式提供声明函的，其投标产品中的小型、微型企业产品、残疾人福利性单位生产的产品将不能享受招标文件规定的价格扣除，但不影响投标文件的有效性。监狱企业投标时，应当提供由省级以上监狱管理局、戒毒管理局(含新疆生产建设兵团)出具的属于监狱企业的证明文件(格式不做要求)。未提供证明文件的不能享受招标文件规定的价格扣除，但不影响投标文件的有效性。 招标文件允许联合体投标的，联合体成员应分别提供上述声明函或证明文件，此外，还须按下文给定格式提供联合体协议书。投标联合体未提供联合体协议书的，其响应文件无效。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特别提醒：供应商性质(声明函或证明文件)将随成交公告一同公布。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(三)其他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如：经营状况、相关产品、用户评价等</w:t>
      </w:r>
    </w:p>
    <w:p>
      <w:pPr>
        <w:spacing w:line="360" w:lineRule="auto"/>
        <w:ind w:firstLine="2811" w:firstLineChars="1000"/>
        <w:outlineLvl w:val="2"/>
        <w:rPr>
          <w:rFonts w:hint="eastAsia" w:ascii="宋体" w:hAnsi="宋体" w:eastAsia="宋体" w:cs="宋体"/>
          <w:b/>
          <w:bCs w:val="0"/>
          <w:kern w:val="0"/>
          <w:sz w:val="28"/>
          <w:szCs w:val="28"/>
          <w:shd w:val="clear" w:color="auto" w:fill="FFFFFF"/>
          <w:lang w:val="en-US" w:eastAsia="zh-CN" w:bidi="ar-SA"/>
        </w:rPr>
      </w:pPr>
    </w:p>
    <w:p>
      <w:pPr>
        <w:spacing w:line="360" w:lineRule="auto"/>
        <w:ind w:firstLine="2811" w:firstLineChars="1000"/>
        <w:outlineLvl w:val="2"/>
        <w:rPr>
          <w:rFonts w:hint="eastAsia" w:ascii="宋体" w:hAnsi="宋体" w:eastAsia="宋体" w:cs="宋体"/>
          <w:b/>
          <w:bCs w:val="0"/>
          <w:kern w:val="0"/>
          <w:sz w:val="28"/>
          <w:szCs w:val="28"/>
          <w:shd w:val="clear" w:color="auto" w:fill="FFFFFF"/>
          <w:lang w:val="en-US" w:eastAsia="zh-CN" w:bidi="ar-SA"/>
        </w:rPr>
      </w:pPr>
    </w:p>
    <w:p>
      <w:pPr>
        <w:spacing w:line="360" w:lineRule="auto"/>
        <w:ind w:firstLine="2811" w:firstLineChars="1000"/>
        <w:outlineLvl w:val="2"/>
        <w:rPr>
          <w:rFonts w:hint="eastAsia" w:ascii="宋体" w:hAnsi="宋体" w:eastAsia="宋体" w:cs="宋体"/>
          <w:b/>
          <w:bCs w:val="0"/>
          <w:kern w:val="0"/>
          <w:sz w:val="28"/>
          <w:szCs w:val="28"/>
          <w:shd w:val="clear" w:color="auto" w:fill="FFFFFF"/>
          <w:lang w:val="en-US" w:eastAsia="zh-CN" w:bidi="ar-SA"/>
        </w:rPr>
      </w:pPr>
    </w:p>
    <w:p>
      <w:pPr>
        <w:pStyle w:val="2"/>
        <w:rPr>
          <w:rFonts w:hint="eastAsia" w:ascii="宋体" w:hAnsi="宋体" w:eastAsia="宋体" w:cs="宋体"/>
          <w:b/>
          <w:bCs w:val="0"/>
          <w:kern w:val="0"/>
          <w:sz w:val="28"/>
          <w:szCs w:val="28"/>
          <w:shd w:val="clear" w:color="auto" w:fill="FFFFFF"/>
          <w:lang w:val="en-US" w:eastAsia="zh-CN" w:bidi="ar-SA"/>
        </w:rPr>
      </w:pPr>
    </w:p>
    <w:p>
      <w:pPr>
        <w:rPr>
          <w:rFonts w:hint="eastAsia" w:ascii="宋体" w:hAnsi="宋体" w:eastAsia="宋体" w:cs="宋体"/>
          <w:b/>
          <w:bCs w:val="0"/>
          <w:kern w:val="0"/>
          <w:sz w:val="28"/>
          <w:szCs w:val="28"/>
          <w:shd w:val="clear" w:color="auto" w:fill="FFFFFF"/>
          <w:lang w:val="en-US" w:eastAsia="zh-CN" w:bidi="ar-SA"/>
        </w:rPr>
      </w:pPr>
    </w:p>
    <w:p>
      <w:pPr>
        <w:pStyle w:val="2"/>
        <w:rPr>
          <w:rFonts w:hint="eastAsia" w:ascii="宋体" w:hAnsi="宋体" w:eastAsia="宋体" w:cs="宋体"/>
          <w:b/>
          <w:bCs w:val="0"/>
          <w:kern w:val="0"/>
          <w:sz w:val="28"/>
          <w:szCs w:val="28"/>
          <w:shd w:val="clear" w:color="auto" w:fill="FFFFFF"/>
          <w:lang w:val="en-US" w:eastAsia="zh-CN" w:bidi="ar-SA"/>
        </w:rPr>
      </w:pPr>
    </w:p>
    <w:p>
      <w:pPr>
        <w:rPr>
          <w:rFonts w:hint="eastAsia" w:ascii="宋体" w:hAnsi="宋体" w:eastAsia="宋体" w:cs="宋体"/>
          <w:b/>
          <w:bCs w:val="0"/>
          <w:kern w:val="0"/>
          <w:sz w:val="28"/>
          <w:szCs w:val="28"/>
          <w:shd w:val="clear" w:color="auto" w:fill="FFFFFF"/>
          <w:lang w:val="en-US" w:eastAsia="zh-CN" w:bidi="ar-SA"/>
        </w:rPr>
      </w:pPr>
    </w:p>
    <w:p>
      <w:pPr>
        <w:pStyle w:val="2"/>
        <w:rPr>
          <w:rFonts w:hint="eastAsia" w:ascii="宋体" w:hAnsi="宋体" w:eastAsia="宋体" w:cs="宋体"/>
          <w:b/>
          <w:bCs w:val="0"/>
          <w:kern w:val="0"/>
          <w:sz w:val="28"/>
          <w:szCs w:val="28"/>
          <w:shd w:val="clear" w:color="auto" w:fill="FFFFFF"/>
          <w:lang w:val="en-US" w:eastAsia="zh-CN" w:bidi="ar-SA"/>
        </w:rPr>
      </w:pPr>
    </w:p>
    <w:p>
      <w:pPr>
        <w:rPr>
          <w:rFonts w:hint="eastAsia" w:ascii="宋体" w:hAnsi="宋体" w:eastAsia="宋体" w:cs="宋体"/>
          <w:b/>
          <w:bCs w:val="0"/>
          <w:kern w:val="0"/>
          <w:sz w:val="28"/>
          <w:szCs w:val="28"/>
          <w:shd w:val="clear" w:color="auto" w:fill="FFFFFF"/>
          <w:lang w:val="en-US" w:eastAsia="zh-CN" w:bidi="ar-SA"/>
        </w:rPr>
      </w:pPr>
    </w:p>
    <w:p>
      <w:pPr>
        <w:pStyle w:val="2"/>
        <w:rPr>
          <w:rFonts w:hint="eastAsia" w:ascii="宋体" w:hAnsi="宋体" w:eastAsia="宋体" w:cs="宋体"/>
          <w:b/>
          <w:bCs w:val="0"/>
          <w:kern w:val="0"/>
          <w:sz w:val="28"/>
          <w:szCs w:val="28"/>
          <w:shd w:val="clear" w:color="auto" w:fill="FFFFFF"/>
          <w:lang w:val="en-US" w:eastAsia="zh-CN" w:bidi="ar-SA"/>
        </w:rPr>
      </w:pPr>
    </w:p>
    <w:p>
      <w:pPr>
        <w:spacing w:line="360" w:lineRule="auto"/>
        <w:ind w:firstLine="2811" w:firstLineChars="1000"/>
        <w:outlineLvl w:val="2"/>
        <w:rPr>
          <w:rFonts w:hint="eastAsia" w:ascii="宋体" w:hAnsi="宋体" w:eastAsia="宋体" w:cs="宋体"/>
          <w:b/>
          <w:bCs w:val="0"/>
          <w:kern w:val="0"/>
          <w:sz w:val="28"/>
          <w:szCs w:val="28"/>
          <w:shd w:val="clear" w:color="auto" w:fill="FFFFFF"/>
          <w:lang w:val="en-US" w:eastAsia="zh-CN" w:bidi="ar-SA"/>
        </w:rPr>
      </w:pPr>
      <w:r>
        <w:rPr>
          <w:rFonts w:hint="eastAsia" w:ascii="宋体" w:hAnsi="宋体" w:eastAsia="宋体" w:cs="宋体"/>
          <w:b/>
          <w:bCs w:val="0"/>
          <w:kern w:val="0"/>
          <w:sz w:val="28"/>
          <w:szCs w:val="28"/>
          <w:shd w:val="clear" w:color="auto" w:fill="FFFFFF"/>
          <w:lang w:val="en-US" w:eastAsia="zh-CN" w:bidi="ar-SA"/>
        </w:rPr>
        <w:t>六、供应商性质</w:t>
      </w:r>
      <w:bookmarkEnd w:id="97"/>
    </w:p>
    <w:p>
      <w:pPr>
        <w:spacing w:before="75" w:line="360" w:lineRule="auto"/>
        <w:ind w:left="22" w:right="128" w:firstLine="487"/>
        <w:rPr>
          <w:rFonts w:hint="eastAsia" w:ascii="宋体" w:hAnsi="宋体" w:eastAsia="宋体" w:cs="宋体"/>
          <w:color w:val="auto"/>
          <w:sz w:val="23"/>
          <w:szCs w:val="23"/>
        </w:rPr>
      </w:pPr>
      <w:r>
        <w:rPr>
          <w:rFonts w:hint="eastAsia" w:ascii="宋体" w:hAnsi="宋体" w:eastAsia="宋体" w:cs="宋体"/>
          <w:color w:val="auto"/>
          <w:spacing w:val="8"/>
          <w:sz w:val="23"/>
          <w:szCs w:val="23"/>
        </w:rPr>
        <w:t>小微企业、残疾人福利性单位投标时，应提供声明函(按下文给定格式)</w:t>
      </w:r>
      <w:r>
        <w:rPr>
          <w:rFonts w:hint="eastAsia" w:ascii="宋体" w:hAnsi="宋体" w:eastAsia="宋体" w:cs="宋体"/>
          <w:color w:val="auto"/>
          <w:spacing w:val="3"/>
          <w:sz w:val="23"/>
          <w:szCs w:val="23"/>
        </w:rPr>
        <w:t>。</w:t>
      </w:r>
      <w:r>
        <w:rPr>
          <w:rFonts w:hint="eastAsia" w:ascii="宋体" w:hAnsi="宋体" w:eastAsia="宋体" w:cs="宋体"/>
          <w:color w:val="auto"/>
          <w:spacing w:val="9"/>
          <w:sz w:val="23"/>
          <w:szCs w:val="23"/>
        </w:rPr>
        <w:t>未</w:t>
      </w:r>
      <w:r>
        <w:rPr>
          <w:rFonts w:hint="eastAsia" w:ascii="宋体" w:hAnsi="宋体" w:eastAsia="宋体" w:cs="宋体"/>
          <w:color w:val="auto"/>
          <w:spacing w:val="7"/>
          <w:sz w:val="23"/>
          <w:szCs w:val="23"/>
        </w:rPr>
        <w:t>提供或未按给定格式提供</w:t>
      </w:r>
      <w:r>
        <w:rPr>
          <w:rFonts w:hint="eastAsia" w:ascii="宋体" w:hAnsi="宋体" w:eastAsia="宋体" w:cs="宋体"/>
          <w:color w:val="auto"/>
          <w:spacing w:val="7"/>
          <w:sz w:val="23"/>
          <w:szCs w:val="23"/>
          <w14:textOutline w14:w="4358" w14:cap="sq" w14:cmpd="sng">
            <w14:solidFill>
              <w14:srgbClr w14:val="000000"/>
            </w14:solidFill>
            <w14:prstDash w14:val="solid"/>
            <w14:bevel/>
          </w14:textOutline>
        </w:rPr>
        <w:t>声明函</w:t>
      </w:r>
      <w:r>
        <w:rPr>
          <w:rFonts w:hint="eastAsia" w:ascii="宋体" w:hAnsi="宋体" w:eastAsia="宋体" w:cs="宋体"/>
          <w:color w:val="auto"/>
          <w:spacing w:val="7"/>
          <w:sz w:val="23"/>
          <w:szCs w:val="23"/>
        </w:rPr>
        <w:t>的，其投标产品中的小型、微型企业产品、残</w:t>
      </w:r>
      <w:r>
        <w:rPr>
          <w:rFonts w:hint="eastAsia" w:ascii="宋体" w:hAnsi="宋体" w:eastAsia="宋体" w:cs="宋体"/>
          <w:color w:val="auto"/>
          <w:sz w:val="23"/>
          <w:szCs w:val="23"/>
        </w:rPr>
        <w:t xml:space="preserve"> </w:t>
      </w:r>
      <w:r>
        <w:rPr>
          <w:rFonts w:hint="eastAsia" w:ascii="宋体" w:hAnsi="宋体" w:eastAsia="宋体" w:cs="宋体"/>
          <w:color w:val="auto"/>
          <w:spacing w:val="9"/>
          <w:sz w:val="23"/>
          <w:szCs w:val="23"/>
        </w:rPr>
        <w:t>疾</w:t>
      </w:r>
      <w:r>
        <w:rPr>
          <w:rFonts w:hint="eastAsia" w:ascii="宋体" w:hAnsi="宋体" w:eastAsia="宋体" w:cs="宋体"/>
          <w:color w:val="auto"/>
          <w:spacing w:val="7"/>
          <w:sz w:val="23"/>
          <w:szCs w:val="23"/>
        </w:rPr>
        <w:t>人福利性单位生产的产品将不能享受</w:t>
      </w:r>
      <w:r>
        <w:rPr>
          <w:rFonts w:hint="eastAsia" w:ascii="宋体" w:hAnsi="宋体" w:eastAsia="宋体" w:cs="宋体"/>
          <w:color w:val="auto"/>
          <w:spacing w:val="7"/>
          <w:sz w:val="23"/>
          <w:szCs w:val="23"/>
          <w:lang w:eastAsia="zh-CN"/>
        </w:rPr>
        <w:t>磋商文件</w:t>
      </w:r>
      <w:r>
        <w:rPr>
          <w:rFonts w:hint="eastAsia" w:ascii="宋体" w:hAnsi="宋体" w:eastAsia="宋体" w:cs="宋体"/>
          <w:color w:val="auto"/>
          <w:spacing w:val="7"/>
          <w:sz w:val="23"/>
          <w:szCs w:val="23"/>
        </w:rPr>
        <w:t>规定的价格扣除，但不影响响应</w:t>
      </w:r>
      <w:r>
        <w:rPr>
          <w:rFonts w:hint="eastAsia" w:ascii="宋体" w:hAnsi="宋体" w:eastAsia="宋体" w:cs="宋体"/>
          <w:color w:val="auto"/>
          <w:sz w:val="23"/>
          <w:szCs w:val="23"/>
        </w:rPr>
        <w:t xml:space="preserve"> </w:t>
      </w:r>
      <w:r>
        <w:rPr>
          <w:rFonts w:hint="eastAsia" w:ascii="宋体" w:hAnsi="宋体" w:eastAsia="宋体" w:cs="宋体"/>
          <w:color w:val="auto"/>
          <w:spacing w:val="9"/>
          <w:sz w:val="23"/>
          <w:szCs w:val="23"/>
        </w:rPr>
        <w:t>文</w:t>
      </w:r>
      <w:r>
        <w:rPr>
          <w:rFonts w:hint="eastAsia" w:ascii="宋体" w:hAnsi="宋体" w:eastAsia="宋体" w:cs="宋体"/>
          <w:color w:val="auto"/>
          <w:spacing w:val="7"/>
          <w:sz w:val="23"/>
          <w:szCs w:val="23"/>
        </w:rPr>
        <w:t>件的有效性。</w:t>
      </w:r>
    </w:p>
    <w:p>
      <w:pPr>
        <w:spacing w:before="2" w:line="360" w:lineRule="auto"/>
        <w:ind w:left="22" w:right="183" w:firstLine="481"/>
        <w:rPr>
          <w:rFonts w:hint="eastAsia" w:ascii="宋体" w:hAnsi="宋体" w:eastAsia="宋体" w:cs="宋体"/>
          <w:color w:val="auto"/>
          <w:sz w:val="23"/>
          <w:szCs w:val="23"/>
        </w:rPr>
      </w:pPr>
      <w:r>
        <w:rPr>
          <w:rFonts w:hint="eastAsia" w:ascii="宋体" w:hAnsi="宋体" w:eastAsia="宋体" w:cs="宋体"/>
          <w:color w:val="auto"/>
          <w:spacing w:val="12"/>
          <w:sz w:val="23"/>
          <w:szCs w:val="23"/>
        </w:rPr>
        <w:t>监狱企</w:t>
      </w:r>
      <w:r>
        <w:rPr>
          <w:rFonts w:hint="eastAsia" w:ascii="宋体" w:hAnsi="宋体" w:eastAsia="宋体" w:cs="宋体"/>
          <w:color w:val="auto"/>
          <w:spacing w:val="10"/>
          <w:sz w:val="23"/>
          <w:szCs w:val="23"/>
        </w:rPr>
        <w:t>业</w:t>
      </w:r>
      <w:r>
        <w:rPr>
          <w:rFonts w:hint="eastAsia" w:ascii="宋体" w:hAnsi="宋体" w:eastAsia="宋体" w:cs="宋体"/>
          <w:color w:val="auto"/>
          <w:spacing w:val="6"/>
          <w:sz w:val="23"/>
          <w:szCs w:val="23"/>
        </w:rPr>
        <w:t>投标时，应当提供由省级以上监狱管理局、戒毒管理局 (含新疆生</w:t>
      </w:r>
      <w:r>
        <w:rPr>
          <w:rFonts w:hint="eastAsia" w:ascii="宋体" w:hAnsi="宋体" w:eastAsia="宋体" w:cs="宋体"/>
          <w:color w:val="auto"/>
          <w:sz w:val="23"/>
          <w:szCs w:val="23"/>
        </w:rPr>
        <w:t xml:space="preserve"> </w:t>
      </w:r>
      <w:r>
        <w:rPr>
          <w:rFonts w:hint="eastAsia" w:ascii="宋体" w:hAnsi="宋体" w:eastAsia="宋体" w:cs="宋体"/>
          <w:color w:val="auto"/>
          <w:spacing w:val="12"/>
          <w:sz w:val="23"/>
          <w:szCs w:val="23"/>
        </w:rPr>
        <w:t>产建设</w:t>
      </w:r>
      <w:r>
        <w:rPr>
          <w:rFonts w:hint="eastAsia" w:ascii="宋体" w:hAnsi="宋体" w:eastAsia="宋体" w:cs="宋体"/>
          <w:color w:val="auto"/>
          <w:spacing w:val="7"/>
          <w:sz w:val="23"/>
          <w:szCs w:val="23"/>
        </w:rPr>
        <w:t>兵</w:t>
      </w:r>
      <w:r>
        <w:rPr>
          <w:rFonts w:hint="eastAsia" w:ascii="宋体" w:hAnsi="宋体" w:eastAsia="宋体" w:cs="宋体"/>
          <w:color w:val="auto"/>
          <w:spacing w:val="6"/>
          <w:sz w:val="23"/>
          <w:szCs w:val="23"/>
        </w:rPr>
        <w:t>团) 出具的属于监狱企业的</w:t>
      </w:r>
      <w:r>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t>证明文件</w:t>
      </w:r>
      <w:r>
        <w:rPr>
          <w:rFonts w:hint="eastAsia" w:ascii="宋体" w:hAnsi="宋体" w:eastAsia="宋体" w:cs="宋体"/>
          <w:color w:val="auto"/>
          <w:spacing w:val="6"/>
          <w:sz w:val="23"/>
          <w:szCs w:val="23"/>
        </w:rPr>
        <w:t xml:space="preserve"> (格式不做要求) 。未提供证明文</w:t>
      </w:r>
      <w:r>
        <w:rPr>
          <w:rFonts w:hint="eastAsia" w:ascii="宋体" w:hAnsi="宋体" w:eastAsia="宋体" w:cs="宋体"/>
          <w:color w:val="auto"/>
          <w:sz w:val="23"/>
          <w:szCs w:val="23"/>
        </w:rPr>
        <w:t xml:space="preserve"> </w:t>
      </w:r>
      <w:r>
        <w:rPr>
          <w:rFonts w:hint="eastAsia" w:ascii="宋体" w:hAnsi="宋体" w:eastAsia="宋体" w:cs="宋体"/>
          <w:color w:val="auto"/>
          <w:spacing w:val="18"/>
          <w:sz w:val="23"/>
          <w:szCs w:val="23"/>
        </w:rPr>
        <w:t>件</w:t>
      </w:r>
      <w:r>
        <w:rPr>
          <w:rFonts w:hint="eastAsia" w:ascii="宋体" w:hAnsi="宋体" w:eastAsia="宋体" w:cs="宋体"/>
          <w:color w:val="auto"/>
          <w:spacing w:val="12"/>
          <w:sz w:val="23"/>
          <w:szCs w:val="23"/>
        </w:rPr>
        <w:t>的</w:t>
      </w:r>
      <w:r>
        <w:rPr>
          <w:rFonts w:hint="eastAsia" w:ascii="宋体" w:hAnsi="宋体" w:eastAsia="宋体" w:cs="宋体"/>
          <w:color w:val="auto"/>
          <w:spacing w:val="9"/>
          <w:sz w:val="23"/>
          <w:szCs w:val="23"/>
        </w:rPr>
        <w:t>不能享受</w:t>
      </w:r>
      <w:r>
        <w:rPr>
          <w:rFonts w:hint="eastAsia" w:ascii="宋体" w:hAnsi="宋体" w:eastAsia="宋体" w:cs="宋体"/>
          <w:color w:val="auto"/>
          <w:spacing w:val="9"/>
          <w:sz w:val="23"/>
          <w:szCs w:val="23"/>
          <w:lang w:eastAsia="zh-CN"/>
        </w:rPr>
        <w:t>磋商文件</w:t>
      </w:r>
      <w:r>
        <w:rPr>
          <w:rFonts w:hint="eastAsia" w:ascii="宋体" w:hAnsi="宋体" w:eastAsia="宋体" w:cs="宋体"/>
          <w:color w:val="auto"/>
          <w:spacing w:val="9"/>
          <w:sz w:val="23"/>
          <w:szCs w:val="23"/>
        </w:rPr>
        <w:t>规定的价格扣除，但不影响响应文件的有效性。</w:t>
      </w:r>
    </w:p>
    <w:p>
      <w:pPr>
        <w:spacing w:before="2" w:line="360" w:lineRule="auto"/>
        <w:ind w:left="24" w:firstLine="478"/>
        <w:rPr>
          <w:rFonts w:hint="eastAsia" w:ascii="宋体" w:hAnsi="宋体" w:eastAsia="宋体" w:cs="宋体"/>
          <w:color w:val="auto"/>
          <w:sz w:val="23"/>
          <w:szCs w:val="23"/>
        </w:rPr>
      </w:pPr>
      <w:r>
        <w:rPr>
          <w:rFonts w:hint="eastAsia" w:ascii="宋体" w:hAnsi="宋体" w:eastAsia="宋体" w:cs="宋体"/>
          <w:color w:val="auto"/>
          <w:spacing w:val="10"/>
          <w:sz w:val="23"/>
          <w:szCs w:val="23"/>
          <w:lang w:eastAsia="zh-CN"/>
        </w:rPr>
        <w:t>磋商文件</w:t>
      </w:r>
      <w:r>
        <w:rPr>
          <w:rFonts w:hint="eastAsia" w:ascii="宋体" w:hAnsi="宋体" w:eastAsia="宋体" w:cs="宋体"/>
          <w:color w:val="auto"/>
          <w:spacing w:val="5"/>
          <w:sz w:val="23"/>
          <w:szCs w:val="23"/>
        </w:rPr>
        <w:t>允许联合体投标的，联合体成员应分别提供上述声明函或证明文件，</w:t>
      </w:r>
      <w:r>
        <w:rPr>
          <w:rFonts w:hint="eastAsia" w:ascii="宋体" w:hAnsi="宋体" w:eastAsia="宋体" w:cs="宋体"/>
          <w:color w:val="auto"/>
          <w:sz w:val="23"/>
          <w:szCs w:val="23"/>
        </w:rPr>
        <w:t xml:space="preserve"> </w:t>
      </w:r>
      <w:r>
        <w:rPr>
          <w:rFonts w:hint="eastAsia" w:ascii="宋体" w:hAnsi="宋体" w:eastAsia="宋体" w:cs="宋体"/>
          <w:color w:val="auto"/>
          <w:spacing w:val="8"/>
          <w:sz w:val="23"/>
          <w:szCs w:val="23"/>
        </w:rPr>
        <w:t>此</w:t>
      </w:r>
      <w:r>
        <w:rPr>
          <w:rFonts w:hint="eastAsia" w:ascii="宋体" w:hAnsi="宋体" w:eastAsia="宋体" w:cs="宋体"/>
          <w:color w:val="auto"/>
          <w:spacing w:val="7"/>
          <w:sz w:val="23"/>
          <w:szCs w:val="23"/>
        </w:rPr>
        <w:t>外，还须按下文给定格式提供联合体协议书。投标联合体未提供联合体协议书</w:t>
      </w:r>
      <w:r>
        <w:rPr>
          <w:rFonts w:hint="eastAsia" w:ascii="宋体" w:hAnsi="宋体" w:eastAsia="宋体" w:cs="宋体"/>
          <w:color w:val="auto"/>
          <w:sz w:val="23"/>
          <w:szCs w:val="23"/>
        </w:rPr>
        <w:t xml:space="preserve"> </w:t>
      </w:r>
      <w:r>
        <w:rPr>
          <w:rFonts w:hint="eastAsia" w:ascii="宋体" w:hAnsi="宋体" w:eastAsia="宋体" w:cs="宋体"/>
          <w:color w:val="auto"/>
          <w:spacing w:val="8"/>
          <w:sz w:val="23"/>
          <w:szCs w:val="23"/>
        </w:rPr>
        <w:t>的，其响应文件无效</w:t>
      </w:r>
      <w:r>
        <w:rPr>
          <w:rFonts w:hint="eastAsia" w:ascii="宋体" w:hAnsi="宋体" w:eastAsia="宋体" w:cs="宋体"/>
          <w:color w:val="auto"/>
          <w:spacing w:val="7"/>
          <w:sz w:val="23"/>
          <w:szCs w:val="23"/>
        </w:rPr>
        <w:t>。</w:t>
      </w:r>
    </w:p>
    <w:p>
      <w:pPr>
        <w:spacing w:before="2" w:line="360" w:lineRule="auto"/>
        <w:ind w:left="24" w:right="183" w:firstLine="482"/>
        <w:rPr>
          <w:rFonts w:hint="eastAsia" w:ascii="宋体" w:hAnsi="宋体" w:eastAsia="宋体" w:cs="宋体"/>
          <w:color w:val="auto"/>
          <w:sz w:val="23"/>
          <w:szCs w:val="23"/>
        </w:rPr>
      </w:pPr>
      <w:r>
        <w:rPr>
          <w:rFonts w:hint="eastAsia" w:ascii="宋体" w:hAnsi="宋体" w:eastAsia="宋体" w:cs="宋体"/>
          <w:color w:val="auto"/>
          <w:spacing w:val="12"/>
          <w:sz w:val="23"/>
          <w:szCs w:val="23"/>
        </w:rPr>
        <w:t>非小微企</w:t>
      </w:r>
      <w:r>
        <w:rPr>
          <w:rFonts w:hint="eastAsia" w:ascii="宋体" w:hAnsi="宋体" w:eastAsia="宋体" w:cs="宋体"/>
          <w:color w:val="auto"/>
          <w:spacing w:val="7"/>
          <w:sz w:val="23"/>
          <w:szCs w:val="23"/>
        </w:rPr>
        <w:t>业</w:t>
      </w:r>
      <w:r>
        <w:rPr>
          <w:rFonts w:hint="eastAsia" w:ascii="宋体" w:hAnsi="宋体" w:eastAsia="宋体" w:cs="宋体"/>
          <w:color w:val="auto"/>
          <w:spacing w:val="6"/>
          <w:sz w:val="23"/>
          <w:szCs w:val="23"/>
        </w:rPr>
        <w:t>、残疾人福利性单位、监狱企业，也无联合体情况的，可不提供</w:t>
      </w:r>
      <w:r>
        <w:rPr>
          <w:rFonts w:hint="eastAsia" w:ascii="宋体" w:hAnsi="宋体" w:eastAsia="宋体" w:cs="宋体"/>
          <w:color w:val="auto"/>
          <w:sz w:val="23"/>
          <w:szCs w:val="23"/>
        </w:rPr>
        <w:t xml:space="preserve"> </w:t>
      </w:r>
      <w:r>
        <w:rPr>
          <w:rFonts w:hint="eastAsia" w:ascii="宋体" w:hAnsi="宋体" w:eastAsia="宋体" w:cs="宋体"/>
          <w:color w:val="auto"/>
          <w:spacing w:val="6"/>
          <w:sz w:val="23"/>
          <w:szCs w:val="23"/>
        </w:rPr>
        <w:t>此项内容</w:t>
      </w:r>
      <w:r>
        <w:rPr>
          <w:rFonts w:hint="eastAsia" w:ascii="宋体" w:hAnsi="宋体" w:eastAsia="宋体" w:cs="宋体"/>
          <w:color w:val="auto"/>
          <w:spacing w:val="5"/>
          <w:sz w:val="23"/>
          <w:szCs w:val="23"/>
        </w:rPr>
        <w:t>。</w:t>
      </w:r>
    </w:p>
    <w:p>
      <w:pPr>
        <w:spacing w:line="360" w:lineRule="auto"/>
        <w:rPr>
          <w:rFonts w:hint="eastAsia" w:ascii="宋体" w:hAnsi="宋体" w:eastAsia="宋体" w:cs="宋体"/>
          <w:color w:val="auto"/>
        </w:rPr>
        <w:sectPr>
          <w:footerReference r:id="rId13" w:type="default"/>
          <w:pgSz w:w="11906" w:h="16839"/>
          <w:pgMar w:top="1431" w:right="1616" w:bottom="1166" w:left="1785" w:header="850" w:footer="992" w:gutter="0"/>
          <w:pgNumType w:fmt="decimal"/>
          <w:cols w:space="720" w:num="1"/>
        </w:sectPr>
      </w:pPr>
    </w:p>
    <w:p>
      <w:pPr>
        <w:spacing w:before="324" w:line="360" w:lineRule="auto"/>
        <w:ind w:firstLine="3068" w:firstLineChars="1300"/>
        <w:rPr>
          <w:rFonts w:hint="eastAsia" w:ascii="宋体" w:hAnsi="宋体" w:eastAsia="宋体" w:cs="宋体"/>
          <w:color w:val="auto"/>
          <w:sz w:val="24"/>
          <w:szCs w:val="24"/>
        </w:rPr>
      </w:pPr>
      <w:r>
        <w:rPr>
          <w:rFonts w:hint="eastAsia" w:ascii="宋体" w:hAnsi="宋体" w:eastAsia="宋体" w:cs="宋体"/>
          <w:color w:val="auto"/>
          <w:spacing w:val="-2"/>
          <w:sz w:val="24"/>
          <w:szCs w:val="24"/>
          <w14:textOutline w14:w="5103" w14:cap="sq" w14:cmpd="sng">
            <w14:solidFill>
              <w14:srgbClr w14:val="000000"/>
            </w14:solidFill>
            <w14:prstDash w14:val="solid"/>
            <w14:bevel/>
          </w14:textOutline>
        </w:rPr>
        <w:t>小微企业</w:t>
      </w:r>
      <w:r>
        <w:rPr>
          <w:rFonts w:hint="eastAsia" w:ascii="宋体" w:hAnsi="宋体" w:eastAsia="宋体" w:cs="宋体"/>
          <w:color w:val="auto"/>
          <w:spacing w:val="-1"/>
          <w:sz w:val="24"/>
          <w:szCs w:val="24"/>
          <w14:textOutline w14:w="5103" w14:cap="sq" w14:cmpd="sng">
            <w14:solidFill>
              <w14:srgbClr w14:val="000000"/>
            </w14:solidFill>
            <w14:prstDash w14:val="solid"/>
            <w14:bevel/>
          </w14:textOutline>
        </w:rPr>
        <w:t>声明函</w:t>
      </w:r>
    </w:p>
    <w:p>
      <w:pPr>
        <w:tabs>
          <w:tab w:val="left" w:pos="148"/>
        </w:tabs>
        <w:spacing w:before="200" w:line="360" w:lineRule="auto"/>
        <w:ind w:left="24" w:firstLine="480"/>
        <w:rPr>
          <w:rFonts w:hint="eastAsia" w:ascii="宋体" w:hAnsi="宋体" w:eastAsia="宋体" w:cs="宋体"/>
          <w:color w:val="auto"/>
          <w:sz w:val="23"/>
          <w:szCs w:val="23"/>
        </w:rPr>
      </w:pPr>
      <w:r>
        <w:rPr>
          <w:rFonts w:hint="eastAsia" w:ascii="宋体" w:hAnsi="宋体" w:eastAsia="宋体" w:cs="宋体"/>
          <w:color w:val="auto"/>
          <w:spacing w:val="16"/>
          <w:sz w:val="23"/>
          <w:szCs w:val="23"/>
        </w:rPr>
        <w:t>本公司</w:t>
      </w:r>
      <w:r>
        <w:rPr>
          <w:rFonts w:hint="eastAsia" w:ascii="宋体" w:hAnsi="宋体" w:eastAsia="宋体" w:cs="宋体"/>
          <w:color w:val="auto"/>
          <w:spacing w:val="9"/>
          <w:sz w:val="23"/>
          <w:szCs w:val="23"/>
        </w:rPr>
        <w:t xml:space="preserve"> </w:t>
      </w:r>
      <w:r>
        <w:rPr>
          <w:rFonts w:hint="eastAsia" w:ascii="宋体" w:hAnsi="宋体" w:eastAsia="宋体" w:cs="宋体"/>
          <w:color w:val="auto"/>
          <w:spacing w:val="8"/>
          <w:sz w:val="23"/>
          <w:szCs w:val="23"/>
        </w:rPr>
        <w:t>(联合体) 郑重声明，根据《政府采购促进中小企业发展管理办法》</w:t>
      </w:r>
      <w:r>
        <w:rPr>
          <w:rFonts w:hint="eastAsia" w:ascii="宋体" w:hAnsi="宋体" w:eastAsia="宋体" w:cs="宋体"/>
          <w:color w:val="auto"/>
          <w:sz w:val="23"/>
          <w:szCs w:val="23"/>
        </w:rPr>
        <w:t xml:space="preserve"> </w:t>
      </w:r>
      <w:r>
        <w:rPr>
          <w:rFonts w:hint="eastAsia" w:ascii="宋体" w:hAnsi="宋体" w:eastAsia="宋体" w:cs="宋体"/>
          <w:color w:val="auto"/>
          <w:sz w:val="23"/>
          <w:szCs w:val="23"/>
        </w:rPr>
        <w:tab/>
      </w:r>
      <w:r>
        <w:rPr>
          <w:rFonts w:hint="eastAsia" w:ascii="宋体" w:hAnsi="宋体" w:eastAsia="宋体" w:cs="宋体"/>
          <w:color w:val="auto"/>
          <w:spacing w:val="-4"/>
          <w:sz w:val="23"/>
          <w:szCs w:val="23"/>
        </w:rPr>
        <w:t>(财库﹝2</w:t>
      </w:r>
      <w:r>
        <w:rPr>
          <w:rFonts w:hint="eastAsia" w:ascii="宋体" w:hAnsi="宋体" w:eastAsia="宋体" w:cs="宋体"/>
          <w:color w:val="auto"/>
          <w:spacing w:val="-3"/>
          <w:sz w:val="23"/>
          <w:szCs w:val="23"/>
        </w:rPr>
        <w:t>0</w:t>
      </w:r>
      <w:r>
        <w:rPr>
          <w:rFonts w:hint="eastAsia" w:ascii="宋体" w:hAnsi="宋体" w:eastAsia="宋体" w:cs="宋体"/>
          <w:color w:val="auto"/>
          <w:spacing w:val="-2"/>
          <w:sz w:val="23"/>
          <w:szCs w:val="23"/>
        </w:rPr>
        <w:t>20﹞46号) 的规定，本公司 (联合体) 参加</w:t>
      </w:r>
      <w:r>
        <w:rPr>
          <w:rFonts w:hint="eastAsia" w:ascii="宋体" w:hAnsi="宋体" w:eastAsia="宋体" w:cs="宋体"/>
          <w:color w:val="auto"/>
          <w:spacing w:val="-2"/>
          <w:sz w:val="23"/>
          <w:szCs w:val="23"/>
          <w:u w:val="single" w:color="auto"/>
        </w:rPr>
        <w:t xml:space="preserve"> (单位名称) </w:t>
      </w:r>
      <w:r>
        <w:rPr>
          <w:rFonts w:hint="eastAsia" w:ascii="宋体" w:hAnsi="宋体" w:eastAsia="宋体" w:cs="宋体"/>
          <w:color w:val="auto"/>
          <w:spacing w:val="-2"/>
          <w:sz w:val="23"/>
          <w:szCs w:val="23"/>
        </w:rPr>
        <w:t>的</w:t>
      </w:r>
      <w:r>
        <w:rPr>
          <w:rFonts w:hint="eastAsia" w:ascii="宋体" w:hAnsi="宋体" w:eastAsia="宋体" w:cs="宋体"/>
          <w:color w:val="auto"/>
          <w:spacing w:val="-2"/>
          <w:sz w:val="23"/>
          <w:szCs w:val="23"/>
          <w:u w:val="single" w:color="auto"/>
        </w:rPr>
        <w:t xml:space="preserve"> (项目</w:t>
      </w:r>
      <w:r>
        <w:rPr>
          <w:rFonts w:hint="eastAsia" w:ascii="宋体" w:hAnsi="宋体" w:eastAsia="宋体" w:cs="宋体"/>
          <w:color w:val="auto"/>
          <w:sz w:val="23"/>
          <w:szCs w:val="23"/>
        </w:rPr>
        <w:t xml:space="preserve"> </w:t>
      </w:r>
      <w:r>
        <w:rPr>
          <w:rFonts w:hint="eastAsia" w:ascii="宋体" w:hAnsi="宋体" w:eastAsia="宋体" w:cs="宋体"/>
          <w:color w:val="auto"/>
          <w:spacing w:val="7"/>
          <w:sz w:val="23"/>
          <w:szCs w:val="23"/>
          <w:u w:val="single" w:color="auto"/>
        </w:rPr>
        <w:t>名称)</w:t>
      </w:r>
      <w:r>
        <w:rPr>
          <w:rFonts w:hint="eastAsia" w:ascii="宋体" w:hAnsi="宋体" w:eastAsia="宋体" w:cs="宋体"/>
          <w:color w:val="auto"/>
          <w:spacing w:val="7"/>
          <w:sz w:val="23"/>
          <w:szCs w:val="23"/>
        </w:rPr>
        <w:t>采购活动，提供的货物全部由符合政策要求的小微企业制造。相关企业(</w:t>
      </w:r>
      <w:r>
        <w:rPr>
          <w:rFonts w:hint="eastAsia" w:ascii="宋体" w:hAnsi="宋体" w:eastAsia="宋体" w:cs="宋体"/>
          <w:color w:val="auto"/>
          <w:spacing w:val="1"/>
          <w:sz w:val="23"/>
          <w:szCs w:val="23"/>
        </w:rPr>
        <w:t>含</w:t>
      </w:r>
      <w:r>
        <w:rPr>
          <w:rFonts w:hint="eastAsia" w:ascii="宋体" w:hAnsi="宋体" w:eastAsia="宋体" w:cs="宋体"/>
          <w:color w:val="auto"/>
          <w:sz w:val="23"/>
          <w:szCs w:val="23"/>
        </w:rPr>
        <w:t xml:space="preserve"> </w:t>
      </w:r>
      <w:r>
        <w:rPr>
          <w:rFonts w:hint="eastAsia" w:ascii="宋体" w:hAnsi="宋体" w:eastAsia="宋体" w:cs="宋体"/>
          <w:color w:val="auto"/>
          <w:spacing w:val="11"/>
          <w:sz w:val="23"/>
          <w:szCs w:val="23"/>
        </w:rPr>
        <w:t>联</w:t>
      </w:r>
      <w:r>
        <w:rPr>
          <w:rFonts w:hint="eastAsia" w:ascii="宋体" w:hAnsi="宋体" w:eastAsia="宋体" w:cs="宋体"/>
          <w:color w:val="auto"/>
          <w:spacing w:val="9"/>
          <w:sz w:val="23"/>
          <w:szCs w:val="23"/>
        </w:rPr>
        <w:t>合体中的小微企业、签订分包意向协议的小微企业) 的具体情况如下：</w:t>
      </w:r>
    </w:p>
    <w:p>
      <w:pPr>
        <w:tabs>
          <w:tab w:val="left" w:pos="148"/>
        </w:tabs>
        <w:spacing w:before="1" w:line="360" w:lineRule="auto"/>
        <w:ind w:left="14" w:right="79" w:firstLine="507"/>
        <w:rPr>
          <w:rFonts w:hint="eastAsia" w:ascii="宋体" w:hAnsi="宋体" w:eastAsia="宋体" w:cs="宋体"/>
          <w:color w:val="auto"/>
          <w:sz w:val="23"/>
          <w:szCs w:val="23"/>
        </w:rPr>
      </w:pPr>
      <w:r>
        <w:rPr>
          <w:rFonts w:hint="eastAsia" w:ascii="宋体" w:hAnsi="宋体" w:eastAsia="宋体" w:cs="宋体"/>
          <w:color w:val="auto"/>
          <w:spacing w:val="-6"/>
          <w:sz w:val="23"/>
          <w:szCs w:val="23"/>
        </w:rPr>
        <w:t xml:space="preserve">1. </w:t>
      </w:r>
      <w:r>
        <w:rPr>
          <w:rFonts w:hint="eastAsia" w:ascii="宋体" w:hAnsi="宋体" w:eastAsia="宋体" w:cs="宋体"/>
          <w:color w:val="auto"/>
          <w:spacing w:val="-4"/>
          <w:sz w:val="23"/>
          <w:szCs w:val="23"/>
          <w:u w:val="single" w:color="auto"/>
        </w:rPr>
        <w:t xml:space="preserve"> </w:t>
      </w:r>
      <w:r>
        <w:rPr>
          <w:rFonts w:hint="eastAsia" w:ascii="宋体" w:hAnsi="宋体" w:eastAsia="宋体" w:cs="宋体"/>
          <w:color w:val="auto"/>
          <w:spacing w:val="-3"/>
          <w:sz w:val="23"/>
          <w:szCs w:val="23"/>
          <w:u w:val="single" w:color="auto"/>
        </w:rPr>
        <w:t xml:space="preserve">(标的名称) </w:t>
      </w:r>
      <w:r>
        <w:rPr>
          <w:rFonts w:hint="eastAsia" w:ascii="宋体" w:hAnsi="宋体" w:eastAsia="宋体" w:cs="宋体"/>
          <w:color w:val="auto"/>
          <w:spacing w:val="-3"/>
          <w:sz w:val="23"/>
          <w:szCs w:val="23"/>
        </w:rPr>
        <w:t xml:space="preserve"> ，属于</w:t>
      </w:r>
      <w:r>
        <w:rPr>
          <w:rFonts w:hint="eastAsia" w:ascii="宋体" w:hAnsi="宋体" w:eastAsia="宋体" w:cs="宋体"/>
          <w:color w:val="auto"/>
          <w:spacing w:val="-3"/>
          <w:sz w:val="23"/>
          <w:szCs w:val="23"/>
          <w:u w:val="single" w:color="auto"/>
        </w:rPr>
        <w:t xml:space="preserve"> (采购文件中明确的所属行业) </w:t>
      </w:r>
      <w:r>
        <w:rPr>
          <w:rFonts w:hint="eastAsia" w:ascii="宋体" w:hAnsi="宋体" w:eastAsia="宋体" w:cs="宋体"/>
          <w:color w:val="auto"/>
          <w:spacing w:val="-3"/>
          <w:sz w:val="23"/>
          <w:szCs w:val="23"/>
        </w:rPr>
        <w:t>行业；制造商为</w:t>
      </w:r>
      <w:r>
        <w:rPr>
          <w:rFonts w:hint="eastAsia" w:ascii="宋体" w:hAnsi="宋体" w:eastAsia="宋体" w:cs="宋体"/>
          <w:color w:val="auto"/>
          <w:spacing w:val="-3"/>
          <w:sz w:val="23"/>
          <w:szCs w:val="23"/>
          <w:u w:val="single" w:color="auto"/>
        </w:rPr>
        <w:t xml:space="preserve"> ( 企</w:t>
      </w:r>
      <w:r>
        <w:rPr>
          <w:rFonts w:hint="eastAsia" w:ascii="宋体" w:hAnsi="宋体" w:eastAsia="宋体" w:cs="宋体"/>
          <w:color w:val="auto"/>
          <w:sz w:val="23"/>
          <w:szCs w:val="23"/>
        </w:rPr>
        <w:t xml:space="preserve"> </w:t>
      </w:r>
      <w:r>
        <w:rPr>
          <w:rFonts w:hint="eastAsia" w:ascii="宋体" w:hAnsi="宋体" w:eastAsia="宋体" w:cs="宋体"/>
          <w:color w:val="auto"/>
          <w:spacing w:val="10"/>
          <w:sz w:val="23"/>
          <w:szCs w:val="23"/>
          <w:u w:val="single" w:color="auto"/>
        </w:rPr>
        <w:t>业</w:t>
      </w:r>
      <w:r>
        <w:rPr>
          <w:rFonts w:hint="eastAsia" w:ascii="宋体" w:hAnsi="宋体" w:eastAsia="宋体" w:cs="宋体"/>
          <w:color w:val="auto"/>
          <w:spacing w:val="6"/>
          <w:sz w:val="23"/>
          <w:szCs w:val="23"/>
          <w:u w:val="single" w:color="auto"/>
        </w:rPr>
        <w:t xml:space="preserve">名称) </w:t>
      </w:r>
      <w:r>
        <w:rPr>
          <w:rFonts w:hint="eastAsia" w:ascii="宋体" w:hAnsi="宋体" w:eastAsia="宋体" w:cs="宋体"/>
          <w:color w:val="auto"/>
          <w:spacing w:val="6"/>
          <w:sz w:val="23"/>
          <w:szCs w:val="23"/>
        </w:rPr>
        <w:t>，从业人员</w:t>
      </w:r>
      <w:r>
        <w:rPr>
          <w:rFonts w:hint="eastAsia" w:ascii="宋体" w:hAnsi="宋体" w:eastAsia="宋体" w:cs="宋体"/>
          <w:color w:val="auto"/>
          <w:spacing w:val="6"/>
          <w:sz w:val="23"/>
          <w:szCs w:val="23"/>
          <w:u w:val="single" w:color="auto"/>
        </w:rPr>
        <w:t xml:space="preserve">    </w:t>
      </w:r>
      <w:r>
        <w:rPr>
          <w:rFonts w:hint="eastAsia" w:ascii="宋体" w:hAnsi="宋体" w:eastAsia="宋体" w:cs="宋体"/>
          <w:color w:val="auto"/>
          <w:spacing w:val="6"/>
          <w:sz w:val="23"/>
          <w:szCs w:val="23"/>
        </w:rPr>
        <w:t xml:space="preserve"> 人，营业收入为</w:t>
      </w:r>
      <w:r>
        <w:rPr>
          <w:rFonts w:hint="eastAsia" w:ascii="宋体" w:hAnsi="宋体" w:eastAsia="宋体" w:cs="宋体"/>
          <w:color w:val="auto"/>
          <w:spacing w:val="6"/>
          <w:sz w:val="23"/>
          <w:szCs w:val="23"/>
          <w:u w:val="single" w:color="auto"/>
        </w:rPr>
        <w:t xml:space="preserve">    </w:t>
      </w:r>
      <w:r>
        <w:rPr>
          <w:rFonts w:hint="eastAsia" w:ascii="宋体" w:hAnsi="宋体" w:eastAsia="宋体" w:cs="宋体"/>
          <w:color w:val="auto"/>
          <w:spacing w:val="6"/>
          <w:sz w:val="23"/>
          <w:szCs w:val="23"/>
        </w:rPr>
        <w:t>万元，资产总额为</w:t>
      </w:r>
      <w:r>
        <w:rPr>
          <w:rFonts w:hint="eastAsia" w:ascii="宋体" w:hAnsi="宋体" w:eastAsia="宋体" w:cs="宋体"/>
          <w:color w:val="auto"/>
          <w:spacing w:val="6"/>
          <w:sz w:val="23"/>
          <w:szCs w:val="23"/>
          <w:u w:val="single" w:color="auto"/>
        </w:rPr>
        <w:t xml:space="preserve">   </w:t>
      </w:r>
      <w:r>
        <w:rPr>
          <w:rFonts w:hint="eastAsia" w:ascii="宋体" w:hAnsi="宋体" w:eastAsia="宋体" w:cs="宋体"/>
          <w:color w:val="auto"/>
          <w:spacing w:val="6"/>
          <w:sz w:val="23"/>
          <w:szCs w:val="23"/>
        </w:rPr>
        <w:t>万元，属于</w:t>
      </w:r>
      <w:r>
        <w:rPr>
          <w:rFonts w:hint="eastAsia" w:ascii="宋体" w:hAnsi="宋体" w:eastAsia="宋体" w:cs="宋体"/>
          <w:color w:val="auto"/>
          <w:sz w:val="23"/>
          <w:szCs w:val="23"/>
        </w:rPr>
        <w:t xml:space="preserve"> </w:t>
      </w:r>
      <w:r>
        <w:rPr>
          <w:rFonts w:hint="eastAsia" w:ascii="宋体" w:hAnsi="宋体" w:eastAsia="宋体" w:cs="宋体"/>
          <w:color w:val="auto"/>
          <w:sz w:val="23"/>
          <w:szCs w:val="23"/>
          <w:u w:val="single" w:color="auto"/>
        </w:rPr>
        <w:tab/>
      </w:r>
      <w:r>
        <w:rPr>
          <w:rFonts w:hint="eastAsia" w:ascii="宋体" w:hAnsi="宋体" w:eastAsia="宋体" w:cs="宋体"/>
          <w:color w:val="auto"/>
          <w:spacing w:val="7"/>
          <w:sz w:val="23"/>
          <w:szCs w:val="23"/>
          <w:u w:val="single" w:color="auto"/>
        </w:rPr>
        <w:t xml:space="preserve">(小型企业、微型企业) </w:t>
      </w:r>
      <w:r>
        <w:rPr>
          <w:rFonts w:hint="eastAsia" w:ascii="宋体" w:hAnsi="宋体" w:eastAsia="宋体" w:cs="宋体"/>
          <w:color w:val="auto"/>
          <w:spacing w:val="7"/>
          <w:sz w:val="23"/>
          <w:szCs w:val="23"/>
        </w:rPr>
        <w:t>；</w:t>
      </w:r>
    </w:p>
    <w:p>
      <w:pPr>
        <w:spacing w:before="1" w:line="360" w:lineRule="auto"/>
        <w:ind w:left="22" w:right="79" w:firstLine="483"/>
        <w:rPr>
          <w:rFonts w:hint="eastAsia" w:ascii="宋体" w:hAnsi="宋体" w:eastAsia="宋体" w:cs="宋体"/>
          <w:color w:val="auto"/>
          <w:sz w:val="23"/>
          <w:szCs w:val="23"/>
        </w:rPr>
      </w:pPr>
      <w:r>
        <w:rPr>
          <w:rFonts w:hint="eastAsia" w:ascii="宋体" w:hAnsi="宋体" w:eastAsia="宋体" w:cs="宋体"/>
          <w:color w:val="auto"/>
          <w:spacing w:val="-1"/>
          <w:sz w:val="23"/>
          <w:szCs w:val="23"/>
        </w:rPr>
        <w:t xml:space="preserve">2. </w:t>
      </w:r>
      <w:r>
        <w:rPr>
          <w:rFonts w:hint="eastAsia" w:ascii="宋体" w:hAnsi="宋体" w:eastAsia="宋体" w:cs="宋体"/>
          <w:color w:val="auto"/>
          <w:spacing w:val="-1"/>
          <w:sz w:val="23"/>
          <w:szCs w:val="23"/>
          <w:u w:val="single" w:color="auto"/>
        </w:rPr>
        <w:t xml:space="preserve"> (标</w:t>
      </w:r>
      <w:r>
        <w:rPr>
          <w:rFonts w:hint="eastAsia" w:ascii="宋体" w:hAnsi="宋体" w:eastAsia="宋体" w:cs="宋体"/>
          <w:color w:val="auto"/>
          <w:sz w:val="23"/>
          <w:szCs w:val="23"/>
          <w:u w:val="single" w:color="auto"/>
        </w:rPr>
        <w:t xml:space="preserve">的名称) </w:t>
      </w:r>
      <w:r>
        <w:rPr>
          <w:rFonts w:hint="eastAsia" w:ascii="宋体" w:hAnsi="宋体" w:eastAsia="宋体" w:cs="宋体"/>
          <w:color w:val="auto"/>
          <w:sz w:val="23"/>
          <w:szCs w:val="23"/>
        </w:rPr>
        <w:t>，属于</w:t>
      </w:r>
      <w:r>
        <w:rPr>
          <w:rFonts w:hint="eastAsia" w:ascii="宋体" w:hAnsi="宋体" w:eastAsia="宋体" w:cs="宋体"/>
          <w:color w:val="auto"/>
          <w:sz w:val="23"/>
          <w:szCs w:val="23"/>
          <w:u w:val="single" w:color="auto"/>
        </w:rPr>
        <w:t xml:space="preserve"> (采购文件中明确的所属行业) </w:t>
      </w:r>
      <w:r>
        <w:rPr>
          <w:rFonts w:hint="eastAsia" w:ascii="宋体" w:hAnsi="宋体" w:eastAsia="宋体" w:cs="宋体"/>
          <w:color w:val="auto"/>
          <w:sz w:val="23"/>
          <w:szCs w:val="23"/>
        </w:rPr>
        <w:t>行业；制造商为</w:t>
      </w:r>
      <w:r>
        <w:rPr>
          <w:rFonts w:hint="eastAsia" w:ascii="宋体" w:hAnsi="宋体" w:eastAsia="宋体" w:cs="宋体"/>
          <w:color w:val="auto"/>
          <w:sz w:val="23"/>
          <w:szCs w:val="23"/>
          <w:u w:val="single" w:color="auto"/>
        </w:rPr>
        <w:t xml:space="preserve"> ( 企</w:t>
      </w:r>
      <w:r>
        <w:rPr>
          <w:rFonts w:hint="eastAsia" w:ascii="宋体" w:hAnsi="宋体" w:eastAsia="宋体" w:cs="宋体"/>
          <w:color w:val="auto"/>
          <w:sz w:val="23"/>
          <w:szCs w:val="23"/>
        </w:rPr>
        <w:t xml:space="preserve"> </w:t>
      </w:r>
      <w:r>
        <w:rPr>
          <w:rFonts w:hint="eastAsia" w:ascii="宋体" w:hAnsi="宋体" w:eastAsia="宋体" w:cs="宋体"/>
          <w:color w:val="auto"/>
          <w:spacing w:val="6"/>
          <w:sz w:val="23"/>
          <w:szCs w:val="23"/>
          <w:u w:val="single" w:color="auto"/>
        </w:rPr>
        <w:t>业名</w:t>
      </w:r>
      <w:r>
        <w:rPr>
          <w:rFonts w:hint="eastAsia" w:ascii="宋体" w:hAnsi="宋体" w:eastAsia="宋体" w:cs="宋体"/>
          <w:color w:val="auto"/>
          <w:spacing w:val="3"/>
          <w:sz w:val="23"/>
          <w:szCs w:val="23"/>
          <w:u w:val="single" w:color="auto"/>
        </w:rPr>
        <w:t xml:space="preserve">称) </w:t>
      </w:r>
      <w:r>
        <w:rPr>
          <w:rFonts w:hint="eastAsia" w:ascii="宋体" w:hAnsi="宋体" w:eastAsia="宋体" w:cs="宋体"/>
          <w:color w:val="auto"/>
          <w:spacing w:val="3"/>
          <w:sz w:val="23"/>
          <w:szCs w:val="23"/>
        </w:rPr>
        <w:t>，从业人员</w:t>
      </w:r>
      <w:r>
        <w:rPr>
          <w:rFonts w:hint="eastAsia" w:ascii="宋体" w:hAnsi="宋体" w:eastAsia="宋体" w:cs="宋体"/>
          <w:color w:val="auto"/>
          <w:spacing w:val="3"/>
          <w:sz w:val="23"/>
          <w:szCs w:val="23"/>
          <w:u w:val="single" w:color="auto"/>
        </w:rPr>
        <w:t xml:space="preserve">   </w:t>
      </w:r>
      <w:r>
        <w:rPr>
          <w:rFonts w:hint="eastAsia" w:ascii="宋体" w:hAnsi="宋体" w:eastAsia="宋体" w:cs="宋体"/>
          <w:color w:val="auto"/>
          <w:spacing w:val="3"/>
          <w:sz w:val="23"/>
          <w:szCs w:val="23"/>
        </w:rPr>
        <w:t>人，营业收入为</w:t>
      </w:r>
      <w:r>
        <w:rPr>
          <w:rFonts w:hint="eastAsia" w:ascii="宋体" w:hAnsi="宋体" w:eastAsia="宋体" w:cs="宋体"/>
          <w:color w:val="auto"/>
          <w:spacing w:val="3"/>
          <w:sz w:val="23"/>
          <w:szCs w:val="23"/>
          <w:u w:val="single" w:color="auto"/>
        </w:rPr>
        <w:t xml:space="preserve">   </w:t>
      </w:r>
      <w:r>
        <w:rPr>
          <w:rFonts w:hint="eastAsia" w:ascii="宋体" w:hAnsi="宋体" w:eastAsia="宋体" w:cs="宋体"/>
          <w:color w:val="auto"/>
          <w:spacing w:val="3"/>
          <w:sz w:val="23"/>
          <w:szCs w:val="23"/>
        </w:rPr>
        <w:t>万元，资产总额为</w:t>
      </w:r>
      <w:r>
        <w:rPr>
          <w:rFonts w:hint="eastAsia" w:ascii="宋体" w:hAnsi="宋体" w:eastAsia="宋体" w:cs="宋体"/>
          <w:color w:val="auto"/>
          <w:spacing w:val="3"/>
          <w:sz w:val="23"/>
          <w:szCs w:val="23"/>
          <w:u w:val="single" w:color="auto"/>
        </w:rPr>
        <w:t xml:space="preserve">   </w:t>
      </w:r>
      <w:r>
        <w:rPr>
          <w:rFonts w:hint="eastAsia" w:ascii="宋体" w:hAnsi="宋体" w:eastAsia="宋体" w:cs="宋体"/>
          <w:color w:val="auto"/>
          <w:spacing w:val="3"/>
          <w:sz w:val="23"/>
          <w:szCs w:val="23"/>
        </w:rPr>
        <w:t>万元，属于</w:t>
      </w:r>
      <w:r>
        <w:rPr>
          <w:rFonts w:hint="eastAsia" w:ascii="宋体" w:hAnsi="宋体" w:eastAsia="宋体" w:cs="宋体"/>
          <w:color w:val="auto"/>
          <w:spacing w:val="3"/>
          <w:sz w:val="23"/>
          <w:szCs w:val="23"/>
          <w:u w:val="single" w:color="auto"/>
        </w:rPr>
        <w:t xml:space="preserve"> (小</w:t>
      </w:r>
      <w:r>
        <w:rPr>
          <w:rFonts w:hint="eastAsia" w:ascii="宋体" w:hAnsi="宋体" w:eastAsia="宋体" w:cs="宋体"/>
          <w:color w:val="auto"/>
          <w:sz w:val="23"/>
          <w:szCs w:val="23"/>
        </w:rPr>
        <w:t xml:space="preserve"> </w:t>
      </w:r>
      <w:r>
        <w:rPr>
          <w:rFonts w:hint="eastAsia" w:ascii="宋体" w:hAnsi="宋体" w:eastAsia="宋体" w:cs="宋体"/>
          <w:color w:val="auto"/>
          <w:spacing w:val="12"/>
          <w:sz w:val="23"/>
          <w:szCs w:val="23"/>
          <w:u w:val="single" w:color="auto"/>
        </w:rPr>
        <w:t>型</w:t>
      </w:r>
      <w:r>
        <w:rPr>
          <w:rFonts w:hint="eastAsia" w:ascii="宋体" w:hAnsi="宋体" w:eastAsia="宋体" w:cs="宋体"/>
          <w:color w:val="auto"/>
          <w:spacing w:val="7"/>
          <w:sz w:val="23"/>
          <w:szCs w:val="23"/>
          <w:u w:val="single" w:color="auto"/>
        </w:rPr>
        <w:t xml:space="preserve">企业、微型企业) </w:t>
      </w:r>
      <w:r>
        <w:rPr>
          <w:rFonts w:hint="eastAsia" w:ascii="宋体" w:hAnsi="宋体" w:eastAsia="宋体" w:cs="宋体"/>
          <w:color w:val="auto"/>
          <w:spacing w:val="7"/>
          <w:sz w:val="23"/>
          <w:szCs w:val="23"/>
        </w:rPr>
        <w:t>；</w:t>
      </w:r>
    </w:p>
    <w:p>
      <w:pPr>
        <w:spacing w:line="360" w:lineRule="auto"/>
        <w:ind w:left="518"/>
        <w:rPr>
          <w:rFonts w:hint="eastAsia" w:ascii="宋体" w:hAnsi="宋体" w:eastAsia="宋体" w:cs="宋体"/>
          <w:color w:val="auto"/>
          <w:sz w:val="23"/>
          <w:szCs w:val="23"/>
        </w:rPr>
      </w:pPr>
      <w:r>
        <w:rPr>
          <w:rFonts w:hint="eastAsia" w:ascii="宋体" w:hAnsi="宋体" w:eastAsia="宋体" w:cs="宋体"/>
          <w:color w:val="auto"/>
          <w:spacing w:val="5"/>
          <w:position w:val="3"/>
          <w:sz w:val="23"/>
          <w:szCs w:val="23"/>
        </w:rPr>
        <w:t>……</w:t>
      </w:r>
    </w:p>
    <w:p>
      <w:pPr>
        <w:spacing w:before="129" w:line="360" w:lineRule="auto"/>
        <w:ind w:left="27" w:right="79" w:firstLine="503"/>
        <w:rPr>
          <w:rFonts w:hint="eastAsia" w:ascii="宋体" w:hAnsi="宋体" w:eastAsia="宋体" w:cs="宋体"/>
          <w:color w:val="auto"/>
          <w:sz w:val="23"/>
          <w:szCs w:val="23"/>
        </w:rPr>
      </w:pPr>
      <w:r>
        <w:rPr>
          <w:rFonts w:hint="eastAsia" w:ascii="宋体" w:hAnsi="宋体" w:eastAsia="宋体" w:cs="宋体"/>
          <w:color w:val="auto"/>
          <w:spacing w:val="7"/>
          <w:sz w:val="23"/>
          <w:szCs w:val="23"/>
        </w:rPr>
        <w:t>以</w:t>
      </w:r>
      <w:r>
        <w:rPr>
          <w:rFonts w:hint="eastAsia" w:ascii="宋体" w:hAnsi="宋体" w:eastAsia="宋体" w:cs="宋体"/>
          <w:color w:val="auto"/>
          <w:spacing w:val="6"/>
          <w:sz w:val="23"/>
          <w:szCs w:val="23"/>
        </w:rPr>
        <w:t>上企业，不属于大企业的分支机构，不存在控股股东为大企业的情形，也</w:t>
      </w:r>
      <w:r>
        <w:rPr>
          <w:rFonts w:hint="eastAsia" w:ascii="宋体" w:hAnsi="宋体" w:eastAsia="宋体" w:cs="宋体"/>
          <w:color w:val="auto"/>
          <w:sz w:val="23"/>
          <w:szCs w:val="23"/>
        </w:rPr>
        <w:t xml:space="preserve"> </w:t>
      </w:r>
      <w:r>
        <w:rPr>
          <w:rFonts w:hint="eastAsia" w:ascii="宋体" w:hAnsi="宋体" w:eastAsia="宋体" w:cs="宋体"/>
          <w:color w:val="auto"/>
          <w:spacing w:val="16"/>
          <w:sz w:val="23"/>
          <w:szCs w:val="23"/>
        </w:rPr>
        <w:t>不</w:t>
      </w:r>
      <w:r>
        <w:rPr>
          <w:rFonts w:hint="eastAsia" w:ascii="宋体" w:hAnsi="宋体" w:eastAsia="宋体" w:cs="宋体"/>
          <w:color w:val="auto"/>
          <w:spacing w:val="14"/>
          <w:sz w:val="23"/>
          <w:szCs w:val="23"/>
        </w:rPr>
        <w:t>存</w:t>
      </w:r>
      <w:r>
        <w:rPr>
          <w:rFonts w:hint="eastAsia" w:ascii="宋体" w:hAnsi="宋体" w:eastAsia="宋体" w:cs="宋体"/>
          <w:color w:val="auto"/>
          <w:spacing w:val="8"/>
          <w:sz w:val="23"/>
          <w:szCs w:val="23"/>
        </w:rPr>
        <w:t>在与大企业的负责人为同一人的情形。</w:t>
      </w:r>
    </w:p>
    <w:p>
      <w:pPr>
        <w:spacing w:before="1" w:line="360" w:lineRule="auto"/>
        <w:ind w:left="504"/>
        <w:rPr>
          <w:rFonts w:hint="eastAsia" w:ascii="宋体" w:hAnsi="宋体" w:eastAsia="宋体" w:cs="宋体"/>
          <w:color w:val="auto"/>
          <w:sz w:val="23"/>
          <w:szCs w:val="23"/>
        </w:rPr>
      </w:pPr>
      <w:r>
        <w:rPr>
          <w:rFonts w:hint="eastAsia" w:ascii="宋体" w:hAnsi="宋体" w:eastAsia="宋体" w:cs="宋体"/>
          <w:color w:val="auto"/>
          <w:spacing w:val="18"/>
          <w:sz w:val="23"/>
          <w:szCs w:val="23"/>
        </w:rPr>
        <w:t>本</w:t>
      </w:r>
      <w:r>
        <w:rPr>
          <w:rFonts w:hint="eastAsia" w:ascii="宋体" w:hAnsi="宋体" w:eastAsia="宋体" w:cs="宋体"/>
          <w:color w:val="auto"/>
          <w:spacing w:val="11"/>
          <w:sz w:val="23"/>
          <w:szCs w:val="23"/>
        </w:rPr>
        <w:t>企</w:t>
      </w:r>
      <w:r>
        <w:rPr>
          <w:rFonts w:hint="eastAsia" w:ascii="宋体" w:hAnsi="宋体" w:eastAsia="宋体" w:cs="宋体"/>
          <w:color w:val="auto"/>
          <w:spacing w:val="9"/>
          <w:sz w:val="23"/>
          <w:szCs w:val="23"/>
        </w:rPr>
        <w:t>业对上述声明内容的真实性负责。如有虚假，将依法承担相应责任。</w:t>
      </w:r>
    </w:p>
    <w:p>
      <w:pPr>
        <w:spacing w:before="222" w:line="360" w:lineRule="auto"/>
        <w:ind w:left="3987"/>
        <w:rPr>
          <w:rFonts w:hint="eastAsia" w:ascii="宋体" w:hAnsi="宋体" w:eastAsia="宋体" w:cs="宋体"/>
          <w:color w:val="auto"/>
          <w:sz w:val="23"/>
          <w:szCs w:val="23"/>
        </w:rPr>
      </w:pPr>
      <w:r>
        <w:rPr>
          <w:rFonts w:hint="eastAsia" w:ascii="宋体" w:hAnsi="宋体" w:eastAsia="宋体" w:cs="宋体"/>
          <w:color w:val="auto"/>
          <w:spacing w:val="8"/>
          <w:position w:val="20"/>
          <w:sz w:val="23"/>
          <w:szCs w:val="23"/>
        </w:rPr>
        <w:t>企</w:t>
      </w:r>
      <w:r>
        <w:rPr>
          <w:rFonts w:hint="eastAsia" w:ascii="宋体" w:hAnsi="宋体" w:eastAsia="宋体" w:cs="宋体"/>
          <w:color w:val="auto"/>
          <w:spacing w:val="6"/>
          <w:position w:val="20"/>
          <w:sz w:val="23"/>
          <w:szCs w:val="23"/>
        </w:rPr>
        <w:t>业名称 (盖章) ：</w:t>
      </w:r>
    </w:p>
    <w:p>
      <w:pPr>
        <w:spacing w:before="1" w:line="360" w:lineRule="auto"/>
        <w:ind w:left="4024"/>
        <w:rPr>
          <w:rFonts w:hint="eastAsia" w:ascii="宋体" w:hAnsi="宋体" w:eastAsia="宋体" w:cs="宋体"/>
          <w:color w:val="auto"/>
          <w:sz w:val="23"/>
          <w:szCs w:val="23"/>
        </w:rPr>
      </w:pPr>
      <w:r>
        <w:rPr>
          <w:rFonts w:hint="eastAsia" w:ascii="宋体" w:hAnsi="宋体" w:eastAsia="宋体" w:cs="宋体"/>
          <w:color w:val="auto"/>
          <w:spacing w:val="-11"/>
          <w:sz w:val="23"/>
          <w:szCs w:val="23"/>
        </w:rPr>
        <w:t>日</w:t>
      </w:r>
      <w:r>
        <w:rPr>
          <w:rFonts w:hint="eastAsia" w:ascii="宋体" w:hAnsi="宋体" w:eastAsia="宋体" w:cs="宋体"/>
          <w:color w:val="auto"/>
          <w:spacing w:val="-10"/>
          <w:sz w:val="23"/>
          <w:szCs w:val="23"/>
        </w:rPr>
        <w:t>期：</w:t>
      </w:r>
    </w:p>
    <w:p>
      <w:pPr>
        <w:spacing w:before="213" w:line="360" w:lineRule="auto"/>
        <w:ind w:left="25" w:right="81" w:firstLine="480"/>
        <w:rPr>
          <w:rFonts w:hint="eastAsia" w:ascii="宋体" w:hAnsi="宋体" w:eastAsia="宋体" w:cs="宋体"/>
          <w:color w:val="auto"/>
          <w:sz w:val="23"/>
          <w:szCs w:val="23"/>
        </w:rPr>
      </w:pPr>
      <w:r>
        <w:rPr>
          <w:rFonts w:hint="eastAsia" w:ascii="宋体" w:hAnsi="宋体" w:eastAsia="宋体" w:cs="宋体"/>
          <w:color w:val="auto"/>
          <w:spacing w:val="16"/>
          <w:sz w:val="23"/>
          <w:szCs w:val="23"/>
        </w:rPr>
        <w:t>备</w:t>
      </w:r>
      <w:r>
        <w:rPr>
          <w:rFonts w:hint="eastAsia" w:ascii="宋体" w:hAnsi="宋体" w:eastAsia="宋体" w:cs="宋体"/>
          <w:color w:val="auto"/>
          <w:spacing w:val="10"/>
          <w:sz w:val="23"/>
          <w:szCs w:val="23"/>
        </w:rPr>
        <w:t>注：1、从业人员、营业收入、资产总额填报上一年度数据，无上一年度</w:t>
      </w:r>
      <w:r>
        <w:rPr>
          <w:rFonts w:hint="eastAsia" w:ascii="宋体" w:hAnsi="宋体" w:eastAsia="宋体" w:cs="宋体"/>
          <w:color w:val="auto"/>
          <w:sz w:val="23"/>
          <w:szCs w:val="23"/>
        </w:rPr>
        <w:t xml:space="preserve"> </w:t>
      </w:r>
      <w:r>
        <w:rPr>
          <w:rFonts w:hint="eastAsia" w:ascii="宋体" w:hAnsi="宋体" w:eastAsia="宋体" w:cs="宋体"/>
          <w:color w:val="auto"/>
          <w:spacing w:val="12"/>
          <w:sz w:val="23"/>
          <w:szCs w:val="23"/>
        </w:rPr>
        <w:t>数</w:t>
      </w:r>
      <w:r>
        <w:rPr>
          <w:rFonts w:hint="eastAsia" w:ascii="宋体" w:hAnsi="宋体" w:eastAsia="宋体" w:cs="宋体"/>
          <w:color w:val="auto"/>
          <w:spacing w:val="8"/>
          <w:sz w:val="23"/>
          <w:szCs w:val="23"/>
        </w:rPr>
        <w:t>据的新成立企业可不填报。</w:t>
      </w:r>
    </w:p>
    <w:p>
      <w:pPr>
        <w:spacing w:line="360" w:lineRule="auto"/>
        <w:ind w:left="1094"/>
        <w:rPr>
          <w:rFonts w:hint="eastAsia" w:ascii="宋体" w:hAnsi="宋体" w:eastAsia="宋体" w:cs="宋体"/>
          <w:color w:val="auto"/>
          <w:sz w:val="23"/>
          <w:szCs w:val="23"/>
        </w:rPr>
      </w:pPr>
      <w:r>
        <w:rPr>
          <w:rFonts w:hint="eastAsia" w:ascii="宋体" w:hAnsi="宋体" w:eastAsia="宋体" w:cs="宋体"/>
          <w:color w:val="auto"/>
          <w:spacing w:val="10"/>
          <w:position w:val="1"/>
          <w:sz w:val="23"/>
          <w:szCs w:val="23"/>
        </w:rPr>
        <w:t>2</w:t>
      </w:r>
      <w:r>
        <w:rPr>
          <w:rFonts w:hint="eastAsia" w:ascii="宋体" w:hAnsi="宋体" w:eastAsia="宋体" w:cs="宋体"/>
          <w:color w:val="auto"/>
          <w:spacing w:val="8"/>
          <w:position w:val="1"/>
          <w:sz w:val="23"/>
          <w:szCs w:val="23"/>
        </w:rPr>
        <w:t>、项目不分标段的，第___标段空白处填写“/”。</w:t>
      </w:r>
    </w:p>
    <w:p>
      <w:pPr>
        <w:spacing w:line="360" w:lineRule="auto"/>
        <w:rPr>
          <w:rFonts w:hint="eastAsia" w:ascii="宋体" w:hAnsi="宋体" w:eastAsia="宋体" w:cs="宋体"/>
          <w:color w:val="auto"/>
        </w:rPr>
        <w:sectPr>
          <w:footerReference r:id="rId14" w:type="default"/>
          <w:pgSz w:w="11906" w:h="16839"/>
          <w:pgMar w:top="1431" w:right="1720" w:bottom="1166" w:left="1785" w:header="850" w:footer="992" w:gutter="0"/>
          <w:pgNumType w:fmt="decimal"/>
          <w:cols w:space="720" w:num="1"/>
        </w:sectPr>
      </w:pPr>
    </w:p>
    <w:p>
      <w:pPr>
        <w:spacing w:before="168" w:line="360" w:lineRule="auto"/>
        <w:ind w:firstLine="2400" w:firstLineChars="1000"/>
        <w:outlineLvl w:val="2"/>
        <w:rPr>
          <w:rFonts w:hint="eastAsia" w:ascii="宋体" w:hAnsi="宋体" w:eastAsia="宋体" w:cs="宋体"/>
          <w:color w:val="auto"/>
          <w:sz w:val="24"/>
          <w:szCs w:val="24"/>
        </w:rPr>
      </w:pPr>
      <w:bookmarkStart w:id="98" w:name="_Toc2670"/>
      <w:r>
        <w:rPr>
          <w:rFonts w:hint="eastAsia" w:ascii="宋体" w:hAnsi="宋体" w:eastAsia="宋体" w:cs="宋体"/>
          <w:color w:val="auto"/>
          <w:sz w:val="24"/>
          <w:szCs w:val="24"/>
          <w14:textOutline w14:w="5103" w14:cap="sq" w14:cmpd="sng">
            <w14:solidFill>
              <w14:srgbClr w14:val="000000"/>
            </w14:solidFill>
            <w14:prstDash w14:val="solid"/>
            <w14:bevel/>
          </w14:textOutline>
        </w:rPr>
        <w:t>残疾人福利性单位声明函</w:t>
      </w:r>
      <w:bookmarkEnd w:id="98"/>
    </w:p>
    <w:p>
      <w:pPr>
        <w:spacing w:before="200" w:line="360" w:lineRule="auto"/>
        <w:ind w:left="21" w:right="80" w:firstLine="482"/>
        <w:rPr>
          <w:rFonts w:hint="eastAsia" w:ascii="宋体" w:hAnsi="宋体" w:eastAsia="宋体" w:cs="宋体"/>
          <w:color w:val="auto"/>
          <w:sz w:val="23"/>
          <w:szCs w:val="23"/>
        </w:rPr>
      </w:pPr>
      <w:r>
        <w:rPr>
          <w:rFonts w:hint="eastAsia" w:ascii="宋体" w:hAnsi="宋体" w:eastAsia="宋体" w:cs="宋体"/>
          <w:color w:val="auto"/>
          <w:spacing w:val="12"/>
          <w:sz w:val="23"/>
          <w:szCs w:val="23"/>
        </w:rPr>
        <w:t>本单位</w:t>
      </w:r>
      <w:r>
        <w:rPr>
          <w:rFonts w:hint="eastAsia" w:ascii="宋体" w:hAnsi="宋体" w:eastAsia="宋体" w:cs="宋体"/>
          <w:color w:val="auto"/>
          <w:spacing w:val="10"/>
          <w:sz w:val="23"/>
          <w:szCs w:val="23"/>
        </w:rPr>
        <w:t>郑</w:t>
      </w:r>
      <w:r>
        <w:rPr>
          <w:rFonts w:hint="eastAsia" w:ascii="宋体" w:hAnsi="宋体" w:eastAsia="宋体" w:cs="宋体"/>
          <w:color w:val="auto"/>
          <w:spacing w:val="6"/>
          <w:sz w:val="23"/>
          <w:szCs w:val="23"/>
        </w:rPr>
        <w:t>重声明，根据《财政部 民政部 中国残疾人联合会关于促进残疾人</w:t>
      </w:r>
      <w:r>
        <w:rPr>
          <w:rFonts w:hint="eastAsia" w:ascii="宋体" w:hAnsi="宋体" w:eastAsia="宋体" w:cs="宋体"/>
          <w:color w:val="auto"/>
          <w:sz w:val="23"/>
          <w:szCs w:val="23"/>
        </w:rPr>
        <w:t xml:space="preserve"> </w:t>
      </w:r>
      <w:r>
        <w:rPr>
          <w:rFonts w:hint="eastAsia" w:ascii="宋体" w:hAnsi="宋体" w:eastAsia="宋体" w:cs="宋体"/>
          <w:color w:val="auto"/>
          <w:spacing w:val="6"/>
          <w:sz w:val="23"/>
          <w:szCs w:val="23"/>
        </w:rPr>
        <w:t>就业</w:t>
      </w:r>
      <w:r>
        <w:rPr>
          <w:rFonts w:hint="eastAsia" w:ascii="宋体" w:hAnsi="宋体" w:eastAsia="宋体" w:cs="宋体"/>
          <w:color w:val="auto"/>
          <w:spacing w:val="4"/>
          <w:sz w:val="23"/>
          <w:szCs w:val="23"/>
        </w:rPr>
        <w:t>政</w:t>
      </w:r>
      <w:r>
        <w:rPr>
          <w:rFonts w:hint="eastAsia" w:ascii="宋体" w:hAnsi="宋体" w:eastAsia="宋体" w:cs="宋体"/>
          <w:color w:val="auto"/>
          <w:spacing w:val="3"/>
          <w:sz w:val="23"/>
          <w:szCs w:val="23"/>
        </w:rPr>
        <w:t>府采购政策的通知》  (财库〔2017〕141 号) 的规定，本单位为符合条件</w:t>
      </w:r>
      <w:r>
        <w:rPr>
          <w:rFonts w:hint="eastAsia" w:ascii="宋体" w:hAnsi="宋体" w:eastAsia="宋体" w:cs="宋体"/>
          <w:color w:val="auto"/>
          <w:sz w:val="23"/>
          <w:szCs w:val="23"/>
        </w:rPr>
        <w:t xml:space="preserve"> </w:t>
      </w:r>
      <w:r>
        <w:rPr>
          <w:rFonts w:hint="eastAsia" w:ascii="宋体" w:hAnsi="宋体" w:eastAsia="宋体" w:cs="宋体"/>
          <w:color w:val="auto"/>
          <w:spacing w:val="8"/>
          <w:sz w:val="23"/>
          <w:szCs w:val="23"/>
        </w:rPr>
        <w:t>的</w:t>
      </w:r>
      <w:r>
        <w:rPr>
          <w:rFonts w:hint="eastAsia" w:ascii="宋体" w:hAnsi="宋体" w:eastAsia="宋体" w:cs="宋体"/>
          <w:color w:val="auto"/>
          <w:spacing w:val="6"/>
          <w:sz w:val="23"/>
          <w:szCs w:val="23"/>
        </w:rPr>
        <w:t>残疾人福利性单位，且本单位参加</w:t>
      </w:r>
      <w:r>
        <w:rPr>
          <w:rFonts w:hint="eastAsia" w:ascii="宋体" w:hAnsi="宋体" w:eastAsia="宋体" w:cs="宋体"/>
          <w:color w:val="auto"/>
          <w:spacing w:val="6"/>
          <w:sz w:val="23"/>
          <w:szCs w:val="23"/>
          <w:u w:val="single" w:color="auto"/>
        </w:rPr>
        <w:t xml:space="preserve">   项目名称  </w:t>
      </w:r>
      <w:r>
        <w:rPr>
          <w:rFonts w:hint="eastAsia" w:ascii="宋体" w:hAnsi="宋体" w:eastAsia="宋体" w:cs="宋体"/>
          <w:color w:val="auto"/>
          <w:spacing w:val="6"/>
          <w:sz w:val="23"/>
          <w:szCs w:val="23"/>
        </w:rPr>
        <w:t xml:space="preserve"> (项目编号：) 第___标段采</w:t>
      </w:r>
      <w:r>
        <w:rPr>
          <w:rFonts w:hint="eastAsia" w:ascii="宋体" w:hAnsi="宋体" w:eastAsia="宋体" w:cs="宋体"/>
          <w:color w:val="auto"/>
          <w:sz w:val="23"/>
          <w:szCs w:val="23"/>
        </w:rPr>
        <w:t xml:space="preserve"> </w:t>
      </w:r>
      <w:r>
        <w:rPr>
          <w:rFonts w:hint="eastAsia" w:ascii="宋体" w:hAnsi="宋体" w:eastAsia="宋体" w:cs="宋体"/>
          <w:color w:val="auto"/>
          <w:spacing w:val="18"/>
          <w:sz w:val="23"/>
          <w:szCs w:val="23"/>
        </w:rPr>
        <w:t>购</w:t>
      </w:r>
      <w:r>
        <w:rPr>
          <w:rFonts w:hint="eastAsia" w:ascii="宋体" w:hAnsi="宋体" w:eastAsia="宋体" w:cs="宋体"/>
          <w:color w:val="auto"/>
          <w:spacing w:val="14"/>
          <w:sz w:val="23"/>
          <w:szCs w:val="23"/>
        </w:rPr>
        <w:t>活</w:t>
      </w:r>
      <w:r>
        <w:rPr>
          <w:rFonts w:hint="eastAsia" w:ascii="宋体" w:hAnsi="宋体" w:eastAsia="宋体" w:cs="宋体"/>
          <w:color w:val="auto"/>
          <w:spacing w:val="9"/>
          <w:sz w:val="23"/>
          <w:szCs w:val="23"/>
        </w:rPr>
        <w:t>动由本单位提供服务，或者提供其他残疾人福利性单位提供的服务。</w:t>
      </w:r>
    </w:p>
    <w:p>
      <w:pPr>
        <w:spacing w:line="360" w:lineRule="auto"/>
        <w:ind w:left="504"/>
        <w:rPr>
          <w:rFonts w:hint="eastAsia" w:ascii="宋体" w:hAnsi="宋体" w:eastAsia="宋体" w:cs="宋体"/>
          <w:color w:val="auto"/>
          <w:sz w:val="23"/>
          <w:szCs w:val="23"/>
        </w:rPr>
      </w:pPr>
      <w:r>
        <w:rPr>
          <w:rFonts w:hint="eastAsia" w:ascii="宋体" w:hAnsi="宋体" w:eastAsia="宋体" w:cs="宋体"/>
          <w:color w:val="auto"/>
          <w:spacing w:val="18"/>
          <w:sz w:val="23"/>
          <w:szCs w:val="23"/>
        </w:rPr>
        <w:t>本</w:t>
      </w:r>
      <w:r>
        <w:rPr>
          <w:rFonts w:hint="eastAsia" w:ascii="宋体" w:hAnsi="宋体" w:eastAsia="宋体" w:cs="宋体"/>
          <w:color w:val="auto"/>
          <w:spacing w:val="9"/>
          <w:sz w:val="23"/>
          <w:szCs w:val="23"/>
        </w:rPr>
        <w:t>单位对上述声明的真实性负责。如有虚假，将依法承担相应责任。</w:t>
      </w: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before="75" w:line="360" w:lineRule="auto"/>
        <w:ind w:right="1447"/>
        <w:rPr>
          <w:rFonts w:hint="eastAsia" w:ascii="宋体" w:hAnsi="宋体" w:eastAsia="宋体" w:cs="宋体"/>
          <w:color w:val="auto"/>
          <w:spacing w:val="6"/>
          <w:sz w:val="23"/>
          <w:szCs w:val="23"/>
        </w:rPr>
      </w:pPr>
      <w:r>
        <w:rPr>
          <w:rFonts w:hint="eastAsia" w:ascii="宋体" w:hAnsi="宋体" w:eastAsia="宋体" w:cs="宋体"/>
          <w:color w:val="auto"/>
          <w:spacing w:val="12"/>
          <w:sz w:val="23"/>
          <w:szCs w:val="23"/>
          <w:u w:val="single" w:color="auto"/>
        </w:rPr>
        <w:t>供</w:t>
      </w:r>
      <w:r>
        <w:rPr>
          <w:rFonts w:hint="eastAsia" w:ascii="宋体" w:hAnsi="宋体" w:eastAsia="宋体" w:cs="宋体"/>
          <w:color w:val="auto"/>
          <w:spacing w:val="7"/>
          <w:sz w:val="23"/>
          <w:szCs w:val="23"/>
          <w:u w:val="single" w:color="auto"/>
        </w:rPr>
        <w:t>应</w:t>
      </w:r>
      <w:r>
        <w:rPr>
          <w:rFonts w:hint="eastAsia" w:ascii="宋体" w:hAnsi="宋体" w:eastAsia="宋体" w:cs="宋体"/>
          <w:color w:val="auto"/>
          <w:spacing w:val="6"/>
          <w:sz w:val="23"/>
          <w:szCs w:val="23"/>
          <w:u w:val="single" w:color="auto"/>
        </w:rPr>
        <w:t>商名称</w:t>
      </w:r>
      <w:r>
        <w:rPr>
          <w:rFonts w:hint="eastAsia" w:ascii="宋体" w:hAnsi="宋体" w:eastAsia="宋体" w:cs="宋体"/>
          <w:color w:val="auto"/>
          <w:spacing w:val="6"/>
          <w:sz w:val="23"/>
          <w:szCs w:val="23"/>
        </w:rPr>
        <w:t xml:space="preserve"> (加盖公章)</w:t>
      </w:r>
    </w:p>
    <w:p>
      <w:pPr>
        <w:spacing w:before="75" w:line="360" w:lineRule="auto"/>
        <w:ind w:right="1447"/>
        <w:rPr>
          <w:rFonts w:hint="eastAsia" w:ascii="宋体" w:hAnsi="宋体" w:eastAsia="宋体" w:cs="宋体"/>
          <w:color w:val="auto"/>
          <w:sz w:val="23"/>
          <w:szCs w:val="23"/>
        </w:rPr>
      </w:pPr>
      <w:r>
        <w:rPr>
          <w:rFonts w:hint="eastAsia" w:ascii="宋体" w:hAnsi="宋体" w:eastAsia="宋体" w:cs="宋体"/>
          <w:color w:val="auto"/>
          <w:sz w:val="23"/>
          <w:szCs w:val="23"/>
        </w:rPr>
        <w:t xml:space="preserve"> </w:t>
      </w:r>
      <w:r>
        <w:rPr>
          <w:rFonts w:hint="eastAsia" w:ascii="宋体" w:hAnsi="宋体" w:eastAsia="宋体" w:cs="宋体"/>
          <w:color w:val="auto"/>
          <w:spacing w:val="14"/>
          <w:sz w:val="23"/>
          <w:szCs w:val="23"/>
        </w:rPr>
        <w:t>年</w:t>
      </w:r>
      <w:r>
        <w:rPr>
          <w:rFonts w:hint="eastAsia" w:ascii="宋体" w:hAnsi="宋体" w:eastAsia="宋体" w:cs="宋体"/>
          <w:color w:val="auto"/>
          <w:spacing w:val="11"/>
          <w:sz w:val="23"/>
          <w:szCs w:val="23"/>
        </w:rPr>
        <w:t xml:space="preserve">  月  日</w:t>
      </w:r>
    </w:p>
    <w:p>
      <w:pPr>
        <w:spacing w:line="360" w:lineRule="auto"/>
        <w:rPr>
          <w:rFonts w:hint="eastAsia" w:ascii="宋体" w:hAnsi="宋体" w:eastAsia="宋体" w:cs="宋体"/>
          <w:color w:val="auto"/>
          <w:sz w:val="21"/>
        </w:rPr>
      </w:pPr>
    </w:p>
    <w:p>
      <w:pPr>
        <w:spacing w:before="75" w:line="360" w:lineRule="auto"/>
        <w:ind w:left="592"/>
        <w:rPr>
          <w:rFonts w:hint="eastAsia" w:ascii="宋体" w:hAnsi="宋体" w:eastAsia="宋体" w:cs="宋体"/>
          <w:color w:val="auto"/>
          <w:sz w:val="23"/>
          <w:szCs w:val="23"/>
        </w:rPr>
      </w:pPr>
      <w:r>
        <w:rPr>
          <w:rFonts w:hint="eastAsia" w:ascii="宋体" w:hAnsi="宋体" w:eastAsia="宋体" w:cs="宋体"/>
          <w:color w:val="auto"/>
          <w:spacing w:val="16"/>
          <w:sz w:val="23"/>
          <w:szCs w:val="23"/>
          <w14:textOutline w14:w="4358" w14:cap="sq" w14:cmpd="sng">
            <w14:solidFill>
              <w14:srgbClr w14:val="000000"/>
            </w14:solidFill>
            <w14:prstDash w14:val="solid"/>
            <w14:bevel/>
          </w14:textOutline>
        </w:rPr>
        <w:t>备</w:t>
      </w:r>
      <w:r>
        <w:rPr>
          <w:rFonts w:hint="eastAsia" w:ascii="宋体" w:hAnsi="宋体" w:eastAsia="宋体" w:cs="宋体"/>
          <w:color w:val="auto"/>
          <w:spacing w:val="12"/>
          <w:sz w:val="23"/>
          <w:szCs w:val="23"/>
          <w14:textOutline w14:w="4358" w14:cap="sq" w14:cmpd="sng">
            <w14:solidFill>
              <w14:srgbClr w14:val="000000"/>
            </w14:solidFill>
            <w14:prstDash w14:val="solid"/>
            <w14:bevel/>
          </w14:textOutline>
        </w:rPr>
        <w:t>注</w:t>
      </w:r>
      <w:r>
        <w:rPr>
          <w:rFonts w:hint="eastAsia" w:ascii="宋体" w:hAnsi="宋体" w:eastAsia="宋体" w:cs="宋体"/>
          <w:color w:val="auto"/>
          <w:spacing w:val="8"/>
          <w:sz w:val="23"/>
          <w:szCs w:val="23"/>
          <w14:textOutline w14:w="4358" w14:cap="sq" w14:cmpd="sng">
            <w14:solidFill>
              <w14:srgbClr w14:val="000000"/>
            </w14:solidFill>
            <w14:prstDash w14:val="solid"/>
            <w14:bevel/>
          </w14:textOutline>
        </w:rPr>
        <w:t>：</w:t>
      </w:r>
      <w:r>
        <w:rPr>
          <w:rFonts w:hint="eastAsia" w:ascii="宋体" w:hAnsi="宋体" w:eastAsia="宋体" w:cs="宋体"/>
          <w:color w:val="auto"/>
          <w:spacing w:val="8"/>
          <w:sz w:val="23"/>
          <w:szCs w:val="23"/>
        </w:rPr>
        <w:t>项目不分标段的，第___标段空白处填写“/”。</w:t>
      </w:r>
    </w:p>
    <w:p>
      <w:pPr>
        <w:spacing w:before="29" w:line="360" w:lineRule="auto"/>
        <w:ind w:left="25" w:right="82" w:firstLine="564"/>
        <w:rPr>
          <w:rFonts w:hint="eastAsia" w:ascii="宋体" w:hAnsi="宋体" w:eastAsia="宋体" w:cs="宋体"/>
          <w:color w:val="auto"/>
          <w:sz w:val="23"/>
          <w:szCs w:val="23"/>
        </w:rPr>
      </w:pPr>
      <w:r>
        <w:rPr>
          <w:rFonts w:hint="eastAsia" w:ascii="宋体" w:hAnsi="宋体" w:eastAsia="宋体" w:cs="宋体"/>
          <w:color w:val="auto"/>
          <w:spacing w:val="16"/>
          <w:sz w:val="23"/>
          <w:szCs w:val="23"/>
        </w:rPr>
        <w:t>根</w:t>
      </w:r>
      <w:r>
        <w:rPr>
          <w:rFonts w:hint="eastAsia" w:ascii="宋体" w:hAnsi="宋体" w:eastAsia="宋体" w:cs="宋体"/>
          <w:color w:val="auto"/>
          <w:spacing w:val="11"/>
          <w:sz w:val="23"/>
          <w:szCs w:val="23"/>
        </w:rPr>
        <w:t>据《财政部 民政部 中国残疾人联合会关于促进残疾人就业政府采购政</w:t>
      </w:r>
      <w:r>
        <w:rPr>
          <w:rFonts w:hint="eastAsia" w:ascii="宋体" w:hAnsi="宋体" w:eastAsia="宋体" w:cs="宋体"/>
          <w:color w:val="auto"/>
          <w:sz w:val="23"/>
          <w:szCs w:val="23"/>
        </w:rPr>
        <w:t xml:space="preserve"> </w:t>
      </w:r>
      <w:r>
        <w:rPr>
          <w:rFonts w:hint="eastAsia" w:ascii="宋体" w:hAnsi="宋体" w:eastAsia="宋体" w:cs="宋体"/>
          <w:color w:val="auto"/>
          <w:spacing w:val="1"/>
          <w:sz w:val="23"/>
          <w:szCs w:val="23"/>
        </w:rPr>
        <w:t>策的通</w:t>
      </w:r>
      <w:r>
        <w:rPr>
          <w:rFonts w:hint="eastAsia" w:ascii="宋体" w:hAnsi="宋体" w:eastAsia="宋体" w:cs="宋体"/>
          <w:color w:val="auto"/>
          <w:sz w:val="23"/>
          <w:szCs w:val="23"/>
        </w:rPr>
        <w:t>知》  (财库〔2017〕141 号) 的规定：</w:t>
      </w:r>
    </w:p>
    <w:p>
      <w:pPr>
        <w:spacing w:line="360" w:lineRule="auto"/>
        <w:rPr>
          <w:rFonts w:hint="eastAsia" w:ascii="宋体" w:hAnsi="宋体" w:eastAsia="宋体" w:cs="宋体"/>
          <w:color w:val="auto"/>
          <w:sz w:val="23"/>
          <w:szCs w:val="23"/>
        </w:rPr>
      </w:pPr>
      <w:r>
        <w:rPr>
          <w:rFonts w:hint="eastAsia" w:ascii="宋体" w:hAnsi="宋体" w:eastAsia="宋体" w:cs="宋体"/>
          <w:color w:val="auto"/>
          <w:spacing w:val="17"/>
          <w:sz w:val="23"/>
          <w:szCs w:val="23"/>
        </w:rPr>
        <w:t>一</w:t>
      </w:r>
      <w:r>
        <w:rPr>
          <w:rFonts w:hint="eastAsia" w:ascii="宋体" w:hAnsi="宋体" w:eastAsia="宋体" w:cs="宋体"/>
          <w:color w:val="auto"/>
          <w:spacing w:val="9"/>
          <w:sz w:val="23"/>
          <w:szCs w:val="23"/>
        </w:rPr>
        <w:t>、享受政府采购支持政策的残疾人福利性单位应当同时满足以下条件：</w:t>
      </w:r>
    </w:p>
    <w:p>
      <w:pPr>
        <w:spacing w:before="1" w:line="360" w:lineRule="auto"/>
        <w:ind w:left="29" w:right="76" w:firstLine="572"/>
        <w:rPr>
          <w:rFonts w:hint="eastAsia" w:ascii="宋体" w:hAnsi="宋体" w:eastAsia="宋体" w:cs="宋体"/>
          <w:color w:val="auto"/>
          <w:sz w:val="23"/>
          <w:szCs w:val="23"/>
        </w:rPr>
      </w:pPr>
      <w:r>
        <w:rPr>
          <w:rFonts w:hint="eastAsia" w:ascii="宋体" w:hAnsi="宋体" w:eastAsia="宋体" w:cs="宋体"/>
          <w:color w:val="auto"/>
          <w:spacing w:val="6"/>
          <w:sz w:val="23"/>
          <w:szCs w:val="23"/>
        </w:rPr>
        <w:t>( 一</w:t>
      </w:r>
      <w:r>
        <w:rPr>
          <w:rFonts w:hint="eastAsia" w:ascii="宋体" w:hAnsi="宋体" w:eastAsia="宋体" w:cs="宋体"/>
          <w:color w:val="auto"/>
          <w:spacing w:val="3"/>
          <w:sz w:val="23"/>
          <w:szCs w:val="23"/>
        </w:rPr>
        <w:t>) 安置的残疾人占本单位在职职工人数的比例不低于 25% (含 25%) ，</w:t>
      </w:r>
      <w:r>
        <w:rPr>
          <w:rFonts w:hint="eastAsia" w:ascii="宋体" w:hAnsi="宋体" w:eastAsia="宋体" w:cs="宋体"/>
          <w:color w:val="auto"/>
          <w:sz w:val="23"/>
          <w:szCs w:val="23"/>
        </w:rPr>
        <w:t xml:space="preserve"> </w:t>
      </w:r>
      <w:r>
        <w:rPr>
          <w:rFonts w:hint="eastAsia" w:ascii="宋体" w:hAnsi="宋体" w:eastAsia="宋体" w:cs="宋体"/>
          <w:color w:val="auto"/>
          <w:spacing w:val="-2"/>
          <w:sz w:val="23"/>
          <w:szCs w:val="23"/>
        </w:rPr>
        <w:t>并且安置的</w:t>
      </w:r>
      <w:r>
        <w:rPr>
          <w:rFonts w:hint="eastAsia" w:ascii="宋体" w:hAnsi="宋体" w:eastAsia="宋体" w:cs="宋体"/>
          <w:color w:val="auto"/>
          <w:spacing w:val="-1"/>
          <w:sz w:val="23"/>
          <w:szCs w:val="23"/>
        </w:rPr>
        <w:t>残疾人人数不少于 10 人 (含 10 人) ；</w:t>
      </w:r>
    </w:p>
    <w:p>
      <w:pPr>
        <w:spacing w:before="1" w:line="360" w:lineRule="auto"/>
        <w:ind w:left="23" w:right="80" w:firstLine="577"/>
        <w:rPr>
          <w:rFonts w:hint="eastAsia" w:ascii="宋体" w:hAnsi="宋体" w:eastAsia="宋体" w:cs="宋体"/>
          <w:color w:val="auto"/>
          <w:sz w:val="23"/>
          <w:szCs w:val="23"/>
        </w:rPr>
      </w:pPr>
      <w:r>
        <w:rPr>
          <w:rFonts w:hint="eastAsia" w:ascii="宋体" w:hAnsi="宋体" w:eastAsia="宋体" w:cs="宋体"/>
          <w:color w:val="auto"/>
          <w:spacing w:val="26"/>
          <w:sz w:val="23"/>
          <w:szCs w:val="23"/>
        </w:rPr>
        <w:t>(</w:t>
      </w:r>
      <w:r>
        <w:rPr>
          <w:rFonts w:hint="eastAsia" w:ascii="宋体" w:hAnsi="宋体" w:eastAsia="宋体" w:cs="宋体"/>
          <w:color w:val="auto"/>
          <w:spacing w:val="18"/>
          <w:sz w:val="23"/>
          <w:szCs w:val="23"/>
        </w:rPr>
        <w:t>二</w:t>
      </w:r>
      <w:r>
        <w:rPr>
          <w:rFonts w:hint="eastAsia" w:ascii="宋体" w:hAnsi="宋体" w:eastAsia="宋体" w:cs="宋体"/>
          <w:color w:val="auto"/>
          <w:spacing w:val="13"/>
          <w:sz w:val="23"/>
          <w:szCs w:val="23"/>
        </w:rPr>
        <w:t>) 依法与安置的每位残疾人签订了一年以上 (含一年) 的劳动合同或</w:t>
      </w:r>
      <w:r>
        <w:rPr>
          <w:rFonts w:hint="eastAsia" w:ascii="宋体" w:hAnsi="宋体" w:eastAsia="宋体" w:cs="宋体"/>
          <w:color w:val="auto"/>
          <w:sz w:val="23"/>
          <w:szCs w:val="23"/>
        </w:rPr>
        <w:t xml:space="preserve"> </w:t>
      </w:r>
      <w:r>
        <w:rPr>
          <w:rFonts w:hint="eastAsia" w:ascii="宋体" w:hAnsi="宋体" w:eastAsia="宋体" w:cs="宋体"/>
          <w:color w:val="auto"/>
          <w:spacing w:val="6"/>
          <w:sz w:val="23"/>
          <w:szCs w:val="23"/>
        </w:rPr>
        <w:t>服务协议；</w:t>
      </w:r>
    </w:p>
    <w:p>
      <w:pPr>
        <w:spacing w:before="1" w:line="360" w:lineRule="auto"/>
        <w:ind w:left="29" w:firstLine="572"/>
        <w:rPr>
          <w:rFonts w:hint="eastAsia" w:ascii="宋体" w:hAnsi="宋体" w:eastAsia="宋体" w:cs="宋体"/>
          <w:color w:val="auto"/>
          <w:sz w:val="23"/>
          <w:szCs w:val="23"/>
        </w:rPr>
      </w:pPr>
      <w:r>
        <w:rPr>
          <w:rFonts w:hint="eastAsia" w:ascii="宋体" w:hAnsi="宋体" w:eastAsia="宋体" w:cs="宋体"/>
          <w:color w:val="auto"/>
          <w:spacing w:val="18"/>
          <w:sz w:val="23"/>
          <w:szCs w:val="23"/>
        </w:rPr>
        <w:t>(三</w:t>
      </w:r>
      <w:r>
        <w:rPr>
          <w:rFonts w:hint="eastAsia" w:ascii="宋体" w:hAnsi="宋体" w:eastAsia="宋体" w:cs="宋体"/>
          <w:color w:val="auto"/>
          <w:spacing w:val="9"/>
          <w:sz w:val="23"/>
          <w:szCs w:val="23"/>
        </w:rPr>
        <w:t>) 为安置的每位残疾人按月足额缴纳了基本养老保险、基本医疗保险、</w:t>
      </w:r>
      <w:r>
        <w:rPr>
          <w:rFonts w:hint="eastAsia" w:ascii="宋体" w:hAnsi="宋体" w:eastAsia="宋体" w:cs="宋体"/>
          <w:color w:val="auto"/>
          <w:sz w:val="23"/>
          <w:szCs w:val="23"/>
        </w:rPr>
        <w:t xml:space="preserve"> </w:t>
      </w:r>
      <w:r>
        <w:rPr>
          <w:rFonts w:hint="eastAsia" w:ascii="宋体" w:hAnsi="宋体" w:eastAsia="宋体" w:cs="宋体"/>
          <w:color w:val="auto"/>
          <w:spacing w:val="9"/>
          <w:sz w:val="23"/>
          <w:szCs w:val="23"/>
        </w:rPr>
        <w:t>失业保险、工伤保险和生育保险等社会保险费</w:t>
      </w:r>
      <w:r>
        <w:rPr>
          <w:rFonts w:hint="eastAsia" w:ascii="宋体" w:hAnsi="宋体" w:eastAsia="宋体" w:cs="宋体"/>
          <w:color w:val="auto"/>
          <w:spacing w:val="4"/>
          <w:sz w:val="23"/>
          <w:szCs w:val="23"/>
        </w:rPr>
        <w:t>；</w:t>
      </w:r>
    </w:p>
    <w:p>
      <w:pPr>
        <w:spacing w:before="1" w:line="360" w:lineRule="auto"/>
        <w:ind w:left="23" w:right="80" w:firstLine="577"/>
        <w:rPr>
          <w:rFonts w:hint="eastAsia" w:ascii="宋体" w:hAnsi="宋体" w:eastAsia="宋体" w:cs="宋体"/>
          <w:color w:val="auto"/>
          <w:sz w:val="23"/>
          <w:szCs w:val="23"/>
        </w:rPr>
      </w:pPr>
      <w:r>
        <w:rPr>
          <w:rFonts w:hint="eastAsia" w:ascii="宋体" w:hAnsi="宋体" w:eastAsia="宋体" w:cs="宋体"/>
          <w:color w:val="auto"/>
          <w:spacing w:val="25"/>
          <w:sz w:val="23"/>
          <w:szCs w:val="23"/>
        </w:rPr>
        <w:t>(</w:t>
      </w:r>
      <w:r>
        <w:rPr>
          <w:rFonts w:hint="eastAsia" w:ascii="宋体" w:hAnsi="宋体" w:eastAsia="宋体" w:cs="宋体"/>
          <w:color w:val="auto"/>
          <w:spacing w:val="14"/>
          <w:sz w:val="23"/>
          <w:szCs w:val="23"/>
        </w:rPr>
        <w:t>四) 通过银行等金融机构向安置的每位残疾人，按月支付了不低于单位</w:t>
      </w:r>
      <w:r>
        <w:rPr>
          <w:rFonts w:hint="eastAsia" w:ascii="宋体" w:hAnsi="宋体" w:eastAsia="宋体" w:cs="宋体"/>
          <w:color w:val="auto"/>
          <w:sz w:val="23"/>
          <w:szCs w:val="23"/>
        </w:rPr>
        <w:t xml:space="preserve"> </w:t>
      </w:r>
      <w:r>
        <w:rPr>
          <w:rFonts w:hint="eastAsia" w:ascii="宋体" w:hAnsi="宋体" w:eastAsia="宋体" w:cs="宋体"/>
          <w:color w:val="auto"/>
          <w:spacing w:val="17"/>
          <w:sz w:val="23"/>
          <w:szCs w:val="23"/>
        </w:rPr>
        <w:t>所</w:t>
      </w:r>
      <w:r>
        <w:rPr>
          <w:rFonts w:hint="eastAsia" w:ascii="宋体" w:hAnsi="宋体" w:eastAsia="宋体" w:cs="宋体"/>
          <w:color w:val="auto"/>
          <w:spacing w:val="9"/>
          <w:sz w:val="23"/>
          <w:szCs w:val="23"/>
        </w:rPr>
        <w:t>在区县适用的经省级人民政府批准的月最低工资标准的工资；</w:t>
      </w:r>
    </w:p>
    <w:p>
      <w:pPr>
        <w:spacing w:before="2" w:line="360" w:lineRule="auto"/>
        <w:ind w:left="24" w:right="80" w:firstLine="576"/>
        <w:rPr>
          <w:rFonts w:hint="eastAsia" w:ascii="宋体" w:hAnsi="宋体" w:eastAsia="宋体" w:cs="宋体"/>
          <w:color w:val="auto"/>
          <w:sz w:val="23"/>
          <w:szCs w:val="23"/>
        </w:rPr>
      </w:pPr>
      <w:r>
        <w:rPr>
          <w:rFonts w:hint="eastAsia" w:ascii="宋体" w:hAnsi="宋体" w:eastAsia="宋体" w:cs="宋体"/>
          <w:color w:val="auto"/>
          <w:spacing w:val="26"/>
          <w:sz w:val="23"/>
          <w:szCs w:val="23"/>
        </w:rPr>
        <w:t>(</w:t>
      </w:r>
      <w:r>
        <w:rPr>
          <w:rFonts w:hint="eastAsia" w:ascii="宋体" w:hAnsi="宋体" w:eastAsia="宋体" w:cs="宋体"/>
          <w:color w:val="auto"/>
          <w:spacing w:val="18"/>
          <w:sz w:val="23"/>
          <w:szCs w:val="23"/>
        </w:rPr>
        <w:t>五</w:t>
      </w:r>
      <w:r>
        <w:rPr>
          <w:rFonts w:hint="eastAsia" w:ascii="宋体" w:hAnsi="宋体" w:eastAsia="宋体" w:cs="宋体"/>
          <w:color w:val="auto"/>
          <w:spacing w:val="13"/>
          <w:sz w:val="23"/>
          <w:szCs w:val="23"/>
        </w:rPr>
        <w:t>) 提供本单位承担的服务 (以下简称产品) ，或者提供其他残疾人福</w:t>
      </w:r>
      <w:r>
        <w:rPr>
          <w:rFonts w:hint="eastAsia" w:ascii="宋体" w:hAnsi="宋体" w:eastAsia="宋体" w:cs="宋体"/>
          <w:color w:val="auto"/>
          <w:sz w:val="23"/>
          <w:szCs w:val="23"/>
        </w:rPr>
        <w:t xml:space="preserve"> </w:t>
      </w:r>
      <w:r>
        <w:rPr>
          <w:rFonts w:hint="eastAsia" w:ascii="宋体" w:hAnsi="宋体" w:eastAsia="宋体" w:cs="宋体"/>
          <w:color w:val="auto"/>
          <w:spacing w:val="13"/>
          <w:sz w:val="23"/>
          <w:szCs w:val="23"/>
        </w:rPr>
        <w:t>利</w:t>
      </w:r>
      <w:r>
        <w:rPr>
          <w:rFonts w:hint="eastAsia" w:ascii="宋体" w:hAnsi="宋体" w:eastAsia="宋体" w:cs="宋体"/>
          <w:color w:val="auto"/>
          <w:spacing w:val="7"/>
          <w:sz w:val="23"/>
          <w:szCs w:val="23"/>
        </w:rPr>
        <w:t>性单位提供的服。</w:t>
      </w:r>
    </w:p>
    <w:p>
      <w:pPr>
        <w:spacing w:before="2" w:line="360" w:lineRule="auto"/>
        <w:ind w:left="24" w:right="80" w:firstLine="569"/>
        <w:rPr>
          <w:rFonts w:hint="eastAsia" w:ascii="宋体" w:hAnsi="宋体" w:eastAsia="宋体" w:cs="宋体"/>
          <w:color w:val="auto"/>
          <w:sz w:val="23"/>
          <w:szCs w:val="23"/>
        </w:rPr>
      </w:pPr>
      <w:r>
        <w:rPr>
          <w:rFonts w:hint="eastAsia" w:ascii="宋体" w:hAnsi="宋体" w:eastAsia="宋体" w:cs="宋体"/>
          <w:color w:val="auto"/>
          <w:spacing w:val="11"/>
          <w:sz w:val="23"/>
          <w:szCs w:val="23"/>
        </w:rPr>
        <w:t>前款所称残疾人是指法定劳动年龄内，持有《中华人民共和国残疾人证》</w:t>
      </w:r>
      <w:r>
        <w:rPr>
          <w:rFonts w:hint="eastAsia" w:ascii="宋体" w:hAnsi="宋体" w:eastAsia="宋体" w:cs="宋体"/>
          <w:color w:val="auto"/>
          <w:sz w:val="23"/>
          <w:szCs w:val="23"/>
        </w:rPr>
        <w:t xml:space="preserve"> </w:t>
      </w:r>
      <w:r>
        <w:rPr>
          <w:rFonts w:hint="eastAsia" w:ascii="宋体" w:hAnsi="宋体" w:eastAsia="宋体" w:cs="宋体"/>
          <w:color w:val="auto"/>
          <w:spacing w:val="12"/>
          <w:sz w:val="23"/>
          <w:szCs w:val="23"/>
        </w:rPr>
        <w:t>或者</w:t>
      </w:r>
      <w:r>
        <w:rPr>
          <w:rFonts w:hint="eastAsia" w:ascii="宋体" w:hAnsi="宋体" w:eastAsia="宋体" w:cs="宋体"/>
          <w:color w:val="auto"/>
          <w:spacing w:val="6"/>
          <w:sz w:val="23"/>
          <w:szCs w:val="23"/>
        </w:rPr>
        <w:t>《中华人民共和国残疾军人证 (1至 8 级) 》的自然人，包括具有劳动条件</w:t>
      </w:r>
      <w:r>
        <w:rPr>
          <w:rFonts w:hint="eastAsia" w:ascii="宋体" w:hAnsi="宋体" w:eastAsia="宋体" w:cs="宋体"/>
          <w:color w:val="auto"/>
          <w:sz w:val="23"/>
          <w:szCs w:val="23"/>
        </w:rPr>
        <w:t xml:space="preserve"> </w:t>
      </w:r>
      <w:r>
        <w:rPr>
          <w:rFonts w:hint="eastAsia" w:ascii="宋体" w:hAnsi="宋体" w:eastAsia="宋体" w:cs="宋体"/>
          <w:color w:val="auto"/>
          <w:spacing w:val="8"/>
          <w:sz w:val="23"/>
          <w:szCs w:val="23"/>
        </w:rPr>
        <w:t>和</w:t>
      </w:r>
      <w:r>
        <w:rPr>
          <w:rFonts w:hint="eastAsia" w:ascii="宋体" w:hAnsi="宋体" w:eastAsia="宋体" w:cs="宋体"/>
          <w:color w:val="auto"/>
          <w:spacing w:val="7"/>
          <w:sz w:val="23"/>
          <w:szCs w:val="23"/>
        </w:rPr>
        <w:t>劳动意愿的精神残疾人。在职职工人数是指与残疾人福利性单位建立劳动关系</w:t>
      </w:r>
      <w:r>
        <w:rPr>
          <w:rFonts w:hint="eastAsia" w:ascii="宋体" w:hAnsi="宋体" w:eastAsia="宋体" w:cs="宋体"/>
          <w:color w:val="auto"/>
          <w:sz w:val="23"/>
          <w:szCs w:val="23"/>
        </w:rPr>
        <w:t xml:space="preserve"> </w:t>
      </w:r>
      <w:r>
        <w:rPr>
          <w:rFonts w:hint="eastAsia" w:ascii="宋体" w:hAnsi="宋体" w:eastAsia="宋体" w:cs="宋体"/>
          <w:color w:val="auto"/>
          <w:spacing w:val="9"/>
          <w:sz w:val="23"/>
          <w:szCs w:val="23"/>
        </w:rPr>
        <w:t>并依法签订劳动合同或者服务协议的雇员人数。</w:t>
      </w:r>
    </w:p>
    <w:p>
      <w:pPr>
        <w:spacing w:before="3" w:line="360" w:lineRule="auto"/>
        <w:ind w:left="22" w:right="80" w:firstLine="484"/>
        <w:rPr>
          <w:rFonts w:hint="eastAsia" w:ascii="宋体" w:hAnsi="宋体" w:eastAsia="宋体" w:cs="宋体"/>
          <w:color w:val="auto"/>
          <w:sz w:val="23"/>
          <w:szCs w:val="23"/>
        </w:rPr>
      </w:pPr>
      <w:r>
        <w:rPr>
          <w:rFonts w:hint="eastAsia" w:ascii="宋体" w:hAnsi="宋体" w:eastAsia="宋体" w:cs="宋体"/>
          <w:color w:val="auto"/>
          <w:spacing w:val="12"/>
          <w:sz w:val="23"/>
          <w:szCs w:val="23"/>
        </w:rPr>
        <w:t>二、中标</w:t>
      </w:r>
      <w:r>
        <w:rPr>
          <w:rFonts w:hint="eastAsia" w:ascii="宋体" w:hAnsi="宋体" w:eastAsia="宋体" w:cs="宋体"/>
          <w:color w:val="auto"/>
          <w:spacing w:val="7"/>
          <w:sz w:val="23"/>
          <w:szCs w:val="23"/>
        </w:rPr>
        <w:t>、</w:t>
      </w:r>
      <w:r>
        <w:rPr>
          <w:rFonts w:hint="eastAsia" w:ascii="宋体" w:hAnsi="宋体" w:eastAsia="宋体" w:cs="宋体"/>
          <w:color w:val="auto"/>
          <w:spacing w:val="6"/>
          <w:sz w:val="23"/>
          <w:szCs w:val="23"/>
        </w:rPr>
        <w:t>成交供应商为残疾人福利性单位的，采购人或者其委托的采购代</w:t>
      </w:r>
      <w:r>
        <w:rPr>
          <w:rFonts w:hint="eastAsia" w:ascii="宋体" w:hAnsi="宋体" w:eastAsia="宋体" w:cs="宋体"/>
          <w:color w:val="auto"/>
          <w:sz w:val="23"/>
          <w:szCs w:val="23"/>
        </w:rPr>
        <w:t xml:space="preserve"> </w:t>
      </w:r>
      <w:r>
        <w:rPr>
          <w:rFonts w:hint="eastAsia" w:ascii="宋体" w:hAnsi="宋体" w:eastAsia="宋体" w:cs="宋体"/>
          <w:color w:val="auto"/>
          <w:spacing w:val="9"/>
          <w:sz w:val="23"/>
          <w:szCs w:val="23"/>
        </w:rPr>
        <w:t>理</w:t>
      </w:r>
      <w:r>
        <w:rPr>
          <w:rFonts w:hint="eastAsia" w:ascii="宋体" w:hAnsi="宋体" w:eastAsia="宋体" w:cs="宋体"/>
          <w:color w:val="auto"/>
          <w:spacing w:val="7"/>
          <w:sz w:val="23"/>
          <w:szCs w:val="23"/>
        </w:rPr>
        <w:t>机构应当随中标、成交结果同时公告其《残疾人福利性单位声明函》，接受社</w:t>
      </w:r>
      <w:r>
        <w:rPr>
          <w:rFonts w:hint="eastAsia" w:ascii="宋体" w:hAnsi="宋体" w:eastAsia="宋体" w:cs="宋体"/>
          <w:color w:val="auto"/>
          <w:sz w:val="23"/>
          <w:szCs w:val="23"/>
        </w:rPr>
        <w:t xml:space="preserve"> </w:t>
      </w:r>
      <w:r>
        <w:rPr>
          <w:rFonts w:hint="eastAsia" w:ascii="宋体" w:hAnsi="宋体" w:eastAsia="宋体" w:cs="宋体"/>
          <w:color w:val="auto"/>
          <w:spacing w:val="6"/>
          <w:sz w:val="23"/>
          <w:szCs w:val="23"/>
        </w:rPr>
        <w:t>会</w:t>
      </w:r>
      <w:r>
        <w:rPr>
          <w:rFonts w:hint="eastAsia" w:ascii="宋体" w:hAnsi="宋体" w:eastAsia="宋体" w:cs="宋体"/>
          <w:color w:val="auto"/>
          <w:spacing w:val="5"/>
          <w:sz w:val="23"/>
          <w:szCs w:val="23"/>
        </w:rPr>
        <w:t>监督。</w:t>
      </w:r>
    </w:p>
    <w:p>
      <w:pPr>
        <w:spacing w:line="360" w:lineRule="auto"/>
        <w:rPr>
          <w:rFonts w:hint="eastAsia" w:ascii="宋体" w:hAnsi="宋体" w:eastAsia="宋体" w:cs="宋体"/>
          <w:color w:val="auto"/>
        </w:rPr>
        <w:sectPr>
          <w:footerReference r:id="rId15" w:type="default"/>
          <w:pgSz w:w="11906" w:h="16839"/>
          <w:pgMar w:top="1431" w:right="1719" w:bottom="1166" w:left="1785" w:header="850" w:footer="992" w:gutter="0"/>
          <w:pgNumType w:fmt="decimal"/>
          <w:cols w:space="720" w:num="1"/>
        </w:sectPr>
      </w:pPr>
    </w:p>
    <w:p>
      <w:pPr>
        <w:spacing w:before="180" w:line="360" w:lineRule="auto"/>
        <w:ind w:firstLine="3094" w:firstLineChars="1300"/>
        <w:rPr>
          <w:rFonts w:hint="eastAsia" w:ascii="宋体" w:hAnsi="宋体" w:eastAsia="宋体" w:cs="宋体"/>
          <w:color w:val="auto"/>
          <w:sz w:val="24"/>
          <w:szCs w:val="24"/>
        </w:rPr>
      </w:pPr>
      <w:r>
        <w:rPr>
          <w:rFonts w:hint="eastAsia" w:ascii="宋体" w:hAnsi="宋体" w:eastAsia="宋体" w:cs="宋体"/>
          <w:color w:val="auto"/>
          <w:spacing w:val="-1"/>
          <w:sz w:val="24"/>
          <w:szCs w:val="24"/>
          <w14:textOutline w14:w="5103" w14:cap="sq" w14:cmpd="sng">
            <w14:solidFill>
              <w14:srgbClr w14:val="000000"/>
            </w14:solidFill>
            <w14:prstDash w14:val="solid"/>
            <w14:bevel/>
          </w14:textOutline>
        </w:rPr>
        <w:t>监狱企业</w:t>
      </w:r>
      <w:r>
        <w:rPr>
          <w:rFonts w:hint="eastAsia" w:ascii="宋体" w:hAnsi="宋体" w:eastAsia="宋体" w:cs="宋体"/>
          <w:color w:val="auto"/>
          <w:sz w:val="24"/>
          <w:szCs w:val="24"/>
          <w14:textOutline w14:w="5103" w14:cap="sq" w14:cmpd="sng">
            <w14:solidFill>
              <w14:srgbClr w14:val="000000"/>
            </w14:solidFill>
            <w14:prstDash w14:val="solid"/>
            <w14:bevel/>
          </w14:textOutline>
        </w:rPr>
        <w:t>证明函</w:t>
      </w:r>
    </w:p>
    <w:p>
      <w:pPr>
        <w:spacing w:before="229" w:line="360" w:lineRule="auto"/>
        <w:ind w:left="25" w:right="53" w:firstLine="479"/>
        <w:rPr>
          <w:rFonts w:hint="eastAsia" w:ascii="宋体" w:hAnsi="宋体" w:eastAsia="宋体" w:cs="宋体"/>
          <w:color w:val="auto"/>
          <w:sz w:val="23"/>
          <w:szCs w:val="23"/>
        </w:rPr>
      </w:pPr>
      <w:r>
        <w:rPr>
          <w:rFonts w:hint="eastAsia" w:ascii="宋体" w:hAnsi="宋体" w:eastAsia="宋体" w:cs="宋体"/>
          <w:color w:val="auto"/>
          <w:spacing w:val="7"/>
          <w:sz w:val="23"/>
          <w:szCs w:val="23"/>
        </w:rPr>
        <w:t>监狱企业参加政府采购活动，要求享受相关优惠政策的，应当提供由省级</w:t>
      </w:r>
      <w:r>
        <w:rPr>
          <w:rFonts w:hint="eastAsia" w:ascii="宋体" w:hAnsi="宋体" w:eastAsia="宋体" w:cs="宋体"/>
          <w:color w:val="auto"/>
          <w:spacing w:val="2"/>
          <w:sz w:val="23"/>
          <w:szCs w:val="23"/>
        </w:rPr>
        <w:t>以</w:t>
      </w:r>
      <w:r>
        <w:rPr>
          <w:rFonts w:hint="eastAsia" w:ascii="宋体" w:hAnsi="宋体" w:eastAsia="宋体" w:cs="宋体"/>
          <w:color w:val="auto"/>
          <w:sz w:val="23"/>
          <w:szCs w:val="23"/>
        </w:rPr>
        <w:t xml:space="preserve"> </w:t>
      </w:r>
      <w:r>
        <w:rPr>
          <w:rFonts w:hint="eastAsia" w:ascii="宋体" w:hAnsi="宋体" w:eastAsia="宋体" w:cs="宋体"/>
          <w:color w:val="auto"/>
          <w:spacing w:val="12"/>
          <w:sz w:val="23"/>
          <w:szCs w:val="23"/>
        </w:rPr>
        <w:t>上监狱</w:t>
      </w:r>
      <w:r>
        <w:rPr>
          <w:rFonts w:hint="eastAsia" w:ascii="宋体" w:hAnsi="宋体" w:eastAsia="宋体" w:cs="宋体"/>
          <w:color w:val="auto"/>
          <w:spacing w:val="11"/>
          <w:sz w:val="23"/>
          <w:szCs w:val="23"/>
        </w:rPr>
        <w:t>管</w:t>
      </w:r>
      <w:r>
        <w:rPr>
          <w:rFonts w:hint="eastAsia" w:ascii="宋体" w:hAnsi="宋体" w:eastAsia="宋体" w:cs="宋体"/>
          <w:color w:val="auto"/>
          <w:spacing w:val="6"/>
          <w:sz w:val="23"/>
          <w:szCs w:val="23"/>
        </w:rPr>
        <w:t>理局、戒毒管理局 (含新疆生产建设兵团) 出具的属于监狱企业的证明</w:t>
      </w:r>
      <w:r>
        <w:rPr>
          <w:rFonts w:hint="eastAsia" w:ascii="宋体" w:hAnsi="宋体" w:eastAsia="宋体" w:cs="宋体"/>
          <w:color w:val="auto"/>
          <w:sz w:val="23"/>
          <w:szCs w:val="23"/>
        </w:rPr>
        <w:t xml:space="preserve"> </w:t>
      </w:r>
      <w:r>
        <w:rPr>
          <w:rFonts w:hint="eastAsia" w:ascii="宋体" w:hAnsi="宋体" w:eastAsia="宋体" w:cs="宋体"/>
          <w:color w:val="auto"/>
          <w:spacing w:val="3"/>
          <w:sz w:val="23"/>
          <w:szCs w:val="23"/>
        </w:rPr>
        <w:t>文件</w:t>
      </w:r>
      <w:r>
        <w:rPr>
          <w:rFonts w:hint="eastAsia" w:ascii="宋体" w:hAnsi="宋体" w:eastAsia="宋体" w:cs="宋体"/>
          <w:color w:val="auto"/>
          <w:spacing w:val="2"/>
          <w:sz w:val="23"/>
          <w:szCs w:val="23"/>
        </w:rPr>
        <w:t>。</w:t>
      </w:r>
    </w:p>
    <w:p>
      <w:pPr>
        <w:tabs>
          <w:tab w:val="left" w:pos="148"/>
        </w:tabs>
        <w:spacing w:before="3" w:line="360" w:lineRule="auto"/>
        <w:ind w:left="24" w:firstLine="481"/>
        <w:rPr>
          <w:rFonts w:hint="eastAsia" w:ascii="宋体" w:hAnsi="宋体" w:eastAsia="宋体" w:cs="宋体"/>
          <w:color w:val="auto"/>
          <w:spacing w:val="7"/>
          <w:sz w:val="23"/>
          <w:szCs w:val="23"/>
        </w:rPr>
      </w:pPr>
      <w:r>
        <w:rPr>
          <w:rFonts w:hint="eastAsia" w:ascii="宋体" w:hAnsi="宋体" w:eastAsia="宋体" w:cs="宋体"/>
          <w:color w:val="auto"/>
          <w:spacing w:val="18"/>
          <w:sz w:val="23"/>
          <w:szCs w:val="23"/>
        </w:rPr>
        <w:t>备注</w:t>
      </w:r>
      <w:r>
        <w:rPr>
          <w:rFonts w:hint="eastAsia" w:ascii="宋体" w:hAnsi="宋体" w:eastAsia="宋体" w:cs="宋体"/>
          <w:color w:val="auto"/>
          <w:spacing w:val="16"/>
          <w:sz w:val="23"/>
          <w:szCs w:val="23"/>
        </w:rPr>
        <w:t>：</w:t>
      </w:r>
      <w:r>
        <w:rPr>
          <w:rFonts w:hint="eastAsia" w:ascii="宋体" w:hAnsi="宋体" w:eastAsia="宋体" w:cs="宋体"/>
          <w:color w:val="auto"/>
          <w:spacing w:val="9"/>
          <w:sz w:val="23"/>
          <w:szCs w:val="23"/>
        </w:rPr>
        <w:t>财政部 司法部《关于政府采购支持监狱企业发展有关问题的通知》</w:t>
      </w:r>
      <w:r>
        <w:rPr>
          <w:rFonts w:hint="eastAsia" w:ascii="宋体" w:hAnsi="宋体" w:eastAsia="宋体" w:cs="宋体"/>
          <w:color w:val="auto"/>
          <w:sz w:val="23"/>
          <w:szCs w:val="23"/>
        </w:rPr>
        <w:t xml:space="preserve"> </w:t>
      </w:r>
      <w:r>
        <w:rPr>
          <w:rFonts w:hint="eastAsia" w:ascii="宋体" w:hAnsi="宋体" w:eastAsia="宋体" w:cs="宋体"/>
          <w:color w:val="auto"/>
          <w:sz w:val="23"/>
          <w:szCs w:val="23"/>
        </w:rPr>
        <w:tab/>
      </w:r>
      <w:r>
        <w:rPr>
          <w:rFonts w:hint="eastAsia" w:ascii="宋体" w:hAnsi="宋体" w:eastAsia="宋体" w:cs="宋体"/>
          <w:color w:val="auto"/>
          <w:spacing w:val="9"/>
          <w:sz w:val="23"/>
          <w:szCs w:val="23"/>
        </w:rPr>
        <w:t>(财库〔2014〕68 号) 规定，监狱企业是指由司法部认定的为罪犯、戒毒人</w:t>
      </w:r>
      <w:r>
        <w:rPr>
          <w:rFonts w:hint="eastAsia" w:ascii="宋体" w:hAnsi="宋体" w:eastAsia="宋体" w:cs="宋体"/>
          <w:color w:val="auto"/>
          <w:spacing w:val="6"/>
          <w:sz w:val="23"/>
          <w:szCs w:val="23"/>
        </w:rPr>
        <w:t>员</w:t>
      </w:r>
      <w:r>
        <w:rPr>
          <w:rFonts w:hint="eastAsia" w:ascii="宋体" w:hAnsi="宋体" w:eastAsia="宋体" w:cs="宋体"/>
          <w:color w:val="auto"/>
          <w:sz w:val="23"/>
          <w:szCs w:val="23"/>
        </w:rPr>
        <w:t xml:space="preserve"> </w:t>
      </w:r>
      <w:r>
        <w:rPr>
          <w:rFonts w:hint="eastAsia" w:ascii="宋体" w:hAnsi="宋体" w:eastAsia="宋体" w:cs="宋体"/>
          <w:color w:val="auto"/>
          <w:spacing w:val="8"/>
          <w:sz w:val="23"/>
          <w:szCs w:val="23"/>
        </w:rPr>
        <w:t>提</w:t>
      </w:r>
      <w:r>
        <w:rPr>
          <w:rFonts w:hint="eastAsia" w:ascii="宋体" w:hAnsi="宋体" w:eastAsia="宋体" w:cs="宋体"/>
          <w:color w:val="auto"/>
          <w:spacing w:val="7"/>
          <w:sz w:val="23"/>
          <w:szCs w:val="23"/>
        </w:rPr>
        <w:t>供生产项目和劳动对象，且全部产权属于司法部监狱管理局、戒毒管理局、直</w:t>
      </w:r>
      <w:r>
        <w:rPr>
          <w:rFonts w:hint="eastAsia" w:ascii="宋体" w:hAnsi="宋体" w:eastAsia="宋体" w:cs="宋体"/>
          <w:color w:val="auto"/>
          <w:sz w:val="23"/>
          <w:szCs w:val="23"/>
        </w:rPr>
        <w:t xml:space="preserve"> </w:t>
      </w:r>
      <w:r>
        <w:rPr>
          <w:rFonts w:hint="eastAsia" w:ascii="宋体" w:hAnsi="宋体" w:eastAsia="宋体" w:cs="宋体"/>
          <w:color w:val="auto"/>
          <w:spacing w:val="7"/>
          <w:sz w:val="23"/>
          <w:szCs w:val="23"/>
        </w:rPr>
        <w:t>属煤矿管理局，各省、自治区、直辖市监狱管理局、戒毒管理局，各地 (设区</w:t>
      </w:r>
      <w:r>
        <w:rPr>
          <w:rFonts w:hint="eastAsia" w:ascii="宋体" w:hAnsi="宋体" w:eastAsia="宋体" w:cs="宋体"/>
          <w:color w:val="auto"/>
          <w:spacing w:val="1"/>
          <w:sz w:val="23"/>
          <w:szCs w:val="23"/>
        </w:rPr>
        <w:t>的</w:t>
      </w:r>
      <w:r>
        <w:rPr>
          <w:rFonts w:hint="eastAsia" w:ascii="宋体" w:hAnsi="宋体" w:eastAsia="宋体" w:cs="宋体"/>
          <w:color w:val="auto"/>
          <w:sz w:val="23"/>
          <w:szCs w:val="23"/>
        </w:rPr>
        <w:t xml:space="preserve"> </w:t>
      </w:r>
      <w:r>
        <w:rPr>
          <w:rFonts w:hint="eastAsia" w:ascii="宋体" w:hAnsi="宋体" w:eastAsia="宋体" w:cs="宋体"/>
          <w:color w:val="auto"/>
          <w:spacing w:val="16"/>
          <w:sz w:val="23"/>
          <w:szCs w:val="23"/>
        </w:rPr>
        <w:t>市</w:t>
      </w:r>
      <w:r>
        <w:rPr>
          <w:rFonts w:hint="eastAsia" w:ascii="宋体" w:hAnsi="宋体" w:eastAsia="宋体" w:cs="宋体"/>
          <w:color w:val="auto"/>
          <w:spacing w:val="11"/>
          <w:sz w:val="23"/>
          <w:szCs w:val="23"/>
        </w:rPr>
        <w:t>)</w:t>
      </w:r>
      <w:r>
        <w:rPr>
          <w:rFonts w:hint="eastAsia" w:ascii="宋体" w:hAnsi="宋体" w:eastAsia="宋体" w:cs="宋体"/>
          <w:color w:val="auto"/>
          <w:spacing w:val="8"/>
          <w:sz w:val="23"/>
          <w:szCs w:val="23"/>
        </w:rPr>
        <w:t xml:space="preserve"> 监狱、强制隔离戒毒所、戒毒康复所，以及新疆生产建设兵团监狱管理局、</w:t>
      </w:r>
      <w:r>
        <w:rPr>
          <w:rFonts w:hint="eastAsia" w:ascii="宋体" w:hAnsi="宋体" w:eastAsia="宋体" w:cs="宋体"/>
          <w:color w:val="auto"/>
          <w:sz w:val="23"/>
          <w:szCs w:val="23"/>
        </w:rPr>
        <w:t xml:space="preserve"> </w:t>
      </w:r>
      <w:r>
        <w:rPr>
          <w:rFonts w:hint="eastAsia" w:ascii="宋体" w:hAnsi="宋体" w:eastAsia="宋体" w:cs="宋体"/>
          <w:color w:val="auto"/>
          <w:spacing w:val="13"/>
          <w:sz w:val="23"/>
          <w:szCs w:val="23"/>
        </w:rPr>
        <w:t>戒</w:t>
      </w:r>
      <w:r>
        <w:rPr>
          <w:rFonts w:hint="eastAsia" w:ascii="宋体" w:hAnsi="宋体" w:eastAsia="宋体" w:cs="宋体"/>
          <w:color w:val="auto"/>
          <w:spacing w:val="7"/>
          <w:sz w:val="23"/>
          <w:szCs w:val="23"/>
        </w:rPr>
        <w:t>毒管理局的企业。</w:t>
      </w:r>
    </w:p>
    <w:p>
      <w:pPr>
        <w:pStyle w:val="2"/>
        <w:spacing w:line="360" w:lineRule="auto"/>
        <w:rPr>
          <w:rFonts w:hint="eastAsia" w:ascii="宋体" w:hAnsi="宋体" w:eastAsia="宋体" w:cs="宋体"/>
          <w:color w:val="auto"/>
        </w:rPr>
      </w:pPr>
    </w:p>
    <w:p>
      <w:pPr>
        <w:spacing w:line="360" w:lineRule="auto"/>
        <w:rPr>
          <w:rFonts w:hint="eastAsia" w:ascii="宋体" w:hAnsi="宋体" w:eastAsia="宋体" w:cs="宋体"/>
          <w:color w:val="auto"/>
        </w:rPr>
        <w:sectPr>
          <w:footerReference r:id="rId16" w:type="default"/>
          <w:pgSz w:w="11906" w:h="16839"/>
          <w:pgMar w:top="1431" w:right="1745" w:bottom="1166" w:left="1785" w:header="850" w:footer="992" w:gutter="0"/>
          <w:pgNumType w:fmt="decimal"/>
          <w:cols w:space="720" w:num="1"/>
        </w:sectPr>
      </w:pPr>
    </w:p>
    <w:p>
      <w:pPr>
        <w:spacing w:line="360" w:lineRule="auto"/>
        <w:ind w:firstLine="3373" w:firstLineChars="1200"/>
        <w:outlineLvl w:val="2"/>
        <w:rPr>
          <w:rFonts w:hint="eastAsia" w:ascii="宋体" w:hAnsi="宋体" w:eastAsia="宋体" w:cs="宋体"/>
          <w:b/>
          <w:bCs w:val="0"/>
          <w:kern w:val="0"/>
          <w:sz w:val="28"/>
          <w:szCs w:val="28"/>
          <w:shd w:val="clear" w:color="auto" w:fill="FFFFFF"/>
          <w:lang w:val="en-US" w:eastAsia="zh-CN" w:bidi="ar-SA"/>
        </w:rPr>
      </w:pPr>
      <w:bookmarkStart w:id="99" w:name="_Toc13892"/>
      <w:r>
        <w:rPr>
          <w:rFonts w:hint="eastAsia" w:ascii="宋体" w:hAnsi="宋体" w:eastAsia="宋体" w:cs="宋体"/>
          <w:b/>
          <w:bCs w:val="0"/>
          <w:kern w:val="0"/>
          <w:sz w:val="28"/>
          <w:szCs w:val="28"/>
          <w:shd w:val="clear" w:color="auto" w:fill="FFFFFF"/>
          <w:lang w:val="en-US" w:eastAsia="zh-CN" w:bidi="ar-SA"/>
        </w:rPr>
        <w:t>七、服务方案</w:t>
      </w:r>
      <w:bookmarkEnd w:id="99"/>
    </w:p>
    <w:p>
      <w:pPr>
        <w:kinsoku w:val="0"/>
        <w:spacing w:line="360" w:lineRule="auto"/>
        <w:ind w:firstLine="480" w:firstLineChars="200"/>
        <w:jc w:val="left"/>
        <w:rPr>
          <w:rFonts w:ascii="宋体" w:hAnsi="宋体" w:cs="Times New Roman"/>
          <w:szCs w:val="24"/>
        </w:rPr>
      </w:pPr>
      <w:r>
        <w:rPr>
          <w:rFonts w:hint="eastAsia" w:ascii="宋体" w:hAnsi="宋体" w:cs="Times New Roman"/>
          <w:szCs w:val="24"/>
        </w:rPr>
        <w:t>按照磋商文件的要求编制的响应方案说明书，参照磋商文件《</w:t>
      </w:r>
      <w:r>
        <w:rPr>
          <w:rFonts w:hint="eastAsia" w:ascii="宋体" w:hAnsi="宋体" w:cs="Times New Roman"/>
          <w:szCs w:val="24"/>
          <w:lang w:eastAsia="zh-CN"/>
        </w:rPr>
        <w:t>评审</w:t>
      </w:r>
      <w:r>
        <w:rPr>
          <w:rFonts w:hint="eastAsia" w:ascii="宋体" w:hAnsi="宋体" w:cs="Times New Roman"/>
          <w:szCs w:val="24"/>
        </w:rPr>
        <w:t>方法》各条款的要求，结合采购内容及要求编制磋商响应方案。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ascii="宋体" w:hAnsi="宋体"/>
          <w:b/>
          <w:bCs/>
          <w:color w:val="auto"/>
          <w:sz w:val="28"/>
          <w:highlight w:val="none"/>
        </w:rPr>
      </w:pPr>
      <w:bookmarkStart w:id="100" w:name="_Toc6384"/>
      <w:r>
        <w:rPr>
          <w:rFonts w:hint="eastAsia" w:ascii="宋体" w:hAnsi="宋体"/>
          <w:b/>
          <w:bCs/>
          <w:color w:val="auto"/>
          <w:highlight w:val="none"/>
        </w:rPr>
        <w:t>注：供应商根据本项目实际情况编写，后附格式参照，其余格式自拟。</w:t>
      </w:r>
      <w:bookmarkEnd w:id="100"/>
    </w:p>
    <w:p>
      <w:pPr>
        <w:spacing w:line="360" w:lineRule="auto"/>
        <w:jc w:val="center"/>
        <w:outlineLvl w:val="1"/>
        <w:rPr>
          <w:rFonts w:ascii="宋体" w:hAnsi="宋体" w:cs="Times New Roman"/>
          <w:b/>
          <w:bCs/>
        </w:rPr>
      </w:pPr>
    </w:p>
    <w:p>
      <w:pPr>
        <w:kinsoku w:val="0"/>
        <w:spacing w:line="360" w:lineRule="auto"/>
        <w:jc w:val="both"/>
        <w:rPr>
          <w:rFonts w:hint="eastAsia" w:ascii="宋体" w:hAnsi="宋体" w:eastAsia="宋体" w:cs="宋体"/>
          <w:b/>
          <w:color w:val="auto"/>
          <w:sz w:val="24"/>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rPr>
          <w:rFonts w:hint="eastAsia" w:ascii="宋体" w:hAnsi="宋体" w:eastAsia="宋体" w:cs="宋体"/>
          <w:color w:val="auto"/>
          <w:sz w:val="21"/>
        </w:rPr>
      </w:pPr>
      <w:r>
        <w:rPr>
          <w:rFonts w:hint="eastAsia" w:ascii="宋体" w:hAnsi="宋体" w:eastAsia="宋体" w:cs="宋体"/>
          <w:color w:val="auto"/>
          <w:sz w:val="21"/>
        </w:rPr>
        <w:br w:type="page"/>
      </w:r>
    </w:p>
    <w:p>
      <w:pPr>
        <w:pStyle w:val="5"/>
        <w:bidi w:val="0"/>
        <w:spacing w:line="240" w:lineRule="auto"/>
        <w:rPr>
          <w:rFonts w:hint="eastAsia" w:ascii="宋体" w:hAnsi="宋体" w:eastAsia="宋体" w:cs="宋体"/>
          <w:sz w:val="24"/>
          <w:szCs w:val="18"/>
          <w:lang w:val="en-US" w:eastAsia="zh-CN"/>
        </w:rPr>
      </w:pPr>
      <w:bookmarkStart w:id="101" w:name="_Toc28816"/>
      <w:r>
        <w:rPr>
          <w:rFonts w:hint="eastAsia" w:ascii="宋体" w:hAnsi="宋体" w:eastAsia="宋体" w:cs="宋体"/>
          <w:sz w:val="24"/>
          <w:szCs w:val="18"/>
          <w:lang w:val="en-US" w:eastAsia="zh-CN"/>
        </w:rPr>
        <w:t>附件1：</w:t>
      </w:r>
      <w:bookmarkStart w:id="102" w:name="_Toc5731"/>
      <w:r>
        <w:rPr>
          <w:rFonts w:hint="eastAsia" w:ascii="宋体" w:hAnsi="宋体" w:eastAsia="宋体" w:cs="宋体"/>
          <w:sz w:val="24"/>
          <w:szCs w:val="18"/>
          <w:lang w:val="en-US" w:eastAsia="zh-CN"/>
        </w:rPr>
        <w:t>拟投入本项目人员汇总表</w:t>
      </w:r>
      <w:bookmarkEnd w:id="101"/>
      <w:bookmarkEnd w:id="102"/>
    </w:p>
    <w:p>
      <w:pPr>
        <w:shd w:val="clear"/>
        <w:spacing w:line="360" w:lineRule="auto"/>
        <w:ind w:firstLine="630"/>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采购项目名称： </w:t>
      </w:r>
      <w:r>
        <w:rPr>
          <w:rFonts w:hint="eastAsia" w:asciiTheme="minorEastAsia" w:hAnsiTheme="minorEastAsia" w:eastAsiaTheme="minorEastAsia" w:cstheme="minorEastAsia"/>
          <w:color w:val="auto"/>
          <w:highlight w:val="none"/>
          <w:u w:val="single"/>
        </w:rPr>
        <w:t xml:space="preserve">                            </w:t>
      </w:r>
    </w:p>
    <w:p>
      <w:pPr>
        <w:shd w:val="clear"/>
        <w:spacing w:line="360" w:lineRule="auto"/>
        <w:ind w:firstLine="630"/>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采购项目编号： </w:t>
      </w:r>
      <w:r>
        <w:rPr>
          <w:rFonts w:hint="eastAsia" w:asciiTheme="minorEastAsia" w:hAnsiTheme="minorEastAsia" w:eastAsiaTheme="minorEastAsia" w:cstheme="minorEastAsia"/>
          <w:color w:val="auto"/>
          <w:highlight w:val="none"/>
          <w:u w:val="single"/>
        </w:rPr>
        <w:t xml:space="preserve">                            </w:t>
      </w:r>
    </w:p>
    <w:tbl>
      <w:tblPr>
        <w:tblStyle w:val="20"/>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40"/>
        <w:gridCol w:w="720"/>
        <w:gridCol w:w="816"/>
        <w:gridCol w:w="984"/>
        <w:gridCol w:w="816"/>
        <w:gridCol w:w="882"/>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07" w:type="dxa"/>
          </w:tcPr>
          <w:p>
            <w:pPr>
              <w:shd w:val="clear"/>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440" w:type="dxa"/>
          </w:tcPr>
          <w:p>
            <w:pPr>
              <w:shd w:val="clear"/>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姓   名</w:t>
            </w:r>
          </w:p>
        </w:tc>
        <w:tc>
          <w:tcPr>
            <w:tcW w:w="720" w:type="dxa"/>
          </w:tcPr>
          <w:p>
            <w:pPr>
              <w:shd w:val="clear"/>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年龄</w:t>
            </w:r>
          </w:p>
        </w:tc>
        <w:tc>
          <w:tcPr>
            <w:tcW w:w="816" w:type="dxa"/>
          </w:tcPr>
          <w:p>
            <w:pPr>
              <w:shd w:val="clear"/>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性别</w:t>
            </w:r>
          </w:p>
        </w:tc>
        <w:tc>
          <w:tcPr>
            <w:tcW w:w="984" w:type="dxa"/>
          </w:tcPr>
          <w:p>
            <w:pPr>
              <w:shd w:val="clear"/>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学 历</w:t>
            </w:r>
          </w:p>
        </w:tc>
        <w:tc>
          <w:tcPr>
            <w:tcW w:w="816" w:type="dxa"/>
          </w:tcPr>
          <w:p>
            <w:pPr>
              <w:shd w:val="clear"/>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专业</w:t>
            </w:r>
          </w:p>
        </w:tc>
        <w:tc>
          <w:tcPr>
            <w:tcW w:w="882" w:type="dxa"/>
          </w:tcPr>
          <w:p>
            <w:pPr>
              <w:shd w:val="clear"/>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职称</w:t>
            </w:r>
          </w:p>
        </w:tc>
        <w:tc>
          <w:tcPr>
            <w:tcW w:w="2275" w:type="dxa"/>
          </w:tcPr>
          <w:p>
            <w:pPr>
              <w:shd w:val="clear"/>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hd w:val="clear"/>
              <w:spacing w:line="360" w:lineRule="auto"/>
              <w:jc w:val="center"/>
              <w:rPr>
                <w:rFonts w:ascii="宋体" w:hAnsi="Times New Roman" w:cs="宋体"/>
                <w:color w:val="auto"/>
                <w:highlight w:val="none"/>
              </w:rPr>
            </w:pPr>
          </w:p>
        </w:tc>
        <w:tc>
          <w:tcPr>
            <w:tcW w:w="1440" w:type="dxa"/>
          </w:tcPr>
          <w:p>
            <w:pPr>
              <w:shd w:val="clear"/>
              <w:spacing w:line="360" w:lineRule="auto"/>
              <w:jc w:val="center"/>
              <w:rPr>
                <w:rFonts w:ascii="宋体" w:hAnsi="Times New Roman" w:cs="宋体"/>
                <w:color w:val="auto"/>
                <w:highlight w:val="none"/>
              </w:rPr>
            </w:pPr>
          </w:p>
        </w:tc>
        <w:tc>
          <w:tcPr>
            <w:tcW w:w="720"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984" w:type="dxa"/>
          </w:tcPr>
          <w:p>
            <w:pPr>
              <w:shd w:val="clear"/>
              <w:spacing w:line="360" w:lineRule="auto"/>
              <w:jc w:val="center"/>
              <w:rPr>
                <w:rFonts w:ascii="宋体" w:hAnsi="Times New Roman" w:cs="宋体"/>
                <w:color w:val="auto"/>
                <w:highlight w:val="none"/>
              </w:rPr>
            </w:pPr>
          </w:p>
        </w:tc>
        <w:tc>
          <w:tcPr>
            <w:tcW w:w="816" w:type="dxa"/>
          </w:tcPr>
          <w:p>
            <w:pPr>
              <w:shd w:val="clear"/>
              <w:spacing w:line="360" w:lineRule="auto"/>
              <w:jc w:val="center"/>
              <w:rPr>
                <w:rFonts w:ascii="宋体" w:hAnsi="Times New Roman" w:cs="宋体"/>
                <w:color w:val="auto"/>
                <w:highlight w:val="none"/>
              </w:rPr>
            </w:pPr>
          </w:p>
        </w:tc>
        <w:tc>
          <w:tcPr>
            <w:tcW w:w="882" w:type="dxa"/>
          </w:tcPr>
          <w:p>
            <w:pPr>
              <w:shd w:val="clear"/>
              <w:spacing w:line="360" w:lineRule="auto"/>
              <w:jc w:val="center"/>
              <w:rPr>
                <w:rFonts w:ascii="宋体" w:hAnsi="Times New Roman" w:cs="宋体"/>
                <w:color w:val="auto"/>
                <w:highlight w:val="none"/>
              </w:rPr>
            </w:pPr>
          </w:p>
        </w:tc>
        <w:tc>
          <w:tcPr>
            <w:tcW w:w="2275" w:type="dxa"/>
          </w:tcPr>
          <w:p>
            <w:pPr>
              <w:shd w:val="clear"/>
              <w:spacing w:line="360" w:lineRule="auto"/>
              <w:jc w:val="center"/>
              <w:rPr>
                <w:rFonts w:ascii="宋体" w:hAnsi="Times New Roman" w:cs="宋体"/>
                <w:color w:val="auto"/>
                <w:highlight w:val="none"/>
              </w:rPr>
            </w:pPr>
          </w:p>
        </w:tc>
      </w:tr>
    </w:tbl>
    <w:p>
      <w:pPr>
        <w:widowControl w:val="0"/>
        <w:shd w:val="clear"/>
        <w:spacing w:line="360" w:lineRule="auto"/>
        <w:ind w:firstLine="470" w:firstLineChars="196"/>
        <w:jc w:val="left"/>
        <w:rPr>
          <w:rFonts w:cs="Times New Roman" w:asciiTheme="minorEastAsia" w:hAnsiTheme="minorEastAsia" w:eastAsiaTheme="minorEastAsia"/>
          <w:color w:val="auto"/>
          <w:kern w:val="2"/>
          <w:sz w:val="24"/>
          <w:szCs w:val="24"/>
          <w:highlight w:val="none"/>
          <w:lang w:val="en-US" w:eastAsia="zh-CN" w:bidi="ar-SA"/>
        </w:rPr>
      </w:pPr>
      <w:r>
        <w:rPr>
          <w:rFonts w:hint="eastAsia" w:ascii="宋体" w:hAnsi="Times New Roman" w:eastAsia="宋体" w:cs="宋体"/>
          <w:color w:val="auto"/>
          <w:kern w:val="2"/>
          <w:sz w:val="24"/>
          <w:szCs w:val="22"/>
          <w:highlight w:val="none"/>
          <w:lang w:val="en-US" w:eastAsia="zh-CN" w:bidi="ar-SA"/>
        </w:rPr>
        <w:t>注：</w:t>
      </w:r>
      <w:r>
        <w:rPr>
          <w:rFonts w:hint="eastAsia" w:ascii="宋体" w:cs="宋体"/>
          <w:color w:val="auto"/>
          <w:kern w:val="2"/>
          <w:sz w:val="24"/>
          <w:szCs w:val="22"/>
          <w:highlight w:val="none"/>
          <w:lang w:val="en-US" w:eastAsia="zh-CN" w:bidi="ar-SA"/>
        </w:rPr>
        <w:t>投标单位须提供所有</w:t>
      </w:r>
      <w:r>
        <w:rPr>
          <w:rFonts w:hint="eastAsia" w:cs="Times New Roman" w:asciiTheme="minorEastAsia" w:hAnsiTheme="minorEastAsia" w:eastAsiaTheme="minorEastAsia"/>
          <w:color w:val="auto"/>
          <w:kern w:val="2"/>
          <w:sz w:val="24"/>
          <w:szCs w:val="24"/>
          <w:highlight w:val="none"/>
          <w:lang w:val="en-US" w:eastAsia="zh-CN" w:bidi="ar-SA"/>
        </w:rPr>
        <w:t>人员的身份证、毕业证、执业资格证（如有）和职称证（如有）。</w:t>
      </w:r>
    </w:p>
    <w:p>
      <w:pPr>
        <w:shd w:val="clear"/>
        <w:spacing w:line="360" w:lineRule="auto"/>
        <w:ind w:firstLine="480"/>
        <w:rPr>
          <w:rFonts w:ascii="宋体" w:hAnsi="宋体" w:cs="宋体"/>
          <w:color w:val="auto"/>
          <w:highlight w:val="none"/>
        </w:rPr>
      </w:pPr>
    </w:p>
    <w:p>
      <w:pPr>
        <w:shd w:val="clear"/>
        <w:spacing w:line="480" w:lineRule="exact"/>
        <w:ind w:left="240" w:leftChars="100" w:firstLine="2400" w:firstLineChars="1000"/>
        <w:rPr>
          <w:rFonts w:ascii="宋体" w:hAnsi="宋体" w:cs="Times New Roman"/>
          <w:color w:val="auto"/>
          <w:szCs w:val="24"/>
          <w:highlight w:val="none"/>
          <w:u w:val="single"/>
        </w:rPr>
      </w:pPr>
      <w:bookmarkStart w:id="103" w:name="_Toc19329"/>
      <w:bookmarkStart w:id="104" w:name="_Toc25376"/>
      <w:bookmarkStart w:id="105" w:name="_Toc7322"/>
      <w:r>
        <w:rPr>
          <w:rFonts w:hint="eastAsia" w:ascii="宋体" w:hAnsi="宋体" w:cs="Times New Roman"/>
          <w:color w:val="auto"/>
          <w:szCs w:val="24"/>
          <w:highlight w:val="none"/>
          <w:lang w:val="zh-CN"/>
        </w:rPr>
        <w:t>法定代表人或被授权人（签字或盖章）</w:t>
      </w:r>
      <w:r>
        <w:rPr>
          <w:rFonts w:ascii="宋体" w:hAnsi="宋体" w:cs="Times New Roman"/>
          <w:color w:val="auto"/>
          <w:szCs w:val="24"/>
          <w:highlight w:val="none"/>
        </w:rPr>
        <w:t>：</w:t>
      </w:r>
      <w:r>
        <w:rPr>
          <w:rFonts w:ascii="宋体" w:hAnsi="宋体" w:cs="Times New Roman"/>
          <w:color w:val="auto"/>
          <w:szCs w:val="24"/>
          <w:highlight w:val="none"/>
          <w:u w:val="single"/>
        </w:rPr>
        <w:t xml:space="preserve">  </w:t>
      </w:r>
      <w:r>
        <w:rPr>
          <w:rFonts w:hint="eastAsia" w:ascii="宋体" w:hAnsi="宋体" w:cs="Times New Roman"/>
          <w:color w:val="auto"/>
          <w:szCs w:val="24"/>
          <w:highlight w:val="none"/>
          <w:u w:val="single"/>
          <w:lang w:val="en-US" w:eastAsia="zh-CN"/>
        </w:rPr>
        <w:t xml:space="preserve">   </w:t>
      </w:r>
      <w:r>
        <w:rPr>
          <w:rFonts w:ascii="宋体" w:hAnsi="宋体" w:cs="Times New Roman"/>
          <w:color w:val="auto"/>
          <w:szCs w:val="24"/>
          <w:highlight w:val="none"/>
          <w:u w:val="single"/>
        </w:rPr>
        <w:t xml:space="preserve">    </w:t>
      </w:r>
    </w:p>
    <w:p>
      <w:pPr>
        <w:shd w:val="clear"/>
        <w:spacing w:line="480" w:lineRule="exact"/>
        <w:ind w:left="240" w:leftChars="100" w:firstLine="2400" w:firstLineChars="1000"/>
        <w:rPr>
          <w:rFonts w:ascii="宋体" w:hAnsi="宋体" w:cs="Times New Roman"/>
          <w:color w:val="auto"/>
          <w:szCs w:val="24"/>
          <w:highlight w:val="none"/>
        </w:rPr>
      </w:pPr>
      <w:r>
        <w:rPr>
          <w:rFonts w:hint="eastAsia" w:ascii="宋体" w:hAnsi="宋体" w:cs="Times New Roman"/>
          <w:color w:val="auto"/>
          <w:sz w:val="24"/>
          <w:szCs w:val="24"/>
          <w:highlight w:val="none"/>
          <w:lang w:eastAsia="zh-CN"/>
        </w:rPr>
        <w:t>供应商名称（</w:t>
      </w:r>
      <w:r>
        <w:rPr>
          <w:rFonts w:hint="eastAsia" w:ascii="宋体" w:hAnsi="宋体" w:cs="Times New Roman"/>
          <w:color w:val="auto"/>
          <w:sz w:val="24"/>
          <w:szCs w:val="24"/>
          <w:highlight w:val="none"/>
        </w:rPr>
        <w:t>公章</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w:t>
      </w:r>
      <w:r>
        <w:rPr>
          <w:rFonts w:hint="eastAsia" w:ascii="宋体" w:hAnsi="宋体" w:eastAsia="宋体" w:cs="宋体"/>
          <w:color w:val="auto"/>
          <w:sz w:val="24"/>
          <w:highlight w:val="none"/>
          <w:u w:val="single"/>
        </w:rPr>
        <w:t>        </w:t>
      </w:r>
      <w:r>
        <w:rPr>
          <w:rFonts w:ascii="宋体" w:hAnsi="宋体" w:cs="Times New Roman"/>
          <w:color w:val="auto"/>
          <w:szCs w:val="24"/>
          <w:highlight w:val="none"/>
        </w:rPr>
        <w:t xml:space="preserve">  </w:t>
      </w:r>
    </w:p>
    <w:p>
      <w:pPr>
        <w:shd w:val="clear"/>
        <w:spacing w:line="480" w:lineRule="exact"/>
        <w:ind w:left="240" w:leftChars="100" w:firstLine="2400" w:firstLineChars="1000"/>
        <w:rPr>
          <w:rFonts w:ascii="宋体" w:hAnsi="宋体" w:cs="Times New Roman"/>
          <w:color w:val="auto"/>
          <w:highlight w:val="none"/>
          <w:u w:val="single"/>
        </w:rPr>
      </w:pPr>
      <w:r>
        <w:rPr>
          <w:rFonts w:ascii="宋体" w:hAnsi="宋体" w:cs="Times New Roman"/>
          <w:color w:val="auto"/>
          <w:szCs w:val="24"/>
          <w:highlight w:val="none"/>
        </w:rPr>
        <w:t>日 期：</w:t>
      </w:r>
      <w:r>
        <w:rPr>
          <w:rFonts w:ascii="宋体" w:hAnsi="宋体" w:cs="Times New Roman"/>
          <w:color w:val="auto"/>
          <w:highlight w:val="none"/>
          <w:u w:val="single"/>
        </w:rPr>
        <w:t xml:space="preserve">            </w:t>
      </w:r>
    </w:p>
    <w:p>
      <w:pPr>
        <w:rPr>
          <w:rFonts w:hint="eastAsia" w:ascii="宋体" w:hAnsi="宋体" w:eastAsia="宋体" w:cs="宋体"/>
          <w:b/>
          <w:kern w:val="2"/>
          <w:sz w:val="24"/>
          <w:szCs w:val="18"/>
          <w:lang w:val="en-US" w:eastAsia="zh-CN" w:bidi="ar-SA"/>
        </w:rPr>
      </w:pPr>
      <w:bookmarkStart w:id="106" w:name="_Toc311"/>
      <w:bookmarkStart w:id="107" w:name="_Toc11343"/>
      <w:bookmarkStart w:id="108" w:name="_Toc5724"/>
      <w:r>
        <w:rPr>
          <w:rFonts w:hint="eastAsia" w:ascii="宋体" w:hAnsi="宋体" w:eastAsia="宋体" w:cs="宋体"/>
          <w:b/>
          <w:kern w:val="2"/>
          <w:sz w:val="24"/>
          <w:szCs w:val="18"/>
          <w:lang w:val="en-US" w:eastAsia="zh-CN" w:bidi="ar-SA"/>
        </w:rPr>
        <w:br w:type="page"/>
      </w:r>
    </w:p>
    <w:p>
      <w:pPr>
        <w:pStyle w:val="5"/>
        <w:bidi w:val="0"/>
        <w:spacing w:line="240" w:lineRule="auto"/>
        <w:rPr>
          <w:rFonts w:hint="eastAsia" w:ascii="宋体" w:hAnsi="宋体" w:eastAsia="宋体" w:cs="宋体"/>
          <w:sz w:val="24"/>
          <w:szCs w:val="18"/>
          <w:lang w:val="en-US" w:eastAsia="zh-CN"/>
        </w:rPr>
      </w:pPr>
      <w:bookmarkStart w:id="109" w:name="_Toc21538"/>
      <w:r>
        <w:rPr>
          <w:rFonts w:hint="eastAsia" w:ascii="宋体" w:hAnsi="宋体" w:eastAsia="宋体" w:cs="宋体"/>
          <w:sz w:val="24"/>
          <w:szCs w:val="18"/>
          <w:lang w:val="en-US" w:eastAsia="zh-CN"/>
        </w:rPr>
        <w:t>附件2：拟投入本项目</w:t>
      </w:r>
      <w:bookmarkStart w:id="110" w:name="_Toc225412172"/>
      <w:bookmarkStart w:id="111" w:name="_Toc225415660"/>
      <w:bookmarkStart w:id="112" w:name="_Toc225415861"/>
      <w:bookmarkStart w:id="113" w:name="_Toc225409966"/>
      <w:bookmarkStart w:id="114" w:name="_Toc225410808"/>
      <w:bookmarkStart w:id="115" w:name="_Toc341541376"/>
      <w:bookmarkStart w:id="116" w:name="_Toc225416062"/>
      <w:bookmarkStart w:id="117" w:name="_Toc21036"/>
      <w:bookmarkStart w:id="118" w:name="_Toc225567482"/>
      <w:bookmarkStart w:id="119" w:name="_Toc4691"/>
      <w:bookmarkStart w:id="120" w:name="_Toc225412374"/>
      <w:bookmarkStart w:id="121" w:name="_Toc225566883"/>
      <w:bookmarkStart w:id="122" w:name="_Toc403077653"/>
      <w:bookmarkStart w:id="123" w:name="_Toc10862"/>
      <w:bookmarkStart w:id="124" w:name="_Toc396304715"/>
      <w:bookmarkStart w:id="125" w:name="_Toc225566702"/>
      <w:bookmarkStart w:id="126" w:name="_Toc225410182"/>
      <w:r>
        <w:rPr>
          <w:rFonts w:hint="eastAsia" w:ascii="宋体" w:hAnsi="宋体" w:eastAsia="宋体" w:cs="宋体"/>
          <w:sz w:val="24"/>
          <w:szCs w:val="18"/>
          <w:lang w:val="en-US" w:eastAsia="zh-CN"/>
        </w:rPr>
        <w:t>主要人员简历表</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bl>
      <w:tblPr>
        <w:tblStyle w:val="20"/>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72"/>
        <w:gridCol w:w="1577"/>
        <w:gridCol w:w="1525"/>
        <w:gridCol w:w="1286"/>
        <w:gridCol w:w="45"/>
        <w:gridCol w:w="1709"/>
        <w:gridCol w:w="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姓  名</w:t>
            </w:r>
          </w:p>
        </w:tc>
        <w:tc>
          <w:tcPr>
            <w:tcW w:w="1577" w:type="dxa"/>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525" w:type="dxa"/>
            <w:vAlign w:val="center"/>
          </w:tcPr>
          <w:p>
            <w:pPr>
              <w:widowControl w:val="0"/>
              <w:shd w:val="clear"/>
              <w:adjustRightInd w:val="0"/>
              <w:snapToGrid w:val="0"/>
              <w:spacing w:line="400" w:lineRule="exact"/>
              <w:ind w:left="0" w:leftChars="0" w:firstLine="0" w:firstLineChars="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性 别</w:t>
            </w:r>
          </w:p>
        </w:tc>
        <w:tc>
          <w:tcPr>
            <w:tcW w:w="1331" w:type="dxa"/>
            <w:gridSpan w:val="2"/>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709" w:type="dxa"/>
            <w:vAlign w:val="center"/>
          </w:tcPr>
          <w:p>
            <w:pPr>
              <w:widowControl w:val="0"/>
              <w:shd w:val="clear"/>
              <w:adjustRightInd w:val="0"/>
              <w:snapToGrid w:val="0"/>
              <w:spacing w:line="400" w:lineRule="exact"/>
              <w:ind w:left="0" w:leftChars="0" w:firstLine="0" w:firstLineChars="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年 龄</w:t>
            </w:r>
          </w:p>
        </w:tc>
        <w:tc>
          <w:tcPr>
            <w:tcW w:w="1139" w:type="dxa"/>
            <w:gridSpan w:val="2"/>
            <w:vAlign w:val="center"/>
          </w:tcPr>
          <w:p>
            <w:pPr>
              <w:widowControl w:val="0"/>
              <w:shd w:val="clear"/>
              <w:adjustRightInd w:val="0"/>
              <w:snapToGrid w:val="0"/>
              <w:spacing w:line="400" w:lineRule="exact"/>
              <w:ind w:left="0" w:leftChars="0" w:firstLine="480" w:firstLineChars="200"/>
              <w:jc w:val="center"/>
              <w:rPr>
                <w:rFonts w:hint="eastAsia" w:asciiTheme="minorEastAsia" w:hAnsiTheme="minorEastAsia" w:eastAsiaTheme="minorEastAsia" w:cstheme="minorEastAsia"/>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72" w:type="dxa"/>
            <w:gridSpan w:val="2"/>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职  称</w:t>
            </w:r>
          </w:p>
        </w:tc>
        <w:tc>
          <w:tcPr>
            <w:tcW w:w="1577" w:type="dxa"/>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525" w:type="dxa"/>
            <w:vAlign w:val="center"/>
          </w:tcPr>
          <w:p>
            <w:pPr>
              <w:widowControl w:val="0"/>
              <w:shd w:val="clear"/>
              <w:adjustRightInd w:val="0"/>
              <w:snapToGrid w:val="0"/>
              <w:spacing w:line="400" w:lineRule="exact"/>
              <w:ind w:left="0" w:leftChars="0" w:firstLine="0" w:firstLineChars="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身份证号</w:t>
            </w:r>
          </w:p>
        </w:tc>
        <w:tc>
          <w:tcPr>
            <w:tcW w:w="1331" w:type="dxa"/>
            <w:gridSpan w:val="2"/>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709" w:type="dxa"/>
            <w:vAlign w:val="center"/>
          </w:tcPr>
          <w:p>
            <w:pPr>
              <w:widowControl w:val="0"/>
              <w:shd w:val="clear"/>
              <w:adjustRightInd w:val="0"/>
              <w:snapToGrid w:val="0"/>
              <w:spacing w:line="400" w:lineRule="exact"/>
              <w:ind w:left="0" w:leftChars="0" w:firstLine="0" w:firstLineChars="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专业/年限</w:t>
            </w:r>
          </w:p>
        </w:tc>
        <w:tc>
          <w:tcPr>
            <w:tcW w:w="1139" w:type="dxa"/>
            <w:gridSpan w:val="2"/>
            <w:vAlign w:val="center"/>
          </w:tcPr>
          <w:p>
            <w:pPr>
              <w:widowControl w:val="0"/>
              <w:shd w:val="clear"/>
              <w:adjustRightInd w:val="0"/>
              <w:snapToGrid w:val="0"/>
              <w:spacing w:line="400" w:lineRule="exact"/>
              <w:ind w:left="0" w:leftChars="0" w:firstLine="480" w:firstLineChars="200"/>
              <w:jc w:val="center"/>
              <w:rPr>
                <w:rFonts w:hint="eastAsia" w:asciiTheme="minorEastAsia" w:hAnsiTheme="minorEastAsia" w:eastAsiaTheme="minorEastAsia" w:cstheme="minorEastAsia"/>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毕业时间</w:t>
            </w:r>
          </w:p>
        </w:tc>
        <w:tc>
          <w:tcPr>
            <w:tcW w:w="1577" w:type="dxa"/>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525" w:type="dxa"/>
            <w:vAlign w:val="center"/>
          </w:tcPr>
          <w:p>
            <w:pPr>
              <w:widowControl w:val="0"/>
              <w:shd w:val="clear"/>
              <w:adjustRightInd w:val="0"/>
              <w:snapToGrid w:val="0"/>
              <w:spacing w:line="400" w:lineRule="exact"/>
              <w:ind w:left="0" w:leftChars="0" w:firstLine="0" w:firstLineChars="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毕业学校</w:t>
            </w:r>
          </w:p>
        </w:tc>
        <w:tc>
          <w:tcPr>
            <w:tcW w:w="1331" w:type="dxa"/>
            <w:gridSpan w:val="2"/>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709" w:type="dxa"/>
            <w:vAlign w:val="center"/>
          </w:tcPr>
          <w:p>
            <w:pPr>
              <w:widowControl w:val="0"/>
              <w:shd w:val="clear"/>
              <w:adjustRightInd w:val="0"/>
              <w:snapToGrid w:val="0"/>
              <w:spacing w:line="400" w:lineRule="exact"/>
              <w:ind w:left="0" w:leftChars="0" w:firstLine="0" w:firstLineChars="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学历/专业</w:t>
            </w:r>
          </w:p>
        </w:tc>
        <w:tc>
          <w:tcPr>
            <w:tcW w:w="1139" w:type="dxa"/>
            <w:gridSpan w:val="2"/>
            <w:vAlign w:val="center"/>
          </w:tcPr>
          <w:p>
            <w:pPr>
              <w:widowControl w:val="0"/>
              <w:shd w:val="clear"/>
              <w:adjustRightInd w:val="0"/>
              <w:snapToGrid w:val="0"/>
              <w:spacing w:line="400" w:lineRule="exact"/>
              <w:ind w:left="0" w:leftChars="0" w:firstLine="480" w:firstLineChars="200"/>
              <w:jc w:val="center"/>
              <w:rPr>
                <w:rFonts w:hint="eastAsia" w:asciiTheme="minorEastAsia" w:hAnsiTheme="minorEastAsia" w:eastAsiaTheme="minorEastAsia" w:cstheme="minorEastAsia"/>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资格证书</w:t>
            </w:r>
          </w:p>
        </w:tc>
        <w:tc>
          <w:tcPr>
            <w:tcW w:w="1577" w:type="dxa"/>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525" w:type="dxa"/>
            <w:vAlign w:val="center"/>
          </w:tcPr>
          <w:p>
            <w:pPr>
              <w:widowControl w:val="0"/>
              <w:shd w:val="clear"/>
              <w:adjustRightInd w:val="0"/>
              <w:snapToGrid w:val="0"/>
              <w:spacing w:line="400" w:lineRule="exact"/>
              <w:ind w:left="0" w:leftChars="0" w:firstLine="0" w:firstLineChars="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注册时间</w:t>
            </w:r>
          </w:p>
        </w:tc>
        <w:tc>
          <w:tcPr>
            <w:tcW w:w="1331" w:type="dxa"/>
            <w:gridSpan w:val="2"/>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1709" w:type="dxa"/>
            <w:vAlign w:val="center"/>
          </w:tcPr>
          <w:p>
            <w:pPr>
              <w:widowControl w:val="0"/>
              <w:shd w:val="clear"/>
              <w:adjustRightInd w:val="0"/>
              <w:snapToGrid w:val="0"/>
              <w:spacing w:line="400" w:lineRule="exact"/>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从业时间</w:t>
            </w:r>
          </w:p>
        </w:tc>
        <w:tc>
          <w:tcPr>
            <w:tcW w:w="1139" w:type="dxa"/>
            <w:gridSpan w:val="2"/>
            <w:vAlign w:val="center"/>
          </w:tcPr>
          <w:p>
            <w:pPr>
              <w:widowControl w:val="0"/>
              <w:shd w:val="clear"/>
              <w:adjustRightInd w:val="0"/>
              <w:snapToGrid w:val="0"/>
              <w:spacing w:line="400" w:lineRule="exact"/>
              <w:ind w:left="0" w:leftChars="0" w:firstLine="480" w:firstLineChars="200"/>
              <w:jc w:val="center"/>
              <w:rPr>
                <w:rFonts w:hint="eastAsia" w:asciiTheme="minorEastAsia" w:hAnsiTheme="minorEastAsia" w:eastAsiaTheme="minorEastAsia" w:cstheme="minorEastAsia"/>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349" w:type="dxa"/>
            <w:gridSpan w:val="3"/>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是否属供应商固定雇员</w:t>
            </w:r>
          </w:p>
        </w:tc>
        <w:tc>
          <w:tcPr>
            <w:tcW w:w="1525" w:type="dxa"/>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p>
        </w:tc>
        <w:tc>
          <w:tcPr>
            <w:tcW w:w="3040" w:type="dxa"/>
            <w:gridSpan w:val="3"/>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为供应商服务时间</w:t>
            </w:r>
          </w:p>
        </w:tc>
        <w:tc>
          <w:tcPr>
            <w:tcW w:w="1139" w:type="dxa"/>
            <w:gridSpan w:val="2"/>
            <w:vAlign w:val="center"/>
          </w:tcPr>
          <w:p>
            <w:pPr>
              <w:widowControl w:val="0"/>
              <w:shd w:val="clear"/>
              <w:adjustRightInd w:val="0"/>
              <w:snapToGrid w:val="0"/>
              <w:spacing w:line="400" w:lineRule="exact"/>
              <w:ind w:left="0" w:leftChars="0" w:firstLine="480" w:firstLineChars="200"/>
              <w:jc w:val="center"/>
              <w:rPr>
                <w:rFonts w:hint="eastAsia" w:asciiTheme="minorEastAsia" w:hAnsiTheme="minorEastAsia" w:eastAsiaTheme="minorEastAsia" w:cstheme="minorEastAsia"/>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349" w:type="dxa"/>
            <w:gridSpan w:val="3"/>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拟在本项目担任职务</w:t>
            </w:r>
          </w:p>
        </w:tc>
        <w:tc>
          <w:tcPr>
            <w:tcW w:w="5704" w:type="dxa"/>
            <w:gridSpan w:val="6"/>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053" w:type="dxa"/>
            <w:gridSpan w:val="9"/>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教育和培训背景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9053" w:type="dxa"/>
            <w:gridSpan w:val="9"/>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（教育背景从大学开始，包括毕业院校名称、专业、起始时间。培训填写与专业技术、业务有关的内容）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53" w:type="dxa"/>
            <w:gridSpan w:val="9"/>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时  间</w:t>
            </w:r>
          </w:p>
        </w:tc>
        <w:tc>
          <w:tcPr>
            <w:tcW w:w="3374" w:type="dxa"/>
            <w:gridSpan w:val="3"/>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参加过的项目名称</w:t>
            </w:r>
          </w:p>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及当时所在单位</w:t>
            </w:r>
          </w:p>
        </w:tc>
        <w:tc>
          <w:tcPr>
            <w:tcW w:w="1286" w:type="dxa"/>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担任何职</w:t>
            </w:r>
          </w:p>
        </w:tc>
        <w:tc>
          <w:tcPr>
            <w:tcW w:w="1761" w:type="dxa"/>
            <w:gridSpan w:val="3"/>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主要工作内容</w:t>
            </w:r>
          </w:p>
        </w:tc>
        <w:tc>
          <w:tcPr>
            <w:tcW w:w="1132" w:type="dxa"/>
            <w:vAlign w:val="center"/>
          </w:tcPr>
          <w:p>
            <w:pPr>
              <w:widowControl w:val="0"/>
              <w:shd w:val="clear"/>
              <w:adjustRightInd w:val="0"/>
              <w:snapToGrid w:val="0"/>
              <w:spacing w:line="400" w:lineRule="exact"/>
              <w:ind w:left="0" w:leftChars="0"/>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3374" w:type="dxa"/>
            <w:gridSpan w:val="3"/>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286" w:type="dxa"/>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761" w:type="dxa"/>
            <w:gridSpan w:val="3"/>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132" w:type="dxa"/>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0" w:type="dxa"/>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3374" w:type="dxa"/>
            <w:gridSpan w:val="3"/>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286" w:type="dxa"/>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761" w:type="dxa"/>
            <w:gridSpan w:val="3"/>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132" w:type="dxa"/>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3374" w:type="dxa"/>
            <w:gridSpan w:val="3"/>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286" w:type="dxa"/>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761" w:type="dxa"/>
            <w:gridSpan w:val="3"/>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132" w:type="dxa"/>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3374" w:type="dxa"/>
            <w:gridSpan w:val="3"/>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286" w:type="dxa"/>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761" w:type="dxa"/>
            <w:gridSpan w:val="3"/>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132" w:type="dxa"/>
            <w:vAlign w:val="center"/>
          </w:tcPr>
          <w:p>
            <w:pPr>
              <w:widowControl w:val="0"/>
              <w:shd w:val="clear"/>
              <w:adjustRightInd w:val="0"/>
              <w:snapToGrid w:val="0"/>
              <w:spacing w:line="400" w:lineRule="exact"/>
              <w:ind w:left="0" w:leftChars="0"/>
              <w:jc w:val="both"/>
              <w:rPr>
                <w:rFonts w:hint="eastAsia" w:asciiTheme="minorEastAsia" w:hAnsiTheme="minorEastAsia" w:eastAsiaTheme="minorEastAsia" w:cstheme="minorEastAsia"/>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widowControl w:val="0"/>
              <w:shd w:val="clear"/>
              <w:adjustRightInd w:val="0"/>
              <w:snapToGrid w:val="0"/>
              <w:spacing w:line="400" w:lineRule="exact"/>
              <w:ind w:left="0" w:leftChars="0"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3374" w:type="dxa"/>
            <w:gridSpan w:val="3"/>
            <w:vAlign w:val="center"/>
          </w:tcPr>
          <w:p>
            <w:pPr>
              <w:widowControl w:val="0"/>
              <w:shd w:val="clear"/>
              <w:adjustRightInd w:val="0"/>
              <w:snapToGrid w:val="0"/>
              <w:spacing w:line="400" w:lineRule="exact"/>
              <w:ind w:left="0" w:leftChars="0"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286" w:type="dxa"/>
            <w:vAlign w:val="center"/>
          </w:tcPr>
          <w:p>
            <w:pPr>
              <w:widowControl w:val="0"/>
              <w:shd w:val="clear"/>
              <w:adjustRightInd w:val="0"/>
              <w:snapToGrid w:val="0"/>
              <w:spacing w:line="400" w:lineRule="exact"/>
              <w:ind w:left="0" w:leftChars="0"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761" w:type="dxa"/>
            <w:gridSpan w:val="3"/>
            <w:vAlign w:val="center"/>
          </w:tcPr>
          <w:p>
            <w:pPr>
              <w:widowControl w:val="0"/>
              <w:shd w:val="clear"/>
              <w:adjustRightInd w:val="0"/>
              <w:snapToGrid w:val="0"/>
              <w:spacing w:line="400" w:lineRule="exact"/>
              <w:ind w:left="0" w:leftChars="0"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132" w:type="dxa"/>
            <w:vAlign w:val="center"/>
          </w:tcPr>
          <w:p>
            <w:pPr>
              <w:widowControl w:val="0"/>
              <w:shd w:val="clear"/>
              <w:adjustRightInd w:val="0"/>
              <w:snapToGrid w:val="0"/>
              <w:spacing w:line="400" w:lineRule="exact"/>
              <w:ind w:left="0" w:leftChars="0"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widowControl w:val="0"/>
              <w:shd w:val="clear"/>
              <w:adjustRightInd w:val="0"/>
              <w:snapToGrid w:val="0"/>
              <w:spacing w:line="400" w:lineRule="exact"/>
              <w:ind w:left="0" w:leftChars="0"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3374" w:type="dxa"/>
            <w:gridSpan w:val="3"/>
            <w:vAlign w:val="center"/>
          </w:tcPr>
          <w:p>
            <w:pPr>
              <w:widowControl w:val="0"/>
              <w:shd w:val="clear"/>
              <w:adjustRightInd w:val="0"/>
              <w:snapToGrid w:val="0"/>
              <w:spacing w:line="400" w:lineRule="exact"/>
              <w:ind w:left="0" w:leftChars="0"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286" w:type="dxa"/>
            <w:vAlign w:val="center"/>
          </w:tcPr>
          <w:p>
            <w:pPr>
              <w:widowControl w:val="0"/>
              <w:shd w:val="clear"/>
              <w:adjustRightInd w:val="0"/>
              <w:snapToGrid w:val="0"/>
              <w:spacing w:line="400" w:lineRule="exact"/>
              <w:ind w:left="0" w:leftChars="0"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761" w:type="dxa"/>
            <w:gridSpan w:val="3"/>
            <w:vAlign w:val="center"/>
          </w:tcPr>
          <w:p>
            <w:pPr>
              <w:widowControl w:val="0"/>
              <w:shd w:val="clear"/>
              <w:adjustRightInd w:val="0"/>
              <w:snapToGrid w:val="0"/>
              <w:spacing w:line="400" w:lineRule="exact"/>
              <w:ind w:left="0" w:leftChars="0"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p>
        </w:tc>
        <w:tc>
          <w:tcPr>
            <w:tcW w:w="1132" w:type="dxa"/>
            <w:vAlign w:val="center"/>
          </w:tcPr>
          <w:p>
            <w:pPr>
              <w:widowControl w:val="0"/>
              <w:shd w:val="clear"/>
              <w:adjustRightInd w:val="0"/>
              <w:snapToGrid w:val="0"/>
              <w:spacing w:line="400" w:lineRule="exact"/>
              <w:ind w:left="0" w:leftChars="0"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p>
        </w:tc>
      </w:tr>
    </w:tbl>
    <w:p>
      <w:pPr>
        <w:widowControl w:val="0"/>
        <w:shd w:val="clear"/>
        <w:tabs>
          <w:tab w:val="left" w:pos="2040"/>
        </w:tabs>
        <w:adjustRightInd w:val="0"/>
        <w:snapToGrid w:val="0"/>
        <w:spacing w:beforeLines="0" w:line="400" w:lineRule="exact"/>
        <w:ind w:left="0" w:firstLine="480" w:firstLineChars="200"/>
        <w:jc w:val="both"/>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kern w:val="2"/>
          <w:sz w:val="24"/>
          <w:szCs w:val="21"/>
          <w:highlight w:val="none"/>
          <w:lang w:val="en-US" w:eastAsia="zh-CN" w:bidi="ar-SA"/>
        </w:rPr>
        <w:t>注：</w:t>
      </w:r>
      <w:r>
        <w:rPr>
          <w:rFonts w:hint="eastAsia" w:asciiTheme="minorEastAsia" w:hAnsiTheme="minorEastAsia" w:eastAsiaTheme="minorEastAsia" w:cstheme="minorEastAsia"/>
          <w:bCs/>
          <w:color w:val="auto"/>
          <w:kern w:val="2"/>
          <w:sz w:val="24"/>
          <w:szCs w:val="24"/>
          <w:highlight w:val="none"/>
          <w:lang w:val="en-US" w:eastAsia="zh-CN" w:bidi="ar-SA"/>
        </w:rPr>
        <w:t>1.表后须附身份证、毕业证、职称证等相关资料复印件。</w:t>
      </w:r>
    </w:p>
    <w:p>
      <w:pPr>
        <w:widowControl/>
        <w:shd w:val="clear"/>
        <w:jc w:val="center"/>
        <w:rPr>
          <w:rFonts w:hint="eastAsia" w:asciiTheme="minorEastAsia" w:hAnsiTheme="minorEastAsia" w:eastAsiaTheme="minorEastAsia" w:cstheme="minorEastAsia"/>
          <w:b/>
          <w:bCs/>
          <w:color w:val="auto"/>
          <w:sz w:val="28"/>
          <w:highlight w:val="none"/>
        </w:rPr>
      </w:pPr>
    </w:p>
    <w:p>
      <w:pPr>
        <w:widowControl w:val="0"/>
        <w:shd w:val="clear"/>
        <w:snapToGrid w:val="0"/>
        <w:jc w:val="left"/>
        <w:rPr>
          <w:rFonts w:hint="eastAsia" w:asciiTheme="minorEastAsia" w:hAnsiTheme="minorEastAsia" w:eastAsiaTheme="minorEastAsia" w:cstheme="minorEastAsia"/>
          <w:b/>
          <w:bCs/>
          <w:color w:val="auto"/>
          <w:kern w:val="2"/>
          <w:sz w:val="28"/>
          <w:szCs w:val="18"/>
          <w:highlight w:val="none"/>
          <w:lang w:val="en-US" w:eastAsia="zh-CN" w:bidi="ar-SA"/>
        </w:rPr>
      </w:pPr>
    </w:p>
    <w:p>
      <w:pPr>
        <w:widowControl w:val="0"/>
        <w:shd w:val="clear"/>
        <w:snapToGrid w:val="0"/>
        <w:jc w:val="left"/>
        <w:rPr>
          <w:rFonts w:hint="eastAsia" w:asciiTheme="minorEastAsia" w:hAnsiTheme="minorEastAsia" w:eastAsiaTheme="minorEastAsia" w:cstheme="minorEastAsia"/>
          <w:b/>
          <w:bCs/>
          <w:color w:val="auto"/>
          <w:kern w:val="2"/>
          <w:sz w:val="28"/>
          <w:szCs w:val="18"/>
          <w:highlight w:val="none"/>
          <w:lang w:val="en-US" w:eastAsia="zh-CN" w:bidi="ar-SA"/>
        </w:rPr>
      </w:pPr>
    </w:p>
    <w:p>
      <w:pPr>
        <w:widowControl w:val="0"/>
        <w:shd w:val="clear"/>
        <w:snapToGrid w:val="0"/>
        <w:jc w:val="left"/>
        <w:rPr>
          <w:rFonts w:hint="eastAsia" w:asciiTheme="minorEastAsia" w:hAnsiTheme="minorEastAsia" w:eastAsiaTheme="minorEastAsia" w:cstheme="minorEastAsia"/>
          <w:b/>
          <w:bCs/>
          <w:color w:val="auto"/>
          <w:kern w:val="2"/>
          <w:sz w:val="28"/>
          <w:szCs w:val="18"/>
          <w:highlight w:val="none"/>
          <w:lang w:val="en-US" w:eastAsia="zh-CN" w:bidi="ar-SA"/>
        </w:rPr>
      </w:pPr>
    </w:p>
    <w:p>
      <w:pPr>
        <w:shd w:val="clear"/>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br w:type="page"/>
      </w:r>
    </w:p>
    <w:p>
      <w:pPr>
        <w:pStyle w:val="5"/>
        <w:bidi w:val="0"/>
        <w:spacing w:line="240" w:lineRule="auto"/>
        <w:rPr>
          <w:rFonts w:hint="eastAsia" w:ascii="宋体" w:hAnsi="宋体" w:eastAsia="宋体" w:cs="宋体"/>
          <w:sz w:val="24"/>
          <w:szCs w:val="18"/>
          <w:lang w:val="en-US" w:eastAsia="zh-CN"/>
        </w:rPr>
      </w:pPr>
      <w:bookmarkStart w:id="127" w:name="_Toc12190"/>
      <w:r>
        <w:rPr>
          <w:rFonts w:hint="eastAsia" w:ascii="宋体" w:hAnsi="宋体" w:eastAsia="宋体" w:cs="宋体"/>
          <w:sz w:val="24"/>
          <w:szCs w:val="18"/>
          <w:lang w:val="en-US" w:eastAsia="zh-CN"/>
        </w:rPr>
        <w:t>附件3：类似项目业绩</w:t>
      </w:r>
      <w:bookmarkEnd w:id="127"/>
    </w:p>
    <w:p>
      <w:pPr>
        <w:shd w:val="clear"/>
        <w:spacing w:line="360" w:lineRule="auto"/>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采购项目名称： </w:t>
      </w:r>
      <w:r>
        <w:rPr>
          <w:rFonts w:hint="eastAsia" w:asciiTheme="minorEastAsia" w:hAnsiTheme="minorEastAsia" w:eastAsiaTheme="minorEastAsia" w:cstheme="minorEastAsia"/>
          <w:color w:val="auto"/>
          <w:highlight w:val="none"/>
          <w:u w:val="single"/>
        </w:rPr>
        <w:t xml:space="preserve">                            </w:t>
      </w:r>
    </w:p>
    <w:p>
      <w:pPr>
        <w:shd w:val="clear"/>
        <w:spacing w:line="360" w:lineRule="auto"/>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采购项目编号： </w:t>
      </w:r>
      <w:r>
        <w:rPr>
          <w:rFonts w:hint="eastAsia" w:asciiTheme="minorEastAsia" w:hAnsiTheme="minorEastAsia" w:eastAsiaTheme="minorEastAsia" w:cstheme="minorEastAsia"/>
          <w:color w:val="auto"/>
          <w:highlight w:val="none"/>
          <w:u w:val="single"/>
        </w:rPr>
        <w:t xml:space="preserve">                            </w:t>
      </w:r>
    </w:p>
    <w:tbl>
      <w:tblPr>
        <w:tblStyle w:val="20"/>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09"/>
        <w:gridCol w:w="1065"/>
        <w:gridCol w:w="1414"/>
        <w:gridCol w:w="1619"/>
        <w:gridCol w:w="1441"/>
        <w:gridCol w:w="27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shd w:val="clear"/>
              <w:ind w:left="0" w:leftChars="0" w:firstLine="0" w:firstLineChars="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065" w:type="dxa"/>
            <w:vAlign w:val="center"/>
          </w:tcPr>
          <w:p>
            <w:pPr>
              <w:shd w:val="clear"/>
              <w:ind w:left="0" w:leftChars="0" w:firstLine="0" w:firstLineChars="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项目名称</w:t>
            </w:r>
          </w:p>
        </w:tc>
        <w:tc>
          <w:tcPr>
            <w:tcW w:w="1414" w:type="dxa"/>
            <w:vAlign w:val="center"/>
          </w:tcPr>
          <w:p>
            <w:pPr>
              <w:shd w:val="clear"/>
              <w:ind w:left="0" w:leftChars="0" w:firstLine="0" w:firstLineChars="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项目内容</w:t>
            </w:r>
          </w:p>
        </w:tc>
        <w:tc>
          <w:tcPr>
            <w:tcW w:w="1619" w:type="dxa"/>
            <w:tcBorders>
              <w:left w:val="single" w:color="auto" w:sz="4" w:space="0"/>
              <w:right w:val="single" w:color="auto" w:sz="4" w:space="0"/>
            </w:tcBorders>
            <w:vAlign w:val="center"/>
          </w:tcPr>
          <w:p>
            <w:pPr>
              <w:shd w:val="clear"/>
              <w:ind w:left="0" w:leftChars="0" w:firstLine="0" w:firstLineChars="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金额</w:t>
            </w:r>
          </w:p>
          <w:p>
            <w:pPr>
              <w:shd w:val="clear"/>
              <w:ind w:left="0" w:leftChars="0" w:firstLine="0" w:firstLineChars="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（万元）</w:t>
            </w:r>
          </w:p>
        </w:tc>
        <w:tc>
          <w:tcPr>
            <w:tcW w:w="1441" w:type="dxa"/>
            <w:vAlign w:val="center"/>
          </w:tcPr>
          <w:p>
            <w:pPr>
              <w:shd w:val="clear"/>
              <w:ind w:left="0" w:leftChars="0" w:firstLine="0" w:firstLineChars="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完成日期</w:t>
            </w:r>
          </w:p>
        </w:tc>
        <w:tc>
          <w:tcPr>
            <w:tcW w:w="2700" w:type="dxa"/>
            <w:vAlign w:val="center"/>
          </w:tcPr>
          <w:p>
            <w:pPr>
              <w:shd w:val="clear"/>
              <w:ind w:left="0" w:leftChars="0" w:firstLine="0" w:firstLineChars="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服务单位名称、联系人及电话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shd w:val="clear"/>
              <w:ind w:left="120"/>
              <w:jc w:val="center"/>
              <w:rPr>
                <w:rFonts w:ascii="宋体" w:hAnsi="宋体" w:cs="宋体"/>
                <w:color w:val="auto"/>
                <w:highlight w:val="none"/>
              </w:rPr>
            </w:pPr>
            <w:r>
              <w:rPr>
                <w:rFonts w:hint="eastAsia" w:ascii="宋体" w:hAnsi="宋体" w:cs="宋体"/>
                <w:color w:val="auto"/>
                <w:highlight w:val="none"/>
              </w:rPr>
              <w:t>1</w:t>
            </w:r>
          </w:p>
        </w:tc>
        <w:tc>
          <w:tcPr>
            <w:tcW w:w="1065" w:type="dxa"/>
            <w:vAlign w:val="center"/>
          </w:tcPr>
          <w:p>
            <w:pPr>
              <w:shd w:val="clear"/>
              <w:jc w:val="center"/>
              <w:rPr>
                <w:rFonts w:ascii="宋体" w:hAnsi="宋体" w:cs="宋体"/>
                <w:color w:val="auto"/>
                <w:highlight w:val="none"/>
              </w:rPr>
            </w:pPr>
          </w:p>
        </w:tc>
        <w:tc>
          <w:tcPr>
            <w:tcW w:w="1414" w:type="dxa"/>
            <w:vAlign w:val="center"/>
          </w:tcPr>
          <w:p>
            <w:pPr>
              <w:shd w:val="clear"/>
              <w:jc w:val="center"/>
              <w:rPr>
                <w:rFonts w:ascii="宋体" w:hAnsi="宋体" w:cs="宋体"/>
                <w:color w:val="auto"/>
                <w:highlight w:val="none"/>
              </w:rPr>
            </w:pPr>
          </w:p>
        </w:tc>
        <w:tc>
          <w:tcPr>
            <w:tcW w:w="1619" w:type="dxa"/>
            <w:tcBorders>
              <w:left w:val="single" w:color="auto" w:sz="4" w:space="0"/>
              <w:right w:val="single" w:color="auto" w:sz="4" w:space="0"/>
            </w:tcBorders>
            <w:vAlign w:val="center"/>
          </w:tcPr>
          <w:p>
            <w:pPr>
              <w:shd w:val="clear"/>
              <w:jc w:val="center"/>
              <w:rPr>
                <w:rFonts w:ascii="宋体" w:hAnsi="宋体" w:cs="宋体"/>
                <w:color w:val="auto"/>
                <w:highlight w:val="none"/>
              </w:rPr>
            </w:pPr>
          </w:p>
        </w:tc>
        <w:tc>
          <w:tcPr>
            <w:tcW w:w="1441" w:type="dxa"/>
            <w:vAlign w:val="center"/>
          </w:tcPr>
          <w:p>
            <w:pPr>
              <w:shd w:val="clear"/>
              <w:jc w:val="center"/>
              <w:rPr>
                <w:rFonts w:ascii="宋体" w:hAnsi="宋体" w:cs="宋体"/>
                <w:color w:val="auto"/>
                <w:highlight w:val="none"/>
              </w:rPr>
            </w:pPr>
          </w:p>
        </w:tc>
        <w:tc>
          <w:tcPr>
            <w:tcW w:w="2700" w:type="dxa"/>
          </w:tcPr>
          <w:p>
            <w:pPr>
              <w:shd w:val="clear"/>
              <w:jc w:val="center"/>
              <w:rPr>
                <w:rFonts w:ascii="宋体" w:hAnsi="宋体" w:cs="宋体"/>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shd w:val="clear"/>
              <w:ind w:left="120"/>
              <w:jc w:val="center"/>
              <w:rPr>
                <w:rFonts w:ascii="宋体" w:hAnsi="宋体" w:cs="宋体"/>
                <w:color w:val="auto"/>
                <w:highlight w:val="none"/>
              </w:rPr>
            </w:pPr>
            <w:r>
              <w:rPr>
                <w:rFonts w:hint="eastAsia" w:ascii="宋体" w:hAnsi="宋体" w:cs="宋体"/>
                <w:color w:val="auto"/>
                <w:highlight w:val="none"/>
              </w:rPr>
              <w:t>2</w:t>
            </w:r>
          </w:p>
        </w:tc>
        <w:tc>
          <w:tcPr>
            <w:tcW w:w="1065" w:type="dxa"/>
            <w:vAlign w:val="center"/>
          </w:tcPr>
          <w:p>
            <w:pPr>
              <w:shd w:val="clear"/>
              <w:jc w:val="center"/>
              <w:rPr>
                <w:rFonts w:ascii="宋体" w:hAnsi="宋体" w:cs="宋体"/>
                <w:color w:val="auto"/>
                <w:highlight w:val="none"/>
              </w:rPr>
            </w:pPr>
          </w:p>
        </w:tc>
        <w:tc>
          <w:tcPr>
            <w:tcW w:w="1414" w:type="dxa"/>
            <w:vAlign w:val="center"/>
          </w:tcPr>
          <w:p>
            <w:pPr>
              <w:shd w:val="clear"/>
              <w:jc w:val="center"/>
              <w:rPr>
                <w:rFonts w:ascii="宋体" w:hAnsi="宋体" w:cs="宋体"/>
                <w:color w:val="auto"/>
                <w:highlight w:val="none"/>
              </w:rPr>
            </w:pPr>
          </w:p>
        </w:tc>
        <w:tc>
          <w:tcPr>
            <w:tcW w:w="1619" w:type="dxa"/>
            <w:tcBorders>
              <w:left w:val="single" w:color="auto" w:sz="4" w:space="0"/>
              <w:right w:val="single" w:color="auto" w:sz="4" w:space="0"/>
            </w:tcBorders>
            <w:vAlign w:val="center"/>
          </w:tcPr>
          <w:p>
            <w:pPr>
              <w:shd w:val="clear"/>
              <w:jc w:val="center"/>
              <w:rPr>
                <w:rFonts w:ascii="宋体" w:hAnsi="宋体" w:cs="宋体"/>
                <w:color w:val="auto"/>
                <w:highlight w:val="none"/>
              </w:rPr>
            </w:pPr>
          </w:p>
        </w:tc>
        <w:tc>
          <w:tcPr>
            <w:tcW w:w="1441" w:type="dxa"/>
            <w:vAlign w:val="center"/>
          </w:tcPr>
          <w:p>
            <w:pPr>
              <w:shd w:val="clear"/>
              <w:jc w:val="center"/>
              <w:rPr>
                <w:rFonts w:ascii="宋体" w:hAnsi="宋体" w:cs="宋体"/>
                <w:color w:val="auto"/>
                <w:highlight w:val="none"/>
              </w:rPr>
            </w:pPr>
          </w:p>
        </w:tc>
        <w:tc>
          <w:tcPr>
            <w:tcW w:w="2700" w:type="dxa"/>
          </w:tcPr>
          <w:p>
            <w:pPr>
              <w:shd w:val="clear"/>
              <w:jc w:val="center"/>
              <w:rPr>
                <w:rFonts w:ascii="宋体" w:hAnsi="宋体" w:cs="宋体"/>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shd w:val="clear"/>
              <w:ind w:left="120"/>
              <w:jc w:val="center"/>
              <w:rPr>
                <w:rFonts w:ascii="宋体" w:hAnsi="宋体" w:cs="宋体"/>
                <w:color w:val="auto"/>
                <w:highlight w:val="none"/>
              </w:rPr>
            </w:pPr>
            <w:r>
              <w:rPr>
                <w:rFonts w:hint="eastAsia" w:ascii="宋体" w:hAnsi="宋体" w:cs="宋体"/>
                <w:color w:val="auto"/>
                <w:highlight w:val="none"/>
              </w:rPr>
              <w:t>3</w:t>
            </w:r>
          </w:p>
        </w:tc>
        <w:tc>
          <w:tcPr>
            <w:tcW w:w="1065" w:type="dxa"/>
            <w:vAlign w:val="center"/>
          </w:tcPr>
          <w:p>
            <w:pPr>
              <w:shd w:val="clear"/>
              <w:jc w:val="center"/>
              <w:rPr>
                <w:rFonts w:ascii="宋体" w:hAnsi="宋体" w:cs="宋体"/>
                <w:color w:val="auto"/>
                <w:highlight w:val="none"/>
              </w:rPr>
            </w:pPr>
          </w:p>
        </w:tc>
        <w:tc>
          <w:tcPr>
            <w:tcW w:w="1414" w:type="dxa"/>
            <w:vAlign w:val="center"/>
          </w:tcPr>
          <w:p>
            <w:pPr>
              <w:shd w:val="clear"/>
              <w:jc w:val="center"/>
              <w:rPr>
                <w:rFonts w:ascii="宋体" w:hAnsi="宋体" w:cs="宋体"/>
                <w:color w:val="auto"/>
                <w:highlight w:val="none"/>
              </w:rPr>
            </w:pPr>
          </w:p>
        </w:tc>
        <w:tc>
          <w:tcPr>
            <w:tcW w:w="1619" w:type="dxa"/>
            <w:tcBorders>
              <w:left w:val="single" w:color="auto" w:sz="4" w:space="0"/>
              <w:right w:val="single" w:color="auto" w:sz="4" w:space="0"/>
            </w:tcBorders>
            <w:vAlign w:val="center"/>
          </w:tcPr>
          <w:p>
            <w:pPr>
              <w:shd w:val="clear"/>
              <w:jc w:val="center"/>
              <w:rPr>
                <w:rFonts w:ascii="宋体" w:hAnsi="宋体" w:cs="宋体"/>
                <w:color w:val="auto"/>
                <w:highlight w:val="none"/>
              </w:rPr>
            </w:pPr>
          </w:p>
        </w:tc>
        <w:tc>
          <w:tcPr>
            <w:tcW w:w="1441" w:type="dxa"/>
            <w:vAlign w:val="center"/>
          </w:tcPr>
          <w:p>
            <w:pPr>
              <w:shd w:val="clear"/>
              <w:jc w:val="center"/>
              <w:rPr>
                <w:rFonts w:ascii="宋体" w:hAnsi="宋体" w:cs="宋体"/>
                <w:color w:val="auto"/>
                <w:highlight w:val="none"/>
              </w:rPr>
            </w:pPr>
          </w:p>
        </w:tc>
        <w:tc>
          <w:tcPr>
            <w:tcW w:w="2700" w:type="dxa"/>
          </w:tcPr>
          <w:p>
            <w:pPr>
              <w:shd w:val="clear"/>
              <w:jc w:val="center"/>
              <w:rPr>
                <w:rFonts w:ascii="宋体" w:hAnsi="宋体" w:cs="宋体"/>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shd w:val="clear"/>
              <w:ind w:left="120"/>
              <w:jc w:val="center"/>
              <w:rPr>
                <w:rFonts w:ascii="宋体" w:hAnsi="宋体" w:cs="宋体"/>
                <w:color w:val="auto"/>
                <w:highlight w:val="none"/>
              </w:rPr>
            </w:pPr>
            <w:r>
              <w:rPr>
                <w:rFonts w:hint="eastAsia" w:ascii="宋体" w:hAnsi="宋体" w:cs="宋体"/>
                <w:color w:val="auto"/>
                <w:highlight w:val="none"/>
              </w:rPr>
              <w:t>4</w:t>
            </w:r>
          </w:p>
        </w:tc>
        <w:tc>
          <w:tcPr>
            <w:tcW w:w="1065" w:type="dxa"/>
            <w:vAlign w:val="center"/>
          </w:tcPr>
          <w:p>
            <w:pPr>
              <w:shd w:val="clear"/>
              <w:jc w:val="center"/>
              <w:rPr>
                <w:rFonts w:ascii="宋体" w:hAnsi="宋体" w:cs="宋体"/>
                <w:color w:val="auto"/>
                <w:highlight w:val="none"/>
              </w:rPr>
            </w:pPr>
          </w:p>
        </w:tc>
        <w:tc>
          <w:tcPr>
            <w:tcW w:w="1414" w:type="dxa"/>
            <w:vAlign w:val="center"/>
          </w:tcPr>
          <w:p>
            <w:pPr>
              <w:shd w:val="clear"/>
              <w:jc w:val="center"/>
              <w:rPr>
                <w:rFonts w:ascii="宋体" w:hAnsi="宋体" w:cs="宋体"/>
                <w:color w:val="auto"/>
                <w:highlight w:val="none"/>
              </w:rPr>
            </w:pPr>
          </w:p>
        </w:tc>
        <w:tc>
          <w:tcPr>
            <w:tcW w:w="1619" w:type="dxa"/>
            <w:tcBorders>
              <w:left w:val="single" w:color="auto" w:sz="4" w:space="0"/>
              <w:right w:val="single" w:color="auto" w:sz="4" w:space="0"/>
            </w:tcBorders>
            <w:vAlign w:val="center"/>
          </w:tcPr>
          <w:p>
            <w:pPr>
              <w:shd w:val="clear"/>
              <w:jc w:val="center"/>
              <w:rPr>
                <w:rFonts w:ascii="宋体" w:hAnsi="宋体" w:cs="宋体"/>
                <w:color w:val="auto"/>
                <w:highlight w:val="none"/>
              </w:rPr>
            </w:pPr>
          </w:p>
        </w:tc>
        <w:tc>
          <w:tcPr>
            <w:tcW w:w="1441" w:type="dxa"/>
            <w:vAlign w:val="center"/>
          </w:tcPr>
          <w:p>
            <w:pPr>
              <w:shd w:val="clear"/>
              <w:jc w:val="center"/>
              <w:rPr>
                <w:rFonts w:ascii="宋体" w:hAnsi="宋体" w:cs="宋体"/>
                <w:color w:val="auto"/>
                <w:highlight w:val="none"/>
              </w:rPr>
            </w:pPr>
          </w:p>
        </w:tc>
        <w:tc>
          <w:tcPr>
            <w:tcW w:w="2700" w:type="dxa"/>
          </w:tcPr>
          <w:p>
            <w:pPr>
              <w:shd w:val="clear"/>
              <w:jc w:val="center"/>
              <w:rPr>
                <w:rFonts w:ascii="宋体" w:hAnsi="宋体" w:cs="宋体"/>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shd w:val="clear"/>
              <w:ind w:left="120"/>
              <w:jc w:val="center"/>
              <w:rPr>
                <w:rFonts w:ascii="宋体" w:hAnsi="宋体" w:cs="宋体"/>
                <w:color w:val="auto"/>
                <w:highlight w:val="none"/>
              </w:rPr>
            </w:pPr>
            <w:r>
              <w:rPr>
                <w:rFonts w:hint="eastAsia" w:ascii="宋体" w:hAnsi="宋体" w:cs="宋体"/>
                <w:color w:val="auto"/>
                <w:highlight w:val="none"/>
              </w:rPr>
              <w:t>5</w:t>
            </w:r>
          </w:p>
        </w:tc>
        <w:tc>
          <w:tcPr>
            <w:tcW w:w="1065" w:type="dxa"/>
            <w:vAlign w:val="center"/>
          </w:tcPr>
          <w:p>
            <w:pPr>
              <w:shd w:val="clear"/>
              <w:jc w:val="center"/>
              <w:rPr>
                <w:rFonts w:ascii="宋体" w:hAnsi="宋体" w:cs="宋体"/>
                <w:color w:val="auto"/>
                <w:highlight w:val="none"/>
              </w:rPr>
            </w:pPr>
          </w:p>
        </w:tc>
        <w:tc>
          <w:tcPr>
            <w:tcW w:w="1414" w:type="dxa"/>
            <w:vAlign w:val="center"/>
          </w:tcPr>
          <w:p>
            <w:pPr>
              <w:shd w:val="clear"/>
              <w:jc w:val="center"/>
              <w:rPr>
                <w:rFonts w:ascii="宋体" w:hAnsi="宋体" w:cs="宋体"/>
                <w:color w:val="auto"/>
                <w:highlight w:val="none"/>
              </w:rPr>
            </w:pPr>
          </w:p>
        </w:tc>
        <w:tc>
          <w:tcPr>
            <w:tcW w:w="1619" w:type="dxa"/>
            <w:tcBorders>
              <w:left w:val="single" w:color="auto" w:sz="4" w:space="0"/>
              <w:right w:val="single" w:color="auto" w:sz="4" w:space="0"/>
            </w:tcBorders>
            <w:vAlign w:val="center"/>
          </w:tcPr>
          <w:p>
            <w:pPr>
              <w:shd w:val="clear"/>
              <w:jc w:val="center"/>
              <w:rPr>
                <w:rFonts w:ascii="宋体" w:hAnsi="宋体" w:cs="宋体"/>
                <w:color w:val="auto"/>
                <w:highlight w:val="none"/>
              </w:rPr>
            </w:pPr>
          </w:p>
        </w:tc>
        <w:tc>
          <w:tcPr>
            <w:tcW w:w="1441" w:type="dxa"/>
            <w:vAlign w:val="center"/>
          </w:tcPr>
          <w:p>
            <w:pPr>
              <w:shd w:val="clear"/>
              <w:jc w:val="center"/>
              <w:rPr>
                <w:rFonts w:ascii="宋体" w:hAnsi="宋体" w:cs="宋体"/>
                <w:color w:val="auto"/>
                <w:highlight w:val="none"/>
              </w:rPr>
            </w:pPr>
          </w:p>
        </w:tc>
        <w:tc>
          <w:tcPr>
            <w:tcW w:w="2700" w:type="dxa"/>
          </w:tcPr>
          <w:p>
            <w:pPr>
              <w:shd w:val="clear"/>
              <w:jc w:val="center"/>
              <w:rPr>
                <w:rFonts w:ascii="宋体" w:hAnsi="宋体" w:cs="宋体"/>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shd w:val="clear"/>
              <w:jc w:val="center"/>
              <w:rPr>
                <w:rFonts w:ascii="宋体" w:hAnsi="宋体" w:cs="宋体"/>
                <w:color w:val="auto"/>
                <w:highlight w:val="none"/>
              </w:rPr>
            </w:pPr>
            <w:r>
              <w:rPr>
                <w:rFonts w:hint="eastAsia" w:ascii="宋体" w:hAnsi="宋体" w:cs="宋体"/>
                <w:color w:val="auto"/>
                <w:highlight w:val="none"/>
              </w:rPr>
              <w:t>…</w:t>
            </w:r>
          </w:p>
        </w:tc>
        <w:tc>
          <w:tcPr>
            <w:tcW w:w="1065" w:type="dxa"/>
            <w:vAlign w:val="center"/>
          </w:tcPr>
          <w:p>
            <w:pPr>
              <w:shd w:val="clear"/>
              <w:jc w:val="center"/>
              <w:rPr>
                <w:rFonts w:ascii="宋体" w:hAnsi="宋体" w:cs="宋体"/>
                <w:color w:val="auto"/>
                <w:highlight w:val="none"/>
              </w:rPr>
            </w:pPr>
          </w:p>
        </w:tc>
        <w:tc>
          <w:tcPr>
            <w:tcW w:w="1414" w:type="dxa"/>
            <w:vAlign w:val="center"/>
          </w:tcPr>
          <w:p>
            <w:pPr>
              <w:shd w:val="clear"/>
              <w:jc w:val="center"/>
              <w:rPr>
                <w:rFonts w:ascii="宋体" w:hAnsi="宋体" w:cs="宋体"/>
                <w:color w:val="auto"/>
                <w:highlight w:val="none"/>
              </w:rPr>
            </w:pPr>
          </w:p>
        </w:tc>
        <w:tc>
          <w:tcPr>
            <w:tcW w:w="1619" w:type="dxa"/>
            <w:tcBorders>
              <w:left w:val="single" w:color="auto" w:sz="4" w:space="0"/>
              <w:right w:val="single" w:color="auto" w:sz="4" w:space="0"/>
            </w:tcBorders>
            <w:vAlign w:val="center"/>
          </w:tcPr>
          <w:p>
            <w:pPr>
              <w:shd w:val="clear"/>
              <w:jc w:val="center"/>
              <w:rPr>
                <w:rFonts w:ascii="宋体" w:hAnsi="宋体" w:cs="宋体"/>
                <w:color w:val="auto"/>
                <w:highlight w:val="none"/>
              </w:rPr>
            </w:pPr>
          </w:p>
        </w:tc>
        <w:tc>
          <w:tcPr>
            <w:tcW w:w="1441" w:type="dxa"/>
            <w:vAlign w:val="center"/>
          </w:tcPr>
          <w:p>
            <w:pPr>
              <w:shd w:val="clear"/>
              <w:jc w:val="center"/>
              <w:rPr>
                <w:rFonts w:ascii="宋体" w:hAnsi="宋体" w:cs="宋体"/>
                <w:color w:val="auto"/>
                <w:highlight w:val="none"/>
              </w:rPr>
            </w:pPr>
          </w:p>
        </w:tc>
        <w:tc>
          <w:tcPr>
            <w:tcW w:w="2700" w:type="dxa"/>
          </w:tcPr>
          <w:p>
            <w:pPr>
              <w:shd w:val="clear"/>
              <w:jc w:val="center"/>
              <w:rPr>
                <w:rFonts w:ascii="宋体" w:hAnsi="宋体" w:cs="宋体"/>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shd w:val="clear"/>
              <w:jc w:val="center"/>
              <w:rPr>
                <w:rFonts w:ascii="宋体" w:hAnsi="宋体" w:cs="宋体"/>
                <w:b/>
                <w:color w:val="auto"/>
                <w:highlight w:val="none"/>
              </w:rPr>
            </w:pPr>
          </w:p>
        </w:tc>
        <w:tc>
          <w:tcPr>
            <w:tcW w:w="1065" w:type="dxa"/>
            <w:vAlign w:val="center"/>
          </w:tcPr>
          <w:p>
            <w:pPr>
              <w:shd w:val="clear"/>
              <w:jc w:val="center"/>
              <w:rPr>
                <w:rFonts w:ascii="宋体" w:hAnsi="宋体" w:cs="宋体"/>
                <w:color w:val="auto"/>
                <w:highlight w:val="none"/>
              </w:rPr>
            </w:pPr>
          </w:p>
        </w:tc>
        <w:tc>
          <w:tcPr>
            <w:tcW w:w="1414" w:type="dxa"/>
            <w:vAlign w:val="center"/>
          </w:tcPr>
          <w:p>
            <w:pPr>
              <w:shd w:val="clear"/>
              <w:jc w:val="center"/>
              <w:rPr>
                <w:rFonts w:ascii="宋体" w:hAnsi="宋体" w:cs="宋体"/>
                <w:color w:val="auto"/>
                <w:highlight w:val="none"/>
              </w:rPr>
            </w:pPr>
          </w:p>
        </w:tc>
        <w:tc>
          <w:tcPr>
            <w:tcW w:w="1619" w:type="dxa"/>
            <w:tcBorders>
              <w:left w:val="single" w:color="auto" w:sz="4" w:space="0"/>
              <w:right w:val="single" w:color="auto" w:sz="4" w:space="0"/>
            </w:tcBorders>
            <w:vAlign w:val="center"/>
          </w:tcPr>
          <w:p>
            <w:pPr>
              <w:shd w:val="clear"/>
              <w:jc w:val="center"/>
              <w:rPr>
                <w:rFonts w:ascii="宋体" w:hAnsi="宋体" w:cs="宋体"/>
                <w:color w:val="auto"/>
                <w:highlight w:val="none"/>
              </w:rPr>
            </w:pPr>
          </w:p>
        </w:tc>
        <w:tc>
          <w:tcPr>
            <w:tcW w:w="1441" w:type="dxa"/>
            <w:vAlign w:val="center"/>
          </w:tcPr>
          <w:p>
            <w:pPr>
              <w:shd w:val="clear"/>
              <w:jc w:val="center"/>
              <w:rPr>
                <w:rFonts w:ascii="宋体" w:hAnsi="宋体" w:cs="宋体"/>
                <w:color w:val="auto"/>
                <w:highlight w:val="none"/>
              </w:rPr>
            </w:pPr>
          </w:p>
        </w:tc>
        <w:tc>
          <w:tcPr>
            <w:tcW w:w="2700" w:type="dxa"/>
          </w:tcPr>
          <w:p>
            <w:pPr>
              <w:shd w:val="clear"/>
              <w:jc w:val="center"/>
              <w:rPr>
                <w:rFonts w:ascii="宋体" w:hAnsi="宋体" w:cs="宋体"/>
                <w:color w:val="auto"/>
                <w:highlight w:val="none"/>
              </w:rPr>
            </w:pPr>
          </w:p>
        </w:tc>
      </w:tr>
    </w:tbl>
    <w:p>
      <w:pPr>
        <w:shd w:val="clear"/>
        <w:snapToGrid w:val="0"/>
        <w:spacing w:before="120"/>
        <w:ind w:left="518" w:leftChars="50" w:right="357" w:hanging="398" w:hangingChars="166"/>
        <w:rPr>
          <w:rFonts w:ascii="宋体" w:hAnsi="宋体" w:cs="宋体"/>
          <w:color w:val="auto"/>
          <w:highlight w:val="none"/>
        </w:rPr>
      </w:pPr>
    </w:p>
    <w:p>
      <w:pPr>
        <w:shd w:val="clear"/>
        <w:tabs>
          <w:tab w:val="left" w:pos="8782"/>
        </w:tabs>
        <w:snapToGrid w:val="0"/>
        <w:spacing w:before="120"/>
        <w:ind w:left="518" w:leftChars="50" w:right="-38" w:hanging="398" w:hangingChars="166"/>
        <w:rPr>
          <w:rFonts w:ascii="宋体" w:hAnsi="宋体" w:cs="宋体"/>
          <w:color w:val="auto"/>
          <w:highlight w:val="none"/>
        </w:rPr>
      </w:pPr>
      <w:r>
        <w:rPr>
          <w:rFonts w:hint="eastAsia" w:ascii="宋体" w:hAnsi="宋体" w:cs="宋体"/>
          <w:color w:val="auto"/>
          <w:highlight w:val="none"/>
        </w:rPr>
        <w:t xml:space="preserve">注：1. </w:t>
      </w:r>
      <w:r>
        <w:rPr>
          <w:rFonts w:hint="eastAsia" w:ascii="宋体" w:hAnsi="宋体" w:cs="宋体"/>
          <w:color w:val="auto"/>
          <w:highlight w:val="none"/>
          <w:lang w:eastAsia="zh-CN"/>
        </w:rPr>
        <w:t>供应商</w:t>
      </w:r>
      <w:r>
        <w:rPr>
          <w:rFonts w:hint="eastAsia" w:ascii="宋体" w:hAnsi="宋体" w:cs="宋体"/>
          <w:color w:val="auto"/>
          <w:highlight w:val="none"/>
        </w:rPr>
        <w:t>应如实列出以上情况，如有隐瞒，一经查实将导致其报价申请被拒绝。</w:t>
      </w:r>
    </w:p>
    <w:p>
      <w:pPr>
        <w:shd w:val="clear"/>
        <w:snapToGrid w:val="0"/>
        <w:spacing w:before="120"/>
        <w:ind w:left="478" w:leftChars="199" w:right="357" w:firstLine="120" w:firstLineChars="50"/>
        <w:rPr>
          <w:rFonts w:ascii="宋体" w:hAnsi="宋体" w:cs="宋体"/>
          <w:color w:val="auto"/>
          <w:highlight w:val="none"/>
        </w:rPr>
      </w:pPr>
      <w:r>
        <w:rPr>
          <w:rFonts w:hint="eastAsia" w:ascii="宋体" w:hAnsi="宋体" w:cs="宋体"/>
          <w:color w:val="auto"/>
          <w:highlight w:val="none"/>
        </w:rPr>
        <w:t xml:space="preserve">2.供应商应提供证明材料（复印件加盖公章装订在响应文件中）。 </w:t>
      </w:r>
    </w:p>
    <w:p>
      <w:pPr>
        <w:shd w:val="clear"/>
        <w:ind w:left="1256" w:hanging="836"/>
        <w:rPr>
          <w:rFonts w:ascii="宋体" w:hAnsi="宋体" w:cs="宋体"/>
          <w:color w:val="auto"/>
          <w:sz w:val="22"/>
          <w:highlight w:val="none"/>
        </w:rPr>
      </w:pPr>
    </w:p>
    <w:p>
      <w:pPr>
        <w:shd w:val="clear"/>
        <w:tabs>
          <w:tab w:val="left" w:pos="1680"/>
        </w:tabs>
        <w:rPr>
          <w:rFonts w:ascii="宋体" w:hAnsi="宋体" w:cs="宋体"/>
          <w:color w:val="auto"/>
          <w:highlight w:val="none"/>
        </w:rPr>
      </w:pPr>
    </w:p>
    <w:p>
      <w:pPr>
        <w:shd w:val="clear"/>
        <w:spacing w:line="480" w:lineRule="auto"/>
        <w:ind w:right="-161" w:firstLine="2640" w:firstLineChars="1100"/>
        <w:rPr>
          <w:rFonts w:ascii="宋体" w:hAnsi="宋体" w:cs="宋体"/>
          <w:color w:val="auto"/>
          <w:highlight w:val="none"/>
        </w:rPr>
      </w:pPr>
    </w:p>
    <w:p>
      <w:pPr>
        <w:shd w:val="clear"/>
        <w:spacing w:line="480" w:lineRule="auto"/>
        <w:ind w:right="-161" w:firstLine="2640" w:firstLineChars="1100"/>
        <w:rPr>
          <w:rFonts w:ascii="宋体" w:hAnsi="宋体" w:cs="宋体"/>
          <w:color w:val="auto"/>
          <w:highlight w:val="none"/>
        </w:rPr>
      </w:pPr>
    </w:p>
    <w:p>
      <w:pPr>
        <w:shd w:val="clear"/>
        <w:spacing w:line="480" w:lineRule="exact"/>
        <w:ind w:left="240" w:leftChars="100" w:firstLine="2160" w:firstLineChars="900"/>
        <w:rPr>
          <w:rFonts w:ascii="宋体" w:hAnsi="宋体" w:cs="Times New Roman"/>
          <w:color w:val="auto"/>
          <w:szCs w:val="24"/>
          <w:highlight w:val="none"/>
          <w:u w:val="single"/>
        </w:rPr>
      </w:pPr>
      <w:r>
        <w:rPr>
          <w:rFonts w:hint="eastAsia" w:ascii="宋体" w:hAnsi="宋体" w:cs="Times New Roman"/>
          <w:color w:val="auto"/>
          <w:szCs w:val="24"/>
          <w:highlight w:val="none"/>
          <w:lang w:val="zh-CN"/>
        </w:rPr>
        <w:t>法定代表人或被授权人（签字或盖章）</w:t>
      </w:r>
      <w:r>
        <w:rPr>
          <w:rFonts w:ascii="宋体" w:hAnsi="宋体" w:cs="Times New Roman"/>
          <w:color w:val="auto"/>
          <w:szCs w:val="24"/>
          <w:highlight w:val="none"/>
        </w:rPr>
        <w:t>：</w:t>
      </w:r>
      <w:r>
        <w:rPr>
          <w:rFonts w:ascii="宋体" w:hAnsi="宋体" w:cs="Times New Roman"/>
          <w:color w:val="auto"/>
          <w:szCs w:val="24"/>
          <w:highlight w:val="none"/>
          <w:u w:val="single"/>
        </w:rPr>
        <w:t xml:space="preserve">      </w:t>
      </w:r>
    </w:p>
    <w:p>
      <w:pPr>
        <w:shd w:val="clear"/>
        <w:spacing w:line="480" w:lineRule="exact"/>
        <w:ind w:left="240" w:leftChars="100" w:firstLine="2160" w:firstLineChars="900"/>
        <w:rPr>
          <w:rFonts w:ascii="宋体" w:hAnsi="宋体" w:cs="Times New Roman"/>
          <w:color w:val="auto"/>
          <w:szCs w:val="24"/>
          <w:highlight w:val="none"/>
        </w:rPr>
      </w:pPr>
      <w:r>
        <w:rPr>
          <w:rFonts w:hint="eastAsia" w:ascii="宋体" w:hAnsi="宋体" w:cs="Times New Roman"/>
          <w:color w:val="auto"/>
          <w:sz w:val="24"/>
          <w:szCs w:val="24"/>
          <w:highlight w:val="none"/>
          <w:lang w:eastAsia="zh-CN"/>
        </w:rPr>
        <w:t>供应商名称（</w:t>
      </w:r>
      <w:r>
        <w:rPr>
          <w:rFonts w:hint="eastAsia" w:ascii="宋体" w:hAnsi="宋体" w:cs="Times New Roman"/>
          <w:color w:val="auto"/>
          <w:sz w:val="24"/>
          <w:szCs w:val="24"/>
          <w:highlight w:val="none"/>
        </w:rPr>
        <w:t>公章</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w:t>
      </w:r>
      <w:r>
        <w:rPr>
          <w:rFonts w:hint="eastAsia" w:ascii="宋体" w:hAnsi="宋体" w:eastAsia="宋体" w:cs="宋体"/>
          <w:color w:val="auto"/>
          <w:sz w:val="24"/>
          <w:highlight w:val="none"/>
          <w:u w:val="single"/>
        </w:rPr>
        <w:t>        </w:t>
      </w:r>
      <w:r>
        <w:rPr>
          <w:rFonts w:ascii="宋体" w:hAnsi="宋体" w:cs="Times New Roman"/>
          <w:color w:val="auto"/>
          <w:szCs w:val="24"/>
          <w:highlight w:val="none"/>
        </w:rPr>
        <w:t xml:space="preserve">  </w:t>
      </w:r>
    </w:p>
    <w:p>
      <w:pPr>
        <w:shd w:val="clear"/>
        <w:spacing w:line="480" w:lineRule="exact"/>
        <w:ind w:left="240" w:leftChars="100" w:firstLine="2160" w:firstLineChars="900"/>
        <w:rPr>
          <w:rFonts w:ascii="宋体" w:hAnsi="宋体" w:cs="Times New Roman"/>
          <w:color w:val="auto"/>
          <w:highlight w:val="none"/>
          <w:u w:val="single"/>
        </w:rPr>
      </w:pPr>
      <w:r>
        <w:rPr>
          <w:rFonts w:ascii="宋体" w:hAnsi="宋体" w:cs="Times New Roman"/>
          <w:color w:val="auto"/>
          <w:szCs w:val="24"/>
          <w:highlight w:val="none"/>
        </w:rPr>
        <w:t>日 期：</w:t>
      </w:r>
      <w:r>
        <w:rPr>
          <w:rFonts w:ascii="宋体" w:hAnsi="宋体" w:cs="Times New Roman"/>
          <w:color w:val="auto"/>
          <w:highlight w:val="none"/>
          <w:u w:val="single"/>
        </w:rPr>
        <w:t xml:space="preserve">            </w:t>
      </w:r>
    </w:p>
    <w:p>
      <w:pPr>
        <w:widowControl w:val="0"/>
        <w:shd w:val="clear"/>
        <w:snapToGrid w:val="0"/>
        <w:jc w:val="left"/>
        <w:rPr>
          <w:rFonts w:ascii="宋体" w:hAnsi="宋体" w:eastAsia="宋体" w:cs="Times New Roman"/>
          <w:b/>
          <w:bCs/>
          <w:color w:val="auto"/>
          <w:kern w:val="2"/>
          <w:sz w:val="28"/>
          <w:szCs w:val="18"/>
          <w:highlight w:val="none"/>
          <w:lang w:val="en-US" w:eastAsia="zh-CN" w:bidi="ar-SA"/>
        </w:rPr>
      </w:pPr>
    </w:p>
    <w:p>
      <w:pPr>
        <w:pStyle w:val="2"/>
        <w:rPr>
          <w:rFonts w:hint="eastAsia"/>
        </w:rPr>
      </w:pPr>
    </w:p>
    <w:p>
      <w:pPr>
        <w:spacing w:before="10" w:line="360" w:lineRule="auto"/>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465445" cy="7658735"/>
            <wp:effectExtent l="0" t="0" r="1905" b="18415"/>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30"/>
                    <a:stretch>
                      <a:fillRect/>
                    </a:stretch>
                  </pic:blipFill>
                  <pic:spPr>
                    <a:xfrm>
                      <a:off x="0" y="0"/>
                      <a:ext cx="5465774" cy="7658748"/>
                    </a:xfrm>
                    <a:prstGeom prst="rect">
                      <a:avLst/>
                    </a:prstGeom>
                  </pic:spPr>
                </pic:pic>
              </a:graphicData>
            </a:graphic>
          </wp:inline>
        </w:drawing>
      </w:r>
    </w:p>
    <w:p>
      <w:pPr>
        <w:spacing w:line="360" w:lineRule="auto"/>
        <w:rPr>
          <w:rFonts w:hint="eastAsia" w:ascii="宋体" w:hAnsi="宋体" w:eastAsia="宋体" w:cs="宋体"/>
          <w:color w:val="auto"/>
        </w:rPr>
        <w:sectPr>
          <w:footerReference r:id="rId17" w:type="default"/>
          <w:pgSz w:w="11906" w:h="16839"/>
          <w:pgMar w:top="1431" w:right="1581" w:bottom="1158" w:left="1717" w:header="850" w:footer="992" w:gutter="0"/>
          <w:pgNumType w:fmt="decimal"/>
          <w:cols w:space="720" w:num="1"/>
        </w:sectPr>
      </w:pPr>
    </w:p>
    <w:p>
      <w:pPr>
        <w:spacing w:before="20"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31"/>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18" w:type="default"/>
          <w:pgSz w:w="11906" w:h="16839"/>
          <w:pgMar w:top="1431" w:right="1581" w:bottom="1293" w:left="1785" w:header="850" w:footer="992" w:gutter="0"/>
          <w:pgNumType w:fmt="decimal"/>
          <w:cols w:space="720" w:num="1"/>
        </w:sect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32"/>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19" w:type="default"/>
          <w:pgSz w:w="11906" w:h="16839"/>
          <w:pgMar w:top="1431" w:right="1581" w:bottom="1293" w:left="1785" w:header="850" w:footer="992" w:gutter="0"/>
          <w:pgNumType w:fmt="decimal"/>
          <w:cols w:space="720" w:num="1"/>
        </w:sectPr>
      </w:pPr>
    </w:p>
    <w:p>
      <w:pPr>
        <w:spacing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33"/>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0" w:type="default"/>
          <w:pgSz w:w="11906" w:h="16839"/>
          <w:pgMar w:top="1431" w:right="1581" w:bottom="1293" w:left="1785" w:header="850" w:footer="992" w:gutter="0"/>
          <w:pgNumType w:fmt="decimal"/>
          <w:cols w:space="720" w:num="1"/>
        </w:sectPr>
      </w:pPr>
    </w:p>
    <w:p>
      <w:pPr>
        <w:spacing w:before="20"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34"/>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1" w:type="default"/>
          <w:pgSz w:w="11906" w:h="16839"/>
          <w:pgMar w:top="1431" w:right="1581" w:bottom="1293" w:left="1785" w:header="850" w:footer="992" w:gutter="0"/>
          <w:pgNumType w:fmt="decimal"/>
          <w:cols w:space="720" w:num="1"/>
        </w:sectPr>
      </w:pPr>
    </w:p>
    <w:p>
      <w:pPr>
        <w:spacing w:before="20"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35"/>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2" w:type="default"/>
          <w:pgSz w:w="11906" w:h="16839"/>
          <w:pgMar w:top="1431" w:right="1581" w:bottom="1293" w:left="1785" w:header="850" w:footer="992" w:gutter="0"/>
          <w:pgNumType w:fmt="decimal"/>
          <w:cols w:space="720" w:num="1"/>
        </w:sectPr>
      </w:pPr>
    </w:p>
    <w:p>
      <w:pPr>
        <w:spacing w:before="20"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36"/>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3" w:type="default"/>
          <w:pgSz w:w="11906" w:h="16839"/>
          <w:pgMar w:top="1431" w:right="1581" w:bottom="1293" w:left="1785" w:header="850" w:footer="992" w:gutter="0"/>
          <w:pgNumType w:fmt="decimal"/>
          <w:cols w:space="720" w:num="1"/>
        </w:sectPr>
      </w:pPr>
    </w:p>
    <w:p>
      <w:pPr>
        <w:spacing w:before="66"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152390" cy="7381875"/>
            <wp:effectExtent l="0" t="0" r="10160" b="9525"/>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37"/>
                    <a:stretch>
                      <a:fillRect/>
                    </a:stretch>
                  </pic:blipFill>
                  <pic:spPr>
                    <a:xfrm>
                      <a:off x="0" y="0"/>
                      <a:ext cx="5152644" cy="7382256"/>
                    </a:xfrm>
                    <a:prstGeom prst="rect">
                      <a:avLst/>
                    </a:prstGeom>
                  </pic:spPr>
                </pic:pic>
              </a:graphicData>
            </a:graphic>
          </wp:inline>
        </w:drawing>
      </w:r>
    </w:p>
    <w:p>
      <w:pPr>
        <w:spacing w:line="360" w:lineRule="auto"/>
        <w:rPr>
          <w:rFonts w:hint="eastAsia" w:ascii="宋体" w:hAnsi="宋体" w:eastAsia="宋体" w:cs="宋体"/>
          <w:color w:val="auto"/>
        </w:rPr>
        <w:sectPr>
          <w:footerReference r:id="rId24" w:type="default"/>
          <w:pgSz w:w="11906" w:h="16839"/>
          <w:pgMar w:top="1431" w:right="1686" w:bottom="1293" w:left="1785" w:header="850" w:footer="992" w:gutter="0"/>
          <w:pgNumType w:fmt="decimal"/>
          <w:cols w:space="720" w:num="1"/>
        </w:sectPr>
      </w:pPr>
    </w:p>
    <w:p>
      <w:pPr>
        <w:spacing w:before="20"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38"/>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5" w:type="default"/>
          <w:pgSz w:w="11906" w:h="16839"/>
          <w:pgMar w:top="1431" w:right="1581" w:bottom="1293" w:left="1785" w:header="850" w:footer="992" w:gutter="0"/>
          <w:pgNumType w:fmt="decimal"/>
          <w:cols w:space="720" w:num="1"/>
        </w:sect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39"/>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6" w:type="default"/>
          <w:pgSz w:w="11906" w:h="16839"/>
          <w:pgMar w:top="1431" w:right="1581" w:bottom="1293" w:left="1785" w:header="850" w:footer="992" w:gutter="0"/>
          <w:pgNumType w:fmt="decimal"/>
          <w:cols w:space="720" w:num="1"/>
        </w:sectPr>
      </w:pPr>
    </w:p>
    <w:p>
      <w:pPr>
        <w:spacing w:before="20"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40"/>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7" w:type="default"/>
          <w:pgSz w:w="11906" w:h="16839"/>
          <w:pgMar w:top="1431" w:right="1581" w:bottom="1293" w:left="1785" w:header="850" w:footer="992" w:gutter="0"/>
          <w:pgNumType w:fmt="decimal"/>
          <w:cols w:space="720" w:num="1"/>
        </w:sectPr>
      </w:pPr>
    </w:p>
    <w:p>
      <w:pPr>
        <w:spacing w:line="360" w:lineRule="auto"/>
        <w:ind w:left="0" w:leftChars="0" w:firstLine="0" w:firstLineChars="0"/>
        <w:rPr>
          <w:rFonts w:hint="eastAsia" w:ascii="宋体" w:hAnsi="宋体" w:eastAsia="宋体" w:cs="宋体"/>
          <w:color w:val="auto"/>
        </w:rPr>
      </w:pPr>
      <w:r>
        <w:rPr>
          <w:rFonts w:hint="eastAsia" w:ascii="宋体" w:hAnsi="宋体" w:eastAsia="宋体" w:cs="宋体"/>
          <w:color w:val="auto"/>
        </w:rPr>
        <w:drawing>
          <wp:inline distT="0" distB="0" distL="0" distR="0">
            <wp:extent cx="5152390" cy="7381875"/>
            <wp:effectExtent l="0" t="0" r="10160" b="9525"/>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37"/>
                    <a:stretch>
                      <a:fillRect/>
                    </a:stretch>
                  </pic:blipFill>
                  <pic:spPr>
                    <a:xfrm>
                      <a:off x="0" y="0"/>
                      <a:ext cx="5152644" cy="7382256"/>
                    </a:xfrm>
                    <a:prstGeom prst="rect">
                      <a:avLst/>
                    </a:prstGeom>
                  </pic:spPr>
                </pic:pic>
              </a:graphicData>
            </a:graphic>
          </wp:inline>
        </w:drawing>
      </w:r>
    </w:p>
    <w:p/>
    <w:p/>
    <w:sectPr>
      <w:footerReference r:id="rId28" w:type="default"/>
      <w:pgSz w:w="11906" w:h="16838"/>
      <w:pgMar w:top="1344" w:right="1344" w:bottom="1344" w:left="1344" w:header="850" w:footer="994" w:gutter="0"/>
      <w:pgBorders>
        <w:top w:val="none" w:sz="0" w:space="0"/>
        <w:left w:val="none" w:sz="0" w:space="0"/>
        <w:bottom w:val="none" w:sz="0" w:space="0"/>
        <w:right w:val="none" w:sz="0" w:space="0"/>
      </w:pgBorders>
      <w:pgNumType w:fmt="decimal"/>
      <w:cols w:space="72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AGYXIQ+Frutiger-Cn">
    <w:altName w:val="宋体"/>
    <w:panose1 w:val="00000000000000000000"/>
    <w:charset w:val="86"/>
    <w:family w:val="swiss"/>
    <w:pitch w:val="default"/>
    <w:sig w:usb0="00000000" w:usb1="00000000" w:usb2="00000010" w:usb3="00000000" w:csb0="00040000" w:csb1="00000000"/>
  </w:font>
  <w:font w:name="思源宋体 C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eastAsia="宋体"/>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榆林市恒易达工程项目管理有限公司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1"/>
      </w:pBdr>
      <w:rPr>
        <w:rFonts w:hint="eastAsia"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v:textbox>
            </v:shape>
          </w:pict>
        </mc:Fallback>
      </mc:AlternateContent>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615"/>
      <w:rPr>
        <w:rFonts w:ascii="宋体" w:hAnsi="宋体" w:eastAsia="宋体" w:cs="宋体"/>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409"/>
      <w:rPr>
        <w:rFonts w:ascii="宋体" w:hAnsi="宋体" w:eastAsia="宋体" w:cs="宋体"/>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409"/>
      <w:rPr>
        <w:rFonts w:ascii="宋体" w:hAnsi="宋体" w:eastAsia="宋体" w:cs="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409"/>
      <w:rPr>
        <w:rFonts w:ascii="宋体" w:hAnsi="宋体" w:eastAsia="宋体" w:cs="宋体"/>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409"/>
      <w:rPr>
        <w:rFonts w:ascii="宋体" w:hAnsi="宋体" w:eastAsia="宋体" w:cs="宋体"/>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91"/>
      <w:rPr>
        <w:rFonts w:ascii="宋体" w:hAnsi="宋体" w:eastAsia="宋体" w:cs="宋体"/>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left="0" w:leftChars="0" w:firstLine="0" w:firstLineChars="0"/>
      <w:jc w:val="both"/>
      <w:rPr>
        <w:sz w:val="20"/>
        <w:u w:val="double"/>
      </w:rPr>
    </w:pPr>
    <w:r>
      <w:rPr>
        <w:rFonts w:hint="eastAsia"/>
        <w:u w:val="double"/>
        <w:lang w:val="en-US" w:eastAsia="zh-CN"/>
      </w:rPr>
      <w:t>店塔镇生活垃圾填埋场运营管理项目</w:t>
    </w:r>
    <w:r>
      <w:rPr>
        <w:rFonts w:hint="eastAsia"/>
        <w:sz w:val="20"/>
        <w:u w:val="double"/>
        <w:lang w:val="en-US" w:eastAsia="zh-CN"/>
      </w:rPr>
      <w:t xml:space="preserve">                    </w:t>
    </w:r>
    <w:r>
      <w:rPr>
        <w:rFonts w:hint="eastAsia"/>
        <w:sz w:val="20"/>
        <w:u w:val="double"/>
        <w:lang w:eastAsia="zh-CN"/>
      </w:rPr>
      <w:t>竞争性</w:t>
    </w:r>
    <w:r>
      <w:rPr>
        <w:rFonts w:hint="eastAsia"/>
        <w:sz w:val="20"/>
        <w:u w:val="double"/>
        <w:lang w:val="en-US" w:eastAsia="zh-CN"/>
      </w:rPr>
      <w:t>磋商</w:t>
    </w:r>
    <w:r>
      <w:rPr>
        <w:rFonts w:hint="eastAsia"/>
        <w:sz w:val="20"/>
        <w:u w:val="doubl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none" w:color="auto" w:sz="0" w:space="1"/>
      </w:pBdr>
      <w:kinsoku/>
      <w:wordWrap/>
      <w:overflowPunct/>
      <w:topLinePunct w:val="0"/>
      <w:autoSpaceDE/>
      <w:autoSpaceDN/>
      <w:bidi w:val="0"/>
      <w:adjustRightInd w:val="0"/>
      <w:snapToGrid w:val="0"/>
      <w:ind w:firstLine="0" w:firstLineChars="0"/>
      <w:jc w:val="left"/>
      <w:textAlignment w:val="auto"/>
      <w:rPr>
        <w:sz w:val="20"/>
        <w:u w:val="doub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1" w:lineRule="auto"/>
      <w:ind w:left="1605"/>
      <w:rPr>
        <w:rFonts w:ascii="宋体" w:hAnsi="宋体" w:eastAsia="宋体" w:cs="宋体"/>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F4456"/>
    <w:multiLevelType w:val="singleLevel"/>
    <w:tmpl w:val="54BF445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YzBlM2FjZGFhYTEwNjljZjcyYzQ4Y2NlYzg1M2YifQ=="/>
  </w:docVars>
  <w:rsids>
    <w:rsidRoot w:val="0E4B3766"/>
    <w:rsid w:val="0A3463D4"/>
    <w:rsid w:val="0E4B3766"/>
    <w:rsid w:val="17010345"/>
    <w:rsid w:val="30A518B9"/>
    <w:rsid w:val="42CA78CB"/>
    <w:rsid w:val="4A4D5D9C"/>
    <w:rsid w:val="55D2110B"/>
    <w:rsid w:val="5CBC4ED7"/>
    <w:rsid w:val="642832BA"/>
    <w:rsid w:val="71146EFD"/>
    <w:rsid w:val="749649DF"/>
    <w:rsid w:val="74C4148C"/>
    <w:rsid w:val="77471893"/>
    <w:rsid w:val="78267E28"/>
    <w:rsid w:val="7F971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618" w:firstLineChars="200"/>
      <w:jc w:val="left"/>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jc w:val="center"/>
      <w:outlineLvl w:val="0"/>
    </w:pPr>
    <w:rPr>
      <w:rFonts w:ascii="仿宋_GB2312" w:hAnsi="宋体"/>
      <w:b/>
      <w:sz w:val="32"/>
    </w:rPr>
  </w:style>
  <w:style w:type="paragraph" w:styleId="4">
    <w:name w:val="heading 2"/>
    <w:basedOn w:val="1"/>
    <w:next w:val="1"/>
    <w:qFormat/>
    <w:uiPriority w:val="0"/>
    <w:pPr>
      <w:keepNext/>
      <w:keepLines/>
      <w:widowControl/>
      <w:spacing w:before="40" w:after="40" w:line="360" w:lineRule="auto"/>
      <w:ind w:left="283" w:firstLine="0" w:firstLineChars="0"/>
      <w:jc w:val="center"/>
      <w:outlineLvl w:val="1"/>
    </w:pPr>
    <w:rPr>
      <w:rFonts w:ascii="Arial" w:hAnsi="Arial"/>
      <w:b/>
      <w:bCs/>
      <w:kern w:val="0"/>
      <w:sz w:val="32"/>
      <w:szCs w:val="32"/>
    </w:rPr>
  </w:style>
  <w:style w:type="paragraph" w:styleId="5">
    <w:name w:val="heading 3"/>
    <w:basedOn w:val="1"/>
    <w:next w:val="1"/>
    <w:qFormat/>
    <w:uiPriority w:val="0"/>
    <w:pPr>
      <w:keepNext/>
      <w:spacing w:beforeLines="200" w:line="400" w:lineRule="exact"/>
      <w:jc w:val="center"/>
      <w:outlineLvl w:val="2"/>
    </w:pPr>
    <w:rPr>
      <w:b/>
      <w:bCs/>
      <w:sz w:val="24"/>
      <w:szCs w:val="24"/>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8">
    <w:name w:val="Normal Indent"/>
    <w:basedOn w:val="1"/>
    <w:qFormat/>
    <w:uiPriority w:val="0"/>
    <w:pPr>
      <w:spacing w:line="300" w:lineRule="auto"/>
      <w:ind w:firstLine="420" w:firstLineChars="200"/>
    </w:pPr>
    <w:rPr>
      <w:szCs w:val="24"/>
    </w:rPr>
  </w:style>
  <w:style w:type="paragraph" w:styleId="9">
    <w:name w:val="Body Text Indent"/>
    <w:basedOn w:val="1"/>
    <w:next w:val="1"/>
    <w:qFormat/>
    <w:uiPriority w:val="0"/>
    <w:pPr>
      <w:widowControl/>
      <w:ind w:firstLine="652" w:firstLineChars="233"/>
    </w:pPr>
    <w:rPr>
      <w:kern w:val="0"/>
      <w:sz w:val="28"/>
    </w:rPr>
  </w:style>
  <w:style w:type="paragraph" w:styleId="10">
    <w:name w:val="Plain Text"/>
    <w:basedOn w:val="1"/>
    <w:next w:val="1"/>
    <w:qFormat/>
    <w:uiPriority w:val="0"/>
    <w:rPr>
      <w:rFonts w:ascii="宋体" w:hAnsi="Courier New"/>
    </w:rPr>
  </w:style>
  <w:style w:type="paragraph" w:styleId="11">
    <w:name w:val="Balloon Text"/>
    <w:basedOn w:val="1"/>
    <w:qFormat/>
    <w:uiPriority w:val="0"/>
    <w:rPr>
      <w:sz w:val="18"/>
      <w:szCs w:val="18"/>
    </w:rPr>
  </w:style>
  <w:style w:type="paragraph" w:styleId="12">
    <w:name w:val="footer"/>
    <w:basedOn w:val="1"/>
    <w:next w:val="2"/>
    <w:unhideWhenUsed/>
    <w:qFormat/>
    <w:uiPriority w:val="99"/>
    <w:pPr>
      <w:tabs>
        <w:tab w:val="center" w:pos="4153"/>
        <w:tab w:val="right" w:pos="8306"/>
      </w:tabs>
      <w:snapToGrid w:val="0"/>
      <w:jc w:val="left"/>
    </w:pPr>
    <w:rPr>
      <w:sz w:val="18"/>
      <w:szCs w:val="18"/>
    </w:rPr>
  </w:style>
  <w:style w:type="paragraph" w:styleId="13">
    <w:name w:val="envelope return"/>
    <w:basedOn w:val="1"/>
    <w:qFormat/>
    <w:uiPriority w:val="0"/>
    <w:pPr>
      <w:snapToGrid w:val="0"/>
    </w:pPr>
    <w:rPr>
      <w:rFonts w:ascii="Arial" w:hAnsi="Arial"/>
    </w:rPr>
  </w:style>
  <w:style w:type="paragraph" w:styleId="1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Body Text 2"/>
    <w:basedOn w:val="1"/>
    <w:qFormat/>
    <w:uiPriority w:val="0"/>
    <w:rPr>
      <w:rFonts w:ascii="楷体_GB2312" w:hAnsi="Copperplate Gothic Bold" w:eastAsia="楷体_GB2312"/>
      <w:sz w:val="28"/>
    </w:rPr>
  </w:style>
  <w:style w:type="paragraph" w:styleId="17">
    <w:name w:val="Normal (Web)"/>
    <w:basedOn w:val="1"/>
    <w:next w:val="12"/>
    <w:qFormat/>
    <w:uiPriority w:val="0"/>
    <w:pPr>
      <w:widowControl/>
      <w:spacing w:before="100" w:beforeAutospacing="1" w:after="100" w:afterAutospacing="1"/>
      <w:jc w:val="left"/>
    </w:pPr>
    <w:rPr>
      <w:rFonts w:ascii="宋体" w:hAnsi="宋体"/>
      <w:kern w:val="0"/>
      <w:sz w:val="24"/>
      <w:szCs w:val="24"/>
    </w:rPr>
  </w:style>
  <w:style w:type="paragraph" w:styleId="18">
    <w:name w:val="Body Text First Indent"/>
    <w:basedOn w:val="2"/>
    <w:qFormat/>
    <w:uiPriority w:val="0"/>
    <w:pPr>
      <w:adjustRightInd w:val="0"/>
      <w:ind w:firstLine="567"/>
    </w:pPr>
  </w:style>
  <w:style w:type="paragraph" w:styleId="19">
    <w:name w:val="Body Text First Indent 2"/>
    <w:basedOn w:val="9"/>
    <w:qFormat/>
    <w:uiPriority w:val="0"/>
    <w:pPr>
      <w:ind w:firstLine="420"/>
    </w:pPr>
  </w:style>
  <w:style w:type="character" w:styleId="22">
    <w:name w:val="Strong"/>
    <w:basedOn w:val="21"/>
    <w:qFormat/>
    <w:uiPriority w:val="0"/>
    <w:rPr>
      <w:b/>
    </w:rPr>
  </w:style>
  <w:style w:type="paragraph" w:customStyle="1" w:styleId="23">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table" w:customStyle="1" w:styleId="24">
    <w:name w:val="Table Normal"/>
    <w:semiHidden/>
    <w:unhideWhenUsed/>
    <w:qFormat/>
    <w:uiPriority w:val="0"/>
    <w:tblPr>
      <w:tblCellMar>
        <w:top w:w="0" w:type="dxa"/>
        <w:left w:w="0" w:type="dxa"/>
        <w:bottom w:w="0" w:type="dxa"/>
        <w:right w:w="0" w:type="dxa"/>
      </w:tblCellMar>
    </w:tblPr>
  </w:style>
  <w:style w:type="paragraph" w:customStyle="1" w:styleId="25">
    <w:name w:val="首行缩进"/>
    <w:basedOn w:val="1"/>
    <w:qFormat/>
    <w:uiPriority w:val="0"/>
    <w:pPr>
      <w:spacing w:line="360" w:lineRule="auto"/>
      <w:ind w:firstLine="480" w:firstLineChars="200"/>
    </w:pPr>
    <w:rPr>
      <w:sz w:val="24"/>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3" Type="http://schemas.openxmlformats.org/officeDocument/2006/relationships/fontTable" Target="fontTable.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11.jpeg"/><Relationship Id="rId4" Type="http://schemas.openxmlformats.org/officeDocument/2006/relationships/endnotes" Target="endnotes.xml"/><Relationship Id="rId39" Type="http://schemas.openxmlformats.org/officeDocument/2006/relationships/image" Target="media/image10.jpeg"/><Relationship Id="rId38" Type="http://schemas.openxmlformats.org/officeDocument/2006/relationships/image" Target="media/image9.jpeg"/><Relationship Id="rId37" Type="http://schemas.openxmlformats.org/officeDocument/2006/relationships/image" Target="media/image8.jpeg"/><Relationship Id="rId36" Type="http://schemas.openxmlformats.org/officeDocument/2006/relationships/image" Target="media/image7.jpeg"/><Relationship Id="rId35" Type="http://schemas.openxmlformats.org/officeDocument/2006/relationships/image" Target="media/image6.jpeg"/><Relationship Id="rId34" Type="http://schemas.openxmlformats.org/officeDocument/2006/relationships/image" Target="media/image5.jpeg"/><Relationship Id="rId33" Type="http://schemas.openxmlformats.org/officeDocument/2006/relationships/image" Target="media/image4.jpeg"/><Relationship Id="rId32" Type="http://schemas.openxmlformats.org/officeDocument/2006/relationships/image" Target="media/image3.jpeg"/><Relationship Id="rId31" Type="http://schemas.openxmlformats.org/officeDocument/2006/relationships/image" Target="media/image2.jpeg"/><Relationship Id="rId30" Type="http://schemas.openxmlformats.org/officeDocument/2006/relationships/image" Target="media/image1.png"/><Relationship Id="rId3" Type="http://schemas.openxmlformats.org/officeDocument/2006/relationships/footnotes" Target="footnotes.xml"/><Relationship Id="rId29" Type="http://schemas.openxmlformats.org/officeDocument/2006/relationships/theme" Target="theme/theme1.xml"/><Relationship Id="rId28" Type="http://schemas.openxmlformats.org/officeDocument/2006/relationships/footer" Target="footer20.xml"/><Relationship Id="rId27" Type="http://schemas.openxmlformats.org/officeDocument/2006/relationships/footer" Target="footer19.xml"/><Relationship Id="rId26" Type="http://schemas.openxmlformats.org/officeDocument/2006/relationships/footer" Target="footer18.xml"/><Relationship Id="rId25" Type="http://schemas.openxmlformats.org/officeDocument/2006/relationships/footer" Target="footer17.xml"/><Relationship Id="rId24" Type="http://schemas.openxmlformats.org/officeDocument/2006/relationships/footer" Target="footer16.xml"/><Relationship Id="rId23" Type="http://schemas.openxmlformats.org/officeDocument/2006/relationships/footer" Target="footer15.xml"/><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2023-06-30T08:44:00Z</dcterms:created>
  <dc:creator>马涛</dc:creator>
  <cp:lastModifiedBy>马涛</cp:lastModifiedBy>
  <dcterms:modified xsi:type="dcterms:W3CDTF">2023-07-27T07:28:24Z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02A24E1E3D5840E9BD7EF8833D81F3C2_11</vt:lpwstr>
  </property>
</Properties>
</file>