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eastAsia" w:ascii="宋体" w:hAnsi="宋体" w:eastAsia="宋体" w:cs="宋体"/>
          <w:b/>
          <w:bCs/>
          <w:i w:val="0"/>
          <w:iCs w:val="0"/>
          <w:caps w:val="0"/>
          <w:color w:val="auto"/>
          <w:spacing w:val="0"/>
          <w:sz w:val="24"/>
          <w:szCs w:val="24"/>
          <w:bdr w:val="none" w:color="auto" w:sz="0" w:space="0"/>
          <w:shd w:val="clear" w:fill="FFFFFF"/>
        </w:rPr>
      </w:pPr>
      <w:r>
        <w:rPr>
          <w:rFonts w:ascii="微软雅黑" w:hAnsi="微软雅黑" w:eastAsia="微软雅黑" w:cs="微软雅黑"/>
          <w:b/>
          <w:bCs/>
          <w:i w:val="0"/>
          <w:iCs w:val="0"/>
          <w:caps w:val="0"/>
          <w:color w:val="auto"/>
          <w:spacing w:val="0"/>
          <w:sz w:val="36"/>
          <w:szCs w:val="36"/>
          <w:shd w:val="clear" w:fill="FFFFFF"/>
        </w:rPr>
        <w:t>神木市第六小学教室智慧黑板招标公告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教室智慧黑板</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w:t>
      </w:r>
      <w:r>
        <w:rPr>
          <w:rFonts w:hint="eastAsia" w:ascii="宋体" w:hAnsi="宋体" w:eastAsia="宋体" w:cs="宋体"/>
          <w:i w:val="0"/>
          <w:iCs w:val="0"/>
          <w:caps w:val="0"/>
          <w:color w:val="auto"/>
          <w:spacing w:val="0"/>
          <w:sz w:val="24"/>
          <w:szCs w:val="24"/>
          <w:bdr w:val="none" w:color="auto" w:sz="0" w:space="0"/>
          <w:shd w:val="clear" w:fill="FFFFFF"/>
        </w:rPr>
        <w:t> 2023年05月04日 13时30分 </w:t>
      </w:r>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项目编号：SXYTZB-2023-0010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项目名称：教室智慧黑板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预算金额：3,190,000.00元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合同包1(教室智慧黑板):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合同包预算金额：3,190,000.00元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合同包最高限价：3,190,000.00元</w:t>
      </w:r>
    </w:p>
    <w:tbl>
      <w:tblPr>
        <w:tblW w:w="102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9"/>
        <w:gridCol w:w="1961"/>
        <w:gridCol w:w="1961"/>
        <w:gridCol w:w="895"/>
        <w:gridCol w:w="1420"/>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blHeader/>
          <w:jc w:val="center"/>
        </w:trPr>
        <w:tc>
          <w:tcPr>
            <w:tcW w:w="6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5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5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0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教室智慧黑板</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80(批)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3,190,000.00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3,190,000.00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合同包1(教室智慧黑板)落实政府采购政策需满足的资格要求如下: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4.根据《政府采购促进中小企业发展管理办法》（财库〔2020〕46号）的规定。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6.根据《榆林市财政局关于进一步加大政府采购支持中小企业力度的通知》（榆政财采发〔2022〕10号）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合同包1(教室智慧黑板)特定资格要求如下: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及2022年度企业年度报告；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（2）财务状况报告：提供2022年度的完整的财务审计报告，成立时间至提交响应文件递交截止时间不足一年的，须提供其基本存款账户开户银行近三个月内出具的银行资信证明或自成立以来的财务报表；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（3）税收缴纳证明：提供2022年01月至今已缴纳的至少一个月的纳税证明（银行缴费凭证）或完税证明，依法免税的单位应提供相关证明材料；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需提供“信用中国”网站(www.creditchina.gov.cn)、“信用中国（陕西榆林）”网站（http：//www.ylcredit.gov.cn/）、中国政府采购网(www.ccgp.gov.cn)等网页截图及信用中国报告加盖投标人公章（鲜章）为准（截图日期应在本项目所属投标有效期内）；</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（8）榆林市政府采购货物类项目供应商信用承诺书；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不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2023年04月10日 至 2023年04月14日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2023年05月04日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全国公共资源交易中心平台（陕西省）网上递交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榆林市公共资源交易中心十楼不见面开标7室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1、请各投标人下载文件后，按照陕西省财政厅《关于政府采购投标人注册登记有关事项的通知》要求，通过陕西省政府采购网注册登记加入陕西省政府采购供应商库。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2、投标人未办理陕西省公共资源交易中心CA锁的可到榆林市市民大厦四楼交易中心窗口办理，咨询电话0912-3515031、029-88661298或4006-369-888（陕西CA联系电话）。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3、关于自主上报信用承诺书事宜，遵循《榆林市公共资源交易中心关于公共资源交易信用承诺网上公示的通知》（榆交易函〔2021〕19号）文件相关要求执行。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4、特别提醒：本项目采用电子化不见面开标方式，供应商使用数字认证证书(CA锁)对投标响应文件进行签章、加密、上传、签到、解密，具体操作步骤见招标文件须知。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神木市第六小学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神木市麟州街道人民路45号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13325327738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陕西源泰项目管理有限公司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陕西省榆林市榆阳区文化南路榆溪雅园西门7栋1号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13484488599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陕西源泰项目管理有限公司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13484488599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陕西源泰项目管理有限公司</w:t>
      </w:r>
    </w:p>
    <w:p>
      <w:pPr>
        <w:jc w:val="righ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2023年4月9日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jc4OTA4OTcxZjVlYzE3MTc3ZDZhMTMxNGE5YTYifQ=="/>
  </w:docVars>
  <w:rsids>
    <w:rsidRoot w:val="00000000"/>
    <w:rsid w:val="674D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2023-04-09T03:50:06Z</dcterms:created>
  <dc:creator>Administrator</dc:creator>
  <cp:lastModifiedBy>WPS_1492229536</cp:lastModifiedBy>
  <dcterms:modified xsi:type="dcterms:W3CDTF">2023-04-09T03:51:38Z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FF8E9C364BE44CB3B5CC40600334E34B_12</vt:lpwstr>
  </property>
</Properties>
</file>