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bdr w:val="none" w:color="auto" w:sz="0" w:space="0"/>
          <w:lang w:val="en-US" w:eastAsia="zh-CN" w:bidi="ar"/>
        </w:rPr>
        <w:t>榆林市榆阳区环境卫生管理局大小扫帚采购项目招标公告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大小扫帚采购项目</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shd w:val="clear" w:fill="FFFFFF"/>
        </w:rPr>
        <w:t>CA锁自行下载</w:t>
      </w:r>
      <w:r>
        <w:rPr>
          <w:rFonts w:hint="eastAsia" w:ascii="微软雅黑" w:hAnsi="微软雅黑" w:eastAsia="微软雅黑" w:cs="微软雅黑"/>
          <w:i w:val="0"/>
          <w:iCs w:val="0"/>
          <w:caps w:val="0"/>
          <w:color w:val="333333"/>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2023年05月31日 09时30分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项目编号：HYDZB-2023-029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项目名称：大小扫帚采购项目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预算金额：18.80元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合同包1(其他清洁用品):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合同包预算金额：18.80元</w:t>
      </w:r>
    </w:p>
    <w:tbl>
      <w:tblPr>
        <w:tblW w:w="183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03"/>
        <w:gridCol w:w="4515"/>
        <w:gridCol w:w="4515"/>
        <w:gridCol w:w="1505"/>
        <w:gridCol w:w="3010"/>
        <w:gridCol w:w="1806"/>
        <w:gridCol w:w="18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其他清洁用品</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大小扫帚采购</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1(18.8)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18.80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合同包1(其他清洁用品)落实政府采购政策需满足的资格要求如下: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（6）《财政部、民政部、中国残疾人联合会关于促进残疾人就业政府采购政策的通知》（财库[2017]141号）；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（7）陕西省财政厅关于印发《陕西省中小企业政府采购信用融资办法》（陕财办采〔2018〕23号）；相关政策、业务流程、办理平台(http://www.ccgpshaanxi.gov.cn/zcdservice/zcd/shanxi/)；</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（9）《榆林市财政局关于进一步加大政府采购支持中小企业力度的通知》（榆政财采发〔2022〕10号)；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（10）《陕西省财政厅关于进一步加大政府采购支持中小企业力度的通知》(陕财采发〔2022〕5号)；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合同包1(其他清洁用品)特定资格要求如下: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1、投标人须具备独立承担民事责任能力的法人或其他组织，提供合法有效的统一社会信用代码的营业执照；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2、财务状况报告：2022年度的财务审计报告或财务报表（至少包括资产负债表、利润表、现金流量表）或其开标前三个月内基本存款账户开户银行出具的资信证明，成立时间至提交投标文件递交截止时间不足一年的，投标人须自行声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3、社会保障资金缴纳证明：提供2023年1月至今已缴存的至少一个月的社会保障资金缴纳证明（银行缴费凭证或社保完税证明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4、税收缴纳证明：提供2023年1月至今已缴纳的至少一个月的税收缴纳证明（银行缴费凭证或税收完税证明），依法免税的单位应提供相关证明材料；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5、参加政府采购活动前3年内在经营活动中没有重大违法记录的书面声明（格式自拟，加盖投标人公章）；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6、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有以上不良记录的不得参与评审活动，同时提供投标企业信用承诺书原件；</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7、投标保证金承诺。</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8、本项目专门面向小微企业采购（须提供小微企业声明函）；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9、本项目不接受联合体投标，单位负责人为同一人或者存在直接控股、管理关系的不同投标人，不得参加同一合同项下的政府采购活动。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2023年05月08日 至 2023年05月12日 ，每天上午 08:00:00 至 12:00:00 ，下午 12:00:00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CA锁自行下载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2023年05月31日 09时30分00秒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榆林市公共交易中心十楼开标室5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榆林市公共交易中心十楼开标室5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1.供应商可登录全国公共资源交易中心平台(陕西省) (http://www.sxggzyjy.cn/) ,选择“电子交易平台-陕西政府采购交易系统-陕西 省公共资源交易平台-供应商”进行登录，登录后选择“交易乙方”身份进入供应商界面进行报名并免费下载招标文件。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2.本项目采用电子化招投标的方式，供应商使用数字认证证书 (CA 锁) 对投标文件进行签章、加密、递交及开标时解密等相关招投标事宜。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3.电子投标文件制作软件技术支持热线：400-998-0000  ，CA 锁购买：榆林市市民大厦四楼窗口,电话：0912-3515031。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4.请各供应商获取招标文件后，按照陕西省财政厅《关于政府采购投标供应商注册登记有关事项的通知》要求，通过陕西省政府采购 (http://www.ccgp-shaanxi.gov.cn/) 注册登记加入陕西省政府采购投标供应商库。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5.本项目采用“不见面”开标形式，不见面开标系统操作手册下载方式：登录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【全国公共资源交易平台 (陕西省) 】 网站首页选择【服务指南】-【下载专区】 -点击【关于陕西省公共资源交易平台多CA 互认系统正式上线运行的通知】进行下载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榆林市榆阳区环境卫生管理局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榆阳区上郡路9号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0912-8176006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榆林市恒易达工程项目管理有限公司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榆林市高新区安居路14号金叶小区一楼商铺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0912-3448777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纪瑜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15619910006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榆林市恒易达工程项目管理有限公司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Y2I0N2QxYjQzYTVlYTg0NmMxNzBiYmE1YzQyOWYifQ=="/>
  </w:docVars>
  <w:rsids>
    <w:rsidRoot w:val="16374A8C"/>
    <w:rsid w:val="16374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2023-05-06T03:38:00Z</dcterms:created>
  <dc:creator>淡泊宁静</dc:creator>
  <cp:lastModifiedBy>淡泊宁静</cp:lastModifiedBy>
  <dcterms:modified xsi:type="dcterms:W3CDTF">2023-05-06T03:38:21Z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33C4ED7789C441CE82B55855D5FEBD67_11</vt:lpwstr>
  </property>
</Properties>
</file>