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b/>
          <w:bCs/>
          <w:color w:val="auto"/>
          <w:kern w:val="0"/>
          <w:sz w:val="28"/>
          <w:szCs w:val="28"/>
          <w:bdr w:val="none" w:color="auto" w:sz="0" w:space="0"/>
          <w:lang w:val="en-US" w:eastAsia="zh-CN" w:bidi="ar"/>
        </w:rPr>
      </w:pPr>
      <w:r>
        <w:rPr>
          <w:rFonts w:hint="eastAsia" w:asciiTheme="minorEastAsia" w:hAnsiTheme="minorEastAsia" w:eastAsiaTheme="minorEastAsia" w:cstheme="minorEastAsia"/>
          <w:b/>
          <w:bCs/>
          <w:color w:val="auto"/>
          <w:kern w:val="0"/>
          <w:sz w:val="28"/>
          <w:szCs w:val="28"/>
          <w:bdr w:val="none" w:color="auto" w:sz="0" w:space="0"/>
          <w:lang w:val="en-US" w:eastAsia="zh-CN" w:bidi="ar"/>
        </w:rPr>
        <w:t>榆林市人事信息中心数据机房维保服务项目</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kern w:val="0"/>
          <w:sz w:val="28"/>
          <w:szCs w:val="28"/>
          <w:bdr w:val="none" w:color="auto" w:sz="0" w:space="0"/>
          <w:lang w:val="en-US" w:eastAsia="zh-CN" w:bidi="ar"/>
        </w:rPr>
        <w:t>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数据机房维保服务项目</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采购项目的潜在供应商应在</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登录全国公共资源交易中心平台（陕西省）使用CA锁报名后自行下载</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获取采购文件，并于2023年05月19日 14时30分（北京时间）前提交响应文件。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项目编号：SXZC2023-FW-027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项目名称：数据机房维保服务项目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预算金额：770,000.00元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合同包1(榆林市人事信息中心数据机房维保服务项目):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合同包预算金额：770,000.00元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合同包最高限价：770,000.00元</w:t>
      </w:r>
    </w:p>
    <w:tbl>
      <w:tblPr>
        <w:tblW w:w="1584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9"/>
        <w:gridCol w:w="3712"/>
        <w:gridCol w:w="3712"/>
        <w:gridCol w:w="1347"/>
        <w:gridCol w:w="2553"/>
        <w:gridCol w:w="1730"/>
        <w:gridCol w:w="17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其他运行维护服务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770,000.00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770,000.00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合同履行期限：2年（一次招标，招标延用一年）如采购人预算到位，且采购人对成交单位服务评价为优秀的前提下，可续签一年合同。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合同包1(榆林市人事信息中心数据机房维保服务项目)落实政府采购政策需满足的资格要求如下:</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719" w:leftChars="228" w:right="0" w:hanging="240" w:hangingChars="100"/>
        <w:jc w:val="both"/>
        <w:textAlignment w:val="auto"/>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《政府采购促进中小企业发展管理办法》（财库〔2020〕46号）；</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719" w:leftChars="228" w:right="0" w:rightChars="0" w:hanging="240" w:hangingChars="100"/>
        <w:jc w:val="both"/>
        <w:textAlignment w:val="auto"/>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《财政部司法部关于政府采购支持监狱企业发展有关问题的通知》（财库</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128" w:right="0" w:right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〔2014〕68号）；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（3）《财政部、民政部、中国残疾人联合会关于促进残疾人就业政府采购政策的通知》（财库[2017]141号）；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（4）《陕西省中小企业政府采购信用融资办法》（陕财办采〔2018〕23号）；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（5）《关于在政府采购活动中查询及使用信用记录有关问题的通知》（财库〔2016〕125号）；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（6）《榆林市财政局关于进一步加大政府采购支持中小企业力度的通知》（榆政财采发〔2022〕10号)；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（7）《陕西省财政厅关于进一步加大政府采购支持中小企业力度的通知》(陕财采发〔2022〕5号)；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（8）《陕西省财政厅 中国人民银行西安分行关于深人推进政府采购信用融资业务的通知》（陕财办采〔2023]5号）。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合同包1(榆林市人事信息中心数据机房维保服务项目)特定资格要求如下: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财务状况报告：提供2021年度或2022年度的财务审计报告，成立时间至提交谈判响应文件递交截止时间不足一年的可提供成立后任意时段的财务报表或开标前三个月内基本存款账户开户银行出具的资信证明；其他组织和自然人提供银行出具的资信证明或财务报表；</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税收缴纳证明：提供2022年06月01日至今已缴纳的至少一个月的纳税证明（银行缴费凭证）或完税证明（时间以税款所属日期为准、税种须包含增值税或企业所得税或营业税），依法免税的单位应提供相关证明材料；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（4）社会保障资金缴纳证明：提供2022年06月01日至今已缴纳的至少一个月的社会保障资金银行缴费单据或社保机构开具的社会保险参保缴费情况证明，依法不需要缴纳社会保障资金的单位应提供相关证明材料；</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（5）参加政府采购活动前三年内，在经营活动中没有重大违法记录的书面声明；</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（6）提供具有履行合同所必需的设备和专业技术能力的证明资料或承诺书；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（8）投标信用承诺书（保证金）（格式后附）；</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（9）榆林市政府采购服务类项目供应商信用承诺书；</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时间：2023年05月16日至2023年05月18日，每天上午09:00:00 至12:00:00，下午14:00:00至17:00:00（北京时间）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途径：</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截止时间：2023年05月19日 14时30分00秒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地点：</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陕西省公共资源交易平台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时间：2023年05月</w:t>
      </w:r>
      <w:bookmarkStart w:id="0" w:name="_GoBack"/>
      <w:bookmarkEnd w:id="0"/>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19日 14时30分00秒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地点：</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榆林市公共资源交易中心十楼开标室6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自本公告发布之日起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（1）本项目非专门面向中小企业采购；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（2）特别提醒：（1）投标人可登录全国公共资源交易中心平台（陕西省） （http://www.sxggzyjy.cn/）,选择“电子交易平台-陕西政府采购交易系统-陕西省公共资源交易平台-投标人”进行登录，登录后选择“交易乙方”身份进入投标人界面进行报名并免费下载谈判文件；（2）CA 锁购买：榆林市市民大厦四楼窗口,电话：0912-3515031；（3）本项目采用电子化招投标方式和“不见面”开标形式，投标人使用数字认证证书（CA 锁）对谈判响应文件进行签章、加密、递交及开标时解密等相关招投标事宜。投标人应于谈判响应文件递交截止时间前任意时段登录交易平台〖首页〉电子交易平台〉企业端〗在线提交电子谈判响应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谈判响应文件编制时，将在交易平台上同步发布答疑文件，此时投标人应从“项目流程〉答疑文件下载”下载最新发布的答疑文件（*.SXSCF 格式），并使用该文件重新编制电子谈判响应文件（*.SXSTF 格式），使用旧版电子谈判文件或旧版答疑文件制作的电子谈判响应文件，系统将拒绝接收。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名称：</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榆林市人事信息中心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地址：</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榆林市高新区劳动保障大厦4楼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联系方式：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0912-3838699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名称：</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陕西中财招标代理有限公司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地址：</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联系方式：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0912-8101110、13379579900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项目联系人：</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冯莹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电话：</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0912-8101110、13379579900</w:t>
      </w:r>
    </w:p>
    <w:p>
      <w:pPr>
        <w:keepNext w:val="0"/>
        <w:keepLines w:val="0"/>
        <w:widowControl/>
        <w:suppressLineNumbers w:val="0"/>
        <w:wordWrap w:val="0"/>
        <w:spacing w:line="360" w:lineRule="auto"/>
        <w:jc w:val="both"/>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24"/>
          <w:szCs w:val="24"/>
        </w:rPr>
      </w:pPr>
    </w:p>
    <w:sectPr>
      <w:pgSz w:w="11906" w:h="16838"/>
      <w:pgMar w:top="1440" w:right="1576"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3BE9D8"/>
    <w:multiLevelType w:val="singleLevel"/>
    <w:tmpl w:val="D43BE9D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97423"/>
    <w:rsid w:val="3CB97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2023-05-15T09:41:00Z</dcterms:created>
  <dc:creator>xbdqg</dc:creator>
  <cp:lastModifiedBy>xbdqg</cp:lastModifiedBy>
  <dcterms:modified xsi:type="dcterms:W3CDTF">2023-05-15T09:44:20Z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