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tabs>
          <w:tab w:val="left" w:pos="1283"/>
        </w:tabs>
        <w:ind w:right="57" w:rightChars="0"/>
        <w:jc w:val="center"/>
        <w:rPr>
          <w:rFonts w:ascii="仿宋" w:hAnsi="仿宋" w:eastAsia="仿宋" w:cs="仿宋"/>
          <w:highlight w:val="none"/>
        </w:rPr>
      </w:pPr>
      <w:r>
        <w:rPr>
          <w:rFonts w:hint="eastAsia" w:ascii="仿宋" w:hAnsi="仿宋" w:eastAsia="仿宋" w:cs="仿宋"/>
          <w:highlight w:val="none"/>
        </w:rPr>
        <w:t>采购内容及技术需求</w:t>
      </w:r>
      <w:bookmarkStart w:id="36" w:name="_GoBack"/>
      <w:bookmarkEnd w:id="36"/>
    </w:p>
    <w:p>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总体要求</w:t>
      </w:r>
    </w:p>
    <w:p>
      <w:pPr>
        <w:pStyle w:val="2"/>
        <w:numPr>
          <w:ilvl w:val="1"/>
          <w:numId w:val="2"/>
        </w:num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0" w:name="_Toc130889654"/>
      <w:r>
        <w:rPr>
          <w:rFonts w:hint="eastAsia" w:ascii="仿宋" w:hAnsi="仿宋" w:eastAsia="仿宋" w:cs="仿宋"/>
          <w:sz w:val="24"/>
          <w:szCs w:val="24"/>
          <w:highlight w:val="none"/>
        </w:rPr>
        <w:t>定义</w:t>
      </w:r>
      <w:bookmarkEnd w:id="0"/>
    </w:p>
    <w:p>
      <w:pPr>
        <w:spacing w:line="360" w:lineRule="auto"/>
        <w:ind w:left="297" w:leftChars="135" w:firstLine="220" w:firstLineChars="100"/>
        <w:rPr>
          <w:rFonts w:ascii="仿宋" w:hAnsi="仿宋" w:eastAsia="仿宋" w:cs="仿宋"/>
          <w:szCs w:val="21"/>
          <w:highlight w:val="none"/>
        </w:rPr>
      </w:pPr>
      <w:r>
        <w:rPr>
          <w:rFonts w:hint="eastAsia" w:ascii="仿宋" w:hAnsi="仿宋" w:eastAsia="仿宋" w:cs="仿宋"/>
          <w:szCs w:val="21"/>
          <w:highlight w:val="none"/>
        </w:rPr>
        <w:t>甲方：招标方</w:t>
      </w:r>
    </w:p>
    <w:p>
      <w:pPr>
        <w:spacing w:line="360" w:lineRule="auto"/>
        <w:ind w:left="297" w:leftChars="135" w:firstLine="220" w:firstLineChars="100"/>
        <w:rPr>
          <w:rFonts w:ascii="仿宋" w:hAnsi="仿宋" w:eastAsia="仿宋" w:cs="仿宋"/>
          <w:szCs w:val="21"/>
          <w:highlight w:val="none"/>
        </w:rPr>
      </w:pPr>
      <w:r>
        <w:rPr>
          <w:rFonts w:hint="eastAsia" w:ascii="仿宋" w:hAnsi="仿宋" w:eastAsia="仿宋" w:cs="仿宋"/>
          <w:szCs w:val="21"/>
          <w:highlight w:val="none"/>
        </w:rPr>
        <w:t>乙方：投标方</w:t>
      </w:r>
    </w:p>
    <w:p>
      <w:pPr>
        <w:spacing w:line="360" w:lineRule="auto"/>
        <w:ind w:firstLine="330" w:firstLineChars="150"/>
        <w:rPr>
          <w:rFonts w:ascii="仿宋" w:hAnsi="仿宋" w:eastAsia="仿宋" w:cs="仿宋"/>
          <w:szCs w:val="21"/>
          <w:highlight w:val="none"/>
        </w:rPr>
      </w:pPr>
      <w:r>
        <w:rPr>
          <w:rFonts w:hint="eastAsia" w:ascii="仿宋" w:hAnsi="仿宋" w:eastAsia="仿宋" w:cs="仿宋"/>
          <w:szCs w:val="21"/>
          <w:highlight w:val="none"/>
        </w:rPr>
        <w:t>本需求书为甲方IT设备及软件维保服务技术服务的要求。该技术服务要求供乙方编写技术服务应答书之用，投标应答书的内容格式应符合本要求。</w:t>
      </w:r>
    </w:p>
    <w:p>
      <w:pPr>
        <w:spacing w:line="360" w:lineRule="auto"/>
        <w:ind w:firstLine="323" w:firstLineChars="147"/>
        <w:rPr>
          <w:rFonts w:ascii="仿宋" w:hAnsi="仿宋" w:eastAsia="仿宋" w:cs="仿宋"/>
          <w:szCs w:val="21"/>
          <w:highlight w:val="none"/>
        </w:rPr>
      </w:pPr>
      <w:r>
        <w:rPr>
          <w:rFonts w:hint="eastAsia" w:ascii="仿宋" w:hAnsi="仿宋" w:eastAsia="仿宋" w:cs="仿宋"/>
          <w:szCs w:val="21"/>
          <w:highlight w:val="none"/>
        </w:rPr>
        <w:t>本需求书提出的是最低限度的要求，并未对所有技术细节做出规定，也未完全陈述与之有关的规范和标准。乙方应提供符合本规范书和有关标准要求的，经过实践验证的, 符合国家和有关行业最新版本的标准和完全满足技术规范书所规定要求的完整设备维保服务，如有遗漏，乙方应予以补充，否则将认为乙方认同遗漏部分并免费提供。本项目部提供现场勘测和交流。</w:t>
      </w:r>
    </w:p>
    <w:p>
      <w:pPr>
        <w:spacing w:line="360" w:lineRule="auto"/>
        <w:ind w:firstLine="323" w:firstLineChars="147"/>
        <w:rPr>
          <w:rFonts w:ascii="仿宋" w:hAnsi="仿宋" w:eastAsia="仿宋" w:cs="仿宋"/>
          <w:szCs w:val="21"/>
          <w:highlight w:val="none"/>
        </w:rPr>
      </w:pPr>
      <w:r>
        <w:rPr>
          <w:rFonts w:hint="eastAsia" w:ascii="仿宋" w:hAnsi="仿宋" w:eastAsia="仿宋" w:cs="仿宋"/>
          <w:szCs w:val="21"/>
          <w:highlight w:val="none"/>
        </w:rPr>
        <w:t>如果乙方未以书面形式对本需求书提出异议，则意味着乙方提供的信息服务满足本需求书和有关标准的要求。如有异议，不管是多么微小，都应在差异表中技术部分加以详细描述。</w:t>
      </w:r>
    </w:p>
    <w:p>
      <w:pPr>
        <w:spacing w:line="360" w:lineRule="auto"/>
        <w:ind w:firstLine="323" w:firstLineChars="147"/>
        <w:rPr>
          <w:rFonts w:ascii="仿宋" w:hAnsi="仿宋" w:eastAsia="仿宋" w:cs="仿宋"/>
          <w:szCs w:val="21"/>
          <w:highlight w:val="none"/>
        </w:rPr>
      </w:pPr>
      <w:r>
        <w:rPr>
          <w:rFonts w:hint="eastAsia" w:ascii="仿宋" w:hAnsi="仿宋" w:eastAsia="仿宋" w:cs="仿宋"/>
          <w:highlight w:val="none"/>
        </w:rPr>
        <w:t>方案及合同规定的文件，包括图纸、计算、说明、使用手册等，均应使用国际单位制。所有交换文件、工程图纸及相互通讯，均应使用中文。</w:t>
      </w:r>
    </w:p>
    <w:p>
      <w:pPr>
        <w:spacing w:line="360" w:lineRule="auto"/>
        <w:ind w:firstLine="323" w:firstLineChars="147"/>
        <w:rPr>
          <w:rFonts w:ascii="仿宋" w:hAnsi="仿宋" w:eastAsia="仿宋" w:cs="仿宋"/>
          <w:szCs w:val="21"/>
          <w:highlight w:val="none"/>
        </w:rPr>
      </w:pPr>
      <w:r>
        <w:rPr>
          <w:rFonts w:hint="eastAsia" w:ascii="仿宋" w:hAnsi="仿宋" w:eastAsia="仿宋" w:cs="仿宋"/>
          <w:szCs w:val="21"/>
          <w:highlight w:val="none"/>
        </w:rPr>
        <w:t>要求乙方在投标应答书中，按照要求应逐项予以说明和答复。对本技术服务要求各条目的应答为“优于”、“满足”、“不满足”，不得使用“明白”、“理解”“部分满足”等词语。未在文件中提供应答或者应答不完整视为无效。</w:t>
      </w:r>
    </w:p>
    <w:p>
      <w:pPr>
        <w:spacing w:line="360" w:lineRule="auto"/>
        <w:ind w:firstLine="323" w:firstLineChars="147"/>
        <w:rPr>
          <w:rFonts w:ascii="仿宋" w:hAnsi="仿宋" w:eastAsia="仿宋" w:cs="仿宋"/>
          <w:szCs w:val="21"/>
          <w:highlight w:val="none"/>
        </w:rPr>
      </w:pPr>
      <w:r>
        <w:rPr>
          <w:rFonts w:hint="eastAsia" w:ascii="仿宋" w:hAnsi="仿宋" w:eastAsia="仿宋" w:cs="仿宋"/>
          <w:szCs w:val="21"/>
          <w:highlight w:val="none"/>
        </w:rPr>
        <w:t>乙方提供的技术服务必须满足甲方IT设备运行和维护的要求。乙方提供的维保服务和技术支持必须遵照和甲方签订的合同执行，不受设备生产商因设备停产、产品更新和其它因素的影响。</w:t>
      </w:r>
    </w:p>
    <w:p>
      <w:pPr>
        <w:spacing w:line="360" w:lineRule="auto"/>
        <w:ind w:firstLine="323" w:firstLineChars="147"/>
        <w:rPr>
          <w:rFonts w:ascii="仿宋" w:hAnsi="仿宋" w:eastAsia="仿宋" w:cs="仿宋"/>
          <w:szCs w:val="21"/>
          <w:highlight w:val="none"/>
        </w:rPr>
      </w:pPr>
      <w:r>
        <w:rPr>
          <w:rFonts w:hint="eastAsia" w:ascii="仿宋" w:hAnsi="仿宋" w:eastAsia="仿宋" w:cs="仿宋"/>
          <w:szCs w:val="21"/>
          <w:highlight w:val="none"/>
        </w:rPr>
        <w:t>本需求书提出的所有要求，最终解释权归甲方。</w:t>
      </w:r>
    </w:p>
    <w:p>
      <w:pPr>
        <w:pStyle w:val="2"/>
        <w:numPr>
          <w:ilvl w:val="1"/>
          <w:numId w:val="2"/>
        </w:num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1" w:name="_Toc130889655"/>
      <w:r>
        <w:rPr>
          <w:rFonts w:hint="eastAsia" w:ascii="仿宋" w:hAnsi="仿宋" w:eastAsia="仿宋" w:cs="仿宋"/>
          <w:sz w:val="24"/>
          <w:szCs w:val="24"/>
          <w:highlight w:val="none"/>
        </w:rPr>
        <w:t>应答书应包括以下主要内容</w:t>
      </w:r>
      <w:bookmarkEnd w:id="1"/>
    </w:p>
    <w:p>
      <w:pPr>
        <w:spacing w:line="360" w:lineRule="auto"/>
        <w:ind w:firstLine="323" w:firstLineChars="147"/>
        <w:rPr>
          <w:rFonts w:ascii="仿宋" w:hAnsi="仿宋" w:eastAsia="仿宋" w:cs="仿宋"/>
          <w:szCs w:val="21"/>
          <w:highlight w:val="none"/>
        </w:rPr>
      </w:pPr>
      <w:r>
        <w:rPr>
          <w:rFonts w:hint="eastAsia" w:ascii="仿宋" w:hAnsi="仿宋" w:eastAsia="仿宋" w:cs="仿宋"/>
          <w:szCs w:val="21"/>
          <w:highlight w:val="none"/>
        </w:rPr>
        <w:t>对“技术服务要求”的应答；</w:t>
      </w:r>
    </w:p>
    <w:p>
      <w:pPr>
        <w:spacing w:line="360" w:lineRule="auto"/>
        <w:ind w:firstLine="323" w:firstLineChars="147"/>
        <w:rPr>
          <w:rFonts w:ascii="仿宋" w:hAnsi="仿宋" w:eastAsia="仿宋" w:cs="仿宋"/>
          <w:szCs w:val="21"/>
          <w:highlight w:val="none"/>
        </w:rPr>
      </w:pPr>
      <w:r>
        <w:rPr>
          <w:rFonts w:hint="eastAsia" w:ascii="仿宋" w:hAnsi="仿宋" w:eastAsia="仿宋" w:cs="仿宋"/>
          <w:szCs w:val="21"/>
          <w:highlight w:val="none"/>
        </w:rPr>
        <w:t>对商务要求的应答；</w:t>
      </w:r>
    </w:p>
    <w:p>
      <w:pPr>
        <w:spacing w:line="360" w:lineRule="auto"/>
        <w:ind w:firstLine="323" w:firstLineChars="147"/>
        <w:rPr>
          <w:rFonts w:ascii="仿宋" w:hAnsi="仿宋" w:eastAsia="仿宋" w:cs="仿宋"/>
          <w:szCs w:val="21"/>
          <w:highlight w:val="none"/>
        </w:rPr>
      </w:pPr>
      <w:r>
        <w:rPr>
          <w:rFonts w:hint="eastAsia" w:ascii="仿宋" w:hAnsi="仿宋" w:eastAsia="仿宋" w:cs="仿宋"/>
          <w:szCs w:val="21"/>
          <w:highlight w:val="none"/>
        </w:rPr>
        <w:t>对乙方售后服务体系、售后服务方式和内容的介绍；</w:t>
      </w:r>
    </w:p>
    <w:p>
      <w:pPr>
        <w:spacing w:line="360" w:lineRule="auto"/>
        <w:ind w:firstLine="323" w:firstLineChars="147"/>
        <w:rPr>
          <w:rFonts w:ascii="仿宋" w:hAnsi="仿宋" w:eastAsia="仿宋" w:cs="仿宋"/>
          <w:szCs w:val="21"/>
          <w:highlight w:val="none"/>
        </w:rPr>
      </w:pPr>
      <w:r>
        <w:rPr>
          <w:rFonts w:hint="eastAsia" w:ascii="仿宋" w:hAnsi="仿宋" w:eastAsia="仿宋" w:cs="仿宋"/>
          <w:szCs w:val="21"/>
          <w:highlight w:val="none"/>
        </w:rPr>
        <w:t>乙方不同级别服务在设备发生故障后的服务流程说明；</w:t>
      </w:r>
    </w:p>
    <w:p>
      <w:pPr>
        <w:spacing w:line="360" w:lineRule="auto"/>
        <w:ind w:firstLine="323" w:firstLineChars="147"/>
        <w:rPr>
          <w:rFonts w:ascii="仿宋" w:hAnsi="仿宋" w:eastAsia="仿宋" w:cs="仿宋"/>
          <w:szCs w:val="21"/>
          <w:highlight w:val="none"/>
        </w:rPr>
      </w:pPr>
      <w:r>
        <w:rPr>
          <w:rFonts w:hint="eastAsia" w:ascii="仿宋" w:hAnsi="仿宋" w:eastAsia="仿宋" w:cs="仿宋"/>
          <w:szCs w:val="21"/>
          <w:highlight w:val="none"/>
        </w:rPr>
        <w:t>其它</w:t>
      </w:r>
    </w:p>
    <w:p>
      <w:pPr>
        <w:pStyle w:val="2"/>
        <w:numPr>
          <w:ilvl w:val="1"/>
          <w:numId w:val="2"/>
        </w:num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2" w:name="_Toc130889656"/>
      <w:r>
        <w:rPr>
          <w:rFonts w:hint="eastAsia" w:ascii="仿宋" w:hAnsi="仿宋" w:eastAsia="仿宋" w:cs="仿宋"/>
          <w:sz w:val="24"/>
          <w:szCs w:val="24"/>
          <w:highlight w:val="none"/>
        </w:rPr>
        <w:t>维保期限及付款</w:t>
      </w:r>
      <w:bookmarkEnd w:id="2"/>
    </w:p>
    <w:p>
      <w:pPr>
        <w:tabs>
          <w:tab w:val="left" w:pos="540"/>
        </w:tabs>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乙方中标后在和甲方合同签订后一年。中标金额为服务内容的全部费用。付款时间和比例在中标后和甲方签订合同前协商。</w:t>
      </w:r>
    </w:p>
    <w:p>
      <w:pPr>
        <w:pStyle w:val="2"/>
        <w:numPr>
          <w:ilvl w:val="1"/>
          <w:numId w:val="2"/>
        </w:numPr>
        <w:spacing w:line="360" w:lineRule="auto"/>
        <w:rPr>
          <w:rFonts w:ascii="仿宋" w:hAnsi="仿宋" w:eastAsia="仿宋" w:cs="仿宋"/>
          <w:sz w:val="24"/>
          <w:szCs w:val="24"/>
          <w:highlight w:val="none"/>
        </w:rPr>
      </w:pPr>
      <w:bookmarkStart w:id="3" w:name="_Toc130889657"/>
      <w:r>
        <w:rPr>
          <w:rFonts w:hint="eastAsia" w:ascii="仿宋" w:hAnsi="仿宋" w:eastAsia="仿宋" w:cs="仿宋"/>
          <w:sz w:val="24"/>
          <w:szCs w:val="24"/>
          <w:highlight w:val="none"/>
        </w:rPr>
        <w:t xml:space="preserve"> 维保设备清单</w:t>
      </w:r>
      <w:bookmarkEnd w:id="3"/>
    </w:p>
    <w:p>
      <w:pPr>
        <w:spacing w:line="360" w:lineRule="auto"/>
        <w:ind w:firstLine="435"/>
        <w:rPr>
          <w:rFonts w:ascii="仿宋" w:hAnsi="仿宋" w:eastAsia="仿宋" w:cs="仿宋"/>
          <w:szCs w:val="21"/>
          <w:highlight w:val="none"/>
        </w:rPr>
      </w:pPr>
      <w:r>
        <w:rPr>
          <w:rFonts w:hint="eastAsia" w:ascii="仿宋" w:hAnsi="仿宋" w:eastAsia="仿宋" w:cs="仿宋"/>
          <w:szCs w:val="21"/>
          <w:highlight w:val="none"/>
        </w:rPr>
        <w:t>保硬件设备清单（包括但不限于）：</w:t>
      </w:r>
    </w:p>
    <w:tbl>
      <w:tblPr>
        <w:tblStyle w:val="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4"/>
        <w:gridCol w:w="2339"/>
        <w:gridCol w:w="1063"/>
        <w:gridCol w:w="1459"/>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09" w:type="dxa"/>
            <w:vAlign w:val="center"/>
          </w:tcPr>
          <w:p>
            <w:pPr>
              <w:widowControl/>
              <w:spacing w:line="360" w:lineRule="auto"/>
              <w:jc w:val="center"/>
              <w:rPr>
                <w:rFonts w:ascii="仿宋" w:hAnsi="仿宋" w:eastAsia="仿宋" w:cs="仿宋"/>
                <w:b/>
                <w:bCs/>
                <w:sz w:val="20"/>
                <w:highlight w:val="none"/>
              </w:rPr>
            </w:pPr>
            <w:r>
              <w:rPr>
                <w:rFonts w:hint="eastAsia" w:ascii="仿宋" w:hAnsi="仿宋" w:eastAsia="仿宋" w:cs="仿宋"/>
                <w:b/>
                <w:bCs/>
                <w:sz w:val="20"/>
                <w:highlight w:val="none"/>
              </w:rPr>
              <w:t>序号</w:t>
            </w:r>
          </w:p>
        </w:tc>
        <w:tc>
          <w:tcPr>
            <w:tcW w:w="1234" w:type="dxa"/>
            <w:vAlign w:val="center"/>
          </w:tcPr>
          <w:p>
            <w:pPr>
              <w:widowControl/>
              <w:spacing w:line="360" w:lineRule="auto"/>
              <w:jc w:val="center"/>
              <w:rPr>
                <w:rFonts w:ascii="仿宋" w:hAnsi="仿宋" w:eastAsia="仿宋" w:cs="仿宋"/>
                <w:b/>
                <w:bCs/>
                <w:sz w:val="20"/>
                <w:highlight w:val="none"/>
              </w:rPr>
            </w:pPr>
            <w:r>
              <w:rPr>
                <w:rFonts w:hint="eastAsia" w:ascii="仿宋" w:hAnsi="仿宋" w:eastAsia="仿宋" w:cs="仿宋"/>
                <w:b/>
                <w:bCs/>
                <w:sz w:val="20"/>
                <w:highlight w:val="none"/>
              </w:rPr>
              <w:t>名称</w:t>
            </w:r>
          </w:p>
        </w:tc>
        <w:tc>
          <w:tcPr>
            <w:tcW w:w="2339" w:type="dxa"/>
            <w:vAlign w:val="center"/>
          </w:tcPr>
          <w:p>
            <w:pPr>
              <w:widowControl/>
              <w:spacing w:line="360" w:lineRule="auto"/>
              <w:jc w:val="center"/>
              <w:rPr>
                <w:rFonts w:ascii="仿宋" w:hAnsi="仿宋" w:eastAsia="仿宋" w:cs="仿宋"/>
                <w:b/>
                <w:bCs/>
                <w:sz w:val="20"/>
                <w:highlight w:val="none"/>
              </w:rPr>
            </w:pPr>
            <w:r>
              <w:rPr>
                <w:rFonts w:hint="eastAsia" w:ascii="仿宋" w:hAnsi="仿宋" w:eastAsia="仿宋" w:cs="仿宋"/>
                <w:b/>
                <w:bCs/>
                <w:sz w:val="20"/>
                <w:highlight w:val="none"/>
              </w:rPr>
              <w:t>描述</w:t>
            </w:r>
          </w:p>
        </w:tc>
        <w:tc>
          <w:tcPr>
            <w:tcW w:w="1063" w:type="dxa"/>
            <w:vAlign w:val="center"/>
          </w:tcPr>
          <w:p>
            <w:pPr>
              <w:widowControl/>
              <w:spacing w:line="360" w:lineRule="auto"/>
              <w:jc w:val="center"/>
              <w:rPr>
                <w:rFonts w:ascii="仿宋" w:hAnsi="仿宋" w:eastAsia="仿宋" w:cs="仿宋"/>
                <w:b/>
                <w:bCs/>
                <w:sz w:val="20"/>
                <w:highlight w:val="none"/>
              </w:rPr>
            </w:pPr>
            <w:r>
              <w:rPr>
                <w:rFonts w:hint="eastAsia" w:ascii="仿宋" w:hAnsi="仿宋" w:eastAsia="仿宋" w:cs="仿宋"/>
                <w:b/>
                <w:bCs/>
                <w:sz w:val="20"/>
                <w:highlight w:val="none"/>
              </w:rPr>
              <w:t>数量</w:t>
            </w:r>
          </w:p>
        </w:tc>
        <w:tc>
          <w:tcPr>
            <w:tcW w:w="1459" w:type="dxa"/>
            <w:vAlign w:val="center"/>
          </w:tcPr>
          <w:p>
            <w:pPr>
              <w:widowControl/>
              <w:spacing w:line="360" w:lineRule="auto"/>
              <w:jc w:val="center"/>
              <w:rPr>
                <w:rFonts w:ascii="仿宋" w:hAnsi="仿宋" w:eastAsia="仿宋" w:cs="仿宋"/>
                <w:b/>
                <w:bCs/>
                <w:sz w:val="20"/>
                <w:highlight w:val="none"/>
              </w:rPr>
            </w:pPr>
            <w:r>
              <w:rPr>
                <w:rFonts w:hint="eastAsia" w:ascii="仿宋" w:hAnsi="仿宋" w:eastAsia="仿宋" w:cs="仿宋"/>
                <w:b/>
                <w:bCs/>
                <w:sz w:val="20"/>
                <w:highlight w:val="none"/>
              </w:rPr>
              <w:t>服务级别</w:t>
            </w:r>
          </w:p>
        </w:tc>
        <w:tc>
          <w:tcPr>
            <w:tcW w:w="1560" w:type="dxa"/>
            <w:vAlign w:val="center"/>
          </w:tcPr>
          <w:p>
            <w:pPr>
              <w:widowControl/>
              <w:spacing w:line="360" w:lineRule="auto"/>
              <w:jc w:val="center"/>
              <w:rPr>
                <w:rFonts w:ascii="仿宋" w:hAnsi="仿宋" w:eastAsia="仿宋" w:cs="仿宋"/>
                <w:b/>
                <w:bCs/>
                <w:sz w:val="20"/>
                <w:highlight w:val="none"/>
              </w:rPr>
            </w:pPr>
            <w:r>
              <w:rPr>
                <w:rFonts w:hint="eastAsia" w:ascii="仿宋" w:hAnsi="仿宋" w:eastAsia="仿宋" w:cs="仿宋"/>
                <w:b/>
                <w:bCs/>
                <w:sz w:val="20"/>
                <w:highlight w:val="none"/>
              </w:rPr>
              <w:t>使用年份</w:t>
            </w:r>
          </w:p>
        </w:tc>
        <w:tc>
          <w:tcPr>
            <w:tcW w:w="1560" w:type="dxa"/>
          </w:tcPr>
          <w:p>
            <w:pPr>
              <w:widowControl/>
              <w:spacing w:line="360" w:lineRule="auto"/>
              <w:jc w:val="center"/>
              <w:rPr>
                <w:rFonts w:ascii="仿宋" w:hAnsi="仿宋" w:eastAsia="仿宋" w:cs="仿宋"/>
                <w:b/>
                <w:bCs/>
                <w:sz w:val="20"/>
                <w:highlight w:val="none"/>
              </w:rPr>
            </w:pPr>
          </w:p>
          <w:p>
            <w:pPr>
              <w:widowControl/>
              <w:spacing w:line="360" w:lineRule="auto"/>
              <w:jc w:val="center"/>
              <w:rPr>
                <w:rFonts w:ascii="仿宋" w:hAnsi="仿宋" w:eastAsia="仿宋" w:cs="仿宋"/>
                <w:b/>
                <w:bCs/>
                <w:sz w:val="20"/>
                <w:highlight w:val="none"/>
              </w:rPr>
            </w:pPr>
            <w:r>
              <w:rPr>
                <w:rFonts w:hint="eastAsia" w:ascii="仿宋" w:hAnsi="仿宋" w:eastAsia="仿宋" w:cs="仿宋"/>
                <w:b/>
                <w:bCs/>
                <w:sz w:val="20"/>
                <w:highlight w:val="none"/>
              </w:rPr>
              <w:t>是否有原厂质保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9"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234"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小型机</w:t>
            </w:r>
          </w:p>
        </w:tc>
        <w:tc>
          <w:tcPr>
            <w:tcW w:w="2339" w:type="dxa"/>
            <w:shd w:val="clear" w:color="000000" w:fill="FFFFFF"/>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IBM P550</w:t>
            </w:r>
          </w:p>
          <w:p>
            <w:pPr>
              <w:widowControl/>
              <w:spacing w:line="360" w:lineRule="auto"/>
              <w:jc w:val="center"/>
              <w:rPr>
                <w:rFonts w:ascii="仿宋" w:hAnsi="仿宋" w:eastAsia="仿宋" w:cs="仿宋"/>
                <w:sz w:val="20"/>
                <w:highlight w:val="none"/>
              </w:rPr>
            </w:pPr>
          </w:p>
        </w:tc>
        <w:tc>
          <w:tcPr>
            <w:tcW w:w="1063"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2</w:t>
            </w:r>
          </w:p>
        </w:tc>
        <w:tc>
          <w:tcPr>
            <w:tcW w:w="1459"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7*24</w:t>
            </w:r>
          </w:p>
        </w:tc>
        <w:tc>
          <w:tcPr>
            <w:tcW w:w="1560"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2010</w:t>
            </w:r>
          </w:p>
        </w:tc>
        <w:tc>
          <w:tcPr>
            <w:tcW w:w="1560" w:type="dxa"/>
          </w:tcPr>
          <w:p>
            <w:pPr>
              <w:widowControl/>
              <w:spacing w:line="360" w:lineRule="auto"/>
              <w:jc w:val="center"/>
              <w:rPr>
                <w:rFonts w:ascii="仿宋" w:hAnsi="仿宋" w:eastAsia="仿宋" w:cs="仿宋"/>
                <w:sz w:val="20"/>
                <w:highlight w:val="none"/>
              </w:rPr>
            </w:pPr>
          </w:p>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9"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2</w:t>
            </w:r>
          </w:p>
        </w:tc>
        <w:tc>
          <w:tcPr>
            <w:tcW w:w="1234"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光纤交换机</w:t>
            </w:r>
          </w:p>
        </w:tc>
        <w:tc>
          <w:tcPr>
            <w:tcW w:w="2339" w:type="dxa"/>
            <w:shd w:val="clear" w:color="000000" w:fill="FFFFFF"/>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IBM 2498-B24</w:t>
            </w:r>
          </w:p>
        </w:tc>
        <w:tc>
          <w:tcPr>
            <w:tcW w:w="1063"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2</w:t>
            </w:r>
          </w:p>
        </w:tc>
        <w:tc>
          <w:tcPr>
            <w:tcW w:w="1459"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7*24</w:t>
            </w:r>
          </w:p>
        </w:tc>
        <w:tc>
          <w:tcPr>
            <w:tcW w:w="1560"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2018</w:t>
            </w:r>
          </w:p>
        </w:tc>
        <w:tc>
          <w:tcPr>
            <w:tcW w:w="1560" w:type="dxa"/>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9"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3</w:t>
            </w:r>
          </w:p>
        </w:tc>
        <w:tc>
          <w:tcPr>
            <w:tcW w:w="1234"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存储及扩展柜</w:t>
            </w:r>
          </w:p>
        </w:tc>
        <w:tc>
          <w:tcPr>
            <w:tcW w:w="2339" w:type="dxa"/>
            <w:shd w:val="clear" w:color="000000" w:fill="FFFFFF"/>
            <w:vAlign w:val="center"/>
          </w:tcPr>
          <w:p>
            <w:pPr>
              <w:widowControl/>
              <w:spacing w:line="360" w:lineRule="auto"/>
              <w:ind w:firstLine="400" w:firstLineChars="200"/>
              <w:rPr>
                <w:rFonts w:ascii="仿宋" w:hAnsi="仿宋" w:eastAsia="仿宋" w:cs="仿宋"/>
                <w:sz w:val="20"/>
                <w:highlight w:val="none"/>
              </w:rPr>
            </w:pPr>
            <w:r>
              <w:rPr>
                <w:rFonts w:hint="eastAsia" w:ascii="仿宋" w:hAnsi="仿宋" w:eastAsia="仿宋" w:cs="仿宋"/>
                <w:sz w:val="20"/>
                <w:highlight w:val="none"/>
              </w:rPr>
              <w:t>IBM DS4700</w:t>
            </w:r>
          </w:p>
          <w:p>
            <w:pPr>
              <w:widowControl/>
              <w:spacing w:line="360" w:lineRule="auto"/>
              <w:jc w:val="center"/>
              <w:rPr>
                <w:rFonts w:ascii="仿宋" w:hAnsi="仿宋" w:eastAsia="仿宋" w:cs="仿宋"/>
                <w:sz w:val="20"/>
                <w:highlight w:val="none"/>
              </w:rPr>
            </w:pPr>
          </w:p>
        </w:tc>
        <w:tc>
          <w:tcPr>
            <w:tcW w:w="1063"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459"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7*24</w:t>
            </w:r>
          </w:p>
        </w:tc>
        <w:tc>
          <w:tcPr>
            <w:tcW w:w="1560"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2010</w:t>
            </w:r>
          </w:p>
        </w:tc>
        <w:tc>
          <w:tcPr>
            <w:tcW w:w="1560" w:type="dxa"/>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9"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4</w:t>
            </w:r>
          </w:p>
        </w:tc>
        <w:tc>
          <w:tcPr>
            <w:tcW w:w="1234"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刀片服务器</w:t>
            </w:r>
          </w:p>
        </w:tc>
        <w:tc>
          <w:tcPr>
            <w:tcW w:w="2339" w:type="dxa"/>
            <w:shd w:val="clear" w:color="000000" w:fill="FFFFFF"/>
            <w:vAlign w:val="center"/>
          </w:tcPr>
          <w:p>
            <w:pPr>
              <w:widowControl/>
              <w:spacing w:line="360" w:lineRule="auto"/>
              <w:ind w:firstLine="700" w:firstLineChars="350"/>
              <w:rPr>
                <w:rFonts w:ascii="仿宋" w:hAnsi="仿宋" w:eastAsia="仿宋" w:cs="仿宋"/>
                <w:sz w:val="20"/>
                <w:highlight w:val="none"/>
              </w:rPr>
            </w:pPr>
            <w:r>
              <w:rPr>
                <w:rFonts w:hint="eastAsia" w:ascii="仿宋" w:hAnsi="仿宋" w:eastAsia="仿宋" w:cs="仿宋"/>
                <w:sz w:val="20"/>
                <w:highlight w:val="none"/>
              </w:rPr>
              <w:t>IBM H22</w:t>
            </w:r>
          </w:p>
        </w:tc>
        <w:tc>
          <w:tcPr>
            <w:tcW w:w="1063"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24</w:t>
            </w:r>
          </w:p>
        </w:tc>
        <w:tc>
          <w:tcPr>
            <w:tcW w:w="1459"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7*24</w:t>
            </w:r>
          </w:p>
        </w:tc>
        <w:tc>
          <w:tcPr>
            <w:tcW w:w="1560"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2010</w:t>
            </w:r>
          </w:p>
        </w:tc>
        <w:tc>
          <w:tcPr>
            <w:tcW w:w="1560" w:type="dxa"/>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09"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5</w:t>
            </w:r>
          </w:p>
        </w:tc>
        <w:tc>
          <w:tcPr>
            <w:tcW w:w="1234"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服务器</w:t>
            </w:r>
          </w:p>
        </w:tc>
        <w:tc>
          <w:tcPr>
            <w:tcW w:w="2339" w:type="dxa"/>
            <w:shd w:val="clear" w:color="000000" w:fill="FFFFFF"/>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IBM X3850X5</w:t>
            </w:r>
          </w:p>
        </w:tc>
        <w:tc>
          <w:tcPr>
            <w:tcW w:w="1063"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459"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7*24</w:t>
            </w:r>
          </w:p>
        </w:tc>
        <w:tc>
          <w:tcPr>
            <w:tcW w:w="1560"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2015</w:t>
            </w:r>
          </w:p>
        </w:tc>
        <w:tc>
          <w:tcPr>
            <w:tcW w:w="1560" w:type="dxa"/>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09" w:type="dxa"/>
            <w:shd w:val="clear" w:color="auto" w:fill="auto"/>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6</w:t>
            </w:r>
          </w:p>
        </w:tc>
        <w:tc>
          <w:tcPr>
            <w:tcW w:w="1234" w:type="dxa"/>
            <w:shd w:val="clear" w:color="auto" w:fill="auto"/>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服务器</w:t>
            </w:r>
          </w:p>
        </w:tc>
        <w:tc>
          <w:tcPr>
            <w:tcW w:w="2339" w:type="dxa"/>
            <w:shd w:val="clear" w:color="000000" w:fill="FFFFFF"/>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IBM X3850X6</w:t>
            </w:r>
          </w:p>
        </w:tc>
        <w:tc>
          <w:tcPr>
            <w:tcW w:w="1063"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459"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7*24</w:t>
            </w:r>
          </w:p>
        </w:tc>
        <w:tc>
          <w:tcPr>
            <w:tcW w:w="1560"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2018</w:t>
            </w:r>
          </w:p>
        </w:tc>
        <w:tc>
          <w:tcPr>
            <w:tcW w:w="1560" w:type="dxa"/>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09" w:type="dxa"/>
            <w:shd w:val="clear" w:color="auto" w:fill="auto"/>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7</w:t>
            </w:r>
          </w:p>
        </w:tc>
        <w:tc>
          <w:tcPr>
            <w:tcW w:w="1234" w:type="dxa"/>
            <w:shd w:val="clear" w:color="auto" w:fill="auto"/>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服务器</w:t>
            </w:r>
          </w:p>
        </w:tc>
        <w:tc>
          <w:tcPr>
            <w:tcW w:w="2339" w:type="dxa"/>
            <w:shd w:val="clear" w:color="000000" w:fill="FFFFFF"/>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联想SR530</w:t>
            </w:r>
          </w:p>
        </w:tc>
        <w:tc>
          <w:tcPr>
            <w:tcW w:w="1063"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459"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7*24</w:t>
            </w:r>
          </w:p>
        </w:tc>
        <w:tc>
          <w:tcPr>
            <w:tcW w:w="1560"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2022</w:t>
            </w:r>
          </w:p>
        </w:tc>
        <w:tc>
          <w:tcPr>
            <w:tcW w:w="1560" w:type="dxa"/>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9"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8</w:t>
            </w:r>
          </w:p>
        </w:tc>
        <w:tc>
          <w:tcPr>
            <w:tcW w:w="1234"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交换机</w:t>
            </w:r>
          </w:p>
        </w:tc>
        <w:tc>
          <w:tcPr>
            <w:tcW w:w="2339" w:type="dxa"/>
            <w:shd w:val="clear" w:color="000000" w:fill="FFFFFF"/>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华为S9312</w:t>
            </w:r>
          </w:p>
        </w:tc>
        <w:tc>
          <w:tcPr>
            <w:tcW w:w="1063"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459"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7*24</w:t>
            </w:r>
          </w:p>
        </w:tc>
        <w:tc>
          <w:tcPr>
            <w:tcW w:w="1560"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2010</w:t>
            </w:r>
          </w:p>
        </w:tc>
        <w:tc>
          <w:tcPr>
            <w:tcW w:w="1560" w:type="dxa"/>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09"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9</w:t>
            </w:r>
          </w:p>
        </w:tc>
        <w:tc>
          <w:tcPr>
            <w:tcW w:w="1234"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交换机</w:t>
            </w:r>
          </w:p>
        </w:tc>
        <w:tc>
          <w:tcPr>
            <w:tcW w:w="2339" w:type="dxa"/>
            <w:shd w:val="clear" w:color="000000" w:fill="FFFFFF"/>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华为 S9303</w:t>
            </w:r>
          </w:p>
        </w:tc>
        <w:tc>
          <w:tcPr>
            <w:tcW w:w="1063"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459"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7*24</w:t>
            </w:r>
          </w:p>
        </w:tc>
        <w:tc>
          <w:tcPr>
            <w:tcW w:w="1560"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2016</w:t>
            </w:r>
          </w:p>
        </w:tc>
        <w:tc>
          <w:tcPr>
            <w:tcW w:w="1560" w:type="dxa"/>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09" w:type="dxa"/>
            <w:shd w:val="clear" w:color="auto" w:fill="auto"/>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10</w:t>
            </w:r>
          </w:p>
        </w:tc>
        <w:tc>
          <w:tcPr>
            <w:tcW w:w="1234" w:type="dxa"/>
            <w:shd w:val="clear" w:color="auto" w:fill="auto"/>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上网行为管理</w:t>
            </w:r>
          </w:p>
        </w:tc>
        <w:tc>
          <w:tcPr>
            <w:tcW w:w="2339" w:type="dxa"/>
            <w:shd w:val="clear" w:color="000000" w:fill="FFFFFF"/>
            <w:vAlign w:val="center"/>
          </w:tcPr>
          <w:p>
            <w:pPr>
              <w:spacing w:line="360" w:lineRule="auto"/>
              <w:jc w:val="center"/>
              <w:rPr>
                <w:rFonts w:ascii="仿宋" w:hAnsi="仿宋" w:eastAsia="仿宋" w:cs="仿宋"/>
                <w:sz w:val="20"/>
                <w:highlight w:val="none"/>
              </w:rPr>
            </w:pPr>
            <w:r>
              <w:rPr>
                <w:rFonts w:hint="eastAsia" w:ascii="仿宋" w:hAnsi="仿宋" w:eastAsia="仿宋" w:cs="仿宋"/>
                <w:color w:val="000000"/>
                <w:sz w:val="20"/>
                <w:highlight w:val="none"/>
              </w:rPr>
              <w:t>SANGFOR</w:t>
            </w:r>
          </w:p>
        </w:tc>
        <w:tc>
          <w:tcPr>
            <w:tcW w:w="1063"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459"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7*24</w:t>
            </w:r>
          </w:p>
        </w:tc>
        <w:tc>
          <w:tcPr>
            <w:tcW w:w="1560"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2016</w:t>
            </w:r>
          </w:p>
        </w:tc>
        <w:tc>
          <w:tcPr>
            <w:tcW w:w="1560" w:type="dxa"/>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09" w:type="dxa"/>
            <w:shd w:val="clear" w:color="auto" w:fill="auto"/>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11</w:t>
            </w:r>
          </w:p>
        </w:tc>
        <w:tc>
          <w:tcPr>
            <w:tcW w:w="1234" w:type="dxa"/>
            <w:shd w:val="clear" w:color="auto" w:fill="auto"/>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数据库审计</w:t>
            </w:r>
          </w:p>
        </w:tc>
        <w:tc>
          <w:tcPr>
            <w:tcW w:w="2339" w:type="dxa"/>
            <w:shd w:val="clear" w:color="000000" w:fill="FFFFFF"/>
            <w:vAlign w:val="center"/>
          </w:tcPr>
          <w:p>
            <w:pPr>
              <w:spacing w:line="360" w:lineRule="auto"/>
              <w:jc w:val="center"/>
              <w:rPr>
                <w:rFonts w:ascii="仿宋" w:hAnsi="仿宋" w:eastAsia="仿宋" w:cs="仿宋"/>
                <w:sz w:val="20"/>
                <w:highlight w:val="none"/>
              </w:rPr>
            </w:pPr>
            <w:r>
              <w:rPr>
                <w:rFonts w:hint="eastAsia" w:ascii="仿宋" w:hAnsi="仿宋" w:eastAsia="仿宋" w:cs="仿宋"/>
                <w:color w:val="000000"/>
                <w:sz w:val="20"/>
                <w:highlight w:val="none"/>
              </w:rPr>
              <w:t>360网神</w:t>
            </w:r>
          </w:p>
        </w:tc>
        <w:tc>
          <w:tcPr>
            <w:tcW w:w="1063"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459"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7*24</w:t>
            </w:r>
          </w:p>
        </w:tc>
        <w:tc>
          <w:tcPr>
            <w:tcW w:w="1560"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2016</w:t>
            </w:r>
          </w:p>
        </w:tc>
        <w:tc>
          <w:tcPr>
            <w:tcW w:w="1560" w:type="dxa"/>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709" w:type="dxa"/>
            <w:shd w:val="clear" w:color="auto" w:fill="auto"/>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12</w:t>
            </w:r>
          </w:p>
        </w:tc>
        <w:tc>
          <w:tcPr>
            <w:tcW w:w="1234" w:type="dxa"/>
            <w:shd w:val="clear" w:color="auto" w:fill="auto"/>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防火墙</w:t>
            </w:r>
          </w:p>
        </w:tc>
        <w:tc>
          <w:tcPr>
            <w:tcW w:w="2339" w:type="dxa"/>
            <w:shd w:val="clear" w:color="000000" w:fill="FFFFFF"/>
            <w:vAlign w:val="center"/>
          </w:tcPr>
          <w:p>
            <w:pPr>
              <w:spacing w:line="360" w:lineRule="auto"/>
              <w:jc w:val="center"/>
              <w:rPr>
                <w:rFonts w:ascii="仿宋" w:hAnsi="仿宋" w:eastAsia="仿宋" w:cs="仿宋"/>
                <w:sz w:val="20"/>
                <w:highlight w:val="none"/>
              </w:rPr>
            </w:pPr>
            <w:r>
              <w:rPr>
                <w:rFonts w:hint="eastAsia" w:ascii="仿宋" w:hAnsi="仿宋" w:eastAsia="仿宋" w:cs="仿宋"/>
                <w:color w:val="000000"/>
                <w:sz w:val="20"/>
                <w:highlight w:val="none"/>
              </w:rPr>
              <w:t>网御星云</w:t>
            </w:r>
          </w:p>
        </w:tc>
        <w:tc>
          <w:tcPr>
            <w:tcW w:w="1063"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459"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7*24</w:t>
            </w:r>
          </w:p>
        </w:tc>
        <w:tc>
          <w:tcPr>
            <w:tcW w:w="1560"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2015</w:t>
            </w:r>
          </w:p>
        </w:tc>
        <w:tc>
          <w:tcPr>
            <w:tcW w:w="1560" w:type="dxa"/>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09" w:type="dxa"/>
            <w:shd w:val="clear" w:color="auto" w:fill="auto"/>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13</w:t>
            </w:r>
          </w:p>
        </w:tc>
        <w:tc>
          <w:tcPr>
            <w:tcW w:w="1234" w:type="dxa"/>
            <w:shd w:val="clear" w:color="auto" w:fill="auto"/>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桌面终端管理</w:t>
            </w:r>
          </w:p>
        </w:tc>
        <w:tc>
          <w:tcPr>
            <w:tcW w:w="2339" w:type="dxa"/>
            <w:shd w:val="clear" w:color="000000" w:fill="FFFFFF"/>
            <w:vAlign w:val="center"/>
          </w:tcPr>
          <w:p>
            <w:pPr>
              <w:spacing w:line="360" w:lineRule="auto"/>
              <w:jc w:val="center"/>
              <w:rPr>
                <w:rFonts w:ascii="仿宋" w:hAnsi="仿宋" w:eastAsia="仿宋" w:cs="仿宋"/>
                <w:highlight w:val="none"/>
              </w:rPr>
            </w:pPr>
            <w:r>
              <w:rPr>
                <w:rFonts w:hint="eastAsia" w:ascii="仿宋" w:hAnsi="仿宋" w:eastAsia="仿宋" w:cs="仿宋"/>
                <w:color w:val="000000"/>
                <w:sz w:val="20"/>
                <w:highlight w:val="none"/>
              </w:rPr>
              <w:t>通软桌面终端</w:t>
            </w:r>
          </w:p>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2</w:t>
            </w:r>
          </w:p>
        </w:tc>
        <w:tc>
          <w:tcPr>
            <w:tcW w:w="1459"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7*24</w:t>
            </w:r>
          </w:p>
        </w:tc>
        <w:tc>
          <w:tcPr>
            <w:tcW w:w="1560"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2021</w:t>
            </w:r>
          </w:p>
        </w:tc>
        <w:tc>
          <w:tcPr>
            <w:tcW w:w="1560" w:type="dxa"/>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9" w:type="dxa"/>
            <w:shd w:val="clear" w:color="auto" w:fill="auto"/>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14</w:t>
            </w:r>
          </w:p>
        </w:tc>
        <w:tc>
          <w:tcPr>
            <w:tcW w:w="1234" w:type="dxa"/>
            <w:shd w:val="clear" w:color="auto" w:fill="auto"/>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负载均衡</w:t>
            </w:r>
          </w:p>
        </w:tc>
        <w:tc>
          <w:tcPr>
            <w:tcW w:w="2339" w:type="dxa"/>
            <w:shd w:val="clear" w:color="000000" w:fill="FFFFFF"/>
            <w:vAlign w:val="center"/>
          </w:tcPr>
          <w:p>
            <w:pPr>
              <w:spacing w:line="360" w:lineRule="auto"/>
              <w:jc w:val="center"/>
              <w:rPr>
                <w:rFonts w:ascii="仿宋" w:hAnsi="仿宋" w:eastAsia="仿宋" w:cs="仿宋"/>
                <w:color w:val="000000"/>
                <w:sz w:val="20"/>
                <w:highlight w:val="none"/>
              </w:rPr>
            </w:pPr>
            <w:r>
              <w:rPr>
                <w:rFonts w:hint="eastAsia" w:ascii="仿宋" w:hAnsi="仿宋" w:eastAsia="仿宋" w:cs="仿宋"/>
                <w:color w:val="000000"/>
                <w:sz w:val="20"/>
                <w:highlight w:val="none"/>
              </w:rPr>
              <w:t>A10</w:t>
            </w:r>
          </w:p>
        </w:tc>
        <w:tc>
          <w:tcPr>
            <w:tcW w:w="1063"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2</w:t>
            </w:r>
          </w:p>
        </w:tc>
        <w:tc>
          <w:tcPr>
            <w:tcW w:w="1459"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7*24</w:t>
            </w:r>
          </w:p>
        </w:tc>
        <w:tc>
          <w:tcPr>
            <w:tcW w:w="1560"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2017</w:t>
            </w:r>
          </w:p>
        </w:tc>
        <w:tc>
          <w:tcPr>
            <w:tcW w:w="1560" w:type="dxa"/>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9" w:type="dxa"/>
            <w:shd w:val="clear" w:color="auto" w:fill="auto"/>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15</w:t>
            </w:r>
          </w:p>
        </w:tc>
        <w:tc>
          <w:tcPr>
            <w:tcW w:w="1234" w:type="dxa"/>
            <w:shd w:val="clear" w:color="auto" w:fill="auto"/>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日志服务器</w:t>
            </w:r>
          </w:p>
        </w:tc>
        <w:tc>
          <w:tcPr>
            <w:tcW w:w="2339" w:type="dxa"/>
            <w:shd w:val="clear" w:color="000000" w:fill="FFFFFF"/>
            <w:vAlign w:val="center"/>
          </w:tcPr>
          <w:p>
            <w:pPr>
              <w:spacing w:line="360" w:lineRule="auto"/>
              <w:jc w:val="center"/>
              <w:rPr>
                <w:rFonts w:ascii="仿宋" w:hAnsi="仿宋" w:eastAsia="仿宋" w:cs="仿宋"/>
                <w:color w:val="000000"/>
                <w:sz w:val="20"/>
                <w:highlight w:val="none"/>
              </w:rPr>
            </w:pPr>
            <w:r>
              <w:rPr>
                <w:rFonts w:hint="eastAsia" w:ascii="仿宋" w:hAnsi="仿宋" w:eastAsia="仿宋" w:cs="仿宋"/>
                <w:color w:val="000000"/>
                <w:sz w:val="20"/>
                <w:highlight w:val="none"/>
              </w:rPr>
              <w:t>绿盟</w:t>
            </w:r>
          </w:p>
        </w:tc>
        <w:tc>
          <w:tcPr>
            <w:tcW w:w="1063"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459"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7*24</w:t>
            </w:r>
          </w:p>
        </w:tc>
        <w:tc>
          <w:tcPr>
            <w:tcW w:w="1560"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2020</w:t>
            </w:r>
          </w:p>
        </w:tc>
        <w:tc>
          <w:tcPr>
            <w:tcW w:w="1560" w:type="dxa"/>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9" w:type="dxa"/>
            <w:shd w:val="clear" w:color="auto" w:fill="auto"/>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16</w:t>
            </w:r>
          </w:p>
        </w:tc>
        <w:tc>
          <w:tcPr>
            <w:tcW w:w="1234" w:type="dxa"/>
            <w:shd w:val="clear" w:color="auto" w:fill="auto"/>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入侵防御</w:t>
            </w:r>
          </w:p>
        </w:tc>
        <w:tc>
          <w:tcPr>
            <w:tcW w:w="2339" w:type="dxa"/>
            <w:shd w:val="clear" w:color="000000" w:fill="FFFFFF"/>
            <w:vAlign w:val="center"/>
          </w:tcPr>
          <w:p>
            <w:pPr>
              <w:spacing w:line="360" w:lineRule="auto"/>
              <w:jc w:val="center"/>
              <w:rPr>
                <w:rFonts w:ascii="仿宋" w:hAnsi="仿宋" w:eastAsia="仿宋" w:cs="仿宋"/>
                <w:color w:val="000000"/>
                <w:sz w:val="20"/>
                <w:highlight w:val="none"/>
              </w:rPr>
            </w:pPr>
            <w:r>
              <w:rPr>
                <w:rFonts w:hint="eastAsia" w:ascii="仿宋" w:hAnsi="仿宋" w:eastAsia="仿宋" w:cs="仿宋"/>
                <w:color w:val="000000"/>
                <w:sz w:val="20"/>
                <w:highlight w:val="none"/>
              </w:rPr>
              <w:t>山石</w:t>
            </w:r>
          </w:p>
        </w:tc>
        <w:tc>
          <w:tcPr>
            <w:tcW w:w="1063"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459"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7*24</w:t>
            </w:r>
          </w:p>
        </w:tc>
        <w:tc>
          <w:tcPr>
            <w:tcW w:w="1560" w:type="dxa"/>
            <w:vAlign w:val="center"/>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2021</w:t>
            </w:r>
          </w:p>
        </w:tc>
        <w:tc>
          <w:tcPr>
            <w:tcW w:w="1560" w:type="dxa"/>
          </w:tcPr>
          <w:p>
            <w:pPr>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bl>
    <w:p>
      <w:pPr>
        <w:spacing w:line="360" w:lineRule="auto"/>
        <w:rPr>
          <w:rFonts w:ascii="仿宋" w:hAnsi="仿宋" w:eastAsia="仿宋" w:cs="仿宋"/>
          <w:highlight w:val="none"/>
        </w:rPr>
      </w:pPr>
    </w:p>
    <w:p>
      <w:pPr>
        <w:spacing w:line="360" w:lineRule="auto"/>
        <w:jc w:val="center"/>
        <w:rPr>
          <w:rFonts w:ascii="仿宋" w:hAnsi="仿宋" w:eastAsia="仿宋" w:cs="仿宋"/>
          <w:highlight w:val="none"/>
        </w:rPr>
      </w:pPr>
    </w:p>
    <w:p>
      <w:pPr>
        <w:spacing w:line="360" w:lineRule="auto"/>
        <w:rPr>
          <w:rFonts w:ascii="仿宋" w:hAnsi="仿宋" w:eastAsia="仿宋" w:cs="仿宋"/>
          <w:szCs w:val="21"/>
          <w:highlight w:val="none"/>
        </w:rPr>
      </w:pPr>
      <w:r>
        <w:rPr>
          <w:rFonts w:hint="eastAsia" w:ascii="仿宋" w:hAnsi="仿宋" w:eastAsia="仿宋" w:cs="仿宋"/>
          <w:szCs w:val="21"/>
          <w:highlight w:val="none"/>
        </w:rPr>
        <w:t>本次购买维保软件清单（包括但不限于）</w:t>
      </w:r>
    </w:p>
    <w:tbl>
      <w:tblPr>
        <w:tblStyle w:val="4"/>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410"/>
        <w:gridCol w:w="1843"/>
        <w:gridCol w:w="1842"/>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4" w:type="dxa"/>
            <w:vAlign w:val="center"/>
          </w:tcPr>
          <w:p>
            <w:pPr>
              <w:widowControl/>
              <w:spacing w:line="360" w:lineRule="auto"/>
              <w:jc w:val="center"/>
              <w:rPr>
                <w:rFonts w:ascii="仿宋" w:hAnsi="仿宋" w:eastAsia="仿宋" w:cs="仿宋"/>
                <w:b/>
                <w:sz w:val="20"/>
                <w:highlight w:val="none"/>
              </w:rPr>
            </w:pPr>
          </w:p>
        </w:tc>
        <w:tc>
          <w:tcPr>
            <w:tcW w:w="2410" w:type="dxa"/>
            <w:vAlign w:val="center"/>
          </w:tcPr>
          <w:p>
            <w:pPr>
              <w:widowControl/>
              <w:spacing w:line="360" w:lineRule="auto"/>
              <w:jc w:val="center"/>
              <w:rPr>
                <w:rFonts w:ascii="仿宋" w:hAnsi="仿宋" w:eastAsia="仿宋" w:cs="仿宋"/>
                <w:b/>
                <w:sz w:val="20"/>
                <w:highlight w:val="none"/>
              </w:rPr>
            </w:pPr>
            <w:r>
              <w:rPr>
                <w:rFonts w:hint="eastAsia" w:ascii="仿宋" w:hAnsi="仿宋" w:eastAsia="仿宋" w:cs="仿宋"/>
                <w:b/>
                <w:sz w:val="20"/>
                <w:highlight w:val="none"/>
              </w:rPr>
              <w:t>名 称</w:t>
            </w:r>
          </w:p>
        </w:tc>
        <w:tc>
          <w:tcPr>
            <w:tcW w:w="1843" w:type="dxa"/>
            <w:vAlign w:val="center"/>
          </w:tcPr>
          <w:p>
            <w:pPr>
              <w:widowControl/>
              <w:spacing w:line="360" w:lineRule="auto"/>
              <w:jc w:val="center"/>
              <w:rPr>
                <w:rFonts w:ascii="仿宋" w:hAnsi="仿宋" w:eastAsia="仿宋" w:cs="仿宋"/>
                <w:b/>
                <w:sz w:val="20"/>
                <w:highlight w:val="none"/>
              </w:rPr>
            </w:pPr>
            <w:r>
              <w:rPr>
                <w:rFonts w:hint="eastAsia" w:ascii="仿宋" w:hAnsi="仿宋" w:eastAsia="仿宋" w:cs="仿宋"/>
                <w:b/>
                <w:sz w:val="20"/>
                <w:highlight w:val="none"/>
              </w:rPr>
              <w:t>版 本</w:t>
            </w:r>
          </w:p>
        </w:tc>
        <w:tc>
          <w:tcPr>
            <w:tcW w:w="1842" w:type="dxa"/>
            <w:vAlign w:val="center"/>
          </w:tcPr>
          <w:p>
            <w:pPr>
              <w:widowControl/>
              <w:spacing w:line="360" w:lineRule="auto"/>
              <w:jc w:val="center"/>
              <w:rPr>
                <w:rFonts w:ascii="仿宋" w:hAnsi="仿宋" w:eastAsia="仿宋" w:cs="仿宋"/>
                <w:b/>
                <w:sz w:val="20"/>
                <w:highlight w:val="none"/>
              </w:rPr>
            </w:pPr>
            <w:r>
              <w:rPr>
                <w:rFonts w:hint="eastAsia" w:ascii="仿宋" w:hAnsi="仿宋" w:eastAsia="仿宋" w:cs="仿宋"/>
                <w:b/>
                <w:sz w:val="20"/>
                <w:highlight w:val="none"/>
              </w:rPr>
              <w:t>数 量</w:t>
            </w:r>
          </w:p>
        </w:tc>
        <w:tc>
          <w:tcPr>
            <w:tcW w:w="1560" w:type="dxa"/>
            <w:vAlign w:val="center"/>
          </w:tcPr>
          <w:p>
            <w:pPr>
              <w:widowControl/>
              <w:spacing w:line="360" w:lineRule="auto"/>
              <w:jc w:val="center"/>
              <w:rPr>
                <w:rFonts w:ascii="仿宋" w:hAnsi="仿宋" w:eastAsia="仿宋" w:cs="仿宋"/>
                <w:b/>
                <w:sz w:val="20"/>
                <w:highlight w:val="none"/>
              </w:rPr>
            </w:pPr>
            <w:r>
              <w:rPr>
                <w:rFonts w:hint="eastAsia" w:ascii="仿宋" w:hAnsi="仿宋" w:eastAsia="仿宋" w:cs="仿宋"/>
                <w:b/>
                <w:sz w:val="20"/>
                <w:highlight w:val="none"/>
              </w:rPr>
              <w:t>使用年份</w:t>
            </w:r>
          </w:p>
        </w:tc>
        <w:tc>
          <w:tcPr>
            <w:tcW w:w="1560" w:type="dxa"/>
          </w:tcPr>
          <w:p>
            <w:pPr>
              <w:widowControl/>
              <w:spacing w:line="360" w:lineRule="auto"/>
              <w:jc w:val="center"/>
              <w:rPr>
                <w:rFonts w:ascii="仿宋" w:hAnsi="仿宋" w:eastAsia="仿宋" w:cs="仿宋"/>
                <w:b/>
                <w:sz w:val="20"/>
                <w:highlight w:val="none"/>
              </w:rPr>
            </w:pPr>
            <w:r>
              <w:rPr>
                <w:rFonts w:hint="eastAsia" w:ascii="仿宋" w:hAnsi="仿宋" w:eastAsia="仿宋" w:cs="仿宋"/>
                <w:b/>
                <w:bCs/>
                <w:sz w:val="20"/>
                <w:highlight w:val="none"/>
              </w:rPr>
              <w:t>是否有原厂质保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4"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2410"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数据库</w:t>
            </w:r>
          </w:p>
        </w:tc>
        <w:tc>
          <w:tcPr>
            <w:tcW w:w="1843"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Oracle 10G</w:t>
            </w:r>
          </w:p>
        </w:tc>
        <w:tc>
          <w:tcPr>
            <w:tcW w:w="1842"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2</w:t>
            </w:r>
          </w:p>
        </w:tc>
        <w:tc>
          <w:tcPr>
            <w:tcW w:w="1560" w:type="dxa"/>
            <w:vAlign w:val="center"/>
          </w:tcPr>
          <w:p>
            <w:pPr>
              <w:widowControl/>
              <w:spacing w:line="360" w:lineRule="auto"/>
              <w:jc w:val="center"/>
              <w:rPr>
                <w:rFonts w:ascii="仿宋" w:hAnsi="仿宋" w:eastAsia="仿宋" w:cs="仿宋"/>
                <w:b/>
                <w:bCs/>
                <w:sz w:val="20"/>
                <w:highlight w:val="none"/>
              </w:rPr>
            </w:pPr>
            <w:r>
              <w:rPr>
                <w:rFonts w:hint="eastAsia" w:ascii="仿宋" w:hAnsi="仿宋" w:eastAsia="仿宋" w:cs="仿宋"/>
                <w:b/>
                <w:bCs/>
                <w:sz w:val="20"/>
                <w:highlight w:val="none"/>
              </w:rPr>
              <w:t>2010</w:t>
            </w:r>
          </w:p>
        </w:tc>
        <w:tc>
          <w:tcPr>
            <w:tcW w:w="1560" w:type="dxa"/>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4"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2</w:t>
            </w:r>
          </w:p>
        </w:tc>
        <w:tc>
          <w:tcPr>
            <w:tcW w:w="2410"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中间件</w:t>
            </w:r>
          </w:p>
        </w:tc>
        <w:tc>
          <w:tcPr>
            <w:tcW w:w="1843"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Weblogic</w:t>
            </w:r>
          </w:p>
        </w:tc>
        <w:tc>
          <w:tcPr>
            <w:tcW w:w="1842"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560"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2010</w:t>
            </w:r>
          </w:p>
        </w:tc>
        <w:tc>
          <w:tcPr>
            <w:tcW w:w="1560" w:type="dxa"/>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4"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3</w:t>
            </w:r>
          </w:p>
        </w:tc>
        <w:tc>
          <w:tcPr>
            <w:tcW w:w="2410"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操作系统</w:t>
            </w:r>
          </w:p>
        </w:tc>
        <w:tc>
          <w:tcPr>
            <w:tcW w:w="1843"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IBM AIX</w:t>
            </w:r>
          </w:p>
        </w:tc>
        <w:tc>
          <w:tcPr>
            <w:tcW w:w="1842"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2</w:t>
            </w:r>
          </w:p>
        </w:tc>
        <w:tc>
          <w:tcPr>
            <w:tcW w:w="1560"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2010</w:t>
            </w:r>
          </w:p>
        </w:tc>
        <w:tc>
          <w:tcPr>
            <w:tcW w:w="1560" w:type="dxa"/>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4"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4</w:t>
            </w:r>
          </w:p>
        </w:tc>
        <w:tc>
          <w:tcPr>
            <w:tcW w:w="2410"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集群软件</w:t>
            </w:r>
          </w:p>
        </w:tc>
        <w:tc>
          <w:tcPr>
            <w:tcW w:w="1843"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ASM</w:t>
            </w:r>
          </w:p>
        </w:tc>
        <w:tc>
          <w:tcPr>
            <w:tcW w:w="1842"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560"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2010</w:t>
            </w:r>
          </w:p>
        </w:tc>
        <w:tc>
          <w:tcPr>
            <w:tcW w:w="1560" w:type="dxa"/>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4" w:type="dxa"/>
            <w:vAlign w:val="center"/>
          </w:tcPr>
          <w:p>
            <w:pPr>
              <w:widowControl/>
              <w:spacing w:line="360" w:lineRule="auto"/>
              <w:jc w:val="center"/>
              <w:rPr>
                <w:rFonts w:ascii="仿宋" w:hAnsi="仿宋" w:eastAsia="仿宋" w:cs="仿宋"/>
                <w:b/>
                <w:bCs/>
                <w:sz w:val="20"/>
                <w:highlight w:val="none"/>
              </w:rPr>
            </w:pPr>
            <w:r>
              <w:rPr>
                <w:rFonts w:hint="eastAsia" w:ascii="仿宋" w:hAnsi="仿宋" w:eastAsia="仿宋" w:cs="仿宋"/>
                <w:b/>
                <w:bCs/>
                <w:sz w:val="20"/>
                <w:highlight w:val="none"/>
              </w:rPr>
              <w:t>5</w:t>
            </w:r>
          </w:p>
        </w:tc>
        <w:tc>
          <w:tcPr>
            <w:tcW w:w="2410"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NBU备份</w:t>
            </w:r>
          </w:p>
        </w:tc>
        <w:tc>
          <w:tcPr>
            <w:tcW w:w="1843"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Symantec NBU</w:t>
            </w:r>
          </w:p>
        </w:tc>
        <w:tc>
          <w:tcPr>
            <w:tcW w:w="1842"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560"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2016</w:t>
            </w:r>
          </w:p>
        </w:tc>
        <w:tc>
          <w:tcPr>
            <w:tcW w:w="1560" w:type="dxa"/>
          </w:tcPr>
          <w:p>
            <w:pPr>
              <w:widowControl/>
              <w:spacing w:line="360" w:lineRule="auto"/>
              <w:jc w:val="center"/>
              <w:rPr>
                <w:rFonts w:ascii="仿宋" w:hAnsi="仿宋" w:eastAsia="仿宋" w:cs="仿宋"/>
                <w:b/>
                <w:bCs/>
                <w:sz w:val="20"/>
                <w:highlight w:val="none"/>
              </w:rPr>
            </w:pPr>
            <w:r>
              <w:rPr>
                <w:rFonts w:hint="eastAsia" w:ascii="仿宋" w:hAnsi="仿宋" w:eastAsia="仿宋" w:cs="仿宋"/>
                <w:sz w:val="20"/>
                <w:highlight w:val="none"/>
              </w:rPr>
              <w:t>否</w:t>
            </w:r>
          </w:p>
        </w:tc>
      </w:tr>
    </w:tbl>
    <w:p>
      <w:pPr>
        <w:pStyle w:val="3"/>
        <w:numPr>
          <w:ilvl w:val="0"/>
          <w:numId w:val="3"/>
        </w:numPr>
        <w:spacing w:line="360" w:lineRule="auto"/>
        <w:rPr>
          <w:rFonts w:ascii="仿宋" w:hAnsi="仿宋" w:eastAsia="仿宋" w:cs="仿宋"/>
          <w:sz w:val="28"/>
          <w:szCs w:val="28"/>
          <w:highlight w:val="none"/>
        </w:rPr>
      </w:pPr>
      <w:bookmarkStart w:id="4" w:name="_Toc130889658"/>
      <w:r>
        <w:rPr>
          <w:rFonts w:hint="eastAsia" w:ascii="仿宋" w:hAnsi="仿宋" w:eastAsia="仿宋" w:cs="仿宋"/>
          <w:sz w:val="28"/>
          <w:szCs w:val="28"/>
          <w:highlight w:val="none"/>
        </w:rPr>
        <w:t>技术服务要求</w:t>
      </w:r>
      <w:bookmarkEnd w:id="4"/>
    </w:p>
    <w:p>
      <w:pPr>
        <w:spacing w:line="360" w:lineRule="auto"/>
        <w:ind w:firstLine="560"/>
        <w:rPr>
          <w:rFonts w:ascii="仿宋" w:hAnsi="仿宋" w:eastAsia="仿宋" w:cs="仿宋"/>
          <w:szCs w:val="21"/>
          <w:highlight w:val="none"/>
        </w:rPr>
      </w:pPr>
      <w:r>
        <w:rPr>
          <w:rFonts w:hint="eastAsia" w:ascii="仿宋" w:hAnsi="仿宋" w:eastAsia="仿宋" w:cs="仿宋"/>
          <w:color w:val="000000"/>
          <w:szCs w:val="21"/>
          <w:highlight w:val="none"/>
        </w:rPr>
        <w:t>乙方应提供一整套符合标准规范的技术支持服务运作体系和流程，指定专职客</w:t>
      </w:r>
      <w:r>
        <w:rPr>
          <w:rFonts w:hint="eastAsia" w:ascii="仿宋" w:hAnsi="仿宋" w:eastAsia="仿宋" w:cs="仿宋"/>
          <w:szCs w:val="21"/>
          <w:highlight w:val="none"/>
        </w:rPr>
        <w:t>户服务经理以及稳定的技术服务队伍，提供故障诊断、技术咨询等全方位的技术支持服务。同时，乙方应建立相应的甲方档案库（含设备以及服务），便于及时获得系统运行报告、甲方随访意见反馈、常见故障及处理方案等重要技术资料。</w:t>
      </w:r>
    </w:p>
    <w:p>
      <w:pPr>
        <w:spacing w:line="360" w:lineRule="auto"/>
        <w:ind w:firstLine="560"/>
        <w:rPr>
          <w:rFonts w:ascii="仿宋" w:hAnsi="仿宋" w:eastAsia="仿宋" w:cs="仿宋"/>
          <w:szCs w:val="21"/>
          <w:highlight w:val="none"/>
        </w:rPr>
      </w:pPr>
      <w:r>
        <w:rPr>
          <w:rFonts w:hint="eastAsia" w:ascii="仿宋" w:hAnsi="仿宋" w:eastAsia="仿宋" w:cs="仿宋"/>
          <w:szCs w:val="21"/>
          <w:highlight w:val="none"/>
        </w:rPr>
        <w:t>乙方应为甲方提供多种技术支持方式，并对甲方所提交问题指派专职服务队伍进行解答并提供相关建议，对未能彻底解决的问题应进行跟踪、反馈并及时处理。</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承接数据中心存储、小型机服务器、数据库、中间件等维保项目的乙方必须要有多年的技术支持和维护经验，具有小型机服务器、存储和Oracle数据库专业的工程师，负责维护的工程师必须具有相应的小型机服务器、存储、网络和Oracle数据库等的职业资格认证。</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乙方提供的服务必须严格遵循甲方要求的服务内容和标准；</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乙方应具备完善的IT运维服务系统和服务管理能力，能够7*24小时响应甲方服务要求，并完整的记录服务过程；</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乙方必须按招标项目要求和技术服务要求和内容提供服务，在实施网络设备、数据存储、PC服务器等维保工作过程中，应当保证甲方设备、网络、应用系统及数据的安全，并对乙方的所有相关数据进行保密，不得外泄。如发生因服务导致的网络与信息安全事件，乙方必须承担由此引起的所有责任，甲方保留追究乙方责任的权力；</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乙方投标时必须根据甲方的维护周期制定相应的服务计划及主要的服务内容，包括：巡检内容、巡检次数、巡检报告、机器健康评估及预防整改措施、组织技术交流等，并在甲方处进行备案；计划执行时应提前三天和甲方技术人员进行联系和预约，以确保维护工作能顺利开展；</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乙方应当根据甲方现有设备的硬件配置情况建立详细的设备系统档案，包括硬件配置，系统配置，集群软件，磁盘阵列、数据库、备份软件等，并做到随着设备的升级、调试或参数发生变化时，及时更新相关参数；</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乙方应根据甲方维护需求成立技术维护工作小组，指派专人负责配合服务工作的协调；</w:t>
      </w:r>
    </w:p>
    <w:p>
      <w:pPr>
        <w:pStyle w:val="2"/>
        <w:numPr>
          <w:ilvl w:val="1"/>
          <w:numId w:val="3"/>
        </w:num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 xml:space="preserve"> </w:t>
      </w:r>
      <w:bookmarkStart w:id="5" w:name="_Toc130889659"/>
      <w:r>
        <w:rPr>
          <w:rFonts w:hint="eastAsia" w:ascii="仿宋" w:hAnsi="仿宋" w:eastAsia="仿宋" w:cs="仿宋"/>
          <w:sz w:val="21"/>
          <w:szCs w:val="21"/>
          <w:highlight w:val="none"/>
        </w:rPr>
        <w:t>驻场服务</w:t>
      </w:r>
      <w:bookmarkEnd w:id="5"/>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乙方在中标后，根据甲方实际工作需要须派1或2名有10年运维驻场经验的工程师驻守甲方现场，驻场工程师熟悉IBM小型机操作系统AIX及相应的数据库维护管理、熟悉IBM存储及SAN光纤交换机的维护管理、熟悉并掌握通软桌面终端、亚信网络防毒系统、深信服和奇安信上网行为管理、熟悉并掌握华为交换机及路由器，各主流厂商防火墙、IPS等安全设备的调试和维护。保证驻场工程师为本项目专职、在驻场服务期间不脱岗，不换人，不包含住宿等差旅费用；节假日及特殊时间段值班、值守，协助处理其它相关安排工作；保证和省局，本地、及各预算单位业务正常运行；提供7*24小时支持服务（技术工程师可采取轮休制）。驻场人员根据甲方的招标文件所列的服务内容，向甲方提供现场技术支持服务。甲方对乙方派驻的工程师进行考核，如不满足要求甲方有权要求更换或终止服务合同，由此造成的损失全部由乙方承当。所有事宜在得到甲方认可确认后实行。</w:t>
      </w:r>
    </w:p>
    <w:p>
      <w:pPr>
        <w:pStyle w:val="2"/>
        <w:numPr>
          <w:ilvl w:val="1"/>
          <w:numId w:val="3"/>
        </w:num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 xml:space="preserve"> </w:t>
      </w:r>
      <w:bookmarkStart w:id="6" w:name="_Toc130889660"/>
      <w:r>
        <w:rPr>
          <w:rFonts w:hint="eastAsia" w:ascii="仿宋" w:hAnsi="仿宋" w:eastAsia="仿宋" w:cs="仿宋"/>
          <w:sz w:val="21"/>
          <w:szCs w:val="21"/>
          <w:highlight w:val="none"/>
        </w:rPr>
        <w:t>热线电话支持服务</w:t>
      </w:r>
      <w:bookmarkEnd w:id="6"/>
      <w:r>
        <w:rPr>
          <w:rFonts w:hint="eastAsia" w:ascii="仿宋" w:hAnsi="仿宋" w:eastAsia="仿宋" w:cs="仿宋"/>
          <w:sz w:val="21"/>
          <w:szCs w:val="21"/>
          <w:highlight w:val="none"/>
        </w:rPr>
        <w:t xml:space="preserve"> </w:t>
      </w:r>
    </w:p>
    <w:p>
      <w:pPr>
        <w:tabs>
          <w:tab w:val="left" w:pos="1980"/>
        </w:tabs>
        <w:spacing w:line="360" w:lineRule="auto"/>
        <w:ind w:firstLine="560"/>
        <w:rPr>
          <w:rFonts w:ascii="仿宋" w:hAnsi="仿宋" w:eastAsia="仿宋" w:cs="仿宋"/>
          <w:szCs w:val="21"/>
          <w:highlight w:val="none"/>
        </w:rPr>
      </w:pPr>
      <w:r>
        <w:rPr>
          <w:rFonts w:hint="eastAsia" w:ascii="仿宋" w:hAnsi="仿宋" w:eastAsia="仿宋" w:cs="仿宋"/>
          <w:szCs w:val="21"/>
          <w:highlight w:val="none"/>
          <w:u w:val="single"/>
        </w:rPr>
        <w:t>乙方提供7X24小时响应的电话热线服务电话</w:t>
      </w:r>
      <w:r>
        <w:rPr>
          <w:rFonts w:hint="eastAsia" w:ascii="仿宋" w:hAnsi="仿宋" w:eastAsia="仿宋" w:cs="仿宋"/>
          <w:szCs w:val="21"/>
          <w:highlight w:val="none"/>
        </w:rPr>
        <w:t>，乙方技术专家将直接同甲方对话，帮助解决甲方提出的疑难问题。在相应服务时段内，相关工程师做出响应并开始解答的时间不超过30分钟，对于以前出现并解决过的问题，处理完成时间不超过2天。</w:t>
      </w:r>
    </w:p>
    <w:p>
      <w:pPr>
        <w:pStyle w:val="2"/>
        <w:numPr>
          <w:ilvl w:val="1"/>
          <w:numId w:val="3"/>
        </w:num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 xml:space="preserve"> </w:t>
      </w:r>
      <w:bookmarkStart w:id="7" w:name="_Toc130889661"/>
      <w:r>
        <w:rPr>
          <w:rFonts w:hint="eastAsia" w:ascii="仿宋" w:hAnsi="仿宋" w:eastAsia="仿宋" w:cs="仿宋"/>
          <w:sz w:val="21"/>
          <w:szCs w:val="21"/>
          <w:highlight w:val="none"/>
        </w:rPr>
        <w:t>远程接入支持服务</w:t>
      </w:r>
      <w:bookmarkEnd w:id="7"/>
    </w:p>
    <w:p>
      <w:pPr>
        <w:pStyle w:val="6"/>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乙方在具备远程接入的条件下，应提供远程接入方式对甲方系统问题进行检查、诊断和分析。乙方工程师仅在得到甲方许可的情况下方可访问甲方系统，并且乙方应确保所访问系统的安全，同时保证数据完整性。</w:t>
      </w:r>
    </w:p>
    <w:p>
      <w:pPr>
        <w:pStyle w:val="2"/>
        <w:numPr>
          <w:ilvl w:val="1"/>
          <w:numId w:val="3"/>
        </w:num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 xml:space="preserve"> </w:t>
      </w:r>
      <w:bookmarkStart w:id="8" w:name="_Toc130889662"/>
      <w:r>
        <w:rPr>
          <w:rFonts w:hint="eastAsia" w:ascii="仿宋" w:hAnsi="仿宋" w:eastAsia="仿宋" w:cs="仿宋"/>
          <w:sz w:val="21"/>
          <w:szCs w:val="21"/>
          <w:highlight w:val="none"/>
        </w:rPr>
        <w:t>现场高级技术支持服务</w:t>
      </w:r>
      <w:bookmarkEnd w:id="8"/>
    </w:p>
    <w:p>
      <w:pPr>
        <w:spacing w:line="360" w:lineRule="auto"/>
        <w:ind w:firstLine="560"/>
        <w:rPr>
          <w:rFonts w:ascii="仿宋" w:hAnsi="仿宋" w:eastAsia="仿宋" w:cs="仿宋"/>
          <w:szCs w:val="21"/>
          <w:highlight w:val="none"/>
        </w:rPr>
      </w:pPr>
      <w:r>
        <w:rPr>
          <w:rFonts w:hint="eastAsia" w:ascii="仿宋" w:hAnsi="仿宋" w:eastAsia="仿宋" w:cs="仿宋"/>
          <w:szCs w:val="21"/>
          <w:highlight w:val="none"/>
        </w:rPr>
        <w:t>按照甲方要求，在驻场工程师不能解决问题时候，乙方必须提供现场高级技术支持服务配合驻场工程师及甲方处理问题解决故障。高级工程师响应时间不得超过10分钟，上门时间不得超过1小时，服务期工作日或者其他约定的正常工作时间，包含国家法定的节假日等重大</w:t>
      </w:r>
      <w:r>
        <w:rPr>
          <w:rFonts w:hint="eastAsia" w:ascii="仿宋" w:hAnsi="仿宋" w:eastAsia="仿宋" w:cs="仿宋"/>
          <w:color w:val="333333"/>
          <w:szCs w:val="21"/>
          <w:highlight w:val="none"/>
          <w:shd w:val="clear" w:color="auto" w:fill="FFFFFF"/>
        </w:rPr>
        <w:t>特殊时间段</w:t>
      </w:r>
      <w:r>
        <w:rPr>
          <w:rFonts w:hint="eastAsia" w:ascii="仿宋" w:hAnsi="仿宋" w:eastAsia="仿宋" w:cs="仿宋"/>
          <w:szCs w:val="21"/>
          <w:highlight w:val="none"/>
        </w:rPr>
        <w:t>。高级工程师不包食宿，不包差旅。</w:t>
      </w:r>
    </w:p>
    <w:p>
      <w:pPr>
        <w:spacing w:line="360" w:lineRule="auto"/>
        <w:ind w:firstLine="560"/>
        <w:rPr>
          <w:rFonts w:ascii="仿宋" w:hAnsi="仿宋" w:eastAsia="仿宋" w:cs="仿宋"/>
          <w:szCs w:val="21"/>
          <w:highlight w:val="none"/>
        </w:rPr>
      </w:pPr>
      <w:r>
        <w:rPr>
          <w:rFonts w:hint="eastAsia" w:ascii="仿宋" w:hAnsi="仿宋" w:eastAsia="仿宋" w:cs="仿宋"/>
          <w:szCs w:val="21"/>
          <w:highlight w:val="none"/>
        </w:rPr>
        <w:t>乙方工程师必须在服务完成，并得到甲方确认后方可离开现场。</w:t>
      </w:r>
    </w:p>
    <w:p>
      <w:pPr>
        <w:pStyle w:val="2"/>
        <w:numPr>
          <w:ilvl w:val="2"/>
          <w:numId w:val="3"/>
        </w:numPr>
        <w:spacing w:line="360" w:lineRule="auto"/>
        <w:rPr>
          <w:rFonts w:ascii="仿宋" w:hAnsi="仿宋" w:eastAsia="仿宋" w:cs="仿宋"/>
          <w:sz w:val="21"/>
          <w:szCs w:val="21"/>
          <w:highlight w:val="none"/>
        </w:rPr>
      </w:pPr>
      <w:bookmarkStart w:id="9" w:name="_Toc130889663"/>
      <w:r>
        <w:rPr>
          <w:rFonts w:hint="eastAsia" w:ascii="仿宋" w:hAnsi="仿宋" w:eastAsia="仿宋" w:cs="仿宋"/>
          <w:sz w:val="21"/>
          <w:szCs w:val="21"/>
          <w:highlight w:val="none"/>
        </w:rPr>
        <w:t>故障处理</w:t>
      </w:r>
      <w:bookmarkEnd w:id="9"/>
    </w:p>
    <w:p>
      <w:pPr>
        <w:spacing w:line="360" w:lineRule="auto"/>
        <w:ind w:firstLine="550" w:firstLineChars="250"/>
        <w:rPr>
          <w:rFonts w:ascii="仿宋" w:hAnsi="仿宋" w:eastAsia="仿宋" w:cs="仿宋"/>
          <w:szCs w:val="21"/>
          <w:highlight w:val="none"/>
        </w:rPr>
      </w:pPr>
      <w:r>
        <w:rPr>
          <w:rFonts w:hint="eastAsia" w:ascii="仿宋" w:hAnsi="仿宋" w:eastAsia="仿宋" w:cs="仿宋"/>
          <w:szCs w:val="21"/>
          <w:highlight w:val="none"/>
        </w:rPr>
        <w:t>乙方应提供现场软、硬件故障定位和处理服务。故障定位需要的配件、软件均由乙方提供，定位准确后通知甲方采购相应的故障件。对于重要的业务系统软件件提供备品备件服务保证在配件及产品采购过程中的正常运行。</w:t>
      </w:r>
    </w:p>
    <w:p>
      <w:pPr>
        <w:numPr>
          <w:ilvl w:val="3"/>
          <w:numId w:val="3"/>
        </w:numPr>
        <w:spacing w:line="360" w:lineRule="auto"/>
        <w:rPr>
          <w:rFonts w:ascii="仿宋" w:hAnsi="仿宋" w:eastAsia="仿宋" w:cs="仿宋"/>
          <w:b/>
          <w:szCs w:val="21"/>
          <w:highlight w:val="none"/>
        </w:rPr>
      </w:pPr>
      <w:r>
        <w:rPr>
          <w:rFonts w:hint="eastAsia" w:ascii="仿宋" w:hAnsi="仿宋" w:eastAsia="仿宋" w:cs="仿宋"/>
          <w:b/>
          <w:szCs w:val="21"/>
          <w:highlight w:val="none"/>
        </w:rPr>
        <w:t>处理故障处理分级相应要求：</w:t>
      </w:r>
    </w:p>
    <w:p>
      <w:pPr>
        <w:spacing w:line="360" w:lineRule="auto"/>
        <w:ind w:firstLine="550" w:firstLineChars="250"/>
        <w:rPr>
          <w:rFonts w:ascii="仿宋" w:hAnsi="仿宋" w:eastAsia="仿宋" w:cs="仿宋"/>
          <w:szCs w:val="21"/>
          <w:highlight w:val="none"/>
        </w:rPr>
      </w:pPr>
      <w:r>
        <w:rPr>
          <w:rFonts w:hint="eastAsia" w:ascii="仿宋" w:hAnsi="仿宋" w:eastAsia="仿宋" w:cs="仿宋"/>
          <w:szCs w:val="21"/>
          <w:highlight w:val="none"/>
        </w:rPr>
        <w:t>7×24级：指对硬件设备，7×24小时响应维护服务、紧急故障2小时内到现场、备件4小时到场；6小时内恢复硬件系统的正常运行，保证系统平台可用；</w:t>
      </w:r>
    </w:p>
    <w:p>
      <w:pPr>
        <w:spacing w:line="360" w:lineRule="auto"/>
        <w:ind w:firstLine="550" w:firstLineChars="250"/>
        <w:rPr>
          <w:rFonts w:ascii="仿宋" w:hAnsi="仿宋" w:eastAsia="仿宋" w:cs="仿宋"/>
          <w:b/>
          <w:szCs w:val="21"/>
          <w:highlight w:val="none"/>
        </w:rPr>
      </w:pPr>
      <w:r>
        <w:rPr>
          <w:rFonts w:hint="eastAsia" w:ascii="仿宋" w:hAnsi="仿宋" w:eastAsia="仿宋" w:cs="仿宋"/>
          <w:szCs w:val="21"/>
          <w:highlight w:val="none"/>
        </w:rPr>
        <w:t>5×11级：指对硬件设备， 5×11小时响应维护服务、紧急故障2小时内到现场、备件次日到场，备件到场4小时内恢复硬件系统的正常运行，保证系统平台可用。</w:t>
      </w:r>
    </w:p>
    <w:p>
      <w:pPr>
        <w:numPr>
          <w:ilvl w:val="3"/>
          <w:numId w:val="3"/>
        </w:numPr>
        <w:spacing w:line="360" w:lineRule="auto"/>
        <w:rPr>
          <w:rFonts w:ascii="仿宋" w:hAnsi="仿宋" w:eastAsia="仿宋" w:cs="仿宋"/>
          <w:b/>
          <w:szCs w:val="21"/>
          <w:highlight w:val="none"/>
        </w:rPr>
      </w:pPr>
      <w:r>
        <w:rPr>
          <w:rFonts w:hint="eastAsia" w:ascii="仿宋" w:hAnsi="仿宋" w:eastAsia="仿宋" w:cs="仿宋"/>
          <w:b/>
          <w:szCs w:val="21"/>
          <w:highlight w:val="none"/>
        </w:rPr>
        <w:t>不间断故障处理</w:t>
      </w:r>
    </w:p>
    <w:p>
      <w:pPr>
        <w:spacing w:line="360" w:lineRule="auto"/>
        <w:ind w:firstLine="440" w:firstLineChars="200"/>
        <w:rPr>
          <w:rFonts w:ascii="仿宋" w:hAnsi="仿宋" w:eastAsia="仿宋" w:cs="仿宋"/>
          <w:b/>
          <w:szCs w:val="21"/>
          <w:highlight w:val="none"/>
        </w:rPr>
      </w:pPr>
      <w:r>
        <w:rPr>
          <w:rFonts w:hint="eastAsia" w:ascii="仿宋" w:hAnsi="仿宋" w:eastAsia="仿宋" w:cs="仿宋"/>
          <w:szCs w:val="21"/>
          <w:highlight w:val="none"/>
        </w:rPr>
        <w:t>乙方工程师在到达甲方现场后，应开始进行不间断服务直至系统恢复正常运行，得到甲方确认后方可离开。</w:t>
      </w:r>
    </w:p>
    <w:p>
      <w:pPr>
        <w:numPr>
          <w:ilvl w:val="3"/>
          <w:numId w:val="3"/>
        </w:numPr>
        <w:spacing w:line="360" w:lineRule="auto"/>
        <w:rPr>
          <w:rFonts w:ascii="仿宋" w:hAnsi="仿宋" w:eastAsia="仿宋" w:cs="仿宋"/>
          <w:b/>
          <w:szCs w:val="21"/>
          <w:highlight w:val="none"/>
        </w:rPr>
      </w:pPr>
      <w:r>
        <w:rPr>
          <w:rFonts w:hint="eastAsia" w:ascii="仿宋" w:hAnsi="仿宋" w:eastAsia="仿宋" w:cs="仿宋"/>
          <w:b/>
          <w:szCs w:val="21"/>
          <w:highlight w:val="none"/>
        </w:rPr>
        <w:t>故障分析时间</w:t>
      </w:r>
    </w:p>
    <w:p>
      <w:pPr>
        <w:pStyle w:val="7"/>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乙方在系统恢复正常运行后，应对系统运行情况进行跟踪，并结合故障现场信息对故障产生原因进行分析，3个工作日内提交故障分析报告。</w:t>
      </w:r>
    </w:p>
    <w:p>
      <w:pPr>
        <w:pStyle w:val="2"/>
        <w:numPr>
          <w:ilvl w:val="2"/>
          <w:numId w:val="3"/>
        </w:numPr>
        <w:spacing w:line="360" w:lineRule="auto"/>
        <w:rPr>
          <w:rFonts w:ascii="仿宋" w:hAnsi="仿宋" w:eastAsia="仿宋" w:cs="仿宋"/>
          <w:sz w:val="21"/>
          <w:szCs w:val="21"/>
          <w:highlight w:val="none"/>
        </w:rPr>
      </w:pPr>
      <w:bookmarkStart w:id="10" w:name="_Toc130889664"/>
      <w:r>
        <w:rPr>
          <w:rFonts w:hint="eastAsia" w:ascii="仿宋" w:hAnsi="仿宋" w:eastAsia="仿宋" w:cs="仿宋"/>
          <w:sz w:val="21"/>
          <w:szCs w:val="21"/>
          <w:highlight w:val="none"/>
        </w:rPr>
        <w:t>配合甲方进行系统故障定位</w:t>
      </w:r>
      <w:bookmarkEnd w:id="10"/>
    </w:p>
    <w:p>
      <w:pPr>
        <w:spacing w:line="360" w:lineRule="auto"/>
        <w:ind w:left="376" w:leftChars="171" w:firstLine="429" w:firstLineChars="195"/>
        <w:rPr>
          <w:rFonts w:ascii="仿宋" w:hAnsi="仿宋" w:eastAsia="仿宋" w:cs="仿宋"/>
          <w:szCs w:val="21"/>
          <w:highlight w:val="none"/>
        </w:rPr>
      </w:pPr>
      <w:r>
        <w:rPr>
          <w:rFonts w:hint="eastAsia" w:ascii="仿宋" w:hAnsi="仿宋" w:eastAsia="仿宋" w:cs="仿宋"/>
          <w:szCs w:val="21"/>
          <w:highlight w:val="none"/>
        </w:rPr>
        <w:t>甲方出现系统相关但难以准确定位故障原因的系统问题时，为了保证故障得到及时、准确的定位和处理,乙方工程师应根据甲方的合理安排到达现场提供技术支持服务。乙方工程师应配合甲方和其他相关厂商工程师对故障进行分析定位并及时解决。</w:t>
      </w:r>
    </w:p>
    <w:p>
      <w:pPr>
        <w:spacing w:line="360" w:lineRule="auto"/>
        <w:ind w:firstLine="541" w:firstLineChars="245"/>
        <w:rPr>
          <w:rFonts w:ascii="仿宋" w:hAnsi="仿宋" w:eastAsia="仿宋" w:cs="仿宋"/>
          <w:szCs w:val="21"/>
          <w:highlight w:val="none"/>
        </w:rPr>
      </w:pPr>
      <w:r>
        <w:rPr>
          <w:rFonts w:hint="eastAsia" w:ascii="仿宋" w:hAnsi="仿宋" w:eastAsia="仿宋" w:cs="仿宋"/>
          <w:b/>
          <w:szCs w:val="21"/>
          <w:highlight w:val="none"/>
        </w:rPr>
        <w:t>四次维修设备诊断服务</w:t>
      </w:r>
      <w:r>
        <w:rPr>
          <w:rFonts w:hint="eastAsia" w:ascii="仿宋" w:hAnsi="仿宋" w:eastAsia="仿宋" w:cs="仿宋"/>
          <w:szCs w:val="21"/>
          <w:highlight w:val="none"/>
        </w:rPr>
        <w:t>：</w:t>
      </w:r>
      <w:r>
        <w:rPr>
          <w:rFonts w:hint="eastAsia" w:ascii="仿宋" w:hAnsi="仿宋" w:eastAsia="仿宋" w:cs="仿宋"/>
          <w:szCs w:val="21"/>
          <w:highlight w:val="none"/>
          <w:u w:val="single"/>
        </w:rPr>
        <w:t>如果服务对象非合同中规定的内容，</w:t>
      </w:r>
      <w:r>
        <w:rPr>
          <w:rFonts w:hint="eastAsia" w:ascii="仿宋" w:hAnsi="仿宋" w:eastAsia="仿宋" w:cs="仿宋"/>
          <w:szCs w:val="21"/>
          <w:highlight w:val="none"/>
        </w:rPr>
        <w:t>则免费提供四次维修设备故障诊断，故障定位需要的配件、软件均由乙方提供，定位准确后通知甲方采购相应的故障件。对于重要的业务系统软件件提供备品备件服务保证在配件及产品采购过程中的正常运行。</w:t>
      </w:r>
    </w:p>
    <w:p>
      <w:pPr>
        <w:pStyle w:val="2"/>
        <w:numPr>
          <w:ilvl w:val="2"/>
          <w:numId w:val="3"/>
        </w:numPr>
        <w:spacing w:line="360" w:lineRule="auto"/>
        <w:rPr>
          <w:rFonts w:ascii="仿宋" w:hAnsi="仿宋" w:eastAsia="仿宋" w:cs="仿宋"/>
          <w:sz w:val="21"/>
          <w:szCs w:val="21"/>
          <w:highlight w:val="none"/>
        </w:rPr>
      </w:pPr>
      <w:bookmarkStart w:id="11" w:name="_Toc130889665"/>
      <w:r>
        <w:rPr>
          <w:rFonts w:hint="eastAsia" w:ascii="仿宋" w:hAnsi="仿宋" w:eastAsia="仿宋" w:cs="仿宋"/>
          <w:sz w:val="21"/>
          <w:szCs w:val="21"/>
          <w:highlight w:val="none"/>
        </w:rPr>
        <w:t>配合甲方对系统进行优化实施</w:t>
      </w:r>
      <w:bookmarkEnd w:id="11"/>
    </w:p>
    <w:p>
      <w:pPr>
        <w:tabs>
          <w:tab w:val="left" w:pos="1980"/>
        </w:tabs>
        <w:spacing w:line="360" w:lineRule="auto"/>
        <w:ind w:firstLine="550" w:firstLineChars="250"/>
        <w:rPr>
          <w:rFonts w:ascii="仿宋" w:hAnsi="仿宋" w:eastAsia="仿宋" w:cs="仿宋"/>
          <w:szCs w:val="21"/>
          <w:highlight w:val="none"/>
        </w:rPr>
      </w:pPr>
      <w:r>
        <w:rPr>
          <w:rFonts w:hint="eastAsia" w:ascii="仿宋" w:hAnsi="仿宋" w:eastAsia="仿宋" w:cs="仿宋"/>
          <w:szCs w:val="21"/>
          <w:highlight w:val="none"/>
        </w:rPr>
        <w:t>根据设备系统的运行情况，按照甲方的优化实施安排，乙方应提供现场技术支持服务。乙方工程师应配合甲方和其他相关厂商工程师对系统参数和运行情况进行分析，提出改进方案并协助甲方进行调整。</w:t>
      </w:r>
    </w:p>
    <w:p>
      <w:pPr>
        <w:pStyle w:val="8"/>
        <w:numPr>
          <w:ilvl w:val="0"/>
          <w:numId w:val="4"/>
        </w:numPr>
        <w:snapToGrid w:val="0"/>
        <w:spacing w:line="360" w:lineRule="auto"/>
        <w:ind w:leftChars="0" w:firstLineChars="0"/>
        <w:rPr>
          <w:rFonts w:ascii="仿宋" w:hAnsi="仿宋" w:eastAsia="仿宋" w:cs="仿宋"/>
          <w:sz w:val="21"/>
          <w:szCs w:val="21"/>
          <w:highlight w:val="none"/>
        </w:rPr>
      </w:pPr>
      <w:r>
        <w:rPr>
          <w:rFonts w:hint="eastAsia" w:ascii="仿宋" w:hAnsi="仿宋" w:eastAsia="仿宋" w:cs="仿宋"/>
          <w:sz w:val="21"/>
          <w:szCs w:val="21"/>
          <w:highlight w:val="none"/>
        </w:rPr>
        <w:t>结合应用软件、数据库、中间件、服务器、操作系统、存储和网络等不同资源的性能信息，进行关联性的综合分析，以准确的定位造成性能瓶颈的根源。</w:t>
      </w:r>
    </w:p>
    <w:p>
      <w:pPr>
        <w:pStyle w:val="8"/>
        <w:numPr>
          <w:ilvl w:val="0"/>
          <w:numId w:val="4"/>
        </w:numPr>
        <w:snapToGrid w:val="0"/>
        <w:spacing w:line="360" w:lineRule="auto"/>
        <w:ind w:leftChars="0" w:firstLineChars="0"/>
        <w:rPr>
          <w:rFonts w:ascii="仿宋" w:hAnsi="仿宋" w:eastAsia="仿宋" w:cs="仿宋"/>
          <w:sz w:val="21"/>
          <w:szCs w:val="21"/>
          <w:highlight w:val="none"/>
        </w:rPr>
      </w:pPr>
      <w:r>
        <w:rPr>
          <w:rFonts w:hint="eastAsia" w:ascii="仿宋" w:hAnsi="仿宋" w:eastAsia="仿宋" w:cs="仿宋"/>
          <w:sz w:val="21"/>
          <w:szCs w:val="21"/>
          <w:highlight w:val="none"/>
        </w:rPr>
        <w:t>将性能管理平台的诊断结果进行归纳，依据不同的瓶颈特点进行分类，合理分配于运维服务团队，包含系统运维部门、软件运维部门、二次开发部门、硬件服务商、数据库服务商、软件服务商等专业分工，使各方相互合作、齐心协力的持续改善性能问题。</w:t>
      </w:r>
    </w:p>
    <w:p>
      <w:pPr>
        <w:pStyle w:val="8"/>
        <w:numPr>
          <w:ilvl w:val="0"/>
          <w:numId w:val="4"/>
        </w:numPr>
        <w:snapToGrid w:val="0"/>
        <w:spacing w:line="360" w:lineRule="auto"/>
        <w:ind w:leftChars="0" w:firstLineChars="0"/>
        <w:rPr>
          <w:rFonts w:ascii="仿宋" w:hAnsi="仿宋" w:eastAsia="仿宋" w:cs="仿宋"/>
          <w:sz w:val="21"/>
          <w:szCs w:val="21"/>
          <w:highlight w:val="none"/>
        </w:rPr>
      </w:pPr>
      <w:r>
        <w:rPr>
          <w:rFonts w:hint="eastAsia" w:ascii="仿宋" w:hAnsi="仿宋" w:eastAsia="仿宋" w:cs="仿宋"/>
          <w:sz w:val="21"/>
          <w:szCs w:val="21"/>
          <w:highlight w:val="none"/>
        </w:rPr>
        <w:t>通过一套完整的数据收集、处理、分析、统计流程，创建全面的应用性能模型及关键指标。并且持续地追踪性能模型和关键指标，完成多维联动的瓶颈分析、智能归纳的成效评估、量化统计的趋势预测及异常事件的检测及溯源。</w:t>
      </w:r>
    </w:p>
    <w:p>
      <w:pPr>
        <w:pStyle w:val="8"/>
        <w:numPr>
          <w:ilvl w:val="0"/>
          <w:numId w:val="4"/>
        </w:numPr>
        <w:snapToGrid w:val="0"/>
        <w:spacing w:line="360" w:lineRule="auto"/>
        <w:ind w:leftChars="0" w:firstLineChars="0"/>
        <w:rPr>
          <w:rFonts w:ascii="仿宋" w:hAnsi="仿宋" w:eastAsia="仿宋" w:cs="仿宋"/>
          <w:sz w:val="21"/>
          <w:szCs w:val="21"/>
          <w:highlight w:val="none"/>
        </w:rPr>
      </w:pPr>
      <w:r>
        <w:rPr>
          <w:rFonts w:hint="eastAsia" w:ascii="仿宋" w:hAnsi="仿宋" w:eastAsia="仿宋" w:cs="仿宋"/>
          <w:sz w:val="21"/>
          <w:szCs w:val="21"/>
          <w:highlight w:val="none"/>
        </w:rPr>
        <w:t>通过关键指标的长期量化统计和趋势预测，定位出基础设施中的薄弱环节，并提出消除这些薄弱环节的方案，避免由薄弱环节引发事故，以降低系统运行风险，达到提前预防，主动运维的性能问题管理目标。</w:t>
      </w:r>
    </w:p>
    <w:p>
      <w:pPr>
        <w:pStyle w:val="8"/>
        <w:numPr>
          <w:ilvl w:val="0"/>
          <w:numId w:val="4"/>
        </w:numPr>
        <w:snapToGrid w:val="0"/>
        <w:spacing w:line="360" w:lineRule="auto"/>
        <w:ind w:leftChars="0" w:firstLineChars="0"/>
        <w:rPr>
          <w:rFonts w:ascii="仿宋" w:hAnsi="仿宋" w:eastAsia="仿宋" w:cs="仿宋"/>
          <w:sz w:val="21"/>
          <w:szCs w:val="21"/>
          <w:highlight w:val="none"/>
        </w:rPr>
      </w:pPr>
      <w:r>
        <w:rPr>
          <w:rFonts w:hint="eastAsia" w:ascii="仿宋" w:hAnsi="仿宋" w:eastAsia="仿宋" w:cs="仿宋"/>
          <w:sz w:val="21"/>
          <w:szCs w:val="21"/>
          <w:highlight w:val="none"/>
        </w:rPr>
        <w:t>综合分析CPU、内存、存储、网络、数据库和应用软件，在整个IT系统层面发生性能问题时，自上而下逐层纵向分析IT系统，找出影响业务系统性能的根本症结。</w:t>
      </w:r>
    </w:p>
    <w:p>
      <w:pPr>
        <w:pStyle w:val="8"/>
        <w:numPr>
          <w:ilvl w:val="0"/>
          <w:numId w:val="4"/>
        </w:numPr>
        <w:snapToGrid w:val="0"/>
        <w:spacing w:line="360" w:lineRule="auto"/>
        <w:ind w:leftChars="0" w:firstLineChars="0"/>
        <w:rPr>
          <w:rFonts w:ascii="仿宋" w:hAnsi="仿宋" w:eastAsia="仿宋" w:cs="仿宋"/>
          <w:sz w:val="21"/>
          <w:szCs w:val="21"/>
          <w:highlight w:val="none"/>
        </w:rPr>
      </w:pPr>
      <w:r>
        <w:rPr>
          <w:rFonts w:hint="eastAsia" w:ascii="仿宋" w:hAnsi="仿宋" w:eastAsia="仿宋" w:cs="仿宋"/>
          <w:sz w:val="21"/>
          <w:szCs w:val="21"/>
          <w:highlight w:val="none"/>
        </w:rPr>
        <w:t>结合实际业务系统，建立图形化的系统性能模型，横向分析各业务系统之间的相互关联，明确各系统之间的系统连带影响性，判明单个系统发生性能问题时对其他相关系统的性能影响程度。</w:t>
      </w:r>
    </w:p>
    <w:p>
      <w:pPr>
        <w:pStyle w:val="8"/>
        <w:numPr>
          <w:ilvl w:val="0"/>
          <w:numId w:val="4"/>
        </w:numPr>
        <w:snapToGrid w:val="0"/>
        <w:spacing w:line="360" w:lineRule="auto"/>
        <w:ind w:leftChars="0" w:firstLineChars="0"/>
        <w:rPr>
          <w:rFonts w:ascii="仿宋" w:hAnsi="仿宋" w:eastAsia="仿宋" w:cs="仿宋"/>
          <w:sz w:val="21"/>
          <w:szCs w:val="21"/>
          <w:highlight w:val="none"/>
        </w:rPr>
      </w:pPr>
      <w:r>
        <w:rPr>
          <w:rFonts w:hint="eastAsia" w:ascii="仿宋" w:hAnsi="仿宋" w:eastAsia="仿宋" w:cs="仿宋"/>
          <w:sz w:val="21"/>
          <w:szCs w:val="21"/>
          <w:highlight w:val="none"/>
        </w:rPr>
        <w:t>持续跟踪系统性能问题，通过历史对比、趋势预测等技术手段，建立贯穿系统生命周期的性能管控模式。</w:t>
      </w:r>
    </w:p>
    <w:p>
      <w:pPr>
        <w:tabs>
          <w:tab w:val="left" w:pos="1980"/>
        </w:tabs>
        <w:spacing w:line="360" w:lineRule="auto"/>
        <w:ind w:left="376" w:leftChars="171" w:firstLine="440" w:firstLineChars="200"/>
        <w:rPr>
          <w:rFonts w:ascii="仿宋" w:hAnsi="仿宋" w:eastAsia="仿宋" w:cs="仿宋"/>
          <w:b/>
          <w:szCs w:val="21"/>
          <w:highlight w:val="none"/>
        </w:rPr>
      </w:pPr>
      <w:r>
        <w:rPr>
          <w:rFonts w:hint="eastAsia" w:ascii="仿宋" w:hAnsi="仿宋" w:eastAsia="仿宋" w:cs="仿宋"/>
          <w:szCs w:val="21"/>
          <w:highlight w:val="none"/>
        </w:rPr>
        <w:t>根据以上需求定期开展设备运行分析服务。综合分析CPU、内存、存储、网络、数据库和应用软件，在整个IT系统层面发生性能问题时，自上而下逐层纵向分析IT系统，找出影响业务系统性能的根本症结。包含资源占用增长分析、资源耗尽趋势预警分析等。为系统优化、建设提供准确的依据。提交分析报告，每月一次</w:t>
      </w:r>
      <w:r>
        <w:rPr>
          <w:rFonts w:hint="eastAsia" w:ascii="仿宋" w:hAnsi="仿宋" w:eastAsia="仿宋" w:cs="仿宋"/>
          <w:b/>
          <w:szCs w:val="21"/>
          <w:highlight w:val="none"/>
        </w:rPr>
        <w:t>。</w:t>
      </w:r>
    </w:p>
    <w:p>
      <w:pPr>
        <w:pStyle w:val="2"/>
        <w:numPr>
          <w:ilvl w:val="2"/>
          <w:numId w:val="3"/>
        </w:numPr>
        <w:spacing w:line="360" w:lineRule="auto"/>
        <w:rPr>
          <w:rFonts w:ascii="仿宋" w:hAnsi="仿宋" w:eastAsia="仿宋" w:cs="仿宋"/>
          <w:sz w:val="21"/>
          <w:szCs w:val="21"/>
          <w:highlight w:val="none"/>
        </w:rPr>
      </w:pPr>
      <w:bookmarkStart w:id="12" w:name="_Toc130889666"/>
      <w:r>
        <w:rPr>
          <w:rFonts w:hint="eastAsia" w:ascii="仿宋" w:hAnsi="仿宋" w:eastAsia="仿宋" w:cs="仿宋"/>
          <w:sz w:val="21"/>
          <w:szCs w:val="21"/>
          <w:highlight w:val="none"/>
        </w:rPr>
        <w:t>系统升级</w:t>
      </w:r>
      <w:bookmarkEnd w:id="12"/>
    </w:p>
    <w:p>
      <w:pPr>
        <w:spacing w:line="360" w:lineRule="auto"/>
        <w:ind w:left="444" w:leftChars="202" w:firstLine="440" w:firstLineChars="200"/>
        <w:rPr>
          <w:rFonts w:ascii="仿宋" w:hAnsi="仿宋" w:eastAsia="仿宋" w:cs="仿宋"/>
          <w:szCs w:val="21"/>
          <w:highlight w:val="none"/>
        </w:rPr>
      </w:pPr>
      <w:r>
        <w:rPr>
          <w:rFonts w:hint="eastAsia" w:ascii="仿宋" w:hAnsi="仿宋" w:eastAsia="仿宋" w:cs="仿宋"/>
          <w:szCs w:val="21"/>
          <w:highlight w:val="none"/>
        </w:rPr>
        <w:t>乙方应提供系统升级服务，包括补丁安装及软件版本升级。乙方负责提供介质及相关许可证、实施系统升级服务、配合甲方进行系统升级完成后的测试、提交系统升级实施报告和测试报告等环节。</w:t>
      </w:r>
    </w:p>
    <w:p>
      <w:pPr>
        <w:pStyle w:val="2"/>
        <w:numPr>
          <w:ilvl w:val="2"/>
          <w:numId w:val="3"/>
        </w:numPr>
        <w:spacing w:line="360" w:lineRule="auto"/>
        <w:rPr>
          <w:rFonts w:ascii="仿宋" w:hAnsi="仿宋" w:eastAsia="仿宋" w:cs="仿宋"/>
          <w:sz w:val="21"/>
          <w:szCs w:val="21"/>
          <w:highlight w:val="none"/>
        </w:rPr>
      </w:pPr>
      <w:bookmarkStart w:id="13" w:name="_Toc130889667"/>
      <w:r>
        <w:rPr>
          <w:rFonts w:hint="eastAsia" w:ascii="仿宋" w:hAnsi="仿宋" w:eastAsia="仿宋" w:cs="仿宋"/>
          <w:sz w:val="21"/>
          <w:szCs w:val="21"/>
          <w:highlight w:val="none"/>
        </w:rPr>
        <w:t>定期提供补丁安全服务（所有在用设备）</w:t>
      </w:r>
      <w:bookmarkEnd w:id="13"/>
    </w:p>
    <w:p>
      <w:pPr>
        <w:spacing w:line="360" w:lineRule="auto"/>
        <w:ind w:left="444" w:leftChars="202" w:firstLine="440" w:firstLineChars="200"/>
        <w:rPr>
          <w:rFonts w:ascii="仿宋" w:hAnsi="仿宋" w:eastAsia="仿宋" w:cs="仿宋"/>
          <w:szCs w:val="21"/>
          <w:highlight w:val="none"/>
        </w:rPr>
      </w:pPr>
      <w:r>
        <w:rPr>
          <w:rFonts w:hint="eastAsia" w:ascii="仿宋" w:hAnsi="仿宋" w:eastAsia="仿宋" w:cs="仿宋"/>
          <w:szCs w:val="21"/>
          <w:highlight w:val="none"/>
        </w:rPr>
        <w:t>乙方应提供系统升级服务，包括补丁安装及软件版本升级。乙方负责提供介质及相关许可证、实施系统升级服务、配合甲方进行系统升级完成后的测试、提交系统升级实施报告和测试报告等环节。</w:t>
      </w:r>
    </w:p>
    <w:p>
      <w:pPr>
        <w:spacing w:line="360" w:lineRule="auto"/>
        <w:ind w:firstLine="550" w:firstLineChars="250"/>
        <w:rPr>
          <w:rFonts w:ascii="仿宋" w:hAnsi="仿宋" w:eastAsia="仿宋" w:cs="仿宋"/>
          <w:szCs w:val="21"/>
          <w:highlight w:val="none"/>
        </w:rPr>
      </w:pPr>
      <w:r>
        <w:rPr>
          <w:rFonts w:hint="eastAsia" w:ascii="仿宋" w:hAnsi="仿宋" w:eastAsia="仿宋" w:cs="仿宋"/>
          <w:szCs w:val="21"/>
          <w:highlight w:val="none"/>
        </w:rPr>
        <w:t>提供补丁升级管理，提交最新补丁报告及升级建议，配合实施，提交实施报告。每月一次。</w:t>
      </w:r>
    </w:p>
    <w:p>
      <w:pPr>
        <w:pStyle w:val="2"/>
        <w:numPr>
          <w:ilvl w:val="2"/>
          <w:numId w:val="3"/>
        </w:numPr>
        <w:spacing w:line="360" w:lineRule="auto"/>
        <w:rPr>
          <w:rFonts w:ascii="仿宋" w:hAnsi="仿宋" w:eastAsia="仿宋" w:cs="仿宋"/>
          <w:sz w:val="21"/>
          <w:szCs w:val="21"/>
          <w:highlight w:val="none"/>
        </w:rPr>
      </w:pPr>
      <w:bookmarkStart w:id="14" w:name="_Toc130889668"/>
      <w:r>
        <w:rPr>
          <w:rFonts w:hint="eastAsia" w:ascii="仿宋" w:hAnsi="仿宋" w:eastAsia="仿宋" w:cs="仿宋"/>
          <w:sz w:val="21"/>
          <w:szCs w:val="21"/>
          <w:highlight w:val="none"/>
        </w:rPr>
        <w:t>系统调整、工程支持服务</w:t>
      </w:r>
      <w:bookmarkEnd w:id="14"/>
    </w:p>
    <w:p>
      <w:pPr>
        <w:spacing w:line="360" w:lineRule="auto"/>
        <w:ind w:firstLine="550" w:firstLineChars="250"/>
        <w:rPr>
          <w:rFonts w:ascii="仿宋" w:hAnsi="仿宋" w:eastAsia="仿宋" w:cs="仿宋"/>
          <w:b/>
          <w:szCs w:val="21"/>
          <w:highlight w:val="none"/>
        </w:rPr>
      </w:pPr>
      <w:r>
        <w:rPr>
          <w:rFonts w:hint="eastAsia" w:ascii="仿宋" w:hAnsi="仿宋" w:eastAsia="仿宋" w:cs="仿宋"/>
          <w:szCs w:val="21"/>
          <w:highlight w:val="none"/>
        </w:rPr>
        <w:t>当甲方需对系统进行调整时,乙方工程师应按甲方提出的时间要求及操作要求，准时到达现场提供技术支持（包括甲方在进行硬件搬迁、系统升级、系统割接等工作时，乙方配合完成系统停、启及故障排除等工作；操作系统安装、系统重建）。在甲方进行与系统相关的工程施工时，按照甲方的工程实施安排，乙方应按甲方提出的时间要求提供现场技术支持服务。乙方工程师应配合甲方和其他相关厂商工程师对系统运行情况进行分析，保障系统的稳定运行。</w:t>
      </w:r>
    </w:p>
    <w:p>
      <w:pPr>
        <w:pStyle w:val="2"/>
        <w:numPr>
          <w:ilvl w:val="2"/>
          <w:numId w:val="3"/>
        </w:numPr>
        <w:spacing w:line="360" w:lineRule="auto"/>
        <w:rPr>
          <w:rFonts w:ascii="仿宋" w:hAnsi="仿宋" w:eastAsia="仿宋" w:cs="仿宋"/>
          <w:sz w:val="21"/>
          <w:szCs w:val="21"/>
          <w:highlight w:val="none"/>
        </w:rPr>
      </w:pPr>
      <w:bookmarkStart w:id="15" w:name="_Toc130889669"/>
      <w:r>
        <w:rPr>
          <w:rFonts w:hint="eastAsia" w:ascii="仿宋" w:hAnsi="仿宋" w:eastAsia="仿宋" w:cs="仿宋"/>
          <w:sz w:val="21"/>
          <w:szCs w:val="21"/>
          <w:highlight w:val="none"/>
        </w:rPr>
        <w:t>预防性维护</w:t>
      </w:r>
      <w:bookmarkEnd w:id="15"/>
    </w:p>
    <w:p>
      <w:pPr>
        <w:spacing w:line="360" w:lineRule="auto"/>
        <w:ind w:firstLine="550" w:firstLineChars="250"/>
        <w:rPr>
          <w:rFonts w:ascii="仿宋" w:hAnsi="仿宋" w:eastAsia="仿宋" w:cs="仿宋"/>
          <w:szCs w:val="21"/>
          <w:highlight w:val="none"/>
        </w:rPr>
      </w:pPr>
      <w:r>
        <w:rPr>
          <w:rFonts w:hint="eastAsia" w:ascii="仿宋" w:hAnsi="仿宋" w:eastAsia="仿宋" w:cs="仿宋"/>
          <w:szCs w:val="21"/>
          <w:highlight w:val="none"/>
        </w:rPr>
        <w:t>乙方按甲方需要，在双方共同的约定时间内，指派固定服务工程师提供现场检查服务。乙方服务工程师应于每次检查前3日提交检查计划给甲方审批，并在检查结束后的3日内提供检查报告给甲方审核确认。乙方所提供的预防性检查服务内容应包括以下检查项目但不仅限于以下内容：</w:t>
      </w:r>
    </w:p>
    <w:p>
      <w:pPr>
        <w:numPr>
          <w:ilvl w:val="0"/>
          <w:numId w:val="5"/>
        </w:numPr>
        <w:suppressAutoHyphens/>
        <w:spacing w:line="360" w:lineRule="auto"/>
        <w:rPr>
          <w:rFonts w:ascii="仿宋" w:hAnsi="仿宋" w:eastAsia="仿宋" w:cs="仿宋"/>
          <w:szCs w:val="21"/>
          <w:highlight w:val="none"/>
        </w:rPr>
      </w:pPr>
      <w:r>
        <w:rPr>
          <w:rFonts w:hint="eastAsia" w:ascii="仿宋" w:hAnsi="仿宋" w:eastAsia="仿宋" w:cs="仿宋"/>
          <w:szCs w:val="21"/>
          <w:highlight w:val="none"/>
        </w:rPr>
        <w:t>定期检查错误日志，并对错误日志进行分析，消除故障隐患。</w:t>
      </w:r>
    </w:p>
    <w:p>
      <w:pPr>
        <w:numPr>
          <w:ilvl w:val="0"/>
          <w:numId w:val="5"/>
        </w:numPr>
        <w:suppressAutoHyphens/>
        <w:spacing w:line="360" w:lineRule="auto"/>
        <w:rPr>
          <w:rFonts w:ascii="仿宋" w:hAnsi="仿宋" w:eastAsia="仿宋" w:cs="仿宋"/>
          <w:szCs w:val="21"/>
          <w:highlight w:val="none"/>
        </w:rPr>
      </w:pPr>
      <w:r>
        <w:rPr>
          <w:rFonts w:hint="eastAsia" w:ascii="仿宋" w:hAnsi="仿宋" w:eastAsia="仿宋" w:cs="仿宋"/>
          <w:szCs w:val="21"/>
          <w:highlight w:val="none"/>
        </w:rPr>
        <w:t>对硬件设备定期保养。</w:t>
      </w:r>
    </w:p>
    <w:p>
      <w:pPr>
        <w:numPr>
          <w:ilvl w:val="0"/>
          <w:numId w:val="5"/>
        </w:numPr>
        <w:suppressAutoHyphens/>
        <w:spacing w:line="360" w:lineRule="auto"/>
        <w:rPr>
          <w:rFonts w:ascii="仿宋" w:hAnsi="仿宋" w:eastAsia="仿宋" w:cs="仿宋"/>
          <w:szCs w:val="21"/>
          <w:highlight w:val="none"/>
        </w:rPr>
      </w:pPr>
      <w:r>
        <w:rPr>
          <w:rFonts w:hint="eastAsia" w:ascii="仿宋" w:hAnsi="仿宋" w:eastAsia="仿宋" w:cs="仿宋"/>
          <w:szCs w:val="21"/>
          <w:highlight w:val="none"/>
        </w:rPr>
        <w:t>对各个设备控制微码定期进行版本检查，并在乙方专家的指导下,在必要的时候进行升级。</w:t>
      </w:r>
    </w:p>
    <w:p>
      <w:pPr>
        <w:numPr>
          <w:ilvl w:val="0"/>
          <w:numId w:val="5"/>
        </w:numPr>
        <w:suppressAutoHyphens/>
        <w:spacing w:line="360" w:lineRule="auto"/>
        <w:rPr>
          <w:rFonts w:ascii="仿宋" w:hAnsi="仿宋" w:eastAsia="仿宋" w:cs="仿宋"/>
          <w:szCs w:val="21"/>
          <w:highlight w:val="none"/>
        </w:rPr>
      </w:pPr>
      <w:r>
        <w:rPr>
          <w:rFonts w:hint="eastAsia" w:ascii="仿宋" w:hAnsi="仿宋" w:eastAsia="仿宋" w:cs="仿宋"/>
          <w:szCs w:val="21"/>
          <w:highlight w:val="none"/>
        </w:rPr>
        <w:t>定期检查系统PTF，确认无误并征得用户批准的情况下进行升级。</w:t>
      </w:r>
    </w:p>
    <w:p>
      <w:pPr>
        <w:numPr>
          <w:ilvl w:val="0"/>
          <w:numId w:val="5"/>
        </w:numPr>
        <w:suppressAutoHyphens/>
        <w:spacing w:line="360" w:lineRule="auto"/>
        <w:rPr>
          <w:rFonts w:ascii="仿宋" w:hAnsi="仿宋" w:eastAsia="仿宋" w:cs="仿宋"/>
          <w:b/>
          <w:szCs w:val="21"/>
          <w:highlight w:val="none"/>
        </w:rPr>
      </w:pPr>
      <w:r>
        <w:rPr>
          <w:rFonts w:hint="eastAsia" w:ascii="仿宋" w:hAnsi="仿宋" w:eastAsia="仿宋" w:cs="仿宋"/>
          <w:szCs w:val="21"/>
          <w:highlight w:val="none"/>
        </w:rPr>
        <w:t>协助用户建立数据备份,保存及恢复方法。</w:t>
      </w:r>
    </w:p>
    <w:p>
      <w:pPr>
        <w:numPr>
          <w:ilvl w:val="0"/>
          <w:numId w:val="5"/>
        </w:numPr>
        <w:suppressAutoHyphens/>
        <w:spacing w:line="360" w:lineRule="auto"/>
        <w:rPr>
          <w:rFonts w:ascii="仿宋" w:hAnsi="仿宋" w:eastAsia="仿宋" w:cs="仿宋"/>
          <w:szCs w:val="21"/>
          <w:highlight w:val="none"/>
        </w:rPr>
      </w:pPr>
      <w:r>
        <w:rPr>
          <w:rFonts w:hint="eastAsia" w:ascii="仿宋" w:hAnsi="仿宋" w:eastAsia="仿宋" w:cs="仿宋"/>
          <w:szCs w:val="21"/>
          <w:highlight w:val="none"/>
        </w:rPr>
        <w:t>提供设备（所有在用设备）安全防护达标服务。按照国家安全防护达标要求，对设备安全达标情况进行检查，提交检查报告和整改建议，并协助整改实施，提交整改实施报告。每半年服务一次。</w:t>
      </w:r>
    </w:p>
    <w:p>
      <w:pPr>
        <w:pStyle w:val="2"/>
        <w:numPr>
          <w:ilvl w:val="1"/>
          <w:numId w:val="3"/>
        </w:num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 xml:space="preserve"> </w:t>
      </w:r>
      <w:bookmarkStart w:id="16" w:name="_Toc130889670"/>
      <w:r>
        <w:rPr>
          <w:rFonts w:hint="eastAsia" w:ascii="仿宋" w:hAnsi="仿宋" w:eastAsia="仿宋" w:cs="仿宋"/>
          <w:sz w:val="21"/>
          <w:szCs w:val="21"/>
          <w:highlight w:val="none"/>
        </w:rPr>
        <w:t>数据库及中间件服务要求</w:t>
      </w:r>
      <w:bookmarkEnd w:id="16"/>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数据库和中间件是甲方重要的业务系统，乙方提供的服务应包含但不限于以下内容：</w:t>
      </w:r>
    </w:p>
    <w:p>
      <w:pPr>
        <w:spacing w:line="360" w:lineRule="auto"/>
        <w:ind w:firstLine="442" w:firstLineChars="200"/>
        <w:rPr>
          <w:rFonts w:ascii="仿宋" w:hAnsi="仿宋" w:eastAsia="仿宋" w:cs="仿宋"/>
          <w:b/>
          <w:szCs w:val="21"/>
          <w:highlight w:val="none"/>
        </w:rPr>
      </w:pPr>
      <w:r>
        <w:rPr>
          <w:rFonts w:hint="eastAsia" w:ascii="仿宋" w:hAnsi="仿宋" w:eastAsia="仿宋" w:cs="仿宋"/>
          <w:b/>
          <w:szCs w:val="21"/>
          <w:highlight w:val="none"/>
        </w:rPr>
        <w:t>ORACLE数据库规划：</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乙方将协助甲方对数据库物理结构进行规划，在甲方需要改变数据库物理结构之前，乙方将根据甲方需求来评价实施方案的可行性、安全性。</w:t>
      </w:r>
    </w:p>
    <w:p>
      <w:pPr>
        <w:spacing w:line="360" w:lineRule="auto"/>
        <w:ind w:firstLine="442" w:firstLineChars="200"/>
        <w:rPr>
          <w:rFonts w:ascii="仿宋" w:hAnsi="仿宋" w:eastAsia="仿宋" w:cs="仿宋"/>
          <w:b/>
          <w:szCs w:val="21"/>
          <w:highlight w:val="none"/>
        </w:rPr>
      </w:pPr>
      <w:r>
        <w:rPr>
          <w:rFonts w:hint="eastAsia" w:ascii="仿宋" w:hAnsi="仿宋" w:eastAsia="仿宋" w:cs="仿宋"/>
          <w:b/>
          <w:szCs w:val="21"/>
          <w:highlight w:val="none"/>
        </w:rPr>
        <w:t>ORACLE数据库安装及升级：</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乙方按照甲方要求，进行Oracle数据库的安装升级，并进行数据迁移工作。</w:t>
      </w:r>
    </w:p>
    <w:p>
      <w:pPr>
        <w:spacing w:line="360" w:lineRule="auto"/>
        <w:ind w:firstLine="442" w:firstLineChars="200"/>
        <w:rPr>
          <w:rFonts w:ascii="仿宋" w:hAnsi="仿宋" w:eastAsia="仿宋" w:cs="仿宋"/>
          <w:b/>
          <w:szCs w:val="21"/>
          <w:highlight w:val="none"/>
        </w:rPr>
      </w:pPr>
      <w:r>
        <w:rPr>
          <w:rFonts w:hint="eastAsia" w:ascii="仿宋" w:hAnsi="仿宋" w:eastAsia="仿宋" w:cs="仿宋"/>
          <w:b/>
          <w:szCs w:val="21"/>
          <w:highlight w:val="none"/>
        </w:rPr>
        <w:t>数据库备份规划实施：</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协助搭建备份恢复测试环境，培训用户熟练使用备份系统，保证用户数据库的安全可靠运行。</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 根据甲方要求决定数据库的备份方式；</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 规划甲方的备份频率和介质数目；</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 推荐甲方使用专业的备份软件；</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 培训甲方RMAN的使用方法；</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 帮助甲方实现数据库的自动备份；</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 保证oracle数据的完整性；</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 搭建备份环境并检查备份数据的有效性；</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 帮助甲方构建灾难恢复系统</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注：以上服务在甲方确实有实际需求时提供，无实际系统需求时的部分内容不做为验收标准。</w:t>
      </w:r>
    </w:p>
    <w:p>
      <w:pPr>
        <w:spacing w:line="360" w:lineRule="auto"/>
        <w:ind w:firstLine="442" w:firstLineChars="200"/>
        <w:rPr>
          <w:rFonts w:ascii="仿宋" w:hAnsi="仿宋" w:eastAsia="仿宋" w:cs="仿宋"/>
          <w:b/>
          <w:szCs w:val="21"/>
          <w:highlight w:val="none"/>
        </w:rPr>
      </w:pPr>
      <w:r>
        <w:rPr>
          <w:rFonts w:hint="eastAsia" w:ascii="仿宋" w:hAnsi="仿宋" w:eastAsia="仿宋" w:cs="仿宋"/>
          <w:b/>
          <w:szCs w:val="21"/>
          <w:highlight w:val="none"/>
        </w:rPr>
        <w:t>Oracle性能调整：</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随着甲方应用系统投入使用时间加长，ORACLE数据库将会由于数据量的增加或甲方数量的增加或应用的修改而导致数据库的性能降低。数据库性能降低后将导致应用响应慢、统计或报表计算时间加长和难于维护等不良影响。</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分析甲方的应用类型和甲方行为；</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评价并修改ORACLE数据库的参数设置；</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评价并调整ORACLE数据库的数据分布；</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评价应用对硬件和系统的使用情况，并提出建议；</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利用先进的性能调整工具实施数据库的性能调整；</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培训甲方有关性能调整的概念；</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向甲方提供完整的性能调整报告和解决方法（涉及应用sql语句的问题，乙方工程师只负责指出问题语句，并不负责语句的修改）；</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软件安装帮助；</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软件升级的规划和实施；</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数据库故障记录的分析，排除故障隐患；</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数据库的全面诊断；</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数据库健康检查；</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数据库基本的性能分析，提出潜在的问题警告；</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检查数据库空间的使用情况，提供对存储空间增长需求的估计，协助进行数据库空间规划管理；</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检查数据库备份和恢复步骤及完整性，提供完整的数据库备份和恢复解决方案；</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数据库安全暨用户的管理，发现并排除数据库安全隐患；</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每次检查完一周内向甲方提交详细的预防性维护服务报告和总结（季度巡检小结及年度维保技术服务总结报告）</w:t>
      </w:r>
    </w:p>
    <w:p>
      <w:pPr>
        <w:numPr>
          <w:ilvl w:val="0"/>
          <w:numId w:val="7"/>
        </w:numPr>
        <w:spacing w:line="360" w:lineRule="auto"/>
        <w:rPr>
          <w:rFonts w:ascii="仿宋" w:hAnsi="仿宋" w:eastAsia="仿宋" w:cs="仿宋"/>
          <w:szCs w:val="21"/>
          <w:highlight w:val="none"/>
        </w:rPr>
      </w:pPr>
      <w:r>
        <w:rPr>
          <w:rFonts w:hint="eastAsia" w:ascii="仿宋" w:hAnsi="仿宋" w:eastAsia="仿宋" w:cs="仿宋"/>
          <w:szCs w:val="21"/>
          <w:highlight w:val="none"/>
        </w:rPr>
        <w:t>日志文件和空间整理、分析等；</w:t>
      </w:r>
    </w:p>
    <w:p>
      <w:pPr>
        <w:numPr>
          <w:ilvl w:val="0"/>
          <w:numId w:val="7"/>
        </w:numPr>
        <w:spacing w:line="360" w:lineRule="auto"/>
        <w:rPr>
          <w:rFonts w:ascii="仿宋" w:hAnsi="仿宋" w:eastAsia="仿宋" w:cs="仿宋"/>
          <w:szCs w:val="21"/>
          <w:highlight w:val="none"/>
        </w:rPr>
      </w:pPr>
      <w:r>
        <w:rPr>
          <w:rFonts w:hint="eastAsia" w:ascii="仿宋" w:hAnsi="仿宋" w:eastAsia="仿宋" w:cs="仿宋"/>
          <w:szCs w:val="21"/>
          <w:highlight w:val="none"/>
        </w:rPr>
        <w:t>协助搭建用户数据库的异地容灾系统，并协助进行数据库整合。</w:t>
      </w:r>
    </w:p>
    <w:p>
      <w:pPr>
        <w:pStyle w:val="2"/>
        <w:numPr>
          <w:ilvl w:val="1"/>
          <w:numId w:val="3"/>
        </w:num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 xml:space="preserve"> </w:t>
      </w:r>
      <w:bookmarkStart w:id="17" w:name="_Toc130889671"/>
      <w:r>
        <w:rPr>
          <w:rFonts w:hint="eastAsia" w:ascii="仿宋" w:hAnsi="仿宋" w:eastAsia="仿宋" w:cs="仿宋"/>
          <w:sz w:val="21"/>
          <w:szCs w:val="21"/>
          <w:highlight w:val="none"/>
        </w:rPr>
        <w:t>灾备平台搭建</w:t>
      </w:r>
      <w:bookmarkEnd w:id="17"/>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乙方在中标后，须在甲方现有的系统环境下，利用甲方已有的数据备份软件工具及设备，帮助甲方搭建数据库和应用系统的应急灾备平台。搭建方案、过程及结果全程和甲方沟通，得到甲方认可后实行。</w:t>
      </w:r>
    </w:p>
    <w:p>
      <w:pPr>
        <w:pStyle w:val="2"/>
        <w:numPr>
          <w:ilvl w:val="1"/>
          <w:numId w:val="3"/>
        </w:num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 xml:space="preserve"> </w:t>
      </w:r>
      <w:bookmarkStart w:id="18" w:name="_Toc130889672"/>
      <w:r>
        <w:rPr>
          <w:rFonts w:hint="eastAsia" w:ascii="仿宋" w:hAnsi="仿宋" w:eastAsia="仿宋" w:cs="仿宋"/>
          <w:sz w:val="21"/>
          <w:szCs w:val="21"/>
          <w:highlight w:val="none"/>
        </w:rPr>
        <w:t>备品备件</w:t>
      </w:r>
      <w:bookmarkEnd w:id="18"/>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乙方中标后，根据甲方所列设备，根据需要在甲方服务现场提供设备同档次型号机器作为整机备件，并在本地中标人库房建立常用备件库。（需要提供的整机备件详见设备清单）。所提供的备机备件须得到甲方的认可，在服务期内备机备件可置放于甲方库房。</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乙方中标后备机备件参考清单如下（包括但不限于以下清单内容，可提供同功能不同品牌型号）：</w:t>
      </w:r>
    </w:p>
    <w:tbl>
      <w:tblPr>
        <w:tblStyle w:val="4"/>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3402"/>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09" w:type="dxa"/>
            <w:vAlign w:val="center"/>
          </w:tcPr>
          <w:p>
            <w:pPr>
              <w:widowControl/>
              <w:spacing w:line="360" w:lineRule="auto"/>
              <w:jc w:val="center"/>
              <w:rPr>
                <w:rFonts w:ascii="仿宋" w:hAnsi="仿宋" w:eastAsia="仿宋" w:cs="仿宋"/>
                <w:b/>
                <w:bCs/>
                <w:sz w:val="20"/>
                <w:highlight w:val="none"/>
              </w:rPr>
            </w:pPr>
            <w:r>
              <w:rPr>
                <w:rFonts w:hint="eastAsia" w:ascii="仿宋" w:hAnsi="仿宋" w:eastAsia="仿宋" w:cs="仿宋"/>
                <w:b/>
                <w:bCs/>
                <w:sz w:val="20"/>
                <w:highlight w:val="none"/>
              </w:rPr>
              <w:t>序号</w:t>
            </w:r>
          </w:p>
        </w:tc>
        <w:tc>
          <w:tcPr>
            <w:tcW w:w="1418" w:type="dxa"/>
            <w:vAlign w:val="center"/>
          </w:tcPr>
          <w:p>
            <w:pPr>
              <w:widowControl/>
              <w:spacing w:line="360" w:lineRule="auto"/>
              <w:jc w:val="center"/>
              <w:rPr>
                <w:rFonts w:ascii="仿宋" w:hAnsi="仿宋" w:eastAsia="仿宋" w:cs="仿宋"/>
                <w:b/>
                <w:bCs/>
                <w:sz w:val="20"/>
                <w:highlight w:val="none"/>
              </w:rPr>
            </w:pPr>
            <w:r>
              <w:rPr>
                <w:rFonts w:hint="eastAsia" w:ascii="仿宋" w:hAnsi="仿宋" w:eastAsia="仿宋" w:cs="仿宋"/>
                <w:b/>
                <w:bCs/>
                <w:sz w:val="20"/>
                <w:highlight w:val="none"/>
              </w:rPr>
              <w:t>名称</w:t>
            </w:r>
          </w:p>
        </w:tc>
        <w:tc>
          <w:tcPr>
            <w:tcW w:w="3402" w:type="dxa"/>
            <w:vAlign w:val="center"/>
          </w:tcPr>
          <w:p>
            <w:pPr>
              <w:widowControl/>
              <w:spacing w:line="360" w:lineRule="auto"/>
              <w:jc w:val="center"/>
              <w:rPr>
                <w:rFonts w:ascii="仿宋" w:hAnsi="仿宋" w:eastAsia="仿宋" w:cs="仿宋"/>
                <w:b/>
                <w:bCs/>
                <w:sz w:val="20"/>
                <w:highlight w:val="none"/>
              </w:rPr>
            </w:pPr>
            <w:r>
              <w:rPr>
                <w:rFonts w:hint="eastAsia" w:ascii="仿宋" w:hAnsi="仿宋" w:eastAsia="仿宋" w:cs="仿宋"/>
                <w:b/>
                <w:bCs/>
                <w:sz w:val="20"/>
                <w:highlight w:val="none"/>
              </w:rPr>
              <w:t>描述</w:t>
            </w:r>
          </w:p>
        </w:tc>
        <w:tc>
          <w:tcPr>
            <w:tcW w:w="992" w:type="dxa"/>
            <w:vAlign w:val="center"/>
          </w:tcPr>
          <w:p>
            <w:pPr>
              <w:widowControl/>
              <w:spacing w:line="360" w:lineRule="auto"/>
              <w:jc w:val="center"/>
              <w:rPr>
                <w:rFonts w:ascii="仿宋" w:hAnsi="仿宋" w:eastAsia="仿宋" w:cs="仿宋"/>
                <w:b/>
                <w:bCs/>
                <w:sz w:val="20"/>
                <w:highlight w:val="none"/>
              </w:rPr>
            </w:pPr>
            <w:r>
              <w:rPr>
                <w:rFonts w:hint="eastAsia" w:ascii="仿宋" w:hAnsi="仿宋" w:eastAsia="仿宋" w:cs="仿宋"/>
                <w:b/>
                <w:bCs/>
                <w:sz w:val="20"/>
                <w:highlight w:val="none"/>
              </w:rPr>
              <w:t>数量</w:t>
            </w:r>
          </w:p>
        </w:tc>
        <w:tc>
          <w:tcPr>
            <w:tcW w:w="1701" w:type="dxa"/>
            <w:vAlign w:val="center"/>
          </w:tcPr>
          <w:p>
            <w:pPr>
              <w:widowControl/>
              <w:spacing w:line="360" w:lineRule="auto"/>
              <w:jc w:val="center"/>
              <w:rPr>
                <w:rFonts w:ascii="仿宋" w:hAnsi="仿宋" w:eastAsia="仿宋" w:cs="仿宋"/>
                <w:b/>
                <w:bCs/>
                <w:sz w:val="20"/>
                <w:highlight w:val="none"/>
              </w:rPr>
            </w:pPr>
            <w:r>
              <w:rPr>
                <w:rFonts w:hint="eastAsia" w:ascii="仿宋" w:hAnsi="仿宋" w:eastAsia="仿宋" w:cs="仿宋"/>
                <w:b/>
                <w:bCs/>
                <w:sz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09" w:type="dxa"/>
            <w:vMerge w:val="restart"/>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418"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小型机</w:t>
            </w:r>
          </w:p>
        </w:tc>
        <w:tc>
          <w:tcPr>
            <w:tcW w:w="3402" w:type="dxa"/>
            <w:shd w:val="clear" w:color="000000" w:fill="FFFFFF"/>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IBM P550硬盘</w:t>
            </w:r>
          </w:p>
        </w:tc>
        <w:tc>
          <w:tcPr>
            <w:tcW w:w="992"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701"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vMerge w:val="continue"/>
            <w:shd w:val="clear" w:color="auto" w:fill="auto"/>
            <w:vAlign w:val="center"/>
          </w:tcPr>
          <w:p>
            <w:pPr>
              <w:widowControl/>
              <w:spacing w:line="360" w:lineRule="auto"/>
              <w:jc w:val="center"/>
              <w:rPr>
                <w:rFonts w:ascii="仿宋" w:hAnsi="仿宋" w:eastAsia="仿宋" w:cs="仿宋"/>
                <w:sz w:val="20"/>
                <w:highlight w:val="none"/>
              </w:rPr>
            </w:pPr>
          </w:p>
        </w:tc>
        <w:tc>
          <w:tcPr>
            <w:tcW w:w="1418"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电源模块</w:t>
            </w:r>
          </w:p>
        </w:tc>
        <w:tc>
          <w:tcPr>
            <w:tcW w:w="3402" w:type="dxa"/>
            <w:shd w:val="clear" w:color="000000" w:fill="FFFFFF"/>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IBM P550电源</w:t>
            </w:r>
          </w:p>
        </w:tc>
        <w:tc>
          <w:tcPr>
            <w:tcW w:w="992"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701"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2</w:t>
            </w:r>
          </w:p>
        </w:tc>
        <w:tc>
          <w:tcPr>
            <w:tcW w:w="1418"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光纤交换机</w:t>
            </w:r>
          </w:p>
        </w:tc>
        <w:tc>
          <w:tcPr>
            <w:tcW w:w="3402" w:type="dxa"/>
            <w:shd w:val="clear" w:color="000000" w:fill="FFFFFF"/>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IBM 2498-B24</w:t>
            </w:r>
          </w:p>
        </w:tc>
        <w:tc>
          <w:tcPr>
            <w:tcW w:w="992"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701"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vMerge w:val="restart"/>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3</w:t>
            </w:r>
          </w:p>
        </w:tc>
        <w:tc>
          <w:tcPr>
            <w:tcW w:w="1418"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存储</w:t>
            </w:r>
          </w:p>
        </w:tc>
        <w:tc>
          <w:tcPr>
            <w:tcW w:w="3402" w:type="dxa"/>
            <w:shd w:val="clear" w:color="000000" w:fill="FFFFFF"/>
            <w:vAlign w:val="center"/>
          </w:tcPr>
          <w:p>
            <w:pPr>
              <w:widowControl/>
              <w:spacing w:line="360" w:lineRule="auto"/>
              <w:ind w:firstLine="400" w:firstLineChars="200"/>
              <w:jc w:val="center"/>
              <w:rPr>
                <w:rFonts w:ascii="仿宋" w:hAnsi="仿宋" w:eastAsia="仿宋" w:cs="仿宋"/>
                <w:sz w:val="20"/>
                <w:highlight w:val="none"/>
              </w:rPr>
            </w:pPr>
            <w:r>
              <w:rPr>
                <w:rFonts w:hint="eastAsia" w:ascii="仿宋" w:hAnsi="仿宋" w:eastAsia="仿宋" w:cs="仿宋"/>
                <w:sz w:val="20"/>
                <w:highlight w:val="none"/>
              </w:rPr>
              <w:t>IBM DS4700</w:t>
            </w:r>
          </w:p>
        </w:tc>
        <w:tc>
          <w:tcPr>
            <w:tcW w:w="992"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701"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vMerge w:val="continue"/>
            <w:shd w:val="clear" w:color="auto" w:fill="auto"/>
            <w:vAlign w:val="center"/>
          </w:tcPr>
          <w:p>
            <w:pPr>
              <w:widowControl/>
              <w:spacing w:line="360" w:lineRule="auto"/>
              <w:jc w:val="center"/>
              <w:rPr>
                <w:rFonts w:ascii="仿宋" w:hAnsi="仿宋" w:eastAsia="仿宋" w:cs="仿宋"/>
                <w:sz w:val="20"/>
                <w:highlight w:val="none"/>
              </w:rPr>
            </w:pPr>
          </w:p>
        </w:tc>
        <w:tc>
          <w:tcPr>
            <w:tcW w:w="1418" w:type="dxa"/>
            <w:vMerge w:val="restart"/>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硬盘</w:t>
            </w:r>
          </w:p>
        </w:tc>
        <w:tc>
          <w:tcPr>
            <w:tcW w:w="3402" w:type="dxa"/>
            <w:shd w:val="clear" w:color="000000" w:fill="FFFFFF"/>
            <w:vAlign w:val="center"/>
          </w:tcPr>
          <w:p>
            <w:pPr>
              <w:widowControl/>
              <w:spacing w:line="360" w:lineRule="auto"/>
              <w:ind w:firstLine="400" w:firstLineChars="200"/>
              <w:jc w:val="center"/>
              <w:rPr>
                <w:rFonts w:ascii="仿宋" w:hAnsi="仿宋" w:eastAsia="仿宋" w:cs="仿宋"/>
                <w:sz w:val="20"/>
                <w:highlight w:val="none"/>
              </w:rPr>
            </w:pPr>
            <w:r>
              <w:rPr>
                <w:rFonts w:hint="eastAsia" w:ascii="仿宋" w:hAnsi="仿宋" w:eastAsia="仿宋" w:cs="仿宋"/>
                <w:sz w:val="20"/>
                <w:highlight w:val="none"/>
              </w:rPr>
              <w:t>300G(FC)</w:t>
            </w:r>
          </w:p>
        </w:tc>
        <w:tc>
          <w:tcPr>
            <w:tcW w:w="992"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701"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vMerge w:val="continue"/>
            <w:shd w:val="clear" w:color="auto" w:fill="auto"/>
            <w:vAlign w:val="center"/>
          </w:tcPr>
          <w:p>
            <w:pPr>
              <w:widowControl/>
              <w:spacing w:line="360" w:lineRule="auto"/>
              <w:jc w:val="center"/>
              <w:rPr>
                <w:rFonts w:ascii="仿宋" w:hAnsi="仿宋" w:eastAsia="仿宋" w:cs="仿宋"/>
                <w:sz w:val="20"/>
                <w:highlight w:val="none"/>
              </w:rPr>
            </w:pPr>
          </w:p>
        </w:tc>
        <w:tc>
          <w:tcPr>
            <w:tcW w:w="1418" w:type="dxa"/>
            <w:vMerge w:val="continue"/>
            <w:shd w:val="clear" w:color="auto" w:fill="auto"/>
            <w:vAlign w:val="center"/>
          </w:tcPr>
          <w:p>
            <w:pPr>
              <w:widowControl/>
              <w:spacing w:line="360" w:lineRule="auto"/>
              <w:jc w:val="center"/>
              <w:rPr>
                <w:rFonts w:ascii="仿宋" w:hAnsi="仿宋" w:eastAsia="仿宋" w:cs="仿宋"/>
                <w:sz w:val="20"/>
                <w:highlight w:val="none"/>
              </w:rPr>
            </w:pPr>
          </w:p>
        </w:tc>
        <w:tc>
          <w:tcPr>
            <w:tcW w:w="3402" w:type="dxa"/>
            <w:shd w:val="clear" w:color="000000" w:fill="FFFFFF"/>
            <w:vAlign w:val="center"/>
          </w:tcPr>
          <w:p>
            <w:pPr>
              <w:widowControl/>
              <w:spacing w:line="360" w:lineRule="auto"/>
              <w:ind w:firstLine="400" w:firstLineChars="200"/>
              <w:jc w:val="center"/>
              <w:rPr>
                <w:rFonts w:ascii="仿宋" w:hAnsi="仿宋" w:eastAsia="仿宋" w:cs="仿宋"/>
                <w:sz w:val="20"/>
                <w:highlight w:val="none"/>
              </w:rPr>
            </w:pPr>
            <w:r>
              <w:rPr>
                <w:rFonts w:hint="eastAsia" w:ascii="仿宋" w:hAnsi="仿宋" w:eastAsia="仿宋" w:cs="仿宋"/>
                <w:sz w:val="20"/>
                <w:highlight w:val="none"/>
              </w:rPr>
              <w:t>2T(SATA)</w:t>
            </w:r>
          </w:p>
        </w:tc>
        <w:tc>
          <w:tcPr>
            <w:tcW w:w="992"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701"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4</w:t>
            </w:r>
          </w:p>
        </w:tc>
        <w:tc>
          <w:tcPr>
            <w:tcW w:w="1418"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刀片服务器</w:t>
            </w:r>
          </w:p>
        </w:tc>
        <w:tc>
          <w:tcPr>
            <w:tcW w:w="3402" w:type="dxa"/>
            <w:shd w:val="clear" w:color="000000" w:fill="FFFFFF"/>
            <w:vAlign w:val="center"/>
          </w:tcPr>
          <w:p>
            <w:pPr>
              <w:widowControl/>
              <w:spacing w:line="360" w:lineRule="auto"/>
              <w:ind w:firstLine="700" w:firstLineChars="350"/>
              <w:jc w:val="center"/>
              <w:rPr>
                <w:rFonts w:ascii="仿宋" w:hAnsi="仿宋" w:eastAsia="仿宋" w:cs="仿宋"/>
                <w:sz w:val="20"/>
                <w:highlight w:val="none"/>
              </w:rPr>
            </w:pPr>
            <w:r>
              <w:rPr>
                <w:rFonts w:hint="eastAsia" w:ascii="仿宋" w:hAnsi="仿宋" w:eastAsia="仿宋" w:cs="仿宋"/>
                <w:sz w:val="20"/>
                <w:highlight w:val="none"/>
              </w:rPr>
              <w:t>IBMH22</w:t>
            </w:r>
          </w:p>
        </w:tc>
        <w:tc>
          <w:tcPr>
            <w:tcW w:w="992"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4</w:t>
            </w:r>
          </w:p>
        </w:tc>
        <w:tc>
          <w:tcPr>
            <w:tcW w:w="1701"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5</w:t>
            </w:r>
          </w:p>
        </w:tc>
        <w:tc>
          <w:tcPr>
            <w:tcW w:w="1418"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服务器</w:t>
            </w:r>
          </w:p>
        </w:tc>
        <w:tc>
          <w:tcPr>
            <w:tcW w:w="3402" w:type="dxa"/>
            <w:shd w:val="clear" w:color="000000" w:fill="FFFFFF"/>
            <w:vAlign w:val="center"/>
          </w:tcPr>
          <w:p>
            <w:pPr>
              <w:widowControl/>
              <w:spacing w:line="360" w:lineRule="auto"/>
              <w:ind w:firstLine="500" w:firstLineChars="250"/>
              <w:jc w:val="center"/>
              <w:rPr>
                <w:rFonts w:ascii="仿宋" w:hAnsi="仿宋" w:eastAsia="仿宋" w:cs="仿宋"/>
                <w:sz w:val="20"/>
                <w:highlight w:val="none"/>
              </w:rPr>
            </w:pPr>
            <w:r>
              <w:rPr>
                <w:rFonts w:hint="eastAsia" w:ascii="仿宋" w:hAnsi="仿宋" w:eastAsia="仿宋" w:cs="仿宋"/>
                <w:sz w:val="20"/>
                <w:highlight w:val="none"/>
              </w:rPr>
              <w:t>IBM X3850X5</w:t>
            </w:r>
          </w:p>
        </w:tc>
        <w:tc>
          <w:tcPr>
            <w:tcW w:w="992"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701"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6</w:t>
            </w:r>
          </w:p>
        </w:tc>
        <w:tc>
          <w:tcPr>
            <w:tcW w:w="1418"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交换机</w:t>
            </w:r>
          </w:p>
        </w:tc>
        <w:tc>
          <w:tcPr>
            <w:tcW w:w="3402" w:type="dxa"/>
            <w:shd w:val="clear" w:color="000000" w:fill="FFFFFF"/>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华为S9312</w:t>
            </w:r>
          </w:p>
        </w:tc>
        <w:tc>
          <w:tcPr>
            <w:tcW w:w="992"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701"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7</w:t>
            </w:r>
          </w:p>
        </w:tc>
        <w:tc>
          <w:tcPr>
            <w:tcW w:w="1418"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交换机</w:t>
            </w:r>
          </w:p>
        </w:tc>
        <w:tc>
          <w:tcPr>
            <w:tcW w:w="3402" w:type="dxa"/>
            <w:shd w:val="clear" w:color="000000" w:fill="FFFFFF"/>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华为 S9303</w:t>
            </w:r>
          </w:p>
        </w:tc>
        <w:tc>
          <w:tcPr>
            <w:tcW w:w="992"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701"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8</w:t>
            </w:r>
          </w:p>
        </w:tc>
        <w:tc>
          <w:tcPr>
            <w:tcW w:w="1418" w:type="dxa"/>
            <w:shd w:val="clear" w:color="auto" w:fill="auto"/>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线材线缆</w:t>
            </w:r>
          </w:p>
        </w:tc>
        <w:tc>
          <w:tcPr>
            <w:tcW w:w="3402" w:type="dxa"/>
            <w:shd w:val="clear" w:color="000000" w:fill="FFFFFF"/>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网络跳线、水晶头、光纤跳线、U盘、寻线仪、各类常用转换头，线缆及其常用工具</w:t>
            </w:r>
          </w:p>
        </w:tc>
        <w:tc>
          <w:tcPr>
            <w:tcW w:w="992"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1</w:t>
            </w:r>
          </w:p>
        </w:tc>
        <w:tc>
          <w:tcPr>
            <w:tcW w:w="1701" w:type="dxa"/>
            <w:vAlign w:val="center"/>
          </w:tcPr>
          <w:p>
            <w:pPr>
              <w:widowControl/>
              <w:spacing w:line="360" w:lineRule="auto"/>
              <w:jc w:val="center"/>
              <w:rPr>
                <w:rFonts w:ascii="仿宋" w:hAnsi="仿宋" w:eastAsia="仿宋" w:cs="仿宋"/>
                <w:sz w:val="20"/>
                <w:highlight w:val="none"/>
              </w:rPr>
            </w:pPr>
            <w:r>
              <w:rPr>
                <w:rFonts w:hint="eastAsia" w:ascii="仿宋" w:hAnsi="仿宋" w:eastAsia="仿宋" w:cs="仿宋"/>
                <w:sz w:val="20"/>
                <w:highlight w:val="none"/>
              </w:rPr>
              <w:t>备件</w:t>
            </w:r>
          </w:p>
        </w:tc>
      </w:tr>
    </w:tbl>
    <w:p>
      <w:pPr>
        <w:pStyle w:val="2"/>
        <w:numPr>
          <w:ilvl w:val="1"/>
          <w:numId w:val="3"/>
        </w:numPr>
        <w:spacing w:line="360" w:lineRule="auto"/>
        <w:rPr>
          <w:rFonts w:ascii="仿宋" w:hAnsi="仿宋" w:eastAsia="仿宋" w:cs="仿宋"/>
          <w:sz w:val="21"/>
          <w:szCs w:val="21"/>
          <w:highlight w:val="none"/>
        </w:rPr>
      </w:pPr>
      <w:bookmarkStart w:id="19" w:name="_Toc130889673"/>
      <w:r>
        <w:rPr>
          <w:rFonts w:hint="eastAsia" w:ascii="仿宋" w:hAnsi="仿宋" w:eastAsia="仿宋" w:cs="仿宋"/>
          <w:sz w:val="21"/>
          <w:szCs w:val="21"/>
          <w:highlight w:val="none"/>
        </w:rPr>
        <w:t>项目服务能力</w:t>
      </w:r>
    </w:p>
    <w:p>
      <w:pPr>
        <w:pStyle w:val="2"/>
        <w:numPr>
          <w:ilvl w:val="2"/>
          <w:numId w:val="3"/>
        </w:num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工程师资格能力</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乙方应提供相应工程师资质能力（包括但不限于）：O</w:t>
      </w:r>
      <w:r>
        <w:rPr>
          <w:rFonts w:ascii="仿宋" w:hAnsi="仿宋" w:eastAsia="仿宋" w:cs="仿宋"/>
          <w:szCs w:val="21"/>
          <w:highlight w:val="none"/>
        </w:rPr>
        <w:t>racle</w:t>
      </w:r>
      <w:r>
        <w:rPr>
          <w:rFonts w:hint="eastAsia" w:ascii="仿宋" w:hAnsi="仿宋" w:eastAsia="仿宋" w:cs="仿宋"/>
          <w:szCs w:val="21"/>
          <w:highlight w:val="none"/>
        </w:rPr>
        <w:t>认证工程师≥1名；系统认证工程师（</w:t>
      </w:r>
      <w:r>
        <w:rPr>
          <w:rFonts w:ascii="仿宋" w:hAnsi="仿宋" w:eastAsia="仿宋" w:cs="仿宋"/>
          <w:szCs w:val="21"/>
          <w:highlight w:val="none"/>
        </w:rPr>
        <w:t>Microsoft</w:t>
      </w:r>
      <w:r>
        <w:rPr>
          <w:rFonts w:hint="eastAsia" w:ascii="仿宋" w:hAnsi="仿宋" w:eastAsia="仿宋" w:cs="仿宋"/>
          <w:szCs w:val="21"/>
          <w:highlight w:val="none"/>
        </w:rPr>
        <w:t>或R</w:t>
      </w:r>
      <w:r>
        <w:rPr>
          <w:rFonts w:ascii="仿宋" w:hAnsi="仿宋" w:eastAsia="仿宋" w:cs="仿宋"/>
          <w:szCs w:val="21"/>
          <w:highlight w:val="none"/>
        </w:rPr>
        <w:t>EDHAT</w:t>
      </w:r>
      <w:r>
        <w:rPr>
          <w:rFonts w:hint="eastAsia" w:ascii="仿宋" w:hAnsi="仿宋" w:eastAsia="仿宋" w:cs="仿宋"/>
          <w:szCs w:val="21"/>
          <w:highlight w:val="none"/>
        </w:rPr>
        <w:t>）≥1名；</w:t>
      </w:r>
      <w:r>
        <w:rPr>
          <w:rFonts w:ascii="仿宋" w:hAnsi="仿宋" w:eastAsia="仿宋" w:cs="仿宋"/>
          <w:szCs w:val="21"/>
          <w:highlight w:val="none"/>
        </w:rPr>
        <w:t>ACSP</w:t>
      </w:r>
      <w:r>
        <w:rPr>
          <w:rFonts w:hint="eastAsia" w:ascii="仿宋" w:hAnsi="仿宋" w:eastAsia="仿宋" w:cs="仿宋"/>
          <w:szCs w:val="21"/>
          <w:highlight w:val="none"/>
        </w:rPr>
        <w:t>认证工程师≥1名；H</w:t>
      </w:r>
      <w:r>
        <w:rPr>
          <w:rFonts w:ascii="仿宋" w:hAnsi="仿宋" w:eastAsia="仿宋" w:cs="仿宋"/>
          <w:szCs w:val="21"/>
          <w:highlight w:val="none"/>
        </w:rPr>
        <w:t>CI</w:t>
      </w:r>
      <w:r>
        <w:rPr>
          <w:rFonts w:hint="eastAsia" w:ascii="仿宋" w:hAnsi="仿宋" w:eastAsia="仿宋" w:cs="仿宋"/>
          <w:szCs w:val="21"/>
          <w:highlight w:val="none"/>
        </w:rPr>
        <w:t>认证工程师≥1名；S</w:t>
      </w:r>
      <w:r>
        <w:rPr>
          <w:rFonts w:ascii="仿宋" w:hAnsi="仿宋" w:eastAsia="仿宋" w:cs="仿宋"/>
          <w:szCs w:val="21"/>
          <w:highlight w:val="none"/>
        </w:rPr>
        <w:t>CAP</w:t>
      </w:r>
      <w:r>
        <w:rPr>
          <w:rFonts w:hint="eastAsia" w:ascii="仿宋" w:hAnsi="仿宋" w:eastAsia="仿宋" w:cs="仿宋"/>
          <w:szCs w:val="21"/>
          <w:highlight w:val="none"/>
        </w:rPr>
        <w:t>认证工程师≥1名；IT服务项目经理≥1名；IT服务项目工程≥1名；V</w:t>
      </w:r>
      <w:r>
        <w:rPr>
          <w:rFonts w:ascii="仿宋" w:hAnsi="仿宋" w:eastAsia="仿宋" w:cs="仿宋"/>
          <w:szCs w:val="21"/>
          <w:highlight w:val="none"/>
        </w:rPr>
        <w:t>CP</w:t>
      </w:r>
      <w:r>
        <w:rPr>
          <w:rFonts w:hint="eastAsia" w:ascii="仿宋" w:hAnsi="仿宋" w:eastAsia="仿宋" w:cs="仿宋"/>
          <w:szCs w:val="21"/>
          <w:highlight w:val="none"/>
        </w:rPr>
        <w:t>认证工程师≥1名；H</w:t>
      </w:r>
      <w:r>
        <w:rPr>
          <w:rFonts w:ascii="仿宋" w:hAnsi="仿宋" w:eastAsia="仿宋" w:cs="仿宋"/>
          <w:szCs w:val="21"/>
          <w:highlight w:val="none"/>
        </w:rPr>
        <w:t>CIA</w:t>
      </w:r>
      <w:r>
        <w:rPr>
          <w:rFonts w:hint="eastAsia" w:ascii="仿宋" w:hAnsi="仿宋" w:eastAsia="仿宋" w:cs="仿宋"/>
          <w:szCs w:val="21"/>
          <w:highlight w:val="none"/>
        </w:rPr>
        <w:t>认证工程师≥1名；C</w:t>
      </w:r>
      <w:r>
        <w:rPr>
          <w:rFonts w:ascii="仿宋" w:hAnsi="仿宋" w:eastAsia="仿宋" w:cs="仿宋"/>
          <w:szCs w:val="21"/>
          <w:highlight w:val="none"/>
        </w:rPr>
        <w:t>CIE</w:t>
      </w:r>
      <w:r>
        <w:rPr>
          <w:rFonts w:hint="eastAsia" w:ascii="仿宋" w:hAnsi="仿宋" w:eastAsia="仿宋" w:cs="仿宋"/>
          <w:szCs w:val="21"/>
          <w:highlight w:val="none"/>
        </w:rPr>
        <w:t>认证工程师≥1名；P</w:t>
      </w:r>
      <w:r>
        <w:rPr>
          <w:rFonts w:ascii="仿宋" w:hAnsi="仿宋" w:eastAsia="仿宋" w:cs="仿宋"/>
          <w:szCs w:val="21"/>
          <w:highlight w:val="none"/>
        </w:rPr>
        <w:t>MP</w:t>
      </w:r>
      <w:r>
        <w:rPr>
          <w:rFonts w:hint="eastAsia" w:ascii="仿宋" w:hAnsi="仿宋" w:eastAsia="仿宋" w:cs="仿宋"/>
          <w:szCs w:val="21"/>
          <w:highlight w:val="none"/>
        </w:rPr>
        <w:t>认证证书≥1名；以上文件</w:t>
      </w:r>
      <w:r>
        <w:rPr>
          <w:rFonts w:hint="eastAsia" w:ascii="仿宋" w:hAnsi="仿宋" w:eastAsia="仿宋" w:cs="仿宋"/>
          <w:szCs w:val="21"/>
          <w:highlight w:val="none"/>
          <w:lang w:val="en-US" w:eastAsia="zh-CN"/>
        </w:rPr>
        <w:t>必须</w:t>
      </w:r>
      <w:r>
        <w:rPr>
          <w:rFonts w:hint="eastAsia" w:ascii="仿宋" w:hAnsi="仿宋" w:eastAsia="仿宋" w:cs="仿宋"/>
          <w:szCs w:val="21"/>
          <w:highlight w:val="none"/>
        </w:rPr>
        <w:t>提供复印件加盖公章。</w:t>
      </w:r>
    </w:p>
    <w:p>
      <w:pPr>
        <w:pStyle w:val="2"/>
        <w:numPr>
          <w:ilvl w:val="2"/>
          <w:numId w:val="3"/>
        </w:num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供应商资格能力</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为保证项目质量乙方应提供以下资格证明文件（包括但不限于）：质量体系认证书；ITSS信息技术服务证书；以上文件</w:t>
      </w:r>
      <w:r>
        <w:rPr>
          <w:rFonts w:hint="eastAsia" w:ascii="仿宋" w:hAnsi="仿宋" w:eastAsia="仿宋" w:cs="仿宋"/>
          <w:szCs w:val="21"/>
          <w:highlight w:val="none"/>
          <w:lang w:val="en-US" w:eastAsia="zh-CN"/>
        </w:rPr>
        <w:t>必须</w:t>
      </w:r>
      <w:r>
        <w:rPr>
          <w:rFonts w:hint="eastAsia" w:ascii="仿宋" w:hAnsi="仿宋" w:eastAsia="仿宋" w:cs="仿宋"/>
          <w:szCs w:val="21"/>
          <w:highlight w:val="none"/>
        </w:rPr>
        <w:t>提供复印件加盖公章。</w:t>
      </w:r>
    </w:p>
    <w:p>
      <w:pPr>
        <w:rPr>
          <w:highlight w:val="none"/>
        </w:rPr>
      </w:pPr>
    </w:p>
    <w:p>
      <w:pPr>
        <w:pStyle w:val="2"/>
        <w:numPr>
          <w:ilvl w:val="1"/>
          <w:numId w:val="3"/>
        </w:num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其他服务要求</w:t>
      </w:r>
      <w:bookmarkEnd w:id="19"/>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乙方应为甲方设立分管甲方所购买技术服务的专职客户服务经理，负责建立维护甲方系统档案、了解甲方需求、制定服务计划、监督服务执行、跟踪并改进服务质量、提交各类服务报告、处理投诉等。</w:t>
      </w:r>
    </w:p>
    <w:p>
      <w:pPr>
        <w:pStyle w:val="2"/>
        <w:numPr>
          <w:ilvl w:val="2"/>
          <w:numId w:val="3"/>
        </w:num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 xml:space="preserve"> </w:t>
      </w:r>
      <w:bookmarkStart w:id="20" w:name="_Toc130889674"/>
      <w:r>
        <w:rPr>
          <w:rFonts w:hint="eastAsia" w:ascii="仿宋" w:hAnsi="仿宋" w:eastAsia="仿宋" w:cs="仿宋"/>
          <w:sz w:val="21"/>
          <w:szCs w:val="21"/>
          <w:highlight w:val="none"/>
        </w:rPr>
        <w:t>定期交流</w:t>
      </w:r>
      <w:bookmarkEnd w:id="20"/>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乙方应至少每季度进行该阶段技术服务情况沟通交流，并将交流报告提交给甲方。乙方与甲方应至少半年召开一次服务例会，在甲方的要求下，乙方有义务配合召开其他时间的例会。例会结束之后应由乙方客户服务经理提供会议纪要交甲方确认，并于7个工作日内反馈并跟踪落实会议纪要中的甲方意见与建议。</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例会内容将涉及以下事项：</w:t>
      </w:r>
    </w:p>
    <w:p>
      <w:pPr>
        <w:spacing w:line="360" w:lineRule="auto"/>
        <w:rPr>
          <w:rFonts w:ascii="仿宋" w:hAnsi="仿宋" w:eastAsia="仿宋" w:cs="仿宋"/>
          <w:szCs w:val="21"/>
          <w:highlight w:val="none"/>
        </w:rPr>
      </w:pPr>
      <w:r>
        <w:rPr>
          <w:rFonts w:hint="eastAsia" w:ascii="仿宋" w:hAnsi="仿宋" w:eastAsia="仿宋" w:cs="仿宋"/>
          <w:szCs w:val="21"/>
          <w:highlight w:val="none"/>
        </w:rPr>
        <w:t>（1）乙方客户服务经理对该阶段所执行服务进行介绍，提交阶段性服务情况汇总报告。报告内容应包括该阶段所发生全部服务内容的执行及甲方满意度情况。</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（2）甲方对乙方客户服务经理所提供阶段性服务情况汇总报告进行确认。确认完成后由甲方对该阶段服务执行情况及服务质量进行考核，并依据考核标准评测打分。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（3）乙方客户服务经理听取并记录甲方针对该阶段服务执行情况及服务质量的意见及建议，全部内容应通过会议纪要形式确认。</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（4）乙方客户服务经理应根据甲方需求制定下一阶段的客户服务计划。</w:t>
      </w:r>
    </w:p>
    <w:p>
      <w:pPr>
        <w:spacing w:line="360" w:lineRule="auto"/>
        <w:rPr>
          <w:rFonts w:ascii="仿宋" w:hAnsi="仿宋" w:eastAsia="仿宋" w:cs="仿宋"/>
          <w:szCs w:val="21"/>
          <w:highlight w:val="none"/>
        </w:rPr>
      </w:pPr>
      <w:r>
        <w:rPr>
          <w:rFonts w:hint="eastAsia" w:ascii="仿宋" w:hAnsi="仿宋" w:eastAsia="仿宋" w:cs="仿宋"/>
          <w:szCs w:val="21"/>
          <w:highlight w:val="none"/>
        </w:rPr>
        <w:t>（5）讨论本阶段服务过程中的重大事件对甲方系统运行的影响及应对措施，如系统升级、搬迁、系统管理人员变动、管理流程及制度变更等。</w:t>
      </w:r>
    </w:p>
    <w:p>
      <w:pPr>
        <w:spacing w:line="360" w:lineRule="auto"/>
        <w:rPr>
          <w:rFonts w:ascii="仿宋" w:hAnsi="仿宋" w:eastAsia="仿宋" w:cs="仿宋"/>
          <w:szCs w:val="21"/>
          <w:highlight w:val="none"/>
        </w:rPr>
      </w:pPr>
      <w:r>
        <w:rPr>
          <w:rFonts w:hint="eastAsia" w:ascii="仿宋" w:hAnsi="仿宋" w:eastAsia="仿宋" w:cs="仿宋"/>
          <w:szCs w:val="21"/>
          <w:highlight w:val="none"/>
        </w:rPr>
        <w:t>（6）针对本阶段服务过程中的重大技术问题，探讨预防措施及系统优化措施，寻求问题解决更为合理、有效的途径，改进针对此类问题的服务流程。</w:t>
      </w:r>
    </w:p>
    <w:p>
      <w:pPr>
        <w:numPr>
          <w:ilvl w:val="0"/>
          <w:numId w:val="8"/>
        </w:num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乙方介绍该阶段所推出的补丁程序信息、软件版本发布信息。</w:t>
      </w:r>
    </w:p>
    <w:p>
      <w:pPr>
        <w:pStyle w:val="2"/>
        <w:numPr>
          <w:ilvl w:val="2"/>
          <w:numId w:val="3"/>
        </w:num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 xml:space="preserve"> </w:t>
      </w:r>
      <w:bookmarkStart w:id="21" w:name="_Toc130889675"/>
      <w:r>
        <w:rPr>
          <w:rFonts w:hint="eastAsia" w:ascii="仿宋" w:hAnsi="仿宋" w:eastAsia="仿宋" w:cs="仿宋"/>
          <w:sz w:val="21"/>
          <w:szCs w:val="21"/>
          <w:highlight w:val="none"/>
        </w:rPr>
        <w:t>服务文档</w:t>
      </w:r>
      <w:bookmarkEnd w:id="21"/>
    </w:p>
    <w:p>
      <w:pPr>
        <w:spacing w:line="360" w:lineRule="auto"/>
        <w:ind w:firstLine="550" w:firstLineChars="250"/>
        <w:rPr>
          <w:rFonts w:ascii="仿宋" w:hAnsi="仿宋" w:eastAsia="仿宋" w:cs="仿宋"/>
          <w:szCs w:val="21"/>
          <w:highlight w:val="none"/>
        </w:rPr>
      </w:pPr>
      <w:r>
        <w:rPr>
          <w:rFonts w:hint="eastAsia" w:ascii="仿宋" w:hAnsi="仿宋" w:eastAsia="仿宋" w:cs="仿宋"/>
          <w:szCs w:val="21"/>
          <w:highlight w:val="none"/>
        </w:rPr>
        <w:t>服务方每年对所维保系统进行一次全面的安全评估，并出具评估报告。所有服务工作必须要有书面记录和文字记载和服务报告，包括季度巡检、半年巡检、年度巡检运行报告。每年服务结束后须向甲方提供年度服务总结报告。巡检记录提供制式表格形式；所提供的巡检记录、报告必须有甲方负责人签字。服务方提交以下文档：</w:t>
      </w:r>
    </w:p>
    <w:p>
      <w:pPr>
        <w:spacing w:line="360" w:lineRule="auto"/>
        <w:ind w:firstLine="550" w:firstLineChars="250"/>
        <w:rPr>
          <w:rFonts w:ascii="仿宋" w:hAnsi="仿宋" w:eastAsia="仿宋" w:cs="仿宋"/>
          <w:szCs w:val="21"/>
          <w:highlight w:val="none"/>
        </w:rPr>
      </w:pPr>
      <w:r>
        <w:rPr>
          <w:rFonts w:hint="eastAsia" w:ascii="仿宋" w:hAnsi="仿宋" w:eastAsia="仿宋" w:cs="仿宋"/>
          <w:szCs w:val="21"/>
          <w:highlight w:val="none"/>
        </w:rPr>
        <w:t>（1）设备基本信息、服务方案和计划</w:t>
      </w:r>
    </w:p>
    <w:p>
      <w:pPr>
        <w:spacing w:line="360" w:lineRule="auto"/>
        <w:ind w:firstLine="550" w:firstLineChars="250"/>
        <w:rPr>
          <w:rFonts w:ascii="仿宋" w:hAnsi="仿宋" w:eastAsia="仿宋" w:cs="仿宋"/>
          <w:szCs w:val="21"/>
          <w:highlight w:val="none"/>
        </w:rPr>
      </w:pPr>
      <w:r>
        <w:rPr>
          <w:rFonts w:hint="eastAsia" w:ascii="仿宋" w:hAnsi="仿宋" w:eastAsia="仿宋" w:cs="仿宋"/>
          <w:szCs w:val="21"/>
          <w:highlight w:val="none"/>
        </w:rPr>
        <w:t>（2）设备维保技术档案</w:t>
      </w:r>
    </w:p>
    <w:p>
      <w:pPr>
        <w:spacing w:line="360" w:lineRule="auto"/>
        <w:ind w:firstLine="550" w:firstLineChars="250"/>
        <w:rPr>
          <w:rFonts w:ascii="仿宋" w:hAnsi="仿宋" w:eastAsia="仿宋" w:cs="仿宋"/>
          <w:szCs w:val="21"/>
          <w:highlight w:val="none"/>
        </w:rPr>
      </w:pPr>
      <w:r>
        <w:rPr>
          <w:rFonts w:hint="eastAsia" w:ascii="仿宋" w:hAnsi="仿宋" w:eastAsia="仿宋" w:cs="仿宋"/>
          <w:szCs w:val="21"/>
          <w:highlight w:val="none"/>
        </w:rPr>
        <w:t>（3）设备巡检报告</w:t>
      </w:r>
    </w:p>
    <w:p>
      <w:pPr>
        <w:spacing w:line="360" w:lineRule="auto"/>
        <w:ind w:firstLine="550" w:firstLineChars="250"/>
        <w:rPr>
          <w:rFonts w:ascii="仿宋" w:hAnsi="仿宋" w:eastAsia="仿宋" w:cs="仿宋"/>
          <w:szCs w:val="21"/>
          <w:highlight w:val="none"/>
        </w:rPr>
      </w:pPr>
      <w:r>
        <w:rPr>
          <w:rFonts w:hint="eastAsia" w:ascii="仿宋" w:hAnsi="仿宋" w:eastAsia="仿宋" w:cs="仿宋"/>
          <w:szCs w:val="21"/>
          <w:highlight w:val="none"/>
        </w:rPr>
        <w:t>（4）设备维修服务报告</w:t>
      </w:r>
    </w:p>
    <w:p>
      <w:pPr>
        <w:numPr>
          <w:ilvl w:val="0"/>
          <w:numId w:val="9"/>
        </w:numPr>
        <w:spacing w:line="360" w:lineRule="auto"/>
        <w:rPr>
          <w:rFonts w:ascii="仿宋" w:hAnsi="仿宋" w:eastAsia="仿宋" w:cs="仿宋"/>
          <w:szCs w:val="21"/>
          <w:highlight w:val="none"/>
        </w:rPr>
      </w:pPr>
      <w:r>
        <w:rPr>
          <w:rFonts w:hint="eastAsia" w:ascii="仿宋" w:hAnsi="仿宋" w:eastAsia="仿宋" w:cs="仿宋"/>
          <w:szCs w:val="21"/>
          <w:highlight w:val="none"/>
        </w:rPr>
        <w:t>年度服务总结报告</w:t>
      </w:r>
    </w:p>
    <w:p>
      <w:pPr>
        <w:pStyle w:val="2"/>
        <w:numPr>
          <w:ilvl w:val="2"/>
          <w:numId w:val="3"/>
        </w:numPr>
        <w:spacing w:line="360" w:lineRule="auto"/>
        <w:rPr>
          <w:rFonts w:ascii="仿宋" w:hAnsi="仿宋" w:eastAsia="仿宋" w:cs="仿宋"/>
          <w:sz w:val="21"/>
          <w:szCs w:val="21"/>
          <w:highlight w:val="none"/>
        </w:rPr>
      </w:pPr>
      <w:bookmarkStart w:id="22" w:name="_Toc130889676"/>
      <w:r>
        <w:rPr>
          <w:rFonts w:hint="eastAsia" w:ascii="仿宋" w:hAnsi="仿宋" w:eastAsia="仿宋" w:cs="仿宋"/>
          <w:sz w:val="21"/>
          <w:szCs w:val="21"/>
          <w:highlight w:val="none"/>
        </w:rPr>
        <w:t xml:space="preserve"> 运维保密</w:t>
      </w:r>
      <w:bookmarkEnd w:id="22"/>
    </w:p>
    <w:p>
      <w:pPr>
        <w:spacing w:line="360" w:lineRule="auto"/>
        <w:ind w:left="360" w:firstLine="440" w:firstLineChars="200"/>
        <w:rPr>
          <w:rFonts w:ascii="仿宋" w:hAnsi="仿宋" w:eastAsia="仿宋" w:cs="仿宋"/>
          <w:bCs/>
          <w:szCs w:val="21"/>
          <w:highlight w:val="none"/>
        </w:rPr>
      </w:pPr>
      <w:r>
        <w:rPr>
          <w:rFonts w:hint="eastAsia" w:ascii="仿宋" w:hAnsi="仿宋" w:eastAsia="仿宋" w:cs="仿宋"/>
          <w:bCs/>
          <w:szCs w:val="21"/>
          <w:highlight w:val="none"/>
        </w:rPr>
        <w:t>为保证项目安全中标，乙方在签订合同时签订保密协议，甲方不得泄露乙方人员及公司信息。乙方在运维过程中涉及的资料，产品、配件、数据、密码、单位内部信息等一切与服务有关的的内容不得</w:t>
      </w:r>
      <w:r>
        <w:rPr>
          <w:rFonts w:hint="eastAsia" w:ascii="仿宋" w:hAnsi="仿宋" w:eastAsia="仿宋" w:cs="仿宋"/>
          <w:color w:val="000000"/>
          <w:highlight w:val="none"/>
        </w:rPr>
        <w:t>以声音、图像、文字、电子数据</w:t>
      </w:r>
      <w:r>
        <w:rPr>
          <w:rFonts w:hint="eastAsia" w:ascii="仿宋" w:hAnsi="仿宋" w:eastAsia="仿宋" w:cs="仿宋"/>
          <w:bCs/>
          <w:szCs w:val="21"/>
          <w:highlight w:val="none"/>
        </w:rPr>
        <w:t>在社交平台；公共媒体泄露、发表，展示、传播；不得用于第三方文件、报告、书籍等公开发行物的数据统计、信息来源、参考说明；不得利用工作之便在单位网络中传播相关法律法规禁止的信息。</w:t>
      </w:r>
      <w:r>
        <w:rPr>
          <w:rFonts w:hint="eastAsia" w:ascii="仿宋" w:hAnsi="仿宋" w:eastAsia="仿宋" w:cs="仿宋"/>
          <w:color w:val="000000"/>
          <w:highlight w:val="none"/>
        </w:rPr>
        <w:t>法</w:t>
      </w:r>
      <w:r>
        <w:rPr>
          <w:rFonts w:hint="eastAsia" w:ascii="仿宋" w:hAnsi="仿宋" w:eastAsia="仿宋" w:cs="仿宋"/>
          <w:highlight w:val="none"/>
        </w:rPr>
        <w:t>律另有规定的除外。</w:t>
      </w:r>
      <w:r>
        <w:rPr>
          <w:rFonts w:hint="eastAsia" w:ascii="仿宋" w:hAnsi="仿宋" w:eastAsia="仿宋" w:cs="仿宋"/>
          <w:bCs/>
          <w:szCs w:val="21"/>
          <w:highlight w:val="none"/>
        </w:rPr>
        <w:t>如违反造成不良影响和后果按照相关法律法规追究其责任。</w:t>
      </w:r>
    </w:p>
    <w:p>
      <w:pPr>
        <w:pStyle w:val="3"/>
        <w:numPr>
          <w:ilvl w:val="0"/>
          <w:numId w:val="10"/>
        </w:numPr>
        <w:spacing w:line="360" w:lineRule="auto"/>
        <w:rPr>
          <w:rFonts w:ascii="仿宋" w:hAnsi="仿宋" w:eastAsia="仿宋" w:cs="仿宋"/>
          <w:sz w:val="28"/>
          <w:szCs w:val="28"/>
          <w:highlight w:val="none"/>
        </w:rPr>
      </w:pPr>
      <w:bookmarkStart w:id="23" w:name="_Toc130889677"/>
      <w:r>
        <w:rPr>
          <w:rFonts w:hint="eastAsia" w:ascii="仿宋" w:hAnsi="仿宋" w:eastAsia="仿宋" w:cs="仿宋"/>
          <w:sz w:val="28"/>
          <w:szCs w:val="28"/>
          <w:highlight w:val="none"/>
        </w:rPr>
        <w:t xml:space="preserve"> 服务考核评价办法</w:t>
      </w:r>
      <w:bookmarkEnd w:id="23"/>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为了提高乙方服务质量，提升甲方维护服务管理水平，总结服务中存在的问题，特制定维保服务满意度考核办法，对所有服务纳入满意度考核，甲方对最终考核结果具有绝对权利。</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同时，为了鼓励乙方更多的参与甲方运维管理提升，提升甲方运维管理水平，激励乙方更多参与服务合同外的服务项目，为甲方提供超值服务，为超出服务范围的服务提供鼓励与加分。</w:t>
      </w:r>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考核分为3部分，其中“维护服务实施提交物考核”“客户满意度考核”为基本部分，总分为100分。</w:t>
      </w:r>
    </w:p>
    <w:p>
      <w:pPr>
        <w:spacing w:line="360" w:lineRule="auto"/>
        <w:ind w:firstLine="360"/>
        <w:jc w:val="center"/>
        <w:rPr>
          <w:rFonts w:ascii="仿宋" w:hAnsi="仿宋" w:eastAsia="仿宋" w:cs="仿宋"/>
          <w:szCs w:val="21"/>
          <w:highlight w:val="none"/>
        </w:rPr>
      </w:pPr>
      <w:r>
        <w:rPr>
          <w:rFonts w:hint="eastAsia" w:ascii="仿宋" w:hAnsi="仿宋" w:eastAsia="仿宋" w:cs="仿宋"/>
          <w:szCs w:val="21"/>
          <w:highlight w:val="none"/>
        </w:rPr>
        <w:t>考核总表</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619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spacing w:line="360" w:lineRule="auto"/>
              <w:rPr>
                <w:rFonts w:ascii="仿宋" w:hAnsi="仿宋" w:eastAsia="仿宋" w:cs="仿宋"/>
                <w:szCs w:val="21"/>
                <w:highlight w:val="none"/>
              </w:rPr>
            </w:pPr>
            <w:r>
              <w:rPr>
                <w:rFonts w:hint="eastAsia" w:ascii="仿宋" w:hAnsi="仿宋" w:eastAsia="仿宋" w:cs="仿宋"/>
                <w:szCs w:val="21"/>
                <w:highlight w:val="none"/>
              </w:rPr>
              <w:t>考核项目</w:t>
            </w:r>
          </w:p>
        </w:tc>
        <w:tc>
          <w:tcPr>
            <w:tcW w:w="6195" w:type="dxa"/>
          </w:tcPr>
          <w:p>
            <w:pPr>
              <w:spacing w:line="360" w:lineRule="auto"/>
              <w:rPr>
                <w:rFonts w:ascii="仿宋" w:hAnsi="仿宋" w:eastAsia="仿宋" w:cs="仿宋"/>
                <w:szCs w:val="21"/>
                <w:highlight w:val="none"/>
              </w:rPr>
            </w:pPr>
            <w:r>
              <w:rPr>
                <w:rFonts w:hint="eastAsia" w:ascii="仿宋" w:hAnsi="仿宋" w:eastAsia="仿宋" w:cs="仿宋"/>
                <w:szCs w:val="21"/>
                <w:highlight w:val="none"/>
              </w:rPr>
              <w:t>考核内容</w:t>
            </w:r>
          </w:p>
        </w:tc>
        <w:tc>
          <w:tcPr>
            <w:tcW w:w="1161" w:type="dxa"/>
          </w:tcPr>
          <w:p>
            <w:pPr>
              <w:spacing w:line="360" w:lineRule="auto"/>
              <w:rPr>
                <w:rFonts w:ascii="仿宋" w:hAnsi="仿宋" w:eastAsia="仿宋" w:cs="仿宋"/>
                <w:szCs w:val="21"/>
                <w:highlight w:val="none"/>
              </w:rPr>
            </w:pPr>
            <w:r>
              <w:rPr>
                <w:rFonts w:hint="eastAsia" w:ascii="仿宋" w:hAnsi="仿宋" w:eastAsia="仿宋" w:cs="仿宋"/>
                <w:szCs w:val="21"/>
                <w:highlight w:val="none"/>
              </w:rPr>
              <w:t>所占比重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spacing w:line="360" w:lineRule="auto"/>
              <w:rPr>
                <w:rFonts w:ascii="仿宋" w:hAnsi="仿宋" w:eastAsia="仿宋" w:cs="仿宋"/>
                <w:szCs w:val="21"/>
                <w:highlight w:val="none"/>
              </w:rPr>
            </w:pPr>
            <w:r>
              <w:rPr>
                <w:rFonts w:hint="eastAsia" w:ascii="仿宋" w:hAnsi="仿宋" w:eastAsia="仿宋" w:cs="仿宋"/>
                <w:szCs w:val="21"/>
                <w:highlight w:val="none"/>
              </w:rPr>
              <w:t>维护服务实施提交物</w:t>
            </w:r>
          </w:p>
        </w:tc>
        <w:tc>
          <w:tcPr>
            <w:tcW w:w="6195" w:type="dxa"/>
          </w:tcPr>
          <w:p>
            <w:pPr>
              <w:spacing w:line="360" w:lineRule="auto"/>
              <w:rPr>
                <w:rFonts w:ascii="仿宋" w:hAnsi="仿宋" w:eastAsia="仿宋" w:cs="仿宋"/>
                <w:szCs w:val="21"/>
                <w:highlight w:val="none"/>
              </w:rPr>
            </w:pPr>
            <w:r>
              <w:rPr>
                <w:rFonts w:hint="eastAsia" w:ascii="仿宋" w:hAnsi="仿宋" w:eastAsia="仿宋" w:cs="仿宋"/>
                <w:szCs w:val="21"/>
                <w:highlight w:val="none"/>
              </w:rPr>
              <w:t>考核维护服务能否按照合同约定按时保质保量完成服务的基本内容</w:t>
            </w:r>
          </w:p>
        </w:tc>
        <w:tc>
          <w:tcPr>
            <w:tcW w:w="1161" w:type="dxa"/>
          </w:tcPr>
          <w:p>
            <w:pPr>
              <w:spacing w:line="360" w:lineRule="auto"/>
              <w:rPr>
                <w:rFonts w:ascii="仿宋" w:hAnsi="仿宋" w:eastAsia="仿宋" w:cs="仿宋"/>
                <w:szCs w:val="21"/>
                <w:highlight w:val="none"/>
              </w:rPr>
            </w:pPr>
            <w:r>
              <w:rPr>
                <w:rFonts w:hint="eastAsia" w:ascii="仿宋" w:hAnsi="仿宋" w:eastAsia="仿宋" w:cs="仿宋"/>
                <w:szCs w:val="21"/>
                <w:highlight w:val="none"/>
              </w:rPr>
              <w:t>77分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spacing w:line="360" w:lineRule="auto"/>
              <w:rPr>
                <w:rFonts w:ascii="仿宋" w:hAnsi="仿宋" w:eastAsia="仿宋" w:cs="仿宋"/>
                <w:szCs w:val="21"/>
                <w:highlight w:val="none"/>
              </w:rPr>
            </w:pPr>
            <w:r>
              <w:rPr>
                <w:rFonts w:hint="eastAsia" w:ascii="仿宋" w:hAnsi="仿宋" w:eastAsia="仿宋" w:cs="仿宋"/>
                <w:szCs w:val="21"/>
                <w:highlight w:val="none"/>
              </w:rPr>
              <w:t>客户满意度</w:t>
            </w:r>
          </w:p>
        </w:tc>
        <w:tc>
          <w:tcPr>
            <w:tcW w:w="6195" w:type="dxa"/>
          </w:tcPr>
          <w:p>
            <w:pPr>
              <w:spacing w:line="360" w:lineRule="auto"/>
              <w:rPr>
                <w:rFonts w:ascii="仿宋" w:hAnsi="仿宋" w:eastAsia="仿宋" w:cs="仿宋"/>
                <w:szCs w:val="21"/>
                <w:highlight w:val="none"/>
              </w:rPr>
            </w:pPr>
            <w:r>
              <w:rPr>
                <w:rFonts w:hint="eastAsia" w:ascii="仿宋" w:hAnsi="仿宋" w:eastAsia="仿宋" w:cs="仿宋"/>
                <w:szCs w:val="21"/>
                <w:highlight w:val="none"/>
              </w:rPr>
              <w:t>考核维护服务能否在服务态度，技术力量，解决时限等方面达到甲方的要求</w:t>
            </w:r>
          </w:p>
        </w:tc>
        <w:tc>
          <w:tcPr>
            <w:tcW w:w="1161" w:type="dxa"/>
          </w:tcPr>
          <w:p>
            <w:pPr>
              <w:spacing w:line="360" w:lineRule="auto"/>
              <w:rPr>
                <w:rFonts w:ascii="仿宋" w:hAnsi="仿宋" w:eastAsia="仿宋" w:cs="仿宋"/>
                <w:szCs w:val="21"/>
                <w:highlight w:val="none"/>
              </w:rPr>
            </w:pPr>
            <w:r>
              <w:rPr>
                <w:rFonts w:hint="eastAsia" w:ascii="仿宋" w:hAnsi="仿宋" w:eastAsia="仿宋" w:cs="仿宋"/>
                <w:szCs w:val="21"/>
                <w:highlight w:val="none"/>
              </w:rPr>
              <w:t>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spacing w:line="360" w:lineRule="auto"/>
              <w:rPr>
                <w:rFonts w:ascii="仿宋" w:hAnsi="仿宋" w:eastAsia="仿宋" w:cs="仿宋"/>
                <w:szCs w:val="21"/>
                <w:highlight w:val="none"/>
              </w:rPr>
            </w:pPr>
            <w:r>
              <w:rPr>
                <w:rFonts w:hint="eastAsia" w:ascii="仿宋" w:hAnsi="仿宋" w:eastAsia="仿宋" w:cs="仿宋"/>
                <w:szCs w:val="21"/>
                <w:highlight w:val="none"/>
              </w:rPr>
              <w:t>维护服务鼓励与加分</w:t>
            </w:r>
          </w:p>
        </w:tc>
        <w:tc>
          <w:tcPr>
            <w:tcW w:w="6195" w:type="dxa"/>
          </w:tcPr>
          <w:p>
            <w:pPr>
              <w:spacing w:line="360" w:lineRule="auto"/>
              <w:rPr>
                <w:rFonts w:ascii="仿宋" w:hAnsi="仿宋" w:eastAsia="仿宋" w:cs="仿宋"/>
                <w:szCs w:val="21"/>
                <w:highlight w:val="none"/>
              </w:rPr>
            </w:pPr>
            <w:r>
              <w:rPr>
                <w:rFonts w:hint="eastAsia" w:ascii="仿宋" w:hAnsi="仿宋" w:eastAsia="仿宋" w:cs="仿宋"/>
                <w:szCs w:val="21"/>
                <w:highlight w:val="none"/>
              </w:rPr>
              <w:t>为了鼓励乙方更多的参与甲方运维管理提升，提升运维管理水平，激励乙方更多参与服务合同外的服务项目，为甲方提供超值服务，为超出服务范围的服务提供鼓励与加分。</w:t>
            </w:r>
          </w:p>
        </w:tc>
        <w:tc>
          <w:tcPr>
            <w:tcW w:w="1161" w:type="dxa"/>
          </w:tcPr>
          <w:p>
            <w:pPr>
              <w:spacing w:line="360" w:lineRule="auto"/>
              <w:rPr>
                <w:rFonts w:ascii="仿宋" w:hAnsi="仿宋" w:eastAsia="仿宋" w:cs="仿宋"/>
                <w:szCs w:val="21"/>
                <w:highlight w:val="none"/>
              </w:rPr>
            </w:pPr>
            <w:r>
              <w:rPr>
                <w:rFonts w:hint="eastAsia" w:ascii="仿宋" w:hAnsi="仿宋" w:eastAsia="仿宋" w:cs="仿宋"/>
                <w:szCs w:val="21"/>
                <w:highlight w:val="none"/>
              </w:rPr>
              <w:t>不计上限</w:t>
            </w:r>
          </w:p>
        </w:tc>
      </w:tr>
    </w:tbl>
    <w:p>
      <w:pPr>
        <w:pStyle w:val="2"/>
        <w:numPr>
          <w:ilvl w:val="1"/>
          <w:numId w:val="10"/>
        </w:numPr>
        <w:spacing w:line="360" w:lineRule="auto"/>
        <w:rPr>
          <w:rFonts w:ascii="仿宋" w:hAnsi="仿宋" w:eastAsia="仿宋" w:cs="仿宋"/>
          <w:sz w:val="24"/>
          <w:szCs w:val="24"/>
          <w:highlight w:val="none"/>
        </w:rPr>
      </w:pPr>
      <w:bookmarkStart w:id="24" w:name="_Toc130889678"/>
      <w:r>
        <w:rPr>
          <w:rFonts w:hint="eastAsia" w:ascii="仿宋" w:hAnsi="仿宋" w:eastAsia="仿宋" w:cs="仿宋"/>
          <w:sz w:val="24"/>
          <w:szCs w:val="24"/>
          <w:highlight w:val="none"/>
        </w:rPr>
        <w:t>维护服务实施提交物考核办法</w:t>
      </w:r>
      <w:bookmarkEnd w:id="24"/>
    </w:p>
    <w:p>
      <w:pPr>
        <w:pStyle w:val="2"/>
        <w:numPr>
          <w:ilvl w:val="2"/>
          <w:numId w:val="10"/>
        </w:numPr>
        <w:spacing w:line="360" w:lineRule="auto"/>
        <w:rPr>
          <w:rFonts w:ascii="仿宋" w:hAnsi="仿宋" w:eastAsia="仿宋" w:cs="仿宋"/>
          <w:sz w:val="21"/>
          <w:szCs w:val="21"/>
          <w:highlight w:val="none"/>
        </w:rPr>
      </w:pPr>
      <w:bookmarkStart w:id="25" w:name="_Toc130889679"/>
      <w:r>
        <w:rPr>
          <w:rFonts w:hint="eastAsia" w:ascii="仿宋" w:hAnsi="仿宋" w:eastAsia="仿宋" w:cs="仿宋"/>
          <w:sz w:val="21"/>
          <w:szCs w:val="21"/>
          <w:highlight w:val="none"/>
        </w:rPr>
        <w:t>维护服务实施提交物考核表</w:t>
      </w:r>
      <w:bookmarkEnd w:id="25"/>
    </w:p>
    <w:tbl>
      <w:tblPr>
        <w:tblStyle w:val="4"/>
        <w:tblW w:w="8379" w:type="dxa"/>
        <w:tblInd w:w="93" w:type="dxa"/>
        <w:tblLayout w:type="fixed"/>
        <w:tblCellMar>
          <w:top w:w="0" w:type="dxa"/>
          <w:left w:w="108" w:type="dxa"/>
          <w:bottom w:w="0" w:type="dxa"/>
          <w:right w:w="108" w:type="dxa"/>
        </w:tblCellMar>
      </w:tblPr>
      <w:tblGrid>
        <w:gridCol w:w="1280"/>
        <w:gridCol w:w="1429"/>
        <w:gridCol w:w="371"/>
        <w:gridCol w:w="1613"/>
        <w:gridCol w:w="3686"/>
      </w:tblGrid>
      <w:tr>
        <w:tblPrEx>
          <w:tblCellMar>
            <w:top w:w="0" w:type="dxa"/>
            <w:left w:w="108" w:type="dxa"/>
            <w:bottom w:w="0" w:type="dxa"/>
            <w:right w:w="108" w:type="dxa"/>
          </w:tblCellMar>
        </w:tblPrEx>
        <w:trPr>
          <w:trHeight w:val="255" w:hRule="atLeast"/>
        </w:trPr>
        <w:tc>
          <w:tcPr>
            <w:tcW w:w="1280" w:type="dxa"/>
            <w:vMerge w:val="restart"/>
            <w:tcBorders>
              <w:top w:val="single" w:color="auto" w:sz="4" w:space="0"/>
              <w:left w:val="single" w:color="auto" w:sz="4" w:space="0"/>
              <w:bottom w:val="nil"/>
              <w:right w:val="single" w:color="auto" w:sz="4" w:space="0"/>
            </w:tcBorders>
            <w:vAlign w:val="center"/>
          </w:tcPr>
          <w:p>
            <w:pPr>
              <w:widowControl/>
              <w:spacing w:line="360" w:lineRule="auto"/>
              <w:jc w:val="center"/>
              <w:rPr>
                <w:rFonts w:ascii="仿宋" w:hAnsi="仿宋" w:eastAsia="仿宋" w:cs="仿宋"/>
                <w:szCs w:val="21"/>
                <w:highlight w:val="none"/>
              </w:rPr>
            </w:pPr>
            <w:r>
              <w:rPr>
                <w:rFonts w:hint="eastAsia" w:ascii="仿宋" w:hAnsi="仿宋" w:eastAsia="仿宋" w:cs="仿宋"/>
                <w:szCs w:val="21"/>
                <w:highlight w:val="none"/>
              </w:rPr>
              <w:t>基础服务质量</w:t>
            </w:r>
          </w:p>
        </w:tc>
        <w:tc>
          <w:tcPr>
            <w:tcW w:w="1429" w:type="dxa"/>
            <w:vMerge w:val="restart"/>
            <w:tcBorders>
              <w:top w:val="single" w:color="auto" w:sz="4" w:space="0"/>
              <w:left w:val="single" w:color="auto" w:sz="4" w:space="0"/>
              <w:bottom w:val="nil"/>
              <w:right w:val="single" w:color="auto" w:sz="4" w:space="0"/>
            </w:tcBorders>
            <w:vAlign w:val="center"/>
          </w:tcPr>
          <w:p>
            <w:pPr>
              <w:widowControl/>
              <w:spacing w:line="360" w:lineRule="auto"/>
              <w:jc w:val="center"/>
              <w:rPr>
                <w:rFonts w:ascii="仿宋" w:hAnsi="仿宋" w:eastAsia="仿宋" w:cs="仿宋"/>
                <w:szCs w:val="21"/>
                <w:highlight w:val="none"/>
              </w:rPr>
            </w:pPr>
            <w:r>
              <w:rPr>
                <w:rFonts w:hint="eastAsia" w:ascii="仿宋" w:hAnsi="仿宋" w:eastAsia="仿宋" w:cs="仿宋"/>
                <w:szCs w:val="21"/>
                <w:highlight w:val="none"/>
              </w:rPr>
              <w:t>服务响应时效（40）</w:t>
            </w:r>
          </w:p>
        </w:tc>
        <w:tc>
          <w:tcPr>
            <w:tcW w:w="1984"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仿宋"/>
                <w:szCs w:val="21"/>
                <w:highlight w:val="none"/>
              </w:rPr>
            </w:pPr>
            <w:r>
              <w:rPr>
                <w:rFonts w:hint="eastAsia" w:ascii="仿宋" w:hAnsi="仿宋" w:eastAsia="仿宋" w:cs="仿宋"/>
                <w:szCs w:val="21"/>
                <w:highlight w:val="none"/>
              </w:rPr>
              <w:t>7*24服务</w:t>
            </w:r>
          </w:p>
        </w:tc>
        <w:tc>
          <w:tcPr>
            <w:tcW w:w="3686" w:type="dxa"/>
            <w:tcBorders>
              <w:top w:val="single" w:color="auto" w:sz="4" w:space="0"/>
              <w:left w:val="nil"/>
              <w:bottom w:val="single" w:color="auto" w:sz="4" w:space="0"/>
              <w:right w:val="single" w:color="auto" w:sz="4" w:space="0"/>
            </w:tcBorders>
            <w:vAlign w:val="bottom"/>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重大故障没有及时响应，每次扣2分</w:t>
            </w:r>
          </w:p>
        </w:tc>
      </w:tr>
      <w:tr>
        <w:tblPrEx>
          <w:tblCellMar>
            <w:top w:w="0" w:type="dxa"/>
            <w:left w:w="108" w:type="dxa"/>
            <w:bottom w:w="0" w:type="dxa"/>
            <w:right w:w="108" w:type="dxa"/>
          </w:tblCellMar>
        </w:tblPrEx>
        <w:trPr>
          <w:trHeight w:val="255" w:hRule="atLeast"/>
        </w:trPr>
        <w:tc>
          <w:tcPr>
            <w:tcW w:w="1280" w:type="dxa"/>
            <w:vMerge w:val="continue"/>
            <w:tcBorders>
              <w:top w:val="single" w:color="auto" w:sz="4" w:space="0"/>
              <w:left w:val="single" w:color="auto" w:sz="4" w:space="0"/>
              <w:bottom w:val="nil"/>
              <w:right w:val="single" w:color="auto" w:sz="4" w:space="0"/>
            </w:tcBorders>
            <w:vAlign w:val="center"/>
          </w:tcPr>
          <w:p>
            <w:pPr>
              <w:widowControl/>
              <w:spacing w:line="360" w:lineRule="auto"/>
              <w:rPr>
                <w:rFonts w:ascii="仿宋" w:hAnsi="仿宋" w:eastAsia="仿宋" w:cs="仿宋"/>
                <w:szCs w:val="21"/>
                <w:highlight w:val="none"/>
              </w:rPr>
            </w:pPr>
          </w:p>
        </w:tc>
        <w:tc>
          <w:tcPr>
            <w:tcW w:w="1429" w:type="dxa"/>
            <w:vMerge w:val="continue"/>
            <w:tcBorders>
              <w:top w:val="single" w:color="auto" w:sz="4" w:space="0"/>
              <w:left w:val="single" w:color="auto" w:sz="4" w:space="0"/>
              <w:bottom w:val="nil"/>
              <w:right w:val="single" w:color="auto" w:sz="4" w:space="0"/>
            </w:tcBorders>
            <w:vAlign w:val="center"/>
          </w:tcPr>
          <w:p>
            <w:pPr>
              <w:widowControl/>
              <w:spacing w:line="360" w:lineRule="auto"/>
              <w:rPr>
                <w:rFonts w:ascii="仿宋" w:hAnsi="仿宋" w:eastAsia="仿宋" w:cs="仿宋"/>
                <w:szCs w:val="21"/>
                <w:highlight w:val="none"/>
              </w:rPr>
            </w:pPr>
          </w:p>
        </w:tc>
        <w:tc>
          <w:tcPr>
            <w:tcW w:w="1984"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ascii="仿宋" w:hAnsi="仿宋" w:eastAsia="仿宋" w:cs="仿宋"/>
                <w:szCs w:val="21"/>
                <w:highlight w:val="none"/>
              </w:rPr>
            </w:pPr>
          </w:p>
        </w:tc>
        <w:tc>
          <w:tcPr>
            <w:tcW w:w="3686" w:type="dxa"/>
            <w:tcBorders>
              <w:top w:val="nil"/>
              <w:left w:val="nil"/>
              <w:bottom w:val="single" w:color="auto" w:sz="4" w:space="0"/>
              <w:right w:val="single" w:color="auto" w:sz="4" w:space="0"/>
            </w:tcBorders>
            <w:vAlign w:val="bottom"/>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严重故障没有及时响应，每次扣1分</w:t>
            </w:r>
          </w:p>
        </w:tc>
      </w:tr>
      <w:tr>
        <w:tblPrEx>
          <w:tblCellMar>
            <w:top w:w="0" w:type="dxa"/>
            <w:left w:w="108" w:type="dxa"/>
            <w:bottom w:w="0" w:type="dxa"/>
            <w:right w:w="108" w:type="dxa"/>
          </w:tblCellMar>
        </w:tblPrEx>
        <w:trPr>
          <w:trHeight w:val="255" w:hRule="atLeast"/>
        </w:trPr>
        <w:tc>
          <w:tcPr>
            <w:tcW w:w="1280" w:type="dxa"/>
            <w:vMerge w:val="continue"/>
            <w:tcBorders>
              <w:top w:val="single" w:color="auto" w:sz="4" w:space="0"/>
              <w:left w:val="single" w:color="auto" w:sz="4" w:space="0"/>
              <w:bottom w:val="nil"/>
              <w:right w:val="single" w:color="auto" w:sz="4" w:space="0"/>
            </w:tcBorders>
            <w:vAlign w:val="center"/>
          </w:tcPr>
          <w:p>
            <w:pPr>
              <w:widowControl/>
              <w:spacing w:line="360" w:lineRule="auto"/>
              <w:rPr>
                <w:rFonts w:ascii="仿宋" w:hAnsi="仿宋" w:eastAsia="仿宋" w:cs="仿宋"/>
                <w:szCs w:val="21"/>
                <w:highlight w:val="none"/>
              </w:rPr>
            </w:pPr>
          </w:p>
        </w:tc>
        <w:tc>
          <w:tcPr>
            <w:tcW w:w="1429" w:type="dxa"/>
            <w:vMerge w:val="continue"/>
            <w:tcBorders>
              <w:top w:val="single" w:color="auto" w:sz="4" w:space="0"/>
              <w:left w:val="single" w:color="auto" w:sz="4" w:space="0"/>
              <w:bottom w:val="nil"/>
              <w:right w:val="single" w:color="auto" w:sz="4" w:space="0"/>
            </w:tcBorders>
            <w:vAlign w:val="center"/>
          </w:tcPr>
          <w:p>
            <w:pPr>
              <w:widowControl/>
              <w:spacing w:line="360" w:lineRule="auto"/>
              <w:rPr>
                <w:rFonts w:ascii="仿宋" w:hAnsi="仿宋" w:eastAsia="仿宋" w:cs="仿宋"/>
                <w:szCs w:val="21"/>
                <w:highlight w:val="none"/>
              </w:rPr>
            </w:pPr>
          </w:p>
        </w:tc>
        <w:tc>
          <w:tcPr>
            <w:tcW w:w="1984"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ascii="仿宋" w:hAnsi="仿宋" w:eastAsia="仿宋" w:cs="仿宋"/>
                <w:szCs w:val="21"/>
                <w:highlight w:val="none"/>
              </w:rPr>
            </w:pPr>
          </w:p>
        </w:tc>
        <w:tc>
          <w:tcPr>
            <w:tcW w:w="3686" w:type="dxa"/>
            <w:tcBorders>
              <w:top w:val="nil"/>
              <w:left w:val="nil"/>
              <w:bottom w:val="single" w:color="auto" w:sz="4" w:space="0"/>
              <w:right w:val="single" w:color="auto" w:sz="4" w:space="0"/>
            </w:tcBorders>
            <w:vAlign w:val="bottom"/>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一般故障没有及时响应，每次扣0.5分</w:t>
            </w:r>
          </w:p>
        </w:tc>
      </w:tr>
      <w:tr>
        <w:tblPrEx>
          <w:tblCellMar>
            <w:top w:w="0" w:type="dxa"/>
            <w:left w:w="108" w:type="dxa"/>
            <w:bottom w:w="0" w:type="dxa"/>
            <w:right w:w="108" w:type="dxa"/>
          </w:tblCellMar>
        </w:tblPrEx>
        <w:trPr>
          <w:trHeight w:val="255" w:hRule="atLeast"/>
        </w:trPr>
        <w:tc>
          <w:tcPr>
            <w:tcW w:w="1280" w:type="dxa"/>
            <w:vMerge w:val="continue"/>
            <w:tcBorders>
              <w:top w:val="single" w:color="auto" w:sz="4" w:space="0"/>
              <w:left w:val="single" w:color="auto" w:sz="4" w:space="0"/>
              <w:bottom w:val="nil"/>
              <w:right w:val="single" w:color="auto" w:sz="4" w:space="0"/>
            </w:tcBorders>
            <w:vAlign w:val="center"/>
          </w:tcPr>
          <w:p>
            <w:pPr>
              <w:widowControl/>
              <w:spacing w:line="360" w:lineRule="auto"/>
              <w:rPr>
                <w:rFonts w:ascii="仿宋" w:hAnsi="仿宋" w:eastAsia="仿宋" w:cs="仿宋"/>
                <w:szCs w:val="21"/>
                <w:highlight w:val="none"/>
              </w:rPr>
            </w:pPr>
          </w:p>
        </w:tc>
        <w:tc>
          <w:tcPr>
            <w:tcW w:w="1429" w:type="dxa"/>
            <w:vMerge w:val="continue"/>
            <w:tcBorders>
              <w:top w:val="single" w:color="auto" w:sz="4" w:space="0"/>
              <w:left w:val="single" w:color="auto" w:sz="4" w:space="0"/>
              <w:bottom w:val="nil"/>
              <w:right w:val="single" w:color="auto" w:sz="4" w:space="0"/>
            </w:tcBorders>
            <w:vAlign w:val="center"/>
          </w:tcPr>
          <w:p>
            <w:pPr>
              <w:widowControl/>
              <w:spacing w:line="360" w:lineRule="auto"/>
              <w:rPr>
                <w:rFonts w:ascii="仿宋" w:hAnsi="仿宋" w:eastAsia="仿宋" w:cs="仿宋"/>
                <w:szCs w:val="21"/>
                <w:highlight w:val="none"/>
              </w:rPr>
            </w:pPr>
          </w:p>
        </w:tc>
        <w:tc>
          <w:tcPr>
            <w:tcW w:w="1984" w:type="dxa"/>
            <w:gridSpan w:val="2"/>
            <w:vMerge w:val="restart"/>
            <w:tcBorders>
              <w:top w:val="nil"/>
              <w:left w:val="single" w:color="auto" w:sz="4" w:space="0"/>
              <w:bottom w:val="nil"/>
              <w:right w:val="single" w:color="auto" w:sz="4" w:space="0"/>
            </w:tcBorders>
            <w:vAlign w:val="center"/>
          </w:tcPr>
          <w:p>
            <w:pPr>
              <w:widowControl/>
              <w:spacing w:line="360" w:lineRule="auto"/>
              <w:jc w:val="center"/>
              <w:rPr>
                <w:rFonts w:ascii="仿宋" w:hAnsi="仿宋" w:eastAsia="仿宋" w:cs="仿宋"/>
                <w:szCs w:val="21"/>
                <w:highlight w:val="none"/>
              </w:rPr>
            </w:pPr>
            <w:r>
              <w:rPr>
                <w:rFonts w:hint="eastAsia" w:ascii="仿宋" w:hAnsi="仿宋" w:eastAsia="仿宋" w:cs="仿宋"/>
                <w:szCs w:val="21"/>
                <w:highlight w:val="none"/>
              </w:rPr>
              <w:t>5x11服务/纯备件服务</w:t>
            </w:r>
          </w:p>
        </w:tc>
        <w:tc>
          <w:tcPr>
            <w:tcW w:w="3686" w:type="dxa"/>
            <w:tcBorders>
              <w:top w:val="nil"/>
              <w:left w:val="nil"/>
              <w:bottom w:val="single" w:color="auto" w:sz="4" w:space="0"/>
              <w:right w:val="single" w:color="auto" w:sz="4" w:space="0"/>
            </w:tcBorders>
            <w:vAlign w:val="bottom"/>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重大故障没有及时响应，每次扣1分</w:t>
            </w:r>
          </w:p>
        </w:tc>
      </w:tr>
      <w:tr>
        <w:tblPrEx>
          <w:tblCellMar>
            <w:top w:w="0" w:type="dxa"/>
            <w:left w:w="108" w:type="dxa"/>
            <w:bottom w:w="0" w:type="dxa"/>
            <w:right w:w="108" w:type="dxa"/>
          </w:tblCellMar>
        </w:tblPrEx>
        <w:trPr>
          <w:trHeight w:val="255" w:hRule="atLeast"/>
        </w:trPr>
        <w:tc>
          <w:tcPr>
            <w:tcW w:w="1280" w:type="dxa"/>
            <w:vMerge w:val="continue"/>
            <w:tcBorders>
              <w:top w:val="single" w:color="auto" w:sz="4" w:space="0"/>
              <w:left w:val="single" w:color="auto" w:sz="4" w:space="0"/>
              <w:bottom w:val="nil"/>
              <w:right w:val="single" w:color="auto" w:sz="4" w:space="0"/>
            </w:tcBorders>
            <w:vAlign w:val="center"/>
          </w:tcPr>
          <w:p>
            <w:pPr>
              <w:widowControl/>
              <w:spacing w:line="360" w:lineRule="auto"/>
              <w:rPr>
                <w:rFonts w:ascii="仿宋" w:hAnsi="仿宋" w:eastAsia="仿宋" w:cs="仿宋"/>
                <w:szCs w:val="21"/>
                <w:highlight w:val="none"/>
              </w:rPr>
            </w:pPr>
          </w:p>
        </w:tc>
        <w:tc>
          <w:tcPr>
            <w:tcW w:w="1429" w:type="dxa"/>
            <w:vMerge w:val="continue"/>
            <w:tcBorders>
              <w:top w:val="single" w:color="auto" w:sz="4" w:space="0"/>
              <w:left w:val="single" w:color="auto" w:sz="4" w:space="0"/>
              <w:bottom w:val="nil"/>
              <w:right w:val="single" w:color="auto" w:sz="4" w:space="0"/>
            </w:tcBorders>
            <w:vAlign w:val="center"/>
          </w:tcPr>
          <w:p>
            <w:pPr>
              <w:widowControl/>
              <w:spacing w:line="360" w:lineRule="auto"/>
              <w:rPr>
                <w:rFonts w:ascii="仿宋" w:hAnsi="仿宋" w:eastAsia="仿宋" w:cs="仿宋"/>
                <w:szCs w:val="21"/>
                <w:highlight w:val="none"/>
              </w:rPr>
            </w:pPr>
          </w:p>
        </w:tc>
        <w:tc>
          <w:tcPr>
            <w:tcW w:w="1984" w:type="dxa"/>
            <w:gridSpan w:val="2"/>
            <w:vMerge w:val="continue"/>
            <w:tcBorders>
              <w:top w:val="nil"/>
              <w:left w:val="single" w:color="auto" w:sz="4" w:space="0"/>
              <w:bottom w:val="nil"/>
              <w:right w:val="single" w:color="auto" w:sz="4" w:space="0"/>
            </w:tcBorders>
            <w:vAlign w:val="center"/>
          </w:tcPr>
          <w:p>
            <w:pPr>
              <w:widowControl/>
              <w:spacing w:line="360" w:lineRule="auto"/>
              <w:rPr>
                <w:rFonts w:ascii="仿宋" w:hAnsi="仿宋" w:eastAsia="仿宋" w:cs="仿宋"/>
                <w:szCs w:val="21"/>
                <w:highlight w:val="none"/>
              </w:rPr>
            </w:pPr>
          </w:p>
        </w:tc>
        <w:tc>
          <w:tcPr>
            <w:tcW w:w="3686" w:type="dxa"/>
            <w:tcBorders>
              <w:top w:val="nil"/>
              <w:left w:val="nil"/>
              <w:bottom w:val="single" w:color="auto" w:sz="4" w:space="0"/>
              <w:right w:val="single" w:color="auto" w:sz="4" w:space="0"/>
            </w:tcBorders>
            <w:vAlign w:val="bottom"/>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严重故障没有及时响应，每次扣0.5分</w:t>
            </w:r>
          </w:p>
        </w:tc>
      </w:tr>
      <w:tr>
        <w:tblPrEx>
          <w:tblCellMar>
            <w:top w:w="0" w:type="dxa"/>
            <w:left w:w="108" w:type="dxa"/>
            <w:bottom w:w="0" w:type="dxa"/>
            <w:right w:w="108" w:type="dxa"/>
          </w:tblCellMar>
        </w:tblPrEx>
        <w:trPr>
          <w:trHeight w:val="255"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Cs w:val="21"/>
                <w:highlight w:val="none"/>
              </w:rPr>
            </w:pPr>
          </w:p>
        </w:tc>
        <w:tc>
          <w:tcPr>
            <w:tcW w:w="14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Cs w:val="21"/>
                <w:highlight w:val="none"/>
              </w:rPr>
            </w:pPr>
          </w:p>
        </w:tc>
        <w:tc>
          <w:tcPr>
            <w:tcW w:w="1984"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Cs w:val="21"/>
                <w:highlight w:val="none"/>
              </w:rPr>
            </w:pPr>
          </w:p>
        </w:tc>
        <w:tc>
          <w:tcPr>
            <w:tcW w:w="3686" w:type="dxa"/>
            <w:tcBorders>
              <w:top w:val="nil"/>
              <w:left w:val="nil"/>
              <w:bottom w:val="single" w:color="auto" w:sz="4" w:space="0"/>
              <w:right w:val="single" w:color="auto" w:sz="4" w:space="0"/>
            </w:tcBorders>
            <w:vAlign w:val="bottom"/>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一般故障没有及时响应，每次扣0.25分</w:t>
            </w:r>
          </w:p>
        </w:tc>
      </w:tr>
      <w:tr>
        <w:tblPrEx>
          <w:tblCellMar>
            <w:top w:w="0" w:type="dxa"/>
            <w:left w:w="108" w:type="dxa"/>
            <w:bottom w:w="0" w:type="dxa"/>
            <w:right w:w="108" w:type="dxa"/>
          </w:tblCellMar>
        </w:tblPrEx>
        <w:trPr>
          <w:trHeight w:val="510" w:hRule="atLeast"/>
        </w:trPr>
        <w:tc>
          <w:tcPr>
            <w:tcW w:w="1280" w:type="dxa"/>
            <w:tcBorders>
              <w:top w:val="single" w:color="auto" w:sz="4" w:space="0"/>
              <w:left w:val="single" w:color="auto" w:sz="4" w:space="0"/>
              <w:bottom w:val="single" w:color="auto" w:sz="4" w:space="0"/>
              <w:right w:val="single" w:color="auto" w:sz="6" w:space="0"/>
            </w:tcBorders>
            <w:vAlign w:val="center"/>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增值服务</w:t>
            </w:r>
          </w:p>
        </w:tc>
        <w:tc>
          <w:tcPr>
            <w:tcW w:w="3413" w:type="dxa"/>
            <w:gridSpan w:val="3"/>
            <w:tcBorders>
              <w:top w:val="single" w:color="auto" w:sz="4" w:space="0"/>
              <w:left w:val="single" w:color="auto" w:sz="6" w:space="0"/>
              <w:bottom w:val="single" w:color="auto" w:sz="4" w:space="0"/>
              <w:right w:val="single" w:color="auto" w:sz="6" w:space="0"/>
            </w:tcBorders>
            <w:vAlign w:val="center"/>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服务响应时效（20）</w:t>
            </w:r>
          </w:p>
        </w:tc>
        <w:tc>
          <w:tcPr>
            <w:tcW w:w="3686" w:type="dxa"/>
            <w:tcBorders>
              <w:top w:val="single" w:color="auto" w:sz="4" w:space="0"/>
              <w:left w:val="single" w:color="auto" w:sz="6" w:space="0"/>
              <w:bottom w:val="single" w:color="auto" w:sz="4" w:space="0"/>
              <w:right w:val="single" w:color="auto" w:sz="4" w:space="0"/>
            </w:tcBorders>
            <w:vAlign w:val="bottom"/>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增值服务没有在双方商定的时间内及时开始，每次扣2分</w:t>
            </w:r>
          </w:p>
        </w:tc>
      </w:tr>
      <w:tr>
        <w:tblPrEx>
          <w:tblCellMar>
            <w:top w:w="0" w:type="dxa"/>
            <w:left w:w="108" w:type="dxa"/>
            <w:bottom w:w="0" w:type="dxa"/>
            <w:right w:w="108" w:type="dxa"/>
          </w:tblCellMar>
        </w:tblPrEx>
        <w:trPr>
          <w:trHeight w:val="510" w:hRule="atLeast"/>
        </w:trPr>
        <w:tc>
          <w:tcPr>
            <w:tcW w:w="128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cs="仿宋"/>
                <w:szCs w:val="21"/>
                <w:highlight w:val="none"/>
              </w:rPr>
            </w:pPr>
            <w:r>
              <w:rPr>
                <w:rFonts w:hint="eastAsia" w:ascii="仿宋" w:hAnsi="仿宋" w:eastAsia="仿宋" w:cs="仿宋"/>
                <w:szCs w:val="21"/>
                <w:highlight w:val="none"/>
              </w:rPr>
              <w:t>维护服务管理</w:t>
            </w:r>
          </w:p>
        </w:tc>
        <w:tc>
          <w:tcPr>
            <w:tcW w:w="180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报告提交（12）</w:t>
            </w:r>
          </w:p>
        </w:tc>
        <w:tc>
          <w:tcPr>
            <w:tcW w:w="1613" w:type="dxa"/>
            <w:tcBorders>
              <w:top w:val="single" w:color="auto" w:sz="4" w:space="0"/>
              <w:left w:val="nil"/>
              <w:bottom w:val="single" w:color="auto" w:sz="4" w:space="0"/>
              <w:right w:val="single" w:color="auto" w:sz="4" w:space="0"/>
            </w:tcBorders>
            <w:vAlign w:val="bottom"/>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巡检报告、安全防护达标报告、资产管理报告（4)</w:t>
            </w:r>
          </w:p>
        </w:tc>
        <w:tc>
          <w:tcPr>
            <w:tcW w:w="3686" w:type="dxa"/>
            <w:tcBorders>
              <w:top w:val="single" w:color="auto" w:sz="4" w:space="0"/>
              <w:left w:val="nil"/>
              <w:bottom w:val="single" w:color="auto" w:sz="4" w:space="0"/>
              <w:right w:val="single" w:color="auto" w:sz="4" w:space="0"/>
            </w:tcBorders>
            <w:vAlign w:val="bottom"/>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巡检结束后15日内，每延迟一个工作日扣0.5分。</w:t>
            </w:r>
          </w:p>
        </w:tc>
      </w:tr>
      <w:tr>
        <w:tblPrEx>
          <w:tblCellMar>
            <w:top w:w="0" w:type="dxa"/>
            <w:left w:w="108" w:type="dxa"/>
            <w:bottom w:w="0" w:type="dxa"/>
            <w:right w:w="108" w:type="dxa"/>
          </w:tblCellMar>
        </w:tblPrEx>
        <w:trPr>
          <w:trHeight w:val="510" w:hRule="atLeast"/>
        </w:trPr>
        <w:tc>
          <w:tcPr>
            <w:tcW w:w="1280" w:type="dxa"/>
            <w:vMerge w:val="continue"/>
            <w:tcBorders>
              <w:top w:val="nil"/>
              <w:left w:val="single" w:color="auto" w:sz="4" w:space="0"/>
              <w:bottom w:val="single" w:color="000000" w:sz="4" w:space="0"/>
              <w:right w:val="single" w:color="auto" w:sz="4" w:space="0"/>
            </w:tcBorders>
            <w:vAlign w:val="center"/>
          </w:tcPr>
          <w:p>
            <w:pPr>
              <w:widowControl/>
              <w:spacing w:line="360" w:lineRule="auto"/>
              <w:rPr>
                <w:rFonts w:ascii="仿宋" w:hAnsi="仿宋" w:eastAsia="仿宋" w:cs="仿宋"/>
                <w:szCs w:val="21"/>
                <w:highlight w:val="none"/>
              </w:rPr>
            </w:pPr>
          </w:p>
        </w:tc>
        <w:tc>
          <w:tcPr>
            <w:tcW w:w="1800" w:type="dxa"/>
            <w:gridSpan w:val="2"/>
            <w:vMerge w:val="continue"/>
            <w:tcBorders>
              <w:top w:val="nil"/>
              <w:left w:val="single" w:color="auto" w:sz="4" w:space="0"/>
              <w:bottom w:val="single" w:color="000000" w:sz="4" w:space="0"/>
              <w:right w:val="single" w:color="auto" w:sz="4" w:space="0"/>
            </w:tcBorders>
            <w:vAlign w:val="center"/>
          </w:tcPr>
          <w:p>
            <w:pPr>
              <w:widowControl/>
              <w:spacing w:line="360" w:lineRule="auto"/>
              <w:rPr>
                <w:rFonts w:ascii="仿宋" w:hAnsi="仿宋" w:eastAsia="仿宋" w:cs="仿宋"/>
                <w:szCs w:val="21"/>
                <w:highlight w:val="none"/>
              </w:rPr>
            </w:pPr>
          </w:p>
        </w:tc>
        <w:tc>
          <w:tcPr>
            <w:tcW w:w="1613" w:type="dxa"/>
            <w:tcBorders>
              <w:top w:val="nil"/>
              <w:left w:val="nil"/>
              <w:bottom w:val="single" w:color="auto" w:sz="4" w:space="0"/>
              <w:right w:val="single" w:color="auto" w:sz="4" w:space="0"/>
            </w:tcBorders>
            <w:vAlign w:val="bottom"/>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月度服务统计报告、月度补丁服务报告、月度性能分析报告(4)</w:t>
            </w:r>
          </w:p>
        </w:tc>
        <w:tc>
          <w:tcPr>
            <w:tcW w:w="3686" w:type="dxa"/>
            <w:tcBorders>
              <w:top w:val="nil"/>
              <w:left w:val="nil"/>
              <w:bottom w:val="single" w:color="auto" w:sz="4" w:space="0"/>
              <w:right w:val="single" w:color="auto" w:sz="4" w:space="0"/>
            </w:tcBorders>
            <w:vAlign w:val="bottom"/>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每月第5个工作日内，每延迟一个工作日扣0.5分。</w:t>
            </w:r>
          </w:p>
        </w:tc>
      </w:tr>
      <w:tr>
        <w:tblPrEx>
          <w:tblCellMar>
            <w:top w:w="0" w:type="dxa"/>
            <w:left w:w="108" w:type="dxa"/>
            <w:bottom w:w="0" w:type="dxa"/>
            <w:right w:w="108" w:type="dxa"/>
          </w:tblCellMar>
        </w:tblPrEx>
        <w:trPr>
          <w:trHeight w:val="510" w:hRule="atLeast"/>
        </w:trPr>
        <w:tc>
          <w:tcPr>
            <w:tcW w:w="1280" w:type="dxa"/>
            <w:vMerge w:val="continue"/>
            <w:tcBorders>
              <w:top w:val="nil"/>
              <w:left w:val="single" w:color="auto" w:sz="4" w:space="0"/>
              <w:bottom w:val="single" w:color="000000" w:sz="4" w:space="0"/>
              <w:right w:val="single" w:color="auto" w:sz="4" w:space="0"/>
            </w:tcBorders>
            <w:vAlign w:val="center"/>
          </w:tcPr>
          <w:p>
            <w:pPr>
              <w:widowControl/>
              <w:spacing w:line="360" w:lineRule="auto"/>
              <w:rPr>
                <w:rFonts w:ascii="仿宋" w:hAnsi="仿宋" w:eastAsia="仿宋" w:cs="仿宋"/>
                <w:szCs w:val="21"/>
                <w:highlight w:val="none"/>
              </w:rPr>
            </w:pPr>
          </w:p>
        </w:tc>
        <w:tc>
          <w:tcPr>
            <w:tcW w:w="1800" w:type="dxa"/>
            <w:gridSpan w:val="2"/>
            <w:vMerge w:val="continue"/>
            <w:tcBorders>
              <w:top w:val="nil"/>
              <w:left w:val="single" w:color="auto" w:sz="4" w:space="0"/>
              <w:bottom w:val="single" w:color="000000" w:sz="4" w:space="0"/>
              <w:right w:val="single" w:color="auto" w:sz="4" w:space="0"/>
            </w:tcBorders>
            <w:vAlign w:val="center"/>
          </w:tcPr>
          <w:p>
            <w:pPr>
              <w:widowControl/>
              <w:spacing w:line="360" w:lineRule="auto"/>
              <w:rPr>
                <w:rFonts w:ascii="仿宋" w:hAnsi="仿宋" w:eastAsia="仿宋" w:cs="仿宋"/>
                <w:szCs w:val="21"/>
                <w:highlight w:val="none"/>
              </w:rPr>
            </w:pPr>
          </w:p>
        </w:tc>
        <w:tc>
          <w:tcPr>
            <w:tcW w:w="1613" w:type="dxa"/>
            <w:tcBorders>
              <w:top w:val="nil"/>
              <w:left w:val="nil"/>
              <w:bottom w:val="single" w:color="auto" w:sz="4" w:space="0"/>
              <w:right w:val="single" w:color="auto" w:sz="4" w:space="0"/>
            </w:tcBorders>
            <w:vAlign w:val="bottom"/>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季度服务统计回顾报告 (4)</w:t>
            </w:r>
          </w:p>
        </w:tc>
        <w:tc>
          <w:tcPr>
            <w:tcW w:w="3686" w:type="dxa"/>
            <w:tcBorders>
              <w:top w:val="nil"/>
              <w:left w:val="nil"/>
              <w:bottom w:val="single" w:color="auto" w:sz="4" w:space="0"/>
              <w:right w:val="single" w:color="auto" w:sz="4" w:space="0"/>
            </w:tcBorders>
            <w:vAlign w:val="bottom"/>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每季度第10个工作日内，每延迟一个工作日扣0.5分。</w:t>
            </w:r>
          </w:p>
        </w:tc>
      </w:tr>
      <w:tr>
        <w:tblPrEx>
          <w:tblCellMar>
            <w:top w:w="0" w:type="dxa"/>
            <w:left w:w="108" w:type="dxa"/>
            <w:bottom w:w="0" w:type="dxa"/>
            <w:right w:w="108" w:type="dxa"/>
          </w:tblCellMar>
        </w:tblPrEx>
        <w:trPr>
          <w:trHeight w:val="255" w:hRule="atLeast"/>
        </w:trPr>
        <w:tc>
          <w:tcPr>
            <w:tcW w:w="1280" w:type="dxa"/>
            <w:vMerge w:val="continue"/>
            <w:tcBorders>
              <w:top w:val="nil"/>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Cs w:val="21"/>
                <w:highlight w:val="none"/>
              </w:rPr>
            </w:pPr>
          </w:p>
        </w:tc>
        <w:tc>
          <w:tcPr>
            <w:tcW w:w="1800" w:type="dxa"/>
            <w:gridSpan w:val="2"/>
            <w:tcBorders>
              <w:top w:val="nil"/>
              <w:left w:val="nil"/>
              <w:bottom w:val="single" w:color="auto" w:sz="4" w:space="0"/>
              <w:right w:val="single" w:color="auto" w:sz="4" w:space="0"/>
            </w:tcBorders>
            <w:vAlign w:val="bottom"/>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客户沟通（5）</w:t>
            </w:r>
          </w:p>
        </w:tc>
        <w:tc>
          <w:tcPr>
            <w:tcW w:w="1613" w:type="dxa"/>
            <w:tcBorders>
              <w:top w:val="nil"/>
              <w:left w:val="nil"/>
              <w:bottom w:val="single" w:color="auto" w:sz="4" w:space="0"/>
              <w:right w:val="single" w:color="auto" w:sz="4" w:space="0"/>
            </w:tcBorders>
            <w:vAlign w:val="bottom"/>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 </w:t>
            </w:r>
          </w:p>
        </w:tc>
        <w:tc>
          <w:tcPr>
            <w:tcW w:w="3686" w:type="dxa"/>
            <w:tcBorders>
              <w:top w:val="nil"/>
              <w:left w:val="nil"/>
              <w:bottom w:val="single" w:color="auto" w:sz="4" w:space="0"/>
              <w:right w:val="single" w:color="auto" w:sz="4" w:space="0"/>
            </w:tcBorders>
            <w:vAlign w:val="bottom"/>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 服务团队与甲方日常沟通情况</w:t>
            </w:r>
          </w:p>
        </w:tc>
      </w:tr>
    </w:tbl>
    <w:p>
      <w:pPr>
        <w:pStyle w:val="2"/>
        <w:numPr>
          <w:ilvl w:val="2"/>
          <w:numId w:val="10"/>
        </w:numPr>
        <w:spacing w:line="360" w:lineRule="auto"/>
        <w:rPr>
          <w:rFonts w:ascii="仿宋" w:hAnsi="仿宋" w:eastAsia="仿宋" w:cs="仿宋"/>
          <w:sz w:val="21"/>
          <w:szCs w:val="21"/>
          <w:highlight w:val="none"/>
        </w:rPr>
      </w:pPr>
      <w:bookmarkStart w:id="26" w:name="_Toc130889680"/>
      <w:r>
        <w:rPr>
          <w:rFonts w:hint="eastAsia" w:ascii="仿宋" w:hAnsi="仿宋" w:eastAsia="仿宋" w:cs="仿宋"/>
          <w:sz w:val="21"/>
          <w:szCs w:val="21"/>
          <w:highlight w:val="none"/>
        </w:rPr>
        <w:t>考核频率及计算方法</w:t>
      </w:r>
      <w:bookmarkEnd w:id="26"/>
    </w:p>
    <w:p>
      <w:pPr>
        <w:widowControl/>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维护服务实施提交物考核每季度考核一次，总分为77分。</w:t>
      </w:r>
    </w:p>
    <w:p>
      <w:pPr>
        <w:pStyle w:val="2"/>
        <w:numPr>
          <w:ilvl w:val="1"/>
          <w:numId w:val="10"/>
        </w:num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27" w:name="_Toc130889681"/>
      <w:r>
        <w:rPr>
          <w:rFonts w:hint="eastAsia" w:ascii="仿宋" w:hAnsi="仿宋" w:eastAsia="仿宋" w:cs="仿宋"/>
          <w:sz w:val="24"/>
          <w:szCs w:val="24"/>
          <w:highlight w:val="none"/>
        </w:rPr>
        <w:t>客户满意度考核</w:t>
      </w:r>
      <w:bookmarkEnd w:id="27"/>
    </w:p>
    <w:p>
      <w:pPr>
        <w:pStyle w:val="2"/>
        <w:numPr>
          <w:ilvl w:val="2"/>
          <w:numId w:val="10"/>
        </w:numPr>
        <w:spacing w:line="360" w:lineRule="auto"/>
        <w:rPr>
          <w:rFonts w:ascii="仿宋" w:hAnsi="仿宋" w:eastAsia="仿宋" w:cs="仿宋"/>
          <w:sz w:val="21"/>
          <w:szCs w:val="21"/>
          <w:highlight w:val="none"/>
        </w:rPr>
      </w:pPr>
      <w:bookmarkStart w:id="28" w:name="_Toc130889682"/>
      <w:r>
        <w:rPr>
          <w:rFonts w:hint="eastAsia" w:ascii="仿宋" w:hAnsi="仿宋" w:eastAsia="仿宋" w:cs="仿宋"/>
          <w:sz w:val="21"/>
          <w:szCs w:val="21"/>
          <w:highlight w:val="none"/>
        </w:rPr>
        <w:t>客户满意度考核表</w:t>
      </w:r>
      <w:bookmarkEnd w:id="28"/>
    </w:p>
    <w:tbl>
      <w:tblPr>
        <w:tblStyle w:val="4"/>
        <w:tblpPr w:leftFromText="180" w:rightFromText="180" w:vertAnchor="text" w:horzAnchor="margin" w:tblpY="17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396"/>
        <w:gridCol w:w="2307"/>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1" w:type="dxa"/>
          </w:tcPr>
          <w:p>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项目</w:t>
            </w:r>
          </w:p>
        </w:tc>
        <w:tc>
          <w:tcPr>
            <w:tcW w:w="3396" w:type="dxa"/>
          </w:tcPr>
          <w:p>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调查内容</w:t>
            </w:r>
          </w:p>
        </w:tc>
        <w:tc>
          <w:tcPr>
            <w:tcW w:w="2307" w:type="dxa"/>
          </w:tcPr>
          <w:p>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评定结果</w:t>
            </w:r>
          </w:p>
        </w:tc>
        <w:tc>
          <w:tcPr>
            <w:tcW w:w="2804" w:type="dxa"/>
          </w:tcPr>
          <w:p>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81" w:type="dxa"/>
            <w:vAlign w:val="center"/>
          </w:tcPr>
          <w:p>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1</w:t>
            </w:r>
          </w:p>
        </w:tc>
        <w:tc>
          <w:tcPr>
            <w:tcW w:w="3396"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请问维修结束后,您所报修的机器的问题是否已经解决?</w:t>
            </w:r>
          </w:p>
        </w:tc>
        <w:tc>
          <w:tcPr>
            <w:tcW w:w="230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 ）是  （ ）否</w:t>
            </w:r>
          </w:p>
        </w:tc>
        <w:tc>
          <w:tcPr>
            <w:tcW w:w="2804"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是：1分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否：0分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81" w:type="dxa"/>
            <w:vAlign w:val="center"/>
          </w:tcPr>
          <w:p>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2</w:t>
            </w:r>
          </w:p>
        </w:tc>
        <w:tc>
          <w:tcPr>
            <w:tcW w:w="3396"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是否工程师第一次到现场就解决了机器的问题？</w:t>
            </w:r>
          </w:p>
        </w:tc>
        <w:tc>
          <w:tcPr>
            <w:tcW w:w="230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 ）是  （ ）否</w:t>
            </w:r>
          </w:p>
        </w:tc>
        <w:tc>
          <w:tcPr>
            <w:tcW w:w="2804"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是：1分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否：0分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81" w:type="dxa"/>
            <w:vAlign w:val="center"/>
          </w:tcPr>
          <w:p>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3</w:t>
            </w:r>
          </w:p>
        </w:tc>
        <w:tc>
          <w:tcPr>
            <w:tcW w:w="3396"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工程师是否按照约定时间准时到达的？  </w:t>
            </w:r>
          </w:p>
        </w:tc>
        <w:tc>
          <w:tcPr>
            <w:tcW w:w="230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 ）是  （ ）否</w:t>
            </w:r>
          </w:p>
        </w:tc>
        <w:tc>
          <w:tcPr>
            <w:tcW w:w="2804"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是：1分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否：0分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781" w:type="dxa"/>
            <w:vAlign w:val="center"/>
          </w:tcPr>
          <w:p>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4</w:t>
            </w:r>
          </w:p>
        </w:tc>
        <w:tc>
          <w:tcPr>
            <w:tcW w:w="3396"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您对现场工程师技术能力的满意度如何？</w:t>
            </w:r>
          </w:p>
        </w:tc>
        <w:tc>
          <w:tcPr>
            <w:tcW w:w="2307" w:type="dxa"/>
          </w:tcPr>
          <w:p>
            <w:pPr>
              <w:spacing w:line="360" w:lineRule="auto"/>
              <w:rPr>
                <w:rFonts w:ascii="仿宋" w:hAnsi="仿宋" w:eastAsia="仿宋" w:cs="仿宋"/>
                <w:szCs w:val="21"/>
                <w:highlight w:val="none"/>
              </w:rPr>
            </w:pPr>
            <w:r>
              <w:rPr>
                <w:rFonts w:hint="eastAsia" w:ascii="仿宋" w:hAnsi="仿宋" w:eastAsia="仿宋" w:cs="仿宋"/>
                <w:szCs w:val="21"/>
                <w:highlight w:val="none"/>
              </w:rPr>
              <w:t>（ ）非常满意</w:t>
            </w:r>
          </w:p>
          <w:p>
            <w:pPr>
              <w:spacing w:line="360" w:lineRule="auto"/>
              <w:rPr>
                <w:rFonts w:ascii="仿宋" w:hAnsi="仿宋" w:eastAsia="仿宋" w:cs="仿宋"/>
                <w:szCs w:val="21"/>
                <w:highlight w:val="none"/>
              </w:rPr>
            </w:pPr>
            <w:r>
              <w:rPr>
                <w:rFonts w:hint="eastAsia" w:ascii="仿宋" w:hAnsi="仿宋" w:eastAsia="仿宋" w:cs="仿宋"/>
                <w:szCs w:val="21"/>
                <w:highlight w:val="none"/>
              </w:rPr>
              <w:t>（ ）很满意</w:t>
            </w:r>
          </w:p>
          <w:p>
            <w:pPr>
              <w:spacing w:line="360" w:lineRule="auto"/>
              <w:rPr>
                <w:rFonts w:ascii="仿宋" w:hAnsi="仿宋" w:eastAsia="仿宋" w:cs="仿宋"/>
                <w:szCs w:val="21"/>
                <w:highlight w:val="none"/>
              </w:rPr>
            </w:pPr>
            <w:r>
              <w:rPr>
                <w:rFonts w:hint="eastAsia" w:ascii="仿宋" w:hAnsi="仿宋" w:eastAsia="仿宋" w:cs="仿宋"/>
                <w:szCs w:val="21"/>
                <w:highlight w:val="none"/>
              </w:rPr>
              <w:t>（ ）一般</w:t>
            </w:r>
          </w:p>
          <w:p>
            <w:pPr>
              <w:spacing w:line="360" w:lineRule="auto"/>
              <w:rPr>
                <w:rFonts w:ascii="仿宋" w:hAnsi="仿宋" w:eastAsia="仿宋" w:cs="仿宋"/>
                <w:szCs w:val="21"/>
                <w:highlight w:val="none"/>
              </w:rPr>
            </w:pPr>
            <w:r>
              <w:rPr>
                <w:rFonts w:hint="eastAsia" w:ascii="仿宋" w:hAnsi="仿宋" w:eastAsia="仿宋" w:cs="仿宋"/>
                <w:szCs w:val="21"/>
                <w:highlight w:val="none"/>
              </w:rPr>
              <w:t>（ ）部分不满意</w:t>
            </w:r>
          </w:p>
          <w:p>
            <w:pPr>
              <w:spacing w:line="360" w:lineRule="auto"/>
              <w:rPr>
                <w:rFonts w:ascii="仿宋" w:hAnsi="仿宋" w:eastAsia="仿宋" w:cs="仿宋"/>
                <w:szCs w:val="21"/>
                <w:highlight w:val="none"/>
              </w:rPr>
            </w:pPr>
            <w:r>
              <w:rPr>
                <w:rFonts w:hint="eastAsia" w:ascii="仿宋" w:hAnsi="仿宋" w:eastAsia="仿宋" w:cs="仿宋"/>
                <w:szCs w:val="21"/>
                <w:highlight w:val="none"/>
              </w:rPr>
              <w:t>（ ）不满意</w:t>
            </w:r>
          </w:p>
        </w:tc>
        <w:tc>
          <w:tcPr>
            <w:tcW w:w="2804"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非常满意：5分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很满意：4分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一般：3分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部分不满意：2分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781" w:type="dxa"/>
            <w:vAlign w:val="center"/>
          </w:tcPr>
          <w:p>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5</w:t>
            </w:r>
          </w:p>
        </w:tc>
        <w:tc>
          <w:tcPr>
            <w:tcW w:w="3396"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您对现场工程师的专业性和态度的满意度如何？</w:t>
            </w:r>
          </w:p>
        </w:tc>
        <w:tc>
          <w:tcPr>
            <w:tcW w:w="2307" w:type="dxa"/>
          </w:tcPr>
          <w:p>
            <w:pPr>
              <w:spacing w:line="360" w:lineRule="auto"/>
              <w:rPr>
                <w:rFonts w:ascii="仿宋" w:hAnsi="仿宋" w:eastAsia="仿宋" w:cs="仿宋"/>
                <w:szCs w:val="21"/>
                <w:highlight w:val="none"/>
              </w:rPr>
            </w:pPr>
            <w:r>
              <w:rPr>
                <w:rFonts w:hint="eastAsia" w:ascii="仿宋" w:hAnsi="仿宋" w:eastAsia="仿宋" w:cs="仿宋"/>
                <w:szCs w:val="21"/>
                <w:highlight w:val="none"/>
              </w:rPr>
              <w:t>（ ）非常满意</w:t>
            </w:r>
          </w:p>
          <w:p>
            <w:pPr>
              <w:spacing w:line="360" w:lineRule="auto"/>
              <w:rPr>
                <w:rFonts w:ascii="仿宋" w:hAnsi="仿宋" w:eastAsia="仿宋" w:cs="仿宋"/>
                <w:szCs w:val="21"/>
                <w:highlight w:val="none"/>
              </w:rPr>
            </w:pPr>
            <w:r>
              <w:rPr>
                <w:rFonts w:hint="eastAsia" w:ascii="仿宋" w:hAnsi="仿宋" w:eastAsia="仿宋" w:cs="仿宋"/>
                <w:szCs w:val="21"/>
                <w:highlight w:val="none"/>
              </w:rPr>
              <w:t>（ ）很满意</w:t>
            </w:r>
          </w:p>
          <w:p>
            <w:pPr>
              <w:spacing w:line="360" w:lineRule="auto"/>
              <w:rPr>
                <w:rFonts w:ascii="仿宋" w:hAnsi="仿宋" w:eastAsia="仿宋" w:cs="仿宋"/>
                <w:szCs w:val="21"/>
                <w:highlight w:val="none"/>
              </w:rPr>
            </w:pPr>
            <w:r>
              <w:rPr>
                <w:rFonts w:hint="eastAsia" w:ascii="仿宋" w:hAnsi="仿宋" w:eastAsia="仿宋" w:cs="仿宋"/>
                <w:szCs w:val="21"/>
                <w:highlight w:val="none"/>
              </w:rPr>
              <w:t>（ ）一般</w:t>
            </w:r>
          </w:p>
          <w:p>
            <w:pPr>
              <w:spacing w:line="360" w:lineRule="auto"/>
              <w:rPr>
                <w:rFonts w:ascii="仿宋" w:hAnsi="仿宋" w:eastAsia="仿宋" w:cs="仿宋"/>
                <w:szCs w:val="21"/>
                <w:highlight w:val="none"/>
              </w:rPr>
            </w:pPr>
            <w:r>
              <w:rPr>
                <w:rFonts w:hint="eastAsia" w:ascii="仿宋" w:hAnsi="仿宋" w:eastAsia="仿宋" w:cs="仿宋"/>
                <w:szCs w:val="21"/>
                <w:highlight w:val="none"/>
              </w:rPr>
              <w:t>（ ）部分不满意</w:t>
            </w:r>
          </w:p>
          <w:p>
            <w:pPr>
              <w:spacing w:line="360" w:lineRule="auto"/>
              <w:rPr>
                <w:rFonts w:ascii="仿宋" w:hAnsi="仿宋" w:eastAsia="仿宋" w:cs="仿宋"/>
                <w:szCs w:val="21"/>
                <w:highlight w:val="none"/>
              </w:rPr>
            </w:pPr>
            <w:r>
              <w:rPr>
                <w:rFonts w:hint="eastAsia" w:ascii="仿宋" w:hAnsi="仿宋" w:eastAsia="仿宋" w:cs="仿宋"/>
                <w:szCs w:val="21"/>
                <w:highlight w:val="none"/>
              </w:rPr>
              <w:t>（ ）不满意</w:t>
            </w:r>
          </w:p>
        </w:tc>
        <w:tc>
          <w:tcPr>
            <w:tcW w:w="2804"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非常满意：5分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很满意：4分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一般：3分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部分不满意：2分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781" w:type="dxa"/>
            <w:vAlign w:val="center"/>
          </w:tcPr>
          <w:p>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6</w:t>
            </w:r>
          </w:p>
        </w:tc>
        <w:tc>
          <w:tcPr>
            <w:tcW w:w="3396"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您对从您报修到问题解决所用的时间是否满意?</w:t>
            </w:r>
          </w:p>
        </w:tc>
        <w:tc>
          <w:tcPr>
            <w:tcW w:w="2307" w:type="dxa"/>
          </w:tcPr>
          <w:p>
            <w:pPr>
              <w:spacing w:line="360" w:lineRule="auto"/>
              <w:rPr>
                <w:rFonts w:ascii="仿宋" w:hAnsi="仿宋" w:eastAsia="仿宋" w:cs="仿宋"/>
                <w:szCs w:val="21"/>
                <w:highlight w:val="none"/>
              </w:rPr>
            </w:pPr>
            <w:r>
              <w:rPr>
                <w:rFonts w:hint="eastAsia" w:ascii="仿宋" w:hAnsi="仿宋" w:eastAsia="仿宋" w:cs="仿宋"/>
                <w:szCs w:val="21"/>
                <w:highlight w:val="none"/>
              </w:rPr>
              <w:t>（ ）非常满意</w:t>
            </w:r>
          </w:p>
          <w:p>
            <w:pPr>
              <w:spacing w:line="360" w:lineRule="auto"/>
              <w:rPr>
                <w:rFonts w:ascii="仿宋" w:hAnsi="仿宋" w:eastAsia="仿宋" w:cs="仿宋"/>
                <w:szCs w:val="21"/>
                <w:highlight w:val="none"/>
              </w:rPr>
            </w:pPr>
            <w:r>
              <w:rPr>
                <w:rFonts w:hint="eastAsia" w:ascii="仿宋" w:hAnsi="仿宋" w:eastAsia="仿宋" w:cs="仿宋"/>
                <w:szCs w:val="21"/>
                <w:highlight w:val="none"/>
              </w:rPr>
              <w:t>（ ）很满意</w:t>
            </w:r>
          </w:p>
          <w:p>
            <w:pPr>
              <w:spacing w:line="360" w:lineRule="auto"/>
              <w:rPr>
                <w:rFonts w:ascii="仿宋" w:hAnsi="仿宋" w:eastAsia="仿宋" w:cs="仿宋"/>
                <w:szCs w:val="21"/>
                <w:highlight w:val="none"/>
              </w:rPr>
            </w:pPr>
            <w:r>
              <w:rPr>
                <w:rFonts w:hint="eastAsia" w:ascii="仿宋" w:hAnsi="仿宋" w:eastAsia="仿宋" w:cs="仿宋"/>
                <w:szCs w:val="21"/>
                <w:highlight w:val="none"/>
              </w:rPr>
              <w:t>（ ）一般</w:t>
            </w:r>
          </w:p>
          <w:p>
            <w:pPr>
              <w:spacing w:line="360" w:lineRule="auto"/>
              <w:rPr>
                <w:rFonts w:ascii="仿宋" w:hAnsi="仿宋" w:eastAsia="仿宋" w:cs="仿宋"/>
                <w:szCs w:val="21"/>
                <w:highlight w:val="none"/>
              </w:rPr>
            </w:pPr>
            <w:r>
              <w:rPr>
                <w:rFonts w:hint="eastAsia" w:ascii="仿宋" w:hAnsi="仿宋" w:eastAsia="仿宋" w:cs="仿宋"/>
                <w:szCs w:val="21"/>
                <w:highlight w:val="none"/>
              </w:rPr>
              <w:t>（ ）部分不满意</w:t>
            </w:r>
          </w:p>
          <w:p>
            <w:pPr>
              <w:spacing w:line="360" w:lineRule="auto"/>
              <w:rPr>
                <w:rFonts w:ascii="仿宋" w:hAnsi="仿宋" w:eastAsia="仿宋" w:cs="仿宋"/>
                <w:szCs w:val="21"/>
                <w:highlight w:val="none"/>
              </w:rPr>
            </w:pPr>
            <w:r>
              <w:rPr>
                <w:rFonts w:hint="eastAsia" w:ascii="仿宋" w:hAnsi="仿宋" w:eastAsia="仿宋" w:cs="仿宋"/>
                <w:szCs w:val="21"/>
                <w:highlight w:val="none"/>
              </w:rPr>
              <w:t>（ ）不满意</w:t>
            </w:r>
          </w:p>
        </w:tc>
        <w:tc>
          <w:tcPr>
            <w:tcW w:w="2804"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非常满意：5分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很满意：4分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一般：3分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部分不满意：2分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781" w:type="dxa"/>
            <w:vAlign w:val="center"/>
          </w:tcPr>
          <w:p>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7</w:t>
            </w:r>
          </w:p>
        </w:tc>
        <w:tc>
          <w:tcPr>
            <w:tcW w:w="3396"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您对这次现场服务总的感觉是否满意？</w:t>
            </w:r>
          </w:p>
        </w:tc>
        <w:tc>
          <w:tcPr>
            <w:tcW w:w="2307" w:type="dxa"/>
          </w:tcPr>
          <w:p>
            <w:pPr>
              <w:spacing w:line="360" w:lineRule="auto"/>
              <w:rPr>
                <w:rFonts w:ascii="仿宋" w:hAnsi="仿宋" w:eastAsia="仿宋" w:cs="仿宋"/>
                <w:szCs w:val="21"/>
                <w:highlight w:val="none"/>
              </w:rPr>
            </w:pPr>
            <w:r>
              <w:rPr>
                <w:rFonts w:hint="eastAsia" w:ascii="仿宋" w:hAnsi="仿宋" w:eastAsia="仿宋" w:cs="仿宋"/>
                <w:szCs w:val="21"/>
                <w:highlight w:val="none"/>
              </w:rPr>
              <w:t>（ ）非常满意</w:t>
            </w:r>
          </w:p>
          <w:p>
            <w:p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）很满意 </w:t>
            </w:r>
          </w:p>
          <w:p>
            <w:pPr>
              <w:spacing w:line="360" w:lineRule="auto"/>
              <w:rPr>
                <w:rFonts w:ascii="仿宋" w:hAnsi="仿宋" w:eastAsia="仿宋" w:cs="仿宋"/>
                <w:szCs w:val="21"/>
                <w:highlight w:val="none"/>
              </w:rPr>
            </w:pPr>
            <w:r>
              <w:rPr>
                <w:rFonts w:hint="eastAsia" w:ascii="仿宋" w:hAnsi="仿宋" w:eastAsia="仿宋" w:cs="仿宋"/>
                <w:szCs w:val="21"/>
                <w:highlight w:val="none"/>
              </w:rPr>
              <w:t>（ ）一般</w:t>
            </w:r>
          </w:p>
          <w:p>
            <w:pPr>
              <w:spacing w:line="360" w:lineRule="auto"/>
              <w:rPr>
                <w:rFonts w:ascii="仿宋" w:hAnsi="仿宋" w:eastAsia="仿宋" w:cs="仿宋"/>
                <w:szCs w:val="21"/>
                <w:highlight w:val="none"/>
              </w:rPr>
            </w:pPr>
            <w:r>
              <w:rPr>
                <w:rFonts w:hint="eastAsia" w:ascii="仿宋" w:hAnsi="仿宋" w:eastAsia="仿宋" w:cs="仿宋"/>
                <w:szCs w:val="21"/>
                <w:highlight w:val="none"/>
              </w:rPr>
              <w:t>（ ）部分不满意</w:t>
            </w:r>
          </w:p>
          <w:p>
            <w:pPr>
              <w:spacing w:line="360" w:lineRule="auto"/>
              <w:rPr>
                <w:rFonts w:ascii="仿宋" w:hAnsi="仿宋" w:eastAsia="仿宋" w:cs="仿宋"/>
                <w:szCs w:val="21"/>
                <w:highlight w:val="none"/>
              </w:rPr>
            </w:pPr>
            <w:r>
              <w:rPr>
                <w:rFonts w:hint="eastAsia" w:ascii="仿宋" w:hAnsi="仿宋" w:eastAsia="仿宋" w:cs="仿宋"/>
                <w:szCs w:val="21"/>
                <w:highlight w:val="none"/>
              </w:rPr>
              <w:t>（ ）不满意</w:t>
            </w:r>
          </w:p>
        </w:tc>
        <w:tc>
          <w:tcPr>
            <w:tcW w:w="2804"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非常满意：5分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很满意：4分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一般：3分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部分不满意：2分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不满意：0分</w:t>
            </w:r>
          </w:p>
        </w:tc>
      </w:tr>
    </w:tbl>
    <w:p>
      <w:pPr>
        <w:pStyle w:val="2"/>
        <w:numPr>
          <w:ilvl w:val="2"/>
          <w:numId w:val="10"/>
        </w:numPr>
        <w:spacing w:line="360" w:lineRule="auto"/>
        <w:rPr>
          <w:rFonts w:ascii="仿宋" w:hAnsi="仿宋" w:eastAsia="仿宋" w:cs="仿宋"/>
          <w:sz w:val="21"/>
          <w:szCs w:val="21"/>
          <w:highlight w:val="none"/>
        </w:rPr>
      </w:pPr>
      <w:bookmarkStart w:id="29" w:name="_Toc130889683"/>
      <w:r>
        <w:rPr>
          <w:rFonts w:hint="eastAsia" w:ascii="仿宋" w:hAnsi="仿宋" w:eastAsia="仿宋" w:cs="仿宋"/>
          <w:sz w:val="21"/>
          <w:szCs w:val="21"/>
          <w:highlight w:val="none"/>
        </w:rPr>
        <w:t>考核频率</w:t>
      </w:r>
      <w:bookmarkEnd w:id="29"/>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每次提供现场服务后都进行一次服务满意度考核，总分为23分。服务满意度考核每季度统计一次。</w:t>
      </w:r>
    </w:p>
    <w:p>
      <w:pPr>
        <w:pStyle w:val="2"/>
        <w:numPr>
          <w:ilvl w:val="2"/>
          <w:numId w:val="10"/>
        </w:numPr>
        <w:spacing w:line="360" w:lineRule="auto"/>
        <w:rPr>
          <w:rFonts w:ascii="仿宋" w:hAnsi="仿宋" w:eastAsia="仿宋" w:cs="仿宋"/>
          <w:sz w:val="21"/>
          <w:szCs w:val="21"/>
          <w:highlight w:val="none"/>
        </w:rPr>
      </w:pPr>
      <w:bookmarkStart w:id="30" w:name="_Toc130889684"/>
      <w:r>
        <w:rPr>
          <w:rFonts w:hint="eastAsia" w:ascii="仿宋" w:hAnsi="仿宋" w:eastAsia="仿宋" w:cs="仿宋"/>
          <w:sz w:val="21"/>
          <w:szCs w:val="21"/>
          <w:highlight w:val="none"/>
        </w:rPr>
        <w:t>计算方法</w:t>
      </w:r>
      <w:bookmarkEnd w:id="30"/>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服务满意度分数=∑本季度服务调查总分/本季度服务调查次数。</w:t>
      </w:r>
    </w:p>
    <w:p>
      <w:pPr>
        <w:pStyle w:val="2"/>
        <w:numPr>
          <w:ilvl w:val="1"/>
          <w:numId w:val="10"/>
        </w:num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31" w:name="_Toc130889685"/>
      <w:r>
        <w:rPr>
          <w:rFonts w:hint="eastAsia" w:ascii="仿宋" w:hAnsi="仿宋" w:eastAsia="仿宋" w:cs="仿宋"/>
          <w:sz w:val="24"/>
          <w:szCs w:val="24"/>
          <w:highlight w:val="none"/>
        </w:rPr>
        <w:t>维护服务鼓励与加分</w:t>
      </w:r>
      <w:bookmarkEnd w:id="31"/>
    </w:p>
    <w:p>
      <w:pPr>
        <w:pStyle w:val="2"/>
        <w:numPr>
          <w:ilvl w:val="2"/>
          <w:numId w:val="10"/>
        </w:numPr>
        <w:spacing w:line="360" w:lineRule="auto"/>
        <w:rPr>
          <w:rFonts w:ascii="仿宋" w:hAnsi="仿宋" w:eastAsia="仿宋" w:cs="仿宋"/>
          <w:sz w:val="21"/>
          <w:szCs w:val="21"/>
          <w:highlight w:val="none"/>
        </w:rPr>
      </w:pPr>
      <w:bookmarkStart w:id="32" w:name="_Toc130889686"/>
      <w:r>
        <w:rPr>
          <w:rFonts w:hint="eastAsia" w:ascii="仿宋" w:hAnsi="仿宋" w:eastAsia="仿宋" w:cs="仿宋"/>
          <w:sz w:val="21"/>
          <w:szCs w:val="21"/>
          <w:highlight w:val="none"/>
        </w:rPr>
        <w:t>加分考核办法</w:t>
      </w:r>
      <w:bookmarkEnd w:id="32"/>
    </w:p>
    <w:tbl>
      <w:tblPr>
        <w:tblStyle w:val="4"/>
        <w:tblW w:w="8237" w:type="dxa"/>
        <w:tblInd w:w="93" w:type="dxa"/>
        <w:tblLayout w:type="fixed"/>
        <w:tblCellMar>
          <w:top w:w="0" w:type="dxa"/>
          <w:left w:w="108" w:type="dxa"/>
          <w:bottom w:w="0" w:type="dxa"/>
          <w:right w:w="108" w:type="dxa"/>
        </w:tblCellMar>
      </w:tblPr>
      <w:tblGrid>
        <w:gridCol w:w="2850"/>
        <w:gridCol w:w="5387"/>
      </w:tblGrid>
      <w:tr>
        <w:tblPrEx>
          <w:tblCellMar>
            <w:top w:w="0" w:type="dxa"/>
            <w:left w:w="108" w:type="dxa"/>
            <w:bottom w:w="0" w:type="dxa"/>
            <w:right w:w="108" w:type="dxa"/>
          </w:tblCellMar>
        </w:tblPrEx>
        <w:trPr>
          <w:trHeight w:val="429" w:hRule="atLeast"/>
        </w:trPr>
        <w:tc>
          <w:tcPr>
            <w:tcW w:w="2850" w:type="dxa"/>
            <w:tcBorders>
              <w:top w:val="single" w:color="auto" w:sz="4" w:space="0"/>
              <w:left w:val="single" w:color="auto" w:sz="4" w:space="0"/>
              <w:bottom w:val="single" w:color="auto" w:sz="4" w:space="0"/>
              <w:right w:val="nil"/>
            </w:tcBorders>
            <w:vAlign w:val="center"/>
          </w:tcPr>
          <w:p>
            <w:pPr>
              <w:widowControl/>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鼓励项目</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鼓励分数</w:t>
            </w:r>
          </w:p>
        </w:tc>
      </w:tr>
      <w:tr>
        <w:tblPrEx>
          <w:tblCellMar>
            <w:top w:w="0" w:type="dxa"/>
            <w:left w:w="108" w:type="dxa"/>
            <w:bottom w:w="0" w:type="dxa"/>
            <w:right w:w="108" w:type="dxa"/>
          </w:tblCellMar>
        </w:tblPrEx>
        <w:trPr>
          <w:trHeight w:val="449" w:hRule="atLeast"/>
        </w:trPr>
        <w:tc>
          <w:tcPr>
            <w:tcW w:w="2850" w:type="dxa"/>
            <w:tcBorders>
              <w:top w:val="single" w:color="auto" w:sz="4" w:space="0"/>
              <w:left w:val="single" w:color="auto" w:sz="4" w:space="0"/>
              <w:bottom w:val="single" w:color="auto" w:sz="4" w:space="0"/>
              <w:right w:val="nil"/>
            </w:tcBorders>
            <w:vAlign w:val="center"/>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提供服务合同外的与设备相关的服务</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以人天折算，每提供一人天额外服务，加1分；</w:t>
            </w:r>
          </w:p>
        </w:tc>
      </w:tr>
      <w:tr>
        <w:tblPrEx>
          <w:tblCellMar>
            <w:top w:w="0" w:type="dxa"/>
            <w:left w:w="108" w:type="dxa"/>
            <w:bottom w:w="0" w:type="dxa"/>
            <w:right w:w="108" w:type="dxa"/>
          </w:tblCellMar>
        </w:tblPrEx>
        <w:trPr>
          <w:trHeight w:val="255" w:hRule="atLeast"/>
        </w:trPr>
        <w:tc>
          <w:tcPr>
            <w:tcW w:w="2850" w:type="dxa"/>
            <w:tcBorders>
              <w:top w:val="single" w:color="auto" w:sz="4" w:space="0"/>
              <w:left w:val="single" w:color="auto" w:sz="4" w:space="0"/>
              <w:bottom w:val="single" w:color="auto" w:sz="4" w:space="0"/>
              <w:right w:val="single" w:color="auto" w:sz="4" w:space="0"/>
            </w:tcBorders>
            <w:vAlign w:val="bottom"/>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提供服务合同外的与环境和场地相关的服务，</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每次加2分；</w:t>
            </w:r>
          </w:p>
        </w:tc>
      </w:tr>
      <w:tr>
        <w:tblPrEx>
          <w:tblCellMar>
            <w:top w:w="0" w:type="dxa"/>
            <w:left w:w="108" w:type="dxa"/>
            <w:bottom w:w="0" w:type="dxa"/>
            <w:right w:w="108" w:type="dxa"/>
          </w:tblCellMar>
        </w:tblPrEx>
        <w:trPr>
          <w:trHeight w:val="460" w:hRule="atLeast"/>
        </w:trPr>
        <w:tc>
          <w:tcPr>
            <w:tcW w:w="28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Cs w:val="21"/>
                <w:highlight w:val="none"/>
              </w:rPr>
            </w:pPr>
            <w:r>
              <w:rPr>
                <w:rFonts w:hint="eastAsia" w:ascii="仿宋" w:hAnsi="仿宋" w:eastAsia="仿宋" w:cs="仿宋"/>
                <w:szCs w:val="21"/>
                <w:highlight w:val="none"/>
              </w:rPr>
              <w:t>提供服务合同外的与人员培训相关的服务，</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每提供一次小于5人的培训，加1分；</w:t>
            </w:r>
          </w:p>
        </w:tc>
      </w:tr>
      <w:tr>
        <w:tblPrEx>
          <w:tblCellMar>
            <w:top w:w="0" w:type="dxa"/>
            <w:left w:w="108" w:type="dxa"/>
            <w:bottom w:w="0" w:type="dxa"/>
            <w:right w:w="108" w:type="dxa"/>
          </w:tblCellMar>
        </w:tblPrEx>
        <w:trPr>
          <w:trHeight w:val="460" w:hRule="atLeast"/>
        </w:trPr>
        <w:tc>
          <w:tcPr>
            <w:tcW w:w="2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Cs w:val="21"/>
                <w:highlight w:val="none"/>
              </w:rPr>
            </w:pPr>
          </w:p>
        </w:tc>
        <w:tc>
          <w:tcPr>
            <w:tcW w:w="53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规模在5到10人的培训，加1.5分；</w:t>
            </w:r>
          </w:p>
        </w:tc>
      </w:tr>
      <w:tr>
        <w:tblPrEx>
          <w:tblCellMar>
            <w:top w:w="0" w:type="dxa"/>
            <w:left w:w="108" w:type="dxa"/>
            <w:bottom w:w="0" w:type="dxa"/>
            <w:right w:w="108" w:type="dxa"/>
          </w:tblCellMar>
        </w:tblPrEx>
        <w:trPr>
          <w:trHeight w:val="460" w:hRule="atLeast"/>
        </w:trPr>
        <w:tc>
          <w:tcPr>
            <w:tcW w:w="2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Cs w:val="21"/>
                <w:highlight w:val="none"/>
              </w:rPr>
            </w:pPr>
          </w:p>
        </w:tc>
        <w:tc>
          <w:tcPr>
            <w:tcW w:w="53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每提供一次规模在10人或10人以上的培训，加2分；</w:t>
            </w:r>
          </w:p>
        </w:tc>
      </w:tr>
    </w:tbl>
    <w:p>
      <w:pPr>
        <w:pStyle w:val="2"/>
        <w:numPr>
          <w:ilvl w:val="2"/>
          <w:numId w:val="10"/>
        </w:numPr>
        <w:spacing w:line="360" w:lineRule="auto"/>
        <w:rPr>
          <w:rFonts w:ascii="仿宋" w:hAnsi="仿宋" w:eastAsia="仿宋" w:cs="仿宋"/>
          <w:sz w:val="21"/>
          <w:szCs w:val="21"/>
          <w:highlight w:val="none"/>
        </w:rPr>
      </w:pPr>
      <w:bookmarkStart w:id="33" w:name="_Toc130889687"/>
      <w:r>
        <w:rPr>
          <w:rFonts w:hint="eastAsia" w:ascii="仿宋" w:hAnsi="仿宋" w:eastAsia="仿宋" w:cs="仿宋"/>
          <w:sz w:val="21"/>
          <w:szCs w:val="21"/>
          <w:highlight w:val="none"/>
        </w:rPr>
        <w:t>考核频率</w:t>
      </w:r>
      <w:bookmarkEnd w:id="33"/>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维护服务鼓励与加分每季度进行一次。</w:t>
      </w:r>
    </w:p>
    <w:p>
      <w:pPr>
        <w:pStyle w:val="2"/>
        <w:numPr>
          <w:ilvl w:val="2"/>
          <w:numId w:val="10"/>
        </w:numPr>
        <w:spacing w:line="360" w:lineRule="auto"/>
        <w:rPr>
          <w:rFonts w:ascii="仿宋" w:hAnsi="仿宋" w:eastAsia="仿宋" w:cs="仿宋"/>
          <w:sz w:val="21"/>
          <w:szCs w:val="21"/>
          <w:highlight w:val="none"/>
        </w:rPr>
      </w:pPr>
      <w:bookmarkStart w:id="34" w:name="_Toc130889688"/>
      <w:r>
        <w:rPr>
          <w:rFonts w:hint="eastAsia" w:ascii="仿宋" w:hAnsi="仿宋" w:eastAsia="仿宋" w:cs="仿宋"/>
          <w:sz w:val="21"/>
          <w:szCs w:val="21"/>
          <w:highlight w:val="none"/>
        </w:rPr>
        <w:t>计算方法</w:t>
      </w:r>
      <w:bookmarkEnd w:id="34"/>
    </w:p>
    <w:p>
      <w:pPr>
        <w:spacing w:line="360" w:lineRule="auto"/>
        <w:ind w:firstLine="440" w:firstLineChars="200"/>
        <w:rPr>
          <w:rFonts w:ascii="仿宋" w:hAnsi="仿宋" w:eastAsia="仿宋" w:cs="仿宋"/>
          <w:szCs w:val="21"/>
          <w:highlight w:val="none"/>
        </w:rPr>
      </w:pPr>
      <w:r>
        <w:rPr>
          <w:rFonts w:hint="eastAsia" w:ascii="仿宋" w:hAnsi="仿宋" w:eastAsia="仿宋" w:cs="仿宋"/>
          <w:szCs w:val="21"/>
          <w:highlight w:val="none"/>
        </w:rPr>
        <w:t>维护服务鼓励与加分为本季度内鼓励分数之和。</w:t>
      </w:r>
    </w:p>
    <w:p>
      <w:pPr>
        <w:pStyle w:val="2"/>
        <w:spacing w:line="360" w:lineRule="auto"/>
        <w:rPr>
          <w:rFonts w:ascii="仿宋" w:hAnsi="仿宋" w:eastAsia="仿宋" w:cs="仿宋"/>
          <w:sz w:val="24"/>
          <w:szCs w:val="24"/>
          <w:highlight w:val="none"/>
        </w:rPr>
      </w:pPr>
      <w:bookmarkStart w:id="35" w:name="_Toc130889689"/>
      <w:r>
        <w:rPr>
          <w:rFonts w:hint="eastAsia" w:ascii="仿宋" w:hAnsi="仿宋" w:eastAsia="仿宋" w:cs="仿宋"/>
          <w:sz w:val="24"/>
          <w:szCs w:val="24"/>
          <w:highlight w:val="none"/>
        </w:rPr>
        <w:t>4.4 维保服务满意度整体考核办法</w:t>
      </w:r>
      <w:bookmarkEnd w:id="35"/>
    </w:p>
    <w:p>
      <w:pPr>
        <w:numPr>
          <w:ilvl w:val="0"/>
          <w:numId w:val="11"/>
        </w:numPr>
        <w:spacing w:before="156" w:beforeLines="50" w:line="360" w:lineRule="auto"/>
        <w:rPr>
          <w:rFonts w:ascii="仿宋" w:hAnsi="仿宋" w:eastAsia="仿宋" w:cs="仿宋"/>
          <w:szCs w:val="21"/>
          <w:highlight w:val="none"/>
        </w:rPr>
      </w:pPr>
      <w:r>
        <w:rPr>
          <w:rFonts w:hint="eastAsia" w:ascii="仿宋" w:hAnsi="仿宋" w:eastAsia="仿宋" w:cs="仿宋"/>
          <w:szCs w:val="21"/>
          <w:highlight w:val="none"/>
        </w:rPr>
        <w:t>每季度月底甲乙双方管理服务项目的专责人对本季度内维保服务进行统计得出本季度的维保服务综合考核分，计算公式如下：</w:t>
      </w:r>
    </w:p>
    <w:p>
      <w:pPr>
        <w:spacing w:before="156" w:beforeLines="50" w:after="156" w:afterLines="50" w:line="360" w:lineRule="auto"/>
        <w:rPr>
          <w:rFonts w:ascii="仿宋" w:hAnsi="仿宋" w:eastAsia="仿宋" w:cs="仿宋"/>
          <w:szCs w:val="21"/>
          <w:highlight w:val="none"/>
        </w:rPr>
      </w:pPr>
      <w:r>
        <w:rPr>
          <w:rFonts w:hint="eastAsia" w:ascii="仿宋" w:hAnsi="仿宋" w:eastAsia="仿宋" w:cs="仿宋"/>
          <w:szCs w:val="21"/>
          <w:highlight w:val="none"/>
        </w:rPr>
        <w:t>维护服务满意度考核分（季度）= 维护服务提交物考核得分＋客户满意度考核得分＋维护服务鼓励与加分</w:t>
      </w:r>
    </w:p>
    <w:p>
      <w:pPr>
        <w:numPr>
          <w:ilvl w:val="0"/>
          <w:numId w:val="12"/>
        </w:numPr>
        <w:spacing w:before="156" w:beforeLines="50" w:line="360" w:lineRule="auto"/>
        <w:rPr>
          <w:rFonts w:ascii="仿宋" w:hAnsi="仿宋" w:eastAsia="仿宋" w:cs="仿宋"/>
          <w:szCs w:val="21"/>
          <w:highlight w:val="none"/>
        </w:rPr>
      </w:pPr>
      <w:r>
        <w:rPr>
          <w:rFonts w:hint="eastAsia" w:ascii="仿宋" w:hAnsi="仿宋" w:eastAsia="仿宋" w:cs="仿宋"/>
          <w:szCs w:val="21"/>
          <w:highlight w:val="none"/>
        </w:rPr>
        <w:t>维保服务原则上只对合同维保服务范围内的软硬件系统进行考核，超出服务范围的软硬件系统不纳入考核统计中。</w:t>
      </w:r>
    </w:p>
    <w:p>
      <w:pPr>
        <w:numPr>
          <w:ilvl w:val="0"/>
          <w:numId w:val="12"/>
        </w:numPr>
        <w:spacing w:line="360" w:lineRule="auto"/>
        <w:rPr>
          <w:rFonts w:ascii="仿宋" w:hAnsi="仿宋" w:eastAsia="仿宋" w:cs="仿宋"/>
          <w:szCs w:val="21"/>
          <w:highlight w:val="none"/>
        </w:rPr>
      </w:pPr>
      <w:r>
        <w:rPr>
          <w:rFonts w:hint="eastAsia" w:ascii="仿宋" w:hAnsi="仿宋" w:eastAsia="仿宋" w:cs="仿宋"/>
          <w:szCs w:val="21"/>
          <w:highlight w:val="none"/>
        </w:rPr>
        <w:t>在服务期满时甲乙双方对本服务年度的服务进行综合平分得本期服务的总体评分</w:t>
      </w:r>
    </w:p>
    <w:p>
      <w:pPr>
        <w:numPr>
          <w:ilvl w:val="0"/>
          <w:numId w:val="12"/>
        </w:numPr>
        <w:spacing w:line="360" w:lineRule="auto"/>
        <w:rPr>
          <w:rFonts w:ascii="仿宋" w:hAnsi="仿宋" w:eastAsia="仿宋" w:cs="仿宋"/>
          <w:szCs w:val="21"/>
          <w:highlight w:val="none"/>
        </w:rPr>
      </w:pPr>
      <w:r>
        <w:rPr>
          <w:rFonts w:hint="eastAsia" w:ascii="仿宋" w:hAnsi="仿宋" w:eastAsia="仿宋" w:cs="仿宋"/>
          <w:szCs w:val="21"/>
          <w:highlight w:val="none"/>
        </w:rPr>
        <w:t>如对维护服务满意度考核扣分有争议，由甲方和乙方公司双方友好协商解决。维保服务考核结果由双方签字确认通过。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bullet"/>
      <w:lvlText w:val="l"/>
      <w:lvlJc w:val="left"/>
      <w:pPr>
        <w:tabs>
          <w:tab w:val="left" w:pos="980"/>
        </w:tabs>
        <w:ind w:left="980" w:hanging="420"/>
      </w:pPr>
      <w:rPr>
        <w:rFonts w:ascii="Wingdings" w:hAnsi="Wingdings"/>
      </w:rPr>
    </w:lvl>
  </w:abstractNum>
  <w:abstractNum w:abstractNumId="1">
    <w:nsid w:val="09D00F1E"/>
    <w:multiLevelType w:val="multilevel"/>
    <w:tmpl w:val="09D00F1E"/>
    <w:lvl w:ilvl="0" w:tentative="0">
      <w:start w:val="2"/>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
    <w:nsid w:val="0CF07EBC"/>
    <w:multiLevelType w:val="multilevel"/>
    <w:tmpl w:val="0CF07EBC"/>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3">
    <w:nsid w:val="2BA63F26"/>
    <w:multiLevelType w:val="multilevel"/>
    <w:tmpl w:val="2BA63F2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9DF55BF"/>
    <w:multiLevelType w:val="multilevel"/>
    <w:tmpl w:val="39DF55B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4338755A"/>
    <w:multiLevelType w:val="multilevel"/>
    <w:tmpl w:val="4338755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4CF6513C"/>
    <w:multiLevelType w:val="multilevel"/>
    <w:tmpl w:val="4CF6513C"/>
    <w:lvl w:ilvl="0" w:tentative="0">
      <w:start w:val="1"/>
      <w:numFmt w:val="decimal"/>
      <w:pStyle w:val="8"/>
      <w:lvlText w:val="%1."/>
      <w:lvlJc w:val="left"/>
      <w:pPr>
        <w:ind w:left="988" w:hanging="420"/>
      </w:pPr>
      <w:rPr>
        <w:rFonts w:cs="Times New Roman"/>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7">
    <w:nsid w:val="4E7A6289"/>
    <w:multiLevelType w:val="multilevel"/>
    <w:tmpl w:val="4E7A6289"/>
    <w:lvl w:ilvl="0" w:tentative="0">
      <w:start w:val="3"/>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8">
    <w:nsid w:val="5B673D29"/>
    <w:multiLevelType w:val="multilevel"/>
    <w:tmpl w:val="5B673D29"/>
    <w:lvl w:ilvl="0" w:tentative="0">
      <w:start w:val="5"/>
      <w:numFmt w:val="decimal"/>
      <w:lvlText w:val="（%1）"/>
      <w:lvlJc w:val="left"/>
      <w:pPr>
        <w:ind w:left="1245" w:hanging="72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9">
    <w:nsid w:val="5CBC579E"/>
    <w:multiLevelType w:val="multilevel"/>
    <w:tmpl w:val="5CBC579E"/>
    <w:lvl w:ilvl="0" w:tentative="0">
      <w:start w:val="7"/>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1814BDB"/>
    <w:multiLevelType w:val="multilevel"/>
    <w:tmpl w:val="61814B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3C763A4"/>
    <w:multiLevelType w:val="multilevel"/>
    <w:tmpl w:val="73C763A4"/>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6"/>
  </w:num>
  <w:num w:numId="2">
    <w:abstractNumId w:val="2"/>
  </w:num>
  <w:num w:numId="3">
    <w:abstractNumId w:val="1"/>
  </w:num>
  <w:num w:numId="4">
    <w:abstractNumId w:val="11"/>
  </w:num>
  <w:num w:numId="5">
    <w:abstractNumId w:val="0"/>
  </w:num>
  <w:num w:numId="6">
    <w:abstractNumId w:val="5"/>
  </w:num>
  <w:num w:numId="7">
    <w:abstractNumId w:val="4"/>
  </w:num>
  <w:num w:numId="8">
    <w:abstractNumId w:val="9"/>
  </w:num>
  <w:num w:numId="9">
    <w:abstractNumId w:val="8"/>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NGE1MTE5Zjk4YjgxOWNjMGZhNmVjNzU1NWFjYTUifQ=="/>
  </w:docVars>
  <w:rsids>
    <w:rsidRoot w:val="36491809"/>
    <w:rsid w:val="36491809"/>
    <w:rsid w:val="687C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54"/>
      <w:jc w:val="center"/>
      <w:outlineLvl w:val="0"/>
    </w:pPr>
    <w:rPr>
      <w:b/>
      <w:bCs/>
      <w:sz w:val="32"/>
      <w:szCs w:val="32"/>
    </w:rPr>
  </w:style>
  <w:style w:type="paragraph" w:styleId="2">
    <w:name w:val="heading 2"/>
    <w:basedOn w:val="1"/>
    <w:next w:val="1"/>
    <w:qFormat/>
    <w:uiPriority w:val="1"/>
    <w:pPr>
      <w:ind w:right="60"/>
      <w:jc w:val="center"/>
      <w:outlineLvl w:val="1"/>
    </w:pPr>
    <w:rPr>
      <w:b/>
      <w:bCs/>
      <w:sz w:val="28"/>
      <w:szCs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样式 仿宋_GB2312 四号 首行缩进:  0.74 厘米"/>
    <w:basedOn w:val="1"/>
    <w:qFormat/>
    <w:uiPriority w:val="0"/>
    <w:pPr>
      <w:suppressAutoHyphens/>
      <w:ind w:firstLine="420"/>
    </w:pPr>
    <w:rPr>
      <w:rFonts w:ascii="仿宋_GB2312" w:hAnsi="仿宋_GB2312" w:eastAsia="仿宋_GB2312"/>
      <w:kern w:val="1"/>
      <w:sz w:val="28"/>
      <w:lang w:eastAsia="ar-SA"/>
    </w:rPr>
  </w:style>
  <w:style w:type="paragraph" w:customStyle="1" w:styleId="7">
    <w:name w:val="缺省文本"/>
    <w:basedOn w:val="1"/>
    <w:qFormat/>
    <w:uiPriority w:val="0"/>
    <w:pPr>
      <w:adjustRightInd w:val="0"/>
    </w:pPr>
    <w:rPr>
      <w:sz w:val="24"/>
      <w:szCs w:val="24"/>
    </w:rPr>
  </w:style>
  <w:style w:type="paragraph" w:customStyle="1" w:styleId="8">
    <w:name w:val="二级无目录"/>
    <w:basedOn w:val="1"/>
    <w:qFormat/>
    <w:uiPriority w:val="0"/>
    <w:pPr>
      <w:numPr>
        <w:ilvl w:val="0"/>
        <w:numId w:val="1"/>
      </w:numPr>
      <w:ind w:left="200" w:leftChars="200" w:hanging="175" w:hangingChars="175"/>
    </w:pPr>
    <w:rPr>
      <w:rFonts w:ascii="Arial" w:hAnsi="Arial" w:eastAsia="微软雅黑"/>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2023-04-06T10:53:00Z</dcterms:created>
  <dc:creator>心悸</dc:creator>
  <cp:lastModifiedBy>心悸</cp:lastModifiedBy>
  <dcterms:modified xsi:type="dcterms:W3CDTF">2023-04-06T11:06:13Z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3B353E37541E44B094708035F21CF416_11</vt:lpwstr>
  </property>
</Properties>
</file>