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ind w:firstLine="0" w:firstLineChars="0"/>
        <w:jc w:val="center"/>
        <w:outlineLvl w:val="1"/>
        <w:rPr>
          <w:rFonts w:hint="eastAsia" w:ascii="仿宋" w:hAnsi="仿宋" w:eastAsia="仿宋" w:cs="Times New Roman"/>
          <w:b/>
          <w:sz w:val="32"/>
          <w:szCs w:val="32"/>
        </w:rPr>
      </w:pPr>
      <w:bookmarkStart w:id="0" w:name="_Toc14082138"/>
      <w:bookmarkStart w:id="1" w:name="_Toc48834545"/>
      <w:bookmarkStart w:id="2" w:name="_Toc48834177"/>
      <w:bookmarkStart w:id="3" w:name="_Toc48834304"/>
      <w:bookmarkStart w:id="4" w:name="_Toc20365"/>
      <w:bookmarkStart w:id="5" w:name="_Toc48834107"/>
      <w:bookmarkStart w:id="6" w:name="_Toc48834466"/>
      <w:r>
        <w:rPr>
          <w:rFonts w:ascii="仿宋" w:hAnsi="仿宋" w:eastAsia="仿宋" w:cs="Times New Roman"/>
          <w:b/>
          <w:sz w:val="32"/>
          <w:szCs w:val="32"/>
        </w:rPr>
        <w:t>采购</w:t>
      </w:r>
      <w:r>
        <w:rPr>
          <w:rFonts w:hint="eastAsia" w:ascii="仿宋" w:hAnsi="仿宋" w:eastAsia="仿宋" w:cs="Times New Roman"/>
          <w:b/>
          <w:sz w:val="32"/>
          <w:szCs w:val="32"/>
        </w:rPr>
        <w:t>需</w:t>
      </w:r>
      <w:r>
        <w:rPr>
          <w:rFonts w:ascii="仿宋" w:hAnsi="仿宋" w:eastAsia="仿宋" w:cs="Times New Roman"/>
          <w:b/>
          <w:sz w:val="32"/>
          <w:szCs w:val="32"/>
        </w:rPr>
        <w:t>求</w:t>
      </w:r>
    </w:p>
    <w:bookmarkEnd w:id="0"/>
    <w:bookmarkEnd w:id="1"/>
    <w:bookmarkEnd w:id="2"/>
    <w:bookmarkEnd w:id="3"/>
    <w:bookmarkEnd w:id="4"/>
    <w:bookmarkEnd w:id="5"/>
    <w:bookmarkEnd w:id="6"/>
    <w:p>
      <w:pPr>
        <w:pStyle w:val="3"/>
        <w:spacing w:line="500" w:lineRule="exact"/>
        <w:ind w:firstLine="562" w:firstLineChars="200"/>
        <w:outlineLvl w:val="1"/>
        <w:rPr>
          <w:rFonts w:hint="eastAsia" w:ascii="仿宋" w:hAnsi="仿宋" w:eastAsia="仿宋" w:cs="Times New Roman"/>
          <w:b/>
          <w:bCs/>
          <w:sz w:val="28"/>
          <w:szCs w:val="28"/>
        </w:rPr>
      </w:pPr>
      <w:bookmarkStart w:id="7" w:name="_GoBack"/>
      <w:bookmarkEnd w:id="7"/>
      <w:r>
        <w:rPr>
          <w:rFonts w:hint="eastAsia" w:ascii="仿宋" w:hAnsi="仿宋" w:eastAsia="仿宋" w:cs="Times New Roman"/>
          <w:b/>
          <w:bCs/>
          <w:color w:val="000000"/>
          <w:sz w:val="28"/>
          <w:szCs w:val="28"/>
        </w:rPr>
        <w:t>一、采购需求：</w:t>
      </w:r>
    </w:p>
    <w:p>
      <w:pPr>
        <w:pStyle w:val="3"/>
        <w:spacing w:line="500" w:lineRule="exact"/>
        <w:ind w:firstLine="649" w:firstLineChars="0"/>
        <w:jc w:val="left"/>
        <w:outlineLvl w:val="1"/>
        <w:rPr>
          <w:rFonts w:hint="eastAsia" w:ascii="仿宋" w:hAnsi="仿宋" w:eastAsia="仿宋" w:cs="Times New Roman"/>
          <w:b/>
          <w:sz w:val="32"/>
          <w:szCs w:val="32"/>
        </w:rPr>
      </w:pPr>
      <w:r>
        <w:rPr>
          <w:rFonts w:hint="eastAsia" w:ascii="仿宋" w:hAnsi="仿宋" w:eastAsia="仿宋" w:cs="Times New Roman"/>
          <w:color w:val="auto"/>
          <w:kern w:val="2"/>
          <w:sz w:val="28"/>
          <w:szCs w:val="28"/>
          <w:lang w:val="en-US" w:eastAsia="zh-CN" w:bidi="ar-SA"/>
        </w:rPr>
        <w:t>本次所采购远程会议系统需满足日常办公、线上学习培训、远程会议等功能需求。</w:t>
      </w:r>
    </w:p>
    <w:tbl>
      <w:tblPr>
        <w:tblStyle w:val="4"/>
        <w:tblW w:w="9067" w:type="dxa"/>
        <w:tblInd w:w="101" w:type="dxa"/>
        <w:tblLayout w:type="fixed"/>
        <w:tblCellMar>
          <w:top w:w="0" w:type="dxa"/>
          <w:left w:w="108" w:type="dxa"/>
          <w:bottom w:w="0" w:type="dxa"/>
          <w:right w:w="108" w:type="dxa"/>
        </w:tblCellMar>
      </w:tblPr>
      <w:tblGrid>
        <w:gridCol w:w="767"/>
        <w:gridCol w:w="6517"/>
        <w:gridCol w:w="900"/>
        <w:gridCol w:w="883"/>
      </w:tblGrid>
      <w:tr>
        <w:tblPrEx>
          <w:tblCellMar>
            <w:top w:w="0" w:type="dxa"/>
            <w:left w:w="108" w:type="dxa"/>
            <w:bottom w:w="0" w:type="dxa"/>
            <w:right w:w="108" w:type="dxa"/>
          </w:tblCellMar>
        </w:tblPrEx>
        <w:trPr>
          <w:trHeight w:val="441"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户内全彩LED屏</w:t>
            </w:r>
          </w:p>
        </w:tc>
        <w:tc>
          <w:tcPr>
            <w:tcW w:w="6517"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1.LED显示屏灯珠采用表贴三合一铜线封装；LED封装形式：SMD1515黑灯；</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2.LED显示屏采用≤1.86mm点间距，像素点密度≥288906点/㎡，模组重量≤0.48kg/张，亮度200～600CD/㎡，峰值功耗：≤500W/㎡，平均功耗：≤168W/㎡</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LED显示屏平整度≤0.1mm，刷新率≥3840Hz，色温1000K-20000K连续可调，亮度均匀性≥99%，色度均匀性±0.001Cx，Cy之内，各色光的波长误像素中心距相对偏差≤1%，对比度≥10000:1，像素失控率≤1/100000，水平/垂直视角≥175°，差在±2nm之内，屏前1米噪音值＜2dB</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4.LED显示屏采用前/后维护安装方式，可正面拆卸模组、接收卡、电源，模组、接收卡等低压器件多次热插拔测试后都能正常工作，平均故障恢复时间（MTTR）≤2分钟，</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5.LED显示屏为保证使用的安全性隐患，依据GB/T 5169.16-2017标准，PCB板、线材、电源、连接件阻燃等级达到V-0等级</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6.LED显示屏为防止金属离子迁移、线路短路现象，PCB采用FR-4 四层板同等级或更高材料，PCB导线更宽、导线间距和过孔间距更大，能更好的杜绝模块黑屏、显示异常、灯珠缺色、毛毛虫等现象，表面沉金处理，板厚≥1.6mm，铜厚≥1盎司，TG≥150，PCB板表面具备防潮/防尘/防静电/抗氧化；</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7.LED显示屏具备旋转式灯板设计，弱化跨板耦合效应，保证更优质的显示效果</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8.LED显示屏具备现场屏体开关机次数及使用时长记录，以及对现场温湿度的监测反馈，并形成数据保存周期为100天，并可在控制软件端提取数据。</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9.LED显示屏具备VICO指数测试值在0≤VICO＜1间，属于1级基本无疲劳感舒适度，产品视觉健康舒适度A＋级</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10.LED显示屏为保证有效提高信号传输、直流供电稳定性，使用镀金工艺，镀金厚度≥50μ</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11.LED显示屏具备测试12个循环，每个循环8小时，每个循环测试包括4小时的紫外线照射（UV-A,340nm，60℃）及4小时的水分曝光（50℃）。</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8.6016</w:t>
            </w:r>
          </w:p>
        </w:tc>
        <w:tc>
          <w:tcPr>
            <w:tcW w:w="8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r>
      <w:tr>
        <w:tblPrEx>
          <w:tblCellMar>
            <w:top w:w="0" w:type="dxa"/>
            <w:left w:w="108" w:type="dxa"/>
            <w:bottom w:w="0" w:type="dxa"/>
            <w:right w:w="108" w:type="dxa"/>
          </w:tblCellMar>
        </w:tblPrEx>
        <w:trPr>
          <w:trHeight w:val="441"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视频处理器</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1.支持≥3个窗口和≥1路OSD。</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2.支持快捷配屏和高级配屏功能。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3.支持HDMI、DVI输入分辨率自定义调节。</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4.支持设备间备份设置。</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5.视频输出最大带载高达390万像素，最大宽度10240像素，最大高度8192像素。</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6.支持带载屏体亮度调节。</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7.支持一键将优先级最低的窗口全屏自动缩放。</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8.支持创建≥10个用户场景作为模板保存，方便使用。</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9.支持选择HDMI输入源或DVI输入源作为同步信号，达到输出的场级同步。</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10.前面板配备直观的LCD显示界面，清晰的按键灯提示，简化了系统的控制操作。</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11.支持音频输入输出。</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41"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显示屏控制设备嵌入式软件</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支持视频、音频、图像、文字、Flash、Gif等形式的媒体文件播放；</w:t>
            </w:r>
          </w:p>
          <w:p>
            <w:pPr>
              <w:widowControl/>
              <w:jc w:val="left"/>
              <w:rPr>
                <w:rFonts w:hint="eastAsia" w:ascii="宋体" w:hAnsi="宋体" w:eastAsia="宋体" w:cs="宋体"/>
                <w:kern w:val="0"/>
                <w:sz w:val="24"/>
                <w:szCs w:val="24"/>
                <w:lang w:eastAsia="zh-CN"/>
              </w:rPr>
            </w:pPr>
            <w:r>
              <w:rPr>
                <w:rFonts w:ascii="宋体" w:hAnsi="宋体" w:eastAsia="宋体" w:cs="宋体"/>
                <w:kern w:val="0"/>
                <w:sz w:val="24"/>
                <w:szCs w:val="24"/>
              </w:rPr>
              <w:t>2</w:t>
            </w:r>
            <w:r>
              <w:rPr>
                <w:rFonts w:hint="eastAsia" w:ascii="宋体" w:hAnsi="宋体" w:eastAsia="宋体" w:cs="宋体"/>
                <w:kern w:val="0"/>
                <w:sz w:val="24"/>
                <w:szCs w:val="24"/>
              </w:rPr>
              <w:t>.支持Microsoft office的Word、Excel、PPT显示；支持多页面多分区节目编辑；</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支持时钟、计时、网页、表格、数据库、天气预报显示；支持外部视频、环境信息、体育比分、桌面拷贝播放；</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441"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配电柜</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1.额定功率：10KW，输出路数：≥3路</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2.配电柜输入电压为交流380V±15%，工频50Hz。具有过压、浪涌、短路、过流、过载、漏电等保护功能。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3.内置避雷器，具有避雷防雷功能。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4.配电柜含多功能卡控制，具有远程控制功能。</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5.支持通过LED显示屏智慧控制系统软件实现远程开关电箱、远程通讯、电源监视、温度监控、消防监控等操作。</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41"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台式电脑</w:t>
            </w:r>
          </w:p>
        </w:tc>
        <w:tc>
          <w:tcPr>
            <w:tcW w:w="6517" w:type="dxa"/>
            <w:tcBorders>
              <w:top w:val="nil"/>
              <w:left w:val="nil"/>
              <w:bottom w:val="single" w:color="auto" w:sz="4" w:space="0"/>
              <w:right w:val="single" w:color="auto" w:sz="4" w:space="0"/>
            </w:tcBorders>
            <w:noWrap w:val="0"/>
            <w:vAlign w:val="top"/>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台式电脑整机(屏幕尺寸：20-21.5英寸,处理器：酷睿I5十代以上，硬盘容量：240GB/256GB SSD+1TB机械硬盘，显卡型号：集成显卡性能不低于1050ti,小机箱，系统搭载Windows 10、Windows 11)</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专业功放</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1.1U机箱设计，采用最新D类数字功放设计方案。</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2.标准XLR输入接口，和LINK输出口。</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3.电源采用开关电源技术，效率高，有效的抑制电源谐波。</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4.内置智能削峰限幅器，支持开机软启动，防止开机时向电网吸收大电流，干扰其它用电设备。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5.具有：过压保护，欠压保护，过流保护，直流保护，输出短路保护，温控风扇等功能。</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6.输出功率：立体声@8Ω：≥350W×2；立体声@4Ω：≥600W×2。</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专业音箱</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1.阻抗：8Ω</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2.频响：60Hz~20KHz</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3.额定功率≥200W</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4.灵敏度≥96dB/W/M</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5.水平覆盖角≥80°，垂直覆盖角≥60°</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6.高音：1.4"压缩高音单元×1</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7.低音：8"低音×1</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HL支架</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固定面板孔位尺寸（长*宽）： 140mm*65mm</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箱体固定面板孔位尺寸（长*宽）： 128mm*70mm</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设备面板尺寸：160mm*90mm</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音频处理器</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1.数字音频处理器支持≥4路平衡式话筒/线路输入通道，采用裸线接口端子，平衡接法；支持≥4路平衡式线路输出，采用裸线接口端子，平衡接法。</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2.输入通道支持前级放大、信号发生器、扩展器、压缩器、≥5段参量均衡、AM自动混音功能、AFC自适应反馈消除、AEC回声消除、ANC噪声消除。</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3.输出通道支持≥31段图示均衡器、延时器、分频器、高低通滤波器、限幅器。</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4.支持≥24bit/48kHz的声音，支持输入通道48V幻象供电。</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5.具有≥2.19英寸液晶显示屏，支持显示设备网络信息、实时电平、通道静音状态、矩阵混音状态。</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6.支持通过ipad或iPhone或安卓手机APP软件进行操作控制，面板具备USB接口，支持多媒体存储，可进行播放或存储录播。</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7.配置双向RS-232接口，可用于控制外部设备；配置RS-485接口，可实现自动摄像跟踪功能。配置≥8通道可编程GPIO控制接口（可自定义输入输出）。</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8.支持断电自动保护记忆功能。支持通道拷贝、粘贴、联控功能。支持通过浏览器访问设备，下载自带管理控制软件；可工作在XP/Windows7、8、10等系统环境下。</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网络中控主机</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1.采用SMT全贴片式生产工艺，高度集成处理芯片，系统运行稳定、流畅。内置32位Cortex-A8 ARM架构内嵌式处理器，处理速度高达720MHz。</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2.支持红外控制、RS-232、RS-422、RS-485、UDP、TCP、telnet、http、MQTT以及SNMP等多种协议，兼容性强，可对接第三方设备。</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3.主机具备不少于4.3英寸触摸彩屏、≥8路独立可编程串口、≥8路独立可编程IR红外发射口、≥8路数字I/0控制口、≥8路弱电继电器控制接口、≥1个NET网络控制接口、≥1路TF卡接口。 。</w:t>
            </w:r>
          </w:p>
          <w:p>
            <w:pPr>
              <w:widowControl/>
              <w:jc w:val="left"/>
              <w:rPr>
                <w:rFonts w:hint="eastAsia" w:ascii="宋体" w:hAnsi="宋体" w:eastAsia="宋体" w:cs="宋体"/>
                <w:kern w:val="0"/>
                <w:sz w:val="24"/>
                <w:szCs w:val="24"/>
                <w:lang w:eastAsia="zh-CN"/>
              </w:rPr>
            </w:pPr>
            <w:r>
              <w:rPr>
                <w:rFonts w:ascii="宋体" w:hAnsi="宋体" w:eastAsia="宋体" w:cs="宋体"/>
                <w:kern w:val="0"/>
                <w:sz w:val="24"/>
                <w:szCs w:val="24"/>
              </w:rPr>
              <w:t>4</w:t>
            </w:r>
            <w:r>
              <w:rPr>
                <w:rFonts w:hint="eastAsia" w:ascii="宋体" w:hAnsi="宋体" w:eastAsia="宋体" w:cs="宋体"/>
                <w:kern w:val="0"/>
                <w:sz w:val="24"/>
                <w:szCs w:val="24"/>
              </w:rPr>
              <w:t>.支持双机热备份。当中控主机出现故障时，备用中控主机自动承担服务，切换时间小于1.2s，从而保证系统在不需要人工干预的情况下能正常运行。</w:t>
            </w:r>
          </w:p>
          <w:p>
            <w:pPr>
              <w:widowControl/>
              <w:jc w:val="left"/>
              <w:rPr>
                <w:rFonts w:hint="eastAsia" w:ascii="宋体" w:hAnsi="宋体" w:eastAsia="宋体" w:cs="宋体"/>
                <w:kern w:val="0"/>
                <w:sz w:val="24"/>
                <w:szCs w:val="24"/>
                <w:lang w:eastAsia="zh-CN"/>
              </w:rPr>
            </w:pPr>
            <w:r>
              <w:rPr>
                <w:rFonts w:ascii="宋体" w:hAnsi="宋体" w:eastAsia="宋体" w:cs="宋体"/>
                <w:kern w:val="0"/>
                <w:sz w:val="24"/>
                <w:szCs w:val="24"/>
              </w:rPr>
              <w:t>5</w:t>
            </w:r>
            <w:r>
              <w:rPr>
                <w:rFonts w:hint="eastAsia" w:ascii="宋体" w:hAnsi="宋体" w:eastAsia="宋体" w:cs="宋体"/>
                <w:kern w:val="0"/>
                <w:sz w:val="24"/>
                <w:szCs w:val="24"/>
              </w:rPr>
              <w:t>.支持触发联动。中控主机可根据传感器采集数据和预设数据进行比对，从而自动控制空调或加湿器等设备。6.支持互联网控制。中控主机在连接互联网的情况下，用户可操作手机或平板等移动端通过互联网实现对中控主机远程控制。</w:t>
            </w:r>
          </w:p>
          <w:p>
            <w:pPr>
              <w:widowControl/>
              <w:jc w:val="left"/>
              <w:rPr>
                <w:rFonts w:hint="eastAsia" w:ascii="宋体" w:hAnsi="宋体" w:eastAsia="宋体" w:cs="宋体"/>
                <w:kern w:val="0"/>
                <w:sz w:val="24"/>
                <w:szCs w:val="24"/>
                <w:lang w:eastAsia="zh-CN"/>
              </w:rPr>
            </w:pPr>
            <w:r>
              <w:rPr>
                <w:rFonts w:ascii="宋体" w:hAnsi="宋体" w:eastAsia="宋体" w:cs="宋体"/>
                <w:kern w:val="0"/>
                <w:sz w:val="24"/>
                <w:szCs w:val="24"/>
              </w:rPr>
              <w:t>7</w:t>
            </w:r>
            <w:r>
              <w:rPr>
                <w:rFonts w:hint="eastAsia" w:ascii="宋体" w:hAnsi="宋体" w:eastAsia="宋体" w:cs="宋体"/>
                <w:kern w:val="0"/>
                <w:sz w:val="24"/>
                <w:szCs w:val="24"/>
              </w:rPr>
              <w:t>.支持语音控制。中控主机可搭配语音控制软件或支持对接主机的第三方语音音箱，通过将语音转换成中控指令，实现对周边设备控制或场景调用。</w:t>
            </w:r>
          </w:p>
          <w:p>
            <w:pPr>
              <w:widowControl/>
              <w:jc w:val="left"/>
              <w:rPr>
                <w:rFonts w:hint="eastAsia" w:ascii="宋体" w:hAnsi="宋体" w:eastAsia="宋体" w:cs="宋体"/>
                <w:kern w:val="0"/>
                <w:sz w:val="24"/>
                <w:szCs w:val="24"/>
                <w:lang w:eastAsia="zh-CN"/>
              </w:rPr>
            </w:pPr>
            <w:r>
              <w:rPr>
                <w:rFonts w:ascii="宋体" w:hAnsi="宋体" w:eastAsia="宋体" w:cs="宋体"/>
                <w:kern w:val="0"/>
                <w:sz w:val="24"/>
                <w:szCs w:val="24"/>
              </w:rPr>
              <w:t>8</w:t>
            </w:r>
            <w:r>
              <w:rPr>
                <w:rFonts w:hint="eastAsia" w:ascii="宋体" w:hAnsi="宋体" w:eastAsia="宋体" w:cs="宋体"/>
                <w:kern w:val="0"/>
                <w:sz w:val="24"/>
                <w:szCs w:val="24"/>
              </w:rPr>
              <w:t>.支持扫二维码控制。中控主机在连接互联网的情况下会在云平台自动生成二维码，通过微信或者浏览器扫一扫二维码，即可进入控制界面，实现对中控主机控制。支持密码权限设置。</w:t>
            </w:r>
          </w:p>
          <w:p>
            <w:pPr>
              <w:widowControl/>
              <w:jc w:val="left"/>
              <w:rPr>
                <w:rFonts w:hint="eastAsia" w:ascii="宋体" w:hAnsi="宋体" w:eastAsia="宋体" w:cs="宋体"/>
                <w:kern w:val="0"/>
                <w:sz w:val="24"/>
                <w:szCs w:val="24"/>
                <w:lang w:eastAsia="zh-CN"/>
              </w:rPr>
            </w:pPr>
            <w:r>
              <w:rPr>
                <w:rFonts w:ascii="宋体" w:hAnsi="宋体" w:eastAsia="宋体" w:cs="宋体"/>
                <w:kern w:val="0"/>
                <w:sz w:val="24"/>
                <w:szCs w:val="24"/>
              </w:rPr>
              <w:t>9</w:t>
            </w:r>
            <w:r>
              <w:rPr>
                <w:rFonts w:hint="eastAsia" w:ascii="宋体" w:hAnsi="宋体" w:eastAsia="宋体" w:cs="宋体"/>
                <w:kern w:val="0"/>
                <w:sz w:val="24"/>
                <w:szCs w:val="24"/>
              </w:rPr>
              <w:t>.支持定时控制。用户可预先设置定时控制任务，到达指定时间后，中控主机自动执行控制任务。</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宋体"/>
                <w:kern w:val="0"/>
                <w:sz w:val="24"/>
                <w:szCs w:val="24"/>
              </w:rPr>
              <w:t>.支持视频矩阵可视化控制。用户可通过控制端实时预览、拖动并切换矩阵视频信号，支持设置触碰和投放触发切换方式。</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.支持拼接矩阵可视化控制。用户可通过控制端实时预览、放大、缩小、拖动并切换拼接矩阵视频信号，可对输入信号源进行置底、置顶以及一键清屏等操作，支持设置触碰和投放触发切换方式。</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.支持电脑远程控制。当中控主机和电脑在同一局域网情况下，用户可通过控制端APP实时对电脑远程桌面控制并查看电脑工作状态。</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.对接云会务系统。用户通过手机APP或WEB端预约会议室时，可设置情景类型以及开始/结束时间。</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网络中控系统逻辑处理内嵌软件</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1.软件内嵌于中央控制系统主机设备，实现系统控制逻辑、处理等功能。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2.主要包括硬件逻辑模块、软件逻辑模块、红外代码管理、编译、下载、监视等。</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3.编程软件支持添加与实际工程对应硬件的逻辑模块。</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4.实现串口代码数据、IR红外数据、继电器、I/O数据等的代码转发、逻辑算法处理等编程功能。</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5.支持界面设计软件实现中控控制界面的制作及编辑，支持互锁模式，支持3D按键等灵活的按键设计模块。</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安卓平板电脑</w:t>
            </w:r>
          </w:p>
        </w:tc>
        <w:tc>
          <w:tcPr>
            <w:tcW w:w="6517" w:type="dxa"/>
            <w:tcBorders>
              <w:top w:val="nil"/>
              <w:left w:val="nil"/>
              <w:bottom w:val="single" w:color="auto" w:sz="4" w:space="0"/>
              <w:right w:val="single" w:color="auto" w:sz="4" w:space="0"/>
            </w:tcBorders>
            <w:noWrap w:val="0"/>
            <w:vAlign w:val="top"/>
          </w:tcPr>
          <w:p>
            <w:pPr>
              <w:widowControl/>
              <w:jc w:val="left"/>
              <w:rPr>
                <w:rFonts w:ascii="宋体" w:hAnsi="宋体" w:eastAsia="宋体" w:cs="宋体"/>
                <w:kern w:val="0"/>
                <w:sz w:val="24"/>
                <w:szCs w:val="24"/>
              </w:rPr>
            </w:pPr>
            <w:r>
              <w:rPr>
                <w:rFonts w:hint="eastAsia" w:ascii="宋体" w:hAnsi="宋体" w:eastAsia="宋体" w:cs="宋体"/>
                <w:kern w:val="0"/>
                <w:sz w:val="24"/>
                <w:szCs w:val="24"/>
              </w:rPr>
              <w:t>6GB+128GB WIFI</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无线路由器</w:t>
            </w:r>
          </w:p>
        </w:tc>
        <w:tc>
          <w:tcPr>
            <w:tcW w:w="6517" w:type="dxa"/>
            <w:tcBorders>
              <w:top w:val="nil"/>
              <w:left w:val="nil"/>
              <w:bottom w:val="single" w:color="auto" w:sz="4" w:space="0"/>
              <w:right w:val="single" w:color="auto" w:sz="4" w:space="0"/>
            </w:tcBorders>
            <w:noWrap w:val="0"/>
            <w:vAlign w:val="top"/>
          </w:tcPr>
          <w:p>
            <w:pPr>
              <w:widowControl/>
              <w:jc w:val="left"/>
              <w:rPr>
                <w:rFonts w:ascii="宋体" w:hAnsi="宋体" w:eastAsia="宋体" w:cs="宋体"/>
                <w:kern w:val="0"/>
                <w:sz w:val="24"/>
                <w:szCs w:val="24"/>
              </w:rPr>
            </w:pPr>
            <w:r>
              <w:rPr>
                <w:rFonts w:hint="eastAsia" w:ascii="宋体" w:hAnsi="宋体" w:eastAsia="宋体" w:cs="宋体"/>
                <w:kern w:val="0"/>
                <w:sz w:val="24"/>
                <w:szCs w:val="24"/>
              </w:rPr>
              <w:t>增强版双千兆路由器 1200M高速双频wifi 无线穿墙 路由 5G双频智能无线路由</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无缝高清矩阵切换器</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1.矩阵采用纯硬件标准化机箱设计，支持配置8×8路信号切换，支持HDMI、DVI、VGA、SDI、HDBaseT、光纤的任意输入/输出信号卡，其中DVI输入卡兼容CVBS，YUV,VGA信号，VGA输入/输出卡均兼容CVBS，YUV,VGA信号。</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2.采用板卡模块化设计，支持接入2块输入卡、2块输出卡、1块控制卡；通过定制配置各类相同或不同的输入输出卡可以组成单一接口类型或多接口类型的矩阵，如HDMI矩阵，DVI矩阵，VGA矩阵，YUV矩阵，Video矩阵等。</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3.支持无缝切换功能，切换过程无黑屏信号。</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4.支持1080P分辨率，最大可支持4Kx2K。</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5.支持模拟音频与HDMI内嵌音频选择输入、支持模拟音频与HDMI内嵌音频同时输出。</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6.支持接入≥1块控制板卡，具有≥1路RS-232,≥1路RS-485,≥1路TCP/IP端口（PC软件）。</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7.HDBaseT输入输出信号支持双向 RS-232 和双向 IR 信号传输，可对RS-232和IR 信号选择随视频信号切换，或分离切换模式，支持POC供电。</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8.支持KVM坐席管理功能，通过一套键盘鼠标显示器切换、管理多台计算机设备。</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9.机箱前面板带有≥7英寸全彩触摸屏。</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高清无缝混插矩阵切换内嵌软件</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1.软件内嵌于高清混插矩阵切换系统，实现各类高清晰数字/模拟信号的处理、切换等功能。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2.支持分辨率高达1920×1080P@60Hz的处理能力。</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3.支持信号无缝切换，切换过程无黑屏信号。</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4.支持通过专业的PC上位机管理软件控制。</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5.通过矩阵切换信号或通过软件切换信号。</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HDMI无缝高清输入卡</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1.支持≥4路HDMI-A母接口和3.5mm音频座，支持模拟音频与HDMI内嵌音频选择输入；支持热插拔。</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2.支持快速无缝切换，无闪烁，无黑屏。</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3.支持断电现场切换记忆保护功能，特有ESD静电保护功能。</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4.兼容HDMI1.3a的标准，HDCP1.3协议，DVI1.0协议。最大支持分辨率：1920X1200P@60。 </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高清矩阵输入板卡内嵌软件</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1.软件内嵌于高清矩阵系统板卡设备，实现信号的处理功能。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2.支持分辨率高达1920×1080P@60Hz的处理能力。</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3.通过矩阵切换信号或通过软件切换信号。</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HDMI无缝高清输出卡</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1.支持≥4路HDMI-A母接口和3.5mm音频座，支持模拟音频与HDMI内嵌音频同时输出。支持热插拔。</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2.支持快速无缝切换，无闪烁，无黑屏。</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3.支持断电现场切换记忆保护功能，特有ESD静电保护功能。</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4.兼容HDMI1.3a的标准，HDCP1.3协议，DVI1.0协议。支持倍线功能，最高分辨率支持1080P。</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高清矩阵输出板卡内嵌软件</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1.软件内嵌于高清矩阵系统板卡设备，实现信号的处理功能。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2.支持分辨率高达1920×1080P@60Hz的处理能力。</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3.通过矩阵切换信号或通过软件切换信号。</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摄像机</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1.高清摄像机具备20倍光学变倍镜头，并支持16倍数字变焦；采用1/2.8英寸、207万有效像素的高品质HD CMOS传感器。</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2.镜头焦距f4.42mm ~ 88.5mm, 光圈系数F1.8 ~ F2.8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3.支持1080P60，1080P59.94，1080P50，1080I60，1080I59.94，1080I50，1080P30，1080P29.97，1080P25，720P60，720P59.94，720P50分辨率，支持输出帧率60帧/秒。</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4.支持HDMI、SDI、USB、网络四路视频同时输出。</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5.支持RS232和RS485串口，可对摄像机进行控制；支持预置位数量255个，预置位精度：0.1°。</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6.水平视场角：60.7°～3.36°；支持水平转动范围：-170°～+170°，垂直转动范围：-30°～+90°，水平转动速度范围：水平：1.7° ~ 100°/s，俯仰：1.7° ~ 69.9°/s。</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7.支持先进的2D、3D降噪技术。</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8.内置AI技术和行人重识别技术，支持与会人员自动框选，发言人员自动跟踪。</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9.内置双麦克风阵列；支持AAC音频编码，音质更佳，带宽占用更小。</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10.支持PoE供电。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11.具备≥1路HDMI输出接口、≥1路3G-SDI输出接口、≥1路USB3.0输出接口，具备≥1路3.5mm音频输入接口和≥1路3.5mm音频输出接口。</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3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高清视频会议专用摄像头内嵌软件</w:t>
            </w:r>
          </w:p>
        </w:tc>
        <w:tc>
          <w:tcPr>
            <w:tcW w:w="6517"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1.软件内嵌于高清视频会议专用摄像头，实现高清视频拍摄采集处理功能。</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2.支持对高清视频信号的处理、传输；支持H.264视频编解码技术能力。</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3.支持光学变焦处理能力，支持通过串口实现远程控制。</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4.支持2D、3D降噪技术。</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5.支持预置位设定及调用功能。</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8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bl>
    <w:p>
      <w:pPr>
        <w:rPr>
          <w:rFonts w:hint="eastAsia" w:eastAsiaTheme="minorEastAsia"/>
          <w:lang w:eastAsia="zh-CN"/>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jg5MWJmMzRlNDU0OTJhNzE3Nzg3YzBiNDRjNjcifQ=="/>
  </w:docVars>
  <w:rsids>
    <w:rsidRoot w:val="00000000"/>
    <w:rsid w:val="01D5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2023-03-30T08:29:48Z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90C99399D94447BE9D2AF333FED32780_12</vt:lpwstr>
  </property>
</Properties>
</file>