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left="0" w:leftChars="0" w:firstLine="0" w:firstLineChars="0"/>
        <w:rPr>
          <w:rFonts w:hint="eastAsia" w:ascii="仿宋" w:hAnsi="仿宋" w:eastAsia="仿宋" w:cs="仿宋"/>
          <w:b/>
          <w:color w:val="auto"/>
          <w:sz w:val="56"/>
          <w:szCs w:val="56"/>
          <w:highlight w:val="none"/>
          <w:lang w:val="en-US" w:eastAsia="zh-CN"/>
        </w:rPr>
      </w:pPr>
      <w:bookmarkStart w:id="0" w:name="_Toc29080"/>
      <w:bookmarkStart w:id="1" w:name="_Toc31341_WPSOffice_Level1"/>
      <w:bookmarkStart w:id="2" w:name="_Toc21123"/>
      <w:r>
        <w:rPr>
          <w:rFonts w:hint="eastAsia" w:ascii="仿宋" w:hAnsi="仿宋" w:eastAsia="仿宋" w:cs="仿宋"/>
          <w:b/>
          <w:color w:val="auto"/>
          <w:sz w:val="32"/>
          <w:szCs w:val="32"/>
          <w:highlight w:val="none"/>
          <w:lang w:eastAsia="zh-CN"/>
        </w:rPr>
        <w:t>采购项目</w:t>
      </w:r>
      <w:r>
        <w:rPr>
          <w:rFonts w:hint="eastAsia" w:ascii="仿宋" w:hAnsi="仿宋" w:eastAsia="仿宋" w:cs="仿宋"/>
          <w:b/>
          <w:color w:val="auto"/>
          <w:sz w:val="32"/>
          <w:szCs w:val="32"/>
          <w:highlight w:val="none"/>
        </w:rPr>
        <w:t>编号:YC23314001（CGQ）01</w:t>
      </w:r>
      <w:r>
        <w:rPr>
          <w:rFonts w:hint="eastAsia" w:ascii="仿宋" w:hAnsi="仿宋" w:eastAsia="仿宋" w:cs="仿宋"/>
          <w:b/>
          <w:color w:val="auto"/>
          <w:sz w:val="32"/>
          <w:szCs w:val="32"/>
          <w:highlight w:val="none"/>
          <w:lang w:val="en-US" w:eastAsia="zh-CN"/>
        </w:rPr>
        <w:t>6</w:t>
      </w:r>
    </w:p>
    <w:p>
      <w:pPr>
        <w:pStyle w:val="4"/>
        <w:ind w:left="0" w:leftChars="0" w:firstLine="0" w:firstLineChars="0"/>
        <w:rPr>
          <w:rFonts w:hint="eastAsia" w:ascii="仿宋" w:hAnsi="仿宋" w:eastAsia="仿宋" w:cs="仿宋"/>
          <w:b/>
          <w:color w:val="000000"/>
          <w:sz w:val="52"/>
          <w:szCs w:val="52"/>
          <w:highlight w:val="none"/>
          <w:lang w:val="en-US" w:eastAsia="zh-CN"/>
        </w:rPr>
      </w:pPr>
    </w:p>
    <w:p>
      <w:pPr>
        <w:rPr>
          <w:rFonts w:hint="eastAsia" w:ascii="仿宋" w:hAnsi="仿宋" w:eastAsia="仿宋" w:cs="仿宋"/>
          <w:b/>
          <w:color w:val="000000"/>
          <w:sz w:val="52"/>
          <w:szCs w:val="52"/>
          <w:highlight w:val="none"/>
          <w:lang w:val="en-US" w:eastAsia="zh-CN"/>
        </w:rPr>
      </w:pPr>
    </w:p>
    <w:p>
      <w:pPr>
        <w:rPr>
          <w:rFonts w:hint="eastAsia"/>
          <w:highlight w:val="none"/>
          <w:lang w:val="en-US" w:eastAsia="zh-CN"/>
        </w:rPr>
      </w:pPr>
    </w:p>
    <w:p>
      <w:pPr>
        <w:bidi w:val="0"/>
        <w:jc w:val="center"/>
        <w:rPr>
          <w:rFonts w:hint="eastAsia" w:ascii="仿宋" w:hAnsi="仿宋" w:eastAsia="仿宋" w:cs="仿宋"/>
          <w:b/>
          <w:bCs/>
          <w:sz w:val="48"/>
          <w:szCs w:val="36"/>
          <w:highlight w:val="none"/>
        </w:rPr>
      </w:pPr>
      <w:r>
        <w:rPr>
          <w:rFonts w:hint="eastAsia" w:ascii="仿宋" w:hAnsi="仿宋" w:eastAsia="仿宋" w:cs="仿宋"/>
          <w:b/>
          <w:bCs/>
          <w:sz w:val="48"/>
          <w:szCs w:val="36"/>
          <w:highlight w:val="none"/>
        </w:rPr>
        <w:t>榆林市政协APP软件开发服务采购项目</w:t>
      </w:r>
    </w:p>
    <w:p>
      <w:pPr>
        <w:bidi w:val="0"/>
        <w:rPr>
          <w:rFonts w:hint="eastAsia" w:ascii="仿宋" w:hAnsi="仿宋" w:eastAsia="仿宋" w:cs="仿宋"/>
          <w:highlight w:val="none"/>
        </w:rPr>
      </w:pPr>
    </w:p>
    <w:p>
      <w:pPr>
        <w:pStyle w:val="10"/>
        <w:rPr>
          <w:rFonts w:hint="eastAsia" w:ascii="仿宋" w:hAnsi="仿宋" w:eastAsia="仿宋" w:cs="仿宋"/>
          <w:highlight w:val="none"/>
        </w:rPr>
      </w:pPr>
    </w:p>
    <w:p>
      <w:pPr>
        <w:pStyle w:val="10"/>
        <w:rPr>
          <w:rFonts w:hint="eastAsia" w:ascii="仿宋" w:hAnsi="仿宋" w:eastAsia="仿宋" w:cs="仿宋"/>
          <w:highlight w:val="none"/>
        </w:rPr>
      </w:pPr>
    </w:p>
    <w:p>
      <w:pPr>
        <w:rPr>
          <w:rFonts w:hint="eastAsia" w:ascii="仿宋" w:hAnsi="仿宋" w:eastAsia="仿宋" w:cs="仿宋"/>
          <w:highlight w:val="none"/>
        </w:rPr>
      </w:pPr>
    </w:p>
    <w:p>
      <w:pPr>
        <w:pStyle w:val="10"/>
        <w:rPr>
          <w:rFonts w:hint="eastAsia" w:ascii="仿宋" w:hAnsi="仿宋" w:eastAsia="仿宋" w:cs="仿宋"/>
          <w:highlight w:val="none"/>
        </w:rPr>
      </w:pPr>
    </w:p>
    <w:p>
      <w:pPr>
        <w:rPr>
          <w:rFonts w:hint="eastAsia" w:ascii="仿宋" w:hAnsi="仿宋" w:eastAsia="仿宋" w:cs="仿宋"/>
          <w:highlight w:val="none"/>
        </w:rPr>
      </w:pPr>
    </w:p>
    <w:p>
      <w:pPr>
        <w:rPr>
          <w:rFonts w:hint="eastAsia"/>
          <w:highlight w:val="none"/>
        </w:rPr>
      </w:pPr>
      <w:bookmarkStart w:id="600" w:name="_GoBack"/>
      <w:bookmarkEnd w:id="600"/>
    </w:p>
    <w:p>
      <w:pPr>
        <w:jc w:val="center"/>
        <w:rPr>
          <w:rFonts w:hint="eastAsia" w:ascii="仿宋" w:hAnsi="仿宋" w:eastAsia="仿宋" w:cs="仿宋"/>
          <w:b/>
          <w:color w:val="auto"/>
          <w:sz w:val="96"/>
          <w:szCs w:val="96"/>
          <w:highlight w:val="none"/>
        </w:rPr>
      </w:pPr>
    </w:p>
    <w:p>
      <w:pPr>
        <w:jc w:val="center"/>
        <w:rPr>
          <w:rFonts w:hint="eastAsia" w:ascii="仿宋" w:hAnsi="仿宋" w:eastAsia="仿宋" w:cs="仿宋"/>
          <w:b/>
          <w:color w:val="auto"/>
          <w:sz w:val="96"/>
          <w:szCs w:val="96"/>
          <w:highlight w:val="none"/>
        </w:rPr>
      </w:pPr>
      <w:r>
        <w:rPr>
          <w:rFonts w:hint="eastAsia" w:ascii="仿宋" w:hAnsi="仿宋" w:eastAsia="仿宋" w:cs="仿宋"/>
          <w:b/>
          <w:color w:val="auto"/>
          <w:sz w:val="96"/>
          <w:szCs w:val="96"/>
          <w:highlight w:val="none"/>
        </w:rPr>
        <w:t>竞争性磋商文件</w:t>
      </w:r>
    </w:p>
    <w:p>
      <w:pPr>
        <w:rPr>
          <w:rFonts w:hint="eastAsia" w:ascii="仿宋" w:hAnsi="仿宋" w:eastAsia="仿宋" w:cs="仿宋"/>
          <w:highlight w:val="none"/>
        </w:rPr>
      </w:pPr>
    </w:p>
    <w:p>
      <w:pPr>
        <w:pStyle w:val="4"/>
        <w:rPr>
          <w:rFonts w:hint="eastAsia" w:ascii="仿宋" w:hAnsi="仿宋" w:eastAsia="仿宋" w:cs="仿宋"/>
          <w:b/>
          <w:color w:val="auto"/>
          <w:sz w:val="40"/>
          <w:szCs w:val="40"/>
          <w:highlight w:val="none"/>
        </w:rPr>
      </w:pPr>
    </w:p>
    <w:p>
      <w:pPr>
        <w:pStyle w:val="4"/>
        <w:rPr>
          <w:rFonts w:hint="eastAsia" w:ascii="仿宋" w:hAnsi="仿宋" w:eastAsia="仿宋" w:cs="仿宋"/>
          <w:b/>
          <w:color w:val="auto"/>
          <w:sz w:val="40"/>
          <w:szCs w:val="40"/>
          <w:highlight w:val="none"/>
        </w:rPr>
      </w:pPr>
    </w:p>
    <w:p>
      <w:pPr>
        <w:rPr>
          <w:rFonts w:hint="eastAsia" w:ascii="仿宋" w:hAnsi="仿宋" w:eastAsia="仿宋" w:cs="仿宋"/>
          <w:b/>
          <w:color w:val="auto"/>
          <w:sz w:val="40"/>
          <w:szCs w:val="40"/>
          <w:highlight w:val="none"/>
        </w:rPr>
      </w:pPr>
    </w:p>
    <w:p>
      <w:pPr>
        <w:pStyle w:val="26"/>
        <w:rPr>
          <w:rFonts w:hint="eastAsia" w:ascii="仿宋" w:hAnsi="仿宋" w:eastAsia="仿宋" w:cs="仿宋"/>
          <w:b/>
          <w:color w:val="auto"/>
          <w:sz w:val="40"/>
          <w:szCs w:val="40"/>
          <w:highlight w:val="none"/>
        </w:rPr>
      </w:pPr>
    </w:p>
    <w:p>
      <w:pPr>
        <w:rPr>
          <w:rFonts w:hint="eastAsia" w:ascii="仿宋" w:hAnsi="仿宋" w:eastAsia="仿宋" w:cs="仿宋"/>
          <w:b/>
          <w:color w:val="auto"/>
          <w:sz w:val="40"/>
          <w:szCs w:val="40"/>
          <w:highlight w:val="none"/>
        </w:rPr>
      </w:pPr>
    </w:p>
    <w:p>
      <w:pPr>
        <w:pStyle w:val="26"/>
        <w:rPr>
          <w:rFonts w:hint="eastAsia" w:ascii="仿宋" w:hAnsi="仿宋" w:eastAsia="仿宋" w:cs="仿宋"/>
          <w:b/>
          <w:color w:val="auto"/>
          <w:sz w:val="40"/>
          <w:szCs w:val="40"/>
          <w:highlight w:val="none"/>
        </w:rPr>
      </w:pPr>
    </w:p>
    <w:p>
      <w:pPr>
        <w:rPr>
          <w:rFonts w:hint="eastAsia" w:ascii="仿宋" w:hAnsi="仿宋" w:eastAsia="仿宋" w:cs="仿宋"/>
          <w:highlight w:val="none"/>
        </w:rPr>
      </w:pPr>
    </w:p>
    <w:p>
      <w:pPr>
        <w:pStyle w:val="4"/>
        <w:rPr>
          <w:rFonts w:hint="eastAsia" w:ascii="仿宋" w:hAnsi="仿宋" w:eastAsia="仿宋" w:cs="仿宋"/>
          <w:highlight w:val="none"/>
        </w:rPr>
      </w:pPr>
    </w:p>
    <w:p>
      <w:pPr>
        <w:bidi w:val="0"/>
        <w:rPr>
          <w:rFonts w:hint="eastAsia" w:ascii="仿宋" w:hAnsi="仿宋" w:eastAsia="仿宋" w:cs="仿宋"/>
          <w:highlight w:val="none"/>
        </w:rPr>
      </w:pPr>
    </w:p>
    <w:p>
      <w:pPr>
        <w:pStyle w:val="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仿宋" w:hAnsi="仿宋" w:eastAsia="仿宋" w:cs="仿宋"/>
          <w:b/>
          <w:bCs/>
          <w:color w:val="000000"/>
          <w:sz w:val="36"/>
          <w:szCs w:val="36"/>
          <w:highlight w:val="none"/>
        </w:rPr>
      </w:pPr>
      <w:r>
        <w:rPr>
          <w:rFonts w:hint="eastAsia" w:ascii="仿宋" w:hAnsi="仿宋" w:eastAsia="仿宋" w:cs="仿宋"/>
          <w:b/>
          <w:bCs/>
          <w:color w:val="000000"/>
          <w:kern w:val="0"/>
          <w:sz w:val="36"/>
          <w:szCs w:val="36"/>
          <w:highlight w:val="none"/>
        </w:rPr>
        <w:t>采购人：中国人民政治协商会议陕西省榆林市委员会办公室</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仿宋" w:hAnsi="仿宋" w:eastAsia="仿宋" w:cs="仿宋"/>
          <w:b/>
          <w:bCs/>
          <w:color w:val="000000"/>
          <w:sz w:val="36"/>
          <w:szCs w:val="36"/>
          <w:highlight w:val="none"/>
          <w:lang w:val="en-US" w:eastAsia="zh-CN"/>
        </w:rPr>
      </w:pPr>
      <w:r>
        <w:rPr>
          <w:rFonts w:hint="eastAsia" w:ascii="仿宋" w:hAnsi="仿宋" w:eastAsia="仿宋" w:cs="仿宋"/>
          <w:b/>
          <w:bCs/>
          <w:color w:val="000000"/>
          <w:sz w:val="36"/>
          <w:szCs w:val="36"/>
          <w:highlight w:val="none"/>
        </w:rPr>
        <w:t>采购代理机构：</w:t>
      </w:r>
      <w:r>
        <w:rPr>
          <w:rFonts w:hint="eastAsia" w:ascii="仿宋" w:hAnsi="仿宋" w:eastAsia="仿宋" w:cs="仿宋"/>
          <w:b/>
          <w:bCs/>
          <w:color w:val="000000"/>
          <w:sz w:val="36"/>
          <w:szCs w:val="36"/>
          <w:highlight w:val="none"/>
          <w:lang w:val="en-US" w:eastAsia="zh-CN"/>
        </w:rPr>
        <w:t>亿诚建设项目管理有限公司</w:t>
      </w:r>
    </w:p>
    <w:p>
      <w:pPr>
        <w:rPr>
          <w:rFonts w:hint="eastAsia" w:ascii="仿宋" w:hAnsi="仿宋" w:eastAsia="仿宋" w:cs="仿宋"/>
          <w:highlight w:val="none"/>
        </w:rPr>
      </w:pPr>
      <w:r>
        <w:rPr>
          <w:rFonts w:hint="eastAsia" w:ascii="仿宋" w:hAnsi="仿宋" w:eastAsia="仿宋" w:cs="仿宋"/>
          <w:b/>
          <w:bCs/>
          <w:color w:val="000000"/>
          <w:sz w:val="36"/>
          <w:szCs w:val="36"/>
          <w:highlight w:val="none"/>
        </w:rPr>
        <w:t>时        间：二零二</w:t>
      </w:r>
      <w:r>
        <w:rPr>
          <w:rFonts w:hint="eastAsia" w:ascii="仿宋" w:hAnsi="仿宋" w:eastAsia="仿宋" w:cs="仿宋"/>
          <w:b/>
          <w:bCs/>
          <w:color w:val="000000"/>
          <w:sz w:val="36"/>
          <w:szCs w:val="36"/>
          <w:highlight w:val="none"/>
          <w:lang w:val="en-US" w:eastAsia="zh-CN"/>
        </w:rPr>
        <w:t>三</w:t>
      </w:r>
      <w:r>
        <w:rPr>
          <w:rFonts w:hint="eastAsia" w:ascii="仿宋" w:hAnsi="仿宋" w:eastAsia="仿宋" w:cs="仿宋"/>
          <w:b/>
          <w:bCs/>
          <w:color w:val="000000"/>
          <w:sz w:val="36"/>
          <w:szCs w:val="36"/>
          <w:highlight w:val="none"/>
        </w:rPr>
        <w:t>年</w:t>
      </w:r>
      <w:r>
        <w:rPr>
          <w:rFonts w:hint="eastAsia" w:ascii="仿宋" w:hAnsi="仿宋" w:eastAsia="仿宋" w:cs="仿宋"/>
          <w:b/>
          <w:bCs/>
          <w:color w:val="000000"/>
          <w:sz w:val="36"/>
          <w:szCs w:val="36"/>
          <w:highlight w:val="none"/>
          <w:lang w:val="en-US" w:eastAsia="zh-CN"/>
        </w:rPr>
        <w:t>十二</w:t>
      </w:r>
      <w:r>
        <w:rPr>
          <w:rFonts w:hint="eastAsia" w:ascii="仿宋" w:hAnsi="仿宋" w:eastAsia="仿宋" w:cs="仿宋"/>
          <w:b/>
          <w:bCs/>
          <w:color w:val="000000"/>
          <w:sz w:val="36"/>
          <w:szCs w:val="36"/>
          <w:highlight w:val="none"/>
        </w:rPr>
        <w:t>月</w:t>
      </w:r>
      <w:r>
        <w:rPr>
          <w:rFonts w:hint="eastAsia" w:ascii="仿宋" w:hAnsi="仿宋" w:eastAsia="仿宋" w:cs="仿宋"/>
          <w:b/>
          <w:bCs/>
          <w:color w:val="auto"/>
          <w:sz w:val="40"/>
          <w:szCs w:val="28"/>
          <w:highlight w:val="none"/>
        </w:rPr>
        <w:br w:type="page"/>
      </w:r>
    </w:p>
    <w:p>
      <w:pPr>
        <w:keepNext/>
        <w:keepLines/>
        <w:spacing w:line="360" w:lineRule="auto"/>
        <w:jc w:val="center"/>
        <w:rPr>
          <w:rFonts w:hint="eastAsia" w:ascii="仿宋" w:hAnsi="仿宋" w:eastAsia="仿宋" w:cs="仿宋"/>
          <w:b/>
          <w:bCs/>
          <w:color w:val="auto"/>
          <w:sz w:val="40"/>
          <w:szCs w:val="28"/>
          <w:highlight w:val="none"/>
        </w:rPr>
      </w:pPr>
      <w:r>
        <w:rPr>
          <w:rFonts w:hint="eastAsia" w:ascii="仿宋" w:hAnsi="仿宋" w:eastAsia="仿宋" w:cs="仿宋"/>
          <w:b/>
          <w:bCs/>
          <w:color w:val="auto"/>
          <w:sz w:val="40"/>
          <w:szCs w:val="28"/>
          <w:highlight w:val="none"/>
        </w:rPr>
        <w:t>目</w:t>
      </w:r>
      <w:r>
        <w:rPr>
          <w:rFonts w:hint="eastAsia" w:ascii="仿宋" w:hAnsi="仿宋" w:eastAsia="仿宋" w:cs="仿宋"/>
          <w:b/>
          <w:bCs/>
          <w:color w:val="auto"/>
          <w:sz w:val="40"/>
          <w:szCs w:val="28"/>
          <w:highlight w:val="none"/>
          <w:lang w:val="en-US" w:eastAsia="zh-CN"/>
        </w:rPr>
        <w:t xml:space="preserve">  </w:t>
      </w:r>
      <w:r>
        <w:rPr>
          <w:rFonts w:hint="eastAsia" w:ascii="仿宋" w:hAnsi="仿宋" w:eastAsia="仿宋" w:cs="仿宋"/>
          <w:b/>
          <w:bCs/>
          <w:color w:val="auto"/>
          <w:sz w:val="40"/>
          <w:szCs w:val="28"/>
          <w:highlight w:val="none"/>
        </w:rPr>
        <w:t>录</w:t>
      </w:r>
    </w:p>
    <w:p>
      <w:pPr>
        <w:pStyle w:val="20"/>
        <w:tabs>
          <w:tab w:val="right" w:leader="dot" w:pos="9745"/>
        </w:tabs>
        <w:spacing w:line="360" w:lineRule="auto"/>
        <w:rPr>
          <w:rFonts w:hint="eastAsia" w:ascii="仿宋" w:hAnsi="仿宋" w:eastAsia="仿宋" w:cs="仿宋"/>
          <w:sz w:val="24"/>
          <w:szCs w:val="24"/>
          <w:highlight w:val="none"/>
        </w:rPr>
      </w:pPr>
      <w:bookmarkStart w:id="3" w:name="_Toc6600"/>
      <w:bookmarkStart w:id="4" w:name="_Toc13919"/>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TOC \o "1-3" \h \u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_Toc28254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第一章 竞争性磋商公告</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_Toc28254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_Toc661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一、项目基本情况</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_Toc661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_Toc21406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二、申请人的资格要求</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_Toc21406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_Toc3115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三、获取采购文件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_Toc3115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7</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_Toc8573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四、响应文件提交</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_Toc8573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8</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_Toc7884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五、开启</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_Toc7884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8</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_Toc16508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六、公告期限</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_Toc16508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8</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_Toc23102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七、其他补充事宜</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_Toc23102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8</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_Toc28017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八、对本次招标提出询问，请按以下方式联系。</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_Toc28017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8</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0"/>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_Toc15262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第二章 供应商须知</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_Toc15262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10</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_Toc32309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供应商须知前附表</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_Toc32309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10</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_Toc8651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（一）总则</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_Toc8651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_Toc23787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1、适用范围</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_Toc23787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_Toc16910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2、名词解释</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_Toc16910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_Toc30349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3、合格的供应商</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_Toc30349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_Toc30476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4、保密</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_Toc30476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_Toc32395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5、费用</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_Toc32395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_Toc25674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（二）磋商文件说明</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_Toc25674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22</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_Toc14536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6、磋商文件的组成</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_Toc14536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22</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_Toc31434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7、磋商文件的澄清及修改</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_Toc31434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22</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_Toc17477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8、 供应商信用记录查询及政府采购项目需要落实的政策</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_Toc17477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22</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_Toc3971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（三）竞争性磋商响应文件的编写</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_Toc3971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23</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_Toc29736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9、响应文件的构成</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_Toc29736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23</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_Toc31439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10、磋商报价</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_Toc31439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24</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_Toc29193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11、响应文件的</w:t>
      </w:r>
      <w:r>
        <w:rPr>
          <w:rFonts w:hint="eastAsia" w:ascii="仿宋" w:hAnsi="仿宋" w:eastAsia="仿宋" w:cs="仿宋"/>
          <w:sz w:val="24"/>
          <w:szCs w:val="24"/>
          <w:highlight w:val="none"/>
          <w:lang w:val="en-US" w:eastAsia="zh-CN"/>
        </w:rPr>
        <w:t>递交</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_Toc29193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24</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_Toc12283 </w:instrText>
      </w:r>
      <w:r>
        <w:rPr>
          <w:rFonts w:hint="eastAsia" w:ascii="仿宋" w:hAnsi="仿宋" w:eastAsia="仿宋" w:cs="仿宋"/>
          <w:sz w:val="24"/>
          <w:szCs w:val="24"/>
          <w:highlight w:val="none"/>
        </w:rPr>
        <w:fldChar w:fldCharType="separate"/>
      </w:r>
      <w:r>
        <w:rPr>
          <w:rFonts w:hint="eastAsia" w:ascii="仿宋" w:hAnsi="仿宋" w:eastAsia="仿宋" w:cs="仿宋"/>
          <w:kern w:val="2"/>
          <w:sz w:val="24"/>
          <w:szCs w:val="24"/>
          <w:highlight w:val="none"/>
          <w:lang w:val="en-US" w:eastAsia="zh-CN" w:bidi="ar-SA"/>
        </w:rPr>
        <w:t>12、</w:t>
      </w:r>
      <w:r>
        <w:rPr>
          <w:rFonts w:hint="eastAsia" w:ascii="仿宋" w:hAnsi="仿宋" w:eastAsia="仿宋" w:cs="仿宋"/>
          <w:sz w:val="24"/>
          <w:szCs w:val="24"/>
          <w:highlight w:val="none"/>
        </w:rPr>
        <w:t>供应商资质证明文件</w:t>
      </w:r>
      <w:r>
        <w:rPr>
          <w:rFonts w:hint="eastAsia" w:ascii="仿宋" w:hAnsi="仿宋" w:eastAsia="仿宋" w:cs="仿宋"/>
          <w:sz w:val="24"/>
          <w:szCs w:val="24"/>
          <w:highlight w:val="none"/>
          <w:lang w:val="en-US" w:eastAsia="zh-CN"/>
        </w:rPr>
        <w:t>要求</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_Toc12283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_Toc31665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13、磋商有效期</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_Toc31665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_Toc30365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14、磋商保证金</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_Toc30365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_Toc24483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四</w:t>
      </w:r>
      <w:r>
        <w:rPr>
          <w:rFonts w:hint="eastAsia" w:ascii="仿宋" w:hAnsi="仿宋" w:eastAsia="仿宋" w:cs="仿宋"/>
          <w:sz w:val="24"/>
          <w:szCs w:val="24"/>
          <w:highlight w:val="none"/>
        </w:rPr>
        <w:t>）开标</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_Toc24483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26</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_Toc31584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、磋商</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_Toc31584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26</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_Toc14127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、磋商小组</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_Toc14127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26</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_Toc23648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五</w:t>
      </w:r>
      <w:r>
        <w:rPr>
          <w:rFonts w:hint="eastAsia" w:ascii="仿宋" w:hAnsi="仿宋" w:eastAsia="仿宋" w:cs="仿宋"/>
          <w:sz w:val="24"/>
          <w:szCs w:val="24"/>
          <w:highlight w:val="none"/>
        </w:rPr>
        <w:t>）评审</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_Toc23648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27</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_Toc4576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17</w:t>
      </w:r>
      <w:r>
        <w:rPr>
          <w:rFonts w:hint="eastAsia" w:ascii="仿宋" w:hAnsi="仿宋" w:eastAsia="仿宋" w:cs="仿宋"/>
          <w:sz w:val="24"/>
          <w:szCs w:val="24"/>
          <w:highlight w:val="none"/>
        </w:rPr>
        <w:t>、评审</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_Toc4576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27</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_Toc13656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18</w:t>
      </w:r>
      <w:r>
        <w:rPr>
          <w:rFonts w:hint="eastAsia" w:ascii="仿宋" w:hAnsi="仿宋" w:eastAsia="仿宋" w:cs="仿宋"/>
          <w:sz w:val="24"/>
          <w:szCs w:val="24"/>
          <w:highlight w:val="none"/>
        </w:rPr>
        <w:t>、评审程序及办法</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_Toc13656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28</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_Toc9594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六</w:t>
      </w:r>
      <w:r>
        <w:rPr>
          <w:rFonts w:hint="eastAsia" w:ascii="仿宋" w:hAnsi="仿宋" w:eastAsia="仿宋" w:cs="仿宋"/>
          <w:sz w:val="24"/>
          <w:szCs w:val="24"/>
          <w:highlight w:val="none"/>
        </w:rPr>
        <w:t>）授予合同</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_Toc9594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29</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_Toc4642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19</w:t>
      </w:r>
      <w:r>
        <w:rPr>
          <w:rFonts w:hint="eastAsia" w:ascii="仿宋" w:hAnsi="仿宋" w:eastAsia="仿宋" w:cs="仿宋"/>
          <w:sz w:val="24"/>
          <w:szCs w:val="24"/>
          <w:highlight w:val="none"/>
        </w:rPr>
        <w:t>、成交准则</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_Toc4642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29</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_Toc28402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、定标</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_Toc28402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29</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_Toc8797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、成交通知书</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_Toc8797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30</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_Toc21497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、签订合同</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_Toc21497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30</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_Toc7998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七</w:t>
      </w:r>
      <w:r>
        <w:rPr>
          <w:rFonts w:hint="eastAsia" w:ascii="仿宋" w:hAnsi="仿宋" w:eastAsia="仿宋" w:cs="仿宋"/>
          <w:sz w:val="24"/>
          <w:szCs w:val="24"/>
          <w:highlight w:val="none"/>
        </w:rPr>
        <w:t>）合同的履约验收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_Toc7998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30</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_Toc4629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八</w:t>
      </w:r>
      <w:r>
        <w:rPr>
          <w:rFonts w:hint="eastAsia" w:ascii="仿宋" w:hAnsi="仿宋" w:eastAsia="仿宋" w:cs="仿宋"/>
          <w:sz w:val="24"/>
          <w:szCs w:val="24"/>
          <w:highlight w:val="none"/>
        </w:rPr>
        <w:t>）招标服务费</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_Toc4629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30</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_Toc7371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23、</w:t>
      </w:r>
      <w:r>
        <w:rPr>
          <w:rFonts w:hint="eastAsia" w:ascii="仿宋" w:hAnsi="仿宋" w:eastAsia="仿宋" w:cs="仿宋"/>
          <w:sz w:val="24"/>
          <w:szCs w:val="24"/>
          <w:highlight w:val="none"/>
        </w:rPr>
        <w:t>招标代理服务费</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_Toc7371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30</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_Toc28517 </w:instrText>
      </w:r>
      <w:r>
        <w:rPr>
          <w:rFonts w:hint="eastAsia" w:ascii="仿宋" w:hAnsi="仿宋" w:eastAsia="仿宋" w:cs="仿宋"/>
          <w:sz w:val="24"/>
          <w:szCs w:val="24"/>
          <w:highlight w:val="none"/>
        </w:rPr>
        <w:fldChar w:fldCharType="separate"/>
      </w:r>
      <w:r>
        <w:rPr>
          <w:rFonts w:hint="eastAsia" w:ascii="仿宋" w:hAnsi="仿宋" w:eastAsia="仿宋" w:cs="仿宋"/>
          <w:kern w:val="2"/>
          <w:sz w:val="24"/>
          <w:szCs w:val="24"/>
          <w:highlight w:val="none"/>
          <w:lang w:val="en-US" w:eastAsia="zh-CN" w:bidi="ar-SA"/>
        </w:rPr>
        <w:t>24、</w:t>
      </w:r>
      <w:r>
        <w:rPr>
          <w:rFonts w:hint="eastAsia" w:ascii="仿宋" w:hAnsi="仿宋" w:eastAsia="仿宋" w:cs="仿宋"/>
          <w:sz w:val="24"/>
          <w:szCs w:val="24"/>
          <w:highlight w:val="none"/>
        </w:rPr>
        <w:t>代理服务费的收取</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_Toc28517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30</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_Toc2583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25、</w:t>
      </w:r>
      <w:r>
        <w:rPr>
          <w:rFonts w:hint="eastAsia" w:ascii="仿宋" w:hAnsi="仿宋" w:eastAsia="仿宋" w:cs="仿宋"/>
          <w:sz w:val="24"/>
          <w:szCs w:val="24"/>
          <w:highlight w:val="none"/>
        </w:rPr>
        <w:t>招标服务费应采用转账缴纳。</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_Toc2583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_Toc627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九</w:t>
      </w:r>
      <w:r>
        <w:rPr>
          <w:rFonts w:hint="eastAsia" w:ascii="仿宋" w:hAnsi="仿宋" w:eastAsia="仿宋" w:cs="仿宋"/>
          <w:sz w:val="24"/>
          <w:szCs w:val="24"/>
          <w:highlight w:val="none"/>
        </w:rPr>
        <w:t>）询问、质疑与投诉(按照中华人民共和国财政部令第94号执行)</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_Toc627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_Toc55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26</w:t>
      </w:r>
      <w:r>
        <w:rPr>
          <w:rFonts w:hint="eastAsia" w:ascii="仿宋" w:hAnsi="仿宋" w:eastAsia="仿宋" w:cs="仿宋"/>
          <w:sz w:val="24"/>
          <w:szCs w:val="24"/>
          <w:highlight w:val="none"/>
        </w:rPr>
        <w:t>、询问</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_Toc55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_Toc20943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27</w:t>
      </w:r>
      <w:r>
        <w:rPr>
          <w:rFonts w:hint="eastAsia" w:ascii="仿宋" w:hAnsi="仿宋" w:eastAsia="仿宋" w:cs="仿宋"/>
          <w:sz w:val="24"/>
          <w:szCs w:val="24"/>
          <w:highlight w:val="none"/>
        </w:rPr>
        <w:t>、质疑</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_Toc20943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_Toc15881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（十）拒绝商业贿赂</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_Toc15881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32</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_Toc20805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（十</w:t>
      </w:r>
      <w:r>
        <w:rPr>
          <w:rFonts w:hint="eastAsia" w:ascii="仿宋" w:hAnsi="仿宋" w:eastAsia="仿宋" w:cs="仿宋"/>
          <w:sz w:val="24"/>
          <w:szCs w:val="24"/>
          <w:highlight w:val="none"/>
          <w:lang w:val="en-US" w:eastAsia="zh-CN"/>
        </w:rPr>
        <w:t>一</w:t>
      </w:r>
      <w:r>
        <w:rPr>
          <w:rFonts w:hint="eastAsia" w:ascii="仿宋" w:hAnsi="仿宋" w:eastAsia="仿宋" w:cs="仿宋"/>
          <w:sz w:val="24"/>
          <w:szCs w:val="24"/>
          <w:highlight w:val="none"/>
        </w:rPr>
        <w:t>）其他</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_Toc20805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32</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0"/>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_Toc24323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 xml:space="preserve">第三章 </w:t>
      </w:r>
      <w:r>
        <w:rPr>
          <w:rFonts w:hint="eastAsia" w:ascii="仿宋" w:hAnsi="仿宋" w:eastAsia="仿宋" w:cs="仿宋"/>
          <w:sz w:val="24"/>
          <w:szCs w:val="24"/>
          <w:highlight w:val="none"/>
          <w:lang w:eastAsia="zh-CN"/>
        </w:rPr>
        <w:t>商务要求</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_Toc24323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33</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0"/>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_Toc12773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第四章 合同条款及格式</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_Toc12773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0"/>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_Toc3488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第五章 采购内容及要求</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_Toc3488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38</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0"/>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_Toc25404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第六章 评标办法</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_Toc25404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38</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_Toc13871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一</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评审方法</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_Toc13871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40</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_Toc22385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二</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评审程序</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_Toc22385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40</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_Toc9480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三、享受的政府采购政策（本项目非专门面向中小企业采购项目，执行以下价格评审优惠的扶持政策）</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_Toc9480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_Toc26911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eastAsia="zh-CN"/>
        </w:rPr>
        <w:t>四</w:t>
      </w:r>
      <w:r>
        <w:rPr>
          <w:rFonts w:hint="eastAsia" w:ascii="仿宋" w:hAnsi="仿宋" w:eastAsia="仿宋" w:cs="仿宋"/>
          <w:sz w:val="24"/>
          <w:szCs w:val="24"/>
          <w:highlight w:val="none"/>
        </w:rPr>
        <w:t>、磋商</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_Toc26911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42</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_Toc4978 </w:instrText>
      </w:r>
      <w:r>
        <w:rPr>
          <w:rFonts w:hint="eastAsia" w:ascii="仿宋" w:hAnsi="仿宋" w:eastAsia="仿宋" w:cs="仿宋"/>
          <w:sz w:val="24"/>
          <w:szCs w:val="24"/>
          <w:highlight w:val="none"/>
        </w:rPr>
        <w:fldChar w:fldCharType="separate"/>
      </w:r>
      <w:r>
        <w:rPr>
          <w:rFonts w:hint="eastAsia" w:ascii="仿宋" w:hAnsi="仿宋" w:eastAsia="仿宋" w:cs="仿宋"/>
          <w:bCs w:val="0"/>
          <w:spacing w:val="4"/>
          <w:sz w:val="24"/>
          <w:szCs w:val="24"/>
          <w:highlight w:val="none"/>
          <w:lang w:val="en-US" w:eastAsia="zh-CN"/>
        </w:rPr>
        <w:t>五</w:t>
      </w:r>
      <w:r>
        <w:rPr>
          <w:rFonts w:hint="eastAsia" w:ascii="仿宋" w:hAnsi="仿宋" w:eastAsia="仿宋" w:cs="仿宋"/>
          <w:bCs w:val="0"/>
          <w:spacing w:val="4"/>
          <w:sz w:val="24"/>
          <w:szCs w:val="24"/>
          <w:highlight w:val="none"/>
        </w:rPr>
        <w:t>、</w:t>
      </w:r>
      <w:r>
        <w:rPr>
          <w:rFonts w:hint="eastAsia" w:ascii="仿宋" w:hAnsi="仿宋" w:eastAsia="仿宋" w:cs="仿宋"/>
          <w:bCs w:val="0"/>
          <w:sz w:val="24"/>
          <w:szCs w:val="24"/>
          <w:highlight w:val="none"/>
        </w:rPr>
        <w:t>评审方法</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_Toc4978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43</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_Toc31010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六、定标</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_Toc31010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47</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0"/>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_Toc197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第七章 响应文件格式</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_Toc197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48</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_Toc19381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一、响应函</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_Toc19381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50</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_Toc10127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二、第一次磋商报价表</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_Toc10127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_Toc15524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三、投标分项报价表</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_Toc15524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52</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_Toc3813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四、法定代表人证明书、法定代表人授权委托书</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_Toc3813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53</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_Toc20176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五、资格证明文件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_Toc20176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_Toc27001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1、营业执照等主体资格证明文件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_Toc27001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_Toc20210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2、财务状况报告</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_Toc20210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_Toc28700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3、社保缴纳证明</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_Toc28700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_Toc527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4、税收缴纳证明</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_Toc527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_Toc27984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5、书面声明函</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_Toc27984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_Toc1003 </w:instrText>
      </w:r>
      <w:r>
        <w:rPr>
          <w:rFonts w:hint="eastAsia" w:ascii="仿宋" w:hAnsi="仿宋" w:eastAsia="仿宋" w:cs="仿宋"/>
          <w:sz w:val="24"/>
          <w:szCs w:val="24"/>
          <w:highlight w:val="none"/>
        </w:rPr>
        <w:fldChar w:fldCharType="separate"/>
      </w:r>
      <w:r>
        <w:rPr>
          <w:rFonts w:hint="eastAsia" w:ascii="仿宋" w:hAnsi="仿宋" w:eastAsia="仿宋" w:cs="仿宋"/>
          <w:bCs w:val="0"/>
          <w:kern w:val="0"/>
          <w:sz w:val="24"/>
          <w:szCs w:val="24"/>
          <w:highlight w:val="none"/>
          <w:lang w:val="en-US" w:eastAsia="zh-CN" w:bidi="ar"/>
        </w:rPr>
        <w:t>书面声明函</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_Toc1003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_Toc17391 </w:instrText>
      </w:r>
      <w:r>
        <w:rPr>
          <w:rFonts w:hint="eastAsia" w:ascii="仿宋" w:hAnsi="仿宋" w:eastAsia="仿宋" w:cs="仿宋"/>
          <w:sz w:val="24"/>
          <w:szCs w:val="24"/>
          <w:highlight w:val="none"/>
        </w:rPr>
        <w:fldChar w:fldCharType="separate"/>
      </w:r>
      <w:r>
        <w:rPr>
          <w:rFonts w:hint="eastAsia" w:ascii="仿宋" w:hAnsi="仿宋" w:eastAsia="仿宋" w:cs="仿宋"/>
          <w:kern w:val="2"/>
          <w:sz w:val="24"/>
          <w:szCs w:val="24"/>
          <w:highlight w:val="none"/>
          <w:lang w:val="en-US" w:eastAsia="zh-CN" w:bidi="ar-SA"/>
        </w:rPr>
        <w:t>6、具有履行合同所必需的专业设备及技术能力的书面声明或承诺函</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_Toc17391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56</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_Toc4502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7、信用查询</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_Toc4502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56</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_Toc29689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8、投标信用承诺书（保证金）（承诺书效力和作用等同投标保证金）</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_Toc29689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56</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_Toc19829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9、提供榆林市政府釆购服务类项目供应商信用承诺书原件。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_Toc19829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57</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_Toc22274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10、非联合体投标声明</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_Toc22274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59</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_Toc28812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六、投标信用承诺书（保证金）</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_Toc28812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61</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_Toc22735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七、供应商承诺书</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_Toc22735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62</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_Toc15119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八、响应偏离表</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_Toc15119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_Toc22056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一</w:t>
      </w:r>
      <w:r>
        <w:rPr>
          <w:rFonts w:hint="eastAsia" w:ascii="仿宋" w:hAnsi="仿宋" w:eastAsia="仿宋" w:cs="仿宋"/>
          <w:sz w:val="24"/>
          <w:szCs w:val="24"/>
          <w:highlight w:val="none"/>
        </w:rPr>
        <w:t>）技术偏离表</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_Toc22056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14"/>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_Toc18052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商务偏离表</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_Toc18052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66</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_Toc11780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九、投标响应方案</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_Toc11780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67</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pStyle w:val="22"/>
        <w:tabs>
          <w:tab w:val="right" w:leader="dot" w:pos="9745"/>
        </w:tabs>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sz w:val="24"/>
          <w:szCs w:val="24"/>
          <w:highlight w:val="none"/>
        </w:rPr>
        <w:instrText xml:space="preserve"> HYPERLINK \l _Toc459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lang w:val="en-US" w:eastAsia="zh-CN"/>
        </w:rPr>
        <w:t>十、第二次报价表（最终报价表）</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_Toc459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75</w:t>
      </w:r>
      <w:r>
        <w:rPr>
          <w:rFonts w:hint="eastAsia" w:ascii="仿宋" w:hAnsi="仿宋" w:eastAsia="仿宋" w:cs="仿宋"/>
          <w:sz w:val="24"/>
          <w:szCs w:val="24"/>
          <w:highlight w:val="none"/>
        </w:rPr>
        <w:fldChar w:fldCharType="end"/>
      </w:r>
      <w:r>
        <w:rPr>
          <w:rFonts w:hint="eastAsia" w:ascii="仿宋" w:hAnsi="仿宋" w:eastAsia="仿宋" w:cs="仿宋"/>
          <w:color w:val="auto"/>
          <w:sz w:val="24"/>
          <w:szCs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32"/>
          <w:szCs w:val="40"/>
          <w:highlight w:val="none"/>
        </w:rPr>
      </w:pPr>
      <w:r>
        <w:rPr>
          <w:rFonts w:hint="eastAsia" w:ascii="仿宋" w:hAnsi="仿宋" w:eastAsia="仿宋" w:cs="仿宋"/>
          <w:color w:val="auto"/>
          <w:sz w:val="24"/>
          <w:szCs w:val="24"/>
          <w:highlight w:val="none"/>
        </w:rPr>
        <w:fldChar w:fldCharType="end"/>
      </w:r>
      <w:bookmarkStart w:id="5" w:name="_Toc8306"/>
      <w:r>
        <w:rPr>
          <w:rFonts w:hint="eastAsia" w:ascii="仿宋" w:hAnsi="仿宋" w:eastAsia="仿宋" w:cs="仿宋"/>
          <w:color w:val="auto"/>
          <w:sz w:val="32"/>
          <w:szCs w:val="40"/>
          <w:highlight w:val="none"/>
        </w:rPr>
        <w:br w:type="page"/>
      </w:r>
    </w:p>
    <w:p>
      <w:pPr>
        <w:pStyle w:val="2"/>
        <w:bidi w:val="0"/>
        <w:rPr>
          <w:rFonts w:hint="eastAsia" w:ascii="仿宋" w:hAnsi="仿宋" w:eastAsia="仿宋" w:cs="仿宋"/>
          <w:highlight w:val="none"/>
          <w:lang w:val="en-US" w:eastAsia="zh-CN"/>
        </w:rPr>
      </w:pPr>
      <w:bookmarkStart w:id="6" w:name="_Toc14494"/>
      <w:bookmarkStart w:id="7" w:name="_Toc28254"/>
      <w:r>
        <w:rPr>
          <w:rFonts w:hint="eastAsia" w:ascii="仿宋" w:hAnsi="仿宋" w:eastAsia="仿宋" w:cs="仿宋"/>
          <w:highlight w:val="none"/>
          <w:lang w:val="en-US" w:eastAsia="zh-CN"/>
        </w:rPr>
        <w:t>第一章 竞争性磋商公告</w:t>
      </w:r>
      <w:bookmarkEnd w:id="0"/>
      <w:bookmarkEnd w:id="1"/>
      <w:bookmarkEnd w:id="2"/>
      <w:bookmarkEnd w:id="3"/>
      <w:bookmarkEnd w:id="4"/>
      <w:bookmarkEnd w:id="5"/>
      <w:bookmarkEnd w:id="6"/>
      <w:bookmarkEnd w:id="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榆林市政协APP软件开发服务采购项目的潜在供应商应在</w:t>
      </w:r>
      <w:r>
        <w:rPr>
          <w:rFonts w:hint="eastAsia" w:ascii="仿宋" w:hAnsi="仿宋" w:eastAsia="仿宋" w:cs="仿宋"/>
          <w:sz w:val="24"/>
          <w:szCs w:val="24"/>
          <w:highlight w:val="none"/>
          <w:lang w:val="en-US" w:eastAsia="zh-CN"/>
        </w:rPr>
        <w:t>榆林市榆阳区肤施路南段环馨路5号金轩楼2楼201室</w:t>
      </w:r>
      <w:r>
        <w:rPr>
          <w:rFonts w:hint="eastAsia" w:ascii="仿宋" w:hAnsi="仿宋" w:eastAsia="仿宋" w:cs="仿宋"/>
          <w:sz w:val="24"/>
          <w:szCs w:val="24"/>
          <w:highlight w:val="none"/>
        </w:rPr>
        <w:t>获取采购文件，并于</w:t>
      </w:r>
      <w:r>
        <w:rPr>
          <w:rFonts w:hint="eastAsia" w:ascii="仿宋" w:hAnsi="仿宋" w:eastAsia="仿宋" w:cs="仿宋"/>
          <w:sz w:val="24"/>
          <w:szCs w:val="24"/>
          <w:highlight w:val="none"/>
          <w:shd w:val="clear"/>
        </w:rPr>
        <w:t>2023年</w:t>
      </w:r>
      <w:r>
        <w:rPr>
          <w:rFonts w:hint="eastAsia" w:ascii="仿宋" w:hAnsi="仿宋" w:eastAsia="仿宋" w:cs="仿宋"/>
          <w:sz w:val="24"/>
          <w:szCs w:val="24"/>
          <w:highlight w:val="none"/>
          <w:shd w:val="clear"/>
          <w:lang w:val="en-US" w:eastAsia="zh-CN"/>
        </w:rPr>
        <w:t>12</w:t>
      </w:r>
      <w:r>
        <w:rPr>
          <w:rFonts w:hint="eastAsia" w:ascii="仿宋" w:hAnsi="仿宋" w:eastAsia="仿宋" w:cs="仿宋"/>
          <w:sz w:val="24"/>
          <w:szCs w:val="24"/>
          <w:highlight w:val="none"/>
          <w:shd w:val="clear"/>
        </w:rPr>
        <w:t>月</w:t>
      </w:r>
      <w:r>
        <w:rPr>
          <w:rFonts w:hint="eastAsia" w:ascii="仿宋" w:hAnsi="仿宋" w:eastAsia="仿宋" w:cs="仿宋"/>
          <w:sz w:val="24"/>
          <w:szCs w:val="24"/>
          <w:highlight w:val="none"/>
          <w:shd w:val="clear"/>
          <w:lang w:val="en-US" w:eastAsia="zh-CN"/>
        </w:rPr>
        <w:t>18</w:t>
      </w:r>
      <w:r>
        <w:rPr>
          <w:rFonts w:hint="eastAsia" w:ascii="仿宋" w:hAnsi="仿宋" w:eastAsia="仿宋" w:cs="仿宋"/>
          <w:sz w:val="24"/>
          <w:szCs w:val="24"/>
          <w:highlight w:val="none"/>
          <w:shd w:val="clear"/>
        </w:rPr>
        <w:t>日</w:t>
      </w:r>
      <w:r>
        <w:rPr>
          <w:rFonts w:hint="eastAsia" w:ascii="仿宋" w:hAnsi="仿宋" w:eastAsia="仿宋" w:cs="仿宋"/>
          <w:sz w:val="24"/>
          <w:szCs w:val="24"/>
          <w:highlight w:val="none"/>
          <w:shd w:val="clear"/>
          <w:lang w:val="en-US" w:eastAsia="zh-CN"/>
        </w:rPr>
        <w:t>09</w:t>
      </w:r>
      <w:r>
        <w:rPr>
          <w:rFonts w:hint="eastAsia" w:ascii="仿宋" w:hAnsi="仿宋" w:eastAsia="仿宋" w:cs="仿宋"/>
          <w:sz w:val="24"/>
          <w:szCs w:val="24"/>
          <w:highlight w:val="none"/>
          <w:shd w:val="clear"/>
        </w:rPr>
        <w:t>时</w:t>
      </w:r>
      <w:r>
        <w:rPr>
          <w:rFonts w:hint="eastAsia" w:ascii="仿宋" w:hAnsi="仿宋" w:eastAsia="仿宋" w:cs="仿宋"/>
          <w:sz w:val="24"/>
          <w:szCs w:val="24"/>
          <w:highlight w:val="none"/>
          <w:shd w:val="clear"/>
          <w:lang w:val="en-US" w:eastAsia="zh-CN"/>
        </w:rPr>
        <w:t>00</w:t>
      </w:r>
      <w:r>
        <w:rPr>
          <w:rFonts w:hint="eastAsia" w:ascii="仿宋" w:hAnsi="仿宋" w:eastAsia="仿宋" w:cs="仿宋"/>
          <w:sz w:val="24"/>
          <w:szCs w:val="24"/>
          <w:highlight w:val="none"/>
          <w:shd w:val="clear"/>
        </w:rPr>
        <w:t>分</w:t>
      </w:r>
      <w:r>
        <w:rPr>
          <w:rFonts w:hint="eastAsia" w:ascii="仿宋" w:hAnsi="仿宋" w:eastAsia="仿宋" w:cs="仿宋"/>
          <w:sz w:val="24"/>
          <w:szCs w:val="24"/>
          <w:highlight w:val="none"/>
        </w:rPr>
        <w:t>（北京时间）前提交响应文件。</w:t>
      </w:r>
    </w:p>
    <w:p>
      <w:pPr>
        <w:pStyle w:val="3"/>
        <w:bidi w:val="0"/>
        <w:rPr>
          <w:rFonts w:hint="eastAsia" w:ascii="仿宋" w:hAnsi="仿宋" w:eastAsia="仿宋" w:cs="仿宋"/>
          <w:highlight w:val="none"/>
        </w:rPr>
      </w:pPr>
      <w:bookmarkStart w:id="8" w:name="_Toc11919"/>
      <w:bookmarkStart w:id="9" w:name="_Toc661"/>
      <w:r>
        <w:rPr>
          <w:rFonts w:hint="eastAsia" w:ascii="仿宋" w:hAnsi="仿宋" w:eastAsia="仿宋" w:cs="仿宋"/>
          <w:highlight w:val="none"/>
        </w:rPr>
        <w:t>一、项目基本情况</w:t>
      </w:r>
      <w:bookmarkEnd w:id="8"/>
      <w:bookmarkEnd w:id="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lang w:eastAsia="zh-CN"/>
        </w:rPr>
        <w:t>YC23314001（CGQ）01</w:t>
      </w:r>
      <w:r>
        <w:rPr>
          <w:rFonts w:hint="eastAsia" w:ascii="仿宋" w:hAnsi="仿宋" w:eastAsia="仿宋" w:cs="仿宋"/>
          <w:sz w:val="24"/>
          <w:szCs w:val="24"/>
          <w:highlight w:val="none"/>
          <w:lang w:val="en-US" w:eastAsia="zh-CN"/>
        </w:rPr>
        <w:t>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项目名称：榆林市政协APP软件开发服务采购项目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采购方式：竞争性磋商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预算金额：</w:t>
      </w:r>
      <w:r>
        <w:rPr>
          <w:rFonts w:hint="eastAsia" w:ascii="仿宋" w:hAnsi="仿宋" w:eastAsia="仿宋" w:cs="仿宋"/>
          <w:sz w:val="24"/>
          <w:szCs w:val="24"/>
          <w:highlight w:val="none"/>
          <w:lang w:eastAsia="zh-CN"/>
        </w:rPr>
        <w:t>4</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lang w:eastAsia="zh-CN"/>
        </w:rPr>
        <w:t>0000.00</w:t>
      </w:r>
      <w:r>
        <w:rPr>
          <w:rFonts w:hint="eastAsia" w:ascii="仿宋" w:hAnsi="仿宋" w:eastAsia="仿宋" w:cs="仿宋"/>
          <w:sz w:val="24"/>
          <w:szCs w:val="24"/>
          <w:highlight w:val="none"/>
        </w:rPr>
        <w:t>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合同包1(榆林市政协APP软件开发服务采购项目)</w:t>
      </w:r>
      <w:r>
        <w:rPr>
          <w:rFonts w:hint="eastAsia" w:ascii="仿宋" w:hAnsi="仿宋" w:eastAsia="仿宋" w:cs="仿宋"/>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合同包预算金额：</w:t>
      </w:r>
      <w:r>
        <w:rPr>
          <w:rFonts w:hint="eastAsia" w:ascii="仿宋" w:hAnsi="仿宋" w:eastAsia="仿宋" w:cs="仿宋"/>
          <w:sz w:val="24"/>
          <w:szCs w:val="24"/>
          <w:highlight w:val="none"/>
          <w:lang w:eastAsia="zh-CN"/>
        </w:rPr>
        <w:t>4</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lang w:eastAsia="zh-CN"/>
        </w:rPr>
        <w:t>0000.00</w:t>
      </w:r>
      <w:r>
        <w:rPr>
          <w:rFonts w:hint="eastAsia" w:ascii="仿宋" w:hAnsi="仿宋" w:eastAsia="仿宋" w:cs="仿宋"/>
          <w:sz w:val="24"/>
          <w:szCs w:val="24"/>
          <w:highlight w:val="none"/>
        </w:rPr>
        <w:t>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合同包最高限价：</w:t>
      </w:r>
      <w:r>
        <w:rPr>
          <w:rFonts w:hint="eastAsia" w:ascii="仿宋" w:hAnsi="仿宋" w:eastAsia="仿宋" w:cs="仿宋"/>
          <w:sz w:val="24"/>
          <w:szCs w:val="24"/>
          <w:highlight w:val="none"/>
          <w:lang w:eastAsia="zh-CN"/>
        </w:rPr>
        <w:t>4</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lang w:eastAsia="zh-CN"/>
        </w:rPr>
        <w:t>0000.00</w:t>
      </w:r>
      <w:r>
        <w:rPr>
          <w:rFonts w:hint="eastAsia" w:ascii="仿宋" w:hAnsi="仿宋" w:eastAsia="仿宋" w:cs="仿宋"/>
          <w:sz w:val="24"/>
          <w:szCs w:val="24"/>
          <w:highlight w:val="none"/>
        </w:rPr>
        <w:t>元</w:t>
      </w:r>
    </w:p>
    <w:tbl>
      <w:tblPr>
        <w:tblStyle w:val="27"/>
        <w:tblW w:w="999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18"/>
        <w:gridCol w:w="1564"/>
        <w:gridCol w:w="1483"/>
        <w:gridCol w:w="1347"/>
        <w:gridCol w:w="1524"/>
        <w:gridCol w:w="1680"/>
        <w:gridCol w:w="168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351" w:hRule="atLeast"/>
          <w:tblHeader/>
        </w:trPr>
        <w:tc>
          <w:tcPr>
            <w:tcW w:w="7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2"/>
                <w:szCs w:val="22"/>
                <w:highlight w:val="none"/>
              </w:rPr>
            </w:pPr>
            <w:r>
              <w:rPr>
                <w:rFonts w:hint="eastAsia" w:ascii="仿宋" w:hAnsi="仿宋" w:eastAsia="仿宋" w:cs="仿宋"/>
                <w:b/>
                <w:bCs/>
                <w:sz w:val="22"/>
                <w:szCs w:val="22"/>
                <w:highlight w:val="none"/>
                <w:lang w:val="en-US" w:eastAsia="zh-CN"/>
              </w:rPr>
              <w:t>品目号</w:t>
            </w:r>
          </w:p>
        </w:tc>
        <w:tc>
          <w:tcPr>
            <w:tcW w:w="15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2"/>
                <w:szCs w:val="22"/>
                <w:highlight w:val="none"/>
              </w:rPr>
            </w:pPr>
            <w:r>
              <w:rPr>
                <w:rFonts w:hint="eastAsia" w:ascii="仿宋" w:hAnsi="仿宋" w:eastAsia="仿宋" w:cs="仿宋"/>
                <w:b/>
                <w:bCs/>
                <w:sz w:val="22"/>
                <w:szCs w:val="22"/>
                <w:highlight w:val="none"/>
                <w:lang w:val="en-US" w:eastAsia="zh-CN"/>
              </w:rPr>
              <w:t>品目名称</w:t>
            </w:r>
          </w:p>
        </w:tc>
        <w:tc>
          <w:tcPr>
            <w:tcW w:w="14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2"/>
                <w:szCs w:val="22"/>
                <w:highlight w:val="none"/>
              </w:rPr>
            </w:pPr>
            <w:r>
              <w:rPr>
                <w:rFonts w:hint="eastAsia" w:ascii="仿宋" w:hAnsi="仿宋" w:eastAsia="仿宋" w:cs="仿宋"/>
                <w:b/>
                <w:bCs/>
                <w:sz w:val="22"/>
                <w:szCs w:val="22"/>
                <w:highlight w:val="none"/>
                <w:lang w:val="en-US" w:eastAsia="zh-CN"/>
              </w:rPr>
              <w:t>采购标的</w:t>
            </w:r>
          </w:p>
        </w:tc>
        <w:tc>
          <w:tcPr>
            <w:tcW w:w="134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2"/>
                <w:szCs w:val="22"/>
                <w:highlight w:val="none"/>
              </w:rPr>
            </w:pPr>
            <w:r>
              <w:rPr>
                <w:rFonts w:hint="eastAsia" w:ascii="仿宋" w:hAnsi="仿宋" w:eastAsia="仿宋" w:cs="仿宋"/>
                <w:b/>
                <w:bCs/>
                <w:sz w:val="22"/>
                <w:szCs w:val="22"/>
                <w:highlight w:val="none"/>
                <w:lang w:val="en-US" w:eastAsia="zh-CN"/>
              </w:rPr>
              <w:t>数量（单位）</w:t>
            </w:r>
          </w:p>
        </w:tc>
        <w:tc>
          <w:tcPr>
            <w:tcW w:w="15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2"/>
                <w:szCs w:val="22"/>
                <w:highlight w:val="none"/>
              </w:rPr>
            </w:pPr>
            <w:r>
              <w:rPr>
                <w:rFonts w:hint="eastAsia" w:ascii="仿宋" w:hAnsi="仿宋" w:eastAsia="仿宋" w:cs="仿宋"/>
                <w:b/>
                <w:bCs/>
                <w:sz w:val="22"/>
                <w:szCs w:val="22"/>
                <w:highlight w:val="none"/>
                <w:lang w:val="en-US" w:eastAsia="zh-CN"/>
              </w:rPr>
              <w:t>技术规格、参数及要求</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2"/>
                <w:szCs w:val="22"/>
                <w:highlight w:val="none"/>
              </w:rPr>
            </w:pPr>
            <w:r>
              <w:rPr>
                <w:rFonts w:hint="eastAsia" w:ascii="仿宋" w:hAnsi="仿宋" w:eastAsia="仿宋" w:cs="仿宋"/>
                <w:b/>
                <w:bCs/>
                <w:sz w:val="22"/>
                <w:szCs w:val="22"/>
                <w:highlight w:val="none"/>
                <w:lang w:val="en-US" w:eastAsia="zh-CN"/>
              </w:rPr>
              <w:t>品目预算(元)</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2"/>
                <w:szCs w:val="22"/>
                <w:highlight w:val="none"/>
              </w:rPr>
            </w:pPr>
            <w:r>
              <w:rPr>
                <w:rFonts w:hint="eastAsia" w:ascii="仿宋" w:hAnsi="仿宋" w:eastAsia="仿宋" w:cs="仿宋"/>
                <w:b/>
                <w:bCs/>
                <w:sz w:val="22"/>
                <w:szCs w:val="22"/>
                <w:highlight w:val="none"/>
                <w:lang w:val="en-US" w:eastAsia="zh-CN"/>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766" w:hRule="atLeast"/>
        </w:trPr>
        <w:tc>
          <w:tcPr>
            <w:tcW w:w="7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1-1</w:t>
            </w:r>
          </w:p>
        </w:tc>
        <w:tc>
          <w:tcPr>
            <w:tcW w:w="15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通用应用软件开发服务</w:t>
            </w:r>
          </w:p>
        </w:tc>
        <w:tc>
          <w:tcPr>
            <w:tcW w:w="14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APP软件</w:t>
            </w:r>
          </w:p>
        </w:tc>
        <w:tc>
          <w:tcPr>
            <w:tcW w:w="134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1(项)</w:t>
            </w:r>
          </w:p>
        </w:tc>
        <w:tc>
          <w:tcPr>
            <w:tcW w:w="15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470000.00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470000.00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本合同包不接受联合体投标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shd w:val="clear" w:fill="FFFF00"/>
          <w:lang w:val="en-US" w:eastAsia="zh-CN"/>
        </w:rPr>
      </w:pPr>
      <w:r>
        <w:rPr>
          <w:rFonts w:hint="eastAsia" w:ascii="仿宋" w:hAnsi="仿宋" w:eastAsia="仿宋" w:cs="仿宋"/>
          <w:sz w:val="24"/>
          <w:szCs w:val="24"/>
          <w:highlight w:val="none"/>
        </w:rPr>
        <w:t>合同履行期限：</w:t>
      </w:r>
      <w:r>
        <w:rPr>
          <w:rFonts w:hint="eastAsia" w:ascii="仿宋" w:hAnsi="仿宋" w:eastAsia="仿宋" w:cs="仿宋"/>
          <w:sz w:val="24"/>
          <w:szCs w:val="24"/>
          <w:highlight w:val="none"/>
          <w:shd w:val="clear"/>
          <w:lang w:val="en-US" w:eastAsia="zh-CN"/>
        </w:rPr>
        <w:t>合同签订之日起1年（具体服务起止日期可随合同签订时间相应顺延）</w:t>
      </w:r>
      <w:r>
        <w:rPr>
          <w:rFonts w:hint="eastAsia" w:ascii="仿宋" w:hAnsi="仿宋" w:eastAsia="仿宋" w:cs="仿宋"/>
          <w:sz w:val="24"/>
          <w:szCs w:val="24"/>
          <w:highlight w:val="none"/>
          <w:shd w:val="clear"/>
          <w:lang w:eastAsia="zh-CN"/>
        </w:rPr>
        <w:t>。</w:t>
      </w:r>
    </w:p>
    <w:p>
      <w:pPr>
        <w:pStyle w:val="3"/>
        <w:bidi w:val="0"/>
        <w:rPr>
          <w:rFonts w:hint="eastAsia" w:ascii="仿宋" w:hAnsi="仿宋" w:eastAsia="仿宋" w:cs="仿宋"/>
          <w:highlight w:val="none"/>
        </w:rPr>
      </w:pPr>
      <w:bookmarkStart w:id="10" w:name="_Toc24079"/>
      <w:bookmarkStart w:id="11" w:name="_Toc21406"/>
      <w:r>
        <w:rPr>
          <w:rFonts w:hint="eastAsia" w:ascii="仿宋" w:hAnsi="仿宋" w:eastAsia="仿宋" w:cs="仿宋"/>
          <w:highlight w:val="none"/>
        </w:rPr>
        <w:t>二、申请人的资格要求</w:t>
      </w:r>
      <w:bookmarkEnd w:id="10"/>
      <w:bookmarkEnd w:id="11"/>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合同包1(</w:t>
      </w:r>
      <w:r>
        <w:rPr>
          <w:rFonts w:hint="eastAsia" w:ascii="仿宋" w:hAnsi="仿宋" w:eastAsia="仿宋" w:cs="仿宋"/>
          <w:sz w:val="24"/>
          <w:szCs w:val="24"/>
          <w:highlight w:val="none"/>
          <w:lang w:eastAsia="zh-CN"/>
        </w:rPr>
        <w:t>榆林市政协APP软件开发服务采购项目</w:t>
      </w:r>
      <w:r>
        <w:rPr>
          <w:rFonts w:hint="eastAsia" w:ascii="仿宋" w:hAnsi="仿宋" w:eastAsia="仿宋" w:cs="仿宋"/>
          <w:sz w:val="24"/>
          <w:szCs w:val="24"/>
          <w:highlight w:val="none"/>
        </w:rPr>
        <w:t>)落实政府采购政策需满足的资格要求如下: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1、《政府采购促进中小企业发展管理办法》的通知--财库〔2020〕46号；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2、《财政部司法部关于政府采购支持监狱企业发展有关问题的通知》（财库〔2014〕68号）；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3、《国务院办公厅关于建立政府强制采购节能产品制度的通知》（国办发〔2007〕51号）；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4、根据《陕西省财政厅关于进一步加大政府采购支持中小企业力度的通知》（陕财办采〔2022〕5号）；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5、《榆林市财政局关于进一步加大政府采购支持中小企业力度的通知》（榆政财采发〔2022〕10号）；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6、《陕西省财政厅关于印发《陕西省中小企业政府采购信用融资办法》（陕财办采〔2018〕23号）；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7、《财政部民政部中国残疾人联合会关于促进残疾人就业政府采购政策的通知》（财库〔2017〕141号）；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8、《关于在政府采购活动中查询及使用信用记录有关问题的通知》（财库〔2016〕125号；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9、《节能产品政府采购实施意见》（财库[2004]185号）；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10、《环境标志产品政府采购实施的意见》（财库[2006]90号）；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12、陕西省财政厅关于进一步优化政府采购营商环境有关事项的通知-陕财办采〔2023〕4号；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13、其他需要落实的政府采购政策。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3.本项目的特定资格要求：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合同包1(</w:t>
      </w:r>
      <w:r>
        <w:rPr>
          <w:rFonts w:hint="eastAsia" w:ascii="仿宋" w:hAnsi="仿宋" w:eastAsia="仿宋" w:cs="仿宋"/>
          <w:sz w:val="24"/>
          <w:szCs w:val="24"/>
          <w:highlight w:val="none"/>
          <w:lang w:eastAsia="zh-CN"/>
        </w:rPr>
        <w:t>榆林市政协APP软件开发服务采购项目</w:t>
      </w:r>
      <w:r>
        <w:rPr>
          <w:rFonts w:hint="eastAsia" w:ascii="仿宋" w:hAnsi="仿宋" w:eastAsia="仿宋" w:cs="仿宋"/>
          <w:sz w:val="24"/>
          <w:szCs w:val="24"/>
          <w:highlight w:val="none"/>
        </w:rPr>
        <w:t>)特定资格要求如下</w:t>
      </w:r>
      <w:r>
        <w:rPr>
          <w:rFonts w:hint="eastAsia" w:ascii="仿宋" w:hAnsi="仿宋" w:eastAsia="仿宋" w:cs="仿宋"/>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1、供应商应</w:t>
      </w:r>
      <w:r>
        <w:rPr>
          <w:rFonts w:hint="eastAsia" w:ascii="仿宋" w:hAnsi="仿宋" w:eastAsia="仿宋" w:cs="仿宋"/>
          <w:sz w:val="24"/>
          <w:szCs w:val="24"/>
          <w:highlight w:val="none"/>
        </w:rPr>
        <w:t>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仿宋" w:hAnsi="仿宋" w:eastAsia="仿宋" w:cs="仿宋"/>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highlight w:val="none"/>
        </w:rPr>
      </w:pPr>
      <w:r>
        <w:rPr>
          <w:rFonts w:hint="eastAsia" w:ascii="仿宋" w:hAnsi="仿宋" w:eastAsia="仿宋" w:cs="仿宋"/>
          <w:sz w:val="24"/>
          <w:szCs w:val="24"/>
          <w:highlight w:val="none"/>
        </w:rPr>
        <w:t>2、财务状况报告：</w:t>
      </w:r>
      <w:r>
        <w:rPr>
          <w:rFonts w:hint="eastAsia" w:ascii="仿宋" w:hAnsi="仿宋" w:eastAsia="仿宋" w:cs="仿宋"/>
          <w:sz w:val="24"/>
          <w:szCs w:val="24"/>
          <w:highlight w:val="none"/>
          <w:lang w:eastAsia="zh-CN"/>
        </w:rPr>
        <w:t>提供2022年度经审计的财务报告（至少包括资产负债表、利润表、现金流量表、所有者权益变动表及其附注）</w:t>
      </w:r>
      <w:r>
        <w:rPr>
          <w:rFonts w:hint="eastAsia" w:ascii="仿宋" w:hAnsi="仿宋" w:eastAsia="仿宋" w:cs="仿宋"/>
          <w:sz w:val="24"/>
          <w:szCs w:val="24"/>
          <w:highlight w:val="none"/>
          <w:lang w:val="en-US" w:eastAsia="zh-CN"/>
        </w:rPr>
        <w:t>或</w:t>
      </w:r>
      <w:r>
        <w:rPr>
          <w:rFonts w:hint="eastAsia" w:ascii="仿宋" w:hAnsi="仿宋" w:eastAsia="仿宋" w:cs="仿宋"/>
          <w:sz w:val="24"/>
          <w:szCs w:val="24"/>
          <w:highlight w:val="none"/>
          <w:lang w:eastAsia="zh-CN"/>
        </w:rPr>
        <w:t>银行存款账户出具的资信证明（资信证明需提供投标截止时间前6个月内）；成立时间至提交投标文件递交截止时间不足一年的可提供成立后任意时段的资产负债表</w:t>
      </w:r>
      <w:r>
        <w:rPr>
          <w:rFonts w:hint="eastAsia" w:ascii="仿宋" w:hAnsi="仿宋" w:eastAsia="仿宋" w:cs="仿宋"/>
          <w:sz w:val="24"/>
          <w:szCs w:val="24"/>
          <w:highlight w:val="none"/>
          <w:lang w:val="en-US" w:eastAsia="zh-CN"/>
        </w:rPr>
        <w:t>或</w:t>
      </w:r>
      <w:r>
        <w:rPr>
          <w:rFonts w:hint="eastAsia" w:ascii="仿宋" w:hAnsi="仿宋" w:eastAsia="仿宋" w:cs="仿宋"/>
          <w:sz w:val="24"/>
          <w:szCs w:val="24"/>
          <w:highlight w:val="none"/>
          <w:lang w:eastAsia="zh-CN"/>
        </w:rPr>
        <w:t>银行存款账户出具的资信证明（资信证明需提供投标截止时间前6个月内），或财政部门认可的政府采购专业担保机构出具的投标担保函。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、社会保障资金缴纳证明：提供202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、税收缴纳证明：提供202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月至投标截止时间止至少1个月的纳税证明（银行缴费凭证）或完税证明（时间以税款所属日期为准</w:t>
      </w:r>
      <w:r>
        <w:rPr>
          <w:rFonts w:hint="eastAsia" w:ascii="仿宋" w:hAnsi="仿宋" w:eastAsia="仿宋" w:cs="仿宋"/>
          <w:sz w:val="24"/>
          <w:szCs w:val="24"/>
          <w:highlight w:val="none"/>
          <w:lang w:val="en-US" w:eastAsia="zh-CN"/>
        </w:rPr>
        <w:t>的任意税种</w:t>
      </w:r>
      <w:r>
        <w:rPr>
          <w:rFonts w:hint="eastAsia" w:ascii="仿宋" w:hAnsi="仿宋" w:eastAsia="仿宋" w:cs="仿宋"/>
          <w:sz w:val="24"/>
          <w:szCs w:val="24"/>
          <w:highlight w:val="none"/>
        </w:rPr>
        <w:t>），依法免税的单位应提供相关证明材料；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、书面声明：参加政府采购活动前三年内，在经营活动中没有重大违法记录的书面声明；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具有履行合同所必需的专业设备及技术能力的书面声明或承诺函</w:t>
      </w:r>
      <w:r>
        <w:rPr>
          <w:rFonts w:hint="eastAsia" w:ascii="仿宋" w:hAnsi="仿宋" w:eastAsia="仿宋" w:cs="仿宋"/>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需提供相关证明资料）；</w:t>
      </w:r>
      <w:r>
        <w:rPr>
          <w:rFonts w:hint="eastAsia" w:ascii="仿宋" w:hAnsi="仿宋" w:eastAsia="仿宋" w:cs="仿宋"/>
          <w:sz w:val="24"/>
          <w:szCs w:val="24"/>
          <w:highlight w:val="none"/>
          <w:lang w:val="en-US" w:eastAsia="zh-CN"/>
        </w:rPr>
        <w:t>提供信用中国网站下载的供应商信用信息信用报告和网查截图全部加盖供应商公章</w:t>
      </w:r>
      <w:r>
        <w:rPr>
          <w:rFonts w:hint="eastAsia" w:ascii="仿宋" w:hAnsi="仿宋" w:eastAsia="仿宋" w:cs="仿宋"/>
          <w:sz w:val="24"/>
          <w:szCs w:val="24"/>
          <w:highlight w:val="none"/>
        </w:rPr>
        <w:t>（查询日期为从磋商文件获取之日起至投标截止日前但最终以投标截止日当天查询结果为准）；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、提供投标信用承诺书（保证金）（承诺书效力和作用等同投标保证金），供应商应在“信用中国（陕西榆林）”网站进行注册、登录，自主上报信用承诺书（格式见磋商文件）；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、提供《榆林市政府采购服务类项目供应商信用承诺书》承诺书（格式见磋商文件）；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、本项目专门面向中小企业采购；</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、本项目不接受联合体投标，单位负责人为同一人或者存在直接控股、管理关系的不同</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，不得参加同一合同项下的政府采购活动（提供书面声明材料）。</w:t>
      </w:r>
    </w:p>
    <w:p>
      <w:pPr>
        <w:pStyle w:val="3"/>
        <w:bidi w:val="0"/>
        <w:spacing w:before="0" w:beforeAutospacing="0" w:after="0" w:afterAutospacing="0"/>
        <w:rPr>
          <w:rFonts w:hint="eastAsia" w:ascii="仿宋" w:hAnsi="仿宋" w:eastAsia="仿宋" w:cs="仿宋"/>
          <w:highlight w:val="none"/>
        </w:rPr>
      </w:pPr>
      <w:bookmarkStart w:id="12" w:name="_Toc30211"/>
      <w:bookmarkStart w:id="13" w:name="_Toc3115"/>
      <w:r>
        <w:rPr>
          <w:rFonts w:hint="eastAsia" w:ascii="仿宋" w:hAnsi="仿宋" w:eastAsia="仿宋" w:cs="仿宋"/>
          <w:highlight w:val="none"/>
        </w:rPr>
        <w:t>三、获取采购文件</w:t>
      </w:r>
      <w:bookmarkEnd w:id="12"/>
      <w:bookmarkEnd w:id="13"/>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时间：</w:t>
      </w:r>
      <w:r>
        <w:rPr>
          <w:rFonts w:hint="eastAsia" w:ascii="仿宋" w:hAnsi="仿宋" w:eastAsia="仿宋" w:cs="仿宋"/>
          <w:sz w:val="24"/>
          <w:szCs w:val="24"/>
          <w:highlight w:val="none"/>
          <w:shd w:val="clear"/>
        </w:rPr>
        <w:t>2023年</w:t>
      </w:r>
      <w:r>
        <w:rPr>
          <w:rFonts w:hint="eastAsia" w:ascii="仿宋" w:hAnsi="仿宋" w:eastAsia="仿宋" w:cs="仿宋"/>
          <w:sz w:val="24"/>
          <w:szCs w:val="24"/>
          <w:highlight w:val="none"/>
          <w:shd w:val="clear"/>
          <w:lang w:val="en-US" w:eastAsia="zh-CN"/>
        </w:rPr>
        <w:t>12</w:t>
      </w:r>
      <w:r>
        <w:rPr>
          <w:rFonts w:hint="eastAsia" w:ascii="仿宋" w:hAnsi="仿宋" w:eastAsia="仿宋" w:cs="仿宋"/>
          <w:sz w:val="24"/>
          <w:szCs w:val="24"/>
          <w:highlight w:val="none"/>
          <w:shd w:val="clear"/>
        </w:rPr>
        <w:t>月</w:t>
      </w:r>
      <w:r>
        <w:rPr>
          <w:rFonts w:hint="eastAsia" w:ascii="仿宋" w:hAnsi="仿宋" w:eastAsia="仿宋" w:cs="仿宋"/>
          <w:sz w:val="24"/>
          <w:szCs w:val="24"/>
          <w:highlight w:val="none"/>
          <w:shd w:val="clear"/>
          <w:lang w:val="en-US" w:eastAsia="zh-CN"/>
        </w:rPr>
        <w:t>6</w:t>
      </w:r>
      <w:r>
        <w:rPr>
          <w:rFonts w:hint="eastAsia" w:ascii="仿宋" w:hAnsi="仿宋" w:eastAsia="仿宋" w:cs="仿宋"/>
          <w:sz w:val="24"/>
          <w:szCs w:val="24"/>
          <w:highlight w:val="none"/>
          <w:shd w:val="clear"/>
        </w:rPr>
        <w:t>日至2023年</w:t>
      </w:r>
      <w:r>
        <w:rPr>
          <w:rFonts w:hint="eastAsia" w:ascii="仿宋" w:hAnsi="仿宋" w:eastAsia="仿宋" w:cs="仿宋"/>
          <w:sz w:val="24"/>
          <w:szCs w:val="24"/>
          <w:highlight w:val="none"/>
          <w:shd w:val="clear"/>
          <w:lang w:val="en-US" w:eastAsia="zh-CN"/>
        </w:rPr>
        <w:t>12</w:t>
      </w:r>
      <w:r>
        <w:rPr>
          <w:rFonts w:hint="eastAsia" w:ascii="仿宋" w:hAnsi="仿宋" w:eastAsia="仿宋" w:cs="仿宋"/>
          <w:sz w:val="24"/>
          <w:szCs w:val="24"/>
          <w:highlight w:val="none"/>
          <w:shd w:val="clear"/>
        </w:rPr>
        <w:t>月</w:t>
      </w:r>
      <w:r>
        <w:rPr>
          <w:rFonts w:hint="eastAsia" w:ascii="仿宋" w:hAnsi="仿宋" w:eastAsia="仿宋" w:cs="仿宋"/>
          <w:sz w:val="24"/>
          <w:szCs w:val="24"/>
          <w:highlight w:val="none"/>
          <w:shd w:val="clear"/>
          <w:lang w:val="en-US" w:eastAsia="zh-CN"/>
        </w:rPr>
        <w:t>12</w:t>
      </w:r>
      <w:r>
        <w:rPr>
          <w:rFonts w:hint="eastAsia" w:ascii="仿宋" w:hAnsi="仿宋" w:eastAsia="仿宋" w:cs="仿宋"/>
          <w:sz w:val="24"/>
          <w:szCs w:val="24"/>
          <w:highlight w:val="none"/>
          <w:shd w:val="clear"/>
        </w:rPr>
        <w:t>日，每天上午09:00:00至</w:t>
      </w:r>
      <w:r>
        <w:rPr>
          <w:rFonts w:hint="eastAsia" w:ascii="仿宋" w:hAnsi="仿宋" w:eastAsia="仿宋" w:cs="仿宋"/>
          <w:sz w:val="24"/>
          <w:szCs w:val="24"/>
          <w:highlight w:val="none"/>
          <w:shd w:val="clear"/>
          <w:lang w:val="en-US" w:eastAsia="zh-CN"/>
        </w:rPr>
        <w:t>11</w:t>
      </w:r>
      <w:r>
        <w:rPr>
          <w:rFonts w:hint="eastAsia" w:ascii="仿宋" w:hAnsi="仿宋" w:eastAsia="仿宋" w:cs="仿宋"/>
          <w:sz w:val="24"/>
          <w:szCs w:val="24"/>
          <w:highlight w:val="none"/>
          <w:shd w:val="clear"/>
        </w:rPr>
        <w:t>:</w:t>
      </w:r>
      <w:r>
        <w:rPr>
          <w:rFonts w:hint="eastAsia" w:ascii="仿宋" w:hAnsi="仿宋" w:eastAsia="仿宋" w:cs="仿宋"/>
          <w:sz w:val="24"/>
          <w:szCs w:val="24"/>
          <w:highlight w:val="none"/>
          <w:shd w:val="clear"/>
          <w:lang w:val="en-US" w:eastAsia="zh-CN"/>
        </w:rPr>
        <w:t>30</w:t>
      </w:r>
      <w:r>
        <w:rPr>
          <w:rFonts w:hint="eastAsia" w:ascii="仿宋" w:hAnsi="仿宋" w:eastAsia="仿宋" w:cs="仿宋"/>
          <w:sz w:val="24"/>
          <w:szCs w:val="24"/>
          <w:highlight w:val="none"/>
          <w:shd w:val="clear"/>
        </w:rPr>
        <w:t>:00，下午</w:t>
      </w:r>
      <w:r>
        <w:rPr>
          <w:rFonts w:hint="eastAsia" w:ascii="仿宋" w:hAnsi="仿宋" w:eastAsia="仿宋" w:cs="仿宋"/>
          <w:sz w:val="24"/>
          <w:szCs w:val="24"/>
          <w:highlight w:val="none"/>
          <w:shd w:val="clear"/>
          <w:lang w:val="en-US" w:eastAsia="zh-CN"/>
        </w:rPr>
        <w:t>14</w:t>
      </w:r>
      <w:r>
        <w:rPr>
          <w:rFonts w:hint="eastAsia" w:ascii="仿宋" w:hAnsi="仿宋" w:eastAsia="仿宋" w:cs="仿宋"/>
          <w:sz w:val="24"/>
          <w:szCs w:val="24"/>
          <w:highlight w:val="none"/>
          <w:shd w:val="clear"/>
        </w:rPr>
        <w:t>:00:00至17:00:00（北京时间）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途径：</w:t>
      </w:r>
      <w:r>
        <w:rPr>
          <w:rFonts w:hint="eastAsia" w:ascii="仿宋" w:hAnsi="仿宋" w:eastAsia="仿宋" w:cs="仿宋"/>
          <w:sz w:val="24"/>
          <w:szCs w:val="24"/>
          <w:highlight w:val="none"/>
          <w:lang w:val="en-US" w:eastAsia="zh-CN"/>
        </w:rPr>
        <w:t>榆林市榆阳区肤施路南段环馨路5号金轩楼2楼201室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方式：</w:t>
      </w:r>
      <w:r>
        <w:rPr>
          <w:rFonts w:hint="eastAsia" w:ascii="仿宋" w:hAnsi="仿宋" w:eastAsia="仿宋" w:cs="仿宋"/>
          <w:sz w:val="24"/>
          <w:szCs w:val="24"/>
          <w:highlight w:val="none"/>
          <w:lang w:val="en-US" w:eastAsia="zh-CN"/>
        </w:rPr>
        <w:t>现场获取</w:t>
      </w:r>
    </w:p>
    <w:p>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售价：0元</w:t>
      </w:r>
    </w:p>
    <w:p>
      <w:pPr>
        <w:pStyle w:val="3"/>
        <w:bidi w:val="0"/>
        <w:spacing w:before="0" w:beforeAutospacing="0" w:after="0" w:afterAutospacing="0"/>
        <w:rPr>
          <w:rFonts w:hint="eastAsia" w:ascii="仿宋" w:hAnsi="仿宋" w:eastAsia="仿宋" w:cs="仿宋"/>
          <w:highlight w:val="none"/>
        </w:rPr>
      </w:pPr>
      <w:bookmarkStart w:id="14" w:name="_Toc8573"/>
      <w:bookmarkStart w:id="15" w:name="_Toc27515"/>
      <w:r>
        <w:rPr>
          <w:rFonts w:hint="eastAsia" w:ascii="仿宋" w:hAnsi="仿宋" w:eastAsia="仿宋" w:cs="仿宋"/>
          <w:highlight w:val="none"/>
        </w:rPr>
        <w:t>四、响应文件提交</w:t>
      </w:r>
      <w:bookmarkEnd w:id="14"/>
      <w:bookmarkEnd w:id="15"/>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仿宋" w:hAnsi="仿宋" w:eastAsia="仿宋" w:cs="仿宋"/>
          <w:sz w:val="24"/>
          <w:szCs w:val="24"/>
          <w:highlight w:val="none"/>
          <w:shd w:val="clear" w:fill="FFFF00"/>
        </w:rPr>
      </w:pPr>
      <w:r>
        <w:rPr>
          <w:rFonts w:hint="eastAsia" w:ascii="仿宋" w:hAnsi="仿宋" w:eastAsia="仿宋" w:cs="仿宋"/>
          <w:sz w:val="24"/>
          <w:szCs w:val="24"/>
          <w:highlight w:val="none"/>
        </w:rPr>
        <w:t>截止时间：</w:t>
      </w:r>
      <w:r>
        <w:rPr>
          <w:rFonts w:hint="eastAsia" w:ascii="仿宋" w:hAnsi="仿宋" w:eastAsia="仿宋" w:cs="仿宋"/>
          <w:sz w:val="24"/>
          <w:szCs w:val="24"/>
          <w:highlight w:val="none"/>
          <w:shd w:val="clear"/>
        </w:rPr>
        <w:t>2023年</w:t>
      </w:r>
      <w:r>
        <w:rPr>
          <w:rFonts w:hint="eastAsia" w:ascii="仿宋" w:hAnsi="仿宋" w:eastAsia="仿宋" w:cs="仿宋"/>
          <w:sz w:val="24"/>
          <w:szCs w:val="24"/>
          <w:highlight w:val="none"/>
          <w:shd w:val="clear"/>
          <w:lang w:val="en-US" w:eastAsia="zh-CN"/>
        </w:rPr>
        <w:t>12</w:t>
      </w:r>
      <w:r>
        <w:rPr>
          <w:rFonts w:hint="eastAsia" w:ascii="仿宋" w:hAnsi="仿宋" w:eastAsia="仿宋" w:cs="仿宋"/>
          <w:sz w:val="24"/>
          <w:szCs w:val="24"/>
          <w:highlight w:val="none"/>
          <w:shd w:val="clear"/>
        </w:rPr>
        <w:t>月</w:t>
      </w:r>
      <w:r>
        <w:rPr>
          <w:rFonts w:hint="eastAsia" w:ascii="仿宋" w:hAnsi="仿宋" w:eastAsia="仿宋" w:cs="仿宋"/>
          <w:sz w:val="24"/>
          <w:szCs w:val="24"/>
          <w:highlight w:val="none"/>
          <w:shd w:val="clear"/>
          <w:lang w:val="en-US" w:eastAsia="zh-CN"/>
        </w:rPr>
        <w:t>18</w:t>
      </w:r>
      <w:r>
        <w:rPr>
          <w:rFonts w:hint="eastAsia" w:ascii="仿宋" w:hAnsi="仿宋" w:eastAsia="仿宋" w:cs="仿宋"/>
          <w:sz w:val="24"/>
          <w:szCs w:val="24"/>
          <w:highlight w:val="none"/>
          <w:shd w:val="clear"/>
        </w:rPr>
        <w:t>日</w:t>
      </w:r>
      <w:r>
        <w:rPr>
          <w:rFonts w:hint="eastAsia" w:ascii="仿宋" w:hAnsi="仿宋" w:eastAsia="仿宋" w:cs="仿宋"/>
          <w:sz w:val="24"/>
          <w:szCs w:val="24"/>
          <w:highlight w:val="none"/>
          <w:shd w:val="clear"/>
          <w:lang w:val="en-US" w:eastAsia="zh-CN"/>
        </w:rPr>
        <w:t>09</w:t>
      </w:r>
      <w:r>
        <w:rPr>
          <w:rFonts w:hint="eastAsia" w:ascii="仿宋" w:hAnsi="仿宋" w:eastAsia="仿宋" w:cs="仿宋"/>
          <w:sz w:val="24"/>
          <w:szCs w:val="24"/>
          <w:highlight w:val="none"/>
          <w:shd w:val="clear"/>
        </w:rPr>
        <w:t>时</w:t>
      </w:r>
      <w:r>
        <w:rPr>
          <w:rFonts w:hint="eastAsia" w:ascii="仿宋" w:hAnsi="仿宋" w:eastAsia="仿宋" w:cs="仿宋"/>
          <w:sz w:val="24"/>
          <w:szCs w:val="24"/>
          <w:highlight w:val="none"/>
          <w:shd w:val="clear"/>
          <w:lang w:val="en-US" w:eastAsia="zh-CN"/>
        </w:rPr>
        <w:t>00</w:t>
      </w:r>
      <w:r>
        <w:rPr>
          <w:rFonts w:hint="eastAsia" w:ascii="仿宋" w:hAnsi="仿宋" w:eastAsia="仿宋" w:cs="仿宋"/>
          <w:sz w:val="24"/>
          <w:szCs w:val="24"/>
          <w:highlight w:val="none"/>
          <w:shd w:val="clear"/>
        </w:rPr>
        <w:t>分00秒（北京时间）</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地点：</w:t>
      </w:r>
      <w:r>
        <w:rPr>
          <w:rFonts w:hint="eastAsia" w:ascii="仿宋" w:hAnsi="仿宋" w:eastAsia="仿宋" w:cs="仿宋"/>
          <w:sz w:val="24"/>
          <w:szCs w:val="24"/>
          <w:highlight w:val="none"/>
          <w:lang w:val="en-US" w:eastAsia="zh-CN"/>
        </w:rPr>
        <w:t>榆林市榆阳区肤施路南段环馨路5号金轩楼2楼201室</w:t>
      </w:r>
    </w:p>
    <w:p>
      <w:pPr>
        <w:pStyle w:val="3"/>
        <w:bidi w:val="0"/>
        <w:spacing w:before="0" w:beforeAutospacing="0" w:after="0" w:afterAutospacing="0"/>
        <w:rPr>
          <w:rFonts w:hint="eastAsia" w:ascii="仿宋" w:hAnsi="仿宋" w:eastAsia="仿宋" w:cs="仿宋"/>
          <w:highlight w:val="none"/>
        </w:rPr>
      </w:pPr>
      <w:bookmarkStart w:id="16" w:name="_Toc7884"/>
      <w:bookmarkStart w:id="17" w:name="_Toc265"/>
      <w:r>
        <w:rPr>
          <w:rFonts w:hint="eastAsia" w:ascii="仿宋" w:hAnsi="仿宋" w:eastAsia="仿宋" w:cs="仿宋"/>
          <w:highlight w:val="none"/>
        </w:rPr>
        <w:t>五、开启</w:t>
      </w:r>
      <w:bookmarkEnd w:id="16"/>
      <w:bookmarkEnd w:id="17"/>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仿宋" w:hAnsi="仿宋" w:eastAsia="仿宋" w:cs="仿宋"/>
          <w:sz w:val="24"/>
          <w:szCs w:val="24"/>
          <w:highlight w:val="none"/>
          <w:shd w:val="clear" w:fill="FFFF00"/>
        </w:rPr>
      </w:pPr>
      <w:r>
        <w:rPr>
          <w:rFonts w:hint="eastAsia" w:ascii="仿宋" w:hAnsi="仿宋" w:eastAsia="仿宋" w:cs="仿宋"/>
          <w:sz w:val="24"/>
          <w:szCs w:val="24"/>
          <w:highlight w:val="none"/>
        </w:rPr>
        <w:t>时间：</w:t>
      </w:r>
      <w:r>
        <w:rPr>
          <w:rFonts w:hint="eastAsia" w:ascii="仿宋" w:hAnsi="仿宋" w:eastAsia="仿宋" w:cs="仿宋"/>
          <w:sz w:val="24"/>
          <w:szCs w:val="24"/>
          <w:highlight w:val="none"/>
          <w:shd w:val="clear"/>
        </w:rPr>
        <w:t>2023年</w:t>
      </w:r>
      <w:r>
        <w:rPr>
          <w:rFonts w:hint="eastAsia" w:ascii="仿宋" w:hAnsi="仿宋" w:eastAsia="仿宋" w:cs="仿宋"/>
          <w:sz w:val="24"/>
          <w:szCs w:val="24"/>
          <w:highlight w:val="none"/>
          <w:shd w:val="clear"/>
          <w:lang w:val="en-US" w:eastAsia="zh-CN"/>
        </w:rPr>
        <w:t>12</w:t>
      </w:r>
      <w:r>
        <w:rPr>
          <w:rFonts w:hint="eastAsia" w:ascii="仿宋" w:hAnsi="仿宋" w:eastAsia="仿宋" w:cs="仿宋"/>
          <w:sz w:val="24"/>
          <w:szCs w:val="24"/>
          <w:highlight w:val="none"/>
          <w:shd w:val="clear"/>
        </w:rPr>
        <w:t>月</w:t>
      </w:r>
      <w:r>
        <w:rPr>
          <w:rFonts w:hint="eastAsia" w:ascii="仿宋" w:hAnsi="仿宋" w:eastAsia="仿宋" w:cs="仿宋"/>
          <w:sz w:val="24"/>
          <w:szCs w:val="24"/>
          <w:highlight w:val="none"/>
          <w:shd w:val="clear"/>
          <w:lang w:val="en-US" w:eastAsia="zh-CN"/>
        </w:rPr>
        <w:t>18</w:t>
      </w:r>
      <w:r>
        <w:rPr>
          <w:rFonts w:hint="eastAsia" w:ascii="仿宋" w:hAnsi="仿宋" w:eastAsia="仿宋" w:cs="仿宋"/>
          <w:sz w:val="24"/>
          <w:szCs w:val="24"/>
          <w:highlight w:val="none"/>
          <w:shd w:val="clear"/>
        </w:rPr>
        <w:t>日</w:t>
      </w:r>
      <w:r>
        <w:rPr>
          <w:rFonts w:hint="eastAsia" w:ascii="仿宋" w:hAnsi="仿宋" w:eastAsia="仿宋" w:cs="仿宋"/>
          <w:sz w:val="24"/>
          <w:szCs w:val="24"/>
          <w:highlight w:val="none"/>
          <w:shd w:val="clear"/>
          <w:lang w:val="en-US" w:eastAsia="zh-CN"/>
        </w:rPr>
        <w:t>09</w:t>
      </w:r>
      <w:r>
        <w:rPr>
          <w:rFonts w:hint="eastAsia" w:ascii="仿宋" w:hAnsi="仿宋" w:eastAsia="仿宋" w:cs="仿宋"/>
          <w:sz w:val="24"/>
          <w:szCs w:val="24"/>
          <w:highlight w:val="none"/>
          <w:shd w:val="clear"/>
        </w:rPr>
        <w:t>时</w:t>
      </w:r>
      <w:r>
        <w:rPr>
          <w:rFonts w:hint="eastAsia" w:ascii="仿宋" w:hAnsi="仿宋" w:eastAsia="仿宋" w:cs="仿宋"/>
          <w:sz w:val="24"/>
          <w:szCs w:val="24"/>
          <w:highlight w:val="none"/>
          <w:shd w:val="clear"/>
          <w:lang w:val="en-US" w:eastAsia="zh-CN"/>
        </w:rPr>
        <w:t>00</w:t>
      </w:r>
      <w:r>
        <w:rPr>
          <w:rFonts w:hint="eastAsia" w:ascii="仿宋" w:hAnsi="仿宋" w:eastAsia="仿宋" w:cs="仿宋"/>
          <w:sz w:val="24"/>
          <w:szCs w:val="24"/>
          <w:highlight w:val="none"/>
          <w:shd w:val="clear"/>
        </w:rPr>
        <w:t>分00秒（北京时间）</w:t>
      </w:r>
    </w:p>
    <w:p>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地点：</w:t>
      </w:r>
      <w:r>
        <w:rPr>
          <w:rFonts w:hint="eastAsia" w:ascii="仿宋" w:hAnsi="仿宋" w:eastAsia="仿宋" w:cs="仿宋"/>
          <w:sz w:val="24"/>
          <w:szCs w:val="24"/>
          <w:highlight w:val="none"/>
          <w:lang w:val="en-US" w:eastAsia="zh-CN"/>
        </w:rPr>
        <w:t>榆林市榆阳区肤施路南段环馨路5号金轩楼2楼201室</w:t>
      </w:r>
    </w:p>
    <w:p>
      <w:pPr>
        <w:pStyle w:val="3"/>
        <w:bidi w:val="0"/>
        <w:spacing w:before="0" w:beforeAutospacing="0" w:after="0" w:afterAutospacing="0"/>
        <w:rPr>
          <w:rFonts w:hint="eastAsia" w:ascii="仿宋" w:hAnsi="仿宋" w:eastAsia="仿宋" w:cs="仿宋"/>
          <w:highlight w:val="none"/>
        </w:rPr>
      </w:pPr>
      <w:bookmarkStart w:id="18" w:name="_Toc16508"/>
      <w:bookmarkStart w:id="19" w:name="_Toc5288"/>
      <w:r>
        <w:rPr>
          <w:rFonts w:hint="eastAsia" w:ascii="仿宋" w:hAnsi="仿宋" w:eastAsia="仿宋" w:cs="仿宋"/>
          <w:highlight w:val="none"/>
        </w:rPr>
        <w:t>六、公告期限</w:t>
      </w:r>
      <w:bookmarkEnd w:id="18"/>
      <w:bookmarkEnd w:id="19"/>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自本公告发布之日起3个工作日。</w:t>
      </w:r>
    </w:p>
    <w:p>
      <w:pPr>
        <w:pStyle w:val="3"/>
        <w:bidi w:val="0"/>
        <w:spacing w:before="0" w:beforeAutospacing="0" w:after="0" w:afterAutospacing="0"/>
        <w:rPr>
          <w:rFonts w:hint="eastAsia" w:ascii="仿宋" w:hAnsi="仿宋" w:eastAsia="仿宋" w:cs="仿宋"/>
          <w:highlight w:val="none"/>
        </w:rPr>
      </w:pPr>
      <w:bookmarkStart w:id="20" w:name="_Toc31330"/>
      <w:bookmarkStart w:id="21" w:name="_Toc23102"/>
      <w:r>
        <w:rPr>
          <w:rFonts w:hint="eastAsia" w:ascii="仿宋" w:hAnsi="仿宋" w:eastAsia="仿宋" w:cs="仿宋"/>
          <w:highlight w:val="none"/>
        </w:rPr>
        <w:t>七、其他补充事宜</w:t>
      </w:r>
      <w:bookmarkEnd w:id="20"/>
      <w:bookmarkEnd w:id="21"/>
    </w:p>
    <w:p>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注：报名以现场报名和网上报名两种方式为准，二者缺一不可。</w:t>
      </w:r>
    </w:p>
    <w:p>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平台报名：供应商未办理陕西省公共资源交易中心CA锁的可到榆林市市民大厦3楼E18、E19窗口办理，咨询电话0912-3452148或4006-369-888（陕西CA联系电话），报名成功与否以平台确认信息为准。报名程序：登录陕西省公共资源交易中心，进入电子交易平台，点击政府采购交易系统企业端CA锁登录，点击交易乙方，查询报名。报名已现场报名和网上报名为准，二者缺一不可。</w:t>
      </w:r>
    </w:p>
    <w:p>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2.请供应商按照陕西省财政厅关于政府采购供应商注册登记有关事项的通知中的要求，通过陕西省政府采购网（http://www.ccgp-shaanxi.gov.cn/）注册登记加入陕西省政府采购供应商库，并接受财政部门监督管理；</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仿宋" w:hAnsi="仿宋" w:eastAsia="仿宋" w:cs="仿宋"/>
          <w:sz w:val="24"/>
          <w:szCs w:val="24"/>
          <w:highlight w:val="none"/>
          <w:shd w:val="clear"/>
        </w:rPr>
      </w:pPr>
      <w:r>
        <w:rPr>
          <w:rFonts w:hint="eastAsia" w:ascii="仿宋" w:hAnsi="仿宋" w:eastAsia="仿宋" w:cs="仿宋"/>
          <w:sz w:val="24"/>
          <w:szCs w:val="24"/>
          <w:highlight w:val="none"/>
          <w:lang w:val="en-US" w:eastAsia="zh-CN"/>
        </w:rPr>
        <w:t>3.现场报名：即日起请携带单位介绍信原件、经办人身份证原件加盖单位公章的复印件、有效的陕西省公共资源交易平台投标回执单加盖单位公章，在亿诚建设项目管理有限公司（地址：榆林市榆阳区肤施路南段环馨路5号金轩楼2楼201室）获取竞争性磋商文件，谢绝邮寄。竞争性磋商文件获取时间</w:t>
      </w:r>
      <w:r>
        <w:rPr>
          <w:rFonts w:hint="eastAsia" w:ascii="仿宋" w:hAnsi="仿宋" w:eastAsia="仿宋" w:cs="仿宋"/>
          <w:sz w:val="24"/>
          <w:szCs w:val="24"/>
          <w:highlight w:val="none"/>
          <w:shd w:val="clear"/>
          <w:lang w:val="en-US" w:eastAsia="zh-CN"/>
        </w:rPr>
        <w:t>：</w:t>
      </w:r>
      <w:r>
        <w:rPr>
          <w:rFonts w:hint="eastAsia" w:ascii="仿宋" w:hAnsi="仿宋" w:eastAsia="仿宋" w:cs="仿宋"/>
          <w:sz w:val="24"/>
          <w:szCs w:val="24"/>
          <w:highlight w:val="none"/>
          <w:shd w:val="clear"/>
        </w:rPr>
        <w:t>2023年</w:t>
      </w:r>
      <w:r>
        <w:rPr>
          <w:rFonts w:hint="eastAsia" w:ascii="仿宋" w:hAnsi="仿宋" w:eastAsia="仿宋" w:cs="仿宋"/>
          <w:sz w:val="24"/>
          <w:szCs w:val="24"/>
          <w:highlight w:val="none"/>
          <w:shd w:val="clear"/>
          <w:lang w:val="en-US" w:eastAsia="zh-CN"/>
        </w:rPr>
        <w:t>12</w:t>
      </w:r>
      <w:r>
        <w:rPr>
          <w:rFonts w:hint="eastAsia" w:ascii="仿宋" w:hAnsi="仿宋" w:eastAsia="仿宋" w:cs="仿宋"/>
          <w:sz w:val="24"/>
          <w:szCs w:val="24"/>
          <w:highlight w:val="none"/>
          <w:shd w:val="clear"/>
        </w:rPr>
        <w:t>月</w:t>
      </w:r>
      <w:r>
        <w:rPr>
          <w:rFonts w:hint="eastAsia" w:ascii="仿宋" w:hAnsi="仿宋" w:eastAsia="仿宋" w:cs="仿宋"/>
          <w:sz w:val="24"/>
          <w:szCs w:val="24"/>
          <w:highlight w:val="none"/>
          <w:shd w:val="clear"/>
          <w:lang w:val="en-US" w:eastAsia="zh-CN"/>
        </w:rPr>
        <w:t>6</w:t>
      </w:r>
      <w:r>
        <w:rPr>
          <w:rFonts w:hint="eastAsia" w:ascii="仿宋" w:hAnsi="仿宋" w:eastAsia="仿宋" w:cs="仿宋"/>
          <w:sz w:val="24"/>
          <w:szCs w:val="24"/>
          <w:highlight w:val="none"/>
          <w:shd w:val="clear"/>
        </w:rPr>
        <w:t>日至2023年</w:t>
      </w:r>
      <w:r>
        <w:rPr>
          <w:rFonts w:hint="eastAsia" w:ascii="仿宋" w:hAnsi="仿宋" w:eastAsia="仿宋" w:cs="仿宋"/>
          <w:sz w:val="24"/>
          <w:szCs w:val="24"/>
          <w:highlight w:val="none"/>
          <w:shd w:val="clear"/>
          <w:lang w:val="en-US" w:eastAsia="zh-CN"/>
        </w:rPr>
        <w:t>12</w:t>
      </w:r>
      <w:r>
        <w:rPr>
          <w:rFonts w:hint="eastAsia" w:ascii="仿宋" w:hAnsi="仿宋" w:eastAsia="仿宋" w:cs="仿宋"/>
          <w:sz w:val="24"/>
          <w:szCs w:val="24"/>
          <w:highlight w:val="none"/>
          <w:shd w:val="clear"/>
        </w:rPr>
        <w:t>月</w:t>
      </w:r>
      <w:r>
        <w:rPr>
          <w:rFonts w:hint="eastAsia" w:ascii="仿宋" w:hAnsi="仿宋" w:eastAsia="仿宋" w:cs="仿宋"/>
          <w:sz w:val="24"/>
          <w:szCs w:val="24"/>
          <w:highlight w:val="none"/>
          <w:shd w:val="clear"/>
          <w:lang w:val="en-US" w:eastAsia="zh-CN"/>
        </w:rPr>
        <w:t>12</w:t>
      </w:r>
      <w:r>
        <w:rPr>
          <w:rFonts w:hint="eastAsia" w:ascii="仿宋" w:hAnsi="仿宋" w:eastAsia="仿宋" w:cs="仿宋"/>
          <w:sz w:val="24"/>
          <w:szCs w:val="24"/>
          <w:highlight w:val="none"/>
          <w:shd w:val="clear"/>
        </w:rPr>
        <w:t>日，每天上午09:00:00至</w:t>
      </w:r>
      <w:r>
        <w:rPr>
          <w:rFonts w:hint="eastAsia" w:ascii="仿宋" w:hAnsi="仿宋" w:eastAsia="仿宋" w:cs="仿宋"/>
          <w:sz w:val="24"/>
          <w:szCs w:val="24"/>
          <w:highlight w:val="none"/>
          <w:shd w:val="clear"/>
          <w:lang w:val="en-US" w:eastAsia="zh-CN"/>
        </w:rPr>
        <w:t>11</w:t>
      </w:r>
      <w:r>
        <w:rPr>
          <w:rFonts w:hint="eastAsia" w:ascii="仿宋" w:hAnsi="仿宋" w:eastAsia="仿宋" w:cs="仿宋"/>
          <w:sz w:val="24"/>
          <w:szCs w:val="24"/>
          <w:highlight w:val="none"/>
          <w:shd w:val="clear"/>
        </w:rPr>
        <w:t>:</w:t>
      </w:r>
      <w:r>
        <w:rPr>
          <w:rFonts w:hint="eastAsia" w:ascii="仿宋" w:hAnsi="仿宋" w:eastAsia="仿宋" w:cs="仿宋"/>
          <w:sz w:val="24"/>
          <w:szCs w:val="24"/>
          <w:highlight w:val="none"/>
          <w:shd w:val="clear"/>
          <w:lang w:val="en-US" w:eastAsia="zh-CN"/>
        </w:rPr>
        <w:t>30</w:t>
      </w:r>
      <w:r>
        <w:rPr>
          <w:rFonts w:hint="eastAsia" w:ascii="仿宋" w:hAnsi="仿宋" w:eastAsia="仿宋" w:cs="仿宋"/>
          <w:sz w:val="24"/>
          <w:szCs w:val="24"/>
          <w:highlight w:val="none"/>
          <w:shd w:val="clear"/>
        </w:rPr>
        <w:t>:00，下午</w:t>
      </w:r>
      <w:r>
        <w:rPr>
          <w:rFonts w:hint="eastAsia" w:ascii="仿宋" w:hAnsi="仿宋" w:eastAsia="仿宋" w:cs="仿宋"/>
          <w:sz w:val="24"/>
          <w:szCs w:val="24"/>
          <w:highlight w:val="none"/>
          <w:shd w:val="clear"/>
          <w:lang w:val="en-US" w:eastAsia="zh-CN"/>
        </w:rPr>
        <w:t>14</w:t>
      </w:r>
      <w:r>
        <w:rPr>
          <w:rFonts w:hint="eastAsia" w:ascii="仿宋" w:hAnsi="仿宋" w:eastAsia="仿宋" w:cs="仿宋"/>
          <w:sz w:val="24"/>
          <w:szCs w:val="24"/>
          <w:highlight w:val="none"/>
          <w:shd w:val="clear"/>
        </w:rPr>
        <w:t>:00:00至17:00:00</w:t>
      </w:r>
      <w:r>
        <w:rPr>
          <w:rFonts w:hint="eastAsia" w:ascii="仿宋" w:hAnsi="仿宋" w:eastAsia="仿宋" w:cs="仿宋"/>
          <w:sz w:val="24"/>
          <w:szCs w:val="24"/>
          <w:highlight w:val="none"/>
          <w:shd w:val="clear"/>
          <w:lang w:val="en-US" w:eastAsia="zh-CN"/>
        </w:rPr>
        <w:t>（北京时间、下同；节假日除外）。</w:t>
      </w:r>
    </w:p>
    <w:p>
      <w:pPr>
        <w:pStyle w:val="3"/>
        <w:bidi w:val="0"/>
        <w:spacing w:before="315" w:beforeLines="100" w:beforeAutospacing="0" w:after="236" w:afterLines="75" w:afterAutospacing="0"/>
        <w:rPr>
          <w:rFonts w:hint="eastAsia" w:ascii="仿宋" w:hAnsi="仿宋" w:eastAsia="仿宋" w:cs="仿宋"/>
          <w:highlight w:val="none"/>
        </w:rPr>
      </w:pPr>
      <w:bookmarkStart w:id="22" w:name="_Toc28017"/>
      <w:bookmarkStart w:id="23" w:name="_Toc20259"/>
      <w:r>
        <w:rPr>
          <w:rFonts w:hint="eastAsia" w:ascii="仿宋" w:hAnsi="仿宋" w:eastAsia="仿宋" w:cs="仿宋"/>
          <w:highlight w:val="none"/>
        </w:rPr>
        <w:t>八、对本次招标提出询问，请按以下方式联系。</w:t>
      </w:r>
      <w:bookmarkEnd w:id="22"/>
      <w:bookmarkEnd w:id="23"/>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名称：中国人民政治协商会议陕西省榆林市委员会办公室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仿宋" w:hAnsi="仿宋" w:eastAsia="仿宋" w:cs="仿宋"/>
          <w:kern w:val="0"/>
          <w:sz w:val="24"/>
          <w:szCs w:val="24"/>
          <w:highlight w:val="none"/>
          <w:lang w:val="en-US" w:eastAsia="zh-CN" w:bidi="ar"/>
        </w:rPr>
      </w:pPr>
      <w:r>
        <w:rPr>
          <w:rFonts w:hint="eastAsia" w:ascii="仿宋" w:hAnsi="仿宋" w:eastAsia="仿宋" w:cs="仿宋"/>
          <w:sz w:val="24"/>
          <w:szCs w:val="24"/>
          <w:highlight w:val="none"/>
        </w:rPr>
        <w:t>地址：</w:t>
      </w:r>
      <w:r>
        <w:rPr>
          <w:rFonts w:hint="eastAsia" w:ascii="仿宋" w:hAnsi="仿宋" w:eastAsia="仿宋" w:cs="仿宋"/>
          <w:i w:val="0"/>
          <w:iCs w:val="0"/>
          <w:caps w:val="0"/>
          <w:color w:val="333333"/>
          <w:spacing w:val="0"/>
          <w:kern w:val="0"/>
          <w:sz w:val="24"/>
          <w:szCs w:val="24"/>
          <w:highlight w:val="none"/>
          <w:shd w:val="clear" w:fill="FFFFFF"/>
          <w:vertAlign w:val="baseline"/>
          <w:lang w:val="en-US" w:eastAsia="zh-CN" w:bidi="ar"/>
        </w:rPr>
        <w:t>陕西省榆林市高新区榆溪大道市委办公小区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lang w:eastAsia="zh-CN"/>
        </w:rPr>
        <w:t>0912-3645433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val="en-US" w:eastAsia="zh-CN"/>
        </w:rPr>
        <w:t>亿诚建设项目管理有限公司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lang w:val="en-US" w:eastAsia="zh-CN"/>
        </w:rPr>
        <w:t>榆林市榆阳区肤施路南段环馨路5号金轩楼2楼201室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lang w:val="en-US" w:eastAsia="zh-CN"/>
        </w:rPr>
        <w:t>18992274597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i w:val="0"/>
          <w:iCs w:val="0"/>
          <w:caps w:val="0"/>
          <w:color w:val="333333"/>
          <w:spacing w:val="0"/>
          <w:kern w:val="0"/>
          <w:sz w:val="24"/>
          <w:szCs w:val="24"/>
          <w:highlight w:val="none"/>
          <w:shd w:val="clear" w:fill="FFFFFF"/>
          <w:vertAlign w:val="baseline"/>
          <w:lang w:val="en-US" w:eastAsia="zh-CN" w:bidi="ar"/>
        </w:rPr>
      </w:pPr>
      <w:r>
        <w:rPr>
          <w:rFonts w:hint="eastAsia" w:ascii="仿宋" w:hAnsi="仿宋" w:eastAsia="仿宋" w:cs="仿宋"/>
          <w:sz w:val="24"/>
          <w:szCs w:val="24"/>
          <w:highlight w:val="none"/>
        </w:rPr>
        <w:t>项目联系人：</w:t>
      </w:r>
      <w:r>
        <w:rPr>
          <w:rFonts w:hint="eastAsia" w:ascii="仿宋" w:hAnsi="仿宋" w:eastAsia="仿宋" w:cs="仿宋"/>
          <w:i w:val="0"/>
          <w:iCs w:val="0"/>
          <w:caps w:val="0"/>
          <w:color w:val="333333"/>
          <w:spacing w:val="0"/>
          <w:kern w:val="0"/>
          <w:sz w:val="24"/>
          <w:szCs w:val="24"/>
          <w:highlight w:val="none"/>
          <w:shd w:val="clear" w:fill="FFFFFF"/>
          <w:vertAlign w:val="baseline"/>
          <w:lang w:val="en-US" w:eastAsia="zh-CN" w:bidi="ar"/>
        </w:rPr>
        <w:t>任涛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w:t>
      </w:r>
      <w:r>
        <w:rPr>
          <w:rFonts w:hint="eastAsia" w:ascii="仿宋" w:hAnsi="仿宋" w:eastAsia="仿宋" w:cs="仿宋"/>
          <w:sz w:val="24"/>
          <w:szCs w:val="24"/>
          <w:highlight w:val="none"/>
          <w:lang w:val="en-US" w:eastAsia="zh-CN"/>
        </w:rPr>
        <w:t>18992274597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 xml:space="preserve">                                     亿诚建设项目管理有限公司</w:t>
      </w:r>
    </w:p>
    <w:p>
      <w:pPr>
        <w:keepNext w:val="0"/>
        <w:keepLines w:val="0"/>
        <w:pageBreakBefore w:val="0"/>
        <w:widowControl w:val="0"/>
        <w:shd w:val="clear"/>
        <w:kinsoku/>
        <w:wordWrap/>
        <w:overflowPunct/>
        <w:topLinePunct w:val="0"/>
        <w:autoSpaceDE/>
        <w:autoSpaceDN/>
        <w:bidi w:val="0"/>
        <w:adjustRightInd/>
        <w:snapToGrid/>
        <w:spacing w:line="360" w:lineRule="auto"/>
        <w:ind w:firstLine="6240" w:firstLineChars="2600"/>
        <w:textAlignment w:val="auto"/>
        <w:rPr>
          <w:rFonts w:hint="eastAsia" w:ascii="仿宋" w:hAnsi="仿宋" w:eastAsia="仿宋" w:cs="仿宋"/>
          <w:i w:val="0"/>
          <w:iCs w:val="0"/>
          <w:caps w:val="0"/>
          <w:color w:val="333333"/>
          <w:spacing w:val="0"/>
          <w:szCs w:val="16"/>
          <w:highlight w:val="none"/>
        </w:rPr>
      </w:pPr>
      <w:r>
        <w:rPr>
          <w:rFonts w:hint="eastAsia" w:ascii="仿宋" w:hAnsi="仿宋" w:eastAsia="仿宋" w:cs="仿宋"/>
          <w:sz w:val="24"/>
          <w:szCs w:val="24"/>
          <w:highlight w:val="none"/>
        </w:rPr>
        <w:t>2023年</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 xml:space="preserve"> 6 </w:t>
      </w:r>
      <w:r>
        <w:rPr>
          <w:rFonts w:hint="eastAsia" w:ascii="仿宋" w:hAnsi="仿宋" w:eastAsia="仿宋" w:cs="仿宋"/>
          <w:sz w:val="24"/>
          <w:szCs w:val="24"/>
          <w:highlight w:val="none"/>
        </w:rPr>
        <w:t>日</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bookmarkStart w:id="24" w:name="_Toc3"/>
      <w:bookmarkStart w:id="25" w:name="_Toc12217"/>
      <w:bookmarkStart w:id="26" w:name="_Toc27526"/>
      <w:bookmarkStart w:id="27" w:name="_Toc28595"/>
      <w:bookmarkStart w:id="28" w:name="_Toc4977"/>
      <w:bookmarkStart w:id="29" w:name="_Toc6954_WPSOffice_Level1"/>
      <w:r>
        <w:rPr>
          <w:rFonts w:hint="eastAsia" w:ascii="仿宋" w:hAnsi="仿宋" w:eastAsia="仿宋" w:cs="仿宋"/>
          <w:color w:val="auto"/>
          <w:sz w:val="32"/>
          <w:szCs w:val="40"/>
          <w:highlight w:val="none"/>
        </w:rPr>
        <w:br w:type="page"/>
      </w:r>
    </w:p>
    <w:bookmarkEnd w:id="24"/>
    <w:bookmarkEnd w:id="25"/>
    <w:bookmarkEnd w:id="26"/>
    <w:bookmarkEnd w:id="27"/>
    <w:bookmarkEnd w:id="28"/>
    <w:bookmarkEnd w:id="29"/>
    <w:p>
      <w:pPr>
        <w:pStyle w:val="2"/>
        <w:bidi w:val="0"/>
        <w:rPr>
          <w:rFonts w:hint="eastAsia" w:ascii="仿宋" w:hAnsi="仿宋" w:eastAsia="仿宋" w:cs="仿宋"/>
          <w:highlight w:val="none"/>
          <w:lang w:val="en-US" w:eastAsia="zh-CN"/>
        </w:rPr>
      </w:pPr>
      <w:bookmarkStart w:id="30" w:name="_Toc4051"/>
      <w:bookmarkStart w:id="31" w:name="_Toc18438"/>
      <w:bookmarkStart w:id="32" w:name="_Toc15262"/>
      <w:bookmarkStart w:id="33" w:name="_Toc24110"/>
      <w:r>
        <w:rPr>
          <w:rFonts w:hint="eastAsia" w:ascii="仿宋" w:hAnsi="仿宋" w:eastAsia="仿宋" w:cs="仿宋"/>
          <w:highlight w:val="none"/>
          <w:lang w:val="en-US" w:eastAsia="zh-CN"/>
        </w:rPr>
        <w:t>第二章 供应商须知</w:t>
      </w:r>
      <w:bookmarkEnd w:id="30"/>
      <w:bookmarkEnd w:id="31"/>
      <w:bookmarkEnd w:id="32"/>
      <w:bookmarkEnd w:id="33"/>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auto"/>
          <w:sz w:val="15"/>
          <w:szCs w:val="15"/>
          <w:highlight w:val="none"/>
        </w:rPr>
      </w:pPr>
      <w:bookmarkStart w:id="34" w:name="_Toc12137"/>
      <w:bookmarkStart w:id="35" w:name="_Toc18614"/>
      <w:bookmarkStart w:id="36" w:name="_Toc7032"/>
      <w:bookmarkStart w:id="37" w:name="_Toc6319"/>
      <w:bookmarkStart w:id="38" w:name="_Toc25795"/>
      <w:bookmarkStart w:id="39" w:name="_Toc32309"/>
      <w:bookmarkStart w:id="40" w:name="_Toc30624"/>
      <w:bookmarkStart w:id="41" w:name="_Toc21011"/>
      <w:bookmarkStart w:id="42" w:name="_Toc23304"/>
      <w:bookmarkStart w:id="43" w:name="_Toc26603"/>
      <w:bookmarkStart w:id="44" w:name="_Toc13869"/>
      <w:bookmarkStart w:id="45" w:name="_Toc28918"/>
      <w:bookmarkStart w:id="46" w:name="_Toc7448"/>
      <w:bookmarkStart w:id="47" w:name="_Toc909"/>
      <w:r>
        <w:rPr>
          <w:rFonts w:hint="eastAsia" w:ascii="仿宋" w:hAnsi="仿宋" w:eastAsia="仿宋" w:cs="仿宋"/>
          <w:color w:val="auto"/>
          <w:sz w:val="28"/>
          <w:szCs w:val="28"/>
          <w:highlight w:val="none"/>
        </w:rPr>
        <w:t>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p>
    <w:tbl>
      <w:tblPr>
        <w:tblStyle w:val="27"/>
        <w:tblW w:w="98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082"/>
        <w:gridCol w:w="7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条款名称</w:t>
            </w:r>
          </w:p>
        </w:tc>
        <w:tc>
          <w:tcPr>
            <w:tcW w:w="7109"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采购人</w:t>
            </w:r>
          </w:p>
        </w:tc>
        <w:tc>
          <w:tcPr>
            <w:tcW w:w="7109" w:type="dxa"/>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采购人信息：中国人民政治协商会议陕西省榆林市委员会办公室</w:t>
            </w:r>
          </w:p>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联系地址：</w:t>
            </w:r>
            <w:r>
              <w:rPr>
                <w:rFonts w:hint="eastAsia" w:ascii="仿宋" w:hAnsi="仿宋" w:eastAsia="仿宋" w:cs="仿宋"/>
                <w:color w:val="auto"/>
                <w:sz w:val="24"/>
                <w:szCs w:val="24"/>
                <w:highlight w:val="none"/>
                <w:lang w:val="en-US" w:eastAsia="zh-CN"/>
              </w:rPr>
              <w:t>陕西省榆林市高新区榆溪大道市委办公小区</w:t>
            </w:r>
          </w:p>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lang w:eastAsia="zh-CN"/>
              </w:rPr>
              <w:t>0912-3645433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采购代理机构</w:t>
            </w:r>
          </w:p>
        </w:tc>
        <w:tc>
          <w:tcPr>
            <w:tcW w:w="7109" w:type="dxa"/>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采购代理机构名称：亿诚建设项目管理有限公司</w:t>
            </w:r>
          </w:p>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地址：</w:t>
            </w:r>
            <w:r>
              <w:rPr>
                <w:rFonts w:hint="eastAsia" w:ascii="仿宋" w:hAnsi="仿宋" w:eastAsia="仿宋" w:cs="仿宋"/>
                <w:i w:val="0"/>
                <w:iCs w:val="0"/>
                <w:caps w:val="0"/>
                <w:color w:val="333333"/>
                <w:spacing w:val="0"/>
                <w:kern w:val="0"/>
                <w:sz w:val="24"/>
                <w:szCs w:val="24"/>
                <w:highlight w:val="none"/>
                <w:shd w:val="clear" w:fill="FFFFFF"/>
                <w:vertAlign w:val="baseline"/>
                <w:lang w:val="en-US" w:eastAsia="zh-CN" w:bidi="ar"/>
              </w:rPr>
              <w:t>榆林市榆阳区肤施路南段环馨路5号金轩楼2楼201室</w:t>
            </w:r>
          </w:p>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联系人：</w:t>
            </w:r>
            <w:r>
              <w:rPr>
                <w:rFonts w:hint="eastAsia" w:ascii="仿宋" w:hAnsi="仿宋" w:eastAsia="仿宋" w:cs="仿宋"/>
                <w:i w:val="0"/>
                <w:iCs w:val="0"/>
                <w:caps w:val="0"/>
                <w:color w:val="333333"/>
                <w:spacing w:val="0"/>
                <w:kern w:val="0"/>
                <w:sz w:val="24"/>
                <w:szCs w:val="24"/>
                <w:highlight w:val="none"/>
                <w:shd w:val="clear" w:fill="FFFFFF"/>
                <w:vertAlign w:val="baseline"/>
                <w:lang w:val="en-US" w:eastAsia="zh-CN" w:bidi="ar"/>
              </w:rPr>
              <w:t>任涛</w:t>
            </w:r>
          </w:p>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zh-CN"/>
              </w:rPr>
              <w:t>电话：</w:t>
            </w:r>
            <w:r>
              <w:rPr>
                <w:rFonts w:hint="eastAsia" w:ascii="仿宋" w:hAnsi="仿宋" w:eastAsia="仿宋" w:cs="仿宋"/>
                <w:i w:val="0"/>
                <w:iCs w:val="0"/>
                <w:caps w:val="0"/>
                <w:color w:val="333333"/>
                <w:spacing w:val="0"/>
                <w:kern w:val="0"/>
                <w:sz w:val="24"/>
                <w:szCs w:val="24"/>
                <w:highlight w:val="none"/>
                <w:shd w:val="clear" w:fill="FFFFFF"/>
                <w:vertAlign w:val="baseline"/>
                <w:lang w:val="en-US" w:eastAsia="zh-CN" w:bidi="ar"/>
              </w:rPr>
              <w:t>18992274597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监督管理机构</w:t>
            </w:r>
          </w:p>
        </w:tc>
        <w:tc>
          <w:tcPr>
            <w:tcW w:w="7109" w:type="dxa"/>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榆林</w:t>
            </w:r>
            <w:r>
              <w:rPr>
                <w:rFonts w:hint="eastAsia" w:ascii="仿宋" w:hAnsi="仿宋" w:eastAsia="仿宋" w:cs="仿宋"/>
                <w:color w:val="auto"/>
                <w:sz w:val="24"/>
                <w:szCs w:val="24"/>
                <w:highlight w:val="none"/>
                <w:lang w:val="zh-CN"/>
              </w:rPr>
              <w:t>市财政局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项目名称</w:t>
            </w:r>
          </w:p>
        </w:tc>
        <w:tc>
          <w:tcPr>
            <w:tcW w:w="7109" w:type="dxa"/>
            <w:vAlign w:val="center"/>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榆林市政协APP软件开发服务采购项目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项目编号</w:t>
            </w:r>
          </w:p>
        </w:tc>
        <w:tc>
          <w:tcPr>
            <w:tcW w:w="7109" w:type="dxa"/>
          </w:tcPr>
          <w:p>
            <w:pPr>
              <w:keepNext w:val="0"/>
              <w:keepLines w:val="0"/>
              <w:pageBreakBefore w:val="0"/>
              <w:overflowPunct/>
              <w:topLinePunct w:val="0"/>
              <w:bidi w:val="0"/>
              <w:adjustRightInd/>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YC23314001（CGQ）01</w:t>
            </w:r>
            <w:r>
              <w:rPr>
                <w:rFonts w:hint="eastAsia" w:ascii="仿宋" w:hAnsi="仿宋" w:eastAsia="仿宋" w:cs="仿宋"/>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资金性质</w:t>
            </w:r>
          </w:p>
        </w:tc>
        <w:tc>
          <w:tcPr>
            <w:tcW w:w="7109" w:type="dxa"/>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项目预算</w:t>
            </w:r>
          </w:p>
        </w:tc>
        <w:tc>
          <w:tcPr>
            <w:tcW w:w="7109" w:type="dxa"/>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肆拾柒万元整</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￥470000.00</w:t>
            </w:r>
            <w:r>
              <w:rPr>
                <w:rFonts w:hint="eastAsia" w:ascii="仿宋" w:hAnsi="仿宋" w:eastAsia="仿宋" w:cs="仿宋"/>
                <w:color w:val="auto"/>
                <w:sz w:val="24"/>
                <w:szCs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项目用途</w:t>
            </w:r>
          </w:p>
        </w:tc>
        <w:tc>
          <w:tcPr>
            <w:tcW w:w="7109" w:type="dxa"/>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eastAsia="zh-CN"/>
              </w:rPr>
            </w:pPr>
            <w:r>
              <w:rPr>
                <w:rFonts w:hint="eastAsia" w:ascii="仿宋" w:hAnsi="仿宋" w:eastAsia="仿宋" w:cs="仿宋"/>
                <w:sz w:val="24"/>
                <w:szCs w:val="24"/>
                <w:highlight w:val="none"/>
                <w:lang w:val="zh-CN" w:eastAsia="zh-CN"/>
              </w:rPr>
              <w:t>榆林市政协APP软件开发服务采购项目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采购内容和要求</w:t>
            </w:r>
          </w:p>
        </w:tc>
        <w:tc>
          <w:tcPr>
            <w:tcW w:w="7109" w:type="dxa"/>
            <w:vAlign w:val="center"/>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rPr>
              <w:t>详见竞争性磋商文件第</w:t>
            </w: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lang w:val="zh-CN"/>
              </w:rPr>
              <w:t>章</w:t>
            </w:r>
            <w:r>
              <w:rPr>
                <w:rFonts w:hint="eastAsia" w:ascii="仿宋" w:hAnsi="仿宋" w:eastAsia="仿宋" w:cs="仿宋"/>
                <w:color w:val="auto"/>
                <w:sz w:val="24"/>
                <w:szCs w:val="24"/>
                <w:highlight w:val="none"/>
              </w:rPr>
              <w:t>采购内容及</w:t>
            </w:r>
            <w:r>
              <w:rPr>
                <w:rFonts w:hint="eastAsia" w:ascii="仿宋" w:hAnsi="仿宋" w:eastAsia="仿宋" w:cs="仿宋"/>
                <w:color w:val="auto"/>
                <w:sz w:val="24"/>
                <w:szCs w:val="24"/>
                <w:highlight w:val="none"/>
                <w:shd w:val="clear"/>
              </w:rPr>
              <w:t>要求</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供应商</w:t>
            </w:r>
          </w:p>
        </w:tc>
        <w:tc>
          <w:tcPr>
            <w:tcW w:w="7109" w:type="dxa"/>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响应</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"http://baike.baidu.com/view/8707.htm" \t "_blank"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lang w:val="zh-CN"/>
              </w:rPr>
              <w:t>招标</w:t>
            </w:r>
            <w:r>
              <w:rPr>
                <w:rFonts w:hint="eastAsia" w:ascii="仿宋" w:hAnsi="仿宋" w:eastAsia="仿宋" w:cs="仿宋"/>
                <w:color w:val="auto"/>
                <w:sz w:val="24"/>
                <w:szCs w:val="24"/>
                <w:highlight w:val="none"/>
                <w:lang w:val="zh-CN"/>
              </w:rPr>
              <w:fldChar w:fldCharType="end"/>
            </w:r>
            <w:r>
              <w:rPr>
                <w:rFonts w:hint="eastAsia" w:ascii="仿宋" w:hAnsi="仿宋" w:eastAsia="仿宋" w:cs="仿宋"/>
                <w:color w:val="auto"/>
                <w:sz w:val="24"/>
                <w:szCs w:val="24"/>
                <w:highlight w:val="none"/>
                <w:lang w:val="zh-CN"/>
              </w:rPr>
              <w:t>并且符合竞争性磋商文件规定资格条件和参加投标竞争的法人或其他组织。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9"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供应商资格要求</w:t>
            </w:r>
          </w:p>
        </w:tc>
        <w:tc>
          <w:tcPr>
            <w:tcW w:w="7109" w:type="dxa"/>
          </w:tcPr>
          <w:p>
            <w:pPr>
              <w:keepNext w:val="0"/>
              <w:keepLines w:val="0"/>
              <w:pageBreakBefore w:val="0"/>
              <w:overflowPunct/>
              <w:topLinePunct w:val="0"/>
              <w:bidi w:val="0"/>
              <w:adjustRightInd/>
              <w:spacing w:line="360" w:lineRule="auto"/>
              <w:ind w:firstLine="240" w:firstLineChars="1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供应商应具备《中华人民共和国政府采购法》第二十二条规定的条件；并提供以下资格证明文件：</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1、供应商应</w:t>
            </w:r>
            <w:r>
              <w:rPr>
                <w:rFonts w:hint="eastAsia" w:ascii="仿宋" w:hAnsi="仿宋" w:eastAsia="仿宋" w:cs="仿宋"/>
                <w:sz w:val="24"/>
                <w:szCs w:val="24"/>
                <w:highlight w:val="none"/>
              </w:rPr>
              <w:t>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仿宋" w:hAnsi="仿宋" w:eastAsia="仿宋" w:cs="仿宋"/>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2、财务状况报告：</w:t>
            </w:r>
            <w:r>
              <w:rPr>
                <w:rFonts w:hint="eastAsia" w:ascii="仿宋" w:hAnsi="仿宋" w:eastAsia="仿宋" w:cs="仿宋"/>
                <w:sz w:val="24"/>
                <w:szCs w:val="24"/>
                <w:highlight w:val="none"/>
                <w:lang w:eastAsia="zh-CN"/>
              </w:rPr>
              <w:t>提供2022年度经审计的财务报告（至少包括资产负债表、利润表、现金流量表、所有者权益变动表及其附注）</w:t>
            </w:r>
            <w:r>
              <w:rPr>
                <w:rFonts w:hint="eastAsia" w:ascii="仿宋" w:hAnsi="仿宋" w:eastAsia="仿宋" w:cs="仿宋"/>
                <w:sz w:val="24"/>
                <w:szCs w:val="24"/>
                <w:highlight w:val="none"/>
                <w:lang w:val="en-US" w:eastAsia="zh-CN"/>
              </w:rPr>
              <w:t>或</w:t>
            </w:r>
            <w:r>
              <w:rPr>
                <w:rFonts w:hint="eastAsia" w:ascii="仿宋" w:hAnsi="仿宋" w:eastAsia="仿宋" w:cs="仿宋"/>
                <w:sz w:val="24"/>
                <w:szCs w:val="24"/>
                <w:highlight w:val="none"/>
                <w:lang w:eastAsia="zh-CN"/>
              </w:rPr>
              <w:t>银行存款账户出具的资信证明（资信证明需提供投标截止时间前6个月内）；成立时间至提交投标文件递交截止时间不足一年的可提供成立后任意时段的资产负债表</w:t>
            </w:r>
            <w:r>
              <w:rPr>
                <w:rFonts w:hint="eastAsia" w:ascii="仿宋" w:hAnsi="仿宋" w:eastAsia="仿宋" w:cs="仿宋"/>
                <w:sz w:val="24"/>
                <w:szCs w:val="24"/>
                <w:highlight w:val="none"/>
                <w:lang w:val="en-US" w:eastAsia="zh-CN"/>
              </w:rPr>
              <w:t>或</w:t>
            </w:r>
            <w:r>
              <w:rPr>
                <w:rFonts w:hint="eastAsia" w:ascii="仿宋" w:hAnsi="仿宋" w:eastAsia="仿宋" w:cs="仿宋"/>
                <w:sz w:val="24"/>
                <w:szCs w:val="24"/>
                <w:highlight w:val="none"/>
                <w:lang w:eastAsia="zh-CN"/>
              </w:rPr>
              <w:t>银行存款账户出具的资信证明（资信证明需提供投标截止时间前6个月内），或财政部门认可的政府采购专业担保机构出具的投标担保函。</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、社会保障资金缴纳证明：提供202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、税收缴纳证明：提供202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月至投标截止时间止至少1个月的纳税证明（银行缴费凭证）或完税证明（时间以税款所属日期为准</w:t>
            </w:r>
            <w:r>
              <w:rPr>
                <w:rFonts w:hint="eastAsia" w:ascii="仿宋" w:hAnsi="仿宋" w:eastAsia="仿宋" w:cs="仿宋"/>
                <w:sz w:val="24"/>
                <w:szCs w:val="24"/>
                <w:highlight w:val="none"/>
                <w:lang w:val="en-US" w:eastAsia="zh-CN"/>
              </w:rPr>
              <w:t>的任意税种</w:t>
            </w:r>
            <w:r>
              <w:rPr>
                <w:rFonts w:hint="eastAsia" w:ascii="仿宋" w:hAnsi="仿宋" w:eastAsia="仿宋" w:cs="仿宋"/>
                <w:sz w:val="24"/>
                <w:szCs w:val="24"/>
                <w:highlight w:val="none"/>
              </w:rPr>
              <w:t>），依法免税的单位应提供相关证明材料；</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、书面声明：参加政府采购活动前三年内，在经营活动中没有重大违法记录的书面声明；</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具有履行合同所必需的专业设备及技术能力的书面声明或承诺函</w:t>
            </w:r>
            <w:r>
              <w:rPr>
                <w:rFonts w:hint="eastAsia" w:ascii="仿宋" w:hAnsi="仿宋" w:eastAsia="仿宋" w:cs="仿宋"/>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需提供相关证明资料）；</w:t>
            </w:r>
            <w:r>
              <w:rPr>
                <w:rFonts w:hint="eastAsia" w:ascii="仿宋" w:hAnsi="仿宋" w:eastAsia="仿宋" w:cs="仿宋"/>
                <w:sz w:val="24"/>
                <w:szCs w:val="24"/>
                <w:highlight w:val="none"/>
                <w:lang w:val="en-US" w:eastAsia="zh-CN"/>
              </w:rPr>
              <w:t>提供信用中国网站下载的供应商信用信息信用报告和网查截图全部加盖供应商公章</w:t>
            </w:r>
            <w:r>
              <w:rPr>
                <w:rFonts w:hint="eastAsia" w:ascii="仿宋" w:hAnsi="仿宋" w:eastAsia="仿宋" w:cs="仿宋"/>
                <w:sz w:val="24"/>
                <w:szCs w:val="24"/>
                <w:highlight w:val="none"/>
              </w:rPr>
              <w:t>（查询日期为从磋商文件获取之日起至投标截止日前但最终以投标截止日当天查询结果为准）；</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、提供投标信用承诺书（保证金）（承诺书效力和作用等同投标保证金），供应商应在“信用中国（陕西榆林）”网站进行注册、登录，自主上报信用承诺书（格式见磋商文件）；</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、提供《榆林市政府采购服务类项目供应商信用承诺书》承诺书（格式见磋商文件）；</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、本项目不接受联合体投标，单位负责人为同一人或者存在直接控股、管理关系的不同</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，不得参加同一合同项下的政府采购活动（提供书面声明材料）。</w:t>
            </w:r>
          </w:p>
          <w:p>
            <w:pPr>
              <w:pStyle w:val="24"/>
              <w:keepNext w:val="0"/>
              <w:keepLines w:val="0"/>
              <w:pageBreakBefore w:val="0"/>
              <w:widowControl/>
              <w:overflowPunct/>
              <w:topLinePunct w:val="0"/>
              <w:bidi w:val="0"/>
              <w:adjustRightInd/>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1、供应商的法定代表人或其授权代表应当参加磋商，须在响应文件提交截止时间之前提交以上资质原件及竞争性磋商文件要求的其他证明材料原件，并单独密封（密封同竞争性磋商响应文件）且与竞争性磋商响应文件同时递交。</w:t>
            </w:r>
          </w:p>
          <w:p>
            <w:pPr>
              <w:pStyle w:val="24"/>
              <w:keepNext w:val="0"/>
              <w:keepLines w:val="0"/>
              <w:pageBreakBefore w:val="0"/>
              <w:widowControl/>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val="zh-CN"/>
              </w:rPr>
              <w:t>以上资质为必备资质，缺一项或某项达不到要求，按无效投标处理。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2082" w:type="dxa"/>
            <w:shd w:val="clear" w:color="auto" w:fill="auto"/>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lang w:val="zh-CN"/>
              </w:rPr>
              <w:t>期</w:t>
            </w:r>
          </w:p>
        </w:tc>
        <w:tc>
          <w:tcPr>
            <w:tcW w:w="7109"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highlight w:val="none"/>
                <w:shd w:val="clear"/>
                <w:lang w:val="en-US" w:eastAsia="zh-CN"/>
              </w:rPr>
              <w:t>合同签订之日起1年（具体服务起止日期可随合同签订时间相应顺延）</w:t>
            </w:r>
            <w:r>
              <w:rPr>
                <w:rFonts w:hint="eastAsia" w:ascii="仿宋" w:hAnsi="仿宋" w:eastAsia="仿宋" w:cs="仿宋"/>
                <w:sz w:val="24"/>
                <w:szCs w:val="24"/>
                <w:highlight w:val="none"/>
                <w:shd w:val="clea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14</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付款方式</w:t>
            </w:r>
          </w:p>
        </w:tc>
        <w:tc>
          <w:tcPr>
            <w:tcW w:w="7109" w:type="dxa"/>
            <w:vAlign w:val="center"/>
          </w:tcPr>
          <w:p>
            <w:pPr>
              <w:keepNext w:val="0"/>
              <w:keepLines w:val="0"/>
              <w:pageBreakBefore w:val="0"/>
              <w:overflowPunct/>
              <w:topLinePunct w:val="0"/>
              <w:bidi w:val="0"/>
              <w:adjustRightInd/>
              <w:spacing w:line="360" w:lineRule="auto"/>
              <w:jc w:val="both"/>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highlight w:val="none"/>
              </w:rPr>
              <w:t>一次性</w:t>
            </w:r>
            <w:r>
              <w:rPr>
                <w:rFonts w:hint="eastAsia" w:ascii="仿宋" w:hAnsi="仿宋" w:eastAsia="仿宋" w:cs="仿宋"/>
                <w:sz w:val="24"/>
                <w:szCs w:val="24"/>
                <w:highlight w:val="none"/>
                <w:lang w:val="en-US" w:eastAsia="zh-CN"/>
              </w:rPr>
              <w:t>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15</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竞争性磋商文件获取</w:t>
            </w:r>
          </w:p>
        </w:tc>
        <w:tc>
          <w:tcPr>
            <w:tcW w:w="7109" w:type="dxa"/>
          </w:tcPr>
          <w:p>
            <w:pPr>
              <w:pStyle w:val="24"/>
              <w:keepNext w:val="0"/>
              <w:keepLines w:val="0"/>
              <w:pageBreakBefore w:val="0"/>
              <w:widowControl/>
              <w:overflowPunct/>
              <w:topLinePunct w:val="0"/>
              <w:bidi w:val="0"/>
              <w:adjustRightInd/>
              <w:spacing w:line="360" w:lineRule="auto"/>
              <w:rPr>
                <w:rFonts w:hint="eastAsia" w:ascii="仿宋" w:hAnsi="仿宋" w:eastAsia="仿宋" w:cs="仿宋"/>
                <w:color w:val="auto"/>
                <w:sz w:val="24"/>
                <w:szCs w:val="24"/>
                <w:highlight w:val="none"/>
                <w:shd w:val="clear" w:fill="FFFF00"/>
              </w:rPr>
            </w:pPr>
            <w:r>
              <w:rPr>
                <w:rFonts w:hint="eastAsia" w:ascii="仿宋" w:hAnsi="仿宋" w:eastAsia="仿宋" w:cs="仿宋"/>
                <w:color w:val="auto"/>
                <w:sz w:val="24"/>
                <w:szCs w:val="24"/>
                <w:highlight w:val="none"/>
                <w:lang w:val="zh-CN"/>
              </w:rPr>
              <w:t>获取时间：</w:t>
            </w:r>
            <w:r>
              <w:rPr>
                <w:rFonts w:hint="eastAsia" w:ascii="仿宋" w:hAnsi="仿宋" w:eastAsia="仿宋" w:cs="仿宋"/>
                <w:sz w:val="24"/>
                <w:szCs w:val="24"/>
                <w:highlight w:val="none"/>
                <w:shd w:val="clear"/>
              </w:rPr>
              <w:t>2023年</w:t>
            </w:r>
            <w:r>
              <w:rPr>
                <w:rFonts w:hint="eastAsia" w:ascii="仿宋" w:hAnsi="仿宋" w:eastAsia="仿宋" w:cs="仿宋"/>
                <w:sz w:val="24"/>
                <w:szCs w:val="24"/>
                <w:highlight w:val="none"/>
                <w:shd w:val="clear"/>
                <w:lang w:val="en-US" w:eastAsia="zh-CN"/>
              </w:rPr>
              <w:t>12</w:t>
            </w:r>
            <w:r>
              <w:rPr>
                <w:rFonts w:hint="eastAsia" w:ascii="仿宋" w:hAnsi="仿宋" w:eastAsia="仿宋" w:cs="仿宋"/>
                <w:sz w:val="24"/>
                <w:szCs w:val="24"/>
                <w:highlight w:val="none"/>
                <w:shd w:val="clear"/>
              </w:rPr>
              <w:t>月</w:t>
            </w:r>
            <w:r>
              <w:rPr>
                <w:rFonts w:hint="eastAsia" w:ascii="仿宋" w:hAnsi="仿宋" w:eastAsia="仿宋" w:cs="仿宋"/>
                <w:sz w:val="24"/>
                <w:szCs w:val="24"/>
                <w:highlight w:val="none"/>
                <w:shd w:val="clear"/>
                <w:lang w:val="en-US" w:eastAsia="zh-CN"/>
              </w:rPr>
              <w:t>6</w:t>
            </w:r>
            <w:r>
              <w:rPr>
                <w:rFonts w:hint="eastAsia" w:ascii="仿宋" w:hAnsi="仿宋" w:eastAsia="仿宋" w:cs="仿宋"/>
                <w:sz w:val="24"/>
                <w:szCs w:val="24"/>
                <w:highlight w:val="none"/>
                <w:shd w:val="clear"/>
              </w:rPr>
              <w:t>日至2023年</w:t>
            </w:r>
            <w:r>
              <w:rPr>
                <w:rFonts w:hint="eastAsia" w:ascii="仿宋" w:hAnsi="仿宋" w:eastAsia="仿宋" w:cs="仿宋"/>
                <w:sz w:val="24"/>
                <w:szCs w:val="24"/>
                <w:highlight w:val="none"/>
                <w:shd w:val="clear"/>
                <w:lang w:val="en-US" w:eastAsia="zh-CN"/>
              </w:rPr>
              <w:t>12</w:t>
            </w:r>
            <w:r>
              <w:rPr>
                <w:rFonts w:hint="eastAsia" w:ascii="仿宋" w:hAnsi="仿宋" w:eastAsia="仿宋" w:cs="仿宋"/>
                <w:sz w:val="24"/>
                <w:szCs w:val="24"/>
                <w:highlight w:val="none"/>
                <w:shd w:val="clear"/>
              </w:rPr>
              <w:t>月</w:t>
            </w:r>
            <w:r>
              <w:rPr>
                <w:rFonts w:hint="eastAsia" w:ascii="仿宋" w:hAnsi="仿宋" w:eastAsia="仿宋" w:cs="仿宋"/>
                <w:sz w:val="24"/>
                <w:szCs w:val="24"/>
                <w:highlight w:val="none"/>
                <w:shd w:val="clear"/>
                <w:lang w:val="en-US" w:eastAsia="zh-CN"/>
              </w:rPr>
              <w:t>12</w:t>
            </w:r>
            <w:r>
              <w:rPr>
                <w:rFonts w:hint="eastAsia" w:ascii="仿宋" w:hAnsi="仿宋" w:eastAsia="仿宋" w:cs="仿宋"/>
                <w:sz w:val="24"/>
                <w:szCs w:val="24"/>
                <w:highlight w:val="none"/>
                <w:shd w:val="clear"/>
              </w:rPr>
              <w:t>日，每天上午09:00:00至</w:t>
            </w:r>
            <w:r>
              <w:rPr>
                <w:rFonts w:hint="eastAsia" w:ascii="仿宋" w:hAnsi="仿宋" w:eastAsia="仿宋" w:cs="仿宋"/>
                <w:sz w:val="24"/>
                <w:szCs w:val="24"/>
                <w:highlight w:val="none"/>
                <w:shd w:val="clear"/>
                <w:lang w:val="en-US" w:eastAsia="zh-CN"/>
              </w:rPr>
              <w:t>11</w:t>
            </w:r>
            <w:r>
              <w:rPr>
                <w:rFonts w:hint="eastAsia" w:ascii="仿宋" w:hAnsi="仿宋" w:eastAsia="仿宋" w:cs="仿宋"/>
                <w:sz w:val="24"/>
                <w:szCs w:val="24"/>
                <w:highlight w:val="none"/>
                <w:shd w:val="clear"/>
              </w:rPr>
              <w:t>:</w:t>
            </w:r>
            <w:r>
              <w:rPr>
                <w:rFonts w:hint="eastAsia" w:ascii="仿宋" w:hAnsi="仿宋" w:eastAsia="仿宋" w:cs="仿宋"/>
                <w:sz w:val="24"/>
                <w:szCs w:val="24"/>
                <w:highlight w:val="none"/>
                <w:shd w:val="clear"/>
                <w:lang w:val="en-US" w:eastAsia="zh-CN"/>
              </w:rPr>
              <w:t>30</w:t>
            </w:r>
            <w:r>
              <w:rPr>
                <w:rFonts w:hint="eastAsia" w:ascii="仿宋" w:hAnsi="仿宋" w:eastAsia="仿宋" w:cs="仿宋"/>
                <w:sz w:val="24"/>
                <w:szCs w:val="24"/>
                <w:highlight w:val="none"/>
                <w:shd w:val="clear"/>
              </w:rPr>
              <w:t>:00，下午</w:t>
            </w:r>
            <w:r>
              <w:rPr>
                <w:rFonts w:hint="eastAsia" w:ascii="仿宋" w:hAnsi="仿宋" w:eastAsia="仿宋" w:cs="仿宋"/>
                <w:sz w:val="24"/>
                <w:szCs w:val="24"/>
                <w:highlight w:val="none"/>
                <w:shd w:val="clear"/>
                <w:lang w:val="en-US" w:eastAsia="zh-CN"/>
              </w:rPr>
              <w:t>14</w:t>
            </w:r>
            <w:r>
              <w:rPr>
                <w:rFonts w:hint="eastAsia" w:ascii="仿宋" w:hAnsi="仿宋" w:eastAsia="仿宋" w:cs="仿宋"/>
                <w:sz w:val="24"/>
                <w:szCs w:val="24"/>
                <w:highlight w:val="none"/>
                <w:shd w:val="clear"/>
              </w:rPr>
              <w:t>:00:00至17:00:00</w:t>
            </w:r>
            <w:r>
              <w:rPr>
                <w:rFonts w:hint="eastAsia" w:ascii="仿宋" w:hAnsi="仿宋" w:eastAsia="仿宋" w:cs="仿宋"/>
                <w:sz w:val="24"/>
                <w:szCs w:val="24"/>
                <w:highlight w:val="none"/>
                <w:shd w:val="clear"/>
                <w:lang w:val="en-US" w:eastAsia="zh-CN"/>
              </w:rPr>
              <w:t>（北京时间、下同；节假日除外）</w:t>
            </w:r>
          </w:p>
          <w:p>
            <w:pPr>
              <w:pStyle w:val="24"/>
              <w:keepNext w:val="0"/>
              <w:keepLines w:val="0"/>
              <w:pageBreakBefore w:val="0"/>
              <w:widowControl/>
              <w:overflowPunct/>
              <w:topLinePunct w:val="0"/>
              <w:bidi w:val="0"/>
              <w:adjustRightInd/>
              <w:spacing w:line="360" w:lineRule="auto"/>
              <w:ind w:left="0" w:leftChars="0" w:firstLine="0" w:firstLineChars="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获取方式：</w:t>
            </w:r>
            <w:r>
              <w:rPr>
                <w:rFonts w:hint="eastAsia" w:ascii="仿宋" w:hAnsi="仿宋" w:eastAsia="仿宋" w:cs="仿宋"/>
                <w:sz w:val="24"/>
                <w:szCs w:val="24"/>
                <w:highlight w:val="none"/>
                <w:lang w:val="en-US" w:eastAsia="zh-CN"/>
              </w:rPr>
              <w:t>榆林市榆阳区肤施路南段环馨路5号金轩楼2楼201室现场获取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16</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联合体投标</w:t>
            </w:r>
          </w:p>
        </w:tc>
        <w:tc>
          <w:tcPr>
            <w:tcW w:w="7109" w:type="dxa"/>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18</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现场勘查、标前答疑会</w:t>
            </w:r>
          </w:p>
        </w:tc>
        <w:tc>
          <w:tcPr>
            <w:tcW w:w="7109" w:type="dxa"/>
            <w:vAlign w:val="center"/>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19</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构成竞争性磋商文件的其他文件</w:t>
            </w:r>
          </w:p>
        </w:tc>
        <w:tc>
          <w:tcPr>
            <w:tcW w:w="7109" w:type="dxa"/>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竞争性磋商文件的澄清、修改书及有关补充通知为竞争性磋商文件的有效组成部分。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20</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响应文件提交截止时间、开标时间和地点</w:t>
            </w:r>
          </w:p>
        </w:tc>
        <w:tc>
          <w:tcPr>
            <w:tcW w:w="7109" w:type="dxa"/>
            <w:vAlign w:val="center"/>
          </w:tcPr>
          <w:p>
            <w:pPr>
              <w:keepNext w:val="0"/>
              <w:keepLines w:val="0"/>
              <w:pageBreakBefore w:val="0"/>
              <w:overflowPunct/>
              <w:topLinePunct w:val="0"/>
              <w:bidi w:val="0"/>
              <w:adjustRightInd/>
              <w:spacing w:line="360" w:lineRule="auto"/>
              <w:jc w:val="both"/>
              <w:rPr>
                <w:rFonts w:hint="eastAsia" w:ascii="仿宋" w:hAnsi="仿宋" w:eastAsia="仿宋" w:cs="仿宋"/>
                <w:color w:val="auto"/>
                <w:sz w:val="24"/>
                <w:szCs w:val="24"/>
                <w:highlight w:val="none"/>
                <w:shd w:val="clear" w:fill="FFFF00"/>
                <w:lang w:val="zh-CN"/>
              </w:rPr>
            </w:pPr>
            <w:r>
              <w:rPr>
                <w:rFonts w:hint="eastAsia" w:ascii="仿宋" w:hAnsi="仿宋" w:eastAsia="仿宋" w:cs="仿宋"/>
                <w:color w:val="auto"/>
                <w:sz w:val="24"/>
                <w:szCs w:val="24"/>
                <w:highlight w:val="none"/>
                <w:lang w:val="zh-CN"/>
              </w:rPr>
              <w:t>响应文件提交截止时间：</w:t>
            </w:r>
            <w:r>
              <w:rPr>
                <w:rFonts w:hint="eastAsia" w:ascii="仿宋" w:hAnsi="仿宋" w:eastAsia="仿宋" w:cs="仿宋"/>
                <w:color w:val="auto"/>
                <w:sz w:val="24"/>
                <w:szCs w:val="24"/>
                <w:highlight w:val="none"/>
                <w:shd w:val="clear"/>
                <w:lang w:eastAsia="zh-CN"/>
              </w:rPr>
              <w:t>2023年</w:t>
            </w:r>
            <w:r>
              <w:rPr>
                <w:rFonts w:hint="eastAsia" w:ascii="仿宋" w:hAnsi="仿宋" w:eastAsia="仿宋" w:cs="仿宋"/>
                <w:color w:val="auto"/>
                <w:sz w:val="24"/>
                <w:szCs w:val="24"/>
                <w:highlight w:val="none"/>
                <w:shd w:val="clear"/>
                <w:lang w:val="en-US" w:eastAsia="zh-CN"/>
              </w:rPr>
              <w:t>12</w:t>
            </w:r>
            <w:r>
              <w:rPr>
                <w:rFonts w:hint="eastAsia" w:ascii="仿宋" w:hAnsi="仿宋" w:eastAsia="仿宋" w:cs="仿宋"/>
                <w:color w:val="auto"/>
                <w:sz w:val="24"/>
                <w:szCs w:val="24"/>
                <w:highlight w:val="none"/>
                <w:shd w:val="clear"/>
                <w:lang w:eastAsia="zh-CN"/>
              </w:rPr>
              <w:t>月</w:t>
            </w:r>
            <w:r>
              <w:rPr>
                <w:rFonts w:hint="eastAsia" w:ascii="仿宋" w:hAnsi="仿宋" w:eastAsia="仿宋" w:cs="仿宋"/>
                <w:color w:val="auto"/>
                <w:sz w:val="24"/>
                <w:szCs w:val="24"/>
                <w:highlight w:val="none"/>
                <w:shd w:val="clear"/>
                <w:lang w:val="en-US" w:eastAsia="zh-CN"/>
              </w:rPr>
              <w:t>18</w:t>
            </w:r>
            <w:r>
              <w:rPr>
                <w:rFonts w:hint="eastAsia" w:ascii="仿宋" w:hAnsi="仿宋" w:eastAsia="仿宋" w:cs="仿宋"/>
                <w:color w:val="auto"/>
                <w:sz w:val="24"/>
                <w:szCs w:val="24"/>
                <w:highlight w:val="none"/>
                <w:shd w:val="clear"/>
                <w:lang w:eastAsia="zh-CN"/>
              </w:rPr>
              <w:t>日</w:t>
            </w:r>
            <w:r>
              <w:rPr>
                <w:rFonts w:hint="eastAsia" w:ascii="仿宋" w:hAnsi="仿宋" w:eastAsia="仿宋" w:cs="仿宋"/>
                <w:color w:val="auto"/>
                <w:sz w:val="24"/>
                <w:szCs w:val="24"/>
                <w:highlight w:val="none"/>
                <w:shd w:val="clear"/>
                <w:lang w:val="en-US" w:eastAsia="zh-CN"/>
              </w:rPr>
              <w:t>09</w:t>
            </w:r>
            <w:r>
              <w:rPr>
                <w:rFonts w:hint="eastAsia" w:ascii="仿宋" w:hAnsi="仿宋" w:eastAsia="仿宋" w:cs="仿宋"/>
                <w:color w:val="auto"/>
                <w:sz w:val="24"/>
                <w:szCs w:val="24"/>
                <w:highlight w:val="none"/>
                <w:shd w:val="clear"/>
                <w:lang w:eastAsia="zh-CN"/>
              </w:rPr>
              <w:t>时</w:t>
            </w:r>
            <w:r>
              <w:rPr>
                <w:rFonts w:hint="eastAsia" w:ascii="仿宋" w:hAnsi="仿宋" w:eastAsia="仿宋" w:cs="仿宋"/>
                <w:color w:val="auto"/>
                <w:sz w:val="24"/>
                <w:szCs w:val="24"/>
                <w:highlight w:val="none"/>
                <w:shd w:val="clear"/>
                <w:lang w:val="en-US" w:eastAsia="zh-CN"/>
              </w:rPr>
              <w:t>00</w:t>
            </w:r>
            <w:r>
              <w:rPr>
                <w:rFonts w:hint="eastAsia" w:ascii="仿宋" w:hAnsi="仿宋" w:eastAsia="仿宋" w:cs="仿宋"/>
                <w:color w:val="auto"/>
                <w:sz w:val="24"/>
                <w:szCs w:val="24"/>
                <w:highlight w:val="none"/>
                <w:shd w:val="clear"/>
                <w:lang w:eastAsia="zh-CN"/>
              </w:rPr>
              <w:t>分（北京时间）</w:t>
            </w:r>
          </w:p>
          <w:p>
            <w:pPr>
              <w:keepNext w:val="0"/>
              <w:keepLines w:val="0"/>
              <w:pageBreakBefore w:val="0"/>
              <w:overflowPunct/>
              <w:topLinePunct w:val="0"/>
              <w:bidi w:val="0"/>
              <w:adjustRightInd/>
              <w:spacing w:line="360" w:lineRule="auto"/>
              <w:jc w:val="both"/>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开标时间：</w:t>
            </w:r>
            <w:r>
              <w:rPr>
                <w:rFonts w:hint="eastAsia" w:ascii="仿宋" w:hAnsi="仿宋" w:eastAsia="仿宋" w:cs="仿宋"/>
                <w:color w:val="auto"/>
                <w:sz w:val="24"/>
                <w:szCs w:val="24"/>
                <w:highlight w:val="none"/>
                <w:shd w:val="clear"/>
                <w:lang w:eastAsia="zh-CN"/>
              </w:rPr>
              <w:t>2023年</w:t>
            </w:r>
            <w:r>
              <w:rPr>
                <w:rFonts w:hint="eastAsia" w:ascii="仿宋" w:hAnsi="仿宋" w:eastAsia="仿宋" w:cs="仿宋"/>
                <w:color w:val="auto"/>
                <w:sz w:val="24"/>
                <w:szCs w:val="24"/>
                <w:highlight w:val="none"/>
                <w:shd w:val="clear"/>
                <w:lang w:val="en-US" w:eastAsia="zh-CN"/>
              </w:rPr>
              <w:t>12</w:t>
            </w:r>
            <w:r>
              <w:rPr>
                <w:rFonts w:hint="eastAsia" w:ascii="仿宋" w:hAnsi="仿宋" w:eastAsia="仿宋" w:cs="仿宋"/>
                <w:color w:val="auto"/>
                <w:sz w:val="24"/>
                <w:szCs w:val="24"/>
                <w:highlight w:val="none"/>
                <w:shd w:val="clear"/>
                <w:lang w:eastAsia="zh-CN"/>
              </w:rPr>
              <w:t>月</w:t>
            </w:r>
            <w:r>
              <w:rPr>
                <w:rFonts w:hint="eastAsia" w:ascii="仿宋" w:hAnsi="仿宋" w:eastAsia="仿宋" w:cs="仿宋"/>
                <w:color w:val="auto"/>
                <w:sz w:val="24"/>
                <w:szCs w:val="24"/>
                <w:highlight w:val="none"/>
                <w:shd w:val="clear"/>
                <w:lang w:val="en-US" w:eastAsia="zh-CN"/>
              </w:rPr>
              <w:t>18</w:t>
            </w:r>
            <w:r>
              <w:rPr>
                <w:rFonts w:hint="eastAsia" w:ascii="仿宋" w:hAnsi="仿宋" w:eastAsia="仿宋" w:cs="仿宋"/>
                <w:color w:val="auto"/>
                <w:sz w:val="24"/>
                <w:szCs w:val="24"/>
                <w:highlight w:val="none"/>
                <w:shd w:val="clear"/>
                <w:lang w:eastAsia="zh-CN"/>
              </w:rPr>
              <w:t>日</w:t>
            </w:r>
            <w:r>
              <w:rPr>
                <w:rFonts w:hint="eastAsia" w:ascii="仿宋" w:hAnsi="仿宋" w:eastAsia="仿宋" w:cs="仿宋"/>
                <w:color w:val="auto"/>
                <w:sz w:val="24"/>
                <w:szCs w:val="24"/>
                <w:highlight w:val="none"/>
                <w:shd w:val="clear"/>
                <w:lang w:val="en-US" w:eastAsia="zh-CN"/>
              </w:rPr>
              <w:t>09</w:t>
            </w:r>
            <w:r>
              <w:rPr>
                <w:rFonts w:hint="eastAsia" w:ascii="仿宋" w:hAnsi="仿宋" w:eastAsia="仿宋" w:cs="仿宋"/>
                <w:color w:val="auto"/>
                <w:sz w:val="24"/>
                <w:szCs w:val="24"/>
                <w:highlight w:val="none"/>
                <w:shd w:val="clear"/>
                <w:lang w:eastAsia="zh-CN"/>
              </w:rPr>
              <w:t>时</w:t>
            </w:r>
            <w:r>
              <w:rPr>
                <w:rFonts w:hint="eastAsia" w:ascii="仿宋" w:hAnsi="仿宋" w:eastAsia="仿宋" w:cs="仿宋"/>
                <w:color w:val="auto"/>
                <w:sz w:val="24"/>
                <w:szCs w:val="24"/>
                <w:highlight w:val="none"/>
                <w:shd w:val="clear"/>
                <w:lang w:val="en-US" w:eastAsia="zh-CN"/>
              </w:rPr>
              <w:t>00</w:t>
            </w:r>
            <w:r>
              <w:rPr>
                <w:rFonts w:hint="eastAsia" w:ascii="仿宋" w:hAnsi="仿宋" w:eastAsia="仿宋" w:cs="仿宋"/>
                <w:color w:val="auto"/>
                <w:sz w:val="24"/>
                <w:szCs w:val="24"/>
                <w:highlight w:val="none"/>
                <w:shd w:val="clear"/>
                <w:lang w:eastAsia="zh-CN"/>
              </w:rPr>
              <w:t>分（北京时间）</w:t>
            </w:r>
          </w:p>
          <w:p>
            <w:pPr>
              <w:keepNext w:val="0"/>
              <w:keepLines w:val="0"/>
              <w:pageBreakBefore w:val="0"/>
              <w:overflowPunct/>
              <w:topLinePunct w:val="0"/>
              <w:bidi w:val="0"/>
              <w:adjustRightInd/>
              <w:spacing w:line="360" w:lineRule="auto"/>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开标地点：</w:t>
            </w:r>
            <w:r>
              <w:rPr>
                <w:rFonts w:hint="eastAsia" w:ascii="仿宋" w:hAnsi="仿宋" w:eastAsia="仿宋" w:cs="仿宋"/>
                <w:color w:val="auto"/>
                <w:sz w:val="24"/>
                <w:szCs w:val="24"/>
                <w:highlight w:val="none"/>
                <w:lang w:val="zh-CN" w:eastAsia="zh-CN"/>
              </w:rPr>
              <w:t>榆林市榆阳区肤施路南段环馨路5号金轩楼2楼201室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21</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投标有效期</w:t>
            </w:r>
          </w:p>
        </w:tc>
        <w:tc>
          <w:tcPr>
            <w:tcW w:w="7109" w:type="dxa"/>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自提交竞争性磋商响应文件的截止之日起</w:t>
            </w:r>
            <w:r>
              <w:rPr>
                <w:rFonts w:hint="eastAsia" w:ascii="仿宋" w:hAnsi="仿宋" w:eastAsia="仿宋" w:cs="仿宋"/>
                <w:color w:val="auto"/>
                <w:sz w:val="24"/>
                <w:szCs w:val="24"/>
                <w:highlight w:val="none"/>
                <w:lang w:val="en-US" w:eastAsia="zh-CN"/>
              </w:rPr>
              <w:t>90</w:t>
            </w:r>
            <w:r>
              <w:rPr>
                <w:rFonts w:hint="eastAsia" w:ascii="仿宋" w:hAnsi="仿宋" w:eastAsia="仿宋" w:cs="仿宋"/>
                <w:color w:val="auto"/>
                <w:sz w:val="24"/>
                <w:szCs w:val="24"/>
                <w:highlight w:val="none"/>
                <w:lang w:val="zh-CN"/>
              </w:rPr>
              <w:t>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22</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投标</w:t>
            </w:r>
            <w:r>
              <w:rPr>
                <w:rFonts w:hint="eastAsia" w:ascii="仿宋" w:hAnsi="仿宋" w:eastAsia="仿宋" w:cs="仿宋"/>
                <w:color w:val="auto"/>
                <w:sz w:val="24"/>
                <w:szCs w:val="24"/>
                <w:highlight w:val="none"/>
                <w:lang w:val="en-US" w:eastAsia="zh-CN"/>
              </w:rPr>
              <w:t>保证金</w:t>
            </w:r>
          </w:p>
        </w:tc>
        <w:tc>
          <w:tcPr>
            <w:tcW w:w="7109" w:type="dxa"/>
            <w:vAlign w:val="top"/>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b w:val="0"/>
                <w:bCs w:val="0"/>
                <w:color w:val="auto"/>
                <w:sz w:val="24"/>
                <w:szCs w:val="24"/>
                <w:highlight w:val="none"/>
                <w:lang w:val="en-US" w:eastAsia="zh-CN"/>
              </w:rPr>
              <w:t>本项目</w:t>
            </w:r>
            <w:r>
              <w:rPr>
                <w:rFonts w:hint="eastAsia" w:ascii="仿宋" w:hAnsi="仿宋" w:eastAsia="仿宋" w:cs="仿宋"/>
                <w:b w:val="0"/>
                <w:bCs w:val="0"/>
                <w:color w:val="auto"/>
                <w:sz w:val="24"/>
                <w:szCs w:val="24"/>
                <w:highlight w:val="none"/>
                <w:lang w:val="zh-CN"/>
              </w:rPr>
              <w:t>磋商保证金由</w:t>
            </w:r>
            <w:r>
              <w:rPr>
                <w:rFonts w:hint="eastAsia" w:ascii="仿宋" w:hAnsi="仿宋" w:eastAsia="仿宋" w:cs="仿宋"/>
                <w:b w:val="0"/>
                <w:bCs w:val="0"/>
                <w:color w:val="auto"/>
                <w:sz w:val="24"/>
                <w:szCs w:val="24"/>
                <w:highlight w:val="none"/>
              </w:rPr>
              <w:t>投标信用承诺书（保证金）</w:t>
            </w:r>
            <w:r>
              <w:rPr>
                <w:rFonts w:hint="eastAsia" w:ascii="仿宋" w:hAnsi="仿宋" w:eastAsia="仿宋" w:cs="仿宋"/>
                <w:b w:val="0"/>
                <w:bCs w:val="0"/>
                <w:color w:val="auto"/>
                <w:sz w:val="24"/>
                <w:szCs w:val="24"/>
                <w:highlight w:val="none"/>
                <w:lang w:val="en-US" w:eastAsia="zh-CN"/>
              </w:rPr>
              <w:t>替代</w:t>
            </w:r>
            <w:r>
              <w:rPr>
                <w:rFonts w:hint="eastAsia" w:ascii="仿宋" w:hAnsi="仿宋" w:eastAsia="仿宋" w:cs="仿宋"/>
                <w:b w:val="0"/>
                <w:bCs w:val="0"/>
                <w:color w:val="auto"/>
                <w:sz w:val="24"/>
                <w:szCs w:val="24"/>
                <w:highlight w:val="none"/>
              </w:rPr>
              <w:t>（承诺书效力和作用等同投标保证金）</w:t>
            </w:r>
            <w:r>
              <w:rPr>
                <w:rFonts w:hint="eastAsia" w:ascii="仿宋" w:hAnsi="仿宋" w:eastAsia="仿宋" w:cs="仿宋"/>
                <w:b w:val="0"/>
                <w:bCs w:val="0"/>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val="zh-CN"/>
              </w:rPr>
              <w:t>身份核验</w:t>
            </w:r>
          </w:p>
        </w:tc>
        <w:tc>
          <w:tcPr>
            <w:tcW w:w="7109" w:type="dxa"/>
            <w:vAlign w:val="top"/>
          </w:tcPr>
          <w:p>
            <w:pPr>
              <w:keepNext w:val="0"/>
              <w:keepLines w:val="0"/>
              <w:pageBreakBefore w:val="0"/>
              <w:overflowPunct/>
              <w:topLinePunct w:val="0"/>
              <w:bidi w:val="0"/>
              <w:adjustRightInd/>
              <w:spacing w:line="360" w:lineRule="auto"/>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磋商会议现场，由采购人对供应商代表进行身份核验。</w:t>
            </w:r>
          </w:p>
          <w:p>
            <w:pPr>
              <w:keepNext w:val="0"/>
              <w:keepLines w:val="0"/>
              <w:pageBreakBefore w:val="0"/>
              <w:overflowPunct/>
              <w:topLinePunct w:val="0"/>
              <w:bidi w:val="0"/>
              <w:adjustRightInd/>
              <w:spacing w:line="360" w:lineRule="auto"/>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（1）法定代表人到场的须手持法定代表人身份证明及法定代表身份证原件及营业执照复印件加盖公章；</w:t>
            </w:r>
          </w:p>
          <w:p>
            <w:pPr>
              <w:keepNext w:val="0"/>
              <w:keepLines w:val="0"/>
              <w:pageBreakBefore w:val="0"/>
              <w:overflowPunct/>
              <w:topLinePunct w:val="0"/>
              <w:bidi w:val="0"/>
              <w:adjustRightInd/>
              <w:spacing w:line="360" w:lineRule="auto"/>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（2）授权代表到场的须手持法定代表人授权书及其身份证原件；</w:t>
            </w:r>
          </w:p>
          <w:p>
            <w:pPr>
              <w:keepNext w:val="0"/>
              <w:keepLines w:val="0"/>
              <w:pageBreakBefore w:val="0"/>
              <w:overflowPunct/>
              <w:topLinePunct w:val="0"/>
              <w:bidi w:val="0"/>
              <w:adjustRightInd/>
              <w:spacing w:line="360" w:lineRule="auto"/>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未按照以上要求提供有效资料的，身份查验不合格按无效投标处理。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代理费汇款账户</w:t>
            </w:r>
          </w:p>
        </w:tc>
        <w:tc>
          <w:tcPr>
            <w:tcW w:w="7109" w:type="dxa"/>
          </w:tcPr>
          <w:p>
            <w:pPr>
              <w:widowControl/>
              <w:tabs>
                <w:tab w:val="left" w:pos="180"/>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招标代理服务费：</w:t>
            </w:r>
          </w:p>
          <w:p>
            <w:pPr>
              <w:widowControl/>
              <w:tabs>
                <w:tab w:val="left" w:pos="180"/>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采购代理机构将项目备案资料交接于采购单位后</w:t>
            </w:r>
            <w:r>
              <w:rPr>
                <w:rFonts w:hint="eastAsia" w:ascii="仿宋" w:hAnsi="仿宋" w:eastAsia="仿宋" w:cs="仿宋"/>
                <w:color w:val="auto"/>
                <w:sz w:val="24"/>
                <w:szCs w:val="24"/>
                <w:highlight w:val="none"/>
                <w:shd w:val="clear"/>
              </w:rPr>
              <w:t>，</w:t>
            </w:r>
            <w:r>
              <w:rPr>
                <w:rFonts w:hint="eastAsia" w:ascii="仿宋" w:hAnsi="仿宋" w:eastAsia="仿宋" w:cs="仿宋"/>
                <w:color w:val="auto"/>
                <w:sz w:val="24"/>
                <w:szCs w:val="24"/>
                <w:highlight w:val="none"/>
                <w:shd w:val="clear"/>
                <w:lang w:val="en-US" w:eastAsia="zh-CN"/>
              </w:rPr>
              <w:t>供应商</w:t>
            </w:r>
            <w:r>
              <w:rPr>
                <w:rFonts w:hint="eastAsia" w:ascii="仿宋" w:hAnsi="仿宋" w:eastAsia="仿宋" w:cs="仿宋"/>
                <w:color w:val="auto"/>
                <w:sz w:val="24"/>
                <w:szCs w:val="24"/>
                <w:highlight w:val="none"/>
              </w:rPr>
              <w:t>向采购代理机构支付成交服务费。</w:t>
            </w:r>
          </w:p>
          <w:p>
            <w:pPr>
              <w:widowControl/>
              <w:tabs>
                <w:tab w:val="left" w:pos="180"/>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成交服务费：参照国家收费标准（国家计委计价格[2002]1980号）</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类收取。</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招标代理服务收费标准(费率)</w:t>
            </w:r>
          </w:p>
          <w:tbl>
            <w:tblPr>
              <w:tblStyle w:val="27"/>
              <w:tblW w:w="6898" w:type="dxa"/>
              <w:jc w:val="center"/>
              <w:tblCellSpacing w:w="0" w:type="dxa"/>
              <w:tblLayout w:type="fixed"/>
              <w:tblCellMar>
                <w:top w:w="0" w:type="dxa"/>
                <w:left w:w="0" w:type="dxa"/>
                <w:bottom w:w="0" w:type="dxa"/>
                <w:right w:w="0" w:type="dxa"/>
              </w:tblCellMar>
            </w:tblPr>
            <w:tblGrid>
              <w:gridCol w:w="1897"/>
              <w:gridCol w:w="1857"/>
              <w:gridCol w:w="1576"/>
              <w:gridCol w:w="1568"/>
            </w:tblGrid>
            <w:tr>
              <w:tblPrEx>
                <w:tblCellMar>
                  <w:top w:w="0" w:type="dxa"/>
                  <w:left w:w="0" w:type="dxa"/>
                  <w:bottom w:w="0" w:type="dxa"/>
                  <w:right w:w="0" w:type="dxa"/>
                </w:tblCellMar>
              </w:tblPrEx>
              <w:trPr>
                <w:trHeight w:val="496" w:hRule="atLeast"/>
                <w:tblCellSpacing w:w="0" w:type="dxa"/>
                <w:jc w:val="center"/>
              </w:trPr>
              <w:tc>
                <w:tcPr>
                  <w:tcW w:w="1897" w:type="dxa"/>
                  <w:tcBorders>
                    <w:top w:val="single" w:color="auto" w:sz="4" w:space="0"/>
                    <w:left w:val="single" w:color="auto" w:sz="0"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中标金额（万元）</w:t>
                  </w:r>
                </w:p>
              </w:tc>
              <w:tc>
                <w:tcPr>
                  <w:tcW w:w="1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货物招标</w:t>
                  </w:r>
                </w:p>
              </w:tc>
              <w:tc>
                <w:tcPr>
                  <w:tcW w:w="15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服务招标</w:t>
                  </w:r>
                </w:p>
              </w:tc>
              <w:tc>
                <w:tcPr>
                  <w:tcW w:w="15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工程招标</w:t>
                  </w:r>
                </w:p>
              </w:tc>
            </w:tr>
            <w:tr>
              <w:tblPrEx>
                <w:tblCellMar>
                  <w:top w:w="0" w:type="dxa"/>
                  <w:left w:w="0" w:type="dxa"/>
                  <w:bottom w:w="0" w:type="dxa"/>
                  <w:right w:w="0" w:type="dxa"/>
                </w:tblCellMar>
              </w:tblPrEx>
              <w:trPr>
                <w:trHeight w:val="496" w:hRule="atLeast"/>
                <w:tblCellSpacing w:w="0" w:type="dxa"/>
                <w:jc w:val="center"/>
              </w:trPr>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100以下</w:t>
                  </w:r>
                </w:p>
              </w:tc>
              <w:tc>
                <w:tcPr>
                  <w:tcW w:w="1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5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5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r>
            <w:tr>
              <w:tblPrEx>
                <w:tblCellMar>
                  <w:top w:w="0" w:type="dxa"/>
                  <w:left w:w="0" w:type="dxa"/>
                  <w:bottom w:w="0" w:type="dxa"/>
                  <w:right w:w="0" w:type="dxa"/>
                </w:tblCellMar>
              </w:tblPrEx>
              <w:trPr>
                <w:trHeight w:val="496" w:hRule="atLeast"/>
                <w:tblCellSpacing w:w="0" w:type="dxa"/>
                <w:jc w:val="center"/>
              </w:trPr>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100—500</w:t>
                  </w:r>
                </w:p>
              </w:tc>
              <w:tc>
                <w:tcPr>
                  <w:tcW w:w="1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15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0.8％</w:t>
                  </w:r>
                </w:p>
              </w:tc>
              <w:tc>
                <w:tcPr>
                  <w:tcW w:w="15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0.7%</w:t>
                  </w:r>
                </w:p>
              </w:tc>
            </w:tr>
            <w:tr>
              <w:tblPrEx>
                <w:tblCellMar>
                  <w:top w:w="0" w:type="dxa"/>
                  <w:left w:w="0" w:type="dxa"/>
                  <w:bottom w:w="0" w:type="dxa"/>
                  <w:right w:w="0" w:type="dxa"/>
                </w:tblCellMar>
              </w:tblPrEx>
              <w:trPr>
                <w:trHeight w:val="496" w:hRule="atLeast"/>
                <w:tblCellSpacing w:w="0" w:type="dxa"/>
                <w:jc w:val="center"/>
              </w:trPr>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500—1000</w:t>
                  </w:r>
                </w:p>
              </w:tc>
              <w:tc>
                <w:tcPr>
                  <w:tcW w:w="1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0.8％</w:t>
                  </w:r>
                </w:p>
              </w:tc>
              <w:tc>
                <w:tcPr>
                  <w:tcW w:w="15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0.45％</w:t>
                  </w:r>
                </w:p>
              </w:tc>
              <w:tc>
                <w:tcPr>
                  <w:tcW w:w="15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0.55%</w:t>
                  </w:r>
                </w:p>
              </w:tc>
            </w:tr>
            <w:tr>
              <w:tblPrEx>
                <w:tblCellMar>
                  <w:top w:w="0" w:type="dxa"/>
                  <w:left w:w="0" w:type="dxa"/>
                  <w:bottom w:w="0" w:type="dxa"/>
                  <w:right w:w="0" w:type="dxa"/>
                </w:tblCellMar>
              </w:tblPrEx>
              <w:trPr>
                <w:trHeight w:val="496" w:hRule="atLeast"/>
                <w:tblCellSpacing w:w="0" w:type="dxa"/>
                <w:jc w:val="center"/>
              </w:trPr>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1000—5000</w:t>
                  </w:r>
                </w:p>
              </w:tc>
              <w:tc>
                <w:tcPr>
                  <w:tcW w:w="1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0.5％</w:t>
                  </w:r>
                </w:p>
              </w:tc>
              <w:tc>
                <w:tcPr>
                  <w:tcW w:w="15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0.25％</w:t>
                  </w:r>
                </w:p>
              </w:tc>
              <w:tc>
                <w:tcPr>
                  <w:tcW w:w="15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0.35%</w:t>
                  </w:r>
                </w:p>
              </w:tc>
            </w:tr>
          </w:tbl>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账户名称：亿诚建设项目管理有限公司榆林分公司</w:t>
            </w:r>
          </w:p>
          <w:p>
            <w:pPr>
              <w:keepNext w:val="0"/>
              <w:keepLines w:val="0"/>
              <w:pageBreakBefore w:val="0"/>
              <w:overflowPunct/>
              <w:topLinePunct w:val="0"/>
              <w:bidi w:val="0"/>
              <w:adjustRightInd/>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税</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号：91610802MA70GHEJ86</w:t>
            </w:r>
          </w:p>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开 户 行：兴业银行股份有限公司榆林分行</w:t>
            </w:r>
          </w:p>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帐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号：4569</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5010</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0100</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2503</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备选投标方案</w:t>
            </w:r>
          </w:p>
        </w:tc>
        <w:tc>
          <w:tcPr>
            <w:tcW w:w="7109" w:type="dxa"/>
            <w:vAlign w:val="center"/>
          </w:tcPr>
          <w:p>
            <w:pPr>
              <w:keepNext w:val="0"/>
              <w:keepLines w:val="0"/>
              <w:pageBreakBefore w:val="0"/>
              <w:overflowPunct/>
              <w:topLinePunct w:val="0"/>
              <w:bidi w:val="0"/>
              <w:adjustRightInd/>
              <w:spacing w:line="360" w:lineRule="auto"/>
              <w:jc w:val="both"/>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不接受备选投标方案。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6</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盖章签字</w:t>
            </w:r>
          </w:p>
        </w:tc>
        <w:tc>
          <w:tcPr>
            <w:tcW w:w="7109" w:type="dxa"/>
            <w:vAlign w:val="center"/>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供应商必须按照竞争性磋商文件的规定和要求</w:t>
            </w:r>
            <w:bookmarkStart w:id="48" w:name="OLE_LINK5"/>
            <w:r>
              <w:rPr>
                <w:rFonts w:hint="eastAsia" w:ascii="仿宋" w:hAnsi="仿宋" w:eastAsia="仿宋" w:cs="仿宋"/>
                <w:color w:val="auto"/>
                <w:sz w:val="24"/>
                <w:szCs w:val="24"/>
                <w:highlight w:val="none"/>
                <w:lang w:val="zh-CN"/>
              </w:rPr>
              <w:t>由法定代表人</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lang w:val="zh-CN"/>
              </w:rPr>
              <w:t>被授权人签字（或盖章）。</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7</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响应文件数量、装订</w:t>
            </w:r>
          </w:p>
        </w:tc>
        <w:tc>
          <w:tcPr>
            <w:tcW w:w="7109" w:type="dxa"/>
            <w:vAlign w:val="center"/>
          </w:tcPr>
          <w:p>
            <w:pPr>
              <w:spacing w:line="360" w:lineRule="auto"/>
              <w:jc w:val="left"/>
              <w:rPr>
                <w:rFonts w:hint="eastAsia" w:ascii="仿宋" w:hAnsi="仿宋" w:eastAsia="仿宋" w:cs="仿宋"/>
                <w:b/>
                <w:bCs/>
                <w:color w:val="auto"/>
                <w:spacing w:val="4"/>
                <w:sz w:val="24"/>
                <w:szCs w:val="24"/>
                <w:highlight w:val="none"/>
                <w:lang w:val="zh-CN"/>
              </w:rPr>
            </w:pPr>
            <w:r>
              <w:rPr>
                <w:rFonts w:hint="eastAsia" w:ascii="仿宋" w:hAnsi="仿宋" w:eastAsia="仿宋" w:cs="仿宋"/>
                <w:b/>
                <w:bCs/>
                <w:color w:val="auto"/>
                <w:spacing w:val="4"/>
                <w:sz w:val="24"/>
                <w:szCs w:val="24"/>
                <w:highlight w:val="none"/>
                <w:lang w:val="en-US" w:eastAsia="zh-CN"/>
              </w:rPr>
              <w:t>投标</w:t>
            </w:r>
            <w:r>
              <w:rPr>
                <w:rFonts w:hint="eastAsia" w:ascii="仿宋" w:hAnsi="仿宋" w:eastAsia="仿宋" w:cs="仿宋"/>
                <w:b/>
                <w:bCs/>
                <w:color w:val="auto"/>
                <w:spacing w:val="4"/>
                <w:sz w:val="24"/>
                <w:szCs w:val="24"/>
                <w:highlight w:val="none"/>
                <w:lang w:val="zh-CN"/>
              </w:rPr>
              <w:t>文件</w:t>
            </w:r>
            <w:r>
              <w:rPr>
                <w:rFonts w:hint="eastAsia" w:ascii="仿宋" w:hAnsi="仿宋" w:eastAsia="仿宋" w:cs="仿宋"/>
                <w:b/>
                <w:bCs/>
                <w:color w:val="auto"/>
                <w:spacing w:val="4"/>
                <w:sz w:val="24"/>
                <w:szCs w:val="24"/>
                <w:highlight w:val="none"/>
                <w:lang w:val="en-US" w:eastAsia="zh-CN"/>
              </w:rPr>
              <w:t>纸质版</w:t>
            </w:r>
            <w:r>
              <w:rPr>
                <w:rFonts w:hint="eastAsia" w:ascii="仿宋" w:hAnsi="仿宋" w:eastAsia="仿宋" w:cs="仿宋"/>
                <w:b/>
                <w:bCs/>
                <w:color w:val="auto"/>
                <w:spacing w:val="4"/>
                <w:sz w:val="24"/>
                <w:szCs w:val="24"/>
                <w:highlight w:val="none"/>
                <w:lang w:val="zh-CN"/>
              </w:rPr>
              <w:t>：</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正本的份数：壹份；副本的份数：</w:t>
            </w:r>
            <w:r>
              <w:rPr>
                <w:rFonts w:hint="eastAsia" w:ascii="仿宋" w:hAnsi="仿宋" w:eastAsia="仿宋" w:cs="仿宋"/>
                <w:sz w:val="24"/>
                <w:szCs w:val="24"/>
                <w:highlight w:val="none"/>
                <w:lang w:val="en-US" w:eastAsia="zh-CN"/>
              </w:rPr>
              <w:t>叁</w:t>
            </w:r>
            <w:r>
              <w:rPr>
                <w:rFonts w:hint="eastAsia" w:ascii="仿宋" w:hAnsi="仿宋" w:eastAsia="仿宋" w:cs="仿宋"/>
                <w:sz w:val="24"/>
                <w:szCs w:val="24"/>
                <w:highlight w:val="none"/>
              </w:rPr>
              <w:t>份及一份电子版本（U盘，可编辑word版及</w:t>
            </w:r>
            <w:r>
              <w:rPr>
                <w:rFonts w:hint="eastAsia" w:ascii="仿宋" w:hAnsi="仿宋" w:eastAsia="仿宋" w:cs="仿宋"/>
                <w:sz w:val="24"/>
                <w:szCs w:val="24"/>
                <w:highlight w:val="none"/>
                <w:lang w:val="en-US" w:eastAsia="zh-CN"/>
              </w:rPr>
              <w:t>软件版生成不加密版投标文件</w:t>
            </w:r>
            <w:r>
              <w:rPr>
                <w:rFonts w:hint="eastAsia" w:ascii="仿宋" w:hAnsi="仿宋" w:eastAsia="仿宋" w:cs="仿宋"/>
                <w:sz w:val="24"/>
                <w:szCs w:val="24"/>
                <w:highlight w:val="none"/>
              </w:rPr>
              <w:t>PDF）。</w:t>
            </w:r>
          </w:p>
          <w:p>
            <w:pPr>
              <w:spacing w:line="36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纸质版</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响应文件装订要求：胶装。</w:t>
            </w:r>
            <w:r>
              <w:rPr>
                <w:rFonts w:hint="eastAsia" w:ascii="仿宋" w:hAnsi="仿宋" w:eastAsia="仿宋" w:cs="仿宋"/>
                <w:sz w:val="24"/>
                <w:szCs w:val="24"/>
                <w:highlight w:val="none"/>
                <w:lang w:eastAsia="zh-CN"/>
              </w:rPr>
              <w:t>正反面打印。</w:t>
            </w:r>
          </w:p>
          <w:p>
            <w:pPr>
              <w:spacing w:line="360" w:lineRule="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在开标截止时间前将一正</w:t>
            </w:r>
            <w:r>
              <w:rPr>
                <w:rFonts w:hint="eastAsia" w:ascii="仿宋" w:hAnsi="仿宋" w:eastAsia="仿宋" w:cs="仿宋"/>
                <w:sz w:val="24"/>
                <w:szCs w:val="24"/>
                <w:highlight w:val="none"/>
                <w:lang w:val="en-US" w:eastAsia="zh-CN"/>
              </w:rPr>
              <w:t>三</w:t>
            </w:r>
            <w:r>
              <w:rPr>
                <w:rFonts w:hint="eastAsia" w:ascii="仿宋" w:hAnsi="仿宋" w:eastAsia="仿宋" w:cs="仿宋"/>
                <w:sz w:val="24"/>
                <w:szCs w:val="24"/>
                <w:highlight w:val="none"/>
              </w:rPr>
              <w:t>副纸质及电子版投标文件送到代理公司指定地点</w:t>
            </w:r>
            <w:r>
              <w:rPr>
                <w:rFonts w:hint="eastAsia" w:ascii="仿宋" w:hAnsi="仿宋" w:eastAsia="仿宋" w:cs="仿宋"/>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8</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投标报价</w:t>
            </w:r>
          </w:p>
        </w:tc>
        <w:tc>
          <w:tcPr>
            <w:tcW w:w="7109" w:type="dxa"/>
            <w:vAlign w:val="center"/>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合同价即</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lang w:val="zh-CN"/>
              </w:rPr>
              <w:t>价，</w:t>
            </w:r>
            <w:r>
              <w:rPr>
                <w:rFonts w:hint="eastAsia" w:ascii="仿宋" w:hAnsi="仿宋" w:eastAsia="仿宋" w:cs="仿宋"/>
                <w:color w:val="auto"/>
                <w:sz w:val="24"/>
                <w:szCs w:val="24"/>
                <w:highlight w:val="none"/>
                <w:lang w:val="zh-CN" w:eastAsia="zh-CN"/>
              </w:rPr>
              <w:t>供应商</w:t>
            </w:r>
            <w:r>
              <w:rPr>
                <w:rFonts w:hint="eastAsia" w:ascii="仿宋" w:hAnsi="仿宋" w:eastAsia="仿宋" w:cs="仿宋"/>
                <w:color w:val="auto"/>
                <w:sz w:val="24"/>
                <w:szCs w:val="24"/>
                <w:highlight w:val="none"/>
                <w:lang w:val="zh-CN"/>
              </w:rPr>
              <w:t>应在投标报价表中标明完成本次招标所要求的服务、验收合格的所有费用，包括</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lang w:val="zh-CN" w:eastAsia="zh-CN"/>
              </w:rPr>
              <w:t>费、</w:t>
            </w:r>
            <w:r>
              <w:rPr>
                <w:rFonts w:hint="eastAsia" w:ascii="仿宋" w:hAnsi="仿宋" w:eastAsia="仿宋" w:cs="仿宋"/>
                <w:color w:val="auto"/>
                <w:sz w:val="24"/>
                <w:szCs w:val="24"/>
                <w:highlight w:val="none"/>
                <w:lang w:val="en-US" w:eastAsia="zh-CN"/>
              </w:rPr>
              <w:t>税费</w:t>
            </w:r>
            <w:r>
              <w:rPr>
                <w:rFonts w:hint="eastAsia" w:ascii="仿宋" w:hAnsi="仿宋" w:eastAsia="仿宋" w:cs="仿宋"/>
                <w:color w:val="auto"/>
                <w:sz w:val="24"/>
                <w:szCs w:val="24"/>
                <w:highlight w:val="none"/>
                <w:lang w:val="zh-CN"/>
              </w:rPr>
              <w:t>等其他一切相关费用。投标报价表中标明本次服务的所有单项价格和总价，任何有选择的报价将不予接受，按无效投标处理。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9</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评标办法及标准</w:t>
            </w:r>
          </w:p>
        </w:tc>
        <w:tc>
          <w:tcPr>
            <w:tcW w:w="7109" w:type="dxa"/>
            <w:vAlign w:val="center"/>
          </w:tcPr>
          <w:p>
            <w:pPr>
              <w:pStyle w:val="56"/>
              <w:keepNext w:val="0"/>
              <w:keepLines w:val="0"/>
              <w:pageBreakBefore w:val="0"/>
              <w:overflowPunct/>
              <w:topLinePunct w:val="0"/>
              <w:bidi w:val="0"/>
              <w:adjustRightInd/>
              <w:spacing w:line="360" w:lineRule="auto"/>
              <w:rPr>
                <w:rFonts w:hint="eastAsia" w:ascii="仿宋" w:hAnsi="仿宋" w:eastAsia="仿宋" w:cs="仿宋"/>
                <w:color w:val="auto"/>
                <w:kern w:val="2"/>
                <w:sz w:val="24"/>
                <w:szCs w:val="24"/>
                <w:highlight w:val="none"/>
                <w:lang w:val="zh-CN"/>
              </w:rPr>
            </w:pPr>
            <w:r>
              <w:rPr>
                <w:rFonts w:hint="eastAsia" w:ascii="仿宋" w:hAnsi="仿宋" w:eastAsia="仿宋" w:cs="仿宋"/>
                <w:color w:val="auto"/>
                <w:kern w:val="2"/>
                <w:sz w:val="24"/>
                <w:szCs w:val="24"/>
                <w:highlight w:val="none"/>
                <w:lang w:val="zh-CN"/>
              </w:rPr>
              <w:t>详见第（</w:t>
            </w:r>
            <w:r>
              <w:rPr>
                <w:rFonts w:hint="eastAsia" w:ascii="仿宋" w:hAnsi="仿宋" w:eastAsia="仿宋" w:cs="仿宋"/>
                <w:color w:val="auto"/>
                <w:kern w:val="2"/>
                <w:sz w:val="24"/>
                <w:szCs w:val="24"/>
                <w:highlight w:val="none"/>
                <w:lang w:val="en-US" w:eastAsia="zh-CN"/>
              </w:rPr>
              <w:t>六</w:t>
            </w:r>
            <w:r>
              <w:rPr>
                <w:rFonts w:hint="eastAsia" w:ascii="仿宋" w:hAnsi="仿宋" w:eastAsia="仿宋" w:cs="仿宋"/>
                <w:color w:val="auto"/>
                <w:kern w:val="2"/>
                <w:sz w:val="24"/>
                <w:szCs w:val="24"/>
                <w:highlight w:val="none"/>
                <w:lang w:val="zh-CN"/>
              </w:rPr>
              <w:t>）</w:t>
            </w:r>
            <w:r>
              <w:rPr>
                <w:rFonts w:hint="eastAsia" w:ascii="仿宋" w:hAnsi="仿宋" w:eastAsia="仿宋" w:cs="仿宋"/>
                <w:color w:val="auto"/>
                <w:kern w:val="2"/>
                <w:sz w:val="24"/>
                <w:szCs w:val="24"/>
                <w:highlight w:val="none"/>
                <w:lang w:val="en-US" w:eastAsia="zh-CN"/>
              </w:rPr>
              <w:t>章</w:t>
            </w:r>
            <w:r>
              <w:rPr>
                <w:rFonts w:hint="eastAsia" w:ascii="仿宋" w:hAnsi="仿宋" w:eastAsia="仿宋" w:cs="仿宋"/>
                <w:color w:val="auto"/>
                <w:kern w:val="2"/>
                <w:sz w:val="24"/>
                <w:szCs w:val="24"/>
                <w:highlight w:val="none"/>
                <w:lang w:val="zh-CN"/>
              </w:rPr>
              <w:t>评分内容和评分方式。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30</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其它事项</w:t>
            </w:r>
          </w:p>
        </w:tc>
        <w:tc>
          <w:tcPr>
            <w:tcW w:w="7109" w:type="dxa"/>
            <w:vAlign w:val="center"/>
          </w:tcPr>
          <w:p>
            <w:pPr>
              <w:pStyle w:val="56"/>
              <w:keepNext w:val="0"/>
              <w:keepLines w:val="0"/>
              <w:pageBreakBefore w:val="0"/>
              <w:overflowPunct/>
              <w:topLinePunct w:val="0"/>
              <w:bidi w:val="0"/>
              <w:adjustRightInd/>
              <w:spacing w:line="360" w:lineRule="auto"/>
              <w:rPr>
                <w:rFonts w:hint="eastAsia" w:ascii="仿宋" w:hAnsi="仿宋" w:eastAsia="仿宋" w:cs="仿宋"/>
                <w:color w:val="auto"/>
                <w:kern w:val="2"/>
                <w:sz w:val="24"/>
                <w:szCs w:val="24"/>
                <w:highlight w:val="none"/>
                <w:lang w:val="zh-CN"/>
              </w:rPr>
            </w:pPr>
            <w:r>
              <w:rPr>
                <w:rFonts w:hint="eastAsia" w:ascii="仿宋" w:hAnsi="仿宋" w:eastAsia="仿宋" w:cs="仿宋"/>
                <w:color w:val="auto"/>
                <w:kern w:val="2"/>
                <w:sz w:val="24"/>
                <w:szCs w:val="24"/>
                <w:highlight w:val="none"/>
                <w:lang w:val="zh-CN"/>
              </w:rPr>
              <w:t>1、本次采购、投标报价、评审和合同授予均以项目为单位，投标供应商必须就一个完整项目进行响应。</w:t>
            </w:r>
            <w:r>
              <w:rPr>
                <w:rFonts w:hint="eastAsia" w:ascii="仿宋" w:hAnsi="仿宋" w:eastAsia="仿宋" w:cs="仿宋"/>
                <w:b/>
                <w:bCs/>
                <w:color w:val="auto"/>
                <w:kern w:val="2"/>
                <w:sz w:val="24"/>
                <w:szCs w:val="24"/>
                <w:highlight w:val="none"/>
                <w:lang w:val="zh-CN"/>
              </w:rPr>
              <w:t>成交供应商与采购人在成交通知书发出</w:t>
            </w:r>
            <w:r>
              <w:rPr>
                <w:rFonts w:hint="eastAsia" w:ascii="仿宋" w:hAnsi="仿宋" w:eastAsia="仿宋" w:cs="仿宋"/>
                <w:b/>
                <w:bCs/>
                <w:color w:val="auto"/>
                <w:kern w:val="2"/>
                <w:sz w:val="24"/>
                <w:szCs w:val="24"/>
                <w:highlight w:val="none"/>
                <w:lang w:val="en-US" w:eastAsia="zh-CN"/>
              </w:rPr>
              <w:t>10日</w:t>
            </w:r>
            <w:r>
              <w:rPr>
                <w:rFonts w:hint="eastAsia" w:ascii="仿宋" w:hAnsi="仿宋" w:eastAsia="仿宋" w:cs="仿宋"/>
                <w:b/>
                <w:bCs/>
                <w:color w:val="auto"/>
                <w:kern w:val="2"/>
                <w:sz w:val="24"/>
                <w:szCs w:val="24"/>
                <w:highlight w:val="none"/>
                <w:lang w:val="zh-CN"/>
              </w:rPr>
              <w:t>内签订合同</w:t>
            </w:r>
            <w:r>
              <w:rPr>
                <w:rFonts w:hint="eastAsia" w:ascii="仿宋" w:hAnsi="仿宋" w:eastAsia="仿宋" w:cs="仿宋"/>
                <w:color w:val="auto"/>
                <w:kern w:val="2"/>
                <w:sz w:val="24"/>
                <w:szCs w:val="24"/>
                <w:highlight w:val="none"/>
                <w:lang w:val="zh-CN"/>
              </w:rPr>
              <w:t>，不及时签订视为自动放弃。非经采购人同意，本项目不允许成交后另行转包或者分包。成交人无正当理由不得放弃成交。因自身原因拒绝签订政府采购合同的或者未按合同约定进行履约的，成交人不得参加对该项目重新开展的招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w:t>
            </w:r>
          </w:p>
        </w:tc>
        <w:tc>
          <w:tcPr>
            <w:tcW w:w="2082"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同义</w:t>
            </w:r>
          </w:p>
          <w:p>
            <w:pPr>
              <w:keepNext w:val="0"/>
              <w:keepLines w:val="0"/>
              <w:pageBreakBefore w:val="0"/>
              <w:overflowPunct/>
              <w:topLinePunct w:val="0"/>
              <w:bidi w:val="0"/>
              <w:adjustRightInd/>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词语</w:t>
            </w:r>
          </w:p>
        </w:tc>
        <w:tc>
          <w:tcPr>
            <w:tcW w:w="7109" w:type="dxa"/>
            <w:vAlign w:val="center"/>
          </w:tcPr>
          <w:p>
            <w:pPr>
              <w:keepNext w:val="0"/>
              <w:keepLines w:val="0"/>
              <w:pageBreakBefore w:val="0"/>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构成竞争性磋商文件组成部分的各章节中出现的措辞“委托人”、“发包人“和“供应商”、“承包人”，在招标投标阶段应当分别按“采购人”和“供应商”进行理解。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32</w:t>
            </w:r>
          </w:p>
        </w:tc>
        <w:tc>
          <w:tcPr>
            <w:tcW w:w="2082" w:type="dxa"/>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政采贷政策要求</w:t>
            </w:r>
          </w:p>
        </w:tc>
        <w:tc>
          <w:tcPr>
            <w:tcW w:w="7109" w:type="dxa"/>
            <w:vAlign w:val="center"/>
          </w:tcPr>
          <w:p>
            <w:pPr>
              <w:keepNext w:val="0"/>
              <w:keepLines w:val="0"/>
              <w:pageBreakBefore w:val="0"/>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国办《关于促进中小企业健康发展的指导意见》、财政部</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工信部《政府采购促进中小企业发展</w:t>
            </w:r>
            <w:r>
              <w:rPr>
                <w:rFonts w:hint="eastAsia" w:ascii="仿宋" w:hAnsi="仿宋" w:eastAsia="仿宋" w:cs="仿宋"/>
                <w:color w:val="auto"/>
                <w:sz w:val="24"/>
                <w:szCs w:val="24"/>
                <w:highlight w:val="none"/>
                <w:lang w:val="en-US" w:eastAsia="zh-CN"/>
              </w:rPr>
              <w:t>管理</w:t>
            </w:r>
            <w:r>
              <w:rPr>
                <w:rFonts w:hint="eastAsia" w:ascii="仿宋" w:hAnsi="仿宋" w:eastAsia="仿宋" w:cs="仿宋"/>
                <w:color w:val="auto"/>
                <w:sz w:val="24"/>
                <w:szCs w:val="24"/>
                <w:highlight w:val="none"/>
              </w:rPr>
              <w:t>办法》（财库〔20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46</w:t>
            </w:r>
            <w:r>
              <w:rPr>
                <w:rFonts w:hint="eastAsia" w:ascii="仿宋" w:hAnsi="仿宋" w:eastAsia="仿宋" w:cs="仿宋"/>
                <w:color w:val="auto"/>
                <w:sz w:val="24"/>
                <w:szCs w:val="24"/>
                <w:highlight w:val="none"/>
              </w:rPr>
              <w:t>号）、《陕西省中小企业政府采购信用融资办法》（陕财办采〔2018〕23号）、《陕西省财政厅关于加快推进我省中小企业政府采购信用融资工作的通知》（陕财办采〔2020〕15号）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《陕西省财政厅中国人民银行西安分行关于深入推进政府采购信用融资业务</w:t>
            </w:r>
            <w:r>
              <w:rPr>
                <w:rFonts w:hint="default" w:ascii="仿宋" w:hAnsi="仿宋" w:eastAsia="仿宋" w:cs="仿宋"/>
                <w:color w:val="auto"/>
                <w:sz w:val="24"/>
                <w:szCs w:val="24"/>
                <w:highlight w:val="none"/>
                <w:lang w:val="en-US" w:eastAsia="zh-CN"/>
              </w:rPr>
              <w:t>的通知</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（陕财办采〔202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〕5号）等有关规定，按照</w:t>
            </w:r>
            <w:r>
              <w:rPr>
                <w:rFonts w:hint="eastAsia" w:ascii="仿宋" w:hAnsi="仿宋" w:eastAsia="仿宋" w:cs="仿宋"/>
                <w:color w:val="auto"/>
                <w:sz w:val="24"/>
                <w:szCs w:val="24"/>
                <w:highlight w:val="none"/>
                <w:lang w:val="en-US" w:eastAsia="zh-CN"/>
              </w:rPr>
              <w:t>政府</w:t>
            </w:r>
            <w:r>
              <w:rPr>
                <w:rFonts w:hint="eastAsia" w:ascii="仿宋" w:hAnsi="仿宋" w:eastAsia="仿宋" w:cs="仿宋"/>
                <w:color w:val="auto"/>
                <w:sz w:val="24"/>
                <w:szCs w:val="24"/>
                <w:highlight w:val="none"/>
              </w:rPr>
              <w:t>引导、</w:t>
            </w:r>
            <w:r>
              <w:rPr>
                <w:rFonts w:hint="eastAsia" w:ascii="仿宋" w:hAnsi="仿宋" w:eastAsia="仿宋" w:cs="仿宋"/>
                <w:color w:val="auto"/>
                <w:sz w:val="24"/>
                <w:szCs w:val="24"/>
                <w:highlight w:val="none"/>
                <w:lang w:val="en-US" w:eastAsia="zh-CN"/>
              </w:rPr>
              <w:t>市场运作、银企</w:t>
            </w:r>
            <w:r>
              <w:rPr>
                <w:rFonts w:hint="eastAsia" w:ascii="仿宋" w:hAnsi="仿宋" w:eastAsia="仿宋" w:cs="仿宋"/>
                <w:color w:val="auto"/>
                <w:sz w:val="24"/>
                <w:szCs w:val="24"/>
                <w:highlight w:val="none"/>
              </w:rPr>
              <w:t>自愿、风险自担的原则，中标（成交）供应商可根据自身资金需求，登录陕西省政府采购信用融资平台（http://www.ccgp-shaanxi.gov.cn/zcdservice/zcd/shanxi/）</w:t>
            </w:r>
            <w:r>
              <w:rPr>
                <w:rFonts w:hint="eastAsia" w:ascii="仿宋" w:hAnsi="仿宋" w:eastAsia="仿宋" w:cs="仿宋"/>
                <w:color w:val="auto"/>
                <w:sz w:val="24"/>
                <w:szCs w:val="24"/>
                <w:highlight w:val="none"/>
                <w:lang w:val="en-US" w:eastAsia="zh-CN"/>
              </w:rPr>
              <w:t>或中征平台（https://www.crcrfsp.com）</w:t>
            </w:r>
            <w:r>
              <w:rPr>
                <w:rFonts w:hint="eastAsia" w:ascii="仿宋" w:hAnsi="仿宋" w:eastAsia="仿宋" w:cs="仿宋"/>
                <w:color w:val="auto"/>
                <w:sz w:val="24"/>
                <w:szCs w:val="24"/>
                <w:highlight w:val="none"/>
              </w:rPr>
              <w:t>在线申请，依法参加政府采购信用融资活动。</w:t>
            </w:r>
          </w:p>
          <w:tbl>
            <w:tblPr>
              <w:tblStyle w:val="27"/>
              <w:tblpPr w:leftFromText="180" w:rightFromText="180" w:vertAnchor="page" w:horzAnchor="page" w:tblpX="-1" w:tblpY="3274"/>
              <w:tblOverlap w:val="never"/>
              <w:tblW w:w="70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6"/>
              <w:gridCol w:w="768"/>
              <w:gridCol w:w="777"/>
              <w:gridCol w:w="803"/>
              <w:gridCol w:w="812"/>
              <w:gridCol w:w="1013"/>
              <w:gridCol w:w="803"/>
              <w:gridCol w:w="15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29" w:type="dxa"/>
                  <w:gridSpan w:val="8"/>
                  <w:tcBorders>
                    <w:top w:val="nil"/>
                    <w:left w:val="nil"/>
                    <w:bottom w:val="nil"/>
                    <w:right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榆林市“政采贷”业务办理银行联系表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序号</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银行名称</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产品名称</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贷款额度</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贷款期限</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贷款利率</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办理时效</w:t>
                  </w:r>
                </w:p>
              </w:tc>
              <w:tc>
                <w:tcPr>
                  <w:tcW w:w="15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长安银行</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政采贷</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1000万元</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1-3年</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3.45%</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72小时</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魏众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15109123951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中信银行</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政采E贷</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1000万元</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1-3年</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3.45%起</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24小时</w:t>
                  </w:r>
                </w:p>
              </w:tc>
              <w:tc>
                <w:tcPr>
                  <w:tcW w:w="15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李靖</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15509125117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光大银行</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政采贷</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1000万元</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1-3年</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3.45%</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72小时</w:t>
                  </w:r>
                </w:p>
              </w:tc>
              <w:tc>
                <w:tcPr>
                  <w:tcW w:w="15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刘波</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18809125468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交通银行</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秦政贷</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1000万元</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1年</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3.45%</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24小时</w:t>
                  </w:r>
                </w:p>
              </w:tc>
              <w:tc>
                <w:tcPr>
                  <w:tcW w:w="15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张飞</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15291296886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中国银行</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政采贷</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1000万元</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1-3年</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3.45%</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72小时</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李浩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18691230007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招商银行</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政采贷</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3000万元</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1-3年</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3.45%起</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24小时</w:t>
                  </w:r>
                </w:p>
              </w:tc>
              <w:tc>
                <w:tcPr>
                  <w:tcW w:w="15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马烨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15596100007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浦发银行</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政采E贷</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2000万元</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1年</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3.8%</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72小时</w:t>
                  </w:r>
                </w:p>
              </w:tc>
              <w:tc>
                <w:tcPr>
                  <w:tcW w:w="15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朱君</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15629169158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农商银行</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政采贷</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1000万元</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1-2年</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3.45%-5.8%</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24小时</w:t>
                  </w:r>
                </w:p>
              </w:tc>
              <w:tc>
                <w:tcPr>
                  <w:tcW w:w="15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王璐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15529875056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农业银行</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政采贷</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3000万元</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1年</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3.45%-3.85%</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24小时</w:t>
                  </w:r>
                </w:p>
              </w:tc>
              <w:tc>
                <w:tcPr>
                  <w:tcW w:w="15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杨尧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13325409313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民生银行</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政采E贷</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3000万元</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1年</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3.45%起</w:t>
                  </w:r>
                </w:p>
              </w:tc>
              <w:tc>
                <w:tcPr>
                  <w:tcW w:w="8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24小时</w:t>
                  </w:r>
                </w:p>
              </w:tc>
              <w:tc>
                <w:tcPr>
                  <w:tcW w:w="15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郝双双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15991225850</w:t>
                  </w:r>
                </w:p>
              </w:tc>
            </w:tr>
          </w:tbl>
          <w:p>
            <w:pPr>
              <w:keepNext w:val="0"/>
              <w:keepLines w:val="0"/>
              <w:pageBreakBefore w:val="0"/>
              <w:overflowPunct/>
              <w:topLinePunct w:val="0"/>
              <w:bidi w:val="0"/>
              <w:adjustRightInd/>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备注：银行排名不分先后。如产品额度、期限、利率等内容发生改变，以银行解释为准。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33</w:t>
            </w:r>
          </w:p>
        </w:tc>
        <w:tc>
          <w:tcPr>
            <w:tcW w:w="2082" w:type="dxa"/>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sz w:val="24"/>
                <w:szCs w:val="24"/>
                <w:highlight w:val="none"/>
                <w:lang w:eastAsia="zh-CN"/>
              </w:rPr>
              <w:t>信用承诺公示要求</w:t>
            </w:r>
          </w:p>
        </w:tc>
        <w:tc>
          <w:tcPr>
            <w:tcW w:w="7109" w:type="dxa"/>
            <w:vAlign w:val="center"/>
          </w:tcPr>
          <w:p>
            <w:pPr>
              <w:keepNext w:val="0"/>
              <w:keepLines w:val="0"/>
              <w:pageBreakBefore w:val="0"/>
              <w:widowControl/>
              <w:kinsoku/>
              <w:wordWrap w:val="0"/>
              <w:overflowPunct/>
              <w:topLinePunct/>
              <w:autoSpaceDE/>
              <w:autoSpaceDN/>
              <w:bidi w:val="0"/>
              <w:adjustRightInd w:val="0"/>
              <w:snapToGrid w:val="0"/>
              <w:spacing w:line="360" w:lineRule="auto"/>
              <w:jc w:val="left"/>
              <w:textAlignment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公</w:t>
            </w:r>
            <w:r>
              <w:rPr>
                <w:rFonts w:hint="eastAsia" w:ascii="仿宋" w:hAnsi="仿宋" w:eastAsia="仿宋" w:cs="仿宋"/>
                <w:b/>
                <w:bCs/>
                <w:color w:val="auto"/>
                <w:sz w:val="24"/>
                <w:szCs w:val="24"/>
                <w:highlight w:val="none"/>
                <w:lang w:val="en-US" w:eastAsia="zh-CN"/>
              </w:rPr>
              <w:t>共</w:t>
            </w:r>
            <w:r>
              <w:rPr>
                <w:rFonts w:hint="eastAsia" w:ascii="仿宋" w:hAnsi="仿宋" w:eastAsia="仿宋" w:cs="仿宋"/>
                <w:b/>
                <w:bCs/>
                <w:color w:val="auto"/>
                <w:sz w:val="24"/>
                <w:szCs w:val="24"/>
                <w:highlight w:val="none"/>
                <w:lang w:eastAsia="zh-CN"/>
              </w:rPr>
              <w:t>资源信用承诺：</w:t>
            </w:r>
          </w:p>
          <w:p>
            <w:pPr>
              <w:keepNext w:val="0"/>
              <w:keepLines w:val="0"/>
              <w:pageBreakBefore w:val="0"/>
              <w:kinsoku/>
              <w:overflowPunct/>
              <w:autoSpaceDE/>
              <w:autoSpaceDN/>
              <w:bidi w:val="0"/>
              <w:spacing w:line="360" w:lineRule="auto"/>
              <w:ind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均应在“信用中国（陕西榆林）”网站进行注册、登陆，自主上报信用承诺书（网址：</w:t>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"https://credit.yl.gov.cn/），各相关交易主体注册、登陆后根据承诺事项选择相应的模板填写《信用承诺书》，并载明承诺事由，政府采购活动中，各方交易主体的承诺事由为"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https://credit.yl.gov.cn/），各相关交易主体注册、登陆后根据承诺事项选择相应的模板填写《信用承诺书》，并载明承诺事由，政府采购活动中，各方交易主体的承诺事由为“项目名称＋项目编号”。</w:t>
            </w:r>
            <w:r>
              <w:rPr>
                <w:rFonts w:hint="eastAsia" w:ascii="仿宋" w:hAnsi="仿宋" w:eastAsia="仿宋" w:cs="仿宋"/>
                <w:sz w:val="24"/>
                <w:szCs w:val="24"/>
                <w:highlight w:val="none"/>
              </w:rPr>
              <w:fldChar w:fldCharType="end"/>
            </w:r>
          </w:p>
          <w:p>
            <w:pPr>
              <w:keepNext w:val="0"/>
              <w:keepLines w:val="0"/>
              <w:pageBreakBefore w:val="0"/>
              <w:kinsoku/>
              <w:overflowPunct/>
              <w:autoSpaceDE/>
              <w:autoSpaceDN/>
              <w:bidi w:val="0"/>
              <w:spacing w:line="360" w:lineRule="auto"/>
              <w:ind w:firstLine="482" w:firstLineChars="200"/>
              <w:jc w:val="both"/>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供应商需上传四项信用承诺：①榆林市政府采购</w:t>
            </w:r>
            <w:r>
              <w:rPr>
                <w:rFonts w:hint="eastAsia" w:ascii="仿宋" w:hAnsi="仿宋" w:eastAsia="仿宋" w:cs="仿宋"/>
                <w:b/>
                <w:bCs/>
                <w:sz w:val="24"/>
                <w:szCs w:val="24"/>
                <w:highlight w:val="none"/>
                <w:lang w:val="en-US" w:eastAsia="zh-CN"/>
              </w:rPr>
              <w:t>服务</w:t>
            </w:r>
            <w:r>
              <w:rPr>
                <w:rFonts w:hint="eastAsia" w:ascii="仿宋" w:hAnsi="仿宋" w:eastAsia="仿宋" w:cs="仿宋"/>
                <w:b/>
                <w:bCs/>
                <w:sz w:val="24"/>
                <w:szCs w:val="24"/>
                <w:highlight w:val="none"/>
              </w:rPr>
              <w:t>类项目供应商信用承诺；</w:t>
            </w:r>
            <w:r>
              <w:rPr>
                <w:rFonts w:hint="eastAsia" w:ascii="仿宋" w:hAnsi="仿宋" w:eastAsia="仿宋" w:cs="仿宋"/>
                <w:b/>
                <w:bCs/>
                <w:sz w:val="24"/>
                <w:szCs w:val="24"/>
                <w:highlight w:val="none"/>
                <w:shd w:val="clear"/>
              </w:rPr>
              <w:t>②</w:t>
            </w:r>
            <w:r>
              <w:rPr>
                <w:rFonts w:hint="eastAsia" w:ascii="仿宋" w:hAnsi="仿宋" w:eastAsia="仿宋" w:cs="仿宋"/>
                <w:b/>
                <w:bCs/>
                <w:sz w:val="24"/>
                <w:szCs w:val="24"/>
                <w:highlight w:val="none"/>
                <w:shd w:val="clear"/>
                <w:lang w:eastAsia="zh-CN"/>
              </w:rPr>
              <w:t>供应商</w:t>
            </w:r>
            <w:r>
              <w:rPr>
                <w:rFonts w:hint="eastAsia" w:ascii="仿宋" w:hAnsi="仿宋" w:eastAsia="仿宋" w:cs="仿宋"/>
                <w:b/>
                <w:bCs/>
                <w:sz w:val="24"/>
                <w:szCs w:val="24"/>
                <w:highlight w:val="none"/>
                <w:shd w:val="clear"/>
              </w:rPr>
              <w:t>信用承诺；</w:t>
            </w:r>
            <w:r>
              <w:rPr>
                <w:rFonts w:hint="eastAsia" w:ascii="仿宋" w:hAnsi="仿宋" w:eastAsia="仿宋" w:cs="仿宋"/>
                <w:b/>
                <w:bCs/>
                <w:sz w:val="24"/>
                <w:szCs w:val="24"/>
                <w:highlight w:val="none"/>
              </w:rPr>
              <w:t>③委托代理人信用承诺；④</w:t>
            </w:r>
            <w:r>
              <w:rPr>
                <w:rStyle w:val="31"/>
                <w:rFonts w:hint="eastAsia" w:ascii="仿宋" w:hAnsi="仿宋" w:eastAsia="仿宋" w:cs="仿宋"/>
                <w:b/>
                <w:bCs/>
                <w:color w:val="auto"/>
                <w:kern w:val="2"/>
                <w:sz w:val="24"/>
                <w:szCs w:val="24"/>
                <w:highlight w:val="none"/>
                <w:lang w:val="en-US" w:eastAsia="zh-CN" w:bidi="ar-SA"/>
              </w:rPr>
              <w:t>投标信用承诺书（保证金）</w:t>
            </w:r>
            <w:r>
              <w:rPr>
                <w:rFonts w:hint="eastAsia" w:ascii="仿宋" w:hAnsi="仿宋" w:eastAsia="仿宋" w:cs="仿宋"/>
                <w:b/>
                <w:bCs/>
                <w:sz w:val="24"/>
                <w:szCs w:val="24"/>
                <w:highlight w:val="none"/>
              </w:rPr>
              <w:t>。（信用承诺书的格式详见投标文件格式中附件）</w:t>
            </w:r>
          </w:p>
          <w:p>
            <w:pPr>
              <w:keepNext w:val="0"/>
              <w:keepLines w:val="0"/>
              <w:pageBreakBefore w:val="0"/>
              <w:kinsoku/>
              <w:overflowPunct/>
              <w:autoSpaceDE/>
              <w:autoSpaceDN/>
              <w:bidi w:val="0"/>
              <w:spacing w:line="360" w:lineRule="auto"/>
              <w:ind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所有账号问题可在政务网中咨询或拨打029-87382893、029-87382894。</w:t>
            </w:r>
          </w:p>
          <w:p>
            <w:pPr>
              <w:keepNext w:val="0"/>
              <w:keepLines w:val="0"/>
              <w:pageBreakBefore w:val="0"/>
              <w:kinsoku/>
              <w:overflowPunct/>
              <w:autoSpaceDE/>
              <w:autoSpaceDN/>
              <w:bidi w:val="0"/>
              <w:spacing w:line="360" w:lineRule="auto"/>
              <w:ind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注：</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请将申报截图附在投标文件附件中，如不执行由此带来的不利后果</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自行承担。</w:t>
            </w:r>
          </w:p>
          <w:p>
            <w:pPr>
              <w:keepNext w:val="0"/>
              <w:keepLines w:val="0"/>
              <w:pageBreakBefore w:val="0"/>
              <w:kinsoku/>
              <w:overflowPunct/>
              <w:autoSpaceDE/>
              <w:autoSpaceDN/>
              <w:bidi w:val="0"/>
              <w:spacing w:line="360" w:lineRule="auto"/>
              <w:ind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附件：信用承诺上报操作指南</w:t>
            </w:r>
          </w:p>
          <w:p>
            <w:pPr>
              <w:spacing w:line="360" w:lineRule="auto"/>
              <w:ind w:firstLine="482" w:firstLineChars="200"/>
              <w:rPr>
                <w:rFonts w:hint="eastAsia" w:ascii="仿宋" w:hAnsi="仿宋" w:eastAsia="仿宋" w:cs="仿宋"/>
                <w:color w:val="auto"/>
                <w:spacing w:val="4"/>
                <w:kern w:val="2"/>
                <w:sz w:val="24"/>
                <w:szCs w:val="24"/>
                <w:highlight w:val="none"/>
                <w:lang w:val="en-US" w:eastAsia="zh-CN" w:bidi="ar-SA"/>
              </w:rPr>
            </w:pPr>
            <w:r>
              <w:rPr>
                <w:rFonts w:hint="eastAsia" w:ascii="仿宋" w:hAnsi="仿宋" w:eastAsia="仿宋" w:cs="仿宋"/>
                <w:b/>
                <w:bCs/>
                <w:sz w:val="24"/>
                <w:szCs w:val="24"/>
                <w:highlight w:val="none"/>
              </w:rPr>
              <w:t>注：如未按照上述要求办理，信用承诺公示迟报、漏报的列入不良行为记录。其投标将被否决，后果自负。</w:t>
            </w:r>
            <w:r>
              <w:rPr>
                <w:rFonts w:hint="eastAsia" w:ascii="仿宋" w:hAnsi="仿宋" w:eastAsia="仿宋" w:cs="仿宋"/>
                <w:b/>
                <w:bCs/>
                <w:sz w:val="24"/>
                <w:szCs w:val="24"/>
                <w:highlight w:val="none"/>
                <w:lang w:eastAsia="zh-CN"/>
              </w:rPr>
              <w:t>供应商</w:t>
            </w:r>
            <w:r>
              <w:rPr>
                <w:rFonts w:hint="eastAsia" w:ascii="仿宋" w:hAnsi="仿宋" w:eastAsia="仿宋" w:cs="仿宋"/>
                <w:b/>
                <w:bCs/>
                <w:sz w:val="24"/>
                <w:szCs w:val="24"/>
                <w:highlight w:val="none"/>
              </w:rPr>
              <w:t>请将申报截图附在投标文件附件中，如不执行由此带来的不利后果</w:t>
            </w:r>
            <w:r>
              <w:rPr>
                <w:rFonts w:hint="eastAsia" w:ascii="仿宋" w:hAnsi="仿宋" w:eastAsia="仿宋" w:cs="仿宋"/>
                <w:b/>
                <w:bCs/>
                <w:sz w:val="24"/>
                <w:szCs w:val="24"/>
                <w:highlight w:val="none"/>
                <w:lang w:eastAsia="zh-CN"/>
              </w:rPr>
              <w:t>供应商</w:t>
            </w:r>
            <w:r>
              <w:rPr>
                <w:rFonts w:hint="eastAsia" w:ascii="仿宋" w:hAnsi="仿宋" w:eastAsia="仿宋" w:cs="仿宋"/>
                <w:b/>
                <w:bCs/>
                <w:sz w:val="24"/>
                <w:szCs w:val="24"/>
                <w:highlight w:val="none"/>
              </w:rPr>
              <w:t>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w:t>
            </w:r>
          </w:p>
        </w:tc>
        <w:tc>
          <w:tcPr>
            <w:tcW w:w="2082" w:type="dxa"/>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支持中小企业</w:t>
            </w:r>
          </w:p>
        </w:tc>
        <w:tc>
          <w:tcPr>
            <w:tcW w:w="7109"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支持中小企业发展：</w:t>
            </w:r>
          </w:p>
          <w:p>
            <w:pPr>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fldChar w:fldCharType="begin"/>
            </w:r>
            <w:r>
              <w:rPr>
                <w:rFonts w:hint="eastAsia" w:ascii="仿宋" w:hAnsi="仿宋" w:eastAsia="仿宋" w:cs="仿宋"/>
                <w:sz w:val="24"/>
                <w:szCs w:val="24"/>
                <w:highlight w:val="none"/>
                <w:lang w:val="en-US" w:eastAsia="zh-CN"/>
              </w:rPr>
              <w:instrText xml:space="preserve"> eq \o\ac(</w:instrText>
            </w:r>
            <w:r>
              <w:rPr>
                <w:rFonts w:hint="eastAsia" w:ascii="仿宋" w:hAnsi="仿宋" w:eastAsia="仿宋" w:cs="仿宋"/>
                <w:position w:val="-4"/>
                <w:sz w:val="36"/>
                <w:szCs w:val="24"/>
                <w:highlight w:val="none"/>
                <w:lang w:val="en-US" w:eastAsia="zh-CN"/>
              </w:rPr>
              <w:instrText xml:space="preserve">□,</w:instrText>
            </w:r>
            <w:r>
              <w:rPr>
                <w:rFonts w:hint="eastAsia" w:ascii="仿宋" w:hAnsi="仿宋" w:eastAsia="仿宋" w:cs="仿宋"/>
                <w:position w:val="0"/>
                <w:sz w:val="25"/>
                <w:szCs w:val="24"/>
                <w:highlight w:val="none"/>
                <w:lang w:val="en-US" w:eastAsia="zh-CN"/>
              </w:rPr>
              <w:instrText xml:space="preserve">√</w:instrText>
            </w:r>
            <w:r>
              <w:rPr>
                <w:rFonts w:hint="eastAsia" w:ascii="仿宋" w:hAnsi="仿宋" w:eastAsia="仿宋" w:cs="仿宋"/>
                <w:position w:val="0"/>
                <w:sz w:val="24"/>
                <w:szCs w:val="24"/>
                <w:highlight w:val="none"/>
                <w:lang w:val="en-US" w:eastAsia="zh-CN"/>
              </w:rPr>
              <w:instrText xml:space="preserve">)</w:instrText>
            </w:r>
            <w:r>
              <w:rPr>
                <w:rFonts w:hint="eastAsia" w:ascii="仿宋" w:hAnsi="仿宋" w:eastAsia="仿宋" w:cs="仿宋"/>
                <w:sz w:val="24"/>
                <w:szCs w:val="24"/>
                <w:highlight w:val="none"/>
                <w:lang w:val="en-US" w:eastAsia="zh-CN"/>
              </w:rPr>
              <w:fldChar w:fldCharType="end"/>
            </w:r>
            <w:r>
              <w:rPr>
                <w:rFonts w:hint="eastAsia" w:ascii="仿宋" w:hAnsi="仿宋" w:eastAsia="仿宋" w:cs="仿宋"/>
                <w:sz w:val="24"/>
                <w:szCs w:val="24"/>
                <w:highlight w:val="none"/>
                <w:lang w:val="en-US" w:eastAsia="zh-CN"/>
              </w:rPr>
              <w:t>专门面向中小企业采购项目</w:t>
            </w:r>
          </w:p>
          <w:p>
            <w:pPr>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fldChar w:fldCharType="begin"/>
            </w:r>
            <w:r>
              <w:rPr>
                <w:rFonts w:hint="eastAsia" w:ascii="仿宋" w:hAnsi="仿宋" w:eastAsia="仿宋" w:cs="仿宋"/>
                <w:sz w:val="24"/>
                <w:szCs w:val="24"/>
                <w:highlight w:val="none"/>
                <w:lang w:val="en-US" w:eastAsia="zh-CN"/>
              </w:rPr>
              <w:instrText xml:space="preserve"> eq \o\ac(</w:instrText>
            </w:r>
            <w:r>
              <w:rPr>
                <w:rFonts w:hint="eastAsia" w:ascii="仿宋" w:hAnsi="仿宋" w:eastAsia="仿宋" w:cs="仿宋"/>
                <w:position w:val="-4"/>
                <w:sz w:val="36"/>
                <w:szCs w:val="24"/>
                <w:highlight w:val="none"/>
                <w:lang w:val="en-US" w:eastAsia="zh-CN"/>
              </w:rPr>
              <w:instrText xml:space="preserve">□</w:instrText>
            </w:r>
            <w:r>
              <w:rPr>
                <w:rFonts w:hint="eastAsia" w:ascii="仿宋" w:hAnsi="仿宋" w:eastAsia="仿宋" w:cs="仿宋"/>
                <w:position w:val="0"/>
                <w:sz w:val="24"/>
                <w:szCs w:val="24"/>
                <w:highlight w:val="none"/>
                <w:lang w:val="en-US" w:eastAsia="zh-CN"/>
              </w:rPr>
              <w:instrText xml:space="preserve">)</w:instrText>
            </w:r>
            <w:r>
              <w:rPr>
                <w:rFonts w:hint="eastAsia" w:ascii="仿宋" w:hAnsi="仿宋" w:eastAsia="仿宋" w:cs="仿宋"/>
                <w:sz w:val="24"/>
                <w:szCs w:val="24"/>
                <w:highlight w:val="none"/>
                <w:lang w:val="en-US" w:eastAsia="zh-CN"/>
              </w:rPr>
              <w:fldChar w:fldCharType="end"/>
            </w:r>
            <w:r>
              <w:rPr>
                <w:rFonts w:hint="eastAsia" w:ascii="仿宋" w:hAnsi="仿宋" w:eastAsia="仿宋" w:cs="仿宋"/>
                <w:sz w:val="24"/>
                <w:szCs w:val="24"/>
                <w:highlight w:val="none"/>
                <w:lang w:val="en-US" w:eastAsia="zh-CN"/>
              </w:rPr>
              <w:t>非专门面向中小企业采购项目（价格扣除）：</w:t>
            </w:r>
          </w:p>
          <w:p>
            <w:pPr>
              <w:keepNext w:val="0"/>
              <w:keepLines w:val="0"/>
              <w:suppressLineNumbers w:val="0"/>
              <w:spacing w:before="0" w:beforeAutospacing="0" w:after="0" w:afterAutospacing="0" w:line="360" w:lineRule="auto"/>
              <w:ind w:left="0" w:leftChars="0" w:right="0" w:rightChars="0"/>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sz w:val="24"/>
                <w:szCs w:val="24"/>
                <w:highlight w:val="none"/>
                <w:lang w:val="en-US" w:eastAsia="zh-CN"/>
              </w:rPr>
              <w:sym w:font="Wingdings" w:char="F081"/>
            </w:r>
            <w:r>
              <w:rPr>
                <w:rFonts w:hint="eastAsia" w:ascii="仿宋" w:hAnsi="仿宋" w:eastAsia="仿宋" w:cs="仿宋"/>
                <w:sz w:val="24"/>
                <w:szCs w:val="24"/>
                <w:highlight w:val="none"/>
                <w:lang w:val="en-US" w:eastAsia="zh-CN"/>
              </w:rPr>
              <w:t>对小型和微型企业产品的价格给与20%的扣除，用扣除后的价格参与评审。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35</w:t>
            </w:r>
          </w:p>
        </w:tc>
        <w:tc>
          <w:tcPr>
            <w:tcW w:w="2082" w:type="dxa"/>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支持监狱企业发展</w:t>
            </w:r>
          </w:p>
        </w:tc>
        <w:tc>
          <w:tcPr>
            <w:tcW w:w="7109"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支持监狱企业发展：</w:t>
            </w:r>
          </w:p>
          <w:p>
            <w:pPr>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fldChar w:fldCharType="begin"/>
            </w:r>
            <w:r>
              <w:rPr>
                <w:rFonts w:hint="eastAsia" w:ascii="仿宋" w:hAnsi="仿宋" w:eastAsia="仿宋" w:cs="仿宋"/>
                <w:sz w:val="24"/>
                <w:szCs w:val="24"/>
                <w:highlight w:val="none"/>
                <w:lang w:val="en-US" w:eastAsia="zh-CN"/>
              </w:rPr>
              <w:instrText xml:space="preserve"> eq \o\ac(</w:instrText>
            </w:r>
            <w:r>
              <w:rPr>
                <w:rFonts w:hint="eastAsia" w:ascii="仿宋" w:hAnsi="仿宋" w:eastAsia="仿宋" w:cs="仿宋"/>
                <w:position w:val="-4"/>
                <w:sz w:val="36"/>
                <w:szCs w:val="24"/>
                <w:highlight w:val="none"/>
                <w:lang w:val="en-US" w:eastAsia="zh-CN"/>
              </w:rPr>
              <w:instrText xml:space="preserve">□,</w:instrText>
            </w:r>
            <w:r>
              <w:rPr>
                <w:rFonts w:hint="eastAsia" w:ascii="仿宋" w:hAnsi="仿宋" w:eastAsia="仿宋" w:cs="仿宋"/>
                <w:position w:val="0"/>
                <w:sz w:val="25"/>
                <w:szCs w:val="24"/>
                <w:highlight w:val="none"/>
                <w:lang w:val="en-US" w:eastAsia="zh-CN"/>
              </w:rPr>
              <w:instrText xml:space="preserve">√</w:instrText>
            </w:r>
            <w:r>
              <w:rPr>
                <w:rFonts w:hint="eastAsia" w:ascii="仿宋" w:hAnsi="仿宋" w:eastAsia="仿宋" w:cs="仿宋"/>
                <w:position w:val="0"/>
                <w:sz w:val="24"/>
                <w:szCs w:val="24"/>
                <w:highlight w:val="none"/>
                <w:lang w:val="en-US" w:eastAsia="zh-CN"/>
              </w:rPr>
              <w:instrText xml:space="preserve">)</w:instrText>
            </w:r>
            <w:r>
              <w:rPr>
                <w:rFonts w:hint="eastAsia" w:ascii="仿宋" w:hAnsi="仿宋" w:eastAsia="仿宋" w:cs="仿宋"/>
                <w:sz w:val="24"/>
                <w:szCs w:val="24"/>
                <w:highlight w:val="none"/>
                <w:lang w:val="en-US" w:eastAsia="zh-CN"/>
              </w:rPr>
              <w:fldChar w:fldCharType="end"/>
            </w:r>
            <w:r>
              <w:rPr>
                <w:rFonts w:hint="eastAsia" w:ascii="仿宋" w:hAnsi="仿宋" w:eastAsia="仿宋" w:cs="仿宋"/>
                <w:sz w:val="24"/>
                <w:szCs w:val="24"/>
                <w:highlight w:val="none"/>
                <w:lang w:val="en-US" w:eastAsia="zh-CN"/>
              </w:rPr>
              <w:t>专门面向监狱企业采购项目</w:t>
            </w:r>
          </w:p>
          <w:p>
            <w:pPr>
              <w:keepNext w:val="0"/>
              <w:keepLines w:val="0"/>
              <w:suppressLineNumbers w:val="0"/>
              <w:spacing w:before="0" w:beforeAutospacing="0" w:after="0" w:afterAutospacing="0" w:line="360" w:lineRule="auto"/>
              <w:ind w:left="0" w:leftChars="0" w:right="0" w:rightChars="0"/>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sz w:val="24"/>
                <w:szCs w:val="24"/>
                <w:highlight w:val="none"/>
                <w:lang w:val="en-US" w:eastAsia="zh-CN"/>
              </w:rPr>
              <w:fldChar w:fldCharType="begin"/>
            </w:r>
            <w:r>
              <w:rPr>
                <w:rFonts w:hint="eastAsia" w:ascii="仿宋" w:hAnsi="仿宋" w:eastAsia="仿宋" w:cs="仿宋"/>
                <w:sz w:val="24"/>
                <w:szCs w:val="24"/>
                <w:highlight w:val="none"/>
                <w:lang w:val="en-US" w:eastAsia="zh-CN"/>
              </w:rPr>
              <w:instrText xml:space="preserve"> eq \o\ac(</w:instrText>
            </w:r>
            <w:r>
              <w:rPr>
                <w:rFonts w:hint="eastAsia" w:ascii="仿宋" w:hAnsi="仿宋" w:eastAsia="仿宋" w:cs="仿宋"/>
                <w:position w:val="-4"/>
                <w:sz w:val="36"/>
                <w:szCs w:val="24"/>
                <w:highlight w:val="none"/>
                <w:lang w:val="en-US" w:eastAsia="zh-CN"/>
              </w:rPr>
              <w:instrText xml:space="preserve">□</w:instrText>
            </w:r>
            <w:r>
              <w:rPr>
                <w:rFonts w:hint="eastAsia" w:ascii="仿宋" w:hAnsi="仿宋" w:eastAsia="仿宋" w:cs="仿宋"/>
                <w:position w:val="0"/>
                <w:sz w:val="24"/>
                <w:szCs w:val="24"/>
                <w:highlight w:val="none"/>
                <w:lang w:val="en-US" w:eastAsia="zh-CN"/>
              </w:rPr>
              <w:instrText xml:space="preserve">)</w:instrText>
            </w:r>
            <w:r>
              <w:rPr>
                <w:rFonts w:hint="eastAsia" w:ascii="仿宋" w:hAnsi="仿宋" w:eastAsia="仿宋" w:cs="仿宋"/>
                <w:sz w:val="24"/>
                <w:szCs w:val="24"/>
                <w:highlight w:val="none"/>
                <w:lang w:val="en-US" w:eastAsia="zh-CN"/>
              </w:rPr>
              <w:fldChar w:fldCharType="end"/>
            </w:r>
            <w:r>
              <w:rPr>
                <w:rFonts w:hint="eastAsia" w:ascii="仿宋" w:hAnsi="仿宋" w:eastAsia="仿宋" w:cs="仿宋"/>
                <w:sz w:val="24"/>
                <w:szCs w:val="24"/>
                <w:highlight w:val="none"/>
                <w:lang w:val="en-US" w:eastAsia="zh-CN"/>
              </w:rPr>
              <w:t>非专门面向监狱企业采购项目（价格扣除）：监狱企业视同小微企业。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36</w:t>
            </w:r>
          </w:p>
        </w:tc>
        <w:tc>
          <w:tcPr>
            <w:tcW w:w="2082" w:type="dxa"/>
            <w:vAlign w:val="center"/>
          </w:tcPr>
          <w:p>
            <w:pPr>
              <w:spacing w:line="360" w:lineRule="auto"/>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投标答疑会</w:t>
            </w:r>
          </w:p>
        </w:tc>
        <w:tc>
          <w:tcPr>
            <w:tcW w:w="7109" w:type="dxa"/>
            <w:vAlign w:val="center"/>
          </w:tcPr>
          <w:p>
            <w:pPr>
              <w:keepNext w:val="0"/>
              <w:keepLines w:val="0"/>
              <w:suppressLineNumbers w:val="0"/>
              <w:spacing w:before="0" w:beforeAutospacing="0" w:after="0" w:afterAutospacing="0" w:line="360" w:lineRule="auto"/>
              <w:ind w:left="0" w:leftChars="0" w:right="0" w:right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eq \o\ac(</w:instrText>
            </w:r>
            <w:r>
              <w:rPr>
                <w:rFonts w:hint="eastAsia" w:ascii="仿宋" w:hAnsi="仿宋" w:eastAsia="仿宋" w:cs="仿宋"/>
                <w:color w:val="auto"/>
                <w:position w:val="-4"/>
                <w:sz w:val="36"/>
                <w:szCs w:val="24"/>
                <w:highlight w:val="none"/>
                <w:lang w:val="en-US" w:eastAsia="zh-CN"/>
              </w:rPr>
              <w:instrText xml:space="preserve">□</w:instrText>
            </w:r>
            <w:r>
              <w:rPr>
                <w:rFonts w:hint="eastAsia" w:ascii="仿宋" w:hAnsi="仿宋" w:eastAsia="仿宋" w:cs="仿宋"/>
                <w:color w:val="auto"/>
                <w:position w:val="0"/>
                <w:sz w:val="24"/>
                <w:szCs w:val="24"/>
                <w:highlight w:val="none"/>
                <w:lang w:val="en-US" w:eastAsia="zh-CN"/>
              </w:rPr>
              <w:instrText xml:space="preserve">,√)</w:instrText>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不召开</w:t>
            </w: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eq \o\ac(</w:instrText>
            </w:r>
            <w:r>
              <w:rPr>
                <w:rFonts w:hint="eastAsia" w:ascii="仿宋" w:hAnsi="仿宋" w:eastAsia="仿宋" w:cs="仿宋"/>
                <w:color w:val="auto"/>
                <w:position w:val="-4"/>
                <w:sz w:val="36"/>
                <w:szCs w:val="24"/>
                <w:highlight w:val="none"/>
                <w:lang w:val="en-US" w:eastAsia="zh-CN"/>
              </w:rPr>
              <w:instrText xml:space="preserve">□</w:instrText>
            </w:r>
            <w:r>
              <w:rPr>
                <w:rFonts w:hint="eastAsia" w:ascii="仿宋" w:hAnsi="仿宋" w:eastAsia="仿宋" w:cs="仿宋"/>
                <w:color w:val="auto"/>
                <w:position w:val="0"/>
                <w:sz w:val="24"/>
                <w:szCs w:val="24"/>
                <w:highlight w:val="none"/>
                <w:lang w:val="en-US" w:eastAsia="zh-CN"/>
              </w:rPr>
              <w:instrText xml:space="preserve">)</w:instrText>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召开，招标代理机构将对供应商所提出的问题予以解答，并出具书面答疑纪要。答疑纪要为招标文件的组成部分，与招标文件具有同等法律效力。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37</w:t>
            </w:r>
          </w:p>
        </w:tc>
        <w:tc>
          <w:tcPr>
            <w:tcW w:w="2082" w:type="dxa"/>
            <w:vAlign w:val="center"/>
          </w:tcPr>
          <w:p>
            <w:pPr>
              <w:widowControl/>
              <w:adjustRightInd w:val="0"/>
              <w:snapToGrid w:val="0"/>
              <w:spacing w:line="360" w:lineRule="auto"/>
              <w:jc w:val="center"/>
              <w:textAlignment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sz w:val="24"/>
                <w:szCs w:val="24"/>
                <w:highlight w:val="none"/>
              </w:rPr>
              <w:t>各行业划分标准具体为</w:t>
            </w:r>
          </w:p>
        </w:tc>
        <w:tc>
          <w:tcPr>
            <w:tcW w:w="7109" w:type="dxa"/>
            <w:vAlign w:val="center"/>
          </w:tcPr>
          <w:p>
            <w:pPr>
              <w:spacing w:before="52" w:line="360" w:lineRule="auto"/>
              <w:ind w:left="22" w:right="15" w:firstLine="16"/>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1、农</w:t>
            </w:r>
            <w:r>
              <w:rPr>
                <w:rFonts w:hint="eastAsia" w:ascii="仿宋" w:hAnsi="仿宋" w:eastAsia="仿宋" w:cs="仿宋"/>
                <w:color w:val="auto"/>
                <w:spacing w:val="7"/>
                <w:sz w:val="24"/>
                <w:szCs w:val="24"/>
                <w:highlight w:val="none"/>
              </w:rPr>
              <w:t>、</w:t>
            </w:r>
            <w:r>
              <w:rPr>
                <w:rFonts w:hint="eastAsia" w:ascii="仿宋" w:hAnsi="仿宋" w:eastAsia="仿宋" w:cs="仿宋"/>
                <w:color w:val="auto"/>
                <w:spacing w:val="4"/>
                <w:sz w:val="24"/>
                <w:szCs w:val="24"/>
                <w:highlight w:val="none"/>
              </w:rPr>
              <w:t>林、牧、渔业。营业收入20000万元以下的为中小微型企业。</w:t>
            </w:r>
            <w:r>
              <w:rPr>
                <w:rFonts w:hint="eastAsia" w:ascii="仿宋" w:hAnsi="仿宋" w:eastAsia="仿宋" w:cs="仿宋"/>
                <w:color w:val="auto"/>
                <w:spacing w:val="8"/>
                <w:sz w:val="24"/>
                <w:szCs w:val="24"/>
                <w:highlight w:val="none"/>
              </w:rPr>
              <w:t>其中，营业收入</w:t>
            </w:r>
            <w:r>
              <w:rPr>
                <w:rFonts w:hint="eastAsia" w:ascii="仿宋" w:hAnsi="仿宋" w:eastAsia="仿宋" w:cs="仿宋"/>
                <w:color w:val="auto"/>
                <w:spacing w:val="4"/>
                <w:sz w:val="24"/>
                <w:szCs w:val="24"/>
                <w:highlight w:val="none"/>
              </w:rPr>
              <w:t>500万元及以上的为中型企业,营业收入50万元及以</w:t>
            </w:r>
            <w:r>
              <w:rPr>
                <w:rFonts w:hint="eastAsia" w:ascii="仿宋" w:hAnsi="仿宋" w:eastAsia="仿宋" w:cs="仿宋"/>
                <w:color w:val="auto"/>
                <w:spacing w:val="5"/>
                <w:sz w:val="24"/>
                <w:szCs w:val="24"/>
                <w:highlight w:val="none"/>
              </w:rPr>
              <w:t>上</w:t>
            </w:r>
            <w:r>
              <w:rPr>
                <w:rFonts w:hint="eastAsia" w:ascii="仿宋" w:hAnsi="仿宋" w:eastAsia="仿宋" w:cs="仿宋"/>
                <w:color w:val="auto"/>
                <w:spacing w:val="4"/>
                <w:sz w:val="24"/>
                <w:szCs w:val="24"/>
                <w:highlight w:val="none"/>
              </w:rPr>
              <w:t>的为小型企业，营业收入50万元以下的为微型企业。</w:t>
            </w:r>
          </w:p>
          <w:p>
            <w:pPr>
              <w:spacing w:before="183" w:line="360" w:lineRule="auto"/>
              <w:ind w:left="21" w:right="13" w:firstLine="2"/>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2、工业。</w:t>
            </w:r>
            <w:r>
              <w:rPr>
                <w:rFonts w:hint="eastAsia" w:ascii="仿宋" w:hAnsi="仿宋" w:eastAsia="仿宋" w:cs="仿宋"/>
                <w:color w:val="auto"/>
                <w:spacing w:val="4"/>
                <w:sz w:val="24"/>
                <w:szCs w:val="24"/>
                <w:highlight w:val="none"/>
              </w:rPr>
              <w:t>从业人员1000人以下或营业收入40000万元以下的为中小</w:t>
            </w:r>
            <w:r>
              <w:rPr>
                <w:rFonts w:hint="eastAsia" w:ascii="仿宋" w:hAnsi="仿宋" w:eastAsia="仿宋" w:cs="仿宋"/>
                <w:color w:val="auto"/>
                <w:spacing w:val="2"/>
                <w:sz w:val="24"/>
                <w:szCs w:val="24"/>
                <w:highlight w:val="none"/>
              </w:rPr>
              <w:t>微型企业。其中，从业人员300人及以上</w:t>
            </w:r>
            <w:r>
              <w:rPr>
                <w:rFonts w:hint="eastAsia" w:ascii="仿宋" w:hAnsi="仿宋" w:eastAsia="仿宋" w:cs="仿宋"/>
                <w:color w:val="auto"/>
                <w:spacing w:val="1"/>
                <w:sz w:val="24"/>
                <w:szCs w:val="24"/>
                <w:highlight w:val="none"/>
              </w:rPr>
              <w:t>，且营业收入2000万元及以</w:t>
            </w:r>
            <w:r>
              <w:rPr>
                <w:rFonts w:hint="eastAsia" w:ascii="仿宋" w:hAnsi="仿宋" w:eastAsia="仿宋" w:cs="仿宋"/>
                <w:color w:val="auto"/>
                <w:spacing w:val="2"/>
                <w:sz w:val="24"/>
                <w:szCs w:val="24"/>
                <w:highlight w:val="none"/>
              </w:rPr>
              <w:t>上的为中型企业；从业人员20人及以上，且</w:t>
            </w:r>
            <w:r>
              <w:rPr>
                <w:rFonts w:hint="eastAsia" w:ascii="仿宋" w:hAnsi="仿宋" w:eastAsia="仿宋" w:cs="仿宋"/>
                <w:color w:val="auto"/>
                <w:spacing w:val="1"/>
                <w:sz w:val="24"/>
                <w:szCs w:val="24"/>
                <w:highlight w:val="none"/>
              </w:rPr>
              <w:t>营业收入300万元及以上</w:t>
            </w:r>
            <w:r>
              <w:rPr>
                <w:rFonts w:hint="eastAsia" w:ascii="仿宋" w:hAnsi="仿宋" w:eastAsia="仿宋" w:cs="仿宋"/>
                <w:color w:val="auto"/>
                <w:spacing w:val="2"/>
                <w:sz w:val="24"/>
                <w:szCs w:val="24"/>
                <w:highlight w:val="none"/>
              </w:rPr>
              <w:t>的为小型企业；从业人员20人以下或营业收</w:t>
            </w:r>
            <w:r>
              <w:rPr>
                <w:rFonts w:hint="eastAsia" w:ascii="仿宋" w:hAnsi="仿宋" w:eastAsia="仿宋" w:cs="仿宋"/>
                <w:color w:val="auto"/>
                <w:spacing w:val="1"/>
                <w:sz w:val="24"/>
                <w:szCs w:val="24"/>
                <w:highlight w:val="none"/>
              </w:rPr>
              <w:t>入300万元以下的为微型</w:t>
            </w:r>
            <w:r>
              <w:rPr>
                <w:rFonts w:hint="eastAsia" w:ascii="仿宋" w:hAnsi="仿宋" w:eastAsia="仿宋" w:cs="仿宋"/>
                <w:color w:val="auto"/>
                <w:spacing w:val="4"/>
                <w:sz w:val="24"/>
                <w:szCs w:val="24"/>
                <w:highlight w:val="none"/>
              </w:rPr>
              <w:t>企</w:t>
            </w:r>
            <w:r>
              <w:rPr>
                <w:rFonts w:hint="eastAsia" w:ascii="仿宋" w:hAnsi="仿宋" w:eastAsia="仿宋" w:cs="仿宋"/>
                <w:color w:val="auto"/>
                <w:spacing w:val="3"/>
                <w:sz w:val="24"/>
                <w:szCs w:val="24"/>
                <w:highlight w:val="none"/>
              </w:rPr>
              <w:t>业。</w:t>
            </w:r>
          </w:p>
          <w:p>
            <w:pPr>
              <w:spacing w:before="173" w:afterAutospacing="0" w:line="360" w:lineRule="auto"/>
              <w:ind w:left="23" w:right="15" w:firstLine="2"/>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3、建</w:t>
            </w:r>
            <w:r>
              <w:rPr>
                <w:rFonts w:hint="eastAsia" w:ascii="仿宋" w:hAnsi="仿宋" w:eastAsia="仿宋" w:cs="仿宋"/>
                <w:color w:val="auto"/>
                <w:spacing w:val="4"/>
                <w:sz w:val="24"/>
                <w:szCs w:val="24"/>
                <w:highlight w:val="none"/>
              </w:rPr>
              <w:t>筑业.营业收入80000万元以下或资产总额80000万元以下的为</w:t>
            </w:r>
            <w:r>
              <w:rPr>
                <w:rFonts w:hint="eastAsia" w:ascii="仿宋" w:hAnsi="仿宋" w:eastAsia="仿宋" w:cs="仿宋"/>
                <w:color w:val="auto"/>
                <w:spacing w:val="2"/>
                <w:sz w:val="24"/>
                <w:szCs w:val="24"/>
                <w:highlight w:val="none"/>
              </w:rPr>
              <w:t>中小微型企业.其中，营业收入600</w:t>
            </w:r>
            <w:r>
              <w:rPr>
                <w:rFonts w:hint="eastAsia" w:ascii="仿宋" w:hAnsi="仿宋" w:eastAsia="仿宋" w:cs="仿宋"/>
                <w:color w:val="auto"/>
                <w:spacing w:val="1"/>
                <w:sz w:val="24"/>
                <w:szCs w:val="24"/>
                <w:highlight w:val="none"/>
              </w:rPr>
              <w:t>0万元及以上，且资产总额5000万</w:t>
            </w:r>
            <w:r>
              <w:rPr>
                <w:rFonts w:hint="eastAsia" w:ascii="仿宋" w:hAnsi="仿宋" w:eastAsia="仿宋" w:cs="仿宋"/>
                <w:color w:val="auto"/>
                <w:spacing w:val="2"/>
                <w:sz w:val="24"/>
                <w:szCs w:val="24"/>
                <w:highlight w:val="none"/>
              </w:rPr>
              <w:t>元及以上的为中型企业;营业收入300</w:t>
            </w:r>
            <w:r>
              <w:rPr>
                <w:rFonts w:hint="eastAsia" w:ascii="仿宋" w:hAnsi="仿宋" w:eastAsia="仿宋" w:cs="仿宋"/>
                <w:color w:val="auto"/>
                <w:spacing w:val="1"/>
                <w:sz w:val="24"/>
                <w:szCs w:val="24"/>
                <w:highlight w:val="none"/>
              </w:rPr>
              <w:t>万元及以上，且资产总额300万</w:t>
            </w:r>
            <w:r>
              <w:rPr>
                <w:rFonts w:hint="eastAsia" w:ascii="仿宋" w:hAnsi="仿宋" w:eastAsia="仿宋" w:cs="仿宋"/>
                <w:color w:val="auto"/>
                <w:spacing w:val="8"/>
                <w:sz w:val="24"/>
                <w:szCs w:val="24"/>
                <w:highlight w:val="none"/>
              </w:rPr>
              <w:t>元及以上的为</w:t>
            </w:r>
            <w:r>
              <w:rPr>
                <w:rFonts w:hint="eastAsia" w:ascii="仿宋" w:hAnsi="仿宋" w:eastAsia="仿宋" w:cs="仿宋"/>
                <w:color w:val="auto"/>
                <w:spacing w:val="7"/>
                <w:sz w:val="24"/>
                <w:szCs w:val="24"/>
                <w:highlight w:val="none"/>
              </w:rPr>
              <w:t>小</w:t>
            </w:r>
            <w:r>
              <w:rPr>
                <w:rFonts w:hint="eastAsia" w:ascii="仿宋" w:hAnsi="仿宋" w:eastAsia="仿宋" w:cs="仿宋"/>
                <w:color w:val="auto"/>
                <w:spacing w:val="4"/>
                <w:sz w:val="24"/>
                <w:szCs w:val="24"/>
                <w:highlight w:val="none"/>
              </w:rPr>
              <w:t>型企业；营业收入300万元以下或资产总额300万元</w:t>
            </w:r>
            <w:r>
              <w:rPr>
                <w:rFonts w:hint="eastAsia" w:ascii="仿宋" w:hAnsi="仿宋" w:eastAsia="仿宋" w:cs="仿宋"/>
                <w:color w:val="auto"/>
                <w:spacing w:val="12"/>
                <w:sz w:val="24"/>
                <w:szCs w:val="24"/>
                <w:highlight w:val="none"/>
              </w:rPr>
              <w:t>以</w:t>
            </w:r>
            <w:r>
              <w:rPr>
                <w:rFonts w:hint="eastAsia" w:ascii="仿宋" w:hAnsi="仿宋" w:eastAsia="仿宋" w:cs="仿宋"/>
                <w:color w:val="auto"/>
                <w:spacing w:val="7"/>
                <w:sz w:val="24"/>
                <w:szCs w:val="24"/>
                <w:highlight w:val="none"/>
              </w:rPr>
              <w:t>下的为微型企业。</w:t>
            </w:r>
          </w:p>
          <w:p>
            <w:pPr>
              <w:spacing w:before="120" w:beforeAutospacing="0" w:after="159" w:afterLines="50" w:afterAutospacing="0" w:line="360" w:lineRule="auto"/>
              <w:ind w:left="27" w:firstLine="13"/>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4、批发业。从业人员200人以下或营业</w:t>
            </w:r>
            <w:r>
              <w:rPr>
                <w:rFonts w:hint="eastAsia" w:ascii="仿宋" w:hAnsi="仿宋" w:eastAsia="仿宋" w:cs="仿宋"/>
                <w:color w:val="auto"/>
                <w:spacing w:val="1"/>
                <w:sz w:val="24"/>
                <w:szCs w:val="24"/>
                <w:highlight w:val="none"/>
              </w:rPr>
              <w:t>收入40000万元以下的为中小</w:t>
            </w:r>
            <w:r>
              <w:rPr>
                <w:rFonts w:hint="eastAsia" w:ascii="仿宋" w:hAnsi="仿宋" w:eastAsia="仿宋" w:cs="仿宋"/>
                <w:color w:val="auto"/>
                <w:spacing w:val="2"/>
                <w:sz w:val="24"/>
                <w:szCs w:val="24"/>
                <w:highlight w:val="none"/>
              </w:rPr>
              <w:t>微型企业。其中，从业人员20人及以上,</w:t>
            </w:r>
            <w:r>
              <w:rPr>
                <w:rFonts w:hint="eastAsia" w:ascii="仿宋" w:hAnsi="仿宋" w:eastAsia="仿宋" w:cs="仿宋"/>
                <w:color w:val="auto"/>
                <w:spacing w:val="1"/>
                <w:sz w:val="24"/>
                <w:szCs w:val="24"/>
                <w:highlight w:val="none"/>
              </w:rPr>
              <w:t>且营业收入5000万元及以上</w:t>
            </w:r>
            <w:r>
              <w:rPr>
                <w:rFonts w:hint="eastAsia" w:ascii="仿宋" w:hAnsi="仿宋" w:eastAsia="仿宋" w:cs="仿宋"/>
                <w:color w:val="auto"/>
                <w:spacing w:val="4"/>
                <w:sz w:val="24"/>
                <w:szCs w:val="24"/>
                <w:highlight w:val="none"/>
              </w:rPr>
              <w:t>的为中型企业;从</w:t>
            </w:r>
            <w:r>
              <w:rPr>
                <w:rFonts w:hint="eastAsia" w:ascii="仿宋" w:hAnsi="仿宋" w:eastAsia="仿宋" w:cs="仿宋"/>
                <w:color w:val="auto"/>
                <w:spacing w:val="3"/>
                <w:sz w:val="24"/>
                <w:szCs w:val="24"/>
                <w:highlight w:val="none"/>
              </w:rPr>
              <w:t>业</w:t>
            </w:r>
            <w:r>
              <w:rPr>
                <w:rFonts w:hint="eastAsia" w:ascii="仿宋" w:hAnsi="仿宋" w:eastAsia="仿宋" w:cs="仿宋"/>
                <w:color w:val="auto"/>
                <w:spacing w:val="2"/>
                <w:sz w:val="24"/>
                <w:szCs w:val="24"/>
                <w:highlight w:val="none"/>
              </w:rPr>
              <w:t>人员5人及以上,且营业收入1000万元及以上的为小型企业;从业人员5人以下或营业收入1000万元以下的为微型</w:t>
            </w:r>
            <w:r>
              <w:rPr>
                <w:rFonts w:hint="eastAsia" w:ascii="仿宋" w:hAnsi="仿宋" w:eastAsia="仿宋" w:cs="仿宋"/>
                <w:color w:val="auto"/>
                <w:spacing w:val="1"/>
                <w:sz w:val="24"/>
                <w:szCs w:val="24"/>
                <w:highlight w:val="none"/>
              </w:rPr>
              <w:t>企</w:t>
            </w:r>
            <w:r>
              <w:rPr>
                <w:rFonts w:hint="eastAsia" w:ascii="仿宋" w:hAnsi="仿宋" w:eastAsia="仿宋" w:cs="仿宋"/>
                <w:color w:val="auto"/>
                <w:sz w:val="24"/>
                <w:szCs w:val="24"/>
                <w:highlight w:val="none"/>
              </w:rPr>
              <w:t>业。</w:t>
            </w:r>
          </w:p>
          <w:p>
            <w:pPr>
              <w:spacing w:beforeAutospacing="0" w:line="360" w:lineRule="auto"/>
              <w:ind w:left="20" w:right="15" w:firstLine="5"/>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5、零售业。从业人员300</w:t>
            </w:r>
            <w:r>
              <w:rPr>
                <w:rFonts w:hint="eastAsia" w:ascii="仿宋" w:hAnsi="仿宋" w:eastAsia="仿宋" w:cs="仿宋"/>
                <w:color w:val="auto"/>
                <w:spacing w:val="1"/>
                <w:sz w:val="24"/>
                <w:szCs w:val="24"/>
                <w:highlight w:val="none"/>
              </w:rPr>
              <w:t>人以下或营业收入20000万元以下的为中小</w:t>
            </w:r>
            <w:r>
              <w:rPr>
                <w:rFonts w:hint="eastAsia" w:ascii="仿宋" w:hAnsi="仿宋" w:eastAsia="仿宋" w:cs="仿宋"/>
                <w:color w:val="auto"/>
                <w:spacing w:val="2"/>
                <w:sz w:val="24"/>
                <w:szCs w:val="24"/>
                <w:highlight w:val="none"/>
              </w:rPr>
              <w:t>微型企业。其中，从业人员50人及以上，且营</w:t>
            </w:r>
            <w:r>
              <w:rPr>
                <w:rFonts w:hint="eastAsia" w:ascii="仿宋" w:hAnsi="仿宋" w:eastAsia="仿宋" w:cs="仿宋"/>
                <w:color w:val="auto"/>
                <w:spacing w:val="1"/>
                <w:sz w:val="24"/>
                <w:szCs w:val="24"/>
                <w:highlight w:val="none"/>
              </w:rPr>
              <w:t>业收入500万元及以上</w:t>
            </w:r>
            <w:r>
              <w:rPr>
                <w:rFonts w:hint="eastAsia" w:ascii="仿宋" w:hAnsi="仿宋" w:eastAsia="仿宋" w:cs="仿宋"/>
                <w:color w:val="auto"/>
                <w:spacing w:val="2"/>
                <w:sz w:val="24"/>
                <w:szCs w:val="24"/>
                <w:highlight w:val="none"/>
              </w:rPr>
              <w:t>的为中型企业；从业人员10人及以上，且营业</w:t>
            </w:r>
            <w:r>
              <w:rPr>
                <w:rFonts w:hint="eastAsia" w:ascii="仿宋" w:hAnsi="仿宋" w:eastAsia="仿宋" w:cs="仿宋"/>
                <w:color w:val="auto"/>
                <w:spacing w:val="1"/>
                <w:sz w:val="24"/>
                <w:szCs w:val="24"/>
                <w:highlight w:val="none"/>
              </w:rPr>
              <w:t>收入100万元及以上的</w:t>
            </w:r>
            <w:r>
              <w:rPr>
                <w:rFonts w:hint="eastAsia" w:ascii="仿宋" w:hAnsi="仿宋" w:eastAsia="仿宋" w:cs="仿宋"/>
                <w:color w:val="auto"/>
                <w:spacing w:val="2"/>
                <w:sz w:val="24"/>
                <w:szCs w:val="24"/>
                <w:highlight w:val="none"/>
              </w:rPr>
              <w:t>为小型企业；从业人员10人以下或营业收入</w:t>
            </w:r>
            <w:r>
              <w:rPr>
                <w:rFonts w:hint="eastAsia" w:ascii="仿宋" w:hAnsi="仿宋" w:eastAsia="仿宋" w:cs="仿宋"/>
                <w:color w:val="auto"/>
                <w:spacing w:val="1"/>
                <w:sz w:val="24"/>
                <w:szCs w:val="24"/>
                <w:highlight w:val="none"/>
              </w:rPr>
              <w:t>100万元以下的为微型企</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1"/>
                <w:sz w:val="24"/>
                <w:szCs w:val="24"/>
                <w:highlight w:val="none"/>
              </w:rPr>
              <w:t>业</w:t>
            </w:r>
            <w:r>
              <w:rPr>
                <w:rFonts w:hint="eastAsia" w:ascii="仿宋" w:hAnsi="仿宋" w:eastAsia="仿宋" w:cs="仿宋"/>
                <w:color w:val="auto"/>
                <w:sz w:val="24"/>
                <w:szCs w:val="24"/>
                <w:highlight w:val="none"/>
              </w:rPr>
              <w:t>。</w:t>
            </w:r>
          </w:p>
          <w:p>
            <w:pPr>
              <w:spacing w:before="168" w:line="360" w:lineRule="auto"/>
              <w:ind w:left="20" w:right="15" w:firstLine="2"/>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6、交通</w:t>
            </w:r>
            <w:r>
              <w:rPr>
                <w:rFonts w:hint="eastAsia" w:ascii="仿宋" w:hAnsi="仿宋" w:eastAsia="仿宋" w:cs="仿宋"/>
                <w:color w:val="auto"/>
                <w:spacing w:val="7"/>
                <w:sz w:val="24"/>
                <w:szCs w:val="24"/>
                <w:highlight w:val="none"/>
              </w:rPr>
              <w:t>运</w:t>
            </w:r>
            <w:r>
              <w:rPr>
                <w:rFonts w:hint="eastAsia" w:ascii="仿宋" w:hAnsi="仿宋" w:eastAsia="仿宋" w:cs="仿宋"/>
                <w:color w:val="auto"/>
                <w:spacing w:val="4"/>
                <w:sz w:val="24"/>
                <w:szCs w:val="24"/>
                <w:highlight w:val="none"/>
              </w:rPr>
              <w:t>输业。从业人员1000人以下或营业收入30000万元以下的</w:t>
            </w:r>
            <w:r>
              <w:rPr>
                <w:rFonts w:hint="eastAsia" w:ascii="仿宋" w:hAnsi="仿宋" w:eastAsia="仿宋" w:cs="仿宋"/>
                <w:color w:val="auto"/>
                <w:spacing w:val="8"/>
                <w:sz w:val="24"/>
                <w:szCs w:val="24"/>
                <w:highlight w:val="none"/>
              </w:rPr>
              <w:t>为中小微型企</w:t>
            </w:r>
            <w:r>
              <w:rPr>
                <w:rFonts w:hint="eastAsia" w:ascii="仿宋" w:hAnsi="仿宋" w:eastAsia="仿宋" w:cs="仿宋"/>
                <w:color w:val="auto"/>
                <w:spacing w:val="6"/>
                <w:sz w:val="24"/>
                <w:szCs w:val="24"/>
                <w:highlight w:val="none"/>
              </w:rPr>
              <w:t>业</w:t>
            </w:r>
            <w:r>
              <w:rPr>
                <w:rFonts w:hint="eastAsia" w:ascii="仿宋" w:hAnsi="仿宋" w:eastAsia="仿宋" w:cs="仿宋"/>
                <w:color w:val="auto"/>
                <w:spacing w:val="4"/>
                <w:sz w:val="24"/>
                <w:szCs w:val="24"/>
                <w:highlight w:val="none"/>
              </w:rPr>
              <w:t>.其中，从业人员300人及以上，且营业收入3000万</w:t>
            </w:r>
            <w:r>
              <w:rPr>
                <w:rFonts w:hint="eastAsia" w:ascii="仿宋" w:hAnsi="仿宋" w:eastAsia="仿宋" w:cs="仿宋"/>
                <w:color w:val="auto"/>
                <w:spacing w:val="2"/>
                <w:sz w:val="24"/>
                <w:szCs w:val="24"/>
                <w:highlight w:val="none"/>
              </w:rPr>
              <w:t>元及以上的为中型企业；从业人员20人及以上</w:t>
            </w:r>
            <w:r>
              <w:rPr>
                <w:rFonts w:hint="eastAsia" w:ascii="仿宋" w:hAnsi="仿宋" w:eastAsia="仿宋" w:cs="仿宋"/>
                <w:color w:val="auto"/>
                <w:spacing w:val="1"/>
                <w:sz w:val="24"/>
                <w:szCs w:val="24"/>
                <w:highlight w:val="none"/>
              </w:rPr>
              <w:t>，且营业收入200万元</w:t>
            </w:r>
            <w:r>
              <w:rPr>
                <w:rFonts w:hint="eastAsia" w:ascii="仿宋" w:hAnsi="仿宋" w:eastAsia="仿宋" w:cs="仿宋"/>
                <w:color w:val="auto"/>
                <w:spacing w:val="2"/>
                <w:sz w:val="24"/>
                <w:szCs w:val="24"/>
                <w:highlight w:val="none"/>
              </w:rPr>
              <w:t>及以上的为小型企业；从业人员20人以下或营</w:t>
            </w:r>
            <w:r>
              <w:rPr>
                <w:rFonts w:hint="eastAsia" w:ascii="仿宋" w:hAnsi="仿宋" w:eastAsia="仿宋" w:cs="仿宋"/>
                <w:color w:val="auto"/>
                <w:spacing w:val="1"/>
                <w:sz w:val="24"/>
                <w:szCs w:val="24"/>
                <w:highlight w:val="none"/>
              </w:rPr>
              <w:t>业收入200万元以下的</w:t>
            </w:r>
            <w:r>
              <w:rPr>
                <w:rFonts w:hint="eastAsia" w:ascii="仿宋" w:hAnsi="仿宋" w:eastAsia="仿宋" w:cs="仿宋"/>
                <w:color w:val="auto"/>
                <w:spacing w:val="7"/>
                <w:sz w:val="24"/>
                <w:szCs w:val="24"/>
                <w:highlight w:val="none"/>
              </w:rPr>
              <w:t>为微型企业</w:t>
            </w:r>
            <w:r>
              <w:rPr>
                <w:rFonts w:hint="eastAsia" w:ascii="仿宋" w:hAnsi="仿宋" w:eastAsia="仿宋" w:cs="仿宋"/>
                <w:color w:val="auto"/>
                <w:spacing w:val="6"/>
                <w:sz w:val="24"/>
                <w:szCs w:val="24"/>
                <w:highlight w:val="none"/>
              </w:rPr>
              <w:t>。</w:t>
            </w:r>
          </w:p>
          <w:p>
            <w:pPr>
              <w:spacing w:before="182" w:line="360" w:lineRule="auto"/>
              <w:ind w:left="20" w:right="13" w:firstLine="6"/>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7、仓储业。从业人员200</w:t>
            </w:r>
            <w:r>
              <w:rPr>
                <w:rFonts w:hint="eastAsia" w:ascii="仿宋" w:hAnsi="仿宋" w:eastAsia="仿宋" w:cs="仿宋"/>
                <w:color w:val="auto"/>
                <w:spacing w:val="1"/>
                <w:sz w:val="24"/>
                <w:szCs w:val="24"/>
                <w:highlight w:val="none"/>
              </w:rPr>
              <w:t>人以下或营业收入30000万元以下的为中小</w:t>
            </w:r>
            <w:r>
              <w:rPr>
                <w:rFonts w:hint="eastAsia" w:ascii="仿宋" w:hAnsi="仿宋" w:eastAsia="仿宋" w:cs="仿宋"/>
                <w:color w:val="auto"/>
                <w:spacing w:val="2"/>
                <w:sz w:val="24"/>
                <w:szCs w:val="24"/>
                <w:highlight w:val="none"/>
              </w:rPr>
              <w:t>微型企业.其中,从业人员100人及以上</w:t>
            </w:r>
            <w:r>
              <w:rPr>
                <w:rFonts w:hint="eastAsia" w:ascii="仿宋" w:hAnsi="仿宋" w:eastAsia="仿宋" w:cs="仿宋"/>
                <w:color w:val="auto"/>
                <w:spacing w:val="1"/>
                <w:sz w:val="24"/>
                <w:szCs w:val="24"/>
                <w:highlight w:val="none"/>
              </w:rPr>
              <w:t>，且营业收入1000万元及以上</w:t>
            </w:r>
            <w:r>
              <w:rPr>
                <w:rFonts w:hint="eastAsia" w:ascii="仿宋" w:hAnsi="仿宋" w:eastAsia="仿宋" w:cs="仿宋"/>
                <w:color w:val="auto"/>
                <w:spacing w:val="5"/>
                <w:sz w:val="24"/>
                <w:szCs w:val="24"/>
                <w:highlight w:val="none"/>
              </w:rPr>
              <w:t>的为中型企业；从业人员20人及以上,且营业收入100万元及以</w:t>
            </w:r>
            <w:r>
              <w:rPr>
                <w:rFonts w:hint="eastAsia" w:ascii="仿宋" w:hAnsi="仿宋" w:eastAsia="仿宋" w:cs="仿宋"/>
                <w:color w:val="auto"/>
                <w:spacing w:val="4"/>
                <w:sz w:val="24"/>
                <w:szCs w:val="24"/>
                <w:highlight w:val="none"/>
              </w:rPr>
              <w:t>上</w:t>
            </w:r>
            <w:r>
              <w:rPr>
                <w:rFonts w:hint="eastAsia" w:ascii="仿宋" w:hAnsi="仿宋" w:eastAsia="仿宋" w:cs="仿宋"/>
                <w:color w:val="auto"/>
                <w:sz w:val="24"/>
                <w:szCs w:val="24"/>
                <w:highlight w:val="none"/>
              </w:rPr>
              <w:t>的</w:t>
            </w:r>
            <w:r>
              <w:rPr>
                <w:rFonts w:hint="eastAsia" w:ascii="仿宋" w:hAnsi="仿宋" w:eastAsia="仿宋" w:cs="仿宋"/>
                <w:color w:val="auto"/>
                <w:spacing w:val="5"/>
                <w:sz w:val="24"/>
                <w:szCs w:val="24"/>
                <w:highlight w:val="none"/>
              </w:rPr>
              <w:t>为小型企业;从业人员20人以下或营业收入100万元以下的为微型</w:t>
            </w:r>
            <w:r>
              <w:rPr>
                <w:rFonts w:hint="eastAsia" w:ascii="仿宋" w:hAnsi="仿宋" w:eastAsia="仿宋" w:cs="仿宋"/>
                <w:color w:val="auto"/>
                <w:spacing w:val="1"/>
                <w:sz w:val="24"/>
                <w:szCs w:val="24"/>
                <w:highlight w:val="none"/>
              </w:rPr>
              <w:t>企业</w:t>
            </w:r>
            <w:r>
              <w:rPr>
                <w:rFonts w:hint="eastAsia" w:ascii="仿宋" w:hAnsi="仿宋" w:eastAsia="仿宋" w:cs="仿宋"/>
                <w:color w:val="auto"/>
                <w:sz w:val="24"/>
                <w:szCs w:val="24"/>
                <w:highlight w:val="none"/>
              </w:rPr>
              <w:t>。</w:t>
            </w:r>
          </w:p>
          <w:p>
            <w:pPr>
              <w:spacing w:before="165" w:line="360" w:lineRule="auto"/>
              <w:ind w:left="21" w:right="15"/>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8、邮政业.从业人员1000人以</w:t>
            </w:r>
            <w:r>
              <w:rPr>
                <w:rFonts w:hint="eastAsia" w:ascii="仿宋" w:hAnsi="仿宋" w:eastAsia="仿宋" w:cs="仿宋"/>
                <w:color w:val="auto"/>
                <w:spacing w:val="1"/>
                <w:sz w:val="24"/>
                <w:szCs w:val="24"/>
                <w:highlight w:val="none"/>
              </w:rPr>
              <w:t>下或营业收入30000万元以下的为中小</w:t>
            </w:r>
            <w:r>
              <w:rPr>
                <w:rFonts w:hint="eastAsia" w:ascii="仿宋" w:hAnsi="仿宋" w:eastAsia="仿宋" w:cs="仿宋"/>
                <w:color w:val="auto"/>
                <w:spacing w:val="2"/>
                <w:sz w:val="24"/>
                <w:szCs w:val="24"/>
                <w:highlight w:val="none"/>
              </w:rPr>
              <w:t>微型企业。其中，从业人员300人及以上</w:t>
            </w:r>
            <w:r>
              <w:rPr>
                <w:rFonts w:hint="eastAsia" w:ascii="仿宋" w:hAnsi="仿宋" w:eastAsia="仿宋" w:cs="仿宋"/>
                <w:color w:val="auto"/>
                <w:spacing w:val="1"/>
                <w:sz w:val="24"/>
                <w:szCs w:val="24"/>
                <w:highlight w:val="none"/>
              </w:rPr>
              <w:t>，且营业收入2000万元及以</w:t>
            </w:r>
            <w:r>
              <w:rPr>
                <w:rFonts w:hint="eastAsia" w:ascii="仿宋" w:hAnsi="仿宋" w:eastAsia="仿宋" w:cs="仿宋"/>
                <w:color w:val="auto"/>
                <w:spacing w:val="5"/>
                <w:sz w:val="24"/>
                <w:szCs w:val="24"/>
                <w:highlight w:val="none"/>
              </w:rPr>
              <w:t>上的为中型企业；从业人员20人及以上,且营业收入100万元及</w:t>
            </w:r>
            <w:r>
              <w:rPr>
                <w:rFonts w:hint="eastAsia" w:ascii="仿宋" w:hAnsi="仿宋" w:eastAsia="仿宋" w:cs="仿宋"/>
                <w:color w:val="auto"/>
                <w:spacing w:val="3"/>
                <w:sz w:val="24"/>
                <w:szCs w:val="24"/>
                <w:highlight w:val="none"/>
              </w:rPr>
              <w:t>以</w:t>
            </w:r>
            <w:r>
              <w:rPr>
                <w:rFonts w:hint="eastAsia" w:ascii="仿宋" w:hAnsi="仿宋" w:eastAsia="仿宋" w:cs="仿宋"/>
                <w:color w:val="auto"/>
                <w:sz w:val="24"/>
                <w:szCs w:val="24"/>
                <w:highlight w:val="none"/>
              </w:rPr>
              <w:t>上</w:t>
            </w:r>
            <w:r>
              <w:rPr>
                <w:rFonts w:hint="eastAsia" w:ascii="仿宋" w:hAnsi="仿宋" w:eastAsia="仿宋" w:cs="仿宋"/>
                <w:color w:val="auto"/>
                <w:spacing w:val="2"/>
                <w:sz w:val="24"/>
                <w:szCs w:val="24"/>
                <w:highlight w:val="none"/>
              </w:rPr>
              <w:t>的为小型企业；从业人员20人以下或营业收</w:t>
            </w:r>
            <w:r>
              <w:rPr>
                <w:rFonts w:hint="eastAsia" w:ascii="仿宋" w:hAnsi="仿宋" w:eastAsia="仿宋" w:cs="仿宋"/>
                <w:color w:val="auto"/>
                <w:spacing w:val="1"/>
                <w:sz w:val="24"/>
                <w:szCs w:val="24"/>
                <w:highlight w:val="none"/>
              </w:rPr>
              <w:t>入100万元以下的为微型</w:t>
            </w:r>
            <w:r>
              <w:rPr>
                <w:rFonts w:hint="eastAsia" w:ascii="仿宋" w:hAnsi="仿宋" w:eastAsia="仿宋" w:cs="仿宋"/>
                <w:color w:val="auto"/>
                <w:spacing w:val="4"/>
                <w:sz w:val="24"/>
                <w:szCs w:val="24"/>
                <w:highlight w:val="none"/>
              </w:rPr>
              <w:t>企</w:t>
            </w:r>
            <w:r>
              <w:rPr>
                <w:rFonts w:hint="eastAsia" w:ascii="仿宋" w:hAnsi="仿宋" w:eastAsia="仿宋" w:cs="仿宋"/>
                <w:color w:val="auto"/>
                <w:spacing w:val="3"/>
                <w:sz w:val="24"/>
                <w:szCs w:val="24"/>
                <w:highlight w:val="none"/>
              </w:rPr>
              <w:t>业。</w:t>
            </w:r>
          </w:p>
          <w:p>
            <w:pPr>
              <w:spacing w:before="167" w:afterAutospacing="0" w:line="360" w:lineRule="auto"/>
              <w:ind w:left="20" w:right="15" w:firstLine="1"/>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9、住宿业</w:t>
            </w:r>
            <w:r>
              <w:rPr>
                <w:rFonts w:hint="eastAsia" w:ascii="仿宋" w:hAnsi="仿宋" w:eastAsia="仿宋" w:cs="仿宋"/>
                <w:color w:val="auto"/>
                <w:spacing w:val="4"/>
                <w:sz w:val="24"/>
                <w:szCs w:val="24"/>
                <w:highlight w:val="none"/>
              </w:rPr>
              <w:t>.从业人员300人以下或营业收入10000万元以下的为中小</w:t>
            </w:r>
            <w:r>
              <w:rPr>
                <w:rFonts w:hint="eastAsia" w:ascii="仿宋" w:hAnsi="仿宋" w:eastAsia="仿宋" w:cs="仿宋"/>
                <w:color w:val="auto"/>
                <w:spacing w:val="2"/>
                <w:sz w:val="24"/>
                <w:szCs w:val="24"/>
                <w:highlight w:val="none"/>
              </w:rPr>
              <w:t>微型企业.其中,从业人员100人及以上</w:t>
            </w:r>
            <w:r>
              <w:rPr>
                <w:rFonts w:hint="eastAsia" w:ascii="仿宋" w:hAnsi="仿宋" w:eastAsia="仿宋" w:cs="仿宋"/>
                <w:color w:val="auto"/>
                <w:spacing w:val="1"/>
                <w:sz w:val="24"/>
                <w:szCs w:val="24"/>
                <w:highlight w:val="none"/>
              </w:rPr>
              <w:t>，且营业收入2000万元及以上</w:t>
            </w:r>
            <w:r>
              <w:rPr>
                <w:rFonts w:hint="eastAsia" w:ascii="仿宋" w:hAnsi="仿宋" w:eastAsia="仿宋" w:cs="仿宋"/>
                <w:color w:val="auto"/>
                <w:spacing w:val="5"/>
                <w:sz w:val="24"/>
                <w:szCs w:val="24"/>
                <w:highlight w:val="none"/>
              </w:rPr>
              <w:t>的为中型企业；从业人员10人及以上,且营业收入100万元及以</w:t>
            </w:r>
            <w:r>
              <w:rPr>
                <w:rFonts w:hint="eastAsia" w:ascii="仿宋" w:hAnsi="仿宋" w:eastAsia="仿宋" w:cs="仿宋"/>
                <w:color w:val="auto"/>
                <w:spacing w:val="4"/>
                <w:sz w:val="24"/>
                <w:szCs w:val="24"/>
                <w:highlight w:val="none"/>
              </w:rPr>
              <w:t>上</w:t>
            </w:r>
            <w:r>
              <w:rPr>
                <w:rFonts w:hint="eastAsia" w:ascii="仿宋" w:hAnsi="仿宋" w:eastAsia="仿宋" w:cs="仿宋"/>
                <w:color w:val="auto"/>
                <w:sz w:val="24"/>
                <w:szCs w:val="24"/>
                <w:highlight w:val="none"/>
              </w:rPr>
              <w:t>的</w:t>
            </w:r>
            <w:r>
              <w:rPr>
                <w:rFonts w:hint="eastAsia" w:ascii="仿宋" w:hAnsi="仿宋" w:eastAsia="仿宋" w:cs="仿宋"/>
                <w:color w:val="auto"/>
                <w:spacing w:val="2"/>
                <w:sz w:val="24"/>
                <w:szCs w:val="24"/>
                <w:highlight w:val="none"/>
              </w:rPr>
              <w:t>为小型企业；从业人员10人以下或营业收入</w:t>
            </w:r>
            <w:r>
              <w:rPr>
                <w:rFonts w:hint="eastAsia" w:ascii="仿宋" w:hAnsi="仿宋" w:eastAsia="仿宋" w:cs="仿宋"/>
                <w:color w:val="auto"/>
                <w:spacing w:val="1"/>
                <w:sz w:val="24"/>
                <w:szCs w:val="24"/>
                <w:highlight w:val="none"/>
              </w:rPr>
              <w:t>100万元以下的为微型企业</w:t>
            </w:r>
            <w:r>
              <w:rPr>
                <w:rFonts w:hint="eastAsia" w:ascii="仿宋" w:hAnsi="仿宋" w:eastAsia="仿宋" w:cs="仿宋"/>
                <w:color w:val="auto"/>
                <w:sz w:val="24"/>
                <w:szCs w:val="24"/>
                <w:highlight w:val="none"/>
              </w:rPr>
              <w:t>。</w:t>
            </w:r>
          </w:p>
          <w:p>
            <w:pPr>
              <w:spacing w:before="156" w:beforeAutospacing="0" w:after="159" w:afterLines="50" w:afterAutospacing="0" w:line="360" w:lineRule="auto"/>
              <w:ind w:left="28" w:right="15" w:hanging="5"/>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1</w:t>
            </w:r>
            <w:r>
              <w:rPr>
                <w:rFonts w:hint="eastAsia" w:ascii="仿宋" w:hAnsi="仿宋" w:eastAsia="仿宋" w:cs="仿宋"/>
                <w:color w:val="auto"/>
                <w:spacing w:val="4"/>
                <w:sz w:val="24"/>
                <w:szCs w:val="24"/>
                <w:highlight w:val="none"/>
              </w:rPr>
              <w:t>0、餐饮业。从业人员300人以下或营业收入10000万元以下的为中</w:t>
            </w:r>
            <w:r>
              <w:rPr>
                <w:rFonts w:hint="eastAsia" w:ascii="仿宋" w:hAnsi="仿宋" w:eastAsia="仿宋" w:cs="仿宋"/>
                <w:color w:val="auto"/>
                <w:spacing w:val="2"/>
                <w:sz w:val="24"/>
                <w:szCs w:val="24"/>
                <w:highlight w:val="none"/>
              </w:rPr>
              <w:t>小微型企业。其中，从业人员</w:t>
            </w:r>
            <w:r>
              <w:rPr>
                <w:rFonts w:hint="eastAsia" w:ascii="仿宋" w:hAnsi="仿宋" w:eastAsia="仿宋" w:cs="仿宋"/>
                <w:color w:val="auto"/>
                <w:spacing w:val="1"/>
                <w:sz w:val="24"/>
                <w:szCs w:val="24"/>
                <w:highlight w:val="none"/>
              </w:rPr>
              <w:t>100人及以上，且营业收入2000万元及</w:t>
            </w:r>
            <w:r>
              <w:rPr>
                <w:rFonts w:hint="eastAsia" w:ascii="仿宋" w:hAnsi="仿宋" w:eastAsia="仿宋" w:cs="仿宋"/>
                <w:color w:val="auto"/>
                <w:spacing w:val="8"/>
                <w:sz w:val="24"/>
                <w:szCs w:val="24"/>
                <w:highlight w:val="none"/>
              </w:rPr>
              <w:t>以上的为中</w:t>
            </w:r>
            <w:r>
              <w:rPr>
                <w:rFonts w:hint="eastAsia" w:ascii="仿宋" w:hAnsi="仿宋" w:eastAsia="仿宋" w:cs="仿宋"/>
                <w:color w:val="auto"/>
                <w:spacing w:val="6"/>
                <w:sz w:val="24"/>
                <w:szCs w:val="24"/>
                <w:highlight w:val="none"/>
              </w:rPr>
              <w:t>型</w:t>
            </w:r>
            <w:r>
              <w:rPr>
                <w:rFonts w:hint="eastAsia" w:ascii="仿宋" w:hAnsi="仿宋" w:eastAsia="仿宋" w:cs="仿宋"/>
                <w:color w:val="auto"/>
                <w:spacing w:val="4"/>
                <w:sz w:val="24"/>
                <w:szCs w:val="24"/>
                <w:highlight w:val="none"/>
              </w:rPr>
              <w:t>企业；从业人员10人及以上,且营业收入100万元及以</w:t>
            </w:r>
            <w:r>
              <w:rPr>
                <w:rFonts w:hint="eastAsia" w:ascii="仿宋" w:hAnsi="仿宋" w:eastAsia="仿宋" w:cs="仿宋"/>
                <w:color w:val="auto"/>
                <w:spacing w:val="2"/>
                <w:sz w:val="24"/>
                <w:szCs w:val="24"/>
                <w:highlight w:val="none"/>
              </w:rPr>
              <w:t>上的为小型企业；从业人员10人以下或</w:t>
            </w:r>
            <w:r>
              <w:rPr>
                <w:rFonts w:hint="eastAsia" w:ascii="仿宋" w:hAnsi="仿宋" w:eastAsia="仿宋" w:cs="仿宋"/>
                <w:color w:val="auto"/>
                <w:spacing w:val="1"/>
                <w:sz w:val="24"/>
                <w:szCs w:val="24"/>
                <w:highlight w:val="none"/>
              </w:rPr>
              <w:t>营业收入100万元以下的为微</w:t>
            </w:r>
            <w:r>
              <w:rPr>
                <w:rFonts w:hint="eastAsia" w:ascii="仿宋" w:hAnsi="仿宋" w:eastAsia="仿宋" w:cs="仿宋"/>
                <w:color w:val="auto"/>
                <w:spacing w:val="4"/>
                <w:sz w:val="24"/>
                <w:szCs w:val="24"/>
                <w:highlight w:val="none"/>
              </w:rPr>
              <w:t>型</w:t>
            </w:r>
            <w:r>
              <w:rPr>
                <w:rFonts w:hint="eastAsia" w:ascii="仿宋" w:hAnsi="仿宋" w:eastAsia="仿宋" w:cs="仿宋"/>
                <w:color w:val="auto"/>
                <w:spacing w:val="3"/>
                <w:sz w:val="24"/>
                <w:szCs w:val="24"/>
                <w:highlight w:val="none"/>
              </w:rPr>
              <w:t>企业。</w:t>
            </w:r>
          </w:p>
          <w:p>
            <w:pPr>
              <w:spacing w:beforeAutospacing="0" w:line="360" w:lineRule="auto"/>
              <w:ind w:left="23" w:right="13" w:firstLine="15"/>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1</w:t>
            </w:r>
            <w:r>
              <w:rPr>
                <w:rFonts w:hint="eastAsia" w:ascii="仿宋" w:hAnsi="仿宋" w:eastAsia="仿宋" w:cs="仿宋"/>
                <w:color w:val="auto"/>
                <w:spacing w:val="4"/>
                <w:sz w:val="24"/>
                <w:szCs w:val="24"/>
                <w:highlight w:val="none"/>
              </w:rPr>
              <w:t>1、信息传输业。从业人员2000人以下或营业收入100000万元以下</w:t>
            </w:r>
            <w:r>
              <w:rPr>
                <w:rFonts w:hint="eastAsia" w:ascii="仿宋" w:hAnsi="仿宋" w:eastAsia="仿宋" w:cs="仿宋"/>
                <w:color w:val="auto"/>
                <w:spacing w:val="8"/>
                <w:sz w:val="24"/>
                <w:szCs w:val="24"/>
                <w:highlight w:val="none"/>
              </w:rPr>
              <w:t>的为中小微型企业。其中,从业人员100人及以上，且营业收入100</w:t>
            </w:r>
            <w:r>
              <w:rPr>
                <w:rFonts w:hint="eastAsia" w:ascii="仿宋" w:hAnsi="仿宋" w:eastAsia="仿宋" w:cs="仿宋"/>
                <w:color w:val="auto"/>
                <w:spacing w:val="6"/>
                <w:sz w:val="24"/>
                <w:szCs w:val="24"/>
                <w:highlight w:val="none"/>
              </w:rPr>
              <w:t>0</w:t>
            </w:r>
            <w:r>
              <w:rPr>
                <w:rFonts w:hint="eastAsia" w:ascii="仿宋" w:hAnsi="仿宋" w:eastAsia="仿宋" w:cs="仿宋"/>
                <w:color w:val="auto"/>
                <w:spacing w:val="8"/>
                <w:sz w:val="24"/>
                <w:szCs w:val="24"/>
                <w:highlight w:val="none"/>
              </w:rPr>
              <w:t>万元及以上的</w:t>
            </w:r>
            <w:r>
              <w:rPr>
                <w:rFonts w:hint="eastAsia" w:ascii="仿宋" w:hAnsi="仿宋" w:eastAsia="仿宋" w:cs="仿宋"/>
                <w:color w:val="auto"/>
                <w:spacing w:val="7"/>
                <w:sz w:val="24"/>
                <w:szCs w:val="24"/>
                <w:highlight w:val="none"/>
              </w:rPr>
              <w:t>为</w:t>
            </w:r>
            <w:r>
              <w:rPr>
                <w:rFonts w:hint="eastAsia" w:ascii="仿宋" w:hAnsi="仿宋" w:eastAsia="仿宋" w:cs="仿宋"/>
                <w:color w:val="auto"/>
                <w:spacing w:val="4"/>
                <w:sz w:val="24"/>
                <w:szCs w:val="24"/>
                <w:highlight w:val="none"/>
              </w:rPr>
              <w:t>中型企业;从业人员10人及以上，且营业收入100 万</w:t>
            </w:r>
            <w:r>
              <w:rPr>
                <w:rFonts w:hint="eastAsia" w:ascii="仿宋" w:hAnsi="仿宋" w:eastAsia="仿宋" w:cs="仿宋"/>
                <w:color w:val="auto"/>
                <w:spacing w:val="2"/>
                <w:sz w:val="24"/>
                <w:szCs w:val="24"/>
                <w:highlight w:val="none"/>
              </w:rPr>
              <w:t>元及以上的为小型企业；从业人员10人</w:t>
            </w:r>
            <w:r>
              <w:rPr>
                <w:rFonts w:hint="eastAsia" w:ascii="仿宋" w:hAnsi="仿宋" w:eastAsia="仿宋" w:cs="仿宋"/>
                <w:color w:val="auto"/>
                <w:spacing w:val="1"/>
                <w:sz w:val="24"/>
                <w:szCs w:val="24"/>
                <w:highlight w:val="none"/>
              </w:rPr>
              <w:t>以下或营业收入100万元以下</w:t>
            </w:r>
            <w:r>
              <w:rPr>
                <w:rFonts w:hint="eastAsia" w:ascii="仿宋" w:hAnsi="仿宋" w:eastAsia="仿宋" w:cs="仿宋"/>
                <w:color w:val="auto"/>
                <w:spacing w:val="7"/>
                <w:sz w:val="24"/>
                <w:szCs w:val="24"/>
                <w:highlight w:val="none"/>
              </w:rPr>
              <w:t>的为微型企业</w:t>
            </w:r>
            <w:r>
              <w:rPr>
                <w:rFonts w:hint="eastAsia" w:ascii="仿宋" w:hAnsi="仿宋" w:eastAsia="仿宋" w:cs="仿宋"/>
                <w:color w:val="auto"/>
                <w:spacing w:val="6"/>
                <w:sz w:val="24"/>
                <w:szCs w:val="24"/>
                <w:highlight w:val="none"/>
              </w:rPr>
              <w:t>。</w:t>
            </w:r>
          </w:p>
          <w:p>
            <w:pPr>
              <w:spacing w:before="183" w:line="360" w:lineRule="auto"/>
              <w:ind w:left="20" w:right="15" w:firstLine="18"/>
              <w:rPr>
                <w:rFonts w:hint="eastAsia" w:ascii="仿宋" w:hAnsi="仿宋" w:eastAsia="仿宋" w:cs="仿宋"/>
                <w:color w:val="auto"/>
                <w:sz w:val="24"/>
                <w:szCs w:val="24"/>
                <w:highlight w:val="none"/>
              </w:rPr>
            </w:pPr>
            <w:r>
              <w:rPr>
                <w:rFonts w:hint="eastAsia" w:ascii="仿宋" w:hAnsi="仿宋" w:eastAsia="仿宋" w:cs="仿宋"/>
                <w:color w:val="auto"/>
                <w:spacing w:val="14"/>
                <w:sz w:val="24"/>
                <w:szCs w:val="24"/>
                <w:highlight w:val="none"/>
              </w:rPr>
              <w:t>1</w:t>
            </w:r>
            <w:r>
              <w:rPr>
                <w:rFonts w:hint="eastAsia" w:ascii="仿宋" w:hAnsi="仿宋" w:eastAsia="仿宋" w:cs="仿宋"/>
                <w:color w:val="auto"/>
                <w:spacing w:val="11"/>
                <w:sz w:val="24"/>
                <w:szCs w:val="24"/>
                <w:highlight w:val="none"/>
              </w:rPr>
              <w:t>2</w:t>
            </w:r>
            <w:r>
              <w:rPr>
                <w:rFonts w:hint="eastAsia" w:ascii="仿宋" w:hAnsi="仿宋" w:eastAsia="仿宋" w:cs="仿宋"/>
                <w:color w:val="auto"/>
                <w:spacing w:val="7"/>
                <w:sz w:val="24"/>
                <w:szCs w:val="24"/>
                <w:highlight w:val="none"/>
              </w:rPr>
              <w:t>、软件和信息技术服务业。从业人员300人以下或营业收入10000</w:t>
            </w:r>
            <w:r>
              <w:rPr>
                <w:rFonts w:hint="eastAsia" w:ascii="仿宋" w:hAnsi="仿宋" w:eastAsia="仿宋" w:cs="仿宋"/>
                <w:color w:val="auto"/>
                <w:spacing w:val="16"/>
                <w:sz w:val="24"/>
                <w:szCs w:val="24"/>
                <w:highlight w:val="none"/>
              </w:rPr>
              <w:t>万元以</w:t>
            </w:r>
            <w:r>
              <w:rPr>
                <w:rFonts w:hint="eastAsia" w:ascii="仿宋" w:hAnsi="仿宋" w:eastAsia="仿宋" w:cs="仿宋"/>
                <w:color w:val="auto"/>
                <w:spacing w:val="9"/>
                <w:sz w:val="24"/>
                <w:szCs w:val="24"/>
                <w:highlight w:val="none"/>
              </w:rPr>
              <w:t>下</w:t>
            </w:r>
            <w:r>
              <w:rPr>
                <w:rFonts w:hint="eastAsia" w:ascii="仿宋" w:hAnsi="仿宋" w:eastAsia="仿宋" w:cs="仿宋"/>
                <w:color w:val="auto"/>
                <w:spacing w:val="8"/>
                <w:sz w:val="24"/>
                <w:szCs w:val="24"/>
                <w:highlight w:val="none"/>
              </w:rPr>
              <w:t>的为中小微型企业。其中，从业人员100人及以上，且营业</w:t>
            </w:r>
            <w:r>
              <w:rPr>
                <w:rFonts w:hint="eastAsia" w:ascii="仿宋" w:hAnsi="仿宋" w:eastAsia="仿宋" w:cs="仿宋"/>
                <w:color w:val="auto"/>
                <w:spacing w:val="2"/>
                <w:sz w:val="24"/>
                <w:szCs w:val="24"/>
                <w:highlight w:val="none"/>
              </w:rPr>
              <w:t>收入1000万元及以上的为中型企业；从业</w:t>
            </w:r>
            <w:r>
              <w:rPr>
                <w:rFonts w:hint="eastAsia" w:ascii="仿宋" w:hAnsi="仿宋" w:eastAsia="仿宋" w:cs="仿宋"/>
                <w:color w:val="auto"/>
                <w:spacing w:val="1"/>
                <w:sz w:val="24"/>
                <w:szCs w:val="24"/>
                <w:highlight w:val="none"/>
              </w:rPr>
              <w:t>人员10人及以上,且营业收</w:t>
            </w:r>
            <w:r>
              <w:rPr>
                <w:rFonts w:hint="eastAsia" w:ascii="仿宋" w:hAnsi="仿宋" w:eastAsia="仿宋" w:cs="仿宋"/>
                <w:color w:val="auto"/>
                <w:spacing w:val="-2"/>
                <w:sz w:val="24"/>
                <w:szCs w:val="24"/>
                <w:highlight w:val="none"/>
              </w:rPr>
              <w:t>入50万元及以上的为小型企业；从</w:t>
            </w:r>
            <w:r>
              <w:rPr>
                <w:rFonts w:hint="eastAsia" w:ascii="仿宋" w:hAnsi="仿宋" w:eastAsia="仿宋" w:cs="仿宋"/>
                <w:color w:val="auto"/>
                <w:spacing w:val="-1"/>
                <w:sz w:val="24"/>
                <w:szCs w:val="24"/>
                <w:highlight w:val="none"/>
              </w:rPr>
              <w:t>业人员10人以下或营业收入50万</w:t>
            </w:r>
            <w:r>
              <w:rPr>
                <w:rFonts w:hint="eastAsia" w:ascii="仿宋" w:hAnsi="仿宋" w:eastAsia="仿宋" w:cs="仿宋"/>
                <w:color w:val="auto"/>
                <w:spacing w:val="9"/>
                <w:sz w:val="24"/>
                <w:szCs w:val="24"/>
                <w:highlight w:val="none"/>
              </w:rPr>
              <w:t>元</w:t>
            </w:r>
            <w:r>
              <w:rPr>
                <w:rFonts w:hint="eastAsia" w:ascii="仿宋" w:hAnsi="仿宋" w:eastAsia="仿宋" w:cs="仿宋"/>
                <w:color w:val="auto"/>
                <w:spacing w:val="8"/>
                <w:sz w:val="24"/>
                <w:szCs w:val="24"/>
                <w:highlight w:val="none"/>
              </w:rPr>
              <w:t>以下的为微型企业。</w:t>
            </w:r>
          </w:p>
          <w:p>
            <w:pPr>
              <w:spacing w:before="186" w:line="360" w:lineRule="auto"/>
              <w:ind w:left="21" w:right="13" w:firstLine="17"/>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13、房地产开发经营。营业收入200000万元以下或资产总额10000万</w:t>
            </w:r>
            <w:r>
              <w:rPr>
                <w:rFonts w:hint="eastAsia" w:ascii="仿宋" w:hAnsi="仿宋" w:eastAsia="仿宋" w:cs="仿宋"/>
                <w:color w:val="auto"/>
                <w:spacing w:val="16"/>
                <w:sz w:val="24"/>
                <w:szCs w:val="24"/>
                <w:highlight w:val="none"/>
              </w:rPr>
              <w:t>元以</w:t>
            </w:r>
            <w:r>
              <w:rPr>
                <w:rFonts w:hint="eastAsia" w:ascii="仿宋" w:hAnsi="仿宋" w:eastAsia="仿宋" w:cs="仿宋"/>
                <w:color w:val="auto"/>
                <w:spacing w:val="10"/>
                <w:sz w:val="24"/>
                <w:szCs w:val="24"/>
                <w:highlight w:val="none"/>
              </w:rPr>
              <w:t>下</w:t>
            </w:r>
            <w:r>
              <w:rPr>
                <w:rFonts w:hint="eastAsia" w:ascii="仿宋" w:hAnsi="仿宋" w:eastAsia="仿宋" w:cs="仿宋"/>
                <w:color w:val="auto"/>
                <w:spacing w:val="8"/>
                <w:sz w:val="24"/>
                <w:szCs w:val="24"/>
                <w:highlight w:val="none"/>
              </w:rPr>
              <w:t>的为中小微型企业.其中，营业收入1000万元及以上，且资产总额 500</w:t>
            </w:r>
            <w:r>
              <w:rPr>
                <w:rFonts w:hint="eastAsia" w:ascii="仿宋" w:hAnsi="仿宋" w:eastAsia="仿宋" w:cs="仿宋"/>
                <w:color w:val="auto"/>
                <w:spacing w:val="5"/>
                <w:sz w:val="24"/>
                <w:szCs w:val="24"/>
                <w:highlight w:val="none"/>
              </w:rPr>
              <w:t>0</w:t>
            </w:r>
            <w:r>
              <w:rPr>
                <w:rFonts w:hint="eastAsia" w:ascii="仿宋" w:hAnsi="仿宋" w:eastAsia="仿宋" w:cs="仿宋"/>
                <w:color w:val="auto"/>
                <w:spacing w:val="4"/>
                <w:sz w:val="24"/>
                <w:szCs w:val="24"/>
                <w:highlight w:val="none"/>
              </w:rPr>
              <w:t>万元及以上的为中型企业;营业收入100万元及以上，且资</w:t>
            </w:r>
            <w:r>
              <w:rPr>
                <w:rFonts w:hint="eastAsia" w:ascii="仿宋" w:hAnsi="仿宋" w:eastAsia="仿宋" w:cs="仿宋"/>
                <w:color w:val="auto"/>
                <w:spacing w:val="2"/>
                <w:sz w:val="24"/>
                <w:szCs w:val="24"/>
                <w:highlight w:val="none"/>
              </w:rPr>
              <w:t>产总额2000万元及以上的为小型企业；</w:t>
            </w:r>
            <w:r>
              <w:rPr>
                <w:rFonts w:hint="eastAsia" w:ascii="仿宋" w:hAnsi="仿宋" w:eastAsia="仿宋" w:cs="仿宋"/>
                <w:color w:val="auto"/>
                <w:spacing w:val="1"/>
                <w:sz w:val="24"/>
                <w:szCs w:val="24"/>
                <w:highlight w:val="none"/>
              </w:rPr>
              <w:t>营业收入100万元以下或资产</w:t>
            </w:r>
            <w:r>
              <w:rPr>
                <w:rFonts w:hint="eastAsia" w:ascii="仿宋" w:hAnsi="仿宋" w:eastAsia="仿宋" w:cs="仿宋"/>
                <w:color w:val="auto"/>
                <w:spacing w:val="2"/>
                <w:sz w:val="24"/>
                <w:szCs w:val="24"/>
                <w:highlight w:val="none"/>
              </w:rPr>
              <w:t>总</w:t>
            </w:r>
            <w:r>
              <w:rPr>
                <w:rFonts w:hint="eastAsia" w:ascii="仿宋" w:hAnsi="仿宋" w:eastAsia="仿宋" w:cs="仿宋"/>
                <w:color w:val="auto"/>
                <w:spacing w:val="1"/>
                <w:sz w:val="24"/>
                <w:szCs w:val="24"/>
                <w:highlight w:val="none"/>
              </w:rPr>
              <w:t>额2000万元以下的为微型企业。</w:t>
            </w:r>
          </w:p>
          <w:p>
            <w:pPr>
              <w:spacing w:before="180" w:line="360" w:lineRule="auto"/>
              <w:ind w:left="21" w:right="13" w:firstLine="17"/>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1</w:t>
            </w:r>
            <w:r>
              <w:rPr>
                <w:rFonts w:hint="eastAsia" w:ascii="仿宋" w:hAnsi="仿宋" w:eastAsia="仿宋" w:cs="仿宋"/>
                <w:color w:val="auto"/>
                <w:spacing w:val="1"/>
                <w:sz w:val="24"/>
                <w:szCs w:val="24"/>
                <w:highlight w:val="none"/>
              </w:rPr>
              <w:t>4、物业管理.从业人员1000人以下或营业收入5000万元以下的为中</w:t>
            </w:r>
            <w:r>
              <w:rPr>
                <w:rFonts w:hint="eastAsia" w:ascii="仿宋" w:hAnsi="仿宋" w:eastAsia="仿宋" w:cs="仿宋"/>
                <w:color w:val="auto"/>
                <w:spacing w:val="8"/>
                <w:sz w:val="24"/>
                <w:szCs w:val="24"/>
                <w:highlight w:val="none"/>
              </w:rPr>
              <w:t>小微型企业。</w:t>
            </w:r>
            <w:r>
              <w:rPr>
                <w:rFonts w:hint="eastAsia" w:ascii="仿宋" w:hAnsi="仿宋" w:eastAsia="仿宋" w:cs="仿宋"/>
                <w:color w:val="auto"/>
                <w:spacing w:val="7"/>
                <w:sz w:val="24"/>
                <w:szCs w:val="24"/>
                <w:highlight w:val="none"/>
              </w:rPr>
              <w:t>其</w:t>
            </w:r>
            <w:r>
              <w:rPr>
                <w:rFonts w:hint="eastAsia" w:ascii="仿宋" w:hAnsi="仿宋" w:eastAsia="仿宋" w:cs="仿宋"/>
                <w:color w:val="auto"/>
                <w:spacing w:val="4"/>
                <w:sz w:val="24"/>
                <w:szCs w:val="24"/>
                <w:highlight w:val="none"/>
              </w:rPr>
              <w:t>中，从业人员300人及以上,且营业收入1000万元及</w:t>
            </w:r>
            <w:r>
              <w:rPr>
                <w:rFonts w:hint="eastAsia" w:ascii="仿宋" w:hAnsi="仿宋" w:eastAsia="仿宋" w:cs="仿宋"/>
                <w:color w:val="auto"/>
                <w:spacing w:val="2"/>
                <w:sz w:val="24"/>
                <w:szCs w:val="24"/>
                <w:highlight w:val="none"/>
              </w:rPr>
              <w:t>以上的为中型企业；从业人员100人及以</w:t>
            </w:r>
            <w:r>
              <w:rPr>
                <w:rFonts w:hint="eastAsia" w:ascii="仿宋" w:hAnsi="仿宋" w:eastAsia="仿宋" w:cs="仿宋"/>
                <w:color w:val="auto"/>
                <w:spacing w:val="1"/>
                <w:sz w:val="24"/>
                <w:szCs w:val="24"/>
                <w:highlight w:val="none"/>
              </w:rPr>
              <w:t>上,且营业收入500万元及以</w:t>
            </w:r>
            <w:r>
              <w:rPr>
                <w:rFonts w:hint="eastAsia" w:ascii="仿宋" w:hAnsi="仿宋" w:eastAsia="仿宋" w:cs="仿宋"/>
                <w:color w:val="auto"/>
                <w:spacing w:val="5"/>
                <w:sz w:val="24"/>
                <w:szCs w:val="24"/>
                <w:highlight w:val="none"/>
              </w:rPr>
              <w:t>上的为小型企业；从业人员100人以下或营业收入500万元以下</w:t>
            </w:r>
            <w:r>
              <w:rPr>
                <w:rFonts w:hint="eastAsia" w:ascii="仿宋" w:hAnsi="仿宋" w:eastAsia="仿宋" w:cs="仿宋"/>
                <w:color w:val="auto"/>
                <w:spacing w:val="3"/>
                <w:sz w:val="24"/>
                <w:szCs w:val="24"/>
                <w:highlight w:val="none"/>
              </w:rPr>
              <w:t>的</w:t>
            </w:r>
            <w:r>
              <w:rPr>
                <w:rFonts w:hint="eastAsia" w:ascii="仿宋" w:hAnsi="仿宋" w:eastAsia="仿宋" w:cs="仿宋"/>
                <w:color w:val="auto"/>
                <w:sz w:val="24"/>
                <w:szCs w:val="24"/>
                <w:highlight w:val="none"/>
              </w:rPr>
              <w:t>为</w:t>
            </w:r>
            <w:r>
              <w:rPr>
                <w:rFonts w:hint="eastAsia" w:ascii="仿宋" w:hAnsi="仿宋" w:eastAsia="仿宋" w:cs="仿宋"/>
                <w:color w:val="auto"/>
                <w:spacing w:val="6"/>
                <w:sz w:val="24"/>
                <w:szCs w:val="24"/>
                <w:highlight w:val="none"/>
              </w:rPr>
              <w:t>微型企业。</w:t>
            </w:r>
          </w:p>
          <w:p>
            <w:pPr>
              <w:spacing w:before="184" w:line="360" w:lineRule="auto"/>
              <w:ind w:left="23" w:right="15" w:firstLine="15"/>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1</w:t>
            </w:r>
            <w:r>
              <w:rPr>
                <w:rFonts w:hint="eastAsia" w:ascii="仿宋" w:hAnsi="仿宋" w:eastAsia="仿宋" w:cs="仿宋"/>
                <w:color w:val="auto"/>
                <w:spacing w:val="1"/>
                <w:sz w:val="24"/>
                <w:szCs w:val="24"/>
                <w:highlight w:val="none"/>
              </w:rPr>
              <w:t>5、租赁和商务服务业。从业人员300人以下或资产总额120000万元</w:t>
            </w:r>
            <w:r>
              <w:rPr>
                <w:rFonts w:hint="eastAsia" w:ascii="仿宋" w:hAnsi="仿宋" w:eastAsia="仿宋" w:cs="仿宋"/>
                <w:color w:val="auto"/>
                <w:spacing w:val="-2"/>
                <w:sz w:val="24"/>
                <w:szCs w:val="24"/>
                <w:highlight w:val="none"/>
              </w:rPr>
              <w:t>以下的为中小微型企业.其中，从业人员100</w:t>
            </w:r>
            <w:r>
              <w:rPr>
                <w:rFonts w:hint="eastAsia" w:ascii="仿宋" w:hAnsi="仿宋" w:eastAsia="仿宋" w:cs="仿宋"/>
                <w:color w:val="auto"/>
                <w:spacing w:val="-1"/>
                <w:sz w:val="24"/>
                <w:szCs w:val="24"/>
                <w:highlight w:val="none"/>
              </w:rPr>
              <w:t>人及以上，且资产总额8000</w:t>
            </w:r>
            <w:r>
              <w:rPr>
                <w:rFonts w:hint="eastAsia" w:ascii="仿宋" w:hAnsi="仿宋" w:eastAsia="仿宋" w:cs="仿宋"/>
                <w:color w:val="auto"/>
                <w:spacing w:val="2"/>
                <w:sz w:val="24"/>
                <w:szCs w:val="24"/>
                <w:highlight w:val="none"/>
              </w:rPr>
              <w:t>万元及以上的为中型企业；从业人员10</w:t>
            </w:r>
            <w:r>
              <w:rPr>
                <w:rFonts w:hint="eastAsia" w:ascii="仿宋" w:hAnsi="仿宋" w:eastAsia="仿宋" w:cs="仿宋"/>
                <w:color w:val="auto"/>
                <w:spacing w:val="1"/>
                <w:sz w:val="24"/>
                <w:szCs w:val="24"/>
                <w:highlight w:val="none"/>
              </w:rPr>
              <w:t>人及以上，且资产总额100万</w:t>
            </w:r>
            <w:r>
              <w:rPr>
                <w:rFonts w:hint="eastAsia" w:ascii="仿宋" w:hAnsi="仿宋" w:eastAsia="仿宋" w:cs="仿宋"/>
                <w:color w:val="auto"/>
                <w:spacing w:val="8"/>
                <w:sz w:val="24"/>
                <w:szCs w:val="24"/>
                <w:highlight w:val="none"/>
              </w:rPr>
              <w:t>元及以上的为小型企业。</w:t>
            </w:r>
          </w:p>
          <w:p>
            <w:pPr>
              <w:spacing w:before="179" w:line="360" w:lineRule="auto"/>
              <w:ind w:left="24" w:right="15" w:firstLine="14"/>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16、</w:t>
            </w:r>
            <w:r>
              <w:rPr>
                <w:rFonts w:hint="eastAsia" w:ascii="仿宋" w:hAnsi="仿宋" w:eastAsia="仿宋" w:cs="仿宋"/>
                <w:color w:val="auto"/>
                <w:spacing w:val="7"/>
                <w:sz w:val="24"/>
                <w:szCs w:val="24"/>
                <w:highlight w:val="none"/>
              </w:rPr>
              <w:t>其</w:t>
            </w:r>
            <w:r>
              <w:rPr>
                <w:rFonts w:hint="eastAsia" w:ascii="仿宋" w:hAnsi="仿宋" w:eastAsia="仿宋" w:cs="仿宋"/>
                <w:color w:val="auto"/>
                <w:spacing w:val="4"/>
                <w:sz w:val="24"/>
                <w:szCs w:val="24"/>
                <w:highlight w:val="none"/>
              </w:rPr>
              <w:t>他未列明行业.从业人员300人以下的为中小微型企业。其中，</w:t>
            </w:r>
            <w:r>
              <w:rPr>
                <w:rFonts w:hint="eastAsia" w:ascii="仿宋" w:hAnsi="仿宋" w:eastAsia="仿宋" w:cs="仿宋"/>
                <w:color w:val="auto"/>
                <w:spacing w:val="8"/>
                <w:sz w:val="24"/>
                <w:szCs w:val="24"/>
                <w:highlight w:val="none"/>
              </w:rPr>
              <w:t>从业人员1</w:t>
            </w:r>
            <w:r>
              <w:rPr>
                <w:rFonts w:hint="eastAsia" w:ascii="仿宋" w:hAnsi="仿宋" w:eastAsia="仿宋" w:cs="仿宋"/>
                <w:color w:val="auto"/>
                <w:spacing w:val="6"/>
                <w:sz w:val="24"/>
                <w:szCs w:val="24"/>
                <w:highlight w:val="none"/>
              </w:rPr>
              <w:t>0</w:t>
            </w:r>
            <w:r>
              <w:rPr>
                <w:rFonts w:hint="eastAsia" w:ascii="仿宋" w:hAnsi="仿宋" w:eastAsia="仿宋" w:cs="仿宋"/>
                <w:color w:val="auto"/>
                <w:spacing w:val="4"/>
                <w:sz w:val="24"/>
                <w:szCs w:val="24"/>
                <w:highlight w:val="none"/>
              </w:rPr>
              <w:t>0人及以上的为中型企业;从业人员10人及以上的为小型企业</w:t>
            </w:r>
            <w:r>
              <w:rPr>
                <w:rFonts w:hint="eastAsia" w:ascii="仿宋" w:hAnsi="仿宋" w:eastAsia="仿宋" w:cs="仿宋"/>
                <w:color w:val="auto"/>
                <w:spacing w:val="3"/>
                <w:sz w:val="24"/>
                <w:szCs w:val="24"/>
                <w:highlight w:val="none"/>
              </w:rPr>
              <w:t>；</w:t>
            </w:r>
            <w:r>
              <w:rPr>
                <w:rFonts w:hint="eastAsia" w:ascii="仿宋" w:hAnsi="仿宋" w:eastAsia="仿宋" w:cs="仿宋"/>
                <w:color w:val="auto"/>
                <w:spacing w:val="2"/>
                <w:sz w:val="24"/>
                <w:szCs w:val="24"/>
                <w:highlight w:val="none"/>
              </w:rPr>
              <w:t>从业人员10人以下的为微型企业。</w:t>
            </w:r>
          </w:p>
          <w:p>
            <w:pPr>
              <w:pStyle w:val="10"/>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11"/>
                <w:sz w:val="24"/>
                <w:szCs w:val="24"/>
                <w:highlight w:val="none"/>
                <w:shd w:val="clear"/>
                <w14:textOutline w14:w="4358" w14:cap="sq" w14:cmpd="sng">
                  <w14:solidFill>
                    <w14:srgbClr w14:val="000000"/>
                  </w14:solidFill>
                  <w14:prstDash w14:val="solid"/>
                  <w14:bevel/>
                </w14:textOutline>
              </w:rPr>
              <w:t>本</w:t>
            </w:r>
            <w:r>
              <w:rPr>
                <w:rFonts w:hint="eastAsia" w:ascii="仿宋" w:hAnsi="仿宋" w:eastAsia="仿宋" w:cs="仿宋"/>
                <w:color w:val="auto"/>
                <w:spacing w:val="10"/>
                <w:sz w:val="24"/>
                <w:szCs w:val="24"/>
                <w:highlight w:val="none"/>
                <w:shd w:val="clear"/>
                <w14:textOutline w14:w="4358" w14:cap="sq" w14:cmpd="sng">
                  <w14:solidFill>
                    <w14:srgbClr w14:val="000000"/>
                  </w14:solidFill>
                  <w14:prstDash w14:val="solid"/>
                  <w14:bevel/>
                </w14:textOutline>
              </w:rPr>
              <w:t>项目属于：软件和信息技术服务业</w:t>
            </w:r>
            <w:r>
              <w:rPr>
                <w:rFonts w:hint="eastAsia" w:ascii="仿宋" w:hAnsi="仿宋" w:eastAsia="仿宋" w:cs="仿宋"/>
                <w:b/>
                <w:bCs/>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38</w:t>
            </w:r>
          </w:p>
        </w:tc>
        <w:tc>
          <w:tcPr>
            <w:tcW w:w="2082" w:type="dxa"/>
            <w:vAlign w:val="center"/>
          </w:tcPr>
          <w:p>
            <w:pPr>
              <w:spacing w:line="360" w:lineRule="auto"/>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sz w:val="24"/>
                <w:szCs w:val="24"/>
                <w:highlight w:val="none"/>
                <w:lang w:val="en-US" w:eastAsia="zh-CN"/>
              </w:rPr>
              <w:t>招标文件解释权</w:t>
            </w:r>
          </w:p>
        </w:tc>
        <w:tc>
          <w:tcPr>
            <w:tcW w:w="7109" w:type="dxa"/>
            <w:vAlign w:val="center"/>
          </w:tcPr>
          <w:p>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rPr>
              <w:t>本招标文件解释权归采购代理机构所有。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39</w:t>
            </w:r>
          </w:p>
        </w:tc>
        <w:tc>
          <w:tcPr>
            <w:tcW w:w="2082" w:type="dxa"/>
            <w:vAlign w:val="center"/>
          </w:tcPr>
          <w:p>
            <w:pPr>
              <w:spacing w:line="36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是否允许递交备选投标方案</w:t>
            </w:r>
          </w:p>
        </w:tc>
        <w:tc>
          <w:tcPr>
            <w:tcW w:w="7109" w:type="dxa"/>
            <w:vAlign w:val="center"/>
          </w:tcPr>
          <w:p>
            <w:pPr>
              <w:spacing w:line="360" w:lineRule="auto"/>
              <w:jc w:val="left"/>
              <w:rPr>
                <w:rFonts w:hint="eastAsia" w:ascii="仿宋" w:hAnsi="仿宋" w:eastAsia="仿宋" w:cs="仿宋"/>
                <w:b/>
                <w:kern w:val="2"/>
                <w:sz w:val="24"/>
                <w:szCs w:val="24"/>
                <w:highlight w:val="none"/>
                <w:lang w:val="en-US" w:eastAsia="zh-CN" w:bidi="ar-SA"/>
              </w:rPr>
            </w:pPr>
            <w:r>
              <w:rPr>
                <w:rFonts w:hint="eastAsia" w:ascii="仿宋" w:hAnsi="仿宋" w:eastAsia="仿宋" w:cs="仿宋"/>
                <w:sz w:val="24"/>
                <w:szCs w:val="24"/>
                <w:highlight w:val="none"/>
                <w:lang w:val="zh-TW"/>
              </w:rPr>
              <w:t>不允许。</w:t>
            </w:r>
          </w:p>
        </w:tc>
      </w:tr>
    </w:tbl>
    <w:p>
      <w:pPr>
        <w:spacing w:line="360"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本项目招标依据《中华人民共和国政府采购法》等有关法律法规及规定。</w:t>
      </w:r>
    </w:p>
    <w:p>
      <w:pP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br w:type="page"/>
      </w:r>
    </w:p>
    <w:p>
      <w:pPr>
        <w:pStyle w:val="3"/>
        <w:bidi w:val="0"/>
        <w:rPr>
          <w:rFonts w:hint="eastAsia" w:ascii="仿宋" w:hAnsi="仿宋" w:eastAsia="仿宋" w:cs="仿宋"/>
          <w:highlight w:val="none"/>
        </w:rPr>
      </w:pPr>
      <w:bookmarkStart w:id="49" w:name="_Toc8651"/>
      <w:bookmarkStart w:id="50" w:name="_Toc5087"/>
      <w:r>
        <w:rPr>
          <w:rFonts w:hint="eastAsia" w:ascii="仿宋" w:hAnsi="仿宋" w:eastAsia="仿宋" w:cs="仿宋"/>
          <w:highlight w:val="none"/>
        </w:rPr>
        <w:t>（一）总则</w:t>
      </w:r>
      <w:bookmarkEnd w:id="49"/>
      <w:bookmarkEnd w:id="50"/>
    </w:p>
    <w:p>
      <w:pPr>
        <w:pStyle w:val="5"/>
        <w:bidi w:val="0"/>
        <w:rPr>
          <w:rFonts w:hint="eastAsia" w:ascii="仿宋" w:hAnsi="仿宋" w:eastAsia="仿宋" w:cs="仿宋"/>
          <w:highlight w:val="none"/>
        </w:rPr>
      </w:pPr>
      <w:bookmarkStart w:id="51" w:name="_Toc23787"/>
      <w:bookmarkStart w:id="52" w:name="_Toc26872"/>
      <w:r>
        <w:rPr>
          <w:rFonts w:hint="eastAsia" w:ascii="仿宋" w:hAnsi="仿宋" w:eastAsia="仿宋" w:cs="仿宋"/>
          <w:highlight w:val="none"/>
        </w:rPr>
        <w:t>1、适用范围</w:t>
      </w:r>
      <w:bookmarkEnd w:id="51"/>
      <w:bookmarkEnd w:id="52"/>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本竞争性磋商文件仅适用于本项目的招标。</w:t>
      </w:r>
    </w:p>
    <w:p>
      <w:pPr>
        <w:pStyle w:val="5"/>
        <w:bidi w:val="0"/>
        <w:rPr>
          <w:rFonts w:hint="eastAsia" w:ascii="仿宋" w:hAnsi="仿宋" w:eastAsia="仿宋" w:cs="仿宋"/>
          <w:highlight w:val="none"/>
        </w:rPr>
      </w:pPr>
      <w:bookmarkStart w:id="53" w:name="_Toc9233"/>
      <w:bookmarkStart w:id="54" w:name="_Toc16910"/>
      <w:r>
        <w:rPr>
          <w:rFonts w:hint="eastAsia" w:ascii="仿宋" w:hAnsi="仿宋" w:eastAsia="仿宋" w:cs="仿宋"/>
          <w:highlight w:val="none"/>
        </w:rPr>
        <w:t>2、名词解释</w:t>
      </w:r>
      <w:bookmarkEnd w:id="53"/>
      <w:bookmarkEnd w:id="54"/>
    </w:p>
    <w:p>
      <w:pPr>
        <w:spacing w:line="360" w:lineRule="auto"/>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2.1采购人：</w:t>
      </w:r>
      <w:r>
        <w:rPr>
          <w:rFonts w:hint="eastAsia" w:ascii="仿宋" w:hAnsi="仿宋" w:eastAsia="仿宋" w:cs="仿宋"/>
          <w:color w:val="auto"/>
          <w:sz w:val="24"/>
          <w:szCs w:val="24"/>
          <w:highlight w:val="none"/>
          <w:lang w:eastAsia="zh-CN"/>
        </w:rPr>
        <w:t>中国人民政治协商会议陕西省榆林市委员会办公室</w:t>
      </w:r>
    </w:p>
    <w:p>
      <w:pPr>
        <w:spacing w:line="360" w:lineRule="auto"/>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2.2采购代理机构：</w:t>
      </w:r>
      <w:r>
        <w:rPr>
          <w:rFonts w:hint="eastAsia" w:ascii="仿宋" w:hAnsi="仿宋" w:eastAsia="仿宋" w:cs="仿宋"/>
          <w:color w:val="auto"/>
          <w:szCs w:val="24"/>
          <w:highlight w:val="none"/>
          <w:lang w:eastAsia="zh-CN"/>
        </w:rPr>
        <w:t>亿诚建设项目管理有限公司</w:t>
      </w:r>
    </w:p>
    <w:p>
      <w:pPr>
        <w:spacing w:line="360" w:lineRule="auto"/>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2.3供应商：响应招标并且符合磋商文件规定资格条件和参加竞争的供应商</w:t>
      </w:r>
      <w:r>
        <w:rPr>
          <w:rFonts w:hint="eastAsia" w:ascii="仿宋" w:hAnsi="仿宋" w:eastAsia="仿宋" w:cs="仿宋"/>
          <w:color w:val="auto"/>
          <w:szCs w:val="24"/>
          <w:highlight w:val="none"/>
          <w:lang w:eastAsia="zh-CN"/>
        </w:rPr>
        <w:t>。</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2.4项目：指磋商文件规定供应商须承担的</w:t>
      </w:r>
      <w:r>
        <w:rPr>
          <w:rFonts w:hint="eastAsia" w:ascii="仿宋" w:hAnsi="仿宋" w:eastAsia="仿宋" w:cs="仿宋"/>
          <w:color w:val="auto"/>
          <w:szCs w:val="24"/>
          <w:highlight w:val="none"/>
          <w:lang w:eastAsia="zh-CN"/>
        </w:rPr>
        <w:t>榆林市政协APP软件开发服务采购项目</w:t>
      </w:r>
      <w:r>
        <w:rPr>
          <w:rFonts w:hint="eastAsia" w:ascii="仿宋" w:hAnsi="仿宋" w:eastAsia="仿宋" w:cs="仿宋"/>
          <w:color w:val="auto"/>
          <w:szCs w:val="24"/>
          <w:highlight w:val="none"/>
        </w:rPr>
        <w:t>的相关工作。</w:t>
      </w:r>
    </w:p>
    <w:p>
      <w:pPr>
        <w:pStyle w:val="5"/>
        <w:bidi w:val="0"/>
        <w:rPr>
          <w:rFonts w:hint="eastAsia" w:ascii="仿宋" w:hAnsi="仿宋" w:eastAsia="仿宋" w:cs="仿宋"/>
          <w:highlight w:val="none"/>
        </w:rPr>
      </w:pPr>
      <w:bookmarkStart w:id="55" w:name="_Toc14085"/>
      <w:bookmarkStart w:id="56" w:name="_Toc30349"/>
      <w:r>
        <w:rPr>
          <w:rFonts w:hint="eastAsia" w:ascii="仿宋" w:hAnsi="仿宋" w:eastAsia="仿宋" w:cs="仿宋"/>
          <w:highlight w:val="none"/>
        </w:rPr>
        <w:t>3、合格的供应商</w:t>
      </w:r>
      <w:bookmarkEnd w:id="55"/>
      <w:bookmarkEnd w:id="56"/>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3.1满足磋商中对供应商所提出的全部要求。</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3.2供应商应从采购代理机构</w:t>
      </w:r>
      <w:r>
        <w:rPr>
          <w:rFonts w:hint="eastAsia" w:ascii="仿宋" w:hAnsi="仿宋" w:eastAsia="仿宋" w:cs="仿宋"/>
          <w:color w:val="auto"/>
          <w:szCs w:val="24"/>
          <w:highlight w:val="none"/>
          <w:lang w:eastAsia="zh-CN"/>
        </w:rPr>
        <w:t>获取</w:t>
      </w:r>
      <w:r>
        <w:rPr>
          <w:rFonts w:hint="eastAsia" w:ascii="仿宋" w:hAnsi="仿宋" w:eastAsia="仿宋" w:cs="仿宋"/>
          <w:color w:val="auto"/>
          <w:szCs w:val="24"/>
          <w:highlight w:val="none"/>
        </w:rPr>
        <w:t>磋商文件，其他未</w:t>
      </w:r>
      <w:r>
        <w:rPr>
          <w:rFonts w:hint="eastAsia" w:ascii="仿宋" w:hAnsi="仿宋" w:eastAsia="仿宋" w:cs="仿宋"/>
          <w:color w:val="auto"/>
          <w:szCs w:val="24"/>
          <w:highlight w:val="none"/>
          <w:lang w:eastAsia="zh-CN"/>
        </w:rPr>
        <w:t>获取</w:t>
      </w:r>
      <w:r>
        <w:rPr>
          <w:rFonts w:hint="eastAsia" w:ascii="仿宋" w:hAnsi="仿宋" w:eastAsia="仿宋" w:cs="仿宋"/>
          <w:color w:val="auto"/>
          <w:szCs w:val="24"/>
          <w:highlight w:val="none"/>
        </w:rPr>
        <w:t>磋商文件的潜在供应商均无资格参加本次磋商。</w:t>
      </w:r>
    </w:p>
    <w:p>
      <w:pPr>
        <w:pStyle w:val="5"/>
        <w:bidi w:val="0"/>
        <w:rPr>
          <w:rFonts w:hint="eastAsia" w:ascii="仿宋" w:hAnsi="仿宋" w:eastAsia="仿宋" w:cs="仿宋"/>
          <w:highlight w:val="none"/>
        </w:rPr>
      </w:pPr>
      <w:bookmarkStart w:id="57" w:name="_Toc5921"/>
      <w:bookmarkStart w:id="58" w:name="_Toc30476"/>
      <w:r>
        <w:rPr>
          <w:rFonts w:hint="eastAsia" w:ascii="仿宋" w:hAnsi="仿宋" w:eastAsia="仿宋" w:cs="仿宋"/>
          <w:highlight w:val="none"/>
        </w:rPr>
        <w:t>4、保密</w:t>
      </w:r>
      <w:bookmarkEnd w:id="57"/>
      <w:bookmarkEnd w:id="58"/>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参与磋商活动的各方应对磋商文件和响应文件中的商业和技术等秘密保密，违者应对由此造成的后果承担法律责任。 </w:t>
      </w:r>
    </w:p>
    <w:p>
      <w:pPr>
        <w:pStyle w:val="5"/>
        <w:bidi w:val="0"/>
        <w:rPr>
          <w:rFonts w:hint="eastAsia" w:ascii="仿宋" w:hAnsi="仿宋" w:eastAsia="仿宋" w:cs="仿宋"/>
          <w:highlight w:val="none"/>
        </w:rPr>
      </w:pPr>
      <w:bookmarkStart w:id="59" w:name="_Toc32395"/>
      <w:bookmarkStart w:id="60" w:name="_Toc15063"/>
      <w:bookmarkStart w:id="61" w:name="_Toc246928899"/>
      <w:bookmarkStart w:id="62" w:name="_Toc394934414"/>
      <w:r>
        <w:rPr>
          <w:rFonts w:hint="eastAsia" w:ascii="仿宋" w:hAnsi="仿宋" w:eastAsia="仿宋" w:cs="仿宋"/>
          <w:highlight w:val="none"/>
        </w:rPr>
        <w:t>5、费用</w:t>
      </w:r>
      <w:bookmarkEnd w:id="59"/>
      <w:bookmarkEnd w:id="60"/>
      <w:bookmarkEnd w:id="61"/>
      <w:bookmarkEnd w:id="62"/>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供应商应承担所有与编写和提交响应文件有关的费用，无论磋商过程中的做法和结果如何，采购人在任何情况下均无义务和责任承担这些费用。</w:t>
      </w:r>
    </w:p>
    <w:p>
      <w:pPr>
        <w:pStyle w:val="3"/>
        <w:bidi w:val="0"/>
        <w:rPr>
          <w:rFonts w:hint="eastAsia" w:ascii="仿宋" w:hAnsi="仿宋" w:eastAsia="仿宋" w:cs="仿宋"/>
          <w:highlight w:val="none"/>
        </w:rPr>
      </w:pPr>
      <w:bookmarkStart w:id="63" w:name="_Toc5829"/>
      <w:bookmarkStart w:id="64" w:name="_Toc25674"/>
      <w:r>
        <w:rPr>
          <w:rFonts w:hint="eastAsia" w:ascii="仿宋" w:hAnsi="仿宋" w:eastAsia="仿宋" w:cs="仿宋"/>
          <w:highlight w:val="none"/>
        </w:rPr>
        <w:t>（二）磋商文件说明</w:t>
      </w:r>
      <w:bookmarkEnd w:id="63"/>
      <w:bookmarkEnd w:id="64"/>
    </w:p>
    <w:p>
      <w:pPr>
        <w:pStyle w:val="5"/>
        <w:bidi w:val="0"/>
        <w:rPr>
          <w:rFonts w:hint="eastAsia" w:ascii="仿宋" w:hAnsi="仿宋" w:eastAsia="仿宋" w:cs="仿宋"/>
          <w:highlight w:val="none"/>
        </w:rPr>
      </w:pPr>
      <w:bookmarkStart w:id="65" w:name="_Toc13372"/>
      <w:bookmarkStart w:id="66" w:name="_Toc14536"/>
      <w:r>
        <w:rPr>
          <w:rFonts w:hint="eastAsia" w:ascii="仿宋" w:hAnsi="仿宋" w:eastAsia="仿宋" w:cs="仿宋"/>
          <w:highlight w:val="none"/>
        </w:rPr>
        <w:t>6、磋商文件的组成</w:t>
      </w:r>
      <w:bookmarkEnd w:id="65"/>
      <w:bookmarkEnd w:id="66"/>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6.1磋商文件依据本项目的特点及需求编制，具体包括以下内容：</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（1）竞争性磋商公告</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（2）供应商须知</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（3）合同条款及格式</w:t>
      </w:r>
    </w:p>
    <w:p>
      <w:pPr>
        <w:spacing w:line="360" w:lineRule="auto"/>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（4）</w:t>
      </w:r>
      <w:r>
        <w:rPr>
          <w:rFonts w:hint="eastAsia" w:ascii="仿宋" w:hAnsi="仿宋" w:eastAsia="仿宋" w:cs="仿宋"/>
          <w:color w:val="auto"/>
          <w:szCs w:val="24"/>
          <w:highlight w:val="none"/>
          <w:lang w:eastAsia="zh-CN"/>
        </w:rPr>
        <w:t>商务要求</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lang w:val="en-US" w:eastAsia="zh-CN"/>
        </w:rPr>
        <w:t>5</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采购内容及技术要求</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）响应文件格式</w:t>
      </w:r>
    </w:p>
    <w:p>
      <w:pPr>
        <w:pStyle w:val="5"/>
        <w:bidi w:val="0"/>
        <w:rPr>
          <w:rFonts w:hint="eastAsia" w:ascii="仿宋" w:hAnsi="仿宋" w:eastAsia="仿宋" w:cs="仿宋"/>
          <w:highlight w:val="none"/>
        </w:rPr>
      </w:pPr>
      <w:bookmarkStart w:id="67" w:name="_Toc31434"/>
      <w:bookmarkStart w:id="68" w:name="_Toc29885"/>
      <w:r>
        <w:rPr>
          <w:rFonts w:hint="eastAsia" w:ascii="仿宋" w:hAnsi="仿宋" w:eastAsia="仿宋" w:cs="仿宋"/>
          <w:highlight w:val="none"/>
        </w:rPr>
        <w:t>7、磋商文件的澄清及修改</w:t>
      </w:r>
      <w:bookmarkEnd w:id="67"/>
      <w:bookmarkEnd w:id="68"/>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7.1任何要求对磋商文件进行澄清的供应商，均应在磋商截止期五日前按磋商文件中的通讯地址以书面形式通知采购代理机构，采购代理机构对收到的书面澄清将以书面形式在磋商截止期三日前予以答复，并通知其它</w:t>
      </w:r>
      <w:r>
        <w:rPr>
          <w:rFonts w:hint="eastAsia" w:ascii="仿宋" w:hAnsi="仿宋" w:eastAsia="仿宋" w:cs="仿宋"/>
          <w:color w:val="auto"/>
          <w:szCs w:val="24"/>
          <w:highlight w:val="none"/>
          <w:lang w:eastAsia="zh-CN"/>
        </w:rPr>
        <w:t>获取</w:t>
      </w:r>
      <w:r>
        <w:rPr>
          <w:rFonts w:hint="eastAsia" w:ascii="仿宋" w:hAnsi="仿宋" w:eastAsia="仿宋" w:cs="仿宋"/>
          <w:color w:val="auto"/>
          <w:szCs w:val="24"/>
          <w:highlight w:val="none"/>
        </w:rPr>
        <w:t>磋商文件的供应商。</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7.2采购代理机构对已发出的磋商文件进行必要澄清或者修改的，在磋商文件要求提交磋商响应文件截止时间</w:t>
      </w:r>
      <w:r>
        <w:rPr>
          <w:rFonts w:hint="eastAsia" w:ascii="仿宋" w:hAnsi="仿宋" w:eastAsia="仿宋" w:cs="仿宋"/>
          <w:color w:val="auto"/>
          <w:szCs w:val="24"/>
          <w:highlight w:val="none"/>
          <w:lang w:val="en-US" w:eastAsia="zh-CN"/>
        </w:rPr>
        <w:t>至少</w:t>
      </w:r>
      <w:r>
        <w:rPr>
          <w:rFonts w:hint="eastAsia" w:ascii="仿宋" w:hAnsi="仿宋" w:eastAsia="仿宋" w:cs="仿宋"/>
          <w:color w:val="auto"/>
          <w:szCs w:val="24"/>
          <w:highlight w:val="none"/>
        </w:rPr>
        <w:t>五日前，以书面形式通知所有</w:t>
      </w:r>
      <w:r>
        <w:rPr>
          <w:rFonts w:hint="eastAsia" w:ascii="仿宋" w:hAnsi="仿宋" w:eastAsia="仿宋" w:cs="仿宋"/>
          <w:color w:val="auto"/>
          <w:szCs w:val="24"/>
          <w:highlight w:val="none"/>
          <w:lang w:eastAsia="zh-CN"/>
        </w:rPr>
        <w:t>获取</w:t>
      </w:r>
      <w:r>
        <w:rPr>
          <w:rFonts w:hint="eastAsia" w:ascii="仿宋" w:hAnsi="仿宋" w:eastAsia="仿宋" w:cs="仿宋"/>
          <w:color w:val="auto"/>
          <w:szCs w:val="24"/>
          <w:highlight w:val="none"/>
        </w:rPr>
        <w:t>磋商文件的供应商，该澄清或者修改的内容作为磋商文件的组成部分，与其具有同等法律效力；</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7.3为方便供应商对磋商文件修改或澄清内容有充分的时间进行补充修改，采购代理机构可延长磋商截止时间和磋商时间，均应在磋商文件要求提交磋商响应文件的截止时间五日前，将变更时间书面通知所有</w:t>
      </w:r>
      <w:r>
        <w:rPr>
          <w:rFonts w:hint="eastAsia" w:ascii="仿宋" w:hAnsi="仿宋" w:eastAsia="仿宋" w:cs="仿宋"/>
          <w:color w:val="auto"/>
          <w:szCs w:val="24"/>
          <w:highlight w:val="none"/>
          <w:lang w:eastAsia="zh-CN"/>
        </w:rPr>
        <w:t>获取</w:t>
      </w:r>
      <w:r>
        <w:rPr>
          <w:rFonts w:hint="eastAsia" w:ascii="仿宋" w:hAnsi="仿宋" w:eastAsia="仿宋" w:cs="仿宋"/>
          <w:color w:val="auto"/>
          <w:szCs w:val="24"/>
          <w:highlight w:val="none"/>
        </w:rPr>
        <w:t>磋商文件的供应商。</w:t>
      </w:r>
    </w:p>
    <w:p>
      <w:pPr>
        <w:pStyle w:val="5"/>
        <w:numPr>
          <w:ilvl w:val="0"/>
          <w:numId w:val="2"/>
        </w:numPr>
        <w:bidi w:val="0"/>
        <w:rPr>
          <w:rFonts w:hint="eastAsia" w:ascii="仿宋" w:hAnsi="仿宋" w:eastAsia="仿宋" w:cs="仿宋"/>
          <w:highlight w:val="none"/>
        </w:rPr>
      </w:pPr>
      <w:bookmarkStart w:id="69" w:name="_Toc17477"/>
      <w:bookmarkStart w:id="70" w:name="_Toc8827"/>
      <w:r>
        <w:rPr>
          <w:rFonts w:hint="eastAsia" w:ascii="仿宋" w:hAnsi="仿宋" w:eastAsia="仿宋" w:cs="仿宋"/>
          <w:highlight w:val="none"/>
        </w:rPr>
        <w:t>供应商信用记录查询及政府采购项目需要落实的政策</w:t>
      </w:r>
      <w:bookmarkEnd w:id="69"/>
      <w:bookmarkEnd w:id="70"/>
    </w:p>
    <w:p>
      <w:pPr>
        <w:spacing w:line="360" w:lineRule="auto"/>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8.1</w:t>
      </w:r>
      <w:r>
        <w:rPr>
          <w:rFonts w:hint="eastAsia" w:ascii="仿宋" w:hAnsi="仿宋" w:eastAsia="仿宋" w:cs="仿宋"/>
          <w:color w:val="333333"/>
          <w:kern w:val="0"/>
          <w:sz w:val="24"/>
          <w:szCs w:val="24"/>
          <w:highlight w:val="none"/>
          <w:shd w:val="clear" w:color="auto" w:fill="FFFFFF"/>
        </w:rPr>
        <w:t>对列入“信用中国”网站(www.creditchina.gov.cn)“记录失信被执行人、</w:t>
      </w:r>
      <w:r>
        <w:rPr>
          <w:rFonts w:hint="eastAsia" w:ascii="仿宋" w:hAnsi="仿宋" w:eastAsia="仿宋" w:cs="仿宋"/>
          <w:color w:val="333333"/>
          <w:kern w:val="0"/>
          <w:sz w:val="24"/>
          <w:szCs w:val="24"/>
          <w:highlight w:val="none"/>
          <w:shd w:val="clear" w:color="auto" w:fill="FFFFFF"/>
          <w:lang w:eastAsia="zh-CN"/>
        </w:rPr>
        <w:t>重大税收违法失信主体</w:t>
      </w:r>
      <w:r>
        <w:rPr>
          <w:rFonts w:hint="eastAsia" w:ascii="仿宋" w:hAnsi="仿宋" w:eastAsia="仿宋" w:cs="仿宋"/>
          <w:color w:val="333333"/>
          <w:kern w:val="0"/>
          <w:sz w:val="24"/>
          <w:szCs w:val="24"/>
          <w:highlight w:val="none"/>
          <w:shd w:val="clear" w:color="auto" w:fill="FFFFFF"/>
        </w:rPr>
        <w:t>、企业经营异常名录”记录名单</w:t>
      </w:r>
      <w:r>
        <w:rPr>
          <w:rFonts w:hint="eastAsia" w:ascii="仿宋" w:hAnsi="仿宋" w:eastAsia="仿宋" w:cs="仿宋"/>
          <w:color w:val="auto"/>
          <w:szCs w:val="24"/>
          <w:highlight w:val="none"/>
        </w:rPr>
        <w:t>；中国政府采购网(www.ccgp.gov.cn)“政府采购严重违法失信行为信息记录”的单位，应当拒绝参与政府采购活动，采购代理机构于磋商截止日当天在“信用中国”网站（www.creditchina.gov.cn）查询结果为准，如相关失信记录已失效，需提供相关证明资料</w:t>
      </w:r>
      <w:r>
        <w:rPr>
          <w:rFonts w:hint="eastAsia" w:ascii="仿宋" w:hAnsi="仿宋" w:eastAsia="仿宋" w:cs="仿宋"/>
          <w:color w:val="auto"/>
          <w:szCs w:val="24"/>
          <w:highlight w:val="none"/>
          <w:lang w:eastAsia="zh-CN"/>
        </w:rPr>
        <w:t>。</w:t>
      </w:r>
    </w:p>
    <w:p>
      <w:pPr>
        <w:keepNext w:val="0"/>
        <w:keepLines w:val="0"/>
        <w:widowControl/>
        <w:suppressLineNumbers w:val="0"/>
        <w:shd w:val="clear"/>
        <w:spacing w:before="0" w:beforeAutospacing="0" w:after="0" w:afterAutospacing="0" w:line="360" w:lineRule="auto"/>
        <w:ind w:left="0" w:right="0" w:firstLine="420"/>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8.2</w:t>
      </w:r>
      <w:r>
        <w:rPr>
          <w:rFonts w:hint="eastAsia" w:ascii="仿宋" w:hAnsi="仿宋" w:eastAsia="仿宋" w:cs="仿宋"/>
          <w:color w:val="auto"/>
          <w:szCs w:val="24"/>
          <w:highlight w:val="none"/>
          <w:lang w:val="en-US" w:eastAsia="zh-CN"/>
        </w:rPr>
        <w:t>政策性扣减</w:t>
      </w:r>
      <w:r>
        <w:rPr>
          <w:rFonts w:hint="eastAsia" w:ascii="仿宋" w:hAnsi="仿宋" w:eastAsia="仿宋" w:cs="仿宋"/>
          <w:color w:val="auto"/>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1、《政府采购促进中小企业发展管理办法》的通知--财库〔2020〕46号；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2、《财政部司法部关于政府采购支持监狱企业发展有关问题的通知》（财库〔2014〕68号）；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3、《国务院办公厅关于建立政府强制采购节能产品制度的通知》（国办发〔2007〕51号）；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4、根据《陕西省财政厅关于进一步加大政府采购支持中小企业力度的通知》（陕财办采〔2022〕5号）；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5、《榆林市财政局关于进一步加大政府采购支持中小企业力度的通知》（榆政财采发〔2022〕10号）；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6、《陕西省财政厅关于印发《陕西省中小企业政府采购信用融资办法》（陕财办采〔2018〕23号）；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7、《财政部民政部中国残疾人联合会关于促进残疾人就业政府采购政策的通知》（财库〔2017〕141号）；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8、《关于在政府采购活动中查询及使用信用记录有关问题的通知》（财库〔2016〕125号；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9、《节能产品政府采购实施意见》（财库[2004]185号）；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10、《环境标志产品政府采购实施的意见》（财库[2006]90号）；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12、陕西省财政厅关于进一步优化政府采购营商环境有关事项的通知-陕财办采〔2023〕4号；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13、其他需要落实的政府采购政策。</w:t>
      </w:r>
    </w:p>
    <w:p>
      <w:pPr>
        <w:pStyle w:val="3"/>
        <w:bidi w:val="0"/>
        <w:rPr>
          <w:rFonts w:hint="eastAsia" w:ascii="仿宋" w:hAnsi="仿宋" w:eastAsia="仿宋" w:cs="仿宋"/>
          <w:highlight w:val="none"/>
        </w:rPr>
      </w:pPr>
      <w:bookmarkStart w:id="71" w:name="_Toc23988"/>
      <w:bookmarkStart w:id="72" w:name="_Toc3971"/>
      <w:r>
        <w:rPr>
          <w:rFonts w:hint="eastAsia" w:ascii="仿宋" w:hAnsi="仿宋" w:eastAsia="仿宋" w:cs="仿宋"/>
          <w:highlight w:val="none"/>
        </w:rPr>
        <w:t>（三）竞争性磋商响应文件的编写</w:t>
      </w:r>
      <w:bookmarkEnd w:id="71"/>
      <w:bookmarkEnd w:id="72"/>
    </w:p>
    <w:p>
      <w:pPr>
        <w:pStyle w:val="5"/>
        <w:bidi w:val="0"/>
        <w:rPr>
          <w:rFonts w:hint="eastAsia" w:ascii="仿宋" w:hAnsi="仿宋" w:eastAsia="仿宋" w:cs="仿宋"/>
          <w:highlight w:val="none"/>
        </w:rPr>
      </w:pPr>
      <w:bookmarkStart w:id="73" w:name="_Toc29736"/>
      <w:bookmarkStart w:id="74" w:name="_Toc26652"/>
      <w:r>
        <w:rPr>
          <w:rFonts w:hint="eastAsia" w:ascii="仿宋" w:hAnsi="仿宋" w:eastAsia="仿宋" w:cs="仿宋"/>
          <w:highlight w:val="none"/>
        </w:rPr>
        <w:t>9、响应文件的构成</w:t>
      </w:r>
      <w:bookmarkEnd w:id="73"/>
      <w:bookmarkEnd w:id="74"/>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详见磋商文件中第</w:t>
      </w:r>
      <w:r>
        <w:rPr>
          <w:rFonts w:hint="eastAsia" w:ascii="仿宋" w:hAnsi="仿宋" w:eastAsia="仿宋" w:cs="仿宋"/>
          <w:color w:val="auto"/>
          <w:szCs w:val="24"/>
          <w:highlight w:val="none"/>
          <w:lang w:eastAsia="zh-CN"/>
        </w:rPr>
        <w:t>七</w:t>
      </w:r>
      <w:r>
        <w:rPr>
          <w:rFonts w:hint="eastAsia" w:ascii="仿宋" w:hAnsi="仿宋" w:eastAsia="仿宋" w:cs="仿宋"/>
          <w:color w:val="auto"/>
          <w:szCs w:val="24"/>
          <w:highlight w:val="none"/>
        </w:rPr>
        <w:t>章“响应文件格式”及磋商文件要求提供的资格证</w:t>
      </w:r>
      <w:r>
        <w:rPr>
          <w:rFonts w:hint="eastAsia" w:ascii="仿宋" w:hAnsi="仿宋" w:eastAsia="仿宋" w:cs="仿宋"/>
          <w:color w:val="auto"/>
          <w:szCs w:val="24"/>
          <w:highlight w:val="none"/>
          <w:lang w:eastAsia="zh-CN"/>
        </w:rPr>
        <w:t>明文</w:t>
      </w:r>
      <w:r>
        <w:rPr>
          <w:rFonts w:hint="eastAsia" w:ascii="仿宋" w:hAnsi="仿宋" w:eastAsia="仿宋" w:cs="仿宋"/>
          <w:color w:val="auto"/>
          <w:szCs w:val="24"/>
          <w:highlight w:val="none"/>
        </w:rPr>
        <w:t>件。</w:t>
      </w:r>
    </w:p>
    <w:p>
      <w:pPr>
        <w:pStyle w:val="5"/>
        <w:bidi w:val="0"/>
        <w:rPr>
          <w:rFonts w:hint="eastAsia" w:ascii="仿宋" w:hAnsi="仿宋" w:eastAsia="仿宋" w:cs="仿宋"/>
          <w:highlight w:val="none"/>
        </w:rPr>
      </w:pPr>
      <w:bookmarkStart w:id="75" w:name="_Toc14421"/>
      <w:bookmarkStart w:id="76" w:name="_Toc31439"/>
      <w:r>
        <w:rPr>
          <w:rFonts w:hint="eastAsia" w:ascii="仿宋" w:hAnsi="仿宋" w:eastAsia="仿宋" w:cs="仿宋"/>
          <w:highlight w:val="none"/>
        </w:rPr>
        <w:t>10、磋商报价</w:t>
      </w:r>
      <w:bookmarkEnd w:id="75"/>
      <w:bookmarkEnd w:id="76"/>
    </w:p>
    <w:p>
      <w:pPr>
        <w:spacing w:line="360" w:lineRule="auto"/>
        <w:ind w:firstLine="480" w:firstLineChars="20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10.1所有磋商报价均以人民币报价</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单位为元，精确到分。</w:t>
      </w:r>
      <w:r>
        <w:rPr>
          <w:rFonts w:hint="eastAsia" w:ascii="仿宋" w:hAnsi="仿宋" w:eastAsia="仿宋" w:cs="仿宋"/>
          <w:b/>
          <w:color w:val="auto"/>
          <w:szCs w:val="24"/>
          <w:highlight w:val="none"/>
        </w:rPr>
        <w:t>报价大于预算价时，按无效报价处理，且不进第二轮报价。本项目不公开唱价。</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10.2供应商依据磋商文件提供的招标要求等资料并自行考虑风险因素计算磋商报价，</w:t>
      </w:r>
      <w:r>
        <w:rPr>
          <w:rFonts w:hint="eastAsia" w:ascii="仿宋" w:hAnsi="仿宋" w:eastAsia="仿宋" w:cs="仿宋"/>
          <w:color w:val="auto"/>
          <w:kern w:val="2"/>
          <w:sz w:val="24"/>
          <w:szCs w:val="24"/>
          <w:highlight w:val="none"/>
          <w:lang w:val="zh-CN" w:eastAsia="zh-CN" w:bidi="ar-SA"/>
        </w:rPr>
        <w:t>合同价即成交价，供应商应在投标报价表明完成本次招标所要求服务的所有费用，投标报价表明成交本次服务的所有单项价格和总价，任何有选择的报价将不予接受，按无效投标处理。</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10.3供应商必须就整个项目进行响应，不得将整个项目中的内容拆开响应。拆开响应的，按无效响应文件处理。</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10.4凡因供应商对磋商文件阅读不深、理解不透、误解、疏漏、或因市场行情了解不清造成的后果和风险均由磋商供应商自负。磋商响应过程中所产生的一切费用由磋商供应商自行承担。</w:t>
      </w:r>
    </w:p>
    <w:p>
      <w:pPr>
        <w:pStyle w:val="5"/>
        <w:bidi w:val="0"/>
        <w:rPr>
          <w:rFonts w:hint="eastAsia" w:ascii="仿宋" w:hAnsi="仿宋" w:eastAsia="仿宋" w:cs="仿宋"/>
          <w:highlight w:val="none"/>
          <w:lang w:eastAsia="zh-CN"/>
        </w:rPr>
      </w:pPr>
      <w:bookmarkStart w:id="77" w:name="_Toc29193"/>
      <w:bookmarkStart w:id="78" w:name="_Toc20041"/>
      <w:r>
        <w:rPr>
          <w:rFonts w:hint="eastAsia" w:ascii="仿宋" w:hAnsi="仿宋" w:eastAsia="仿宋" w:cs="仿宋"/>
          <w:highlight w:val="none"/>
        </w:rPr>
        <w:t>11、响应文件的</w:t>
      </w:r>
      <w:r>
        <w:rPr>
          <w:rFonts w:hint="eastAsia" w:ascii="仿宋" w:hAnsi="仿宋" w:eastAsia="仿宋" w:cs="仿宋"/>
          <w:highlight w:val="none"/>
          <w:lang w:val="en-US" w:eastAsia="zh-CN"/>
        </w:rPr>
        <w:t>递交</w:t>
      </w:r>
      <w:bookmarkEnd w:id="77"/>
      <w:bookmarkEnd w:id="7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bookmarkStart w:id="79" w:name="_Toc233435939"/>
      <w:bookmarkStart w:id="80" w:name="_Toc19219"/>
      <w:bookmarkStart w:id="81" w:name="_Toc246928911"/>
      <w:bookmarkStart w:id="82" w:name="_Toc394934424"/>
      <w:bookmarkStart w:id="83" w:name="_Toc14787"/>
      <w:bookmarkStart w:id="84" w:name="_Toc317248152"/>
      <w:r>
        <w:rPr>
          <w:rFonts w:hint="eastAsia" w:ascii="仿宋" w:hAnsi="仿宋" w:eastAsia="仿宋" w:cs="仿宋"/>
          <w:sz w:val="24"/>
          <w:szCs w:val="24"/>
          <w:highlight w:val="none"/>
          <w:lang w:val="en-US" w:eastAsia="zh-CN"/>
        </w:rPr>
        <w:t>11.1</w:t>
      </w:r>
      <w:r>
        <w:rPr>
          <w:rFonts w:hint="eastAsia" w:ascii="仿宋" w:hAnsi="仿宋" w:eastAsia="仿宋" w:cs="仿宋"/>
          <w:sz w:val="24"/>
          <w:szCs w:val="24"/>
          <w:highlight w:val="none"/>
        </w:rPr>
        <w:t>各供应商应将</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响应文件的正本、所有副本、资质证明原件、</w:t>
      </w:r>
      <w:r>
        <w:rPr>
          <w:rFonts w:hint="eastAsia" w:ascii="仿宋" w:hAnsi="仿宋" w:eastAsia="仿宋" w:cs="仿宋"/>
          <w:sz w:val="24"/>
          <w:szCs w:val="24"/>
          <w:highlight w:val="none"/>
          <w:lang w:val="en-US" w:eastAsia="zh-CN"/>
        </w:rPr>
        <w:t>第一次磋商报价表</w:t>
      </w:r>
      <w:r>
        <w:rPr>
          <w:rFonts w:hint="eastAsia" w:ascii="仿宋" w:hAnsi="仿宋" w:eastAsia="仿宋" w:cs="仿宋"/>
          <w:sz w:val="24"/>
          <w:szCs w:val="24"/>
          <w:highlight w:val="none"/>
        </w:rPr>
        <w:t>、电子版U盘（word版）一份，用单独的信封分别密封，且在信封上标明“正本”、“副本”、“电子版、“首轮报价一览表”“资格证明原件”字样。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11.2</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的密封：响应文件必须密封递交。对封装材料及样式不作特别规定，但供应商应当保证其封装的可靠性，不致因搬运、堆放等原因散开。封袋应加贴封条，用封条在投标文件袋的上方开口处密封，填写密封日期,并在封线（骑缝）处加盖单位公章、法人章并由法定代表人或委托代理人签字，封袋正面要粘贴</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全称、采购项目名称、采购项目编号、并注明“在202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  月  日     时前不得启封”字样。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11.3</w:t>
      </w:r>
      <w:r>
        <w:rPr>
          <w:rFonts w:hint="eastAsia" w:ascii="仿宋" w:hAnsi="仿宋" w:eastAsia="仿宋" w:cs="仿宋"/>
          <w:sz w:val="24"/>
          <w:szCs w:val="24"/>
          <w:highlight w:val="none"/>
        </w:rPr>
        <w:t>如果供应商未按上述要求密封及加写标记，误投或过早启封的响应文件，出现此类情况的响应文件，采购代理机构将拒绝接收，并退回供应商。采购人或采购代理机构不予受理，其投标无效。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4、采购代理机构收到</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响应文件的时间不得迟于</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文件规定的截止时间。</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响应文件在递交过程中，采购代理机构只负责</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响应文件的接收、登记和组织工作，对</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响应文件的有效性不负任何责任。在截止期后，各供应商递交的任何</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响应文件采购代理机构将拒绝接收。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响应文件送达后，在截止期前，经采购代理机构同意后各供应商可以修改或撤回其</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响应文件。修改或撤回的内容应按</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文件的规定编制、密封、标记和发送。并在</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响应文件扉页加注“修改”或“撤回”字样。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截止时间后到谈判前，各供应商不得对其</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响应文件做任何修改。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响应文件中的资格审查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资质审查提供的资质证明原件应单独提供，以便在</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期间由采购人进行资格审查，确认后向大会宣布资格审查结果。资质证明原件审核后退回各单位。在开标后的任何时间采购人及</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小组都有权随时要求审查</w:t>
      </w:r>
      <w:r>
        <w:rPr>
          <w:rFonts w:hint="eastAsia" w:ascii="仿宋" w:hAnsi="仿宋" w:eastAsia="仿宋" w:cs="仿宋"/>
          <w:sz w:val="24"/>
          <w:szCs w:val="24"/>
          <w:highlight w:val="none"/>
          <w:lang w:eastAsia="zh-CN"/>
        </w:rPr>
        <w:t>磋商</w:t>
      </w:r>
      <w:r>
        <w:rPr>
          <w:rFonts w:hint="eastAsia" w:ascii="仿宋" w:hAnsi="仿宋" w:eastAsia="仿宋" w:cs="仿宋"/>
          <w:sz w:val="24"/>
          <w:szCs w:val="24"/>
          <w:highlight w:val="none"/>
        </w:rPr>
        <w:t>响应文件提供的其他资格证明文件的原件，如果不能及时提供，按无效投标处理。</w:t>
      </w:r>
    </w:p>
    <w:bookmarkEnd w:id="79"/>
    <w:bookmarkEnd w:id="80"/>
    <w:p>
      <w:pPr>
        <w:pStyle w:val="5"/>
        <w:numPr>
          <w:ilvl w:val="0"/>
          <w:numId w:val="0"/>
        </w:numPr>
        <w:bidi w:val="0"/>
        <w:rPr>
          <w:rFonts w:hint="eastAsia" w:ascii="仿宋" w:hAnsi="仿宋" w:eastAsia="仿宋" w:cs="仿宋"/>
          <w:highlight w:val="none"/>
          <w:lang w:val="en-US" w:eastAsia="zh-CN"/>
        </w:rPr>
      </w:pPr>
      <w:bookmarkStart w:id="85" w:name="_Toc12283"/>
      <w:r>
        <w:rPr>
          <w:rFonts w:hint="eastAsia" w:ascii="仿宋" w:hAnsi="仿宋" w:eastAsia="仿宋" w:cs="仿宋"/>
          <w:b/>
          <w:kern w:val="2"/>
          <w:sz w:val="28"/>
          <w:highlight w:val="none"/>
          <w:lang w:val="en-US" w:eastAsia="zh-CN" w:bidi="ar-SA"/>
        </w:rPr>
        <w:t>12、</w:t>
      </w:r>
      <w:r>
        <w:rPr>
          <w:rFonts w:hint="eastAsia" w:ascii="仿宋" w:hAnsi="仿宋" w:eastAsia="仿宋" w:cs="仿宋"/>
          <w:highlight w:val="none"/>
        </w:rPr>
        <w:t>供应商资质证明文件</w:t>
      </w:r>
      <w:bookmarkEnd w:id="81"/>
      <w:bookmarkEnd w:id="82"/>
      <w:r>
        <w:rPr>
          <w:rFonts w:hint="eastAsia" w:ascii="仿宋" w:hAnsi="仿宋" w:eastAsia="仿宋" w:cs="仿宋"/>
          <w:highlight w:val="none"/>
          <w:lang w:val="en-US" w:eastAsia="zh-CN"/>
        </w:rPr>
        <w:t>要求</w:t>
      </w:r>
      <w:bookmarkEnd w:id="83"/>
      <w:bookmarkEnd w:id="85"/>
    </w:p>
    <w:p>
      <w:pPr>
        <w:numPr>
          <w:ilvl w:val="0"/>
          <w:numId w:val="0"/>
        </w:numPr>
        <w:spacing w:line="360" w:lineRule="auto"/>
        <w:ind w:firstLine="480" w:firstLineChars="200"/>
        <w:rPr>
          <w:rFonts w:hint="eastAsia" w:ascii="仿宋" w:hAnsi="仿宋" w:eastAsia="仿宋" w:cs="仿宋"/>
          <w:b/>
          <w:color w:val="auto"/>
          <w:szCs w:val="24"/>
          <w:highlight w:val="none"/>
          <w:lang w:val="en-US" w:eastAsia="zh-CN"/>
        </w:rPr>
      </w:pPr>
      <w:r>
        <w:rPr>
          <w:rFonts w:hint="eastAsia" w:ascii="仿宋" w:hAnsi="仿宋" w:eastAsia="仿宋" w:cs="仿宋"/>
          <w:color w:val="auto"/>
          <w:szCs w:val="24"/>
          <w:highlight w:val="none"/>
          <w:lang w:val="en-US" w:eastAsia="zh-CN"/>
        </w:rPr>
        <w:t>详见前附表。</w:t>
      </w:r>
    </w:p>
    <w:bookmarkEnd w:id="84"/>
    <w:p>
      <w:pPr>
        <w:pStyle w:val="5"/>
        <w:bidi w:val="0"/>
        <w:rPr>
          <w:rFonts w:hint="eastAsia" w:ascii="仿宋" w:hAnsi="仿宋" w:eastAsia="仿宋" w:cs="仿宋"/>
          <w:highlight w:val="none"/>
        </w:rPr>
      </w:pPr>
      <w:bookmarkStart w:id="86" w:name="_Toc31665"/>
      <w:bookmarkStart w:id="87" w:name="_Toc17173"/>
      <w:r>
        <w:rPr>
          <w:rFonts w:hint="eastAsia" w:ascii="仿宋" w:hAnsi="仿宋" w:eastAsia="仿宋" w:cs="仿宋"/>
          <w:highlight w:val="none"/>
        </w:rPr>
        <w:t>13、磋商有效期</w:t>
      </w:r>
      <w:bookmarkEnd w:id="86"/>
      <w:bookmarkEnd w:id="87"/>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13.1响应文件从磋商之日起，磋商有效期为90日历天。响应文件中所有要求的证明文件的有效期比本须知规定的有效期短的，将被视为非响应磋商，采购人有权拒绝。</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13.2特殊情况下，采购人可于磋商有效期满之前要求供应商同意延长有效期，要求与答复均应为书面形式。供应商可以拒绝上述要求。对于同意该要求的供应商，既不要求也不允许其修改响应文件。</w:t>
      </w:r>
    </w:p>
    <w:p>
      <w:pPr>
        <w:pStyle w:val="5"/>
        <w:bidi w:val="0"/>
        <w:rPr>
          <w:rFonts w:hint="eastAsia" w:ascii="仿宋" w:hAnsi="仿宋" w:eastAsia="仿宋" w:cs="仿宋"/>
          <w:highlight w:val="none"/>
        </w:rPr>
      </w:pPr>
      <w:bookmarkStart w:id="88" w:name="_Toc30365"/>
      <w:bookmarkStart w:id="89" w:name="_Toc21777"/>
      <w:r>
        <w:rPr>
          <w:rFonts w:hint="eastAsia" w:ascii="仿宋" w:hAnsi="仿宋" w:eastAsia="仿宋" w:cs="仿宋"/>
          <w:highlight w:val="none"/>
        </w:rPr>
        <w:t>14、磋商保证金</w:t>
      </w:r>
      <w:bookmarkEnd w:id="88"/>
      <w:bookmarkEnd w:id="89"/>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14.1本项目磋商保证金采用信用承诺书代替（后附格式，</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须在信用中国陕西榆林承诺申报）。</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14.2开标时经审查，未提交信用承诺书及未在信用中国陕西榆林承诺申报的将按无效投标处理。</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14.3磋商保证金的</w:t>
      </w:r>
      <w:r>
        <w:rPr>
          <w:rFonts w:hint="eastAsia" w:ascii="仿宋" w:hAnsi="仿宋" w:eastAsia="仿宋" w:cs="仿宋"/>
          <w:color w:val="auto"/>
          <w:szCs w:val="24"/>
          <w:highlight w:val="none"/>
          <w:lang w:val="en-US" w:eastAsia="zh-CN"/>
        </w:rPr>
        <w:t>承诺书</w:t>
      </w:r>
      <w:r>
        <w:rPr>
          <w:rFonts w:hint="eastAsia" w:ascii="仿宋" w:hAnsi="仿宋" w:eastAsia="仿宋" w:cs="仿宋"/>
          <w:color w:val="auto"/>
          <w:szCs w:val="24"/>
          <w:highlight w:val="none"/>
        </w:rPr>
        <w:t>有效期与投标有效期一致。</w:t>
      </w:r>
    </w:p>
    <w:p>
      <w:pPr>
        <w:pStyle w:val="3"/>
        <w:bidi w:val="0"/>
        <w:rPr>
          <w:rFonts w:hint="eastAsia" w:ascii="仿宋" w:hAnsi="仿宋" w:eastAsia="仿宋" w:cs="仿宋"/>
          <w:highlight w:val="none"/>
        </w:rPr>
      </w:pPr>
      <w:bookmarkStart w:id="90" w:name="_Toc24483"/>
      <w:bookmarkStart w:id="91" w:name="_Toc14753"/>
      <w:r>
        <w:rPr>
          <w:rFonts w:hint="eastAsia" w:ascii="仿宋" w:hAnsi="仿宋" w:eastAsia="仿宋" w:cs="仿宋"/>
          <w:highlight w:val="none"/>
        </w:rPr>
        <w:t>（</w:t>
      </w:r>
      <w:r>
        <w:rPr>
          <w:rFonts w:hint="eastAsia" w:ascii="仿宋" w:hAnsi="仿宋" w:eastAsia="仿宋" w:cs="仿宋"/>
          <w:highlight w:val="none"/>
          <w:lang w:val="en-US" w:eastAsia="zh-CN"/>
        </w:rPr>
        <w:t>四</w:t>
      </w:r>
      <w:r>
        <w:rPr>
          <w:rFonts w:hint="eastAsia" w:ascii="仿宋" w:hAnsi="仿宋" w:eastAsia="仿宋" w:cs="仿宋"/>
          <w:highlight w:val="none"/>
        </w:rPr>
        <w:t>）开标</w:t>
      </w:r>
      <w:bookmarkEnd w:id="90"/>
      <w:bookmarkEnd w:id="91"/>
    </w:p>
    <w:p>
      <w:pPr>
        <w:pStyle w:val="5"/>
        <w:bidi w:val="0"/>
        <w:rPr>
          <w:rFonts w:hint="eastAsia" w:ascii="仿宋" w:hAnsi="仿宋" w:eastAsia="仿宋" w:cs="仿宋"/>
          <w:highlight w:val="none"/>
        </w:rPr>
      </w:pPr>
      <w:bookmarkStart w:id="92" w:name="_Toc394934434"/>
      <w:bookmarkStart w:id="93" w:name="_Toc15415"/>
      <w:bookmarkStart w:id="94" w:name="_Toc31584"/>
      <w:r>
        <w:rPr>
          <w:rFonts w:hint="eastAsia" w:ascii="仿宋" w:hAnsi="仿宋" w:eastAsia="仿宋" w:cs="仿宋"/>
          <w:highlight w:val="none"/>
          <w:lang w:val="en-US" w:eastAsia="zh-CN"/>
        </w:rPr>
        <w:t>15</w:t>
      </w:r>
      <w:r>
        <w:rPr>
          <w:rFonts w:hint="eastAsia" w:ascii="仿宋" w:hAnsi="仿宋" w:eastAsia="仿宋" w:cs="仿宋"/>
          <w:highlight w:val="none"/>
        </w:rPr>
        <w:t>、</w:t>
      </w:r>
      <w:bookmarkEnd w:id="92"/>
      <w:r>
        <w:rPr>
          <w:rFonts w:hint="eastAsia" w:ascii="仿宋" w:hAnsi="仿宋" w:eastAsia="仿宋" w:cs="仿宋"/>
          <w:highlight w:val="none"/>
        </w:rPr>
        <w:t>磋商</w:t>
      </w:r>
      <w:bookmarkEnd w:id="93"/>
      <w:bookmarkEnd w:id="94"/>
    </w:p>
    <w:p>
      <w:pPr>
        <w:spacing w:line="360" w:lineRule="auto"/>
        <w:ind w:firstLine="480" w:firstLineChars="200"/>
        <w:rPr>
          <w:rFonts w:hint="eastAsia" w:ascii="仿宋" w:hAnsi="仿宋" w:eastAsia="仿宋" w:cs="仿宋"/>
          <w:color w:val="auto"/>
          <w:szCs w:val="24"/>
          <w:highlight w:val="none"/>
        </w:rPr>
      </w:pPr>
      <w:bookmarkStart w:id="95" w:name="_Toc394934435"/>
      <w:bookmarkStart w:id="96" w:name="_Toc27904"/>
      <w:bookmarkStart w:id="97" w:name="_Toc246928921"/>
      <w:r>
        <w:rPr>
          <w:rFonts w:hint="eastAsia" w:ascii="仿宋" w:hAnsi="仿宋" w:eastAsia="仿宋" w:cs="仿宋"/>
          <w:color w:val="auto"/>
          <w:szCs w:val="24"/>
          <w:highlight w:val="none"/>
          <w:lang w:val="en-US" w:eastAsia="zh-CN"/>
        </w:rPr>
        <w:t>15</w:t>
      </w: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磋商</w:t>
      </w:r>
      <w:r>
        <w:rPr>
          <w:rFonts w:hint="eastAsia" w:ascii="仿宋" w:hAnsi="仿宋" w:eastAsia="仿宋" w:cs="仿宋"/>
          <w:color w:val="auto"/>
          <w:szCs w:val="24"/>
          <w:highlight w:val="none"/>
        </w:rPr>
        <w:t>会由采购人或采购代理机构主持。</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（1）介绍采购单位参会人员及</w:t>
      </w:r>
      <w:r>
        <w:rPr>
          <w:rFonts w:hint="eastAsia" w:ascii="仿宋" w:hAnsi="仿宋" w:eastAsia="仿宋" w:cs="仿宋"/>
          <w:color w:val="auto"/>
          <w:szCs w:val="24"/>
          <w:highlight w:val="none"/>
          <w:lang w:val="en-US" w:eastAsia="zh-CN"/>
        </w:rPr>
        <w:t>磋商</w:t>
      </w:r>
      <w:r>
        <w:rPr>
          <w:rFonts w:hint="eastAsia" w:ascii="仿宋" w:hAnsi="仿宋" w:eastAsia="仿宋" w:cs="仿宋"/>
          <w:color w:val="auto"/>
          <w:szCs w:val="24"/>
          <w:highlight w:val="none"/>
        </w:rPr>
        <w:t>截止时间前递交响应文件的供应商名称；</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（2）宣读谈判纪律、签署拒绝商业贿赂承诺书；</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（3）对供应商代表进行身份核验；</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（4）供应商代表检查所有响应文件密封情况，并签字确认；</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（5）开标（不宣读报价）、资格审查；</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（6）由</w:t>
      </w:r>
      <w:r>
        <w:rPr>
          <w:rFonts w:hint="eastAsia" w:ascii="仿宋" w:hAnsi="仿宋" w:eastAsia="仿宋" w:cs="仿宋"/>
          <w:color w:val="auto"/>
          <w:szCs w:val="24"/>
          <w:highlight w:val="none"/>
          <w:lang w:val="en-US" w:eastAsia="zh-CN"/>
        </w:rPr>
        <w:t>磋商</w:t>
      </w:r>
      <w:r>
        <w:rPr>
          <w:rFonts w:hint="eastAsia" w:ascii="仿宋" w:hAnsi="仿宋" w:eastAsia="仿宋" w:cs="仿宋"/>
          <w:color w:val="auto"/>
          <w:szCs w:val="24"/>
          <w:highlight w:val="none"/>
        </w:rPr>
        <w:t>小组进行评审，如有必要则与供应商分别进行谈判；</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（7）进行最终报价；</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（8）</w:t>
      </w:r>
      <w:r>
        <w:rPr>
          <w:rFonts w:hint="eastAsia" w:ascii="仿宋" w:hAnsi="仿宋" w:eastAsia="仿宋" w:cs="仿宋"/>
          <w:color w:val="auto"/>
          <w:szCs w:val="24"/>
          <w:highlight w:val="none"/>
          <w:lang w:val="en-US" w:eastAsia="zh-CN"/>
        </w:rPr>
        <w:t>磋商</w:t>
      </w:r>
      <w:r>
        <w:rPr>
          <w:rFonts w:hint="eastAsia" w:ascii="仿宋" w:hAnsi="仿宋" w:eastAsia="仿宋" w:cs="仿宋"/>
          <w:color w:val="auto"/>
          <w:szCs w:val="24"/>
          <w:highlight w:val="none"/>
        </w:rPr>
        <w:t>结束。</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15</w:t>
      </w:r>
      <w:r>
        <w:rPr>
          <w:rFonts w:hint="eastAsia" w:ascii="仿宋" w:hAnsi="仿宋" w:eastAsia="仿宋" w:cs="仿宋"/>
          <w:color w:val="auto"/>
          <w:szCs w:val="24"/>
          <w:highlight w:val="none"/>
        </w:rPr>
        <w:t>.2采购人及采购代理机构按</w:t>
      </w:r>
      <w:r>
        <w:rPr>
          <w:rFonts w:hint="eastAsia" w:ascii="仿宋" w:hAnsi="仿宋" w:eastAsia="仿宋" w:cs="仿宋"/>
          <w:color w:val="auto"/>
          <w:szCs w:val="24"/>
          <w:highlight w:val="none"/>
          <w:lang w:val="en-US" w:eastAsia="zh-CN"/>
        </w:rPr>
        <w:t>磋商</w:t>
      </w:r>
      <w:r>
        <w:rPr>
          <w:rFonts w:hint="eastAsia" w:ascii="仿宋" w:hAnsi="仿宋" w:eastAsia="仿宋" w:cs="仿宋"/>
          <w:color w:val="auto"/>
          <w:szCs w:val="24"/>
          <w:highlight w:val="none"/>
        </w:rPr>
        <w:t>公告中规定的时间和地点接受供应商递交的响应文件。供应商派授权代表签到，并参加谈判。供应商未参加谈判的，视同自动放弃谈判，其响应文件按无效投标处理。</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15</w:t>
      </w:r>
      <w:r>
        <w:rPr>
          <w:rFonts w:hint="eastAsia" w:ascii="仿宋" w:hAnsi="仿宋" w:eastAsia="仿宋" w:cs="仿宋"/>
          <w:color w:val="auto"/>
          <w:szCs w:val="24"/>
          <w:highlight w:val="none"/>
        </w:rPr>
        <w:t>.3供应商少于三家的，采购人或者采购代理机构应退回供应商递交的响应文件，采购人和采购代理机构应依法重新组织</w:t>
      </w:r>
      <w:r>
        <w:rPr>
          <w:rFonts w:hint="eastAsia" w:ascii="仿宋" w:hAnsi="仿宋" w:eastAsia="仿宋" w:cs="仿宋"/>
          <w:color w:val="auto"/>
          <w:szCs w:val="24"/>
          <w:highlight w:val="none"/>
          <w:lang w:eastAsia="zh-CN"/>
        </w:rPr>
        <w:t>竞争性</w:t>
      </w:r>
      <w:r>
        <w:rPr>
          <w:rFonts w:hint="eastAsia" w:ascii="仿宋" w:hAnsi="仿宋" w:eastAsia="仿宋" w:cs="仿宋"/>
          <w:color w:val="auto"/>
          <w:szCs w:val="24"/>
          <w:highlight w:val="none"/>
          <w:lang w:val="en-US" w:eastAsia="zh-CN"/>
        </w:rPr>
        <w:t>磋商</w:t>
      </w:r>
      <w:r>
        <w:rPr>
          <w:rFonts w:hint="eastAsia" w:ascii="仿宋" w:hAnsi="仿宋" w:eastAsia="仿宋" w:cs="仿宋"/>
          <w:color w:val="auto"/>
          <w:szCs w:val="24"/>
          <w:highlight w:val="none"/>
        </w:rPr>
        <w:t>，且不承担任何费用和责任。</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15</w:t>
      </w:r>
      <w:r>
        <w:rPr>
          <w:rFonts w:hint="eastAsia" w:ascii="仿宋" w:hAnsi="仿宋" w:eastAsia="仿宋" w:cs="仿宋"/>
          <w:color w:val="auto"/>
          <w:szCs w:val="24"/>
          <w:highlight w:val="none"/>
        </w:rPr>
        <w:t>.4检查响应文件密封情况，由供应商的法人或授权代表检查响应文件的密封情况并由法定代表人或其授权代表签字确认。</w:t>
      </w:r>
    </w:p>
    <w:p>
      <w:pPr>
        <w:pStyle w:val="5"/>
        <w:bidi w:val="0"/>
        <w:rPr>
          <w:rFonts w:hint="eastAsia" w:ascii="仿宋" w:hAnsi="仿宋" w:eastAsia="仿宋" w:cs="仿宋"/>
          <w:highlight w:val="none"/>
        </w:rPr>
      </w:pPr>
      <w:bookmarkStart w:id="98" w:name="_Toc14127"/>
      <w:r>
        <w:rPr>
          <w:rFonts w:hint="eastAsia" w:ascii="仿宋" w:hAnsi="仿宋" w:eastAsia="仿宋" w:cs="仿宋"/>
          <w:highlight w:val="none"/>
          <w:lang w:val="en-US" w:eastAsia="zh-CN"/>
        </w:rPr>
        <w:t>16</w:t>
      </w:r>
      <w:r>
        <w:rPr>
          <w:rFonts w:hint="eastAsia" w:ascii="仿宋" w:hAnsi="仿宋" w:eastAsia="仿宋" w:cs="仿宋"/>
          <w:highlight w:val="none"/>
        </w:rPr>
        <w:t>、磋商小组</w:t>
      </w:r>
      <w:bookmarkEnd w:id="95"/>
      <w:bookmarkEnd w:id="96"/>
      <w:bookmarkEnd w:id="97"/>
      <w:bookmarkEnd w:id="9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.1根据本次招标项目的特点，</w:t>
      </w:r>
      <w:r>
        <w:rPr>
          <w:rFonts w:hint="eastAsia" w:ascii="仿宋" w:hAnsi="仿宋" w:eastAsia="仿宋" w:cs="仿宋"/>
          <w:color w:val="auto"/>
          <w:szCs w:val="24"/>
          <w:highlight w:val="none"/>
          <w:lang w:eastAsia="zh-CN"/>
        </w:rPr>
        <w:t>按</w:t>
      </w:r>
      <w:r>
        <w:rPr>
          <w:rFonts w:hint="eastAsia" w:ascii="仿宋" w:hAnsi="仿宋" w:eastAsia="仿宋" w:cs="仿宋"/>
          <w:color w:val="auto"/>
          <w:szCs w:val="24"/>
          <w:highlight w:val="none"/>
        </w:rPr>
        <w:t>照《中华人民共和国政府采购法》等有关规定组建磋商小组。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.2本项目磋商小组</w:t>
      </w:r>
      <w:r>
        <w:rPr>
          <w:rFonts w:hint="eastAsia" w:ascii="仿宋" w:hAnsi="仿宋" w:eastAsia="仿宋" w:cs="仿宋"/>
          <w:color w:val="auto"/>
          <w:szCs w:val="24"/>
          <w:highlight w:val="none"/>
          <w:lang w:eastAsia="zh-CN"/>
        </w:rPr>
        <w:t>由采购人和</w:t>
      </w:r>
      <w:r>
        <w:rPr>
          <w:rFonts w:hint="eastAsia" w:ascii="仿宋" w:hAnsi="仿宋" w:eastAsia="仿宋" w:cs="仿宋"/>
          <w:color w:val="auto"/>
          <w:szCs w:val="24"/>
          <w:highlight w:val="none"/>
        </w:rPr>
        <w:t>专家</w:t>
      </w:r>
      <w:r>
        <w:rPr>
          <w:rFonts w:hint="eastAsia" w:ascii="仿宋" w:hAnsi="仿宋" w:eastAsia="仿宋" w:cs="仿宋"/>
          <w:color w:val="auto"/>
          <w:szCs w:val="24"/>
          <w:highlight w:val="none"/>
          <w:lang w:eastAsia="zh-CN"/>
        </w:rPr>
        <w:t>组成，专家</w:t>
      </w:r>
      <w:r>
        <w:rPr>
          <w:rFonts w:hint="eastAsia" w:ascii="仿宋" w:hAnsi="仿宋" w:eastAsia="仿宋" w:cs="仿宋"/>
          <w:color w:val="auto"/>
          <w:szCs w:val="24"/>
          <w:highlight w:val="none"/>
        </w:rPr>
        <w:t>产生方式符合国家有关评审专家产生方式的规定。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.3磋商小组成员对各供应商磋商响应文件进行审查、质疑、评估和比较，并推荐成交候选供应商。</w:t>
      </w:r>
    </w:p>
    <w:p>
      <w:pPr>
        <w:pStyle w:val="3"/>
        <w:bidi w:val="0"/>
        <w:rPr>
          <w:rFonts w:hint="eastAsia" w:ascii="仿宋" w:hAnsi="仿宋" w:eastAsia="仿宋" w:cs="仿宋"/>
          <w:highlight w:val="none"/>
        </w:rPr>
      </w:pPr>
      <w:bookmarkStart w:id="99" w:name="_Toc23648"/>
      <w:bookmarkStart w:id="100" w:name="_Toc25463"/>
      <w:bookmarkStart w:id="101" w:name="_Toc394934436"/>
      <w:bookmarkStart w:id="102" w:name="_Toc246928924"/>
      <w:r>
        <w:rPr>
          <w:rFonts w:hint="eastAsia" w:ascii="仿宋" w:hAnsi="仿宋" w:eastAsia="仿宋" w:cs="仿宋"/>
          <w:highlight w:val="none"/>
        </w:rPr>
        <w:t>（</w:t>
      </w:r>
      <w:r>
        <w:rPr>
          <w:rFonts w:hint="eastAsia" w:ascii="仿宋" w:hAnsi="仿宋" w:eastAsia="仿宋" w:cs="仿宋"/>
          <w:highlight w:val="none"/>
          <w:lang w:val="en-US" w:eastAsia="zh-CN"/>
        </w:rPr>
        <w:t>五</w:t>
      </w:r>
      <w:r>
        <w:rPr>
          <w:rFonts w:hint="eastAsia" w:ascii="仿宋" w:hAnsi="仿宋" w:eastAsia="仿宋" w:cs="仿宋"/>
          <w:highlight w:val="none"/>
        </w:rPr>
        <w:t>）评审</w:t>
      </w:r>
      <w:bookmarkEnd w:id="99"/>
      <w:bookmarkEnd w:id="100"/>
    </w:p>
    <w:p>
      <w:pPr>
        <w:pStyle w:val="5"/>
        <w:bidi w:val="0"/>
        <w:rPr>
          <w:rFonts w:hint="eastAsia" w:ascii="仿宋" w:hAnsi="仿宋" w:eastAsia="仿宋" w:cs="仿宋"/>
          <w:highlight w:val="none"/>
        </w:rPr>
      </w:pPr>
      <w:bookmarkStart w:id="103" w:name="_Toc3660"/>
      <w:bookmarkStart w:id="104" w:name="_Toc4576"/>
      <w:r>
        <w:rPr>
          <w:rFonts w:hint="eastAsia" w:ascii="仿宋" w:hAnsi="仿宋" w:eastAsia="仿宋" w:cs="仿宋"/>
          <w:highlight w:val="none"/>
          <w:lang w:val="en-US" w:eastAsia="zh-CN"/>
        </w:rPr>
        <w:t>17</w:t>
      </w:r>
      <w:r>
        <w:rPr>
          <w:rFonts w:hint="eastAsia" w:ascii="仿宋" w:hAnsi="仿宋" w:eastAsia="仿宋" w:cs="仿宋"/>
          <w:highlight w:val="none"/>
        </w:rPr>
        <w:t>、评审</w:t>
      </w:r>
      <w:bookmarkEnd w:id="101"/>
      <w:bookmarkEnd w:id="102"/>
      <w:bookmarkEnd w:id="103"/>
      <w:bookmarkEnd w:id="104"/>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17</w:t>
      </w:r>
      <w:r>
        <w:rPr>
          <w:rFonts w:hint="eastAsia" w:ascii="仿宋" w:hAnsi="仿宋" w:eastAsia="仿宋" w:cs="仿宋"/>
          <w:color w:val="auto"/>
          <w:szCs w:val="24"/>
          <w:highlight w:val="none"/>
        </w:rPr>
        <w:t>.1磋商小组将遵循公平、公正和择优的原则，对所有供应商的磋商响应文件评审，都采用相同的程序和标准。</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17</w:t>
      </w:r>
      <w:r>
        <w:rPr>
          <w:rFonts w:hint="eastAsia" w:ascii="仿宋" w:hAnsi="仿宋" w:eastAsia="仿宋" w:cs="仿宋"/>
          <w:color w:val="auto"/>
          <w:szCs w:val="24"/>
          <w:highlight w:val="none"/>
        </w:rPr>
        <w:t>.2评审过程的保密：评审应在严格保密的状态下进行，在响应文件的评审、比较、成交候选供应商推荐以及授予合同的过程中，供应商向采购人和磋商小组施加影响的任何行为，都将会导致其报价被拒绝；成交供应商确定后，采购人不对未成交供应商就评审过程以及未能成交原因做出任何解释。未成交供应商不得向磋商小组成员或其他相关人员索问评审过程的情况和材料。</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17</w:t>
      </w:r>
      <w:r>
        <w:rPr>
          <w:rFonts w:hint="eastAsia" w:ascii="仿宋" w:hAnsi="仿宋" w:eastAsia="仿宋" w:cs="仿宋"/>
          <w:color w:val="auto"/>
          <w:szCs w:val="24"/>
          <w:highlight w:val="none"/>
        </w:rPr>
        <w:t>.3供应商或磋商响应文件出现的下列情形将按照无效响应文件处理，由磋商小组否决其磋商：</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17</w:t>
      </w:r>
      <w:r>
        <w:rPr>
          <w:rFonts w:hint="eastAsia" w:ascii="仿宋" w:hAnsi="仿宋" w:eastAsia="仿宋" w:cs="仿宋"/>
          <w:color w:val="auto"/>
          <w:szCs w:val="24"/>
          <w:highlight w:val="none"/>
        </w:rPr>
        <w:t>.3.1未按磋商文件规定要求签署、盖章；</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17</w:t>
      </w:r>
      <w:r>
        <w:rPr>
          <w:rFonts w:hint="eastAsia" w:ascii="仿宋" w:hAnsi="仿宋" w:eastAsia="仿宋" w:cs="仿宋"/>
          <w:color w:val="auto"/>
          <w:szCs w:val="24"/>
          <w:highlight w:val="none"/>
        </w:rPr>
        <w:t>.3.2不具备磋商文件规定资格条件的或提供的资格证明文件不全的；</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17</w:t>
      </w:r>
      <w:r>
        <w:rPr>
          <w:rFonts w:hint="eastAsia" w:ascii="仿宋" w:hAnsi="仿宋" w:eastAsia="仿宋" w:cs="仿宋"/>
          <w:color w:val="auto"/>
          <w:szCs w:val="24"/>
          <w:highlight w:val="none"/>
        </w:rPr>
        <w:t>.3.3响应文件内容不全或字迹模糊辨认不清导致磋商响应文件不满足磋商文件实质性要求的；</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17</w:t>
      </w:r>
      <w:r>
        <w:rPr>
          <w:rFonts w:hint="eastAsia" w:ascii="仿宋" w:hAnsi="仿宋" w:eastAsia="仿宋" w:cs="仿宋"/>
          <w:color w:val="auto"/>
          <w:szCs w:val="24"/>
          <w:highlight w:val="none"/>
        </w:rPr>
        <w:t>.3.4</w:t>
      </w:r>
      <w:r>
        <w:rPr>
          <w:rFonts w:hint="eastAsia" w:ascii="仿宋" w:hAnsi="仿宋" w:eastAsia="仿宋" w:cs="仿宋"/>
          <w:color w:val="auto"/>
          <w:sz w:val="24"/>
          <w:szCs w:val="24"/>
          <w:highlight w:val="none"/>
          <w:lang w:val="en-US" w:eastAsia="zh-CN"/>
        </w:rPr>
        <w:t>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投标处理</w:t>
      </w:r>
      <w:r>
        <w:rPr>
          <w:rFonts w:hint="eastAsia" w:ascii="仿宋" w:hAnsi="仿宋" w:eastAsia="仿宋" w:cs="仿宋"/>
          <w:color w:val="auto"/>
          <w:szCs w:val="24"/>
          <w:highlight w:val="none"/>
        </w:rPr>
        <w:t>；</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（1）供应商没有经过正常渠道购买磋商文件或供应商的名称与登记领取磋商文件单位的名称不符；</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（2）供应商的任何一轮报价超出采购预算的；</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（3）本项目实行多次报价。第一次报价后，磋商小组可以变更采购需求，最后报价为最终报价。如采购需求没有实质性变化，各供应商的报价应逐次降低，本次报价超过上次报价的，为无效报价；</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响应文件中未提交法定代表人授权书（法定代表人直接参加磋商未按要求提交其有效身份证）或授权书的合法性或有效性不符合竞争性磋商文件规定。法定代表人授权委托书的有效期短于磋商响应文件有效期；</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（5）供应商资格证明文件的有效性或符合性不符合要求的；</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（6）响应文件没有按磋商文件要求进行签字、盖章，无响应文件有效期或有效期达不到磋商文件的要求；</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（7）响应文件对磋商文件要求（服务期、付款方式）不一致，或附加了采购人难以接受的条件；</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（8）磋商内容出现漏项或数量与要求不符，出现负偏差。</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（9）磋商响应文件对于磋商文件规定的实质性响应内容未进行实质性响应，或其服务内容不符合磋商文件要求；</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（10）供应商未按磋商文件要求缴纳保证金的；</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（11）供应商的报价明显低于其他通过符合性审查供应商的报价，有可能影响产品、服务质量或者不能诚信履约的，且供应商不能证明其报价合理性的；</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（12）逾期提交电子响应文件或纸质响应文件的；</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（13）提供虚假证明，开具虚假资质，出现虚假应答或故意隐瞒行为；</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（14）提交的响应文件与本项目不相符；</w:t>
      </w:r>
    </w:p>
    <w:p>
      <w:pPr>
        <w:spacing w:line="360" w:lineRule="auto"/>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17</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不符合法律、法规和磋商文件中规定的其他实质性要求的</w:t>
      </w:r>
      <w:r>
        <w:rPr>
          <w:rFonts w:hint="eastAsia" w:ascii="仿宋" w:hAnsi="仿宋" w:eastAsia="仿宋" w:cs="仿宋"/>
          <w:color w:val="auto"/>
          <w:szCs w:val="24"/>
          <w:highlight w:val="none"/>
          <w:lang w:eastAsia="zh-CN"/>
        </w:rPr>
        <w:t>。</w:t>
      </w:r>
    </w:p>
    <w:p>
      <w:pPr>
        <w:pStyle w:val="5"/>
        <w:bidi w:val="0"/>
        <w:rPr>
          <w:rFonts w:hint="eastAsia" w:ascii="仿宋" w:hAnsi="仿宋" w:eastAsia="仿宋" w:cs="仿宋"/>
          <w:highlight w:val="none"/>
        </w:rPr>
      </w:pPr>
      <w:bookmarkStart w:id="105" w:name="_Toc394934437"/>
      <w:bookmarkStart w:id="106" w:name="_Toc13656"/>
      <w:bookmarkStart w:id="107" w:name="_Toc10513"/>
      <w:r>
        <w:rPr>
          <w:rFonts w:hint="eastAsia" w:ascii="仿宋" w:hAnsi="仿宋" w:eastAsia="仿宋" w:cs="仿宋"/>
          <w:highlight w:val="none"/>
          <w:lang w:val="en-US" w:eastAsia="zh-CN"/>
        </w:rPr>
        <w:t>18</w:t>
      </w:r>
      <w:r>
        <w:rPr>
          <w:rFonts w:hint="eastAsia" w:ascii="仿宋" w:hAnsi="仿宋" w:eastAsia="仿宋" w:cs="仿宋"/>
          <w:highlight w:val="none"/>
        </w:rPr>
        <w:t>、评审</w:t>
      </w:r>
      <w:bookmarkEnd w:id="105"/>
      <w:r>
        <w:rPr>
          <w:rFonts w:hint="eastAsia" w:ascii="仿宋" w:hAnsi="仿宋" w:eastAsia="仿宋" w:cs="仿宋"/>
          <w:highlight w:val="none"/>
        </w:rPr>
        <w:t>程序及办法</w:t>
      </w:r>
      <w:bookmarkEnd w:id="106"/>
      <w:bookmarkEnd w:id="107"/>
    </w:p>
    <w:p>
      <w:pPr>
        <w:spacing w:line="360" w:lineRule="auto"/>
        <w:ind w:firstLine="480" w:firstLineChars="20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18</w:t>
      </w:r>
      <w:r>
        <w:rPr>
          <w:rFonts w:hint="eastAsia" w:ascii="仿宋" w:hAnsi="仿宋" w:eastAsia="仿宋" w:cs="仿宋"/>
          <w:color w:val="auto"/>
          <w:szCs w:val="24"/>
          <w:highlight w:val="none"/>
        </w:rPr>
        <w:t>.1采购人对各个供应商的响应文件先进行资格审查，磋商小组再进行符合性审查，审查全都合格的供应商才有参加磋商与承诺的资格。</w:t>
      </w:r>
    </w:p>
    <w:p>
      <w:pPr>
        <w:spacing w:line="360" w:lineRule="auto"/>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18</w:t>
      </w:r>
      <w:r>
        <w:rPr>
          <w:rFonts w:hint="eastAsia" w:ascii="仿宋" w:hAnsi="仿宋" w:eastAsia="仿宋" w:cs="仿宋"/>
          <w:color w:val="auto"/>
          <w:szCs w:val="24"/>
          <w:highlight w:val="none"/>
        </w:rPr>
        <w:t>.1.1资格审查内容为：供应商须知前附表（供应商资质证明文件）</w:t>
      </w:r>
      <w:r>
        <w:rPr>
          <w:rFonts w:hint="eastAsia" w:ascii="仿宋" w:hAnsi="仿宋" w:eastAsia="仿宋" w:cs="仿宋"/>
          <w:color w:val="auto"/>
          <w:szCs w:val="24"/>
          <w:highlight w:val="none"/>
          <w:lang w:eastAsia="zh-CN"/>
        </w:rPr>
        <w:t>。</w:t>
      </w:r>
    </w:p>
    <w:p>
      <w:pPr>
        <w:spacing w:line="360" w:lineRule="auto"/>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18</w:t>
      </w:r>
      <w:r>
        <w:rPr>
          <w:rFonts w:hint="eastAsia" w:ascii="仿宋" w:hAnsi="仿宋" w:eastAsia="仿宋" w:cs="仿宋"/>
          <w:color w:val="auto"/>
          <w:szCs w:val="24"/>
          <w:highlight w:val="none"/>
        </w:rPr>
        <w:t>.2符合性审查内容为：</w:t>
      </w:r>
      <w:r>
        <w:rPr>
          <w:rFonts w:hint="eastAsia" w:ascii="仿宋" w:hAnsi="仿宋" w:eastAsia="仿宋" w:cs="仿宋"/>
          <w:color w:val="auto"/>
          <w:szCs w:val="24"/>
          <w:highlight w:val="none"/>
          <w:lang w:eastAsia="zh-CN"/>
        </w:rPr>
        <w:t>详见评标</w:t>
      </w:r>
      <w:r>
        <w:rPr>
          <w:rFonts w:hint="eastAsia" w:ascii="仿宋" w:hAnsi="仿宋" w:eastAsia="仿宋" w:cs="仿宋"/>
          <w:color w:val="auto"/>
          <w:szCs w:val="24"/>
          <w:highlight w:val="none"/>
          <w:lang w:val="en-US" w:eastAsia="zh-CN"/>
        </w:rPr>
        <w:t>办法。</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18.3</w:t>
      </w:r>
      <w:r>
        <w:rPr>
          <w:rFonts w:hint="eastAsia" w:ascii="仿宋" w:hAnsi="仿宋" w:eastAsia="仿宋" w:cs="仿宋"/>
          <w:color w:val="auto"/>
          <w:szCs w:val="24"/>
          <w:highlight w:val="none"/>
        </w:rPr>
        <w:t>磋商</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3.1</w:t>
      </w:r>
      <w:r>
        <w:rPr>
          <w:rFonts w:hint="eastAsia" w:ascii="仿宋" w:hAnsi="仿宋" w:eastAsia="仿宋" w:cs="仿宋"/>
          <w:color w:val="auto"/>
          <w:szCs w:val="24"/>
          <w:highlight w:val="none"/>
        </w:rPr>
        <w:t>磋商小组根据各磋商供应商响应文件响应情况决定是否与各供应商进行磋商，磋商方式为磋商小组所有成员集中与单一供应商分别进行磋商，并给与参加磋商的供应商平等的磋商机会。</w:t>
      </w:r>
    </w:p>
    <w:p>
      <w:pPr>
        <w:spacing w:line="360" w:lineRule="auto"/>
        <w:ind w:firstLine="480" w:firstLineChars="200"/>
        <w:rPr>
          <w:rFonts w:hint="eastAsia" w:ascii="仿宋" w:hAnsi="仿宋" w:eastAsia="仿宋" w:cs="仿宋"/>
          <w:b/>
          <w:bCs/>
          <w:color w:val="auto"/>
          <w:szCs w:val="24"/>
          <w:highlight w:val="none"/>
        </w:rPr>
      </w:pPr>
      <w:r>
        <w:rPr>
          <w:rFonts w:hint="eastAsia" w:ascii="仿宋" w:hAnsi="仿宋" w:eastAsia="仿宋" w:cs="仿宋"/>
          <w:color w:val="auto"/>
          <w:szCs w:val="24"/>
          <w:highlight w:val="none"/>
          <w:lang w:val="en-US" w:eastAsia="zh-CN"/>
        </w:rPr>
        <w:t>18.3.2</w:t>
      </w:r>
      <w:r>
        <w:rPr>
          <w:rFonts w:hint="eastAsia" w:ascii="仿宋" w:hAnsi="仿宋" w:eastAsia="仿宋" w:cs="仿宋"/>
          <w:b/>
          <w:bCs/>
          <w:color w:val="auto"/>
          <w:szCs w:val="24"/>
          <w:highlight w:val="none"/>
        </w:rPr>
        <w:t>经磋商小组评审，质量和服务均能满足磋商文件实质性响应要求的供应商才具有最后报价的机会。供应商应按磋商小组规定的时间进行最后报价，最后报价现场不公布。该磋商报价为不可更改价格，作为磋商小组推荐成交候选人的依据。</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18</w:t>
      </w:r>
      <w:r>
        <w:rPr>
          <w:rFonts w:hint="eastAsia" w:ascii="仿宋" w:hAnsi="仿宋" w:eastAsia="仿宋" w:cs="仿宋"/>
          <w:color w:val="auto"/>
          <w:szCs w:val="24"/>
          <w:highlight w:val="none"/>
        </w:rPr>
        <w:t>.3</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pPr>
        <w:spacing w:line="360" w:lineRule="auto"/>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18.4</w:t>
      </w:r>
      <w:r>
        <w:rPr>
          <w:rFonts w:hint="eastAsia" w:ascii="仿宋" w:hAnsi="仿宋" w:eastAsia="仿宋" w:cs="仿宋"/>
          <w:color w:val="auto"/>
          <w:szCs w:val="24"/>
          <w:highlight w:val="none"/>
        </w:rPr>
        <w:t>评委会各成员按照</w:t>
      </w:r>
      <w:r>
        <w:rPr>
          <w:rFonts w:hint="eastAsia" w:ascii="仿宋" w:hAnsi="仿宋" w:eastAsia="仿宋" w:cs="仿宋"/>
          <w:color w:val="auto"/>
          <w:sz w:val="24"/>
          <w:szCs w:val="24"/>
          <w:highlight w:val="none"/>
        </w:rPr>
        <w:t>磋商文件中规定的各项因素进行综合评</w:t>
      </w:r>
      <w:r>
        <w:rPr>
          <w:rFonts w:hint="eastAsia" w:ascii="仿宋" w:hAnsi="仿宋" w:eastAsia="仿宋" w:cs="仿宋"/>
          <w:color w:val="auto"/>
          <w:sz w:val="24"/>
          <w:szCs w:val="24"/>
          <w:highlight w:val="none"/>
          <w:lang w:eastAsia="zh-CN"/>
        </w:rPr>
        <w:t>审</w:t>
      </w:r>
      <w:r>
        <w:rPr>
          <w:rFonts w:hint="eastAsia" w:ascii="仿宋" w:hAnsi="仿宋" w:eastAsia="仿宋" w:cs="仿宋"/>
          <w:color w:val="auto"/>
          <w:sz w:val="24"/>
          <w:szCs w:val="24"/>
          <w:highlight w:val="none"/>
        </w:rPr>
        <w:t>，以</w:t>
      </w:r>
      <w:r>
        <w:rPr>
          <w:rFonts w:hint="eastAsia" w:ascii="仿宋" w:hAnsi="仿宋" w:eastAsia="仿宋" w:cs="仿宋"/>
          <w:color w:val="auto"/>
          <w:szCs w:val="24"/>
          <w:highlight w:val="none"/>
        </w:rPr>
        <w:t>最后</w:t>
      </w:r>
      <w:r>
        <w:rPr>
          <w:rFonts w:hint="eastAsia" w:ascii="仿宋" w:hAnsi="仿宋" w:eastAsia="仿宋" w:cs="仿宋"/>
          <w:color w:val="auto"/>
          <w:sz w:val="24"/>
          <w:szCs w:val="24"/>
          <w:highlight w:val="none"/>
        </w:rPr>
        <w:t>得分由高到低</w:t>
      </w:r>
      <w:r>
        <w:rPr>
          <w:rFonts w:hint="eastAsia" w:ascii="仿宋" w:hAnsi="仿宋" w:eastAsia="仿宋" w:cs="仿宋"/>
          <w:color w:val="auto"/>
          <w:sz w:val="24"/>
          <w:szCs w:val="24"/>
          <w:highlight w:val="none"/>
          <w:lang w:eastAsia="zh-CN"/>
        </w:rPr>
        <w:t>的顺序</w:t>
      </w:r>
      <w:r>
        <w:rPr>
          <w:rFonts w:hint="eastAsia" w:ascii="仿宋" w:hAnsi="仿宋" w:eastAsia="仿宋" w:cs="仿宋"/>
          <w:color w:val="auto"/>
          <w:sz w:val="24"/>
          <w:szCs w:val="24"/>
          <w:highlight w:val="none"/>
        </w:rPr>
        <w:t>推荐成交候选人</w:t>
      </w:r>
      <w:r>
        <w:rPr>
          <w:rFonts w:hint="eastAsia" w:ascii="仿宋" w:hAnsi="仿宋" w:eastAsia="仿宋" w:cs="仿宋"/>
          <w:color w:val="auto"/>
          <w:sz w:val="24"/>
          <w:szCs w:val="24"/>
          <w:highlight w:val="none"/>
          <w:lang w:eastAsia="zh-CN"/>
        </w:rPr>
        <w:t>。</w:t>
      </w:r>
    </w:p>
    <w:p>
      <w:pPr>
        <w:spacing w:line="360" w:lineRule="auto"/>
        <w:ind w:firstLine="496" w:firstLineChars="200"/>
        <w:rPr>
          <w:rFonts w:hint="eastAsia" w:ascii="仿宋" w:hAnsi="仿宋" w:eastAsia="仿宋" w:cs="仿宋"/>
          <w:color w:val="auto"/>
          <w:szCs w:val="24"/>
          <w:highlight w:val="none"/>
        </w:rPr>
      </w:pPr>
      <w:r>
        <w:rPr>
          <w:rFonts w:hint="eastAsia" w:ascii="仿宋" w:hAnsi="仿宋" w:eastAsia="仿宋" w:cs="仿宋"/>
          <w:bCs/>
          <w:color w:val="auto"/>
          <w:spacing w:val="4"/>
          <w:szCs w:val="24"/>
          <w:highlight w:val="none"/>
          <w:lang w:val="en-US" w:eastAsia="zh-CN"/>
        </w:rPr>
        <w:t>18.5</w:t>
      </w:r>
      <w:r>
        <w:rPr>
          <w:rFonts w:hint="eastAsia" w:ascii="仿宋" w:hAnsi="仿宋" w:eastAsia="仿宋" w:cs="仿宋"/>
          <w:color w:val="auto"/>
          <w:szCs w:val="24"/>
          <w:highlight w:val="none"/>
        </w:rPr>
        <w:t>评审方法</w:t>
      </w:r>
    </w:p>
    <w:p>
      <w:pPr>
        <w:spacing w:line="360" w:lineRule="auto"/>
        <w:ind w:firstLine="480" w:firstLineChars="20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磋商小组从质量和服务均能满足磋商文件实质性响应要求的供应商中，按照最后得分由高到低的顺序提出成交候选人。</w:t>
      </w:r>
    </w:p>
    <w:p>
      <w:pPr>
        <w:pStyle w:val="3"/>
        <w:bidi w:val="0"/>
        <w:rPr>
          <w:rFonts w:hint="eastAsia" w:ascii="仿宋" w:hAnsi="仿宋" w:eastAsia="仿宋" w:cs="仿宋"/>
          <w:highlight w:val="none"/>
        </w:rPr>
      </w:pPr>
      <w:bookmarkStart w:id="108" w:name="_Toc29985"/>
      <w:bookmarkStart w:id="109" w:name="_Toc9594"/>
      <w:r>
        <w:rPr>
          <w:rFonts w:hint="eastAsia" w:ascii="仿宋" w:hAnsi="仿宋" w:eastAsia="仿宋" w:cs="仿宋"/>
          <w:highlight w:val="none"/>
        </w:rPr>
        <w:t>（</w:t>
      </w:r>
      <w:r>
        <w:rPr>
          <w:rFonts w:hint="eastAsia" w:ascii="仿宋" w:hAnsi="仿宋" w:eastAsia="仿宋" w:cs="仿宋"/>
          <w:highlight w:val="none"/>
          <w:lang w:val="en-US" w:eastAsia="zh-CN"/>
        </w:rPr>
        <w:t>六</w:t>
      </w:r>
      <w:r>
        <w:rPr>
          <w:rFonts w:hint="eastAsia" w:ascii="仿宋" w:hAnsi="仿宋" w:eastAsia="仿宋" w:cs="仿宋"/>
          <w:highlight w:val="none"/>
        </w:rPr>
        <w:t>）授予合同</w:t>
      </w:r>
      <w:bookmarkEnd w:id="108"/>
      <w:bookmarkEnd w:id="109"/>
    </w:p>
    <w:p>
      <w:pPr>
        <w:pStyle w:val="5"/>
        <w:bidi w:val="0"/>
        <w:rPr>
          <w:rFonts w:hint="eastAsia" w:ascii="仿宋" w:hAnsi="仿宋" w:eastAsia="仿宋" w:cs="仿宋"/>
          <w:highlight w:val="none"/>
        </w:rPr>
      </w:pPr>
      <w:bookmarkStart w:id="110" w:name="_Toc4642"/>
      <w:bookmarkStart w:id="111" w:name="_Toc389620200"/>
      <w:bookmarkStart w:id="112" w:name="_Toc246928926"/>
      <w:bookmarkStart w:id="113" w:name="_Toc394934441"/>
      <w:bookmarkStart w:id="114" w:name="_Toc12614"/>
      <w:bookmarkStart w:id="115" w:name="_Toc385992361"/>
      <w:r>
        <w:rPr>
          <w:rFonts w:hint="eastAsia" w:ascii="仿宋" w:hAnsi="仿宋" w:eastAsia="仿宋" w:cs="仿宋"/>
          <w:highlight w:val="none"/>
          <w:lang w:val="en-US" w:eastAsia="zh-CN"/>
        </w:rPr>
        <w:t>19</w:t>
      </w:r>
      <w:r>
        <w:rPr>
          <w:rFonts w:hint="eastAsia" w:ascii="仿宋" w:hAnsi="仿宋" w:eastAsia="仿宋" w:cs="仿宋"/>
          <w:highlight w:val="none"/>
        </w:rPr>
        <w:t>、成交准则</w:t>
      </w:r>
      <w:bookmarkEnd w:id="110"/>
      <w:bookmarkEnd w:id="111"/>
      <w:bookmarkEnd w:id="112"/>
      <w:bookmarkEnd w:id="113"/>
      <w:bookmarkEnd w:id="114"/>
      <w:bookmarkEnd w:id="115"/>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19</w:t>
      </w:r>
      <w:r>
        <w:rPr>
          <w:rFonts w:hint="eastAsia" w:ascii="仿宋" w:hAnsi="仿宋" w:eastAsia="仿宋" w:cs="仿宋"/>
          <w:color w:val="auto"/>
          <w:szCs w:val="24"/>
          <w:highlight w:val="none"/>
        </w:rPr>
        <w:t>.1合同将授予响应文件符合磋商文件要求、并能圆满地履行合同且总得分最高的供应商。</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19</w:t>
      </w:r>
      <w:r>
        <w:rPr>
          <w:rFonts w:hint="eastAsia" w:ascii="仿宋" w:hAnsi="仿宋" w:eastAsia="仿宋" w:cs="仿宋"/>
          <w:color w:val="auto"/>
          <w:szCs w:val="24"/>
          <w:highlight w:val="none"/>
        </w:rPr>
        <w:t>.2磋商小组将根据评审方法推荐成交候选供应商名单。</w:t>
      </w:r>
      <w:bookmarkStart w:id="116" w:name="_Toc385992362"/>
      <w:bookmarkStart w:id="117" w:name="_Toc389620201"/>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19</w:t>
      </w:r>
      <w:r>
        <w:rPr>
          <w:rFonts w:hint="eastAsia" w:ascii="仿宋" w:hAnsi="仿宋" w:eastAsia="仿宋" w:cs="仿宋"/>
          <w:color w:val="auto"/>
          <w:szCs w:val="24"/>
          <w:highlight w:val="none"/>
        </w:rPr>
        <w:t>.3采购代理机构在评审结束后将评审结论送采购人，采购人在收到评审结论后按照评审报告中推荐的成交候选供应商确定成交人。</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19</w:t>
      </w:r>
      <w:r>
        <w:rPr>
          <w:rFonts w:hint="eastAsia" w:ascii="仿宋" w:hAnsi="仿宋" w:eastAsia="仿宋" w:cs="仿宋"/>
          <w:color w:val="auto"/>
          <w:szCs w:val="24"/>
          <w:highlight w:val="none"/>
        </w:rPr>
        <w:t>.4成交人因不可抗力或自身原因不能履行合同的，采购人可以再排位在成交人之后的第一位的成交候选人签订合同，以此类推。</w:t>
      </w:r>
    </w:p>
    <w:bookmarkEnd w:id="116"/>
    <w:bookmarkEnd w:id="117"/>
    <w:p>
      <w:pPr>
        <w:pStyle w:val="5"/>
        <w:bidi w:val="0"/>
        <w:rPr>
          <w:rFonts w:hint="eastAsia" w:ascii="仿宋" w:hAnsi="仿宋" w:eastAsia="仿宋" w:cs="仿宋"/>
          <w:highlight w:val="none"/>
        </w:rPr>
      </w:pPr>
      <w:bookmarkStart w:id="118" w:name="_Toc28402"/>
      <w:bookmarkStart w:id="119" w:name="_Toc31627"/>
      <w:bookmarkStart w:id="120" w:name="_Toc389620203"/>
      <w:bookmarkStart w:id="121" w:name="_Toc385992364"/>
      <w:bookmarkStart w:id="122" w:name="_Toc246928927"/>
      <w:bookmarkStart w:id="123" w:name="_Toc394934442"/>
      <w:r>
        <w:rPr>
          <w:rFonts w:hint="eastAsia" w:ascii="仿宋" w:hAnsi="仿宋" w:eastAsia="仿宋" w:cs="仿宋"/>
          <w:highlight w:val="none"/>
        </w:rPr>
        <w:t>2</w:t>
      </w:r>
      <w:r>
        <w:rPr>
          <w:rFonts w:hint="eastAsia" w:ascii="仿宋" w:hAnsi="仿宋" w:eastAsia="仿宋" w:cs="仿宋"/>
          <w:highlight w:val="none"/>
          <w:lang w:val="en-US" w:eastAsia="zh-CN"/>
        </w:rPr>
        <w:t>0</w:t>
      </w:r>
      <w:r>
        <w:rPr>
          <w:rFonts w:hint="eastAsia" w:ascii="仿宋" w:hAnsi="仿宋" w:eastAsia="仿宋" w:cs="仿宋"/>
          <w:highlight w:val="none"/>
        </w:rPr>
        <w:t>、定标</w:t>
      </w:r>
      <w:bookmarkEnd w:id="118"/>
      <w:bookmarkEnd w:id="119"/>
    </w:p>
    <w:bookmarkEnd w:id="120"/>
    <w:bookmarkEnd w:id="121"/>
    <w:p>
      <w:pPr>
        <w:spacing w:line="360" w:lineRule="auto"/>
        <w:ind w:firstLine="480" w:firstLineChars="200"/>
        <w:rPr>
          <w:rFonts w:hint="eastAsia" w:ascii="仿宋" w:hAnsi="仿宋" w:eastAsia="仿宋" w:cs="仿宋"/>
          <w:color w:val="auto"/>
          <w:szCs w:val="24"/>
          <w:highlight w:val="none"/>
          <w:lang w:val="en-US" w:eastAsia="zh-CN"/>
        </w:rPr>
      </w:pPr>
      <w:bookmarkStart w:id="124" w:name="_Toc16785"/>
      <w:r>
        <w:rPr>
          <w:rFonts w:hint="eastAsia" w:ascii="仿宋" w:hAnsi="仿宋" w:eastAsia="仿宋" w:cs="仿宋"/>
          <w:color w:val="auto"/>
          <w:szCs w:val="24"/>
          <w:highlight w:val="none"/>
          <w:lang w:val="en-US" w:eastAsia="zh-CN"/>
        </w:rPr>
        <w:t>20.1采购代理机构在评标结束后2个工作日内将评标报告送达采购人，采购人在收到评标报告后5个工作日内，在评标报告确定的中标候选人名单中按顺序确定中标人，同时书面复函采购代理机构；</w:t>
      </w:r>
    </w:p>
    <w:p>
      <w:pPr>
        <w:spacing w:line="360" w:lineRule="auto"/>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20.2采购代理机构收到采购人“成交复函”后起2个工作日内，发出中标、成交通知书，并在省级以上人民政府财政部门指定的媒体上公告中标、成交结果，招标文件、通知书随中标、成交结果同时公告。</w:t>
      </w:r>
    </w:p>
    <w:p>
      <w:pPr>
        <w:pStyle w:val="5"/>
        <w:bidi w:val="0"/>
        <w:rPr>
          <w:rFonts w:hint="eastAsia" w:ascii="仿宋" w:hAnsi="仿宋" w:eastAsia="仿宋" w:cs="仿宋"/>
          <w:highlight w:val="none"/>
        </w:rPr>
      </w:pPr>
      <w:bookmarkStart w:id="125" w:name="_Toc8797"/>
      <w:r>
        <w:rPr>
          <w:rFonts w:hint="eastAsia" w:ascii="仿宋" w:hAnsi="仿宋" w:eastAsia="仿宋" w:cs="仿宋"/>
          <w:highlight w:val="none"/>
        </w:rPr>
        <w:t>2</w:t>
      </w:r>
      <w:r>
        <w:rPr>
          <w:rFonts w:hint="eastAsia" w:ascii="仿宋" w:hAnsi="仿宋" w:eastAsia="仿宋" w:cs="仿宋"/>
          <w:highlight w:val="none"/>
          <w:lang w:val="en-US" w:eastAsia="zh-CN"/>
        </w:rPr>
        <w:t>1</w:t>
      </w:r>
      <w:r>
        <w:rPr>
          <w:rFonts w:hint="eastAsia" w:ascii="仿宋" w:hAnsi="仿宋" w:eastAsia="仿宋" w:cs="仿宋"/>
          <w:highlight w:val="none"/>
        </w:rPr>
        <w:t>、成交通知</w:t>
      </w:r>
      <w:bookmarkEnd w:id="122"/>
      <w:r>
        <w:rPr>
          <w:rFonts w:hint="eastAsia" w:ascii="仿宋" w:hAnsi="仿宋" w:eastAsia="仿宋" w:cs="仿宋"/>
          <w:highlight w:val="none"/>
        </w:rPr>
        <w:t>书</w:t>
      </w:r>
      <w:bookmarkEnd w:id="123"/>
      <w:bookmarkEnd w:id="124"/>
      <w:bookmarkEnd w:id="125"/>
    </w:p>
    <w:p>
      <w:pPr>
        <w:spacing w:line="360" w:lineRule="auto"/>
        <w:ind w:firstLine="480" w:firstLineChars="200"/>
        <w:rPr>
          <w:rFonts w:hint="eastAsia" w:ascii="仿宋" w:hAnsi="仿宋" w:eastAsia="仿宋" w:cs="仿宋"/>
          <w:color w:val="auto"/>
          <w:szCs w:val="24"/>
          <w:highlight w:val="none"/>
          <w:lang w:val="en-US" w:eastAsia="zh-CN"/>
        </w:rPr>
      </w:pPr>
      <w:bookmarkStart w:id="126" w:name="_Toc394934443"/>
      <w:bookmarkStart w:id="127" w:name="_Toc246928928"/>
      <w:bookmarkStart w:id="128" w:name="_Toc385992366"/>
      <w:bookmarkStart w:id="129" w:name="_Toc389620205"/>
      <w:r>
        <w:rPr>
          <w:rFonts w:hint="eastAsia" w:ascii="仿宋" w:hAnsi="仿宋" w:eastAsia="仿宋" w:cs="仿宋"/>
          <w:color w:val="auto"/>
          <w:szCs w:val="24"/>
          <w:highlight w:val="none"/>
          <w:lang w:val="en-US" w:eastAsia="zh-CN"/>
        </w:rPr>
        <w:t>21.1《成交通知书》将作为签订合同的依据。</w:t>
      </w:r>
    </w:p>
    <w:p>
      <w:pPr>
        <w:spacing w:line="360" w:lineRule="auto"/>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21.2</w:t>
      </w:r>
      <w:bookmarkStart w:id="130" w:name="_Toc24111"/>
      <w:r>
        <w:rPr>
          <w:rFonts w:hint="eastAsia" w:ascii="仿宋" w:hAnsi="仿宋" w:eastAsia="仿宋" w:cs="仿宋"/>
          <w:color w:val="auto"/>
          <w:szCs w:val="24"/>
          <w:highlight w:val="none"/>
          <w:lang w:val="en-US" w:eastAsia="zh-CN"/>
        </w:rPr>
        <w:t>成交通知书对采购人和成交人具有同等法律效力。成交通知书发出之后，采购人改变成交结果，或者成交人放弃成交，应当承担相应的法律责任。</w:t>
      </w:r>
    </w:p>
    <w:p>
      <w:pPr>
        <w:pStyle w:val="5"/>
        <w:bidi w:val="0"/>
        <w:rPr>
          <w:rFonts w:hint="eastAsia" w:ascii="仿宋" w:hAnsi="仿宋" w:eastAsia="仿宋" w:cs="仿宋"/>
          <w:highlight w:val="none"/>
        </w:rPr>
      </w:pPr>
      <w:bookmarkStart w:id="131" w:name="_Toc21497"/>
      <w:r>
        <w:rPr>
          <w:rFonts w:hint="eastAsia" w:ascii="仿宋" w:hAnsi="仿宋" w:eastAsia="仿宋" w:cs="仿宋"/>
          <w:highlight w:val="none"/>
        </w:rPr>
        <w:t>2</w:t>
      </w:r>
      <w:r>
        <w:rPr>
          <w:rFonts w:hint="eastAsia" w:ascii="仿宋" w:hAnsi="仿宋" w:eastAsia="仿宋" w:cs="仿宋"/>
          <w:highlight w:val="none"/>
          <w:lang w:val="en-US" w:eastAsia="zh-CN"/>
        </w:rPr>
        <w:t>2</w:t>
      </w:r>
      <w:r>
        <w:rPr>
          <w:rFonts w:hint="eastAsia" w:ascii="仿宋" w:hAnsi="仿宋" w:eastAsia="仿宋" w:cs="仿宋"/>
          <w:highlight w:val="none"/>
        </w:rPr>
        <w:t>、签订合同</w:t>
      </w:r>
      <w:bookmarkEnd w:id="126"/>
      <w:bookmarkEnd w:id="127"/>
      <w:bookmarkEnd w:id="128"/>
      <w:bookmarkEnd w:id="129"/>
      <w:bookmarkEnd w:id="130"/>
      <w:bookmarkEnd w:id="131"/>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.1成交人应当自成交通知书发出之日起</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日内，按照磋商文件确定的事项和成交人的响应文件，持成交通知书与采购人签订合同</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.2磋商文件、成交人的响应文件和补充文件（如澄清、承诺等）等，均为签订合同的依据。所签订的合同不得对磋商文件和成交人响应文件作实质性修改。</w:t>
      </w:r>
    </w:p>
    <w:p>
      <w:pPr>
        <w:pStyle w:val="3"/>
        <w:bidi w:val="0"/>
        <w:rPr>
          <w:rFonts w:hint="eastAsia" w:ascii="仿宋" w:hAnsi="仿宋" w:eastAsia="仿宋" w:cs="仿宋"/>
          <w:highlight w:val="none"/>
        </w:rPr>
      </w:pPr>
      <w:bookmarkStart w:id="132" w:name="_Toc7998"/>
      <w:bookmarkStart w:id="133" w:name="_Toc25783"/>
      <w:bookmarkStart w:id="134" w:name="_Toc7215"/>
      <w:r>
        <w:rPr>
          <w:rFonts w:hint="eastAsia" w:ascii="仿宋" w:hAnsi="仿宋" w:eastAsia="仿宋" w:cs="仿宋"/>
          <w:highlight w:val="none"/>
        </w:rPr>
        <w:t>（</w:t>
      </w:r>
      <w:r>
        <w:rPr>
          <w:rFonts w:hint="eastAsia" w:ascii="仿宋" w:hAnsi="仿宋" w:eastAsia="仿宋" w:cs="仿宋"/>
          <w:highlight w:val="none"/>
          <w:lang w:val="en-US" w:eastAsia="zh-CN"/>
        </w:rPr>
        <w:t>七</w:t>
      </w:r>
      <w:r>
        <w:rPr>
          <w:rFonts w:hint="eastAsia" w:ascii="仿宋" w:hAnsi="仿宋" w:eastAsia="仿宋" w:cs="仿宋"/>
          <w:highlight w:val="none"/>
        </w:rPr>
        <w:t>）合同的履约验收</w:t>
      </w:r>
      <w:bookmarkEnd w:id="132"/>
      <w:bookmarkEnd w:id="133"/>
      <w:bookmarkEnd w:id="134"/>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采购人应按照政府采购合同约定的技术、服务、安全标准组织对</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每一项技术、服务、安全标准的履约情况进行验收，并出具验收书。</w:t>
      </w:r>
    </w:p>
    <w:p>
      <w:pPr>
        <w:pStyle w:val="3"/>
        <w:bidi w:val="0"/>
        <w:spacing w:after="263" w:afterLines="84" w:afterAutospacing="0"/>
        <w:rPr>
          <w:rFonts w:hint="eastAsia" w:ascii="仿宋" w:hAnsi="仿宋" w:eastAsia="仿宋" w:cs="仿宋"/>
          <w:highlight w:val="none"/>
        </w:rPr>
      </w:pPr>
      <w:bookmarkStart w:id="135" w:name="_Toc15528"/>
      <w:bookmarkStart w:id="136" w:name="_Toc681"/>
      <w:bookmarkStart w:id="137" w:name="_Toc4629"/>
      <w:r>
        <w:rPr>
          <w:rFonts w:hint="eastAsia" w:ascii="仿宋" w:hAnsi="仿宋" w:eastAsia="仿宋" w:cs="仿宋"/>
          <w:highlight w:val="none"/>
        </w:rPr>
        <w:t>（</w:t>
      </w:r>
      <w:r>
        <w:rPr>
          <w:rFonts w:hint="eastAsia" w:ascii="仿宋" w:hAnsi="仿宋" w:eastAsia="仿宋" w:cs="仿宋"/>
          <w:highlight w:val="none"/>
          <w:lang w:val="en-US" w:eastAsia="zh-CN"/>
        </w:rPr>
        <w:t>八</w:t>
      </w:r>
      <w:r>
        <w:rPr>
          <w:rFonts w:hint="eastAsia" w:ascii="仿宋" w:hAnsi="仿宋" w:eastAsia="仿宋" w:cs="仿宋"/>
          <w:highlight w:val="none"/>
        </w:rPr>
        <w:t>）招标服务费</w:t>
      </w:r>
      <w:bookmarkEnd w:id="135"/>
      <w:bookmarkEnd w:id="136"/>
      <w:bookmarkEnd w:id="137"/>
    </w:p>
    <w:p>
      <w:pPr>
        <w:pStyle w:val="5"/>
        <w:bidi w:val="0"/>
        <w:spacing w:before="0" w:beforeAutospacing="0" w:after="0" w:afterAutospacing="0"/>
        <w:rPr>
          <w:rFonts w:hint="eastAsia" w:ascii="仿宋" w:hAnsi="仿宋" w:eastAsia="仿宋" w:cs="仿宋"/>
          <w:highlight w:val="none"/>
        </w:rPr>
      </w:pPr>
      <w:bookmarkStart w:id="138" w:name="_Toc36"/>
      <w:bookmarkStart w:id="139" w:name="_Toc7371"/>
      <w:r>
        <w:rPr>
          <w:rFonts w:hint="eastAsia" w:ascii="仿宋" w:hAnsi="仿宋" w:eastAsia="仿宋" w:cs="仿宋"/>
          <w:highlight w:val="none"/>
          <w:lang w:val="en-US" w:eastAsia="zh-CN"/>
        </w:rPr>
        <w:t>23、</w:t>
      </w:r>
      <w:r>
        <w:rPr>
          <w:rFonts w:hint="eastAsia" w:ascii="仿宋" w:hAnsi="仿宋" w:eastAsia="仿宋" w:cs="仿宋"/>
          <w:highlight w:val="none"/>
        </w:rPr>
        <w:t>招标代理服务费</w:t>
      </w:r>
      <w:bookmarkEnd w:id="138"/>
      <w:bookmarkEnd w:id="139"/>
    </w:p>
    <w:p>
      <w:pPr>
        <w:spacing w:beforeAutospacing="0" w:line="360" w:lineRule="auto"/>
        <w:ind w:firstLine="480" w:firstLineChars="200"/>
        <w:rPr>
          <w:rFonts w:hint="eastAsia" w:ascii="仿宋" w:hAnsi="仿宋" w:eastAsia="仿宋" w:cs="仿宋"/>
          <w:bCs/>
          <w:color w:val="auto"/>
          <w:szCs w:val="24"/>
          <w:highlight w:val="none"/>
        </w:rPr>
      </w:pPr>
      <w:r>
        <w:rPr>
          <w:rFonts w:hint="eastAsia" w:ascii="仿宋" w:hAnsi="仿宋" w:eastAsia="仿宋" w:cs="仿宋"/>
          <w:color w:val="auto"/>
          <w:sz w:val="24"/>
          <w:szCs w:val="24"/>
          <w:highlight w:val="none"/>
        </w:rPr>
        <w:t>参照国家计委计价格[2002]1980号文</w:t>
      </w:r>
      <w:r>
        <w:rPr>
          <w:rFonts w:hint="eastAsia" w:ascii="仿宋" w:hAnsi="仿宋" w:eastAsia="仿宋" w:cs="仿宋"/>
          <w:color w:val="auto"/>
          <w:sz w:val="24"/>
          <w:szCs w:val="24"/>
          <w:highlight w:val="none"/>
          <w:lang w:eastAsia="zh-CN"/>
        </w:rPr>
        <w:t>服务类</w:t>
      </w:r>
      <w:r>
        <w:rPr>
          <w:rFonts w:hint="eastAsia" w:ascii="仿宋" w:hAnsi="仿宋" w:eastAsia="仿宋" w:cs="仿宋"/>
          <w:color w:val="auto"/>
          <w:sz w:val="24"/>
          <w:szCs w:val="24"/>
          <w:highlight w:val="none"/>
        </w:rPr>
        <w:t>规定收费标准</w:t>
      </w:r>
      <w:r>
        <w:rPr>
          <w:rFonts w:hint="eastAsia" w:ascii="仿宋" w:hAnsi="仿宋" w:eastAsia="仿宋" w:cs="仿宋"/>
          <w:color w:val="auto"/>
          <w:sz w:val="24"/>
          <w:szCs w:val="24"/>
          <w:highlight w:val="none"/>
          <w:lang w:val="en-US" w:eastAsia="zh-CN"/>
        </w:rPr>
        <w:t>服务类</w:t>
      </w:r>
      <w:r>
        <w:rPr>
          <w:rFonts w:hint="eastAsia" w:ascii="仿宋" w:hAnsi="仿宋" w:eastAsia="仿宋" w:cs="仿宋"/>
          <w:color w:val="auto"/>
          <w:sz w:val="24"/>
          <w:szCs w:val="24"/>
          <w:highlight w:val="none"/>
        </w:rPr>
        <w:t>收取</w:t>
      </w:r>
      <w:r>
        <w:rPr>
          <w:rFonts w:hint="eastAsia" w:ascii="仿宋" w:hAnsi="仿宋" w:eastAsia="仿宋" w:cs="仿宋"/>
          <w:bCs/>
          <w:color w:val="auto"/>
          <w:szCs w:val="24"/>
          <w:highlight w:val="none"/>
        </w:rPr>
        <w:t>。</w:t>
      </w:r>
    </w:p>
    <w:p>
      <w:pPr>
        <w:keepNext w:val="0"/>
        <w:keepLines w:val="0"/>
        <w:numPr>
          <w:ilvl w:val="0"/>
          <w:numId w:val="0"/>
        </w:numPr>
        <w:suppressLineNumbers w:val="0"/>
        <w:spacing w:before="0" w:beforeAutospacing="0" w:after="0" w:afterAutospacing="0" w:line="360" w:lineRule="auto"/>
        <w:ind w:left="0" w:leftChars="0" w:right="0"/>
        <w:jc w:val="center"/>
        <w:rPr>
          <w:rFonts w:hint="eastAsia" w:ascii="仿宋" w:hAnsi="仿宋" w:eastAsia="仿宋" w:cs="仿宋"/>
          <w:b/>
          <w:bCs/>
          <w:color w:val="auto"/>
          <w:sz w:val="24"/>
          <w:szCs w:val="24"/>
          <w:highlight w:val="none"/>
          <w:shd w:val="clear" w:color="auto" w:fill="auto"/>
          <w:lang w:val="en-US"/>
        </w:rPr>
      </w:pPr>
      <w:r>
        <w:rPr>
          <w:rFonts w:hint="eastAsia" w:ascii="仿宋" w:hAnsi="仿宋" w:eastAsia="仿宋" w:cs="仿宋"/>
          <w:b/>
          <w:bCs/>
          <w:color w:val="auto"/>
          <w:sz w:val="24"/>
          <w:szCs w:val="24"/>
          <w:highlight w:val="none"/>
          <w:shd w:val="clear" w:color="auto" w:fill="auto"/>
          <w:lang w:val="en-US" w:eastAsia="zh-CN"/>
        </w:rPr>
        <w:t>招标代理服务收费标准(费率)</w:t>
      </w:r>
    </w:p>
    <w:tbl>
      <w:tblPr>
        <w:tblStyle w:val="27"/>
        <w:tblW w:w="8458"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26"/>
        <w:gridCol w:w="2276"/>
        <w:gridCol w:w="1934"/>
        <w:gridCol w:w="19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0"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中标金额（万元）</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货物招标</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服务招标</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工程招标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100以下</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1.5％</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1.5％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100—500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1.1％</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0.8％</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500—1000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0.8％</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0.45％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1000—5000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0.5％</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rPr>
            </w:pPr>
            <w:r>
              <w:rPr>
                <w:rFonts w:hint="eastAsia" w:ascii="仿宋" w:hAnsi="仿宋" w:eastAsia="仿宋" w:cs="仿宋"/>
                <w:color w:val="auto"/>
                <w:sz w:val="24"/>
                <w:szCs w:val="24"/>
                <w:highlight w:val="none"/>
                <w:shd w:val="clear" w:color="auto" w:fill="auto"/>
                <w:lang w:val="en-US" w:eastAsia="zh-CN"/>
              </w:rPr>
              <w:t>0.25％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0.35%</w:t>
            </w:r>
          </w:p>
        </w:tc>
      </w:tr>
    </w:tbl>
    <w:p>
      <w:pPr>
        <w:pStyle w:val="5"/>
        <w:numPr>
          <w:ilvl w:val="0"/>
          <w:numId w:val="0"/>
        </w:numPr>
        <w:bidi w:val="0"/>
        <w:spacing w:before="360" w:beforeAutospacing="0"/>
        <w:rPr>
          <w:rFonts w:hint="eastAsia" w:ascii="仿宋" w:hAnsi="仿宋" w:eastAsia="仿宋" w:cs="仿宋"/>
          <w:highlight w:val="none"/>
        </w:rPr>
      </w:pPr>
      <w:bookmarkStart w:id="140" w:name="_Toc32240"/>
      <w:bookmarkStart w:id="141" w:name="_Toc28517"/>
      <w:r>
        <w:rPr>
          <w:rFonts w:hint="eastAsia" w:ascii="仿宋" w:hAnsi="仿宋" w:eastAsia="仿宋" w:cs="仿宋"/>
          <w:b/>
          <w:kern w:val="2"/>
          <w:sz w:val="28"/>
          <w:highlight w:val="none"/>
          <w:lang w:val="en-US" w:eastAsia="zh-CN" w:bidi="ar-SA"/>
        </w:rPr>
        <w:t>24、</w:t>
      </w:r>
      <w:r>
        <w:rPr>
          <w:rFonts w:hint="eastAsia" w:ascii="仿宋" w:hAnsi="仿宋" w:eastAsia="仿宋" w:cs="仿宋"/>
          <w:highlight w:val="none"/>
        </w:rPr>
        <w:t>代理服务费的收取</w:t>
      </w:r>
      <w:bookmarkEnd w:id="140"/>
      <w:bookmarkEnd w:id="141"/>
    </w:p>
    <w:p>
      <w:pPr>
        <w:spacing w:line="360" w:lineRule="auto"/>
        <w:ind w:firstLine="480" w:firstLineChars="200"/>
        <w:rPr>
          <w:rFonts w:hint="eastAsia" w:ascii="仿宋" w:hAnsi="仿宋" w:eastAsia="仿宋" w:cs="仿宋"/>
          <w:color w:val="auto"/>
          <w:szCs w:val="24"/>
          <w:highlight w:val="none"/>
        </w:rPr>
      </w:pPr>
      <w:bookmarkStart w:id="142" w:name="_Toc27976"/>
      <w:bookmarkStart w:id="143" w:name="_Toc194663910"/>
      <w:bookmarkStart w:id="144" w:name="_Toc193126874"/>
      <w:bookmarkStart w:id="145" w:name="_Toc193187089"/>
      <w:bookmarkStart w:id="146" w:name="_Toc188808820"/>
      <w:r>
        <w:rPr>
          <w:rFonts w:hint="eastAsia" w:ascii="仿宋" w:hAnsi="仿宋" w:eastAsia="仿宋" w:cs="仿宋"/>
          <w:color w:val="auto"/>
          <w:szCs w:val="24"/>
          <w:highlight w:val="none"/>
          <w:lang w:val="en-US" w:eastAsia="zh-CN"/>
        </w:rPr>
        <w:t>24.1</w:t>
      </w:r>
      <w:r>
        <w:rPr>
          <w:rFonts w:hint="eastAsia" w:ascii="仿宋" w:hAnsi="仿宋" w:eastAsia="仿宋" w:cs="仿宋"/>
          <w:color w:val="auto"/>
          <w:szCs w:val="24"/>
          <w:highlight w:val="none"/>
        </w:rPr>
        <w:t>采购代理机构参照国家计委关于印发《招标代理服务收费管理暂行办法》的通知(计价格〔2002〕1980号)、《国家发展和改革委员会办公厅关于招标代理服务收费有关问题的通知》(发改办价格〔2003〕857号)规定向中标</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成交</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投标人收取代理服务费。</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24</w:t>
      </w:r>
      <w:r>
        <w:rPr>
          <w:rFonts w:hint="eastAsia" w:ascii="仿宋" w:hAnsi="仿宋" w:eastAsia="仿宋" w:cs="仿宋"/>
          <w:color w:val="auto"/>
          <w:szCs w:val="24"/>
          <w:highlight w:val="none"/>
        </w:rPr>
        <w:t>.2中标人在领取中标通知书前，须向采购代理机构一次性支付招标代理服务费。</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24</w:t>
      </w:r>
      <w:r>
        <w:rPr>
          <w:rFonts w:hint="eastAsia" w:ascii="仿宋" w:hAnsi="仿宋" w:eastAsia="仿宋" w:cs="仿宋"/>
          <w:color w:val="auto"/>
          <w:szCs w:val="24"/>
          <w:highlight w:val="none"/>
        </w:rPr>
        <w:t>.3中标投标人以公对公方式将招标代理服务费交纳到招标代理机构指定账户：</w:t>
      </w:r>
    </w:p>
    <w:p>
      <w:pPr>
        <w:spacing w:line="360" w:lineRule="auto"/>
        <w:ind w:firstLine="480" w:firstLineChars="20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单位名称：</w:t>
      </w:r>
      <w:r>
        <w:rPr>
          <w:rFonts w:hint="eastAsia" w:ascii="仿宋" w:hAnsi="仿宋" w:eastAsia="仿宋" w:cs="仿宋"/>
          <w:color w:val="auto"/>
          <w:szCs w:val="24"/>
          <w:highlight w:val="none"/>
          <w:lang w:eastAsia="zh-CN"/>
        </w:rPr>
        <w:t>亿诚建设项目管理有限公司</w:t>
      </w:r>
      <w:r>
        <w:rPr>
          <w:rFonts w:hint="eastAsia" w:ascii="仿宋" w:hAnsi="仿宋" w:eastAsia="仿宋" w:cs="仿宋"/>
          <w:color w:val="auto"/>
          <w:szCs w:val="24"/>
          <w:highlight w:val="none"/>
          <w:lang w:val="en-US" w:eastAsia="zh-CN"/>
        </w:rPr>
        <w:t>榆林分公司</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开户行名称:兴业银行股份有限公司榆林分行</w:t>
      </w:r>
    </w:p>
    <w:p>
      <w:pPr>
        <w:spacing w:line="360" w:lineRule="auto"/>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账号：456950100100250378</w:t>
      </w:r>
    </w:p>
    <w:p>
      <w:pPr>
        <w:pStyle w:val="5"/>
        <w:bidi w:val="0"/>
        <w:rPr>
          <w:rFonts w:hint="eastAsia" w:ascii="仿宋" w:hAnsi="仿宋" w:eastAsia="仿宋" w:cs="仿宋"/>
          <w:highlight w:val="none"/>
        </w:rPr>
      </w:pPr>
      <w:bookmarkStart w:id="147" w:name="_Toc2583"/>
      <w:r>
        <w:rPr>
          <w:rFonts w:hint="eastAsia" w:ascii="仿宋" w:hAnsi="仿宋" w:eastAsia="仿宋" w:cs="仿宋"/>
          <w:highlight w:val="none"/>
          <w:lang w:val="en-US" w:eastAsia="zh-CN"/>
        </w:rPr>
        <w:t>25、</w:t>
      </w:r>
      <w:r>
        <w:rPr>
          <w:rFonts w:hint="eastAsia" w:ascii="仿宋" w:hAnsi="仿宋" w:eastAsia="仿宋" w:cs="仿宋"/>
          <w:highlight w:val="none"/>
        </w:rPr>
        <w:t>招标服务费应采用转账缴纳。</w:t>
      </w:r>
      <w:bookmarkEnd w:id="142"/>
      <w:bookmarkEnd w:id="147"/>
      <w:bookmarkStart w:id="148" w:name="_Toc458617741"/>
      <w:bookmarkStart w:id="149" w:name="_Toc458617464"/>
    </w:p>
    <w:bookmarkEnd w:id="143"/>
    <w:bookmarkEnd w:id="144"/>
    <w:bookmarkEnd w:id="145"/>
    <w:bookmarkEnd w:id="146"/>
    <w:bookmarkEnd w:id="148"/>
    <w:bookmarkEnd w:id="149"/>
    <w:p>
      <w:pPr>
        <w:pStyle w:val="3"/>
        <w:bidi w:val="0"/>
        <w:rPr>
          <w:rFonts w:hint="eastAsia" w:ascii="仿宋" w:hAnsi="仿宋" w:eastAsia="仿宋" w:cs="仿宋"/>
          <w:highlight w:val="none"/>
        </w:rPr>
      </w:pPr>
      <w:bookmarkStart w:id="150" w:name="_Toc17084"/>
      <w:bookmarkStart w:id="151" w:name="_Toc31556"/>
      <w:bookmarkStart w:id="152" w:name="_Toc627"/>
      <w:bookmarkStart w:id="153" w:name="_Toc458617466"/>
      <w:bookmarkStart w:id="154" w:name="_Toc458617743"/>
      <w:r>
        <w:rPr>
          <w:rFonts w:hint="eastAsia" w:ascii="仿宋" w:hAnsi="仿宋" w:eastAsia="仿宋" w:cs="仿宋"/>
          <w:highlight w:val="none"/>
        </w:rPr>
        <w:t>（</w:t>
      </w:r>
      <w:r>
        <w:rPr>
          <w:rFonts w:hint="eastAsia" w:ascii="仿宋" w:hAnsi="仿宋" w:eastAsia="仿宋" w:cs="仿宋"/>
          <w:highlight w:val="none"/>
          <w:lang w:val="en-US" w:eastAsia="zh-CN"/>
        </w:rPr>
        <w:t>九</w:t>
      </w:r>
      <w:r>
        <w:rPr>
          <w:rFonts w:hint="eastAsia" w:ascii="仿宋" w:hAnsi="仿宋" w:eastAsia="仿宋" w:cs="仿宋"/>
          <w:highlight w:val="none"/>
        </w:rPr>
        <w:t>）询问、质疑与投诉(按照中华人民共和国财政部令第94号执行)</w:t>
      </w:r>
      <w:bookmarkEnd w:id="150"/>
      <w:bookmarkEnd w:id="151"/>
      <w:bookmarkEnd w:id="152"/>
    </w:p>
    <w:bookmarkEnd w:id="153"/>
    <w:bookmarkEnd w:id="154"/>
    <w:p>
      <w:pPr>
        <w:pStyle w:val="5"/>
        <w:bidi w:val="0"/>
        <w:rPr>
          <w:rFonts w:hint="eastAsia" w:ascii="仿宋" w:hAnsi="仿宋" w:eastAsia="仿宋" w:cs="仿宋"/>
          <w:highlight w:val="none"/>
        </w:rPr>
      </w:pPr>
      <w:bookmarkStart w:id="155" w:name="_Toc55"/>
      <w:r>
        <w:rPr>
          <w:rFonts w:hint="eastAsia" w:ascii="仿宋" w:hAnsi="仿宋" w:eastAsia="仿宋" w:cs="仿宋"/>
          <w:highlight w:val="none"/>
          <w:lang w:val="en-US" w:eastAsia="zh-CN"/>
        </w:rPr>
        <w:t>26</w:t>
      </w:r>
      <w:r>
        <w:rPr>
          <w:rFonts w:hint="eastAsia" w:ascii="仿宋" w:hAnsi="仿宋" w:eastAsia="仿宋" w:cs="仿宋"/>
          <w:highlight w:val="none"/>
        </w:rPr>
        <w:t>、询问</w:t>
      </w:r>
      <w:bookmarkEnd w:id="155"/>
    </w:p>
    <w:p>
      <w:pPr>
        <w:spacing w:line="360" w:lineRule="auto"/>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供应商对政府采购活动事项有疑问的，可以向采购人、采购代理机构提出询问。</w:t>
      </w:r>
    </w:p>
    <w:p>
      <w:pPr>
        <w:pStyle w:val="5"/>
        <w:bidi w:val="0"/>
        <w:rPr>
          <w:rFonts w:hint="eastAsia" w:ascii="仿宋" w:hAnsi="仿宋" w:eastAsia="仿宋" w:cs="仿宋"/>
          <w:highlight w:val="none"/>
        </w:rPr>
      </w:pPr>
      <w:bookmarkStart w:id="156" w:name="_Toc20943"/>
      <w:r>
        <w:rPr>
          <w:rFonts w:hint="eastAsia" w:ascii="仿宋" w:hAnsi="仿宋" w:eastAsia="仿宋" w:cs="仿宋"/>
          <w:highlight w:val="none"/>
          <w:lang w:val="en-US" w:eastAsia="zh-CN"/>
        </w:rPr>
        <w:t>27</w:t>
      </w:r>
      <w:r>
        <w:rPr>
          <w:rFonts w:hint="eastAsia" w:ascii="仿宋" w:hAnsi="仿宋" w:eastAsia="仿宋" w:cs="仿宋"/>
          <w:highlight w:val="none"/>
        </w:rPr>
        <w:t>、质疑</w:t>
      </w:r>
      <w:bookmarkEnd w:id="156"/>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rPr>
        <w:t>.1供应商认为采购文件、采购过程、中标或者成交结果使自己的权益受到损害的，可以在知道或者应知其权益受到损害之日起7个工作日内，以书面形式向采购人、采购代理机构提出质疑；</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rPr>
        <w:t>.2潜在供应商已依法获取其可质疑的采购文件的，可以对该文件提出质疑。对采购文件提出质疑的，应当在获取采购文件或者采购文件公告期限届满之日起7个工作日内提出。</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rPr>
        <w:t>.2.1有异议的应提供以下资料，资料不全的不予受理：</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（1）质疑书（内容包含异议事项的基本事实；相关请求及主张；异议人的名称、地址邮编、联系人、联系电话及有效联系方式）；</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（2）质疑的项目名称、项目编号；</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（3）具体、明确的质疑事项和与质疑事项相关的请求；</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（4）事实依据；</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（5）必要的法律依据；</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（6）提出质疑的日期。</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7</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具体有效线索和相关证明材料；</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）质疑人的法定代表人的身份证明，或者授权委托人的经公证的授权委托书及有效身份证件；</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为自然人的，应当由本人签字；</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为法人或者其他组织的，应当由法定代表人，或者其授权代表签字或者盖章，并加盖公章。</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rPr>
        <w:t>.3</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在法定质疑期内必须一次性提出针对同一采购程序环节的质疑，多次提出相同质疑问题的采购人及采购代理机构不接收。</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rPr>
        <w:t>.4质疑</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对采购人、采购代理机构的答复不满意，认为本次招标活动违反法律、法规和规章规定的，有权向项目所在地财政局提出投诉，质疑是投诉的前置条件；</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rPr>
        <w:t>.5其他应说明的事项：</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rPr>
        <w:t>.5.1以上材料，质疑人须在每一页上加盖公章原件及电子版送至质疑函递交地址。</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rPr>
        <w:t>.5.2质疑提出时间：质疑需在有效期内提出，逾期不予受理；</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rPr>
        <w:t>.5.3质疑递交地址：</w:t>
      </w:r>
      <w:r>
        <w:rPr>
          <w:rFonts w:hint="eastAsia" w:ascii="仿宋" w:hAnsi="仿宋" w:eastAsia="仿宋" w:cs="仿宋"/>
          <w:color w:val="auto"/>
          <w:szCs w:val="24"/>
          <w:highlight w:val="none"/>
          <w:lang w:eastAsia="zh-CN"/>
        </w:rPr>
        <w:t>榆林市榆阳区肤施路南段环馨路5号金轩楼2楼201室</w:t>
      </w:r>
      <w:r>
        <w:rPr>
          <w:rFonts w:hint="eastAsia" w:ascii="仿宋" w:hAnsi="仿宋" w:eastAsia="仿宋" w:cs="仿宋"/>
          <w:color w:val="auto"/>
          <w:szCs w:val="24"/>
          <w:highlight w:val="none"/>
        </w:rPr>
        <w:t>；</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rPr>
        <w:t>.5.4联系人：</w:t>
      </w:r>
      <w:r>
        <w:rPr>
          <w:rFonts w:hint="eastAsia" w:ascii="仿宋" w:hAnsi="仿宋" w:eastAsia="仿宋" w:cs="仿宋"/>
          <w:color w:val="auto"/>
          <w:szCs w:val="24"/>
          <w:highlight w:val="none"/>
          <w:lang w:val="en-US" w:eastAsia="zh-CN"/>
        </w:rPr>
        <w:t>任涛</w:t>
      </w:r>
    </w:p>
    <w:p>
      <w:pPr>
        <w:spacing w:line="360" w:lineRule="auto"/>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rPr>
        <w:t>.5.5联系电话：</w:t>
      </w:r>
      <w:r>
        <w:rPr>
          <w:rFonts w:hint="eastAsia" w:ascii="仿宋" w:hAnsi="仿宋" w:eastAsia="仿宋" w:cs="仿宋"/>
          <w:color w:val="auto"/>
          <w:szCs w:val="24"/>
          <w:highlight w:val="none"/>
          <w:lang w:val="en-US" w:eastAsia="zh-CN"/>
        </w:rPr>
        <w:t>18992274597</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rPr>
        <w:t>.6投诉</w:t>
      </w:r>
    </w:p>
    <w:p>
      <w:pPr>
        <w:spacing w:afterAutospacing="0"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质疑</w:t>
      </w:r>
      <w:r>
        <w:rPr>
          <w:rFonts w:hint="eastAsia" w:ascii="仿宋" w:hAnsi="仿宋" w:eastAsia="仿宋" w:cs="仿宋"/>
          <w:color w:val="auto"/>
          <w:kern w:val="0"/>
          <w:szCs w:val="24"/>
          <w:highlight w:val="none"/>
          <w:lang w:eastAsia="zh-CN"/>
        </w:rPr>
        <w:t>供应商</w:t>
      </w:r>
      <w:r>
        <w:rPr>
          <w:rFonts w:hint="eastAsia" w:ascii="仿宋" w:hAnsi="仿宋" w:eastAsia="仿宋" w:cs="仿宋"/>
          <w:color w:val="auto"/>
          <w:kern w:val="0"/>
          <w:szCs w:val="24"/>
          <w:highlight w:val="none"/>
        </w:rPr>
        <w:t>对采购人、采购代理机构的答复不满意或者采购人、采购代理机构未在规定的时间内作出答复的，可按《政府采购法》第55条和</w:t>
      </w:r>
      <w:r>
        <w:rPr>
          <w:rFonts w:hint="eastAsia" w:ascii="仿宋" w:hAnsi="仿宋" w:eastAsia="仿宋" w:cs="仿宋"/>
          <w:color w:val="auto"/>
          <w:szCs w:val="24"/>
          <w:highlight w:val="none"/>
        </w:rPr>
        <w:t>《政府采购质疑和投诉办法》（财政部令第94号）第17条</w:t>
      </w:r>
      <w:r>
        <w:rPr>
          <w:rFonts w:hint="eastAsia" w:ascii="仿宋" w:hAnsi="仿宋" w:eastAsia="仿宋" w:cs="仿宋"/>
          <w:color w:val="auto"/>
          <w:kern w:val="0"/>
          <w:szCs w:val="24"/>
          <w:highlight w:val="none"/>
        </w:rPr>
        <w:t>等有关规定执行。</w:t>
      </w:r>
    </w:p>
    <w:p>
      <w:pPr>
        <w:pStyle w:val="3"/>
        <w:bidi w:val="0"/>
        <w:spacing w:before="0" w:beforeAutospacing="0" w:after="0" w:afterAutospacing="0"/>
        <w:rPr>
          <w:rFonts w:hint="eastAsia" w:ascii="仿宋" w:hAnsi="仿宋" w:eastAsia="仿宋" w:cs="仿宋"/>
          <w:highlight w:val="none"/>
        </w:rPr>
      </w:pPr>
      <w:bookmarkStart w:id="157" w:name="_Toc15881"/>
      <w:r>
        <w:rPr>
          <w:rFonts w:hint="eastAsia" w:ascii="仿宋" w:hAnsi="仿宋" w:eastAsia="仿宋" w:cs="仿宋"/>
          <w:highlight w:val="none"/>
        </w:rPr>
        <w:t>（十）拒绝商业贿赂</w:t>
      </w:r>
      <w:bookmarkEnd w:id="157"/>
    </w:p>
    <w:p>
      <w:pPr>
        <w:spacing w:beforeAutospacing="0"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28</w:t>
      </w:r>
      <w:r>
        <w:rPr>
          <w:rFonts w:hint="eastAsia" w:ascii="仿宋" w:hAnsi="仿宋" w:eastAsia="仿宋" w:cs="仿宋"/>
          <w:color w:val="auto"/>
          <w:szCs w:val="24"/>
          <w:highlight w:val="none"/>
        </w:rPr>
        <w:t>、遵照陕西省财政厅的规定，采购人、采购代理机构、供应商和评审专家在招投标活动中，都要签订相应的《拒绝政府采购领域商业贿赂承诺书》，并对违反承诺的行为承担全部责任。</w:t>
      </w:r>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29</w:t>
      </w:r>
      <w:r>
        <w:rPr>
          <w:rFonts w:hint="eastAsia" w:ascii="仿宋" w:hAnsi="仿宋" w:eastAsia="仿宋" w:cs="仿宋"/>
          <w:color w:val="auto"/>
          <w:szCs w:val="24"/>
          <w:highlight w:val="none"/>
        </w:rPr>
        <w:t>、供应商必须填写《拒绝政府采购领域商业贿赂承诺书》（附件）并附在竞争性磋商响应文件中，同时应保证竞争性磋商响应文件正、副本中一致。</w:t>
      </w:r>
    </w:p>
    <w:p>
      <w:pPr>
        <w:pStyle w:val="3"/>
        <w:bidi w:val="0"/>
        <w:rPr>
          <w:rFonts w:hint="eastAsia" w:ascii="仿宋" w:hAnsi="仿宋" w:eastAsia="仿宋" w:cs="仿宋"/>
          <w:highlight w:val="none"/>
        </w:rPr>
      </w:pPr>
      <w:bookmarkStart w:id="158" w:name="_Toc20805"/>
      <w:r>
        <w:rPr>
          <w:rFonts w:hint="eastAsia" w:ascii="仿宋" w:hAnsi="仿宋" w:eastAsia="仿宋" w:cs="仿宋"/>
          <w:highlight w:val="none"/>
        </w:rPr>
        <w:t>（十</w:t>
      </w:r>
      <w:r>
        <w:rPr>
          <w:rFonts w:hint="eastAsia" w:ascii="仿宋" w:hAnsi="仿宋" w:eastAsia="仿宋" w:cs="仿宋"/>
          <w:highlight w:val="none"/>
          <w:lang w:val="en-US" w:eastAsia="zh-CN"/>
        </w:rPr>
        <w:t>一</w:t>
      </w:r>
      <w:r>
        <w:rPr>
          <w:rFonts w:hint="eastAsia" w:ascii="仿宋" w:hAnsi="仿宋" w:eastAsia="仿宋" w:cs="仿宋"/>
          <w:highlight w:val="none"/>
        </w:rPr>
        <w:t>）其他</w:t>
      </w:r>
      <w:bookmarkEnd w:id="158"/>
    </w:p>
    <w:p>
      <w:pPr>
        <w:spacing w:line="360"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、本次项目的验收费用由</w:t>
      </w:r>
      <w:r>
        <w:rPr>
          <w:rFonts w:hint="eastAsia" w:ascii="仿宋" w:hAnsi="仿宋" w:eastAsia="仿宋" w:cs="仿宋"/>
          <w:color w:val="auto"/>
          <w:szCs w:val="24"/>
          <w:highlight w:val="none"/>
          <w:lang w:val="en-US" w:eastAsia="zh-CN"/>
        </w:rPr>
        <w:t>采购</w:t>
      </w:r>
      <w:r>
        <w:rPr>
          <w:rFonts w:hint="eastAsia" w:ascii="仿宋" w:hAnsi="仿宋" w:eastAsia="仿宋" w:cs="仿宋"/>
          <w:color w:val="auto"/>
          <w:szCs w:val="24"/>
          <w:highlight w:val="none"/>
        </w:rPr>
        <w:t>单位承担。</w:t>
      </w:r>
    </w:p>
    <w:p>
      <w:pPr>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31、本竞争性磋商文件的解释权归采购人及采购代理机构所有。</w:t>
      </w:r>
      <w:bookmarkStart w:id="159" w:name="_Toc2037"/>
      <w:bookmarkStart w:id="160" w:name="_Toc3595"/>
      <w:bookmarkStart w:id="161" w:name="_Toc23503"/>
      <w:bookmarkStart w:id="162" w:name="_Toc32473"/>
      <w:bookmarkStart w:id="163" w:name="_Toc26334"/>
      <w:bookmarkStart w:id="164" w:name="_Toc885"/>
      <w:bookmarkStart w:id="165" w:name="_Toc6506"/>
      <w:r>
        <w:rPr>
          <w:rFonts w:hint="eastAsia" w:ascii="仿宋" w:hAnsi="仿宋" w:eastAsia="仿宋" w:cs="仿宋"/>
          <w:color w:val="auto"/>
          <w:szCs w:val="24"/>
          <w:highlight w:val="none"/>
        </w:rPr>
        <w:br w:type="page"/>
      </w:r>
    </w:p>
    <w:p>
      <w:pPr>
        <w:pStyle w:val="2"/>
        <w:bidi w:val="0"/>
        <w:rPr>
          <w:rFonts w:hint="eastAsia"/>
          <w:highlight w:val="none"/>
          <w:lang w:eastAsia="zh-CN"/>
        </w:rPr>
      </w:pPr>
      <w:bookmarkStart w:id="166" w:name="_Toc24323"/>
      <w:r>
        <w:rPr>
          <w:rFonts w:hint="eastAsia"/>
          <w:highlight w:val="none"/>
        </w:rPr>
        <w:t xml:space="preserve">第三章 </w:t>
      </w:r>
      <w:r>
        <w:rPr>
          <w:rFonts w:hint="eastAsia"/>
          <w:highlight w:val="none"/>
          <w:lang w:eastAsia="zh-CN"/>
        </w:rPr>
        <w:t>商务要求</w:t>
      </w:r>
      <w:bookmarkEnd w:id="159"/>
      <w:bookmarkEnd w:id="160"/>
      <w:bookmarkEnd w:id="161"/>
      <w:bookmarkEnd w:id="162"/>
      <w:bookmarkEnd w:id="166"/>
    </w:p>
    <w:tbl>
      <w:tblPr>
        <w:tblStyle w:val="27"/>
        <w:tblW w:w="97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14"/>
        <w:gridCol w:w="88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3" w:hRule="atLeast"/>
          <w:jc w:val="center"/>
        </w:trPr>
        <w:tc>
          <w:tcPr>
            <w:tcW w:w="914"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条款号</w:t>
            </w:r>
          </w:p>
        </w:tc>
        <w:tc>
          <w:tcPr>
            <w:tcW w:w="8877"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82" w:hRule="exact"/>
          <w:jc w:val="center"/>
        </w:trPr>
        <w:tc>
          <w:tcPr>
            <w:tcW w:w="914"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8877" w:type="dxa"/>
            <w:noWrap w:val="0"/>
            <w:vAlign w:val="center"/>
          </w:tcPr>
          <w:p>
            <w:pPr>
              <w:spacing w:line="360" w:lineRule="auto"/>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lang w:eastAsia="zh-CN"/>
              </w:rPr>
              <w:t>中国人民政治协商会议陕西省榆林市委员会办公室</w:t>
            </w:r>
          </w:p>
          <w:p>
            <w:pPr>
              <w:spacing w:line="360" w:lineRule="auto"/>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地址：陕西省榆林市高新区榆溪大道市委办公小区</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r>
              <w:rPr>
                <w:rFonts w:hint="eastAsia" w:ascii="仿宋" w:hAnsi="仿宋" w:eastAsia="仿宋" w:cs="仿宋"/>
                <w:color w:val="auto"/>
                <w:szCs w:val="24"/>
                <w:highlight w:val="none"/>
                <w:lang w:val="zh-CN"/>
              </w:rPr>
              <w:t>榆林市政协APP软件开发服务采购项目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exact"/>
          <w:jc w:val="center"/>
        </w:trPr>
        <w:tc>
          <w:tcPr>
            <w:tcW w:w="914"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8877" w:type="dxa"/>
            <w:noWrap w:val="0"/>
            <w:vAlign w:val="center"/>
          </w:tcPr>
          <w:p>
            <w:pPr>
              <w:spacing w:line="360" w:lineRule="auto"/>
              <w:jc w:val="lef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项目实施地点：</w:t>
            </w:r>
            <w:r>
              <w:rPr>
                <w:rFonts w:hint="eastAsia" w:ascii="仿宋" w:hAnsi="仿宋" w:eastAsia="仿宋" w:cs="仿宋"/>
                <w:color w:val="auto"/>
                <w:sz w:val="24"/>
                <w:szCs w:val="24"/>
                <w:highlight w:val="none"/>
                <w:lang w:val="en-US" w:eastAsia="zh-CN"/>
              </w:rPr>
              <w:t>甲方指定地点；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65" w:hRule="exact"/>
          <w:jc w:val="center"/>
        </w:trPr>
        <w:tc>
          <w:tcPr>
            <w:tcW w:w="914" w:type="dxa"/>
            <w:noWrap w:val="0"/>
            <w:vAlign w:val="center"/>
          </w:tcPr>
          <w:p>
            <w:pPr>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p>
        </w:tc>
        <w:tc>
          <w:tcPr>
            <w:tcW w:w="887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服务期：</w:t>
            </w:r>
            <w:r>
              <w:rPr>
                <w:rFonts w:hint="eastAsia" w:ascii="仿宋" w:hAnsi="仿宋" w:eastAsia="仿宋" w:cs="仿宋"/>
                <w:sz w:val="24"/>
                <w:szCs w:val="24"/>
                <w:highlight w:val="none"/>
                <w:shd w:val="clear"/>
                <w:lang w:val="en-US" w:eastAsia="zh-CN"/>
              </w:rPr>
              <w:t>合同签订之日起1年（具体服务起止日期可随合同签订时间相应顺延）</w:t>
            </w:r>
            <w:r>
              <w:rPr>
                <w:rFonts w:hint="eastAsia" w:ascii="仿宋" w:hAnsi="仿宋" w:eastAsia="仿宋" w:cs="仿宋"/>
                <w:sz w:val="24"/>
                <w:szCs w:val="24"/>
                <w:highlight w:val="none"/>
                <w:shd w:val="clear"/>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31" w:hRule="atLeast"/>
          <w:jc w:val="center"/>
        </w:trPr>
        <w:tc>
          <w:tcPr>
            <w:tcW w:w="914"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8877" w:type="dxa"/>
            <w:noWrap w:val="0"/>
            <w:vAlign w:val="center"/>
          </w:tcPr>
          <w:p>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1.投标报价</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1.1所有报价均以人民币报价。</w:t>
            </w:r>
          </w:p>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投标报价：供应商应在投标报价表中标明完成本次招标所要求的服务、验收合格的所有费用，包括</w:t>
            </w:r>
            <w:r>
              <w:rPr>
                <w:rFonts w:hint="eastAsia" w:ascii="仿宋" w:hAnsi="仿宋" w:eastAsia="仿宋" w:cs="仿宋"/>
                <w:color w:val="auto"/>
                <w:sz w:val="24"/>
                <w:szCs w:val="24"/>
                <w:highlight w:val="none"/>
                <w:lang w:val="en-US" w:eastAsia="zh-CN"/>
              </w:rPr>
              <w:t>项目服务</w:t>
            </w:r>
            <w:r>
              <w:rPr>
                <w:rFonts w:hint="eastAsia" w:ascii="仿宋" w:hAnsi="仿宋" w:eastAsia="仿宋" w:cs="仿宋"/>
                <w:color w:val="auto"/>
                <w:sz w:val="24"/>
                <w:szCs w:val="24"/>
                <w:highlight w:val="none"/>
              </w:rPr>
              <w:t>费等其他一切相关费用。投标报价表中标明本次服务的所有单项价格和总价，任何有选择的报价将不予接受，按无效投标处理。</w:t>
            </w:r>
          </w:p>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lang w:eastAsia="zh-CN"/>
              </w:rPr>
              <w:t>采购人不承担任何补充费用。任何有选择的报价将不予接受。</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付款方式</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sz w:val="24"/>
                <w:szCs w:val="24"/>
                <w:highlight w:val="none"/>
                <w:lang w:bidi="ar"/>
              </w:rPr>
            </w:pPr>
            <w:r>
              <w:rPr>
                <w:rFonts w:hint="eastAsia" w:ascii="仿宋" w:hAnsi="仿宋" w:eastAsia="仿宋" w:cs="仿宋"/>
                <w:bCs/>
                <w:sz w:val="24"/>
                <w:szCs w:val="24"/>
                <w:highlight w:val="none"/>
                <w:lang w:bidi="ar"/>
              </w:rPr>
              <w:t>1、付款比例：一次性</w:t>
            </w:r>
            <w:r>
              <w:rPr>
                <w:rFonts w:hint="eastAsia" w:ascii="仿宋" w:hAnsi="仿宋" w:eastAsia="仿宋" w:cs="仿宋"/>
                <w:bCs/>
                <w:sz w:val="24"/>
                <w:szCs w:val="24"/>
                <w:highlight w:val="none"/>
                <w:lang w:val="en-US" w:eastAsia="zh-CN" w:bidi="ar"/>
              </w:rPr>
              <w:t>付款</w:t>
            </w:r>
            <w:r>
              <w:rPr>
                <w:rFonts w:hint="eastAsia" w:ascii="仿宋" w:hAnsi="仿宋" w:eastAsia="仿宋" w:cs="仿宋"/>
                <w:bCs/>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sz w:val="24"/>
                <w:szCs w:val="24"/>
                <w:highlight w:val="none"/>
                <w:lang w:bidi="ar"/>
              </w:rPr>
            </w:pPr>
            <w:r>
              <w:rPr>
                <w:rFonts w:hint="eastAsia" w:ascii="仿宋" w:hAnsi="仿宋" w:eastAsia="仿宋" w:cs="仿宋"/>
                <w:bCs/>
                <w:sz w:val="24"/>
                <w:szCs w:val="24"/>
                <w:highlight w:val="none"/>
                <w:lang w:bidi="ar"/>
              </w:rPr>
              <w:t>2、结算方式：银行转账。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Cs/>
                <w:sz w:val="24"/>
                <w:szCs w:val="24"/>
                <w:highlight w:val="none"/>
                <w:lang w:bidi="ar"/>
              </w:rPr>
              <w:t>3、结算单位：由甲方负责结算，乙方开具合同总价数的全额发票交采购人。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914" w:type="dxa"/>
            <w:noWrap w:val="0"/>
            <w:vAlign w:val="center"/>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877" w:type="dxa"/>
            <w:noWrap w:val="0"/>
            <w:vAlign w:val="center"/>
          </w:tcPr>
          <w:p>
            <w:pPr>
              <w:spacing w:line="360" w:lineRule="auto"/>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lang w:eastAsia="zh-CN"/>
              </w:rPr>
              <w:t>质量要保证：</w:t>
            </w:r>
          </w:p>
          <w:p>
            <w:pPr>
              <w:spacing w:line="360" w:lineRule="auto"/>
              <w:ind w:firstLine="480" w:firstLineChars="200"/>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1、若服务质量不合格，甲方有权拒付所有项目款；由乙方立即组织进行整改，直至达标为止；若因服务造成服务质量问题，一切损失由乙方承担。</w:t>
            </w:r>
          </w:p>
          <w:p>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32"/>
                <w:highlight w:val="none"/>
                <w:lang w:val="en-US" w:eastAsia="zh-CN"/>
              </w:rPr>
              <w:t>2、供应商提供服务须达到甲方满意。确保项目服务到位，安全。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14" w:type="dxa"/>
            <w:noWrap w:val="0"/>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8877" w:type="dxa"/>
            <w:noWrap w:val="0"/>
            <w:vAlign w:val="center"/>
          </w:tcPr>
          <w:p>
            <w:pPr>
              <w:spacing w:line="360" w:lineRule="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验收：</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由采购人和</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共同对项目整体进行验收。其内容包括确认</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kern w:val="0"/>
                <w:sz w:val="24"/>
                <w:highlight w:val="none"/>
              </w:rPr>
              <w:t>质量是否达到</w:t>
            </w:r>
            <w:r>
              <w:rPr>
                <w:rFonts w:hint="eastAsia" w:ascii="仿宋" w:hAnsi="仿宋" w:eastAsia="仿宋" w:cs="仿宋"/>
                <w:color w:val="auto"/>
                <w:sz w:val="24"/>
                <w:szCs w:val="24"/>
                <w:highlight w:val="none"/>
              </w:rPr>
              <w:t>现行国家有关验收规范“合格”标准进行逐项检查。</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1.所验</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的指标通过验收达不到</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要求和</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承诺的，或在使用中发现采购人不能容忍的缺陷等，将视为验收不合格，</w:t>
            </w:r>
            <w:r>
              <w:rPr>
                <w:rFonts w:hint="eastAsia" w:ascii="仿宋" w:hAnsi="仿宋" w:eastAsia="仿宋" w:cs="仿宋"/>
                <w:sz w:val="24"/>
                <w:szCs w:val="24"/>
                <w:highlight w:val="none"/>
              </w:rPr>
              <w:t>由于乙方</w:t>
            </w:r>
            <w:r>
              <w:rPr>
                <w:rFonts w:hint="eastAsia" w:ascii="仿宋" w:hAnsi="仿宋" w:eastAsia="仿宋" w:cs="仿宋"/>
                <w:sz w:val="24"/>
                <w:szCs w:val="24"/>
                <w:highlight w:val="none"/>
                <w:lang w:eastAsia="zh-CN"/>
              </w:rPr>
              <w:t>未按约定的时限</w:t>
            </w:r>
            <w:r>
              <w:rPr>
                <w:rFonts w:hint="eastAsia" w:ascii="仿宋" w:hAnsi="仿宋" w:eastAsia="仿宋" w:cs="仿宋"/>
                <w:sz w:val="24"/>
                <w:szCs w:val="24"/>
                <w:highlight w:val="none"/>
              </w:rPr>
              <w:t>完成的检测</w:t>
            </w:r>
            <w:r>
              <w:rPr>
                <w:rFonts w:hint="eastAsia" w:ascii="仿宋" w:hAnsi="仿宋" w:eastAsia="仿宋" w:cs="仿宋"/>
                <w:sz w:val="24"/>
                <w:szCs w:val="24"/>
                <w:highlight w:val="none"/>
                <w:lang w:eastAsia="zh-CN"/>
              </w:rPr>
              <w:t>或检测报告的</w:t>
            </w:r>
            <w:r>
              <w:rPr>
                <w:rFonts w:hint="eastAsia" w:ascii="仿宋" w:hAnsi="仿宋" w:eastAsia="仿宋" w:cs="仿宋"/>
                <w:sz w:val="24"/>
                <w:szCs w:val="24"/>
                <w:highlight w:val="none"/>
              </w:rPr>
              <w:t>质量不合要求，乙方应</w:t>
            </w:r>
            <w:r>
              <w:rPr>
                <w:rFonts w:hint="eastAsia" w:ascii="仿宋" w:hAnsi="仿宋" w:eastAsia="仿宋" w:cs="仿宋"/>
                <w:sz w:val="24"/>
                <w:szCs w:val="24"/>
                <w:highlight w:val="none"/>
                <w:lang w:eastAsia="zh-CN"/>
              </w:rPr>
              <w:t>主动</w:t>
            </w:r>
            <w:r>
              <w:rPr>
                <w:rFonts w:hint="eastAsia" w:ascii="仿宋" w:hAnsi="仿宋" w:eastAsia="仿宋" w:cs="仿宋"/>
                <w:sz w:val="24"/>
                <w:szCs w:val="24"/>
                <w:highlight w:val="none"/>
              </w:rPr>
              <w:t>采取有效措施，积极、主动地弥补过失，保证工作质量能够满足甲方要求</w:t>
            </w:r>
            <w:r>
              <w:rPr>
                <w:rFonts w:hint="eastAsia" w:ascii="仿宋" w:hAnsi="仿宋" w:eastAsia="仿宋" w:cs="仿宋"/>
                <w:sz w:val="24"/>
                <w:szCs w:val="24"/>
                <w:highlight w:val="none"/>
                <w:lang w:eastAsia="zh-CN"/>
              </w:rPr>
              <w:t>，并该批次样品不予收费</w:t>
            </w:r>
            <w:r>
              <w:rPr>
                <w:rFonts w:hint="eastAsia" w:ascii="仿宋" w:hAnsi="仿宋" w:eastAsia="仿宋" w:cs="仿宋"/>
                <w:color w:val="auto"/>
                <w:sz w:val="24"/>
                <w:szCs w:val="24"/>
                <w:highlight w:val="none"/>
              </w:rPr>
              <w:t>。</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2.若发现</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有弄虚作假的，在投标阶段故意或随意夸大</w:t>
            </w:r>
            <w:r>
              <w:rPr>
                <w:rFonts w:hint="eastAsia" w:ascii="仿宋" w:hAnsi="仿宋" w:eastAsia="仿宋" w:cs="仿宋"/>
                <w:color w:val="auto"/>
                <w:sz w:val="24"/>
                <w:szCs w:val="24"/>
                <w:highlight w:val="none"/>
                <w:lang w:val="en-US" w:eastAsia="zh-CN"/>
              </w:rPr>
              <w:t>服务内容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应无条件退货，并赔偿采购人相应的损失。</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3.验收标准：按</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及澄清函等技术指标进行验收。各项指标均应符合验收标准及要求。</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4.验收合格后，填写验收单，双方签字生效。</w:t>
            </w:r>
          </w:p>
          <w:p>
            <w:pPr>
              <w:tabs>
                <w:tab w:val="left" w:pos="498"/>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验收依据：</w:t>
            </w:r>
          </w:p>
          <w:p>
            <w:pPr>
              <w:tabs>
                <w:tab w:val="left" w:pos="498"/>
              </w:tabs>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（1）合同文本及合同补充文件（条款）；</w:t>
            </w:r>
          </w:p>
          <w:p>
            <w:pPr>
              <w:tabs>
                <w:tab w:val="left" w:pos="498"/>
              </w:tabs>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（2）磋商文件；</w:t>
            </w:r>
          </w:p>
          <w:p>
            <w:pPr>
              <w:tabs>
                <w:tab w:val="left" w:pos="498"/>
              </w:tabs>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（3）成交单位的磋商响应文件及澄清函（如果有须提供）；</w:t>
            </w:r>
          </w:p>
          <w:p>
            <w:pPr>
              <w:tabs>
                <w:tab w:val="left" w:pos="498"/>
              </w:tabs>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（4）合同服务清单；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2" w:hRule="atLeast"/>
          <w:jc w:val="center"/>
        </w:trPr>
        <w:tc>
          <w:tcPr>
            <w:tcW w:w="914" w:type="dxa"/>
            <w:noWrap w:val="0"/>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8877" w:type="dxa"/>
            <w:noWrap w:val="0"/>
            <w:vAlign w:val="center"/>
          </w:tcPr>
          <w:p>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知识产权：</w:t>
            </w:r>
          </w:p>
          <w:p>
            <w:pPr>
              <w:pStyle w:val="1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应保证投标产品及服务不会出现因第三方提出侵犯其专利权、商标权或其它知识产权而引发法律或经济纠纷，否则由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承担全部责任。任何被</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用于未经授权的商业目的行为所造成的违约或侵权责任由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承</w:t>
            </w:r>
            <w:r>
              <w:rPr>
                <w:rFonts w:hint="eastAsia" w:ascii="仿宋" w:hAnsi="仿宋" w:eastAsia="仿宋" w:cs="仿宋"/>
                <w:color w:val="auto"/>
                <w:sz w:val="24"/>
                <w:szCs w:val="24"/>
                <w:highlight w:val="none"/>
                <w:lang w:eastAsia="zh-CN"/>
              </w:rPr>
              <w:t>担</w:t>
            </w:r>
            <w:r>
              <w:rPr>
                <w:rFonts w:hint="eastAsia" w:ascii="仿宋" w:hAnsi="仿宋" w:eastAsia="仿宋" w:cs="仿宋"/>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jc w:val="center"/>
        </w:trPr>
        <w:tc>
          <w:tcPr>
            <w:tcW w:w="914" w:type="dxa"/>
            <w:noWrap w:val="0"/>
            <w:vAlign w:val="center"/>
          </w:tcPr>
          <w:p>
            <w:pPr>
              <w:pStyle w:val="15"/>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8877" w:type="dxa"/>
            <w:noWrap w:val="0"/>
            <w:vAlign w:val="center"/>
          </w:tcPr>
          <w:p>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违约责任：</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highlight w:val="none"/>
              </w:rPr>
              <w:t>依据《中华人民共和国</w:t>
            </w:r>
            <w:r>
              <w:rPr>
                <w:rFonts w:hint="eastAsia" w:ascii="仿宋" w:hAnsi="仿宋" w:eastAsia="仿宋" w:cs="仿宋"/>
                <w:color w:val="auto"/>
                <w:highlight w:val="none"/>
                <w:lang w:eastAsia="zh-CN"/>
              </w:rPr>
              <w:t>民法典</w:t>
            </w:r>
            <w:r>
              <w:rPr>
                <w:rFonts w:hint="eastAsia" w:ascii="仿宋" w:hAnsi="仿宋" w:eastAsia="仿宋" w:cs="仿宋"/>
                <w:color w:val="auto"/>
                <w:highlight w:val="none"/>
              </w:rPr>
              <w:t>》、《中华人民共和国政府采购法》的相关条款和本合同约定，中标</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未全面履行合同义务或者发生违约，采购单位会同采购代理机构有权终止合同，依法向中标</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进行经济索赔，并报请政府采购监督管理机关进行相应的行政处罚。采购单位违约的，应当赔偿给中标</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造成的经济损失。</w:t>
            </w:r>
          </w:p>
        </w:tc>
      </w:tr>
    </w:tbl>
    <w:p>
      <w:pPr>
        <w:rPr>
          <w:rFonts w:hint="eastAsia" w:ascii="仿宋" w:hAnsi="仿宋" w:eastAsia="仿宋" w:cs="仿宋"/>
          <w:color w:val="auto"/>
          <w:highlight w:val="none"/>
          <w:lang w:eastAsia="zh-CN"/>
        </w:rPr>
      </w:pPr>
    </w:p>
    <w:p>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p>
    <w:p>
      <w:pPr>
        <w:pStyle w:val="2"/>
        <w:bidi w:val="0"/>
        <w:rPr>
          <w:rFonts w:hint="eastAsia" w:ascii="仿宋" w:hAnsi="仿宋" w:eastAsia="仿宋" w:cs="仿宋"/>
          <w:highlight w:val="none"/>
          <w:lang w:val="en-US" w:eastAsia="zh-CN"/>
        </w:rPr>
      </w:pPr>
      <w:bookmarkStart w:id="167" w:name="_Toc24205"/>
      <w:bookmarkStart w:id="168" w:name="_Toc12773"/>
      <w:bookmarkStart w:id="169" w:name="_Toc26360"/>
      <w:bookmarkStart w:id="170" w:name="_Toc24645"/>
      <w:bookmarkStart w:id="171" w:name="_Toc9523"/>
      <w:r>
        <w:rPr>
          <w:rFonts w:hint="eastAsia" w:ascii="仿宋" w:hAnsi="仿宋" w:eastAsia="仿宋" w:cs="仿宋"/>
          <w:highlight w:val="none"/>
          <w:lang w:val="en-US" w:eastAsia="zh-CN"/>
        </w:rPr>
        <w:t>第四章 合同条款及格式</w:t>
      </w:r>
      <w:bookmarkEnd w:id="163"/>
      <w:bookmarkEnd w:id="164"/>
      <w:bookmarkEnd w:id="165"/>
      <w:bookmarkEnd w:id="167"/>
      <w:bookmarkEnd w:id="168"/>
      <w:bookmarkEnd w:id="169"/>
      <w:bookmarkEnd w:id="170"/>
      <w:bookmarkEnd w:id="171"/>
    </w:p>
    <w:p>
      <w:pPr>
        <w:jc w:val="center"/>
        <w:rPr>
          <w:rFonts w:hint="eastAsia" w:ascii="仿宋" w:hAnsi="仿宋" w:eastAsia="仿宋" w:cs="仿宋"/>
          <w:b/>
          <w:bCs/>
          <w:sz w:val="40"/>
          <w:szCs w:val="40"/>
          <w:highlight w:val="none"/>
          <w:lang w:val="en-US" w:eastAsia="zh-CN"/>
        </w:rPr>
      </w:pPr>
      <w:bookmarkStart w:id="172" w:name="_Toc458617744"/>
      <w:bookmarkStart w:id="173" w:name="_Toc22757"/>
      <w:bookmarkStart w:id="174" w:name="_Toc32712"/>
      <w:bookmarkStart w:id="175" w:name="_Toc29665"/>
      <w:bookmarkStart w:id="176" w:name="_Toc290389757"/>
      <w:bookmarkStart w:id="177" w:name="_Toc324521850"/>
      <w:bookmarkStart w:id="178" w:name="_Toc458617467"/>
      <w:bookmarkStart w:id="179" w:name="_Toc321812053"/>
      <w:r>
        <w:rPr>
          <w:rFonts w:hint="eastAsia" w:ascii="仿宋" w:hAnsi="仿宋" w:eastAsia="仿宋" w:cs="仿宋"/>
          <w:b/>
          <w:bCs/>
          <w:sz w:val="40"/>
          <w:szCs w:val="40"/>
          <w:highlight w:val="none"/>
          <w:lang w:val="en-US" w:eastAsia="zh-CN"/>
        </w:rPr>
        <w:t>文明榆林公益随手拍微信小程序开发服务合同书</w:t>
      </w:r>
    </w:p>
    <w:p>
      <w:pPr>
        <w:rPr>
          <w:rFonts w:hint="eastAsia" w:ascii="仿宋" w:hAnsi="仿宋" w:eastAsia="仿宋" w:cs="仿宋"/>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                                  （以下简称甲方）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乙方：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经双方友好协商，甲方委托乙方作为甲方微信小程序的开发服务商，现就有关开发一事达成如下协议，具体条款如下：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一、服务内容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榆林市政协APP软件开发服务采购项目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二、合同金额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合同总金额：小写：               元，大写：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一次性全款支付。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四、设计开发进程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1、乙方在      7  工作日内，完成整个系统的测试版开发。（自收到甲方的付款及提供的相关资料之日算起，不包含网站备案时间和申请支付的时间）。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2、对甲方提出的超出本合同范围并有可能影响双方约定完成时间的，由此产生的延期与乙方无关，由双方协商确定具体时间及相关费用。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五、售后服务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甲方项目正式上线后乙方提供12个月售后服务，针对程序的错误进行免费修复。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六、验收条款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软件功能验收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根据双方的约定，乙方所提供的软件功能要能完整地实现甲方提出的功能需求。甲乙双方应在验收前将需求明确达成一致，并在验收时按照需求逐项核对功能是否完整实现及符合应用要求，若不符合，则需要乙方努力调整直到符合甲方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软件性能验收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根据双方的约定，乙方应按照甲乙的要求设计测试方式，对软件性能进行测试，如负载测试、性能测试等等。测试结果应符合乙方承诺的要求，并能在甲方提供的环境下得到满足。如软件达不到性能要求，则需乙方努力调整直到符合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软件安全性验收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根据双方的约定，乙方所提供的软件必须具备相应的安全性功能，能够防止被未经授权的用户进行非授权操作并能够保护系统和对信息的安全性。甲方有权对乙方所提供的软件进行安全性审查，如发现安全漏洞，则需乙方在规定时间内修改完善，以达到甲方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七、双方责任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A、甲方义务：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1、甲方负责向乙方提供制作网页所需的文字、图片、及电子文件资料。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2、甲方应及时审验乙方为甲方制作完成的网页内容，并提出修改意见。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3、甲方不得要求乙方制作的网页中含有有关色情、宗教、人种歧视、政治敏感等问题的内容，以及违反国家有关法律、法规的内容，否则乙方有权终止合同并不退还已收费用。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4、甲方对其提供及发布内容的真实性和合法性负完全责任，一切由其内容所引起的纠纷、争议及所涉及的法律责任均由甲方承担。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5、甲方不得将委托乙方开发的项目用于违反国家有关法律、法规的运营，否则甲方自行承担所有法律责任。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B、乙方义务：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1、乙方应完全按照甲乙双方达成的协议（具体内容），为甲方保质保量完成页面建设项目；</w:t>
      </w:r>
      <w:r>
        <w:rPr>
          <w:rFonts w:hint="eastAsia" w:ascii="仿宋" w:hAnsi="仿宋" w:eastAsia="仿宋" w:cs="仿宋"/>
          <w:sz w:val="24"/>
          <w:szCs w:val="24"/>
          <w:highlight w:val="none"/>
          <w:lang w:val="en-US" w:eastAsia="zh-CN"/>
        </w:rPr>
        <w:br w:type="textWrapping"/>
      </w:r>
      <w:r>
        <w:rPr>
          <w:rFonts w:hint="eastAsia" w:ascii="仿宋" w:hAnsi="仿宋" w:eastAsia="仿宋" w:cs="仿宋"/>
          <w:sz w:val="24"/>
          <w:szCs w:val="24"/>
          <w:highlight w:val="none"/>
          <w:lang w:val="en-US" w:eastAsia="zh-CN"/>
        </w:rPr>
        <w:t>　　2、在制作过程中，乙方应尽力协助甲方实现订制单拟定的设计内容，并经甲方认可；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3、乙方在网页设计及内容制作完毕时应及时通知甲方，甲方6天内不提出异议的，视为确认；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4、乙方对甲方的网站内容有保密责任，如乙方泄露甲方商业信息，对甲方造成利益损害的应承担相应的责任，最大赔偿金额不超过合同金额；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5、乙方对制作的网站框架及程序应保证不侵犯他人知识产权相关规定；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6、乙方为甲方提供小程序开发服务、技术支持及服务器；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7、乙方为甲方提供小程序设计、定制研发及创意；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8、乙方为甲方提供小程序运行所需后台服务器，服务器可视运行具体状况选择扩容；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9、乙方为甲方存储运营期间市民的参与照片、视频及音频等素材；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10、乙方为甲方提供后台数据交换、维护服务；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11、乙方为甲方提供2位固定工作人员负责审核参与者身份；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12、未经甲方书面同意，乙方不得随意更改甲方提供的资料，乙方应对甲方的相关信息保密（司法机关或行政机关根据其权限调查除外）；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13、乙方负责在产品设计功能范围内解决甲方在小程序内容制作过程中遇到的技术问题；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14、乙方在维护管理服务器时，或由于乙方网站平台改版、升级、更新等，必要时可短时间中断服务。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八、合同生效办法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1、因甲方违反本合同的约定造成乙方收到相关部门处罚或者对任何第三方产生不良后果的，甲方应当赔偿因此给乙方造成的损失，并追究甲方其他的法律责任；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2、若乙方违反合同约定，甲方有权单方面终止合同，并要求乙方退回未履约的相应费用，并追究乙方的其他法律责任；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任何一方因不可抗力，致使对方受到重要经济损失，或导致本合同不能履行或不能完全履行时，受不可抗力影响的一方对另一方的损失不承担违约责任，本合同所指不可抗力是指不能避免，不能实现的客观要求，包括但不仅限于地震、洪水等自然灾害、战争及政府行为、突发性公共事实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4、任何一方违反本合同约定的，应赔偿守约方因对方违约造成的全部损失，守约方有权解除本合同；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5、本合同履行过程中若发生争议，双方应友好协商解决，协商不成的，经双方同意后可将争议提交到仲裁委员会；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6、本合同未尽事宜，由双方友好协商作出补充，补充条款与本合同具有同等法律效力；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7、本合同一式两份，双方各执一份。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                             乙     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代表签字：                              代表签字: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电    话：                              电     话: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签订日期：                              签订日期：  </w:t>
      </w:r>
    </w:p>
    <w:p>
      <w:pPr>
        <w:spacing w:line="360" w:lineRule="auto"/>
        <w:rPr>
          <w:rFonts w:hint="eastAsia" w:ascii="仿宋" w:hAnsi="仿宋" w:eastAsia="仿宋" w:cs="仿宋"/>
          <w:sz w:val="24"/>
          <w:szCs w:val="24"/>
          <w:highlight w:val="none"/>
          <w:lang w:val="en-US" w:eastAsia="zh-CN"/>
        </w:rPr>
      </w:pPr>
    </w:p>
    <w:p>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w:t>
      </w:r>
      <w:bookmarkStart w:id="180" w:name="_Toc18194"/>
      <w:bookmarkStart w:id="181" w:name="_Toc13444"/>
      <w:bookmarkStart w:id="182" w:name="_Toc2165"/>
      <w:bookmarkStart w:id="183" w:name="_Toc5099"/>
      <w:bookmarkStart w:id="184" w:name="_Toc26030"/>
      <w:bookmarkStart w:id="185" w:name="_Toc17706"/>
      <w:bookmarkStart w:id="186" w:name="_Toc32650"/>
      <w:bookmarkStart w:id="187" w:name="_Toc12884"/>
      <w:bookmarkStart w:id="188" w:name="_Toc6312"/>
      <w:bookmarkStart w:id="189" w:name="_Toc26183"/>
      <w:bookmarkStart w:id="190" w:name="_Toc4959"/>
      <w:bookmarkStart w:id="191" w:name="_Toc2649"/>
      <w:bookmarkStart w:id="192" w:name="_Toc21410"/>
      <w:bookmarkStart w:id="193" w:name="_Toc25372"/>
      <w:bookmarkStart w:id="194" w:name="_Toc24970"/>
      <w:r>
        <w:rPr>
          <w:rFonts w:hint="eastAsia" w:ascii="仿宋" w:hAnsi="仿宋" w:eastAsia="仿宋" w:cs="仿宋"/>
          <w:sz w:val="24"/>
          <w:szCs w:val="24"/>
          <w:highlight w:val="none"/>
          <w:lang w:val="en-US" w:eastAsia="zh-CN"/>
        </w:rPr>
        <w:t>（此合同只作为参考，最终签订的合同以采购人确定的合同内容为准。）</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pPr>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br w:type="page"/>
      </w:r>
    </w:p>
    <w:bookmarkEnd w:id="172"/>
    <w:bookmarkEnd w:id="173"/>
    <w:bookmarkEnd w:id="174"/>
    <w:bookmarkEnd w:id="175"/>
    <w:bookmarkEnd w:id="176"/>
    <w:bookmarkEnd w:id="177"/>
    <w:bookmarkEnd w:id="178"/>
    <w:bookmarkEnd w:id="179"/>
    <w:p>
      <w:pPr>
        <w:pStyle w:val="2"/>
        <w:bidi w:val="0"/>
        <w:rPr>
          <w:rFonts w:hint="eastAsia" w:ascii="仿宋" w:hAnsi="仿宋" w:eastAsia="仿宋" w:cs="仿宋"/>
          <w:highlight w:val="none"/>
          <w:lang w:val="en-US" w:eastAsia="zh-CN"/>
        </w:rPr>
      </w:pPr>
      <w:bookmarkStart w:id="195" w:name="_Toc12329"/>
      <w:bookmarkStart w:id="196" w:name="_Toc15798"/>
      <w:bookmarkStart w:id="197" w:name="_Toc3488"/>
      <w:bookmarkStart w:id="198" w:name="_Toc19632"/>
      <w:bookmarkStart w:id="199" w:name="_Toc28145"/>
      <w:bookmarkStart w:id="200" w:name="_Toc32103"/>
      <w:bookmarkStart w:id="201" w:name="_Toc23643"/>
      <w:r>
        <w:rPr>
          <w:rFonts w:hint="eastAsia" w:ascii="仿宋" w:hAnsi="仿宋" w:eastAsia="仿宋" w:cs="仿宋"/>
          <w:highlight w:val="none"/>
          <w:lang w:val="en-US" w:eastAsia="zh-CN"/>
        </w:rPr>
        <w:t>第五章 采购内容及要求</w:t>
      </w:r>
      <w:bookmarkEnd w:id="195"/>
      <w:bookmarkEnd w:id="196"/>
      <w:bookmarkEnd w:id="197"/>
      <w:bookmarkEnd w:id="198"/>
      <w:bookmarkEnd w:id="199"/>
    </w:p>
    <w:tbl>
      <w:tblPr>
        <w:tblStyle w:val="2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18"/>
        <w:gridCol w:w="2046"/>
        <w:gridCol w:w="62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1" w:hRule="atLeast"/>
        </w:trPr>
        <w:tc>
          <w:tcPr>
            <w:tcW w:w="5000" w:type="pct"/>
            <w:gridSpan w:val="3"/>
            <w:tcBorders>
              <w:top w:val="single" w:color="000000" w:sz="8" w:space="0"/>
              <w:left w:val="single" w:color="000000" w:sz="8" w:space="0"/>
              <w:bottom w:val="single" w:color="auto" w:sz="4" w:space="0"/>
              <w:right w:val="single" w:color="000000" w:sz="8" w:space="0"/>
            </w:tcBorders>
            <w:shd w:val="clear" w:color="auto" w:fill="BEBEBE"/>
            <w:noWrap w:val="0"/>
            <w:vAlign w:val="top"/>
          </w:tcPr>
          <w:p>
            <w:pPr>
              <w:keepNext w:val="0"/>
              <w:keepLines w:val="0"/>
              <w:widowControl/>
              <w:suppressLineNumbers w:val="0"/>
              <w:spacing w:line="360" w:lineRule="auto"/>
              <w:jc w:val="center"/>
              <w:textAlignment w:val="top"/>
              <w:rPr>
                <w:rFonts w:hint="eastAsia" w:ascii="仿宋" w:hAnsi="仿宋" w:eastAsia="仿宋" w:cs="仿宋"/>
                <w:b/>
                <w:bCs/>
                <w:i w:val="0"/>
                <w:iCs w:val="0"/>
                <w:color w:val="000000"/>
                <w:sz w:val="24"/>
                <w:szCs w:val="24"/>
                <w:u w:val="none"/>
                <w:lang w:val="en-US"/>
              </w:rPr>
            </w:pPr>
            <w:bookmarkStart w:id="202" w:name="_Toc25404"/>
            <w:bookmarkStart w:id="203" w:name="_Toc27112"/>
            <w:bookmarkStart w:id="204" w:name="_Toc2283"/>
            <w:bookmarkStart w:id="205" w:name="_Toc30538"/>
            <w:bookmarkStart w:id="206" w:name="_Toc6112"/>
            <w:r>
              <w:rPr>
                <w:rStyle w:val="81"/>
                <w:rFonts w:hint="eastAsia" w:ascii="仿宋" w:hAnsi="仿宋" w:eastAsia="仿宋" w:cs="仿宋"/>
                <w:sz w:val="24"/>
                <w:szCs w:val="24"/>
                <w:lang w:val="en-US" w:eastAsia="zh-CN" w:bidi="ar"/>
              </w:rPr>
              <w:t>智慧政协管理系统APP开发功能需求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1" w:hRule="atLeast"/>
        </w:trPr>
        <w:tc>
          <w:tcPr>
            <w:tcW w:w="812" w:type="pct"/>
            <w:tcBorders>
              <w:top w:val="single" w:color="000000" w:sz="8" w:space="0"/>
              <w:left w:val="single" w:color="000000" w:sz="8" w:space="0"/>
              <w:bottom w:val="single" w:color="auto" w:sz="4" w:space="0"/>
              <w:right w:val="single" w:color="000000" w:sz="8" w:space="0"/>
            </w:tcBorders>
            <w:shd w:val="clear" w:color="auto" w:fill="BEBEBE"/>
            <w:noWrap w:val="0"/>
            <w:vAlign w:val="top"/>
          </w:tcPr>
          <w:p>
            <w:pPr>
              <w:spacing w:line="360" w:lineRule="auto"/>
              <w:jc w:val="left"/>
              <w:rPr>
                <w:rFonts w:hint="eastAsia" w:ascii="仿宋" w:hAnsi="仿宋" w:eastAsia="仿宋" w:cs="仿宋"/>
                <w:b/>
                <w:sz w:val="24"/>
                <w:szCs w:val="24"/>
              </w:rPr>
            </w:pPr>
            <w:r>
              <w:rPr>
                <w:rFonts w:hint="eastAsia" w:ascii="仿宋" w:hAnsi="仿宋" w:eastAsia="仿宋" w:cs="仿宋"/>
                <w:b/>
                <w:sz w:val="24"/>
                <w:szCs w:val="24"/>
              </w:rPr>
              <w:br w:type="page"/>
            </w:r>
            <w:r>
              <w:rPr>
                <w:rStyle w:val="81"/>
                <w:rFonts w:hint="eastAsia" w:ascii="仿宋" w:hAnsi="仿宋" w:eastAsia="仿宋" w:cs="仿宋"/>
                <w:sz w:val="24"/>
                <w:szCs w:val="24"/>
                <w:lang w:val="en-US" w:eastAsia="zh-CN" w:bidi="ar"/>
              </w:rPr>
              <w:t>一级模块</w:t>
            </w:r>
          </w:p>
        </w:tc>
        <w:tc>
          <w:tcPr>
            <w:tcW w:w="1027" w:type="pct"/>
            <w:tcBorders>
              <w:top w:val="single" w:color="000000" w:sz="8" w:space="0"/>
              <w:left w:val="single" w:color="000000" w:sz="8" w:space="0"/>
              <w:bottom w:val="single" w:color="auto" w:sz="4" w:space="0"/>
              <w:right w:val="single" w:color="000000" w:sz="8" w:space="0"/>
            </w:tcBorders>
            <w:shd w:val="clear" w:color="auto" w:fill="BEBEBE"/>
            <w:noWrap w:val="0"/>
            <w:vAlign w:val="top"/>
          </w:tcPr>
          <w:p>
            <w:pPr>
              <w:keepNext w:val="0"/>
              <w:keepLines w:val="0"/>
              <w:widowControl/>
              <w:suppressLineNumbers w:val="0"/>
              <w:spacing w:line="360" w:lineRule="auto"/>
              <w:jc w:val="left"/>
              <w:textAlignment w:val="top"/>
              <w:rPr>
                <w:rStyle w:val="81"/>
                <w:rFonts w:hint="eastAsia" w:ascii="仿宋" w:hAnsi="仿宋" w:eastAsia="仿宋" w:cs="仿宋"/>
                <w:sz w:val="24"/>
                <w:szCs w:val="24"/>
                <w:lang w:val="en-US" w:eastAsia="zh-CN" w:bidi="ar"/>
              </w:rPr>
            </w:pPr>
            <w:r>
              <w:rPr>
                <w:rStyle w:val="81"/>
                <w:rFonts w:hint="eastAsia" w:ascii="仿宋" w:hAnsi="仿宋" w:eastAsia="仿宋" w:cs="仿宋"/>
                <w:sz w:val="24"/>
                <w:szCs w:val="24"/>
                <w:lang w:val="en-US" w:eastAsia="zh-CN" w:bidi="ar"/>
              </w:rPr>
              <w:t>二级模块</w:t>
            </w:r>
          </w:p>
        </w:tc>
        <w:tc>
          <w:tcPr>
            <w:tcW w:w="3160" w:type="pct"/>
            <w:tcBorders>
              <w:top w:val="single" w:color="000000" w:sz="8" w:space="0"/>
              <w:left w:val="single" w:color="000000" w:sz="8" w:space="0"/>
              <w:bottom w:val="single" w:color="000000" w:sz="8" w:space="0"/>
              <w:right w:val="single" w:color="000000" w:sz="8" w:space="0"/>
            </w:tcBorders>
            <w:shd w:val="clear" w:color="auto" w:fill="BEBEBE"/>
            <w:noWrap w:val="0"/>
            <w:vAlign w:val="top"/>
          </w:tcPr>
          <w:p>
            <w:pPr>
              <w:keepNext w:val="0"/>
              <w:keepLines w:val="0"/>
              <w:widowControl/>
              <w:suppressLineNumbers w:val="0"/>
              <w:spacing w:line="360" w:lineRule="auto"/>
              <w:jc w:val="both"/>
              <w:textAlignment w:val="top"/>
              <w:rPr>
                <w:rStyle w:val="81"/>
                <w:rFonts w:hint="eastAsia" w:ascii="仿宋" w:hAnsi="仿宋" w:eastAsia="仿宋" w:cs="仿宋"/>
                <w:sz w:val="24"/>
                <w:szCs w:val="24"/>
                <w:lang w:val="en-US" w:eastAsia="zh-CN" w:bidi="ar"/>
              </w:rPr>
            </w:pPr>
            <w:r>
              <w:rPr>
                <w:rStyle w:val="81"/>
                <w:rFonts w:hint="eastAsia" w:ascii="仿宋" w:hAnsi="仿宋" w:eastAsia="仿宋" w:cs="仿宋"/>
                <w:sz w:val="24"/>
                <w:szCs w:val="24"/>
                <w:lang w:val="en-US" w:eastAsia="zh-CN" w:bidi="ar"/>
              </w:rPr>
              <w:t>功能需求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4"/>
                <w:szCs w:val="24"/>
                <w:u w:val="none"/>
              </w:rPr>
            </w:pPr>
            <w:r>
              <w:rPr>
                <w:rStyle w:val="81"/>
                <w:rFonts w:hint="eastAsia" w:ascii="仿宋" w:hAnsi="仿宋" w:eastAsia="仿宋" w:cs="仿宋"/>
                <w:b w:val="0"/>
                <w:bCs w:val="0"/>
                <w:sz w:val="24"/>
                <w:szCs w:val="24"/>
                <w:lang w:val="en-US" w:eastAsia="zh-CN" w:bidi="ar"/>
              </w:rPr>
              <w:t>委员履职子系统</w:t>
            </w: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委员提案</w:t>
            </w:r>
          </w:p>
        </w:tc>
        <w:tc>
          <w:tcPr>
            <w:tcW w:w="3160" w:type="pct"/>
            <w:vMerge w:val="restart"/>
            <w:tcBorders>
              <w:top w:val="nil"/>
              <w:left w:val="single" w:color="auto" w:sz="4" w:space="0"/>
              <w:right w:val="single" w:color="000000" w:sz="8" w:space="0"/>
            </w:tcBorders>
            <w:noWrap w:val="0"/>
            <w:vAlign w:val="top"/>
          </w:tcPr>
          <w:p>
            <w:pPr>
              <w:spacing w:line="360" w:lineRule="auto"/>
              <w:rPr>
                <w:rFonts w:hint="eastAsia" w:ascii="仿宋" w:hAnsi="仿宋" w:eastAsia="仿宋" w:cs="仿宋"/>
                <w:sz w:val="24"/>
                <w:szCs w:val="24"/>
              </w:rPr>
            </w:pPr>
            <w:r>
              <w:rPr>
                <w:rFonts w:hint="eastAsia" w:ascii="仿宋" w:hAnsi="仿宋" w:eastAsia="仿宋" w:cs="仿宋"/>
                <w:sz w:val="24"/>
                <w:szCs w:val="24"/>
              </w:rPr>
              <w:t>1.会议管理：安排和管理政协委员会议的时间、地点和议程，提供会议材料的在线阅览和下载。</w:t>
            </w:r>
          </w:p>
          <w:p>
            <w:pPr>
              <w:spacing w:line="360" w:lineRule="auto"/>
              <w:rPr>
                <w:rFonts w:hint="eastAsia" w:ascii="仿宋" w:hAnsi="仿宋" w:eastAsia="仿宋" w:cs="仿宋"/>
                <w:sz w:val="24"/>
                <w:szCs w:val="24"/>
              </w:rPr>
            </w:pPr>
            <w:r>
              <w:rPr>
                <w:rFonts w:hint="eastAsia" w:ascii="仿宋" w:hAnsi="仿宋" w:eastAsia="仿宋" w:cs="仿宋"/>
                <w:sz w:val="24"/>
                <w:szCs w:val="24"/>
              </w:rPr>
              <w:t>2.履职任务分配：将履职任务分派给各个委员。</w:t>
            </w:r>
          </w:p>
          <w:p>
            <w:pPr>
              <w:spacing w:line="360" w:lineRule="auto"/>
              <w:rPr>
                <w:rFonts w:hint="eastAsia" w:ascii="仿宋" w:hAnsi="仿宋" w:eastAsia="仿宋" w:cs="仿宋"/>
                <w:sz w:val="24"/>
                <w:szCs w:val="24"/>
              </w:rPr>
            </w:pPr>
            <w:r>
              <w:rPr>
                <w:rFonts w:hint="eastAsia" w:ascii="仿宋" w:hAnsi="仿宋" w:eastAsia="仿宋" w:cs="仿宋"/>
                <w:sz w:val="24"/>
                <w:szCs w:val="24"/>
              </w:rPr>
              <w:t>3.提案管理：委员在线提出提案，进行提交、审核、协商和修改。</w:t>
            </w:r>
          </w:p>
          <w:p>
            <w:pPr>
              <w:spacing w:line="360" w:lineRule="auto"/>
              <w:rPr>
                <w:rFonts w:hint="eastAsia" w:ascii="仿宋" w:hAnsi="仿宋" w:eastAsia="仿宋" w:cs="仿宋"/>
                <w:sz w:val="24"/>
                <w:szCs w:val="24"/>
              </w:rPr>
            </w:pPr>
            <w:r>
              <w:rPr>
                <w:rFonts w:hint="eastAsia" w:ascii="仿宋" w:hAnsi="仿宋" w:eastAsia="仿宋" w:cs="仿宋"/>
                <w:sz w:val="24"/>
                <w:szCs w:val="24"/>
              </w:rPr>
              <w:t>4.决议和意见征集：收集委员对特定议题的意见和建议。</w:t>
            </w:r>
          </w:p>
          <w:p>
            <w:pPr>
              <w:spacing w:line="360" w:lineRule="auto"/>
              <w:rPr>
                <w:rFonts w:hint="eastAsia" w:ascii="仿宋" w:hAnsi="仿宋" w:eastAsia="仿宋" w:cs="仿宋"/>
                <w:sz w:val="24"/>
                <w:szCs w:val="24"/>
              </w:rPr>
            </w:pPr>
            <w:r>
              <w:rPr>
                <w:rFonts w:hint="eastAsia" w:ascii="仿宋" w:hAnsi="仿宋" w:eastAsia="仿宋" w:cs="仿宋"/>
                <w:sz w:val="24"/>
                <w:szCs w:val="24"/>
              </w:rPr>
              <w:t>5.材料共享和查阅：提供政协委员查阅和下载相关会议材料、调研报告、提案和建议等文档。</w:t>
            </w:r>
          </w:p>
          <w:p>
            <w:pPr>
              <w:spacing w:line="360" w:lineRule="auto"/>
              <w:rPr>
                <w:rFonts w:hint="eastAsia" w:ascii="仿宋" w:hAnsi="仿宋" w:eastAsia="仿宋" w:cs="仿宋"/>
                <w:sz w:val="24"/>
                <w:szCs w:val="24"/>
              </w:rPr>
            </w:pPr>
            <w:r>
              <w:rPr>
                <w:rFonts w:hint="eastAsia" w:ascii="仿宋" w:hAnsi="仿宋" w:eastAsia="仿宋" w:cs="仿宋"/>
                <w:sz w:val="24"/>
                <w:szCs w:val="24"/>
              </w:rPr>
              <w:t>6.协作和讨论：使</w:t>
            </w:r>
            <w:r>
              <w:rPr>
                <w:rFonts w:hint="eastAsia" w:ascii="仿宋" w:hAnsi="仿宋" w:eastAsia="仿宋" w:cs="仿宋"/>
                <w:sz w:val="24"/>
                <w:szCs w:val="24"/>
                <w:lang w:val="en-US" w:eastAsia="zh-CN"/>
              </w:rPr>
              <w:t>政协委员</w:t>
            </w:r>
            <w:r>
              <w:rPr>
                <w:rFonts w:hint="eastAsia" w:ascii="仿宋" w:hAnsi="仿宋" w:eastAsia="仿宋" w:cs="仿宋"/>
                <w:sz w:val="24"/>
                <w:szCs w:val="24"/>
              </w:rPr>
              <w:t>能够在线进行交流、评议和合作。</w:t>
            </w:r>
          </w:p>
          <w:p>
            <w:pPr>
              <w:spacing w:line="360" w:lineRule="auto"/>
              <w:rPr>
                <w:rFonts w:hint="eastAsia" w:ascii="仿宋" w:hAnsi="仿宋" w:eastAsia="仿宋" w:cs="仿宋"/>
                <w:sz w:val="24"/>
                <w:szCs w:val="24"/>
              </w:rPr>
            </w:pPr>
            <w:r>
              <w:rPr>
                <w:rFonts w:hint="eastAsia" w:ascii="仿宋" w:hAnsi="仿宋" w:eastAsia="仿宋" w:cs="仿宋"/>
                <w:sz w:val="24"/>
                <w:szCs w:val="24"/>
              </w:rPr>
              <w:t>7.数据统计和分析：对提案、建议、意见等数据进行统计和分析。</w:t>
            </w:r>
          </w:p>
          <w:p>
            <w:pPr>
              <w:spacing w:line="360" w:lineRule="auto"/>
              <w:rPr>
                <w:rFonts w:hint="eastAsia" w:ascii="仿宋" w:hAnsi="仿宋" w:eastAsia="仿宋" w:cs="仿宋"/>
                <w:sz w:val="24"/>
                <w:szCs w:val="24"/>
              </w:rPr>
            </w:pPr>
            <w:r>
              <w:rPr>
                <w:rFonts w:hint="eastAsia" w:ascii="仿宋" w:hAnsi="仿宋" w:eastAsia="仿宋" w:cs="仿宋"/>
                <w:sz w:val="24"/>
                <w:szCs w:val="24"/>
              </w:rPr>
              <w:t>8.通知和提醒：向委员发送通知和提醒。</w:t>
            </w:r>
          </w:p>
          <w:p>
            <w:pPr>
              <w:numPr>
                <w:ilvl w:val="0"/>
                <w:numId w:val="0"/>
              </w:numPr>
              <w:spacing w:line="360" w:lineRule="auto"/>
              <w:rPr>
                <w:rFonts w:hint="eastAsia" w:ascii="仿宋" w:hAnsi="仿宋" w:eastAsia="仿宋" w:cs="仿宋"/>
                <w:i w:val="0"/>
                <w:iCs w:val="0"/>
                <w:color w:val="000000"/>
                <w:sz w:val="24"/>
                <w:szCs w:val="24"/>
                <w:u w:val="none"/>
              </w:rPr>
            </w:pPr>
            <w:r>
              <w:rPr>
                <w:rFonts w:hint="eastAsia" w:ascii="仿宋" w:hAnsi="仿宋" w:eastAsia="仿宋" w:cs="仿宋"/>
                <w:sz w:val="24"/>
                <w:szCs w:val="24"/>
                <w:lang w:val="en-US" w:eastAsia="zh-CN"/>
              </w:rPr>
              <w:t>9.</w:t>
            </w:r>
            <w:r>
              <w:rPr>
                <w:rFonts w:hint="eastAsia" w:ascii="仿宋" w:hAnsi="仿宋" w:eastAsia="仿宋" w:cs="仿宋"/>
                <w:sz w:val="24"/>
                <w:szCs w:val="24"/>
              </w:rPr>
              <w:t>安全和权限管理：提供不同角色和权限的管理。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通知接收</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联名确认</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社情民意</w:t>
            </w:r>
          </w:p>
        </w:tc>
        <w:tc>
          <w:tcPr>
            <w:tcW w:w="3160" w:type="pct"/>
            <w:vMerge w:val="continue"/>
            <w:tcBorders>
              <w:left w:val="single" w:color="auto" w:sz="4" w:space="0"/>
              <w:bottom w:val="single" w:color="000000" w:sz="8"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4"/>
                <w:szCs w:val="24"/>
                <w:u w:val="none"/>
              </w:rPr>
            </w:pPr>
            <w:r>
              <w:rPr>
                <w:rStyle w:val="81"/>
                <w:rFonts w:hint="eastAsia" w:ascii="仿宋" w:hAnsi="仿宋" w:eastAsia="仿宋" w:cs="仿宋"/>
                <w:b w:val="0"/>
                <w:bCs w:val="0"/>
                <w:sz w:val="24"/>
                <w:szCs w:val="24"/>
                <w:lang w:val="en-US" w:eastAsia="zh-CN" w:bidi="ar"/>
              </w:rPr>
              <w:t>提案管理子系统</w:t>
            </w: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提案管理</w:t>
            </w:r>
          </w:p>
        </w:tc>
        <w:tc>
          <w:tcPr>
            <w:tcW w:w="3160" w:type="pct"/>
            <w:vMerge w:val="restart"/>
            <w:tcBorders>
              <w:top w:val="nil"/>
              <w:left w:val="single" w:color="auto" w:sz="4" w:space="0"/>
              <w:right w:val="single" w:color="000000" w:sz="8" w:space="0"/>
            </w:tcBorders>
            <w:noWrap w:val="0"/>
            <w:vAlign w:val="top"/>
          </w:tcPr>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1.提案提交：在线提交提案，填写必要的信息。</w:t>
            </w:r>
          </w:p>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2.提案承办：将提交的提案进行分派和承办。</w:t>
            </w:r>
          </w:p>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3.提案流转：记录和管理提案的流转过程。</w:t>
            </w:r>
          </w:p>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4.提案审核：负责提案办理的单位和人员可以对提案进行审核和评估。</w:t>
            </w:r>
          </w:p>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5.提案办理：提供办理提案的各种工具和资源。</w:t>
            </w:r>
          </w:p>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6.存档和查询：将提案的信息和文档进行存档，提供查询和检索功能。</w:t>
            </w:r>
          </w:p>
          <w:p>
            <w:pPr>
              <w:widowControl w:val="0"/>
              <w:numPr>
                <w:ilvl w:val="0"/>
                <w:numId w:val="0"/>
              </w:numPr>
              <w:spacing w:line="360" w:lineRule="auto"/>
              <w:jc w:val="both"/>
              <w:rPr>
                <w:rFonts w:hint="eastAsia" w:ascii="仿宋" w:hAnsi="仿宋" w:eastAsia="仿宋" w:cs="仿宋"/>
                <w:i w:val="0"/>
                <w:iCs w:val="0"/>
                <w:color w:val="000000"/>
                <w:sz w:val="24"/>
                <w:szCs w:val="24"/>
                <w:u w:val="none"/>
              </w:rPr>
            </w:pPr>
            <w:r>
              <w:rPr>
                <w:rFonts w:hint="eastAsia" w:ascii="仿宋" w:hAnsi="仿宋" w:eastAsia="仿宋" w:cs="仿宋"/>
                <w:sz w:val="24"/>
                <w:szCs w:val="24"/>
                <w:lang w:val="en-US" w:eastAsia="zh-CN"/>
              </w:rPr>
              <w:t>7.统计和报表：对提案进行统计和报表生成。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提案操作</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提案审核</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移交督办单位</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承办答复展示</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并案管理</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联名管理</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委员管理</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团体管理</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提案公开</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统计分析</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通知公告及政协相关文件展示</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系统配置</w:t>
            </w:r>
          </w:p>
        </w:tc>
        <w:tc>
          <w:tcPr>
            <w:tcW w:w="3160" w:type="pct"/>
            <w:vMerge w:val="continue"/>
            <w:tcBorders>
              <w:left w:val="single" w:color="auto" w:sz="4" w:space="0"/>
              <w:bottom w:val="single" w:color="000000" w:sz="8"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812" w:type="pct"/>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center"/>
              <w:textAlignment w:val="top"/>
              <w:rPr>
                <w:rFonts w:hint="eastAsia" w:ascii="仿宋" w:hAnsi="仿宋" w:eastAsia="仿宋" w:cs="仿宋"/>
                <w:b w:val="0"/>
                <w:bCs w:val="0"/>
                <w:i w:val="0"/>
                <w:iCs w:val="0"/>
                <w:color w:val="000000"/>
                <w:sz w:val="24"/>
                <w:szCs w:val="24"/>
                <w:u w:val="none"/>
              </w:rPr>
            </w:pPr>
            <w:r>
              <w:rPr>
                <w:rStyle w:val="81"/>
                <w:rFonts w:hint="eastAsia" w:ascii="仿宋" w:hAnsi="仿宋" w:eastAsia="仿宋" w:cs="仿宋"/>
                <w:b w:val="0"/>
                <w:bCs w:val="0"/>
                <w:sz w:val="24"/>
                <w:szCs w:val="24"/>
                <w:lang w:val="en-US" w:eastAsia="zh-CN" w:bidi="ar"/>
              </w:rPr>
              <w:t>交办（督办）单位管理子系统</w:t>
            </w: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确定主承办单位和会办单位</w:t>
            </w:r>
          </w:p>
        </w:tc>
        <w:tc>
          <w:tcPr>
            <w:tcW w:w="3160" w:type="pct"/>
            <w:vMerge w:val="restart"/>
            <w:tcBorders>
              <w:top w:val="nil"/>
              <w:left w:val="single" w:color="auto" w:sz="4" w:space="0"/>
              <w:right w:val="single" w:color="000000" w:sz="8" w:space="0"/>
            </w:tcBorders>
            <w:noWrap w:val="0"/>
            <w:vAlign w:val="top"/>
          </w:tcPr>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1.任务分派：将交办任务分派给各个交办单位。</w:t>
            </w:r>
          </w:p>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2.任务办理：对接收到的交办任务进行具体办理。</w:t>
            </w:r>
          </w:p>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3.任务流转：记录和管理交办任务的流转过程。</w:t>
            </w:r>
          </w:p>
          <w:p>
            <w:pPr>
              <w:widowControl w:val="0"/>
              <w:numPr>
                <w:ilvl w:val="0"/>
                <w:numId w:val="0"/>
              </w:numPr>
              <w:spacing w:line="360" w:lineRule="auto"/>
              <w:jc w:val="both"/>
              <w:rPr>
                <w:rFonts w:hint="eastAsia" w:ascii="仿宋" w:hAnsi="仿宋" w:eastAsia="仿宋" w:cs="仿宋"/>
                <w:i w:val="0"/>
                <w:iCs w:val="0"/>
                <w:color w:val="000000"/>
                <w:sz w:val="24"/>
                <w:szCs w:val="24"/>
                <w:u w:val="none"/>
              </w:rPr>
            </w:pPr>
            <w:r>
              <w:rPr>
                <w:rFonts w:hint="eastAsia" w:ascii="仿宋" w:hAnsi="仿宋" w:eastAsia="仿宋" w:cs="仿宋"/>
                <w:sz w:val="24"/>
                <w:szCs w:val="24"/>
                <w:lang w:val="en-US" w:eastAsia="zh-CN"/>
              </w:rPr>
              <w:t>4.数据统计和报表：对交办任务进行统计和生成报表。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填写办理意见</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提案交办到承办单位</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承办单位结果答复</w:t>
            </w:r>
          </w:p>
        </w:tc>
        <w:tc>
          <w:tcPr>
            <w:tcW w:w="3160" w:type="pct"/>
            <w:vMerge w:val="continue"/>
            <w:tcBorders>
              <w:left w:val="single" w:color="auto" w:sz="4" w:space="0"/>
              <w:bottom w:val="single" w:color="000000" w:sz="8"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81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4"/>
                <w:szCs w:val="24"/>
                <w:u w:val="none"/>
              </w:rPr>
            </w:pPr>
            <w:r>
              <w:rPr>
                <w:rStyle w:val="81"/>
                <w:rFonts w:hint="eastAsia" w:ascii="仿宋" w:hAnsi="仿宋" w:eastAsia="仿宋" w:cs="仿宋"/>
                <w:b w:val="0"/>
                <w:bCs w:val="0"/>
                <w:sz w:val="24"/>
                <w:szCs w:val="24"/>
                <w:lang w:val="en-US" w:eastAsia="zh-CN" w:bidi="ar"/>
              </w:rPr>
              <w:t>承办单位管理子系统</w:t>
            </w: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接收交办单位交办提案</w:t>
            </w:r>
          </w:p>
        </w:tc>
        <w:tc>
          <w:tcPr>
            <w:tcW w:w="3160" w:type="pct"/>
            <w:vMerge w:val="restart"/>
            <w:tcBorders>
              <w:top w:val="nil"/>
              <w:left w:val="single" w:color="auto" w:sz="4" w:space="0"/>
              <w:right w:val="single" w:color="000000" w:sz="8" w:space="0"/>
            </w:tcBorders>
            <w:noWrap w:val="0"/>
            <w:vAlign w:val="top"/>
          </w:tcPr>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1.任务分派：分派任务给各个承办单位。</w:t>
            </w:r>
          </w:p>
          <w:p>
            <w:pPr>
              <w:widowControl w:val="0"/>
              <w:numPr>
                <w:ilvl w:val="0"/>
                <w:numId w:val="0"/>
              </w:numPr>
              <w:spacing w:line="360" w:lineRule="auto"/>
              <w:jc w:val="both"/>
              <w:rPr>
                <w:rFonts w:hint="eastAsia" w:ascii="仿宋" w:hAnsi="仿宋" w:eastAsia="仿宋" w:cs="仿宋"/>
                <w:i w:val="0"/>
                <w:iCs w:val="0"/>
                <w:color w:val="000000"/>
                <w:sz w:val="24"/>
                <w:szCs w:val="24"/>
                <w:u w:val="none"/>
              </w:rPr>
            </w:pPr>
            <w:r>
              <w:rPr>
                <w:rFonts w:hint="eastAsia" w:ascii="仿宋" w:hAnsi="仿宋" w:eastAsia="仿宋" w:cs="仿宋"/>
                <w:sz w:val="24"/>
                <w:szCs w:val="24"/>
                <w:lang w:val="en-US" w:eastAsia="zh-CN"/>
              </w:rPr>
              <w:t>2.任务接收与响应：承办单位收到任务分派后，可以在APP中确认接收任务，并提供相应的响应和承办。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办理结果在线答复</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办理结果查看及处理</w:t>
            </w:r>
          </w:p>
        </w:tc>
        <w:tc>
          <w:tcPr>
            <w:tcW w:w="3160" w:type="pct"/>
            <w:vMerge w:val="continue"/>
            <w:tcBorders>
              <w:left w:val="single" w:color="auto" w:sz="4" w:space="0"/>
              <w:bottom w:val="single" w:color="000000" w:sz="8"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center"/>
              <w:textAlignment w:val="top"/>
              <w:rPr>
                <w:rFonts w:hint="eastAsia" w:ascii="仿宋" w:hAnsi="仿宋" w:eastAsia="仿宋" w:cs="仿宋"/>
                <w:b w:val="0"/>
                <w:bCs w:val="0"/>
                <w:i w:val="0"/>
                <w:iCs w:val="0"/>
                <w:color w:val="000000"/>
                <w:sz w:val="24"/>
                <w:szCs w:val="24"/>
                <w:u w:val="none"/>
              </w:rPr>
            </w:pPr>
            <w:r>
              <w:rPr>
                <w:rStyle w:val="81"/>
                <w:rFonts w:hint="eastAsia" w:ascii="仿宋" w:hAnsi="仿宋" w:eastAsia="仿宋" w:cs="仿宋"/>
                <w:b w:val="0"/>
                <w:bCs w:val="0"/>
                <w:sz w:val="24"/>
                <w:szCs w:val="24"/>
                <w:lang w:val="en-US" w:eastAsia="zh-CN" w:bidi="ar"/>
              </w:rPr>
              <w:t>社情民意管理子系统</w:t>
            </w: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1"/>
                <w:rFonts w:hint="eastAsia" w:ascii="仿宋" w:hAnsi="仿宋" w:eastAsia="仿宋" w:cs="仿宋"/>
                <w:b w:val="0"/>
                <w:bCs w:val="0"/>
                <w:sz w:val="24"/>
                <w:szCs w:val="24"/>
                <w:lang w:val="en-US" w:eastAsia="zh-CN" w:bidi="ar"/>
              </w:rPr>
              <w:t>社情民意列表</w:t>
            </w:r>
          </w:p>
        </w:tc>
        <w:tc>
          <w:tcPr>
            <w:tcW w:w="3160" w:type="pct"/>
            <w:vMerge w:val="restart"/>
            <w:tcBorders>
              <w:top w:val="nil"/>
              <w:left w:val="single" w:color="auto" w:sz="4" w:space="0"/>
              <w:right w:val="single" w:color="000000" w:sz="8" w:space="0"/>
            </w:tcBorders>
            <w:noWrap w:val="0"/>
            <w:vAlign w:val="top"/>
          </w:tcPr>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1.意见反馈：提供民众能够提交和反馈意见、建议、投诉或举报的途径。</w:t>
            </w:r>
          </w:p>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2.数据收集和分析：实现对社情民意的收集、整理和分析。</w:t>
            </w:r>
          </w:p>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3.信访处理：管理和处理收到的信访件。</w:t>
            </w:r>
          </w:p>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4.调查和问卷：支持通过在线问卷或调查来获取更大范围、更广泛的民意信息。</w:t>
            </w:r>
          </w:p>
          <w:p>
            <w:pPr>
              <w:widowControl w:val="0"/>
              <w:numPr>
                <w:ilvl w:val="0"/>
                <w:numId w:val="0"/>
              </w:num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5.呈批议事：支持对收集到的社情民意进行评议和讨论。</w:t>
            </w:r>
          </w:p>
          <w:p>
            <w:pPr>
              <w:widowControl w:val="0"/>
              <w:numPr>
                <w:ilvl w:val="0"/>
                <w:numId w:val="0"/>
              </w:numPr>
              <w:spacing w:line="360" w:lineRule="auto"/>
              <w:jc w:val="both"/>
              <w:rPr>
                <w:rFonts w:hint="eastAsia" w:ascii="仿宋" w:hAnsi="仿宋" w:eastAsia="仿宋" w:cs="仿宋"/>
                <w:i w:val="0"/>
                <w:iCs w:val="0"/>
                <w:color w:val="000000"/>
                <w:sz w:val="24"/>
                <w:szCs w:val="24"/>
                <w:u w:val="none"/>
              </w:rPr>
            </w:pPr>
            <w:r>
              <w:rPr>
                <w:rFonts w:hint="eastAsia" w:ascii="仿宋" w:hAnsi="仿宋" w:eastAsia="仿宋" w:cs="仿宋"/>
                <w:sz w:val="24"/>
                <w:szCs w:val="24"/>
                <w:lang w:val="en-US" w:eastAsia="zh-CN"/>
              </w:rPr>
              <w:t>6.信息公开：提供相关信息的公开渠道等。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提案转办</w:t>
            </w:r>
          </w:p>
        </w:tc>
        <w:tc>
          <w:tcPr>
            <w:tcW w:w="3160" w:type="pct"/>
            <w:vMerge w:val="continue"/>
            <w:tcBorders>
              <w:left w:val="single" w:color="auto" w:sz="4"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812" w:type="pct"/>
            <w:vMerge w:val="continue"/>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val="0"/>
                <w:bCs w:val="0"/>
                <w:i w:val="0"/>
                <w:iCs w:val="0"/>
                <w:color w:val="000000"/>
                <w:sz w:val="24"/>
                <w:szCs w:val="24"/>
                <w:u w:val="none"/>
              </w:rPr>
            </w:pPr>
          </w:p>
        </w:tc>
        <w:tc>
          <w:tcPr>
            <w:tcW w:w="1027"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b w:val="0"/>
                <w:bCs w:val="0"/>
                <w:i w:val="0"/>
                <w:iCs w:val="0"/>
                <w:color w:val="000000"/>
                <w:sz w:val="24"/>
                <w:szCs w:val="24"/>
                <w:u w:val="none"/>
              </w:rPr>
            </w:pPr>
            <w:r>
              <w:rPr>
                <w:rStyle w:val="180"/>
                <w:rFonts w:hint="eastAsia" w:ascii="仿宋" w:hAnsi="仿宋" w:eastAsia="仿宋" w:cs="仿宋"/>
                <w:b w:val="0"/>
                <w:bCs w:val="0"/>
                <w:sz w:val="24"/>
                <w:szCs w:val="24"/>
                <w:lang w:val="en-US" w:eastAsia="zh-CN" w:bidi="ar"/>
              </w:rPr>
              <w:t>承办答复</w:t>
            </w:r>
          </w:p>
        </w:tc>
        <w:tc>
          <w:tcPr>
            <w:tcW w:w="3160" w:type="pct"/>
            <w:vMerge w:val="continue"/>
            <w:tcBorders>
              <w:left w:val="single" w:color="auto" w:sz="4" w:space="0"/>
              <w:bottom w:val="single" w:color="000000" w:sz="8" w:space="0"/>
              <w:right w:val="single" w:color="000000" w:sz="8" w:space="0"/>
            </w:tcBorders>
            <w:noWrap w:val="0"/>
            <w:vAlign w:val="top"/>
          </w:tcPr>
          <w:p>
            <w:pPr>
              <w:keepNext w:val="0"/>
              <w:keepLines w:val="0"/>
              <w:widowControl/>
              <w:suppressLineNumbers w:val="0"/>
              <w:spacing w:line="360" w:lineRule="auto"/>
              <w:jc w:val="both"/>
              <w:textAlignment w:val="top"/>
              <w:rPr>
                <w:rFonts w:hint="eastAsia" w:ascii="仿宋" w:hAnsi="仿宋" w:eastAsia="仿宋" w:cs="仿宋"/>
                <w:i w:val="0"/>
                <w:iCs w:val="0"/>
                <w:color w:val="000000"/>
                <w:sz w:val="24"/>
                <w:szCs w:val="24"/>
                <w:u w:val="none"/>
              </w:rPr>
            </w:pPr>
          </w:p>
        </w:tc>
      </w:tr>
    </w:tbl>
    <w:p>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pPr>
        <w:pStyle w:val="2"/>
        <w:bidi w:val="0"/>
        <w:rPr>
          <w:rFonts w:hint="eastAsia" w:ascii="仿宋" w:hAnsi="仿宋" w:eastAsia="仿宋" w:cs="仿宋"/>
          <w:highlight w:val="none"/>
          <w:lang w:val="en-US" w:eastAsia="zh-CN"/>
        </w:rPr>
      </w:pPr>
      <w:r>
        <w:rPr>
          <w:rFonts w:hint="eastAsia" w:ascii="仿宋" w:hAnsi="仿宋" w:eastAsia="仿宋" w:cs="仿宋"/>
          <w:highlight w:val="none"/>
          <w:lang w:val="en-US" w:eastAsia="zh-CN"/>
        </w:rPr>
        <w:t>第六章 评标办法</w:t>
      </w:r>
      <w:bookmarkEnd w:id="202"/>
      <w:bookmarkEnd w:id="203"/>
      <w:bookmarkEnd w:id="204"/>
      <w:bookmarkEnd w:id="205"/>
    </w:p>
    <w:p>
      <w:pPr>
        <w:pStyle w:val="3"/>
        <w:bidi w:val="0"/>
        <w:rPr>
          <w:rFonts w:hint="eastAsia" w:ascii="仿宋" w:hAnsi="仿宋" w:eastAsia="仿宋" w:cs="仿宋"/>
          <w:highlight w:val="none"/>
        </w:rPr>
      </w:pPr>
      <w:bookmarkStart w:id="207" w:name="_Toc27320"/>
      <w:bookmarkStart w:id="208" w:name="_Toc10051"/>
      <w:bookmarkStart w:id="209" w:name="_Toc27869"/>
      <w:bookmarkStart w:id="210" w:name="_Toc8742"/>
      <w:bookmarkStart w:id="211" w:name="_Toc28843"/>
      <w:bookmarkStart w:id="212" w:name="_Toc8127"/>
      <w:bookmarkStart w:id="213" w:name="_Toc24206"/>
      <w:bookmarkStart w:id="214" w:name="_Toc6303"/>
      <w:bookmarkStart w:id="215" w:name="_Toc21605"/>
      <w:bookmarkStart w:id="216" w:name="_Toc29490"/>
      <w:bookmarkStart w:id="217" w:name="_Toc10389"/>
      <w:bookmarkStart w:id="218" w:name="_Toc8617"/>
      <w:bookmarkStart w:id="219" w:name="_Toc12396"/>
      <w:bookmarkStart w:id="220" w:name="_Toc11624"/>
      <w:bookmarkStart w:id="221" w:name="_Toc24998"/>
      <w:bookmarkStart w:id="222" w:name="_Toc31364"/>
      <w:bookmarkStart w:id="223" w:name="_Toc15178"/>
      <w:bookmarkStart w:id="224" w:name="_Toc580"/>
      <w:bookmarkStart w:id="225" w:name="_Toc13236"/>
      <w:bookmarkStart w:id="226" w:name="_Toc27296"/>
      <w:bookmarkStart w:id="227" w:name="_Toc6327"/>
      <w:bookmarkStart w:id="228" w:name="_Toc9917"/>
      <w:bookmarkStart w:id="229" w:name="_Toc753"/>
      <w:bookmarkStart w:id="230" w:name="_Toc12968"/>
      <w:bookmarkStart w:id="231" w:name="_Toc30418"/>
      <w:bookmarkStart w:id="232" w:name="_Toc4221"/>
      <w:bookmarkStart w:id="233" w:name="_Toc13871"/>
      <w:bookmarkStart w:id="234" w:name="_Toc31644"/>
      <w:bookmarkStart w:id="235" w:name="_Toc20094"/>
      <w:bookmarkStart w:id="236" w:name="_Toc23576"/>
      <w:bookmarkStart w:id="237" w:name="_Toc9938"/>
      <w:r>
        <w:rPr>
          <w:rFonts w:hint="eastAsia" w:ascii="仿宋" w:hAnsi="仿宋" w:eastAsia="仿宋" w:cs="仿宋"/>
          <w:highlight w:val="none"/>
        </w:rPr>
        <w:t>一</w:t>
      </w:r>
      <w:r>
        <w:rPr>
          <w:rFonts w:hint="eastAsia" w:ascii="仿宋" w:hAnsi="仿宋" w:eastAsia="仿宋" w:cs="仿宋"/>
          <w:highlight w:val="none"/>
          <w:lang w:eastAsia="zh-CN"/>
        </w:rPr>
        <w:t>、</w:t>
      </w:r>
      <w:r>
        <w:rPr>
          <w:rFonts w:hint="eastAsia" w:ascii="仿宋" w:hAnsi="仿宋" w:eastAsia="仿宋" w:cs="仿宋"/>
          <w:highlight w:val="none"/>
        </w:rPr>
        <w:t>评审方法</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按照</w:t>
      </w:r>
      <w:r>
        <w:rPr>
          <w:rFonts w:hint="eastAsia" w:ascii="仿宋" w:hAnsi="仿宋" w:eastAsia="仿宋" w:cs="仿宋"/>
          <w:color w:val="auto"/>
          <w:sz w:val="24"/>
          <w:szCs w:val="24"/>
          <w:highlight w:val="none"/>
        </w:rPr>
        <w:t>中华人民共和国</w:t>
      </w:r>
      <w:r>
        <w:rPr>
          <w:rFonts w:hint="eastAsia" w:ascii="仿宋" w:hAnsi="仿宋" w:eastAsia="仿宋" w:cs="仿宋"/>
          <w:color w:val="auto"/>
          <w:sz w:val="24"/>
          <w:szCs w:val="24"/>
          <w:highlight w:val="none"/>
          <w:lang w:eastAsia="zh-CN"/>
        </w:rPr>
        <w:t>财政部</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财库〔2014〕214号印发《政府采购竞争性磋商采购方式管理暂行办法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pacing w:val="4"/>
          <w:sz w:val="24"/>
          <w:szCs w:val="24"/>
          <w:highlight w:val="none"/>
        </w:rPr>
        <w:t>的规定，本次评审采用</w:t>
      </w:r>
      <w:r>
        <w:rPr>
          <w:rFonts w:hint="eastAsia" w:ascii="仿宋" w:hAnsi="仿宋" w:eastAsia="仿宋" w:cs="仿宋"/>
          <w:color w:val="auto"/>
          <w:spacing w:val="4"/>
          <w:sz w:val="24"/>
          <w:szCs w:val="24"/>
          <w:highlight w:val="none"/>
          <w:lang w:eastAsia="zh-CN"/>
        </w:rPr>
        <w:t>综合评分</w:t>
      </w:r>
      <w:r>
        <w:rPr>
          <w:rFonts w:hint="eastAsia" w:ascii="仿宋" w:hAnsi="仿宋" w:eastAsia="仿宋" w:cs="仿宋"/>
          <w:color w:val="auto"/>
          <w:spacing w:val="4"/>
          <w:sz w:val="24"/>
          <w:szCs w:val="24"/>
          <w:highlight w:val="none"/>
        </w:rPr>
        <w:t>法，</w:t>
      </w:r>
      <w:r>
        <w:rPr>
          <w:rFonts w:hint="eastAsia" w:ascii="仿宋" w:hAnsi="仿宋" w:eastAsia="仿宋" w:cs="仿宋"/>
          <w:color w:val="auto"/>
          <w:sz w:val="24"/>
          <w:szCs w:val="24"/>
          <w:highlight w:val="none"/>
        </w:rPr>
        <w:t>即</w:t>
      </w:r>
      <w:r>
        <w:rPr>
          <w:rFonts w:hint="eastAsia" w:ascii="仿宋" w:hAnsi="仿宋" w:eastAsia="仿宋" w:cs="仿宋"/>
          <w:color w:val="auto"/>
          <w:szCs w:val="24"/>
          <w:highlight w:val="none"/>
        </w:rPr>
        <w:t>从质量和服务均能满足</w:t>
      </w:r>
      <w:r>
        <w:rPr>
          <w:rFonts w:hint="eastAsia" w:ascii="仿宋" w:hAnsi="仿宋" w:eastAsia="仿宋" w:cs="仿宋"/>
          <w:color w:val="auto"/>
          <w:sz w:val="24"/>
          <w:szCs w:val="24"/>
          <w:highlight w:val="none"/>
        </w:rPr>
        <w:t>磋商文件实质性要求前提下的所有磋商响应文件按照磋商文件中规定的各项因素进行综合评标后，以评标总得分由高到低推荐成交候选人。</w:t>
      </w:r>
    </w:p>
    <w:p>
      <w:pPr>
        <w:pStyle w:val="3"/>
        <w:bidi w:val="0"/>
        <w:rPr>
          <w:rFonts w:hint="eastAsia" w:ascii="仿宋" w:hAnsi="仿宋" w:eastAsia="仿宋" w:cs="仿宋"/>
          <w:highlight w:val="none"/>
        </w:rPr>
      </w:pPr>
      <w:bookmarkStart w:id="238" w:name="_Toc25331"/>
      <w:bookmarkStart w:id="239" w:name="_Toc15370"/>
      <w:bookmarkStart w:id="240" w:name="_Toc23937"/>
      <w:bookmarkStart w:id="241" w:name="_Toc26518"/>
      <w:bookmarkStart w:id="242" w:name="_Toc17489"/>
      <w:bookmarkStart w:id="243" w:name="_Toc19473"/>
      <w:bookmarkStart w:id="244" w:name="_Toc15696"/>
      <w:bookmarkStart w:id="245" w:name="_Toc26060"/>
      <w:bookmarkStart w:id="246" w:name="_Toc6439"/>
      <w:bookmarkStart w:id="247" w:name="_Toc10276"/>
      <w:bookmarkStart w:id="248" w:name="_Toc7975"/>
      <w:bookmarkStart w:id="249" w:name="_Toc370906270"/>
      <w:bookmarkStart w:id="250" w:name="_Toc14522"/>
      <w:bookmarkStart w:id="251" w:name="_Toc20632"/>
      <w:bookmarkStart w:id="252" w:name="_Toc24523"/>
      <w:bookmarkStart w:id="253" w:name="_Toc20558"/>
      <w:bookmarkStart w:id="254" w:name="_Toc11349"/>
      <w:bookmarkStart w:id="255" w:name="_Toc3738"/>
      <w:bookmarkStart w:id="256" w:name="_Toc30908"/>
      <w:bookmarkStart w:id="257" w:name="_Toc15882"/>
      <w:bookmarkStart w:id="258" w:name="_Toc24521"/>
      <w:bookmarkStart w:id="259" w:name="_Toc20582"/>
      <w:bookmarkStart w:id="260" w:name="_Toc5302"/>
      <w:bookmarkStart w:id="261" w:name="_Toc1644"/>
      <w:bookmarkStart w:id="262" w:name="_Toc6931"/>
      <w:bookmarkStart w:id="263" w:name="_Toc23471"/>
      <w:bookmarkStart w:id="264" w:name="_Toc20982"/>
      <w:bookmarkStart w:id="265" w:name="_Toc22385"/>
      <w:bookmarkStart w:id="266" w:name="_Toc15585"/>
      <w:bookmarkStart w:id="267" w:name="_Toc16337"/>
      <w:bookmarkStart w:id="268" w:name="_Toc12343"/>
      <w:bookmarkStart w:id="269" w:name="_Toc20120"/>
      <w:r>
        <w:rPr>
          <w:rFonts w:hint="eastAsia" w:ascii="仿宋" w:hAnsi="仿宋" w:eastAsia="仿宋" w:cs="仿宋"/>
          <w:highlight w:val="none"/>
        </w:rPr>
        <w:t>二</w:t>
      </w:r>
      <w:r>
        <w:rPr>
          <w:rFonts w:hint="eastAsia" w:ascii="仿宋" w:hAnsi="仿宋" w:eastAsia="仿宋" w:cs="仿宋"/>
          <w:highlight w:val="none"/>
          <w:lang w:eastAsia="zh-CN"/>
        </w:rPr>
        <w:t>、</w:t>
      </w:r>
      <w:r>
        <w:rPr>
          <w:rFonts w:hint="eastAsia" w:ascii="仿宋" w:hAnsi="仿宋" w:eastAsia="仿宋" w:cs="仿宋"/>
          <w:highlight w:val="none"/>
        </w:rPr>
        <w:t>评审程序</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pStyle w:val="21"/>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44"/>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按照</w:t>
      </w:r>
      <w:r>
        <w:rPr>
          <w:rFonts w:hint="eastAsia" w:ascii="仿宋" w:hAnsi="仿宋" w:eastAsia="仿宋" w:cs="仿宋"/>
          <w:color w:val="auto"/>
          <w:sz w:val="24"/>
          <w:szCs w:val="24"/>
          <w:highlight w:val="none"/>
          <w:lang w:eastAsia="zh-CN"/>
        </w:rPr>
        <w:t>资审、符合性审查</w:t>
      </w:r>
      <w:r>
        <w:rPr>
          <w:rFonts w:hint="eastAsia" w:ascii="仿宋" w:hAnsi="仿宋" w:eastAsia="仿宋" w:cs="仿宋"/>
          <w:color w:val="auto"/>
          <w:sz w:val="24"/>
          <w:szCs w:val="24"/>
          <w:highlight w:val="none"/>
        </w:rPr>
        <w:t>、</w:t>
      </w:r>
      <w:r>
        <w:rPr>
          <w:rFonts w:hint="eastAsia" w:ascii="仿宋" w:hAnsi="仿宋" w:eastAsia="仿宋" w:cs="仿宋"/>
          <w:color w:val="auto"/>
          <w:spacing w:val="4"/>
          <w:kern w:val="2"/>
          <w:sz w:val="24"/>
          <w:szCs w:val="24"/>
          <w:highlight w:val="none"/>
          <w:lang w:val="en-US" w:eastAsia="zh-CN" w:bidi="ar"/>
        </w:rPr>
        <w:t>澄清有关问题、比较与评价、推荐成交候选人名单</w:t>
      </w:r>
      <w:r>
        <w:rPr>
          <w:rFonts w:hint="eastAsia" w:ascii="仿宋" w:hAnsi="仿宋" w:eastAsia="仿宋" w:cs="仿宋"/>
          <w:color w:val="auto"/>
          <w:sz w:val="24"/>
          <w:szCs w:val="24"/>
          <w:highlight w:val="none"/>
        </w:rPr>
        <w:t>进行评审。在上一步评审中被废标者，不进入下一步的评审。</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采购人对各个供应商的响应文件先进行资格审查，磋商小组再进行符合性审查，审查全都合格的供应商才有参加磋商与承诺的资格。</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1.1资格审查内容为：供应商须知前附表（供应商资质证明文件）</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Cs w:val="24"/>
          <w:highlight w:val="none"/>
        </w:rPr>
      </w:pPr>
      <w:r>
        <w:rPr>
          <w:rFonts w:hint="eastAsia" w:ascii="仿宋" w:hAnsi="仿宋" w:eastAsia="仿宋" w:cs="仿宋"/>
          <w:b w:val="0"/>
          <w:bCs w:val="0"/>
          <w:color w:val="auto"/>
          <w:szCs w:val="24"/>
          <w:highlight w:val="none"/>
          <w:lang w:val="en-US" w:eastAsia="zh-CN"/>
        </w:rPr>
        <w:t>2、</w:t>
      </w:r>
      <w:r>
        <w:rPr>
          <w:rFonts w:hint="eastAsia" w:ascii="仿宋" w:hAnsi="仿宋" w:eastAsia="仿宋" w:cs="仿宋"/>
          <w:b w:val="0"/>
          <w:bCs w:val="0"/>
          <w:color w:val="auto"/>
          <w:szCs w:val="24"/>
          <w:highlight w:val="none"/>
        </w:rPr>
        <w:t>符合性审查内容为：</w:t>
      </w:r>
    </w:p>
    <w:tbl>
      <w:tblPr>
        <w:tblStyle w:val="27"/>
        <w:tblW w:w="5000" w:type="pct"/>
        <w:tblInd w:w="0" w:type="dxa"/>
        <w:tblLayout w:type="autofit"/>
        <w:tblCellMar>
          <w:top w:w="0" w:type="dxa"/>
          <w:left w:w="0" w:type="dxa"/>
          <w:bottom w:w="0" w:type="dxa"/>
          <w:right w:w="0" w:type="dxa"/>
        </w:tblCellMar>
      </w:tblPr>
      <w:tblGrid>
        <w:gridCol w:w="770"/>
        <w:gridCol w:w="2833"/>
        <w:gridCol w:w="6152"/>
      </w:tblGrid>
      <w:tr>
        <w:tblPrEx>
          <w:tblCellMar>
            <w:top w:w="0" w:type="dxa"/>
            <w:left w:w="0" w:type="dxa"/>
            <w:bottom w:w="0" w:type="dxa"/>
            <w:right w:w="0" w:type="dxa"/>
          </w:tblCellMar>
        </w:tblPrEx>
        <w:trPr>
          <w:trHeight w:val="90"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符合性评审表</w:t>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"http://www.sxggzyjy.cn:9003/BSTool/epointzbtool_bs/pages/pbprepare/javascript:openEdit('28d24cc4-b1b1-4e0d-84f2-517b7c1d63df')"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fldChar w:fldCharType="end"/>
            </w:r>
          </w:p>
        </w:tc>
      </w:tr>
      <w:tr>
        <w:tblPrEx>
          <w:tblCellMar>
            <w:top w:w="0" w:type="dxa"/>
            <w:left w:w="0" w:type="dxa"/>
            <w:bottom w:w="0" w:type="dxa"/>
            <w:right w:w="0" w:type="dxa"/>
          </w:tblCellMar>
        </w:tblPrEx>
        <w:trPr>
          <w:trHeight w:val="90" w:hRule="atLeast"/>
        </w:trPr>
        <w:tc>
          <w:tcPr>
            <w:tcW w:w="39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14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响应</w:t>
            </w:r>
            <w:r>
              <w:rPr>
                <w:rFonts w:hint="eastAsia" w:ascii="仿宋" w:hAnsi="仿宋" w:eastAsia="仿宋" w:cs="仿宋"/>
                <w:sz w:val="24"/>
                <w:szCs w:val="24"/>
                <w:highlight w:val="none"/>
              </w:rPr>
              <w:t>文件语言</w:t>
            </w:r>
          </w:p>
        </w:tc>
        <w:tc>
          <w:tcPr>
            <w:tcW w:w="31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响应文件语言符合磋商文件要求。</w:t>
            </w:r>
          </w:p>
        </w:tc>
      </w:tr>
      <w:tr>
        <w:tblPrEx>
          <w:tblCellMar>
            <w:top w:w="0" w:type="dxa"/>
            <w:left w:w="0" w:type="dxa"/>
            <w:bottom w:w="0" w:type="dxa"/>
            <w:right w:w="0" w:type="dxa"/>
          </w:tblCellMar>
        </w:tblPrEx>
        <w:trPr>
          <w:trHeight w:val="90" w:hRule="atLeast"/>
        </w:trPr>
        <w:tc>
          <w:tcPr>
            <w:tcW w:w="39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14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响应文件封面、响应函、法定代表人授权委托书三处的项目名称、项目编号、标段号</w:t>
            </w:r>
          </w:p>
        </w:tc>
        <w:tc>
          <w:tcPr>
            <w:tcW w:w="31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三处均无遗漏，且与所投项目名称、项目编号完全一致。</w:t>
            </w:r>
          </w:p>
        </w:tc>
      </w:tr>
      <w:tr>
        <w:tblPrEx>
          <w:tblCellMar>
            <w:top w:w="0" w:type="dxa"/>
            <w:left w:w="0" w:type="dxa"/>
            <w:bottom w:w="0" w:type="dxa"/>
            <w:right w:w="0" w:type="dxa"/>
          </w:tblCellMar>
        </w:tblPrEx>
        <w:trPr>
          <w:trHeight w:val="90" w:hRule="atLeast"/>
        </w:trPr>
        <w:tc>
          <w:tcPr>
            <w:tcW w:w="39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14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响应文件签署、盖章</w:t>
            </w:r>
          </w:p>
        </w:tc>
        <w:tc>
          <w:tcPr>
            <w:tcW w:w="31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均按磋商文件要求签字、盖章（评分标准中要求提供的证明材料除外）。</w:t>
            </w:r>
          </w:p>
        </w:tc>
      </w:tr>
      <w:tr>
        <w:tblPrEx>
          <w:tblCellMar>
            <w:top w:w="0" w:type="dxa"/>
            <w:left w:w="0" w:type="dxa"/>
            <w:bottom w:w="0" w:type="dxa"/>
            <w:right w:w="0" w:type="dxa"/>
          </w:tblCellMar>
        </w:tblPrEx>
        <w:trPr>
          <w:trHeight w:val="90" w:hRule="atLeast"/>
        </w:trPr>
        <w:tc>
          <w:tcPr>
            <w:tcW w:w="39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14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响应</w:t>
            </w:r>
            <w:r>
              <w:rPr>
                <w:rFonts w:hint="eastAsia" w:ascii="仿宋" w:hAnsi="仿宋" w:eastAsia="仿宋" w:cs="仿宋"/>
                <w:sz w:val="24"/>
                <w:szCs w:val="24"/>
                <w:highlight w:val="none"/>
              </w:rPr>
              <w:t>文件组成</w:t>
            </w:r>
          </w:p>
        </w:tc>
        <w:tc>
          <w:tcPr>
            <w:tcW w:w="31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投标文件应包含以下内容：（1）资格证明文件；（2）符合性证明文件；（3）</w:t>
            </w:r>
            <w:r>
              <w:rPr>
                <w:rFonts w:hint="eastAsia" w:ascii="仿宋" w:hAnsi="仿宋" w:eastAsia="仿宋" w:cs="仿宋"/>
                <w:sz w:val="24"/>
                <w:szCs w:val="24"/>
                <w:highlight w:val="none"/>
                <w:lang w:eastAsia="zh-CN"/>
              </w:rPr>
              <w:t>投标</w:t>
            </w:r>
            <w:r>
              <w:rPr>
                <w:rFonts w:hint="eastAsia" w:ascii="仿宋" w:hAnsi="仿宋" w:eastAsia="仿宋" w:cs="仿宋"/>
                <w:sz w:val="24"/>
                <w:szCs w:val="24"/>
                <w:highlight w:val="none"/>
              </w:rPr>
              <w:t>响应方案。</w:t>
            </w:r>
          </w:p>
        </w:tc>
      </w:tr>
      <w:tr>
        <w:tblPrEx>
          <w:tblCellMar>
            <w:top w:w="0" w:type="dxa"/>
            <w:left w:w="0" w:type="dxa"/>
            <w:bottom w:w="0" w:type="dxa"/>
            <w:right w:w="0" w:type="dxa"/>
          </w:tblCellMar>
        </w:tblPrEx>
        <w:trPr>
          <w:trHeight w:val="90" w:hRule="atLeast"/>
        </w:trPr>
        <w:tc>
          <w:tcPr>
            <w:tcW w:w="39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14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投标保证金的有效性</w:t>
            </w:r>
          </w:p>
        </w:tc>
        <w:tc>
          <w:tcPr>
            <w:tcW w:w="31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提交形式符合招标文件要求</w:t>
            </w:r>
          </w:p>
        </w:tc>
      </w:tr>
      <w:tr>
        <w:tblPrEx>
          <w:tblCellMar>
            <w:top w:w="0" w:type="dxa"/>
            <w:left w:w="0" w:type="dxa"/>
            <w:bottom w:w="0" w:type="dxa"/>
            <w:right w:w="0" w:type="dxa"/>
          </w:tblCellMar>
        </w:tblPrEx>
        <w:trPr>
          <w:trHeight w:val="478" w:hRule="atLeast"/>
        </w:trPr>
        <w:tc>
          <w:tcPr>
            <w:tcW w:w="39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14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响应文件有效期</w:t>
            </w:r>
          </w:p>
        </w:tc>
        <w:tc>
          <w:tcPr>
            <w:tcW w:w="31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响应文件有效期符合磋商文件的要求。</w:t>
            </w:r>
          </w:p>
        </w:tc>
      </w:tr>
      <w:tr>
        <w:tblPrEx>
          <w:tblCellMar>
            <w:top w:w="0" w:type="dxa"/>
            <w:left w:w="0" w:type="dxa"/>
            <w:bottom w:w="0" w:type="dxa"/>
            <w:right w:w="0" w:type="dxa"/>
          </w:tblCellMar>
        </w:tblPrEx>
        <w:trPr>
          <w:trHeight w:val="90" w:hRule="atLeast"/>
        </w:trPr>
        <w:tc>
          <w:tcPr>
            <w:tcW w:w="39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c>
          <w:tcPr>
            <w:tcW w:w="14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第一次磋商报价表</w:t>
            </w:r>
          </w:p>
        </w:tc>
        <w:tc>
          <w:tcPr>
            <w:tcW w:w="31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（1）第一次磋商报价表填写符合要求；</w:t>
            </w:r>
          </w:p>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（2）计量单位、报价货币均符合磋商文件要求；</w:t>
            </w:r>
          </w:p>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（3）第一次磋商报价未超出采购预算或磋商文件规定的最高限价。</w:t>
            </w:r>
          </w:p>
        </w:tc>
      </w:tr>
      <w:tr>
        <w:tblPrEx>
          <w:tblCellMar>
            <w:top w:w="0" w:type="dxa"/>
            <w:left w:w="0" w:type="dxa"/>
            <w:bottom w:w="0" w:type="dxa"/>
            <w:right w:w="0" w:type="dxa"/>
          </w:tblCellMar>
        </w:tblPrEx>
        <w:trPr>
          <w:trHeight w:val="90" w:hRule="atLeast"/>
        </w:trPr>
        <w:tc>
          <w:tcPr>
            <w:tcW w:w="39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8</w:t>
            </w:r>
          </w:p>
        </w:tc>
        <w:tc>
          <w:tcPr>
            <w:tcW w:w="14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技术/服务要求</w:t>
            </w:r>
          </w:p>
        </w:tc>
        <w:tc>
          <w:tcPr>
            <w:tcW w:w="31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完全理解并接受对合格供应商、合格的货物、工程或服务要求，技术/服务没有重大偏离和保留。</w:t>
            </w:r>
          </w:p>
        </w:tc>
      </w:tr>
      <w:tr>
        <w:tblPrEx>
          <w:tblCellMar>
            <w:top w:w="0" w:type="dxa"/>
            <w:left w:w="0" w:type="dxa"/>
            <w:bottom w:w="0" w:type="dxa"/>
            <w:right w:w="0" w:type="dxa"/>
          </w:tblCellMar>
        </w:tblPrEx>
        <w:trPr>
          <w:trHeight w:val="90" w:hRule="atLeast"/>
        </w:trPr>
        <w:tc>
          <w:tcPr>
            <w:tcW w:w="39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9</w:t>
            </w:r>
          </w:p>
        </w:tc>
        <w:tc>
          <w:tcPr>
            <w:tcW w:w="14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无其他磋商文件或法规明确规定响应无效的事项</w:t>
            </w:r>
          </w:p>
        </w:tc>
        <w:tc>
          <w:tcPr>
            <w:tcW w:w="31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没有不符合磋商文件规定的被视为无效响应的其他条款</w:t>
            </w:r>
            <w:r>
              <w:rPr>
                <w:rFonts w:hint="eastAsia" w:ascii="仿宋" w:hAnsi="仿宋" w:eastAsia="仿宋" w:cs="仿宋"/>
                <w:sz w:val="24"/>
                <w:szCs w:val="24"/>
                <w:highlight w:val="none"/>
                <w:lang w:eastAsia="zh-CN"/>
              </w:rPr>
              <w:t>。</w:t>
            </w:r>
          </w:p>
        </w:tc>
      </w:tr>
      <w:tr>
        <w:tblPrEx>
          <w:tblCellMar>
            <w:top w:w="0" w:type="dxa"/>
            <w:left w:w="0" w:type="dxa"/>
            <w:bottom w:w="0" w:type="dxa"/>
            <w:right w:w="0" w:type="dxa"/>
          </w:tblCellMar>
        </w:tblPrEx>
        <w:trPr>
          <w:trHeight w:val="90" w:hRule="atLeast"/>
        </w:trPr>
        <w:tc>
          <w:tcPr>
            <w:tcW w:w="39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10</w:t>
            </w:r>
          </w:p>
        </w:tc>
        <w:tc>
          <w:tcPr>
            <w:tcW w:w="14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合同条款</w:t>
            </w:r>
          </w:p>
        </w:tc>
        <w:tc>
          <w:tcPr>
            <w:tcW w:w="31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有完全理解并接受磋商文件合同基本条款要求的描述。</w:t>
            </w:r>
          </w:p>
        </w:tc>
      </w:tr>
    </w:tbl>
    <w:p>
      <w:pPr>
        <w:bidi w:val="0"/>
        <w:rPr>
          <w:rFonts w:hint="eastAsia" w:ascii="仿宋" w:hAnsi="仿宋" w:eastAsia="仿宋" w:cs="仿宋"/>
          <w:highlight w:val="none"/>
          <w:lang w:val="en-US" w:eastAsia="zh-CN"/>
        </w:rPr>
      </w:pP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对响应文件含义不明确、同类问题表述不一致或者有明显文字和计算错误的内容，磋商小组可以要求供应商在规定的时间内做出必要的澄清、说明或者纠正。供应商的澄清、说明或者补正应当采用书面形式，有其授权的代表签字，并不得超出磋商响应文件的范围或者改变响应文件的实质性内容。</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.1澄清文件将作为响应文件的一部分。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.2算术错误将按以下方法更正：</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.2.1响应文件的大写金额和小写金额不一致的，以大写金额为准；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.2.2总价金额与按单价汇总金额不一致的，以单价金额计算结果为准；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.2.3单价金额小数点有明显错位的，应当以总价为准，并修改单价；</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.2.4对不同文字文本磋商响应文件的解释发生异议的，以中文文本为准；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.2.5对于供应商不接受对其错误的更改，其磋商属于无效磋商情形。</w:t>
      </w:r>
    </w:p>
    <w:p>
      <w:pPr>
        <w:pStyle w:val="3"/>
        <w:bidi w:val="0"/>
        <w:rPr>
          <w:rFonts w:hint="eastAsia" w:ascii="仿宋" w:hAnsi="仿宋" w:eastAsia="仿宋" w:cs="仿宋"/>
          <w:highlight w:val="none"/>
          <w:lang w:val="en-US" w:eastAsia="zh-CN"/>
        </w:rPr>
      </w:pPr>
      <w:bookmarkStart w:id="270" w:name="_Toc9480"/>
      <w:r>
        <w:rPr>
          <w:rFonts w:hint="eastAsia" w:ascii="仿宋" w:hAnsi="仿宋" w:eastAsia="仿宋" w:cs="仿宋"/>
          <w:highlight w:val="none"/>
          <w:lang w:val="en-US" w:eastAsia="zh-CN"/>
        </w:rPr>
        <w:t>三、享受的政府采购政策（本项目专门面向中小企业采购项目，不执行以下价格评审优惠的扶持政策）</w:t>
      </w:r>
      <w:bookmarkEnd w:id="270"/>
    </w:p>
    <w:p>
      <w:pPr>
        <w:keepNext w:val="0"/>
        <w:keepLines w:val="0"/>
        <w:pageBreakBefore w:val="0"/>
        <w:widowControl/>
        <w:shd w:val="clear"/>
        <w:kinsoku/>
        <w:wordWrap/>
        <w:overflowPunct/>
        <w:topLinePunct w:val="0"/>
        <w:autoSpaceDE/>
        <w:autoSpaceDN/>
        <w:bidi w:val="0"/>
        <w:adjustRightInd/>
        <w:snapToGrid/>
        <w:spacing w:beforeAutospacing="0" w:line="360" w:lineRule="auto"/>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符合小型、微型企业或监狱企业、残疾人福利性单位条件的，其</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报价价格评审时将按相应比例进行扣减。</w:t>
      </w:r>
    </w:p>
    <w:p>
      <w:pPr>
        <w:widowControl w:val="0"/>
        <w:shd w:val="clear"/>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0"/>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w:t>
      </w:r>
      <w:r>
        <w:rPr>
          <w:rFonts w:hint="eastAsia" w:ascii="仿宋" w:hAnsi="仿宋" w:eastAsia="仿宋" w:cs="仿宋"/>
          <w:snapToGrid/>
          <w:kern w:val="0"/>
          <w:sz w:val="24"/>
          <w:szCs w:val="24"/>
          <w:highlight w:val="none"/>
          <w:shd w:val="clear"/>
          <w:lang w:val="en-US" w:eastAsia="zh-CN" w:bidi="ar-SA"/>
        </w:rPr>
        <w:t>根据《政府采购促进中小企业发展管理办法》（财库【2020】46号）及榆林市财政局关于进一步加大政府采购支持中小企业力度的通知》（榆政财采发〔2022〕10号）的规定中、小、微企业参加投标时对小型和微型企业产品的价格给予20%的扣除，用扣除后的价格参与评审。</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1.2.1</w:t>
      </w:r>
      <w:r>
        <w:rPr>
          <w:rFonts w:hint="eastAsia" w:ascii="仿宋" w:hAnsi="仿宋" w:eastAsia="仿宋" w:cs="仿宋"/>
          <w:color w:val="auto"/>
          <w:sz w:val="24"/>
          <w:szCs w:val="24"/>
          <w:highlight w:val="none"/>
        </w:rPr>
        <w:t>符合中小企业划分标准（中小企业划分标准是指国务院有关部门根据企业从业人员、营业收入、资产总额等指标制定的中小企业划型标准（工信部联企业〔2011〕300号））。</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1.2.2</w:t>
      </w:r>
      <w:r>
        <w:rPr>
          <w:rFonts w:hint="eastAsia" w:ascii="仿宋" w:hAnsi="仿宋" w:eastAsia="仿宋" w:cs="仿宋"/>
          <w:color w:val="auto"/>
          <w:sz w:val="24"/>
          <w:szCs w:val="24"/>
          <w:highlight w:val="none"/>
        </w:rPr>
        <w:t>提供本企业制造的货物、承担的工程或者服务，或者提供其他中小企业制造的货物，不包括提供或使用大型企业注册商标的货物。</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1.2.3</w:t>
      </w:r>
      <w:r>
        <w:rPr>
          <w:rFonts w:hint="eastAsia" w:ascii="仿宋" w:hAnsi="仿宋" w:eastAsia="仿宋" w:cs="仿宋"/>
          <w:color w:val="auto"/>
          <w:sz w:val="24"/>
          <w:szCs w:val="24"/>
          <w:highlight w:val="none"/>
        </w:rPr>
        <w:t>小型、微型企业提供中型企业制造的货物的，视同为中型企业；小型、微型、中型企业提供大型企业制造的货物的，视同为大型企业。</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rPr>
        <w:t>采购人拟采购产品属于优先采购节能环境标志产品范围的，应当优先采购节能环境标志产品，节能产品以财政部国家发展改革委关于调整公布最新一期节能产品政府采购清单所列产品为准。环保产品以财政部环境保护部关于调整公布最新一期环境标志产品政府采购清单所列产品为准。</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1.3.1</w:t>
      </w:r>
      <w:r>
        <w:rPr>
          <w:rFonts w:hint="eastAsia" w:ascii="仿宋" w:hAnsi="仿宋" w:eastAsia="仿宋" w:cs="仿宋"/>
          <w:color w:val="auto"/>
          <w:sz w:val="24"/>
          <w:szCs w:val="24"/>
          <w:highlight w:val="none"/>
        </w:rPr>
        <w:t>“节能产品政府采购清单”：符合政府采购优先采购政策的，所投产品属于“节能产品政府采购清单”中品目的产品，需提供最新一期“节能产品政府采购清单”中</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产品所在清单页并加盖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公章。该清单可在中国政府采购网（</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HYPERLINK "http://www.ccgp.gov.cn/"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http://www.ccgp.gov.cn/</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）上查找。</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“环境标志产品政府采购清单”：所投产品属于“环境标志产品政府采购清单”中品目的产品，需提供最新一期“环境标志产品政府采购清单”中</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产品所在清单页并加盖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公章。该清单可在中国政府采购网（</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HYPERLINK "http://www.ccgp.gov.cn/"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http://www.ccgp.gov.cn/</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）上查找。</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监狱企业参加政府采购活动时，应当提供由省级以上监狱管理局、戒毒管理局(含新疆生产建设兵团)出具的属于监狱企业的证明文件。监狱企业参加政府采购活动时，视同小型、微型企业。</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pPr>
        <w:keepNext w:val="0"/>
        <w:keepLines w:val="0"/>
        <w:pageBreakBefore w:val="0"/>
        <w:widowControl/>
        <w:shd w:val="clear"/>
        <w:kinsoku/>
        <w:wordWrap/>
        <w:overflowPunct/>
        <w:topLinePunct w:val="0"/>
        <w:autoSpaceDE/>
        <w:autoSpaceDN/>
        <w:bidi w:val="0"/>
        <w:adjustRightInd/>
        <w:snapToGrid/>
        <w:spacing w:line="360" w:lineRule="auto"/>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color w:val="auto"/>
          <w:sz w:val="24"/>
          <w:szCs w:val="24"/>
          <w:highlight w:val="none"/>
        </w:rPr>
        <w:t>参加政府采购活动的中小企业/残疾人单位应提供《中小企业声明函》或《残疾人福利性单位声明函》。</w:t>
      </w:r>
    </w:p>
    <w:p>
      <w:pPr>
        <w:pStyle w:val="3"/>
        <w:bidi w:val="0"/>
        <w:rPr>
          <w:rFonts w:hint="eastAsia" w:ascii="仿宋" w:hAnsi="仿宋" w:eastAsia="仿宋" w:cs="仿宋"/>
          <w:highlight w:val="none"/>
        </w:rPr>
      </w:pPr>
      <w:bookmarkStart w:id="271" w:name="_Toc26911"/>
      <w:r>
        <w:rPr>
          <w:rFonts w:hint="eastAsia" w:ascii="仿宋" w:hAnsi="仿宋" w:eastAsia="仿宋" w:cs="仿宋"/>
          <w:highlight w:val="none"/>
          <w:lang w:eastAsia="zh-CN"/>
        </w:rPr>
        <w:t>四</w:t>
      </w:r>
      <w:r>
        <w:rPr>
          <w:rFonts w:hint="eastAsia" w:ascii="仿宋" w:hAnsi="仿宋" w:eastAsia="仿宋" w:cs="仿宋"/>
          <w:highlight w:val="none"/>
        </w:rPr>
        <w:t>、磋商</w:t>
      </w:r>
      <w:bookmarkEnd w:id="271"/>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磋商小组根据各磋商供应商响应文件响应情况决定是否与各供应商进行磋商，磋商方式为磋商小组所有成员集中与单一供应商分别进行磋商，并给与参加磋商的供应商平等的磋商机会。</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经磋商小组评审，质量和服务均能满足磋商文件实质性响应要求的供应商才具有最后报价的机会。供应商应按磋商小组规定的时间进行最后报价，并由法定代表人或其授权人签字，最后报价现场不公布。该磋商报价为不可更改价格，作为磋商小组推荐成交候选人的依据。</w:t>
      </w:r>
    </w:p>
    <w:p>
      <w:pPr>
        <w:pageBreakBefore w:val="0"/>
        <w:kinsoku/>
        <w:wordWrap/>
        <w:overflowPunct/>
        <w:topLinePunct w:val="0"/>
        <w:autoSpaceDE/>
        <w:autoSpaceDN/>
        <w:bidi w:val="0"/>
        <w:adjustRightInd/>
        <w:snapToGrid/>
        <w:spacing w:afterAutospacing="0" w:line="360" w:lineRule="auto"/>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pPr>
        <w:pStyle w:val="3"/>
        <w:bidi w:val="0"/>
        <w:spacing w:before="0" w:beforeAutospacing="0" w:after="0" w:afterAutospacing="0"/>
        <w:rPr>
          <w:rFonts w:hint="eastAsia" w:ascii="仿宋" w:hAnsi="仿宋" w:eastAsia="仿宋" w:cs="仿宋"/>
          <w:b/>
          <w:bCs w:val="0"/>
          <w:color w:val="auto"/>
          <w:szCs w:val="24"/>
          <w:highlight w:val="none"/>
        </w:rPr>
      </w:pPr>
      <w:bookmarkStart w:id="272" w:name="_Toc4978"/>
      <w:r>
        <w:rPr>
          <w:rFonts w:hint="eastAsia" w:ascii="仿宋" w:hAnsi="仿宋" w:eastAsia="仿宋" w:cs="仿宋"/>
          <w:b/>
          <w:bCs w:val="0"/>
          <w:color w:val="auto"/>
          <w:spacing w:val="4"/>
          <w:szCs w:val="24"/>
          <w:highlight w:val="none"/>
          <w:lang w:val="en-US" w:eastAsia="zh-CN"/>
        </w:rPr>
        <w:t>五</w:t>
      </w:r>
      <w:r>
        <w:rPr>
          <w:rFonts w:hint="eastAsia" w:ascii="仿宋" w:hAnsi="仿宋" w:eastAsia="仿宋" w:cs="仿宋"/>
          <w:b/>
          <w:bCs w:val="0"/>
          <w:color w:val="auto"/>
          <w:spacing w:val="4"/>
          <w:szCs w:val="24"/>
          <w:highlight w:val="none"/>
        </w:rPr>
        <w:t>、</w:t>
      </w:r>
      <w:r>
        <w:rPr>
          <w:rFonts w:hint="eastAsia" w:ascii="仿宋" w:hAnsi="仿宋" w:eastAsia="仿宋" w:cs="仿宋"/>
          <w:b/>
          <w:bCs w:val="0"/>
          <w:color w:val="auto"/>
          <w:szCs w:val="24"/>
          <w:highlight w:val="none"/>
        </w:rPr>
        <w:t>评审方法</w:t>
      </w:r>
      <w:bookmarkEnd w:id="272"/>
    </w:p>
    <w:p>
      <w:pPr>
        <w:pageBreakBefore w:val="0"/>
        <w:kinsoku/>
        <w:wordWrap/>
        <w:overflowPunct/>
        <w:topLinePunct w:val="0"/>
        <w:autoSpaceDE/>
        <w:autoSpaceDN/>
        <w:bidi w:val="0"/>
        <w:adjustRightInd/>
        <w:snapToGrid/>
        <w:spacing w:beforeAutospacing="0" w:line="360" w:lineRule="auto"/>
        <w:ind w:firstLine="480" w:firstLineChars="200"/>
        <w:jc w:val="left"/>
        <w:textAlignment w:val="auto"/>
        <w:rPr>
          <w:rFonts w:hint="eastAsia" w:ascii="仿宋" w:hAnsi="仿宋" w:eastAsia="仿宋" w:cs="仿宋"/>
          <w:szCs w:val="24"/>
          <w:highlight w:val="none"/>
        </w:rPr>
      </w:pPr>
      <w:r>
        <w:rPr>
          <w:rFonts w:hint="eastAsia" w:ascii="仿宋" w:hAnsi="仿宋" w:eastAsia="仿宋" w:cs="仿宋"/>
          <w:color w:val="auto"/>
          <w:szCs w:val="24"/>
          <w:highlight w:val="none"/>
        </w:rPr>
        <w:t>磋商小组从质量和服务均能满足磋商文件实质性响应要求的供应商中，按照最后得分由高到低的顺序提出成交候选人。</w:t>
      </w:r>
    </w:p>
    <w:p>
      <w:pPr>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snapToGrid w:val="0"/>
          <w:szCs w:val="24"/>
          <w:highlight w:val="none"/>
        </w:rPr>
      </w:pPr>
      <w:r>
        <w:rPr>
          <w:rFonts w:hint="eastAsia" w:ascii="仿宋" w:hAnsi="仿宋" w:eastAsia="仿宋" w:cs="仿宋"/>
          <w:b/>
          <w:snapToGrid w:val="0"/>
          <w:szCs w:val="24"/>
          <w:highlight w:val="none"/>
        </w:rPr>
        <w:t>评分内容和评分方式</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总分100分，每个供应商每项评分因素得分汇总即为最后得分，各项评分因素具体内容及打分标准如下：</w:t>
      </w:r>
    </w:p>
    <w:p>
      <w:pPr>
        <w:pageBreakBefore w:val="0"/>
        <w:kinsoku/>
        <w:wordWrap/>
        <w:overflowPunct/>
        <w:topLinePunct w:val="0"/>
        <w:autoSpaceDE/>
        <w:autoSpaceDN/>
        <w:bidi w:val="0"/>
        <w:adjustRightInd/>
        <w:snapToGrid/>
        <w:spacing w:line="360" w:lineRule="auto"/>
        <w:ind w:firstLine="496" w:firstLineChars="200"/>
        <w:textAlignment w:val="auto"/>
        <w:rPr>
          <w:rFonts w:hint="eastAsia" w:ascii="仿宋" w:hAnsi="仿宋" w:eastAsia="仿宋" w:cs="仿宋"/>
          <w:spacing w:val="4"/>
          <w:szCs w:val="24"/>
          <w:highlight w:val="none"/>
        </w:rPr>
      </w:pPr>
      <w:r>
        <w:rPr>
          <w:rFonts w:hint="eastAsia" w:ascii="仿宋" w:hAnsi="仿宋" w:eastAsia="仿宋" w:cs="仿宋"/>
          <w:spacing w:val="4"/>
          <w:szCs w:val="24"/>
          <w:highlight w:val="none"/>
        </w:rPr>
        <w:t>评价和比较以投标响应文件为依据，从“</w:t>
      </w:r>
      <w:r>
        <w:rPr>
          <w:rFonts w:hint="eastAsia" w:ascii="仿宋" w:hAnsi="仿宋" w:eastAsia="仿宋" w:cs="仿宋"/>
          <w:spacing w:val="4"/>
          <w:szCs w:val="24"/>
          <w:highlight w:val="none"/>
          <w:lang w:val="en-US" w:eastAsia="zh-CN"/>
        </w:rPr>
        <w:t>投标</w:t>
      </w:r>
      <w:r>
        <w:rPr>
          <w:rFonts w:hint="eastAsia" w:ascii="仿宋" w:hAnsi="仿宋" w:eastAsia="仿宋" w:cs="仿宋"/>
          <w:spacing w:val="4"/>
          <w:szCs w:val="24"/>
          <w:highlight w:val="none"/>
        </w:rPr>
        <w:t>报价”、“服务方案”等方面进行评审并按照百分制进行赋分。</w:t>
      </w:r>
    </w:p>
    <w:p>
      <w:pPr>
        <w:rPr>
          <w:rFonts w:hint="eastAsia" w:ascii="仿宋" w:hAnsi="仿宋" w:eastAsia="仿宋" w:cs="仿宋"/>
          <w:spacing w:val="4"/>
          <w:szCs w:val="24"/>
          <w:highlight w:val="none"/>
        </w:rPr>
      </w:pPr>
      <w:r>
        <w:rPr>
          <w:rFonts w:hint="eastAsia" w:ascii="仿宋" w:hAnsi="仿宋" w:eastAsia="仿宋" w:cs="仿宋"/>
          <w:spacing w:val="4"/>
          <w:szCs w:val="24"/>
          <w:highlight w:val="none"/>
        </w:rPr>
        <w:br w:type="page"/>
      </w:r>
    </w:p>
    <w:p>
      <w:pPr>
        <w:pStyle w:val="10"/>
        <w:rPr>
          <w:rFonts w:hint="eastAsia" w:ascii="仿宋" w:hAnsi="仿宋" w:eastAsia="仿宋" w:cs="仿宋"/>
          <w:highlight w:val="none"/>
        </w:rPr>
      </w:pPr>
    </w:p>
    <w:p>
      <w:pPr>
        <w:keepNext w:val="0"/>
        <w:keepLines w:val="0"/>
        <w:pageBreakBefore w:val="0"/>
        <w:overflowPunct/>
        <w:topLinePunct w:val="0"/>
        <w:bidi w:val="0"/>
        <w:adjustRightInd/>
        <w:spacing w:line="360" w:lineRule="auto"/>
        <w:ind w:firstLine="562" w:firstLineChars="20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《评审要素和分值分解表》</w:t>
      </w:r>
    </w:p>
    <w:tbl>
      <w:tblPr>
        <w:tblStyle w:val="27"/>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031"/>
        <w:gridCol w:w="1440"/>
        <w:gridCol w:w="7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34" w:type="dxa"/>
            <w:noWrap w:val="0"/>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031" w:type="dxa"/>
            <w:noWrap w:val="0"/>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评分因素</w:t>
            </w:r>
          </w:p>
        </w:tc>
        <w:tc>
          <w:tcPr>
            <w:tcW w:w="9052" w:type="dxa"/>
            <w:gridSpan w:val="2"/>
            <w:noWrap w:val="0"/>
            <w:vAlign w:val="center"/>
          </w:tcPr>
          <w:p>
            <w:pPr>
              <w:spacing w:line="360" w:lineRule="auto"/>
              <w:ind w:left="480" w:hanging="482" w:hangingChars="20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7" w:hRule="atLeast"/>
          <w:jc w:val="center"/>
        </w:trPr>
        <w:tc>
          <w:tcPr>
            <w:tcW w:w="434"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031"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投标报价（10分）</w:t>
            </w:r>
          </w:p>
        </w:tc>
        <w:tc>
          <w:tcPr>
            <w:tcW w:w="9052" w:type="dxa"/>
            <w:gridSpan w:val="2"/>
            <w:noWrap w:val="0"/>
            <w:vAlign w:val="center"/>
          </w:tcPr>
          <w:p>
            <w:pPr>
              <w:numPr>
                <w:ilvl w:val="0"/>
                <w:numId w:val="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经资格审查及符合性审查合格的供应商，其投标报价为有效投标价，以最终报价为最终评审价格。</w:t>
            </w:r>
          </w:p>
          <w:p>
            <w:pPr>
              <w:numPr>
                <w:ilvl w:val="0"/>
                <w:numId w:val="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2.有效最低报价为基准价得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0分。</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3.按（有效最低报价/有效投标报价）×</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的公式计算其得分。</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4.报价不完整的，不进入评标标准价的计算，本项得0分。</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5.经评委一致认定，供应商的总报价低于公认市场成本，或超过采购预算,其投标将被拒绝。</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注：投标单位报价不完整的得0分。投标报价超出采购预算的为无效投标，且不得参与评标。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dxa"/>
            <w:vMerge w:val="restart"/>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031" w:type="dxa"/>
            <w:vMerge w:val="restart"/>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color w:val="auto"/>
                <w:sz w:val="24"/>
                <w:szCs w:val="24"/>
                <w:highlight w:val="none"/>
                <w:lang w:eastAsia="zh-CN"/>
              </w:rPr>
            </w:pPr>
            <w:r>
              <w:rPr>
                <w:rFonts w:hint="eastAsia" w:ascii="仿宋" w:hAnsi="仿宋" w:eastAsia="仿宋" w:cs="仿宋"/>
                <w:sz w:val="24"/>
                <w:szCs w:val="24"/>
                <w:highlight w:val="none"/>
              </w:rPr>
              <w:t>技术部分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90分</w:t>
            </w:r>
            <w:r>
              <w:rPr>
                <w:rFonts w:hint="eastAsia" w:ascii="仿宋" w:hAnsi="仿宋" w:eastAsia="仿宋" w:cs="仿宋"/>
                <w:sz w:val="24"/>
                <w:szCs w:val="24"/>
                <w:highlight w:val="none"/>
                <w:lang w:eastAsia="zh-CN"/>
              </w:rPr>
              <w:t>）</w:t>
            </w:r>
          </w:p>
        </w:tc>
        <w:tc>
          <w:tcPr>
            <w:tcW w:w="1440" w:type="dxa"/>
            <w:vMerge w:val="restart"/>
            <w:noWrap w:val="0"/>
            <w:vAlign w:val="center"/>
          </w:tcPr>
          <w:p>
            <w:pPr>
              <w:keepNext w:val="0"/>
              <w:keepLines w:val="0"/>
              <w:widowControl/>
              <w:suppressLineNumbers w:val="0"/>
              <w:spacing w:before="0" w:beforeAutospacing="0" w:after="0" w:afterAutospacing="0" w:line="360" w:lineRule="auto"/>
              <w:ind w:left="0" w:leftChars="0" w:right="0" w:rightChars="0"/>
              <w:jc w:val="left"/>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投标方案（75分）</w:t>
            </w:r>
          </w:p>
        </w:tc>
        <w:tc>
          <w:tcPr>
            <w:tcW w:w="7612" w:type="dxa"/>
            <w:noWrap w:val="0"/>
            <w:vAlign w:val="center"/>
          </w:tcPr>
          <w:p>
            <w:pPr>
              <w:shd w:val="clear"/>
              <w:spacing w:before="1" w:line="360" w:lineRule="auto"/>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1、项目概述及理解。</w:t>
            </w:r>
          </w:p>
          <w:p>
            <w:pPr>
              <w:shd w:val="clear"/>
              <w:spacing w:before="1" w:line="360" w:lineRule="auto"/>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2、提供系统的功能描述及层次结构。</w:t>
            </w:r>
          </w:p>
          <w:p>
            <w:pPr>
              <w:shd w:val="clear"/>
              <w:spacing w:before="1" w:line="360" w:lineRule="auto"/>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3、提供与相关业务系统对接能力。</w:t>
            </w:r>
          </w:p>
          <w:p>
            <w:pPr>
              <w:shd w:val="clear"/>
              <w:spacing w:before="1" w:line="360" w:lineRule="auto"/>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4、提供业务流程介绍及合理的系统接口描述。</w:t>
            </w:r>
          </w:p>
          <w:p>
            <w:pPr>
              <w:shd w:val="clear"/>
              <w:spacing w:before="1" w:line="360" w:lineRule="auto"/>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5、提供完整数据库设计思路及数据备份、升级、迁移等过程信息的保障。</w:t>
            </w:r>
          </w:p>
          <w:p>
            <w:pPr>
              <w:shd w:val="clear"/>
              <w:spacing w:before="1" w:line="360" w:lineRule="auto"/>
              <w:rPr>
                <w:rFonts w:hint="default"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6、风险分析及规避措施。</w:t>
            </w:r>
          </w:p>
          <w:p>
            <w:pPr>
              <w:shd w:val="clear"/>
              <w:spacing w:before="1" w:line="360" w:lineRule="auto"/>
              <w:rPr>
                <w:rFonts w:hint="default"/>
                <w:highlight w:val="none"/>
                <w:lang w:val="en-US" w:eastAsia="zh-CN"/>
              </w:rPr>
            </w:pPr>
            <w:r>
              <w:rPr>
                <w:rFonts w:hint="eastAsia" w:ascii="仿宋" w:hAnsi="仿宋" w:eastAsia="仿宋" w:cs="仿宋"/>
                <w:b w:val="0"/>
                <w:color w:val="auto"/>
                <w:kern w:val="0"/>
                <w:sz w:val="24"/>
                <w:szCs w:val="24"/>
                <w:highlight w:val="none"/>
                <w:lang w:val="en-US" w:eastAsia="zh-CN"/>
              </w:rPr>
              <w:t>备注：每有一项内容缺失扣3分，每有一项存在内容不完整或与分析（措施）不到位或内容不符合实际情况的扣2分，扣完为止。内容有重大缺陷无法满足本项目实际工作需求的不得分，本项满分18分。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1031" w:type="dxa"/>
            <w:vMerge w:val="continue"/>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sz w:val="24"/>
                <w:szCs w:val="24"/>
                <w:highlight w:val="none"/>
              </w:rPr>
            </w:pPr>
          </w:p>
        </w:tc>
        <w:tc>
          <w:tcPr>
            <w:tcW w:w="1440" w:type="dxa"/>
            <w:vMerge w:val="continue"/>
            <w:noWrap w:val="0"/>
            <w:vAlign w:val="center"/>
          </w:tcPr>
          <w:p>
            <w:pPr>
              <w:keepNext w:val="0"/>
              <w:keepLines w:val="0"/>
              <w:widowControl/>
              <w:suppressLineNumbers w:val="0"/>
              <w:spacing w:before="0" w:beforeAutospacing="0" w:after="0" w:afterAutospacing="0" w:line="360" w:lineRule="auto"/>
              <w:ind w:left="0" w:leftChars="0" w:right="0" w:rightChars="0"/>
              <w:jc w:val="left"/>
              <w:rPr>
                <w:rFonts w:hint="eastAsia" w:ascii="仿宋" w:hAnsi="仿宋" w:eastAsia="仿宋" w:cs="仿宋"/>
                <w:b w:val="0"/>
                <w:color w:val="auto"/>
                <w:kern w:val="0"/>
                <w:sz w:val="24"/>
                <w:szCs w:val="24"/>
                <w:highlight w:val="none"/>
                <w:lang w:val="en-US" w:eastAsia="zh-CN"/>
              </w:rPr>
            </w:pPr>
          </w:p>
        </w:tc>
        <w:tc>
          <w:tcPr>
            <w:tcW w:w="7612" w:type="dxa"/>
            <w:shd w:val="clear" w:color="auto" w:fill="auto"/>
            <w:noWrap w:val="0"/>
            <w:vAlign w:val="center"/>
          </w:tcPr>
          <w:p>
            <w:pPr>
              <w:shd w:val="clear"/>
              <w:spacing w:before="1" w:line="360" w:lineRule="auto"/>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项目实施过程中质量保证措施方案：</w:t>
            </w:r>
          </w:p>
          <w:p>
            <w:pPr>
              <w:spacing w:before="0" w:after="0" w:line="360" w:lineRule="auto"/>
              <w:ind w:right="127"/>
              <w:rPr>
                <w:rFonts w:hint="eastAsia" w:ascii="仿宋" w:hAnsi="仿宋" w:eastAsia="仿宋" w:cs="仿宋"/>
                <w:color w:val="00000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①</w:t>
            </w:r>
            <w:r>
              <w:rPr>
                <w:rFonts w:hint="eastAsia" w:ascii="仿宋" w:hAnsi="仿宋" w:eastAsia="仿宋" w:cs="仿宋"/>
                <w:spacing w:val="-5"/>
                <w:sz w:val="24"/>
                <w:szCs w:val="24"/>
                <w:highlight w:val="none"/>
                <w:lang w:val="en-US" w:eastAsia="zh-CN"/>
              </w:rPr>
              <w:t>质量保证措施方案，</w:t>
            </w:r>
            <w:r>
              <w:rPr>
                <w:rFonts w:hint="eastAsia" w:ascii="仿宋" w:hAnsi="仿宋" w:eastAsia="仿宋" w:cs="仿宋"/>
                <w:spacing w:val="-5"/>
                <w:sz w:val="24"/>
                <w:szCs w:val="24"/>
                <w:highlight w:val="none"/>
              </w:rPr>
              <w:t>内容具体，</w:t>
            </w:r>
            <w:r>
              <w:rPr>
                <w:rFonts w:hint="eastAsia" w:ascii="仿宋" w:hAnsi="仿宋" w:eastAsia="仿宋" w:cs="仿宋"/>
                <w:spacing w:val="-6"/>
                <w:sz w:val="24"/>
                <w:szCs w:val="24"/>
                <w:highlight w:val="none"/>
              </w:rPr>
              <w:t>针对性、可行性</w:t>
            </w:r>
            <w:r>
              <w:rPr>
                <w:rFonts w:hint="eastAsia" w:ascii="仿宋" w:hAnsi="仿宋" w:eastAsia="仿宋" w:cs="仿宋"/>
                <w:spacing w:val="-6"/>
                <w:sz w:val="24"/>
                <w:szCs w:val="24"/>
                <w:highlight w:val="none"/>
                <w:lang w:val="en-US" w:eastAsia="zh-CN"/>
              </w:rPr>
              <w:t>高</w:t>
            </w:r>
            <w:r>
              <w:rPr>
                <w:rFonts w:hint="eastAsia" w:ascii="仿宋" w:hAnsi="仿宋" w:eastAsia="仿宋" w:cs="仿宋"/>
                <w:color w:val="000000"/>
                <w:sz w:val="24"/>
                <w:szCs w:val="24"/>
                <w:highlight w:val="none"/>
                <w:lang w:val="en-US" w:eastAsia="zh-CN"/>
              </w:rPr>
              <w:t>7分</w:t>
            </w:r>
            <w:r>
              <w:rPr>
                <w:rFonts w:hint="eastAsia" w:ascii="仿宋" w:hAnsi="仿宋" w:eastAsia="仿宋" w:cs="仿宋"/>
                <w:spacing w:val="-2"/>
                <w:sz w:val="24"/>
                <w:szCs w:val="24"/>
                <w:highlight w:val="none"/>
              </w:rPr>
              <w:t>＜得</w:t>
            </w:r>
            <w:r>
              <w:rPr>
                <w:rFonts w:hint="eastAsia" w:ascii="仿宋" w:hAnsi="仿宋" w:eastAsia="仿宋" w:cs="仿宋"/>
                <w:color w:val="000000"/>
                <w:sz w:val="24"/>
                <w:szCs w:val="24"/>
                <w:highlight w:val="none"/>
                <w:lang w:val="en-US" w:eastAsia="zh-CN"/>
              </w:rPr>
              <w:t>分≤10分；</w:t>
            </w:r>
          </w:p>
          <w:p>
            <w:pPr>
              <w:spacing w:before="0" w:after="0" w:line="360" w:lineRule="auto"/>
              <w:ind w:right="31"/>
              <w:rPr>
                <w:rFonts w:hint="eastAsia" w:ascii="仿宋" w:hAnsi="仿宋" w:eastAsia="仿宋" w:cs="仿宋"/>
                <w:sz w:val="24"/>
                <w:szCs w:val="24"/>
                <w:highlight w:val="none"/>
              </w:rPr>
            </w:pPr>
            <w:r>
              <w:rPr>
                <w:rFonts w:hint="eastAsia" w:ascii="仿宋" w:hAnsi="仿宋" w:eastAsia="仿宋" w:cs="仿宋"/>
                <w:b w:val="0"/>
                <w:color w:val="auto"/>
                <w:kern w:val="0"/>
                <w:sz w:val="24"/>
                <w:szCs w:val="24"/>
                <w:highlight w:val="none"/>
                <w:lang w:val="en-US" w:eastAsia="zh-CN"/>
              </w:rPr>
              <w:t>②</w:t>
            </w:r>
            <w:r>
              <w:rPr>
                <w:rFonts w:hint="eastAsia" w:ascii="仿宋" w:hAnsi="仿宋" w:eastAsia="仿宋" w:cs="仿宋"/>
                <w:spacing w:val="-2"/>
                <w:sz w:val="24"/>
                <w:szCs w:val="24"/>
                <w:highlight w:val="none"/>
                <w:lang w:val="en-US" w:eastAsia="zh-CN"/>
              </w:rPr>
              <w:t>质量保证措施方案，</w:t>
            </w:r>
            <w:r>
              <w:rPr>
                <w:rFonts w:hint="eastAsia" w:ascii="仿宋" w:hAnsi="仿宋" w:eastAsia="仿宋" w:cs="仿宋"/>
                <w:spacing w:val="-5"/>
                <w:sz w:val="24"/>
                <w:szCs w:val="24"/>
                <w:highlight w:val="none"/>
              </w:rPr>
              <w:t>内容</w:t>
            </w:r>
            <w:r>
              <w:rPr>
                <w:rFonts w:hint="eastAsia" w:ascii="仿宋" w:hAnsi="仿宋" w:eastAsia="仿宋" w:cs="仿宋"/>
                <w:spacing w:val="-5"/>
                <w:sz w:val="24"/>
                <w:szCs w:val="24"/>
                <w:highlight w:val="none"/>
                <w:lang w:val="en-US" w:eastAsia="zh-CN"/>
              </w:rPr>
              <w:t>较</w:t>
            </w:r>
            <w:r>
              <w:rPr>
                <w:rFonts w:hint="eastAsia" w:ascii="仿宋" w:hAnsi="仿宋" w:eastAsia="仿宋" w:cs="仿宋"/>
                <w:spacing w:val="-5"/>
                <w:sz w:val="24"/>
                <w:szCs w:val="24"/>
                <w:highlight w:val="none"/>
              </w:rPr>
              <w:t>具体，</w:t>
            </w:r>
            <w:r>
              <w:rPr>
                <w:rFonts w:hint="eastAsia" w:ascii="仿宋" w:hAnsi="仿宋" w:eastAsia="仿宋" w:cs="仿宋"/>
                <w:spacing w:val="-6"/>
                <w:sz w:val="24"/>
                <w:szCs w:val="24"/>
                <w:highlight w:val="none"/>
              </w:rPr>
              <w:t>针对性、可行性</w:t>
            </w:r>
            <w:r>
              <w:rPr>
                <w:rFonts w:hint="eastAsia" w:ascii="仿宋" w:hAnsi="仿宋" w:eastAsia="仿宋" w:cs="仿宋"/>
                <w:color w:val="000000"/>
                <w:sz w:val="24"/>
                <w:szCs w:val="24"/>
                <w:highlight w:val="none"/>
                <w:lang w:val="en-US" w:eastAsia="zh-CN"/>
              </w:rPr>
              <w:t>一般4分</w:t>
            </w:r>
            <w:r>
              <w:rPr>
                <w:rFonts w:hint="eastAsia" w:ascii="仿宋" w:hAnsi="仿宋" w:eastAsia="仿宋" w:cs="仿宋"/>
                <w:color w:val="000000"/>
                <w:sz w:val="24"/>
                <w:szCs w:val="24"/>
                <w:highlight w:val="none"/>
              </w:rPr>
              <w:t>＜得分≤</w:t>
            </w:r>
            <w:r>
              <w:rPr>
                <w:rFonts w:hint="eastAsia" w:ascii="仿宋" w:hAnsi="仿宋" w:eastAsia="仿宋" w:cs="仿宋"/>
                <w:color w:val="000000"/>
                <w:sz w:val="24"/>
                <w:szCs w:val="24"/>
                <w:highlight w:val="none"/>
                <w:lang w:val="en-US" w:eastAsia="zh-CN"/>
              </w:rPr>
              <w:t>7</w:t>
            </w:r>
            <w:r>
              <w:rPr>
                <w:rFonts w:hint="eastAsia" w:ascii="仿宋" w:hAnsi="仿宋" w:eastAsia="仿宋" w:cs="仿宋"/>
                <w:color w:val="000000"/>
                <w:sz w:val="24"/>
                <w:szCs w:val="24"/>
                <w:highlight w:val="none"/>
              </w:rPr>
              <w:t>分</w:t>
            </w:r>
            <w:r>
              <w:rPr>
                <w:rFonts w:hint="eastAsia" w:ascii="仿宋" w:hAnsi="仿宋" w:eastAsia="仿宋" w:cs="仿宋"/>
                <w:spacing w:val="-1"/>
                <w:sz w:val="24"/>
                <w:szCs w:val="24"/>
                <w:highlight w:val="none"/>
              </w:rPr>
              <w:t>；</w:t>
            </w:r>
          </w:p>
          <w:p>
            <w:pPr>
              <w:pStyle w:val="10"/>
              <w:spacing w:line="360" w:lineRule="auto"/>
              <w:rPr>
                <w:rFonts w:hint="eastAsia" w:ascii="仿宋" w:hAnsi="仿宋" w:eastAsia="仿宋" w:cs="仿宋"/>
                <w:spacing w:val="-5"/>
                <w:sz w:val="24"/>
                <w:szCs w:val="24"/>
                <w:highlight w:val="none"/>
              </w:rPr>
            </w:pPr>
            <w:r>
              <w:rPr>
                <w:rFonts w:hint="eastAsia" w:ascii="仿宋" w:hAnsi="仿宋" w:eastAsia="仿宋" w:cs="仿宋"/>
                <w:b w:val="0"/>
                <w:color w:val="auto"/>
                <w:kern w:val="0"/>
                <w:sz w:val="24"/>
                <w:szCs w:val="24"/>
                <w:highlight w:val="none"/>
                <w:lang w:val="en-US" w:eastAsia="zh-CN"/>
              </w:rPr>
              <w:t>③</w:t>
            </w:r>
            <w:r>
              <w:rPr>
                <w:rFonts w:hint="eastAsia" w:ascii="仿宋" w:hAnsi="仿宋" w:eastAsia="仿宋" w:cs="仿宋"/>
                <w:spacing w:val="-1"/>
                <w:sz w:val="24"/>
                <w:szCs w:val="24"/>
                <w:highlight w:val="none"/>
              </w:rPr>
              <w:t>内容笼统，与本项目</w:t>
            </w:r>
            <w:r>
              <w:rPr>
                <w:rFonts w:hint="eastAsia" w:ascii="仿宋" w:hAnsi="仿宋" w:eastAsia="仿宋" w:cs="仿宋"/>
                <w:sz w:val="24"/>
                <w:szCs w:val="24"/>
                <w:highlight w:val="none"/>
              </w:rPr>
              <w:t>实际不符（或部分内容缺项），</w:t>
            </w:r>
            <w:r>
              <w:rPr>
                <w:rFonts w:hint="eastAsia" w:ascii="仿宋" w:hAnsi="仿宋" w:eastAsia="仿宋" w:cs="仿宋"/>
                <w:color w:val="000000"/>
                <w:sz w:val="24"/>
                <w:szCs w:val="24"/>
                <w:highlight w:val="none"/>
                <w:lang w:val="en-US" w:eastAsia="zh-CN"/>
              </w:rPr>
              <w:t>0分</w:t>
            </w:r>
            <w:r>
              <w:rPr>
                <w:rFonts w:hint="eastAsia" w:ascii="仿宋" w:hAnsi="仿宋" w:eastAsia="仿宋" w:cs="仿宋"/>
                <w:color w:val="000000"/>
                <w:sz w:val="24"/>
                <w:szCs w:val="24"/>
                <w:highlight w:val="none"/>
              </w:rPr>
              <w:t>＜得分≤</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分</w:t>
            </w:r>
            <w:r>
              <w:rPr>
                <w:rFonts w:hint="eastAsia" w:ascii="仿宋" w:hAnsi="仿宋" w:eastAsia="仿宋" w:cs="仿宋"/>
                <w:spacing w:val="-5"/>
                <w:sz w:val="24"/>
                <w:szCs w:val="24"/>
                <w:highlight w:val="none"/>
              </w:rPr>
              <w:t>。</w:t>
            </w:r>
          </w:p>
          <w:p>
            <w:pPr>
              <w:spacing w:line="360" w:lineRule="auto"/>
              <w:rPr>
                <w:rFonts w:hint="eastAsia"/>
                <w:highlight w:val="none"/>
                <w:lang w:val="en-US" w:eastAsia="zh-CN"/>
              </w:rPr>
            </w:pPr>
            <w:r>
              <w:rPr>
                <w:rFonts w:hint="eastAsia" w:ascii="仿宋" w:hAnsi="仿宋" w:eastAsia="仿宋" w:cs="仿宋"/>
                <w:b w:val="0"/>
                <w:color w:val="auto"/>
                <w:kern w:val="0"/>
                <w:sz w:val="24"/>
                <w:szCs w:val="24"/>
                <w:highlight w:val="none"/>
                <w:lang w:val="en-US" w:eastAsia="zh-CN"/>
              </w:rPr>
              <w:t>④未提供的不得分。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8" w:hRule="atLeast"/>
          <w:jc w:val="center"/>
        </w:trPr>
        <w:tc>
          <w:tcPr>
            <w:tcW w:w="434"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1031" w:type="dxa"/>
            <w:vMerge w:val="continue"/>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sz w:val="24"/>
                <w:szCs w:val="24"/>
                <w:highlight w:val="none"/>
              </w:rPr>
            </w:pPr>
          </w:p>
        </w:tc>
        <w:tc>
          <w:tcPr>
            <w:tcW w:w="1440" w:type="dxa"/>
            <w:vMerge w:val="continue"/>
            <w:noWrap w:val="0"/>
            <w:vAlign w:val="center"/>
          </w:tcPr>
          <w:p>
            <w:pPr>
              <w:keepNext w:val="0"/>
              <w:keepLines w:val="0"/>
              <w:widowControl/>
              <w:suppressLineNumbers w:val="0"/>
              <w:spacing w:before="0" w:beforeAutospacing="0" w:after="0" w:afterAutospacing="0" w:line="360" w:lineRule="auto"/>
              <w:ind w:left="0" w:leftChars="0" w:right="0" w:rightChars="0"/>
              <w:jc w:val="left"/>
              <w:rPr>
                <w:rFonts w:hint="eastAsia" w:ascii="仿宋" w:hAnsi="仿宋" w:eastAsia="仿宋" w:cs="仿宋"/>
                <w:b w:val="0"/>
                <w:color w:val="auto"/>
                <w:kern w:val="0"/>
                <w:sz w:val="24"/>
                <w:szCs w:val="24"/>
                <w:highlight w:val="none"/>
                <w:lang w:val="en-US" w:eastAsia="zh-CN"/>
              </w:rPr>
            </w:pPr>
          </w:p>
        </w:tc>
        <w:tc>
          <w:tcPr>
            <w:tcW w:w="7612" w:type="dxa"/>
            <w:shd w:val="clear" w:color="auto" w:fill="auto"/>
            <w:noWrap w:val="0"/>
            <w:vAlign w:val="center"/>
          </w:tcPr>
          <w:p>
            <w:pPr>
              <w:shd w:val="clear"/>
              <w:spacing w:before="1" w:line="360" w:lineRule="auto"/>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项目实施进度计划：针对本项目有具体的实际进度计划安排，对服务时间有明确响应，保证项目的实施进度。根据响应程度进行综合赋分：</w:t>
            </w:r>
          </w:p>
          <w:p>
            <w:pPr>
              <w:shd w:val="clear"/>
              <w:spacing w:before="1" w:line="360" w:lineRule="auto"/>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①符合上述条件描述清晰且详细7</w:t>
            </w:r>
            <w:r>
              <w:rPr>
                <w:rFonts w:hint="eastAsia" w:ascii="仿宋" w:hAnsi="仿宋" w:eastAsia="仿宋" w:cs="仿宋"/>
                <w:color w:val="000000"/>
                <w:sz w:val="24"/>
                <w:szCs w:val="24"/>
                <w:highlight w:val="none"/>
                <w:lang w:val="en-US" w:eastAsia="zh-CN"/>
              </w:rPr>
              <w:t>分</w:t>
            </w:r>
            <w:r>
              <w:rPr>
                <w:rFonts w:hint="eastAsia" w:ascii="仿宋" w:hAnsi="仿宋" w:eastAsia="仿宋" w:cs="仿宋"/>
                <w:b w:val="0"/>
                <w:color w:val="auto"/>
                <w:kern w:val="0"/>
                <w:sz w:val="24"/>
                <w:szCs w:val="24"/>
                <w:highlight w:val="none"/>
                <w:lang w:val="en-US" w:eastAsia="zh-CN"/>
              </w:rPr>
              <w:t>＜得分≤10分；</w:t>
            </w:r>
          </w:p>
          <w:p>
            <w:pPr>
              <w:shd w:val="clear"/>
              <w:spacing w:before="1" w:line="360" w:lineRule="auto"/>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②基本符合描述清晰基本详细的4</w:t>
            </w:r>
            <w:r>
              <w:rPr>
                <w:rFonts w:hint="eastAsia" w:ascii="仿宋" w:hAnsi="仿宋" w:eastAsia="仿宋" w:cs="仿宋"/>
                <w:color w:val="000000"/>
                <w:sz w:val="24"/>
                <w:szCs w:val="24"/>
                <w:highlight w:val="none"/>
                <w:lang w:val="en-US" w:eastAsia="zh-CN"/>
              </w:rPr>
              <w:t>分</w:t>
            </w:r>
            <w:r>
              <w:rPr>
                <w:rFonts w:hint="eastAsia" w:ascii="仿宋" w:hAnsi="仿宋" w:eastAsia="仿宋" w:cs="仿宋"/>
                <w:b w:val="0"/>
                <w:color w:val="auto"/>
                <w:kern w:val="0"/>
                <w:sz w:val="24"/>
                <w:szCs w:val="24"/>
                <w:highlight w:val="none"/>
                <w:lang w:val="en-US" w:eastAsia="zh-CN"/>
              </w:rPr>
              <w:t>＜得分≤7分；</w:t>
            </w:r>
          </w:p>
          <w:p>
            <w:pPr>
              <w:shd w:val="clear"/>
              <w:spacing w:before="1" w:line="360" w:lineRule="auto"/>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③描述过于简单较差0</w:t>
            </w:r>
            <w:r>
              <w:rPr>
                <w:rFonts w:hint="eastAsia" w:ascii="仿宋" w:hAnsi="仿宋" w:eastAsia="仿宋" w:cs="仿宋"/>
                <w:color w:val="000000"/>
                <w:sz w:val="24"/>
                <w:szCs w:val="24"/>
                <w:highlight w:val="none"/>
                <w:lang w:val="en-US" w:eastAsia="zh-CN"/>
              </w:rPr>
              <w:t>分</w:t>
            </w:r>
            <w:r>
              <w:rPr>
                <w:rFonts w:hint="eastAsia" w:ascii="仿宋" w:hAnsi="仿宋" w:eastAsia="仿宋" w:cs="仿宋"/>
                <w:b w:val="0"/>
                <w:color w:val="auto"/>
                <w:kern w:val="0"/>
                <w:sz w:val="24"/>
                <w:szCs w:val="24"/>
                <w:highlight w:val="none"/>
                <w:lang w:val="en-US" w:eastAsia="zh-CN"/>
              </w:rPr>
              <w:t>＜得分≤4分；</w:t>
            </w:r>
          </w:p>
          <w:p>
            <w:pPr>
              <w:shd w:val="clear"/>
              <w:spacing w:before="1" w:line="360" w:lineRule="auto"/>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④未提供的不得分。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3" w:hRule="atLeast"/>
          <w:jc w:val="center"/>
        </w:trPr>
        <w:tc>
          <w:tcPr>
            <w:tcW w:w="434"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1031" w:type="dxa"/>
            <w:vMerge w:val="continue"/>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sz w:val="24"/>
                <w:szCs w:val="24"/>
                <w:highlight w:val="none"/>
              </w:rPr>
            </w:pPr>
          </w:p>
        </w:tc>
        <w:tc>
          <w:tcPr>
            <w:tcW w:w="1440" w:type="dxa"/>
            <w:vMerge w:val="continue"/>
            <w:noWrap w:val="0"/>
            <w:vAlign w:val="center"/>
          </w:tcPr>
          <w:p>
            <w:pPr>
              <w:keepNext w:val="0"/>
              <w:keepLines w:val="0"/>
              <w:widowControl/>
              <w:suppressLineNumbers w:val="0"/>
              <w:spacing w:before="0" w:beforeAutospacing="0" w:after="0" w:afterAutospacing="0" w:line="360" w:lineRule="auto"/>
              <w:ind w:left="0" w:leftChars="0" w:right="0" w:rightChars="0"/>
              <w:jc w:val="left"/>
              <w:rPr>
                <w:rFonts w:hint="eastAsia" w:ascii="仿宋" w:hAnsi="仿宋" w:eastAsia="仿宋" w:cs="仿宋"/>
                <w:b w:val="0"/>
                <w:color w:val="auto"/>
                <w:kern w:val="0"/>
                <w:sz w:val="24"/>
                <w:szCs w:val="24"/>
                <w:highlight w:val="none"/>
                <w:lang w:val="en-US" w:eastAsia="zh-CN"/>
              </w:rPr>
            </w:pPr>
          </w:p>
        </w:tc>
        <w:tc>
          <w:tcPr>
            <w:tcW w:w="7612" w:type="dxa"/>
            <w:noWrap w:val="0"/>
            <w:vAlign w:val="center"/>
          </w:tcPr>
          <w:p>
            <w:pPr>
              <w:pStyle w:val="10"/>
              <w:numPr>
                <w:ilvl w:val="0"/>
                <w:numId w:val="0"/>
              </w:numPr>
              <w:spacing w:line="360" w:lineRule="auto"/>
              <w:rPr>
                <w:rFonts w:hint="eastAsia" w:ascii="仿宋" w:hAnsi="仿宋" w:eastAsia="仿宋" w:cs="仿宋"/>
                <w:b w:val="0"/>
                <w:color w:val="auto"/>
                <w:kern w:val="0"/>
                <w:sz w:val="24"/>
                <w:szCs w:val="24"/>
                <w:highlight w:val="none"/>
                <w:lang w:val="en-US" w:eastAsia="zh-CN" w:bidi="ar-SA"/>
              </w:rPr>
            </w:pPr>
            <w:r>
              <w:rPr>
                <w:rFonts w:hint="eastAsia" w:ascii="仿宋" w:hAnsi="仿宋" w:eastAsia="仿宋" w:cs="仿宋"/>
                <w:b w:val="0"/>
                <w:color w:val="auto"/>
                <w:kern w:val="0"/>
                <w:sz w:val="24"/>
                <w:szCs w:val="24"/>
                <w:highlight w:val="none"/>
                <w:lang w:val="en-US" w:eastAsia="zh-CN" w:bidi="ar-SA"/>
              </w:rPr>
              <w:t>项目团队人员：根据投标人提供的针对本项目提供的项目团队，包括并不限于：①人员机构设置；②职责分工；③管理制度。根据响应程度进行综合赋分。</w:t>
            </w:r>
          </w:p>
          <w:p>
            <w:pPr>
              <w:pStyle w:val="10"/>
              <w:numPr>
                <w:ilvl w:val="0"/>
                <w:numId w:val="0"/>
              </w:numPr>
              <w:spacing w:line="360" w:lineRule="auto"/>
              <w:rPr>
                <w:rFonts w:hint="eastAsia" w:ascii="仿宋" w:hAnsi="仿宋" w:eastAsia="仿宋" w:cs="仿宋"/>
                <w:b w:val="0"/>
                <w:color w:val="auto"/>
                <w:kern w:val="0"/>
                <w:sz w:val="24"/>
                <w:szCs w:val="24"/>
                <w:highlight w:val="none"/>
                <w:lang w:val="en-US" w:eastAsia="zh-CN" w:bidi="ar-SA"/>
              </w:rPr>
            </w:pPr>
            <w:r>
              <w:rPr>
                <w:rFonts w:hint="eastAsia" w:ascii="仿宋" w:hAnsi="仿宋" w:eastAsia="仿宋" w:cs="仿宋"/>
                <w:b w:val="0"/>
                <w:color w:val="auto"/>
                <w:kern w:val="0"/>
                <w:sz w:val="24"/>
                <w:szCs w:val="24"/>
                <w:highlight w:val="none"/>
                <w:lang w:val="en-US" w:eastAsia="zh-CN" w:bidi="ar-SA"/>
              </w:rPr>
              <w:t>①配备的人员数量满足工作需要，专业配备合理，职责分工明确管理制度完善，6分≤得分≤10分；</w:t>
            </w:r>
          </w:p>
          <w:p>
            <w:pPr>
              <w:pStyle w:val="10"/>
              <w:numPr>
                <w:ilvl w:val="0"/>
                <w:numId w:val="0"/>
              </w:numPr>
              <w:spacing w:line="360" w:lineRule="auto"/>
              <w:rPr>
                <w:rFonts w:hint="eastAsia" w:ascii="仿宋" w:hAnsi="仿宋" w:eastAsia="仿宋" w:cs="仿宋"/>
                <w:b w:val="0"/>
                <w:color w:val="auto"/>
                <w:kern w:val="0"/>
                <w:sz w:val="24"/>
                <w:szCs w:val="24"/>
                <w:highlight w:val="none"/>
                <w:lang w:val="en-US" w:eastAsia="zh-CN" w:bidi="ar-SA"/>
              </w:rPr>
            </w:pPr>
            <w:r>
              <w:rPr>
                <w:rFonts w:hint="eastAsia" w:ascii="仿宋" w:hAnsi="仿宋" w:eastAsia="仿宋" w:cs="仿宋"/>
                <w:b w:val="0"/>
                <w:color w:val="auto"/>
                <w:kern w:val="0"/>
                <w:sz w:val="24"/>
                <w:szCs w:val="24"/>
                <w:highlight w:val="none"/>
                <w:lang w:val="en-US" w:eastAsia="zh-CN" w:bidi="ar-SA"/>
              </w:rPr>
              <w:t>②人员数量基本满足工作需要，专业配备较合理，职责分工较明确管理制度较完善，3分≤得分＜6分；</w:t>
            </w:r>
          </w:p>
          <w:p>
            <w:pPr>
              <w:pStyle w:val="10"/>
              <w:numPr>
                <w:ilvl w:val="0"/>
                <w:numId w:val="0"/>
              </w:numPr>
              <w:spacing w:line="360" w:lineRule="auto"/>
              <w:rPr>
                <w:rFonts w:hint="eastAsia" w:ascii="仿宋" w:hAnsi="仿宋" w:eastAsia="仿宋" w:cs="仿宋"/>
                <w:b w:val="0"/>
                <w:color w:val="auto"/>
                <w:kern w:val="0"/>
                <w:sz w:val="24"/>
                <w:szCs w:val="24"/>
                <w:highlight w:val="none"/>
                <w:lang w:val="en-US" w:eastAsia="zh-CN" w:bidi="ar-SA"/>
              </w:rPr>
            </w:pPr>
            <w:r>
              <w:rPr>
                <w:rFonts w:hint="eastAsia" w:ascii="仿宋" w:hAnsi="仿宋" w:eastAsia="仿宋" w:cs="仿宋"/>
                <w:b w:val="0"/>
                <w:color w:val="auto"/>
                <w:kern w:val="0"/>
                <w:sz w:val="24"/>
                <w:szCs w:val="24"/>
                <w:highlight w:val="none"/>
                <w:lang w:val="en-US" w:eastAsia="zh-CN" w:bidi="ar-SA"/>
              </w:rPr>
              <w:t>③人员数量不能满足工作需要，职责分工不明确管理制度不够完善，0分≤得分＜3分。</w:t>
            </w:r>
          </w:p>
          <w:p>
            <w:pPr>
              <w:pStyle w:val="10"/>
              <w:numPr>
                <w:ilvl w:val="0"/>
                <w:numId w:val="0"/>
              </w:numPr>
              <w:spacing w:line="360" w:lineRule="auto"/>
              <w:rPr>
                <w:rFonts w:hint="default"/>
                <w:highlight w:val="none"/>
                <w:lang w:val="en-US" w:eastAsia="zh-CN"/>
              </w:rPr>
            </w:pPr>
            <w:r>
              <w:rPr>
                <w:rFonts w:hint="eastAsia" w:ascii="仿宋" w:hAnsi="仿宋" w:eastAsia="仿宋" w:cs="仿宋"/>
                <w:b w:val="0"/>
                <w:color w:val="auto"/>
                <w:kern w:val="0"/>
                <w:sz w:val="24"/>
                <w:szCs w:val="24"/>
                <w:highlight w:val="none"/>
                <w:lang w:val="en-US" w:eastAsia="zh-CN" w:bidi="ar-SA"/>
              </w:rPr>
              <w:t>注：后附相关证件（包含：身份证、职称证、资格证等相关证明资料、所有项目团队人员均须提供由社保经办机构出具的本企业为其缴纳的2023年1月至今任意连续3个月的社会保险证明材料）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434"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1031" w:type="dxa"/>
            <w:vMerge w:val="continue"/>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sz w:val="24"/>
                <w:szCs w:val="24"/>
                <w:highlight w:val="none"/>
              </w:rPr>
            </w:pPr>
          </w:p>
        </w:tc>
        <w:tc>
          <w:tcPr>
            <w:tcW w:w="1440" w:type="dxa"/>
            <w:vMerge w:val="continue"/>
            <w:noWrap w:val="0"/>
            <w:vAlign w:val="center"/>
          </w:tcPr>
          <w:p>
            <w:pPr>
              <w:keepNext w:val="0"/>
              <w:keepLines w:val="0"/>
              <w:widowControl/>
              <w:suppressLineNumbers w:val="0"/>
              <w:spacing w:before="0" w:beforeAutospacing="0" w:after="0" w:afterAutospacing="0" w:line="360" w:lineRule="auto"/>
              <w:ind w:left="0" w:leftChars="0" w:right="0" w:rightChars="0"/>
              <w:jc w:val="left"/>
              <w:rPr>
                <w:rFonts w:hint="eastAsia" w:ascii="仿宋" w:hAnsi="仿宋" w:eastAsia="仿宋" w:cs="仿宋"/>
                <w:b w:val="0"/>
                <w:color w:val="auto"/>
                <w:kern w:val="0"/>
                <w:sz w:val="24"/>
                <w:szCs w:val="24"/>
                <w:highlight w:val="none"/>
                <w:lang w:val="en-US" w:eastAsia="zh-CN"/>
              </w:rPr>
            </w:pPr>
          </w:p>
        </w:tc>
        <w:tc>
          <w:tcPr>
            <w:tcW w:w="7612" w:type="dxa"/>
            <w:noWrap w:val="0"/>
            <w:vAlign w:val="center"/>
          </w:tcPr>
          <w:p>
            <w:pPr>
              <w:keepNext w:val="0"/>
              <w:keepLines w:val="0"/>
              <w:widowControl/>
              <w:numPr>
                <w:ilvl w:val="0"/>
                <w:numId w:val="0"/>
              </w:numPr>
              <w:suppressLineNumbers w:val="0"/>
              <w:shd w:val="clear"/>
              <w:spacing w:before="0" w:beforeAutospacing="0" w:after="0" w:afterAutospacing="0" w:line="360" w:lineRule="auto"/>
              <w:ind w:right="0" w:rightChars="0"/>
              <w:jc w:val="left"/>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培训方案：根据供应商提供的适于平台运行要求的运行维护、技术支持和技术培训方案的合理性进行综合评分。</w:t>
            </w:r>
          </w:p>
          <w:p>
            <w:pPr>
              <w:keepNext w:val="0"/>
              <w:keepLines w:val="0"/>
              <w:widowControl/>
              <w:numPr>
                <w:ilvl w:val="0"/>
                <w:numId w:val="0"/>
              </w:numPr>
              <w:suppressLineNumbers w:val="0"/>
              <w:shd w:val="clear"/>
              <w:spacing w:before="0" w:beforeAutospacing="0" w:after="0" w:afterAutospacing="0" w:line="360" w:lineRule="auto"/>
              <w:ind w:right="0" w:rightChars="0"/>
              <w:jc w:val="left"/>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①方案详细完善、明确符合实际需求、切实可行；4</w:t>
            </w:r>
            <w:r>
              <w:rPr>
                <w:rFonts w:hint="eastAsia" w:ascii="仿宋" w:hAnsi="仿宋" w:eastAsia="仿宋" w:cs="仿宋"/>
                <w:color w:val="000000"/>
                <w:sz w:val="24"/>
                <w:szCs w:val="24"/>
                <w:highlight w:val="none"/>
                <w:lang w:val="en-US" w:eastAsia="zh-CN"/>
              </w:rPr>
              <w:t>分</w:t>
            </w:r>
            <w:r>
              <w:rPr>
                <w:rFonts w:hint="eastAsia" w:ascii="仿宋" w:hAnsi="仿宋" w:eastAsia="仿宋" w:cs="仿宋"/>
                <w:b w:val="0"/>
                <w:color w:val="auto"/>
                <w:kern w:val="0"/>
                <w:sz w:val="24"/>
                <w:szCs w:val="24"/>
                <w:highlight w:val="none"/>
                <w:lang w:val="en-US" w:eastAsia="zh-CN"/>
              </w:rPr>
              <w:t>＜得分≤6分；</w:t>
            </w:r>
          </w:p>
          <w:p>
            <w:pPr>
              <w:keepNext w:val="0"/>
              <w:keepLines w:val="0"/>
              <w:widowControl/>
              <w:numPr>
                <w:ilvl w:val="0"/>
                <w:numId w:val="0"/>
              </w:numPr>
              <w:suppressLineNumbers w:val="0"/>
              <w:shd w:val="clear"/>
              <w:spacing w:before="0" w:beforeAutospacing="0" w:after="0" w:afterAutospacing="0" w:line="360" w:lineRule="auto"/>
              <w:ind w:right="0" w:rightChars="0"/>
              <w:jc w:val="left"/>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②较详细完善、明确能符合、基本实际需求可行；2</w:t>
            </w:r>
            <w:r>
              <w:rPr>
                <w:rFonts w:hint="eastAsia" w:ascii="仿宋" w:hAnsi="仿宋" w:eastAsia="仿宋" w:cs="仿宋"/>
                <w:color w:val="000000"/>
                <w:sz w:val="24"/>
                <w:szCs w:val="24"/>
                <w:highlight w:val="none"/>
                <w:lang w:val="en-US" w:eastAsia="zh-CN"/>
              </w:rPr>
              <w:t>分</w:t>
            </w:r>
            <w:r>
              <w:rPr>
                <w:rFonts w:hint="eastAsia" w:ascii="仿宋" w:hAnsi="仿宋" w:eastAsia="仿宋" w:cs="仿宋"/>
                <w:b w:val="0"/>
                <w:color w:val="auto"/>
                <w:kern w:val="0"/>
                <w:sz w:val="24"/>
                <w:szCs w:val="24"/>
                <w:highlight w:val="none"/>
                <w:lang w:val="en-US" w:eastAsia="zh-CN"/>
              </w:rPr>
              <w:t>＜得分≤4分；</w:t>
            </w:r>
          </w:p>
          <w:p>
            <w:pPr>
              <w:keepNext w:val="0"/>
              <w:keepLines w:val="0"/>
              <w:widowControl/>
              <w:numPr>
                <w:ilvl w:val="0"/>
                <w:numId w:val="0"/>
              </w:numPr>
              <w:suppressLineNumbers w:val="0"/>
              <w:shd w:val="clear"/>
              <w:spacing w:before="0" w:beforeAutospacing="0" w:after="0" w:afterAutospacing="0" w:line="360" w:lineRule="auto"/>
              <w:ind w:right="0" w:rightChars="0"/>
              <w:jc w:val="left"/>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③描述简单、不明确、偏离实际需求不可行0</w:t>
            </w:r>
            <w:r>
              <w:rPr>
                <w:rFonts w:hint="eastAsia" w:ascii="仿宋" w:hAnsi="仿宋" w:eastAsia="仿宋" w:cs="仿宋"/>
                <w:color w:val="000000"/>
                <w:sz w:val="24"/>
                <w:szCs w:val="24"/>
                <w:highlight w:val="none"/>
                <w:lang w:val="en-US" w:eastAsia="zh-CN"/>
              </w:rPr>
              <w:t>分</w:t>
            </w:r>
            <w:r>
              <w:rPr>
                <w:rFonts w:hint="eastAsia" w:ascii="仿宋" w:hAnsi="仿宋" w:eastAsia="仿宋" w:cs="仿宋"/>
                <w:b w:val="0"/>
                <w:color w:val="auto"/>
                <w:kern w:val="0"/>
                <w:sz w:val="24"/>
                <w:szCs w:val="24"/>
                <w:highlight w:val="none"/>
                <w:lang w:val="en-US" w:eastAsia="zh-CN"/>
              </w:rPr>
              <w:t>＜得分≤2分；</w:t>
            </w:r>
          </w:p>
          <w:p>
            <w:pPr>
              <w:keepNext w:val="0"/>
              <w:keepLines w:val="0"/>
              <w:widowControl/>
              <w:numPr>
                <w:ilvl w:val="0"/>
                <w:numId w:val="0"/>
              </w:numPr>
              <w:suppressLineNumbers w:val="0"/>
              <w:spacing w:before="0" w:beforeAutospacing="0" w:after="0" w:afterAutospacing="0" w:line="360" w:lineRule="auto"/>
              <w:ind w:right="0" w:rightChars="0"/>
              <w:jc w:val="left"/>
              <w:rPr>
                <w:rFonts w:hint="eastAsia"/>
                <w:highlight w:val="none"/>
                <w:lang w:val="en-US" w:eastAsia="zh-CN"/>
              </w:rPr>
            </w:pPr>
            <w:r>
              <w:rPr>
                <w:rFonts w:hint="eastAsia" w:ascii="仿宋" w:hAnsi="仿宋" w:eastAsia="仿宋" w:cs="仿宋"/>
                <w:b w:val="0"/>
                <w:color w:val="auto"/>
                <w:kern w:val="0"/>
                <w:sz w:val="24"/>
                <w:szCs w:val="24"/>
                <w:highlight w:val="none"/>
                <w:lang w:val="en-US" w:eastAsia="zh-CN"/>
              </w:rPr>
              <w:t>④未提供不得分。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434"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1031" w:type="dxa"/>
            <w:vMerge w:val="continue"/>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sz w:val="24"/>
                <w:szCs w:val="24"/>
                <w:highlight w:val="none"/>
              </w:rPr>
            </w:pPr>
          </w:p>
        </w:tc>
        <w:tc>
          <w:tcPr>
            <w:tcW w:w="1440" w:type="dxa"/>
            <w:vMerge w:val="continue"/>
            <w:noWrap w:val="0"/>
            <w:vAlign w:val="center"/>
          </w:tcPr>
          <w:p>
            <w:pPr>
              <w:keepNext w:val="0"/>
              <w:keepLines w:val="0"/>
              <w:widowControl/>
              <w:suppressLineNumbers w:val="0"/>
              <w:spacing w:before="0" w:beforeAutospacing="0" w:after="0" w:afterAutospacing="0" w:line="360" w:lineRule="auto"/>
              <w:ind w:left="0" w:leftChars="0" w:right="0" w:rightChars="0"/>
              <w:jc w:val="left"/>
              <w:rPr>
                <w:rFonts w:hint="eastAsia" w:ascii="仿宋" w:hAnsi="仿宋" w:eastAsia="仿宋" w:cs="仿宋"/>
                <w:b w:val="0"/>
                <w:color w:val="auto"/>
                <w:kern w:val="0"/>
                <w:sz w:val="24"/>
                <w:szCs w:val="24"/>
                <w:highlight w:val="none"/>
                <w:lang w:val="en-US" w:eastAsia="zh-CN"/>
              </w:rPr>
            </w:pPr>
          </w:p>
        </w:tc>
        <w:tc>
          <w:tcPr>
            <w:tcW w:w="7612" w:type="dxa"/>
            <w:noWrap w:val="0"/>
            <w:vAlign w:val="center"/>
          </w:tcPr>
          <w:p>
            <w:pPr>
              <w:keepNext w:val="0"/>
              <w:keepLines w:val="0"/>
              <w:widowControl/>
              <w:numPr>
                <w:ilvl w:val="0"/>
                <w:numId w:val="0"/>
              </w:numPr>
              <w:suppressLineNumbers w:val="0"/>
              <w:spacing w:before="0" w:beforeAutospacing="0" w:after="0" w:afterAutospacing="0" w:line="360" w:lineRule="auto"/>
              <w:ind w:right="0" w:rightChars="0"/>
              <w:jc w:val="left"/>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网络安全保障：充分理解项目系统安全需求，提供安全架构，数据保密措施,且提出信息安全建议。</w:t>
            </w:r>
          </w:p>
          <w:p>
            <w:pPr>
              <w:keepNext w:val="0"/>
              <w:keepLines w:val="0"/>
              <w:widowControl/>
              <w:numPr>
                <w:ilvl w:val="0"/>
                <w:numId w:val="0"/>
              </w:numPr>
              <w:suppressLineNumbers w:val="0"/>
              <w:spacing w:before="0" w:beforeAutospacing="0" w:after="0" w:afterAutospacing="0" w:line="360" w:lineRule="auto"/>
              <w:ind w:right="0" w:rightChars="0"/>
              <w:jc w:val="left"/>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①提供的安全架构、数据保密措施、信息安全建议，详细完善、明确符合实际需求、切实可行；10</w:t>
            </w:r>
            <w:r>
              <w:rPr>
                <w:rFonts w:hint="eastAsia" w:ascii="仿宋" w:hAnsi="仿宋" w:eastAsia="仿宋" w:cs="仿宋"/>
                <w:color w:val="000000"/>
                <w:sz w:val="24"/>
                <w:szCs w:val="24"/>
                <w:highlight w:val="none"/>
                <w:lang w:val="en-US" w:eastAsia="zh-CN"/>
              </w:rPr>
              <w:t>分</w:t>
            </w:r>
            <w:r>
              <w:rPr>
                <w:rFonts w:hint="eastAsia" w:ascii="仿宋" w:hAnsi="仿宋" w:eastAsia="仿宋" w:cs="仿宋"/>
                <w:b w:val="0"/>
                <w:color w:val="auto"/>
                <w:kern w:val="0"/>
                <w:sz w:val="24"/>
                <w:szCs w:val="24"/>
                <w:highlight w:val="none"/>
                <w:lang w:val="en-US" w:eastAsia="zh-CN"/>
              </w:rPr>
              <w:t>＜得分≤15分。</w:t>
            </w:r>
          </w:p>
          <w:p>
            <w:pPr>
              <w:keepNext w:val="0"/>
              <w:keepLines w:val="0"/>
              <w:widowControl/>
              <w:numPr>
                <w:ilvl w:val="0"/>
                <w:numId w:val="0"/>
              </w:numPr>
              <w:suppressLineNumbers w:val="0"/>
              <w:spacing w:before="0" w:beforeAutospacing="0" w:after="0" w:afterAutospacing="0" w:line="360" w:lineRule="auto"/>
              <w:ind w:right="0" w:rightChars="0"/>
              <w:jc w:val="left"/>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②提供的安全架构、数据保密措施、信息安全建议，较详细完善、明确能符合、基本实际需求可行；5</w:t>
            </w:r>
            <w:r>
              <w:rPr>
                <w:rFonts w:hint="eastAsia" w:ascii="仿宋" w:hAnsi="仿宋" w:eastAsia="仿宋" w:cs="仿宋"/>
                <w:color w:val="000000"/>
                <w:sz w:val="24"/>
                <w:szCs w:val="24"/>
                <w:highlight w:val="none"/>
                <w:lang w:val="en-US" w:eastAsia="zh-CN"/>
              </w:rPr>
              <w:t>分</w:t>
            </w:r>
            <w:r>
              <w:rPr>
                <w:rFonts w:hint="eastAsia" w:ascii="仿宋" w:hAnsi="仿宋" w:eastAsia="仿宋" w:cs="仿宋"/>
                <w:b w:val="0"/>
                <w:color w:val="auto"/>
                <w:kern w:val="0"/>
                <w:sz w:val="24"/>
                <w:szCs w:val="24"/>
                <w:highlight w:val="none"/>
                <w:lang w:val="en-US" w:eastAsia="zh-CN"/>
              </w:rPr>
              <w:t>＜得分≤10分。</w:t>
            </w:r>
          </w:p>
          <w:p>
            <w:pPr>
              <w:keepNext w:val="0"/>
              <w:keepLines w:val="0"/>
              <w:widowControl/>
              <w:numPr>
                <w:ilvl w:val="0"/>
                <w:numId w:val="0"/>
              </w:numPr>
              <w:suppressLineNumbers w:val="0"/>
              <w:spacing w:before="0" w:beforeAutospacing="0" w:after="0" w:afterAutospacing="0" w:line="360" w:lineRule="auto"/>
              <w:ind w:right="0" w:rightChars="0"/>
              <w:jc w:val="left"/>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③提供的安全架构、数据保密措施、信息安全建议，描述简单、不明确、偏离实际需求不可行0</w:t>
            </w:r>
            <w:r>
              <w:rPr>
                <w:rFonts w:hint="eastAsia" w:ascii="仿宋" w:hAnsi="仿宋" w:eastAsia="仿宋" w:cs="仿宋"/>
                <w:color w:val="000000"/>
                <w:sz w:val="24"/>
                <w:szCs w:val="24"/>
                <w:highlight w:val="none"/>
                <w:lang w:val="en-US" w:eastAsia="zh-CN"/>
              </w:rPr>
              <w:t>分</w:t>
            </w:r>
            <w:r>
              <w:rPr>
                <w:rFonts w:hint="eastAsia" w:ascii="仿宋" w:hAnsi="仿宋" w:eastAsia="仿宋" w:cs="仿宋"/>
                <w:b w:val="0"/>
                <w:color w:val="auto"/>
                <w:kern w:val="0"/>
                <w:sz w:val="24"/>
                <w:szCs w:val="24"/>
                <w:highlight w:val="none"/>
                <w:lang w:val="en-US" w:eastAsia="zh-CN"/>
              </w:rPr>
              <w:t>＜得分≤5分；</w:t>
            </w:r>
          </w:p>
          <w:p>
            <w:pPr>
              <w:keepNext w:val="0"/>
              <w:keepLines w:val="0"/>
              <w:widowControl/>
              <w:numPr>
                <w:ilvl w:val="0"/>
                <w:numId w:val="0"/>
              </w:numPr>
              <w:suppressLineNumbers w:val="0"/>
              <w:spacing w:before="0" w:beforeAutospacing="0" w:after="0" w:afterAutospacing="0" w:line="360" w:lineRule="auto"/>
              <w:ind w:right="0" w:rightChars="0"/>
              <w:jc w:val="left"/>
              <w:rPr>
                <w:rFonts w:hint="eastAsia"/>
                <w:highlight w:val="none"/>
                <w:lang w:val="en-US" w:eastAsia="zh-CN"/>
              </w:rPr>
            </w:pPr>
            <w:r>
              <w:rPr>
                <w:rFonts w:hint="eastAsia" w:ascii="仿宋" w:hAnsi="仿宋" w:eastAsia="仿宋" w:cs="仿宋"/>
                <w:b w:val="0"/>
                <w:color w:val="auto"/>
                <w:kern w:val="0"/>
                <w:sz w:val="24"/>
                <w:szCs w:val="24"/>
                <w:highlight w:val="none"/>
                <w:lang w:val="en-US" w:eastAsia="zh-CN"/>
              </w:rPr>
              <w:t>④未提供不得分。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434"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1031" w:type="dxa"/>
            <w:vMerge w:val="continue"/>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sz w:val="24"/>
                <w:szCs w:val="24"/>
                <w:highlight w:val="none"/>
              </w:rPr>
            </w:pPr>
          </w:p>
        </w:tc>
        <w:tc>
          <w:tcPr>
            <w:tcW w:w="1440" w:type="dxa"/>
            <w:vMerge w:val="continue"/>
            <w:noWrap w:val="0"/>
            <w:vAlign w:val="center"/>
          </w:tcPr>
          <w:p>
            <w:pPr>
              <w:keepNext w:val="0"/>
              <w:keepLines w:val="0"/>
              <w:widowControl/>
              <w:suppressLineNumbers w:val="0"/>
              <w:spacing w:before="0" w:beforeAutospacing="0" w:after="0" w:afterAutospacing="0" w:line="360" w:lineRule="auto"/>
              <w:ind w:left="0" w:leftChars="0" w:right="0" w:rightChars="0"/>
              <w:jc w:val="left"/>
              <w:rPr>
                <w:rFonts w:hint="eastAsia" w:ascii="仿宋" w:hAnsi="仿宋" w:eastAsia="仿宋" w:cs="仿宋"/>
                <w:b w:val="0"/>
                <w:color w:val="auto"/>
                <w:kern w:val="0"/>
                <w:sz w:val="24"/>
                <w:szCs w:val="24"/>
                <w:highlight w:val="none"/>
                <w:lang w:val="en-US" w:eastAsia="zh-CN"/>
              </w:rPr>
            </w:pPr>
          </w:p>
        </w:tc>
        <w:tc>
          <w:tcPr>
            <w:tcW w:w="7612" w:type="dxa"/>
            <w:noWrap w:val="0"/>
            <w:vAlign w:val="center"/>
          </w:tcPr>
          <w:p>
            <w:pPr>
              <w:keepNext w:val="0"/>
              <w:keepLines w:val="0"/>
              <w:widowControl/>
              <w:numPr>
                <w:ilvl w:val="0"/>
                <w:numId w:val="0"/>
              </w:numPr>
              <w:suppressLineNumbers w:val="0"/>
              <w:shd w:val="clear"/>
              <w:spacing w:before="0" w:beforeAutospacing="0" w:after="0" w:afterAutospacing="0" w:line="360" w:lineRule="auto"/>
              <w:ind w:right="0" w:rightChars="0"/>
              <w:jc w:val="left"/>
              <w:rPr>
                <w:rFonts w:hint="eastAsia" w:ascii="仿宋" w:hAnsi="仿宋" w:eastAsia="仿宋" w:cs="仿宋"/>
                <w:b w:val="0"/>
                <w:color w:val="auto"/>
                <w:kern w:val="0"/>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组织及应急方案：提供针对本项目提供组织协调措施、应急方案及措施、质量保证、验收措施。</w:t>
            </w:r>
          </w:p>
          <w:p>
            <w:pPr>
              <w:keepNext w:val="0"/>
              <w:keepLines w:val="0"/>
              <w:widowControl/>
              <w:numPr>
                <w:ilvl w:val="0"/>
                <w:numId w:val="0"/>
              </w:numPr>
              <w:suppressLineNumbers w:val="0"/>
              <w:shd w:val="clear"/>
              <w:spacing w:before="0" w:beforeAutospacing="0" w:after="0" w:afterAutospacing="0" w:line="360" w:lineRule="auto"/>
              <w:ind w:right="0" w:rightChars="0"/>
              <w:jc w:val="left"/>
              <w:rPr>
                <w:rFonts w:hint="eastAsia" w:ascii="仿宋" w:hAnsi="仿宋" w:eastAsia="仿宋" w:cs="仿宋"/>
                <w:color w:val="auto"/>
                <w:spacing w:val="12"/>
                <w:kern w:val="2"/>
                <w:sz w:val="24"/>
                <w:szCs w:val="24"/>
                <w:highlight w:val="none"/>
                <w:lang w:val="en-US" w:eastAsia="zh-CN" w:bidi="ar-SA"/>
              </w:rPr>
            </w:pPr>
            <w:r>
              <w:rPr>
                <w:rFonts w:hint="eastAsia" w:ascii="仿宋" w:hAnsi="仿宋" w:eastAsia="仿宋" w:cs="仿宋"/>
                <w:color w:val="auto"/>
                <w:spacing w:val="12"/>
                <w:kern w:val="2"/>
                <w:sz w:val="24"/>
                <w:szCs w:val="24"/>
                <w:highlight w:val="none"/>
                <w:lang w:val="en-US" w:eastAsia="zh-CN" w:bidi="ar-SA"/>
              </w:rPr>
              <w:t>①</w:t>
            </w:r>
            <w:r>
              <w:rPr>
                <w:rFonts w:hint="eastAsia" w:ascii="仿宋" w:hAnsi="仿宋" w:eastAsia="仿宋" w:cs="仿宋"/>
                <w:b w:val="0"/>
                <w:color w:val="auto"/>
                <w:kern w:val="0"/>
                <w:sz w:val="24"/>
                <w:szCs w:val="24"/>
                <w:highlight w:val="none"/>
                <w:lang w:val="en-US" w:eastAsia="zh-CN"/>
              </w:rPr>
              <w:t>组织及应急</w:t>
            </w:r>
            <w:r>
              <w:rPr>
                <w:rFonts w:hint="eastAsia" w:ascii="仿宋" w:hAnsi="仿宋" w:eastAsia="仿宋" w:cs="仿宋"/>
                <w:color w:val="auto"/>
                <w:spacing w:val="12"/>
                <w:kern w:val="2"/>
                <w:sz w:val="24"/>
                <w:szCs w:val="24"/>
                <w:highlight w:val="none"/>
                <w:lang w:val="en-US" w:eastAsia="zh-CN" w:bidi="ar-SA"/>
              </w:rPr>
              <w:t>方案详细完善、明确符合实际需求、切实可行；4</w:t>
            </w:r>
            <w:r>
              <w:rPr>
                <w:rFonts w:hint="eastAsia" w:ascii="仿宋" w:hAnsi="仿宋" w:eastAsia="仿宋" w:cs="仿宋"/>
                <w:color w:val="000000"/>
                <w:sz w:val="24"/>
                <w:szCs w:val="24"/>
                <w:highlight w:val="none"/>
                <w:lang w:val="en-US" w:eastAsia="zh-CN"/>
              </w:rPr>
              <w:t>分</w:t>
            </w:r>
            <w:r>
              <w:rPr>
                <w:rFonts w:hint="eastAsia" w:ascii="仿宋" w:hAnsi="仿宋" w:eastAsia="仿宋" w:cs="仿宋"/>
                <w:color w:val="auto"/>
                <w:spacing w:val="12"/>
                <w:kern w:val="2"/>
                <w:sz w:val="24"/>
                <w:szCs w:val="24"/>
                <w:highlight w:val="none"/>
                <w:lang w:val="en-US" w:eastAsia="zh-CN" w:bidi="ar-SA"/>
              </w:rPr>
              <w:t>＜得分≤6分。</w:t>
            </w:r>
          </w:p>
          <w:p>
            <w:pPr>
              <w:keepNext w:val="0"/>
              <w:keepLines w:val="0"/>
              <w:widowControl/>
              <w:numPr>
                <w:ilvl w:val="0"/>
                <w:numId w:val="0"/>
              </w:numPr>
              <w:suppressLineNumbers w:val="0"/>
              <w:shd w:val="clear"/>
              <w:spacing w:before="0" w:beforeAutospacing="0" w:after="0" w:afterAutospacing="0" w:line="360" w:lineRule="auto"/>
              <w:ind w:right="0" w:rightChars="0"/>
              <w:jc w:val="left"/>
              <w:rPr>
                <w:rFonts w:hint="eastAsia" w:ascii="仿宋" w:hAnsi="仿宋" w:eastAsia="仿宋" w:cs="仿宋"/>
                <w:color w:val="auto"/>
                <w:spacing w:val="12"/>
                <w:kern w:val="2"/>
                <w:sz w:val="24"/>
                <w:szCs w:val="24"/>
                <w:highlight w:val="none"/>
                <w:lang w:val="en-US" w:eastAsia="zh-CN" w:bidi="ar-SA"/>
              </w:rPr>
            </w:pPr>
            <w:r>
              <w:rPr>
                <w:rFonts w:hint="eastAsia" w:ascii="仿宋" w:hAnsi="仿宋" w:eastAsia="仿宋" w:cs="仿宋"/>
                <w:color w:val="auto"/>
                <w:spacing w:val="12"/>
                <w:kern w:val="2"/>
                <w:sz w:val="24"/>
                <w:szCs w:val="24"/>
                <w:highlight w:val="none"/>
                <w:lang w:val="en-US" w:eastAsia="zh-CN" w:bidi="ar-SA"/>
              </w:rPr>
              <w:t>②组织及应急方案较详细完善、明确能符合、基本实际需求可行；2</w:t>
            </w:r>
            <w:r>
              <w:rPr>
                <w:rFonts w:hint="eastAsia" w:ascii="仿宋" w:hAnsi="仿宋" w:eastAsia="仿宋" w:cs="仿宋"/>
                <w:color w:val="000000"/>
                <w:sz w:val="24"/>
                <w:szCs w:val="24"/>
                <w:highlight w:val="none"/>
                <w:lang w:val="en-US" w:eastAsia="zh-CN"/>
              </w:rPr>
              <w:t>分</w:t>
            </w:r>
            <w:r>
              <w:rPr>
                <w:rFonts w:hint="eastAsia" w:ascii="仿宋" w:hAnsi="仿宋" w:eastAsia="仿宋" w:cs="仿宋"/>
                <w:color w:val="auto"/>
                <w:spacing w:val="12"/>
                <w:kern w:val="2"/>
                <w:sz w:val="24"/>
                <w:szCs w:val="24"/>
                <w:highlight w:val="none"/>
                <w:lang w:val="en-US" w:eastAsia="zh-CN" w:bidi="ar-SA"/>
              </w:rPr>
              <w:t>＜得分≤4分。</w:t>
            </w:r>
          </w:p>
          <w:p>
            <w:pPr>
              <w:keepNext w:val="0"/>
              <w:keepLines w:val="0"/>
              <w:widowControl/>
              <w:numPr>
                <w:ilvl w:val="0"/>
                <w:numId w:val="0"/>
              </w:numPr>
              <w:suppressLineNumbers w:val="0"/>
              <w:shd w:val="clear"/>
              <w:spacing w:before="0" w:beforeAutospacing="0" w:after="0" w:afterAutospacing="0" w:line="360" w:lineRule="auto"/>
              <w:ind w:right="0" w:rightChars="0"/>
              <w:jc w:val="left"/>
              <w:rPr>
                <w:rFonts w:hint="eastAsia" w:ascii="仿宋" w:hAnsi="仿宋" w:eastAsia="仿宋" w:cs="仿宋"/>
                <w:color w:val="auto"/>
                <w:spacing w:val="12"/>
                <w:kern w:val="2"/>
                <w:sz w:val="24"/>
                <w:szCs w:val="24"/>
                <w:highlight w:val="none"/>
                <w:lang w:val="en-US" w:eastAsia="zh-CN" w:bidi="ar-SA"/>
              </w:rPr>
            </w:pPr>
            <w:r>
              <w:rPr>
                <w:rFonts w:hint="eastAsia" w:ascii="仿宋" w:hAnsi="仿宋" w:eastAsia="仿宋" w:cs="仿宋"/>
                <w:color w:val="auto"/>
                <w:spacing w:val="12"/>
                <w:kern w:val="2"/>
                <w:sz w:val="24"/>
                <w:szCs w:val="24"/>
                <w:highlight w:val="none"/>
                <w:lang w:val="en-US" w:eastAsia="zh-CN" w:bidi="ar-SA"/>
              </w:rPr>
              <w:t>③组织及应急方案描述简单、不明确、偏离实际需求不可行；0</w:t>
            </w:r>
            <w:r>
              <w:rPr>
                <w:rFonts w:hint="eastAsia" w:ascii="仿宋" w:hAnsi="仿宋" w:eastAsia="仿宋" w:cs="仿宋"/>
                <w:color w:val="000000"/>
                <w:sz w:val="24"/>
                <w:szCs w:val="24"/>
                <w:highlight w:val="none"/>
                <w:lang w:val="en-US" w:eastAsia="zh-CN"/>
              </w:rPr>
              <w:t>分</w:t>
            </w:r>
            <w:r>
              <w:rPr>
                <w:rFonts w:hint="eastAsia" w:ascii="仿宋" w:hAnsi="仿宋" w:eastAsia="仿宋" w:cs="仿宋"/>
                <w:color w:val="auto"/>
                <w:spacing w:val="12"/>
                <w:kern w:val="2"/>
                <w:sz w:val="24"/>
                <w:szCs w:val="24"/>
                <w:highlight w:val="none"/>
                <w:lang w:val="en-US" w:eastAsia="zh-CN" w:bidi="ar-SA"/>
              </w:rPr>
              <w:t>＜得分≤2分。</w:t>
            </w:r>
          </w:p>
          <w:p>
            <w:pPr>
              <w:keepNext w:val="0"/>
              <w:keepLines w:val="0"/>
              <w:widowControl/>
              <w:numPr>
                <w:ilvl w:val="0"/>
                <w:numId w:val="0"/>
              </w:numPr>
              <w:suppressLineNumbers w:val="0"/>
              <w:shd w:val="clear"/>
              <w:spacing w:before="0" w:beforeAutospacing="0" w:after="0" w:afterAutospacing="0" w:line="360" w:lineRule="auto"/>
              <w:ind w:right="0" w:rightChars="0"/>
              <w:jc w:val="left"/>
              <w:rPr>
                <w:rFonts w:hint="eastAsia" w:ascii="仿宋" w:hAnsi="仿宋" w:eastAsia="仿宋" w:cs="仿宋"/>
                <w:sz w:val="24"/>
                <w:szCs w:val="24"/>
                <w:highlight w:val="none"/>
              </w:rPr>
            </w:pPr>
            <w:r>
              <w:rPr>
                <w:rFonts w:hint="eastAsia" w:ascii="仿宋" w:hAnsi="仿宋" w:eastAsia="仿宋" w:cs="仿宋"/>
                <w:color w:val="auto"/>
                <w:spacing w:val="12"/>
                <w:kern w:val="2"/>
                <w:sz w:val="24"/>
                <w:szCs w:val="24"/>
                <w:highlight w:val="none"/>
                <w:lang w:val="en-US" w:eastAsia="zh-CN" w:bidi="ar-SA"/>
              </w:rPr>
              <w:t>④未提供不得分。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34" w:type="dxa"/>
            <w:noWrap w:val="0"/>
            <w:vAlign w:val="center"/>
          </w:tcPr>
          <w:p>
            <w:pPr>
              <w:spacing w:line="36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sz w:val="24"/>
                <w:szCs w:val="24"/>
                <w:highlight w:val="none"/>
              </w:rPr>
              <w:t>3</w:t>
            </w:r>
          </w:p>
        </w:tc>
        <w:tc>
          <w:tcPr>
            <w:tcW w:w="2471" w:type="dxa"/>
            <w:gridSpan w:val="2"/>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业绩</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5分</w:t>
            </w:r>
            <w:r>
              <w:rPr>
                <w:rFonts w:hint="eastAsia" w:ascii="仿宋" w:hAnsi="仿宋" w:eastAsia="仿宋" w:cs="仿宋"/>
                <w:color w:val="auto"/>
                <w:sz w:val="24"/>
                <w:szCs w:val="24"/>
                <w:highlight w:val="none"/>
                <w:lang w:eastAsia="zh-CN"/>
              </w:rPr>
              <w:t>）</w:t>
            </w:r>
          </w:p>
        </w:tc>
        <w:tc>
          <w:tcPr>
            <w:tcW w:w="7612" w:type="dxa"/>
            <w:noWrap w:val="0"/>
            <w:vAlign w:val="center"/>
          </w:tcPr>
          <w:p>
            <w:pPr>
              <w:keepNext w:val="0"/>
              <w:keepLines w:val="0"/>
              <w:suppressLineNumbers w:val="0"/>
              <w:spacing w:before="0" w:beforeAutospacing="0" w:after="0" w:afterAutospacing="0" w:line="360" w:lineRule="auto"/>
              <w:ind w:left="0" w:leftChars="0" w:right="0" w:rightChars="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供应商提供2020年1月至开标前完成类似业绩，以合同签订日期为准，供应商提供合同复印件加盖公章，每提供一份计1分，此项共计5分。</w:t>
            </w:r>
          </w:p>
          <w:p>
            <w:pPr>
              <w:keepNext w:val="0"/>
              <w:keepLines w:val="0"/>
              <w:suppressLineNumbers w:val="0"/>
              <w:spacing w:before="0" w:beforeAutospacing="0" w:after="0" w:afterAutospacing="0" w:line="360" w:lineRule="auto"/>
              <w:ind w:left="0" w:leftChars="0" w:right="0" w:rightChars="0"/>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注：①合同复印件，至少包括合同封面、甲乙双方名称及盖章、金额、服务内容；②履行合同完成的验收证明复印件。③资料不全或未提供不得分。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34" w:type="dxa"/>
            <w:noWrap w:val="0"/>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2471" w:type="dxa"/>
            <w:gridSpan w:val="2"/>
            <w:noWrap w:val="0"/>
            <w:vAlign w:val="center"/>
          </w:tcPr>
          <w:p>
            <w:pPr>
              <w:pStyle w:val="16"/>
              <w:keepNext w:val="0"/>
              <w:keepLines w:val="0"/>
              <w:suppressLineNumbers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售后服务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10分</w:t>
            </w:r>
            <w:r>
              <w:rPr>
                <w:rFonts w:hint="eastAsia" w:ascii="仿宋" w:hAnsi="仿宋" w:eastAsia="仿宋" w:cs="仿宋"/>
                <w:color w:val="auto"/>
                <w:sz w:val="24"/>
                <w:szCs w:val="24"/>
                <w:highlight w:val="none"/>
                <w:lang w:eastAsia="zh-CN"/>
              </w:rPr>
              <w:t>）</w:t>
            </w:r>
          </w:p>
        </w:tc>
        <w:tc>
          <w:tcPr>
            <w:tcW w:w="7612" w:type="dxa"/>
            <w:noWrap w:val="0"/>
            <w:vAlign w:val="center"/>
          </w:tcPr>
          <w:p>
            <w:pPr>
              <w:pStyle w:val="16"/>
              <w:keepNext w:val="0"/>
              <w:keepLines w:val="0"/>
              <w:suppressLineNumbers w:val="0"/>
              <w:spacing w:before="0" w:beforeAutospacing="0" w:after="0" w:afterAutospacing="0" w:line="360" w:lineRule="auto"/>
              <w:ind w:left="0" w:leftChars="0" w:right="0" w:rightChars="0" w:firstLine="0" w:firstLineChars="0"/>
              <w:rPr>
                <w:rFonts w:hint="eastAsia" w:ascii="仿宋" w:hAnsi="仿宋" w:eastAsia="仿宋" w:cs="仿宋"/>
                <w:color w:val="auto"/>
                <w:spacing w:val="12"/>
                <w:kern w:val="2"/>
                <w:sz w:val="24"/>
                <w:szCs w:val="24"/>
                <w:highlight w:val="none"/>
                <w:lang w:val="en-US" w:eastAsia="zh-CN" w:bidi="ar-SA"/>
              </w:rPr>
            </w:pPr>
            <w:r>
              <w:rPr>
                <w:rFonts w:hint="eastAsia" w:ascii="仿宋" w:hAnsi="仿宋" w:eastAsia="仿宋" w:cs="仿宋"/>
                <w:color w:val="auto"/>
                <w:spacing w:val="12"/>
                <w:kern w:val="2"/>
                <w:sz w:val="24"/>
                <w:szCs w:val="24"/>
                <w:highlight w:val="none"/>
                <w:lang w:val="en-US" w:eastAsia="zh-CN" w:bidi="ar-SA"/>
              </w:rPr>
              <w:t>售后服务方案：售后服务机构情况、售后服务人员安排、售后服务响应时间与处理时间、售后服务内容及方式。</w:t>
            </w:r>
          </w:p>
          <w:p>
            <w:pPr>
              <w:spacing w:line="360" w:lineRule="auto"/>
              <w:rPr>
                <w:rFonts w:hint="eastAsia" w:ascii="仿宋" w:hAnsi="仿宋" w:eastAsia="仿宋" w:cs="仿宋"/>
                <w:color w:val="auto"/>
                <w:spacing w:val="12"/>
                <w:kern w:val="2"/>
                <w:sz w:val="24"/>
                <w:szCs w:val="24"/>
                <w:highlight w:val="none"/>
                <w:lang w:val="en-US" w:eastAsia="zh-CN" w:bidi="ar-SA"/>
              </w:rPr>
            </w:pPr>
            <w:r>
              <w:rPr>
                <w:rFonts w:hint="eastAsia" w:ascii="仿宋" w:hAnsi="仿宋" w:eastAsia="仿宋" w:cs="仿宋"/>
                <w:color w:val="auto"/>
                <w:spacing w:val="12"/>
                <w:kern w:val="2"/>
                <w:sz w:val="24"/>
                <w:szCs w:val="24"/>
                <w:highlight w:val="none"/>
                <w:lang w:val="en-US" w:eastAsia="zh-CN" w:bidi="ar-SA"/>
              </w:rPr>
              <w:t>①售后服务方案详细完善、补救措施明确符合实际需求、切实可行6</w:t>
            </w:r>
            <w:r>
              <w:rPr>
                <w:rFonts w:hint="eastAsia" w:ascii="仿宋" w:hAnsi="仿宋" w:eastAsia="仿宋" w:cs="仿宋"/>
                <w:color w:val="000000"/>
                <w:sz w:val="24"/>
                <w:szCs w:val="24"/>
                <w:highlight w:val="none"/>
                <w:lang w:val="en-US" w:eastAsia="zh-CN"/>
              </w:rPr>
              <w:t>分</w:t>
            </w:r>
            <w:r>
              <w:rPr>
                <w:rFonts w:hint="eastAsia" w:ascii="仿宋" w:hAnsi="仿宋" w:eastAsia="仿宋" w:cs="仿宋"/>
                <w:color w:val="auto"/>
                <w:spacing w:val="12"/>
                <w:kern w:val="2"/>
                <w:sz w:val="24"/>
                <w:szCs w:val="24"/>
                <w:highlight w:val="none"/>
                <w:lang w:val="en-US" w:eastAsia="zh-CN" w:bidi="ar-SA"/>
              </w:rPr>
              <w:t>＜得分≤10分；</w:t>
            </w:r>
          </w:p>
          <w:p>
            <w:pPr>
              <w:spacing w:line="360" w:lineRule="auto"/>
              <w:rPr>
                <w:rFonts w:hint="eastAsia" w:ascii="仿宋" w:hAnsi="仿宋" w:eastAsia="仿宋" w:cs="仿宋"/>
                <w:color w:val="auto"/>
                <w:spacing w:val="12"/>
                <w:kern w:val="2"/>
                <w:sz w:val="24"/>
                <w:szCs w:val="24"/>
                <w:highlight w:val="none"/>
                <w:lang w:val="en-US" w:eastAsia="zh-CN" w:bidi="ar-SA"/>
              </w:rPr>
            </w:pPr>
            <w:r>
              <w:rPr>
                <w:rFonts w:hint="eastAsia" w:ascii="仿宋" w:hAnsi="仿宋" w:eastAsia="仿宋" w:cs="仿宋"/>
                <w:color w:val="auto"/>
                <w:spacing w:val="12"/>
                <w:kern w:val="2"/>
                <w:sz w:val="24"/>
                <w:szCs w:val="24"/>
                <w:highlight w:val="none"/>
                <w:lang w:val="en-US" w:eastAsia="zh-CN" w:bidi="ar-SA"/>
              </w:rPr>
              <w:t>②售后服务方案较详细完善、补救措施明确能符合、基本实际需求可行4</w:t>
            </w:r>
            <w:r>
              <w:rPr>
                <w:rFonts w:hint="eastAsia" w:ascii="仿宋" w:hAnsi="仿宋" w:eastAsia="仿宋" w:cs="仿宋"/>
                <w:color w:val="000000"/>
                <w:sz w:val="24"/>
                <w:szCs w:val="24"/>
                <w:highlight w:val="none"/>
                <w:lang w:val="en-US" w:eastAsia="zh-CN"/>
              </w:rPr>
              <w:t>分</w:t>
            </w:r>
            <w:r>
              <w:rPr>
                <w:rFonts w:hint="eastAsia" w:ascii="仿宋" w:hAnsi="仿宋" w:eastAsia="仿宋" w:cs="仿宋"/>
                <w:color w:val="auto"/>
                <w:spacing w:val="12"/>
                <w:kern w:val="2"/>
                <w:sz w:val="24"/>
                <w:szCs w:val="24"/>
                <w:highlight w:val="none"/>
                <w:lang w:val="en-US" w:eastAsia="zh-CN" w:bidi="ar-SA"/>
              </w:rPr>
              <w:t>＜得分≤6分；</w:t>
            </w:r>
          </w:p>
          <w:p>
            <w:pPr>
              <w:spacing w:line="360" w:lineRule="auto"/>
              <w:rPr>
                <w:rFonts w:hint="eastAsia" w:ascii="仿宋" w:hAnsi="仿宋" w:eastAsia="仿宋" w:cs="仿宋"/>
                <w:color w:val="auto"/>
                <w:spacing w:val="12"/>
                <w:kern w:val="2"/>
                <w:sz w:val="24"/>
                <w:szCs w:val="24"/>
                <w:highlight w:val="none"/>
                <w:lang w:val="en-US" w:eastAsia="zh-CN" w:bidi="ar-SA"/>
              </w:rPr>
            </w:pPr>
            <w:r>
              <w:rPr>
                <w:rFonts w:hint="eastAsia" w:ascii="仿宋" w:hAnsi="仿宋" w:eastAsia="仿宋" w:cs="仿宋"/>
                <w:color w:val="auto"/>
                <w:spacing w:val="12"/>
                <w:kern w:val="2"/>
                <w:sz w:val="24"/>
                <w:szCs w:val="24"/>
                <w:highlight w:val="none"/>
                <w:lang w:val="en-US" w:eastAsia="zh-CN" w:bidi="ar-SA"/>
              </w:rPr>
              <w:t>③售后服务方案描述简单、补救措施不明确、偏离实际需求不可行1</w:t>
            </w:r>
            <w:r>
              <w:rPr>
                <w:rFonts w:hint="eastAsia" w:ascii="仿宋" w:hAnsi="仿宋" w:eastAsia="仿宋" w:cs="仿宋"/>
                <w:color w:val="000000"/>
                <w:sz w:val="24"/>
                <w:szCs w:val="24"/>
                <w:highlight w:val="none"/>
                <w:lang w:val="en-US" w:eastAsia="zh-CN"/>
              </w:rPr>
              <w:t>分</w:t>
            </w:r>
            <w:r>
              <w:rPr>
                <w:rFonts w:hint="eastAsia" w:ascii="仿宋" w:hAnsi="仿宋" w:eastAsia="仿宋" w:cs="仿宋"/>
                <w:color w:val="auto"/>
                <w:spacing w:val="12"/>
                <w:kern w:val="2"/>
                <w:sz w:val="24"/>
                <w:szCs w:val="24"/>
                <w:highlight w:val="none"/>
                <w:lang w:val="en-US" w:eastAsia="zh-CN" w:bidi="ar-SA"/>
              </w:rPr>
              <w:t>＜得分≤4分；</w:t>
            </w:r>
          </w:p>
          <w:p>
            <w:pPr>
              <w:pStyle w:val="10"/>
              <w:spacing w:line="360" w:lineRule="auto"/>
              <w:rPr>
                <w:rFonts w:hint="default" w:eastAsia="宋体"/>
                <w:highlight w:val="none"/>
                <w:lang w:val="en-US" w:eastAsia="zh-CN"/>
              </w:rPr>
            </w:pPr>
            <w:r>
              <w:rPr>
                <w:rFonts w:hint="eastAsia" w:ascii="仿宋" w:hAnsi="仿宋" w:eastAsia="仿宋" w:cs="仿宋"/>
                <w:color w:val="auto"/>
                <w:spacing w:val="12"/>
                <w:kern w:val="2"/>
                <w:sz w:val="24"/>
                <w:szCs w:val="24"/>
                <w:highlight w:val="none"/>
                <w:lang w:val="en-US" w:eastAsia="zh-CN" w:bidi="ar-SA"/>
              </w:rPr>
              <w:t>④未提供不得分。</w:t>
            </w:r>
          </w:p>
        </w:tc>
      </w:tr>
    </w:tbl>
    <w:p>
      <w:pPr>
        <w:pStyle w:val="11"/>
        <w:pageBreakBefore w:val="0"/>
        <w:kinsoku/>
        <w:wordWrap/>
        <w:overflowPunct/>
        <w:topLinePunct w:val="0"/>
        <w:autoSpaceDE/>
        <w:autoSpaceDN/>
        <w:bidi w:val="0"/>
        <w:adjustRightInd/>
        <w:snapToGrid/>
        <w:spacing w:line="360" w:lineRule="auto"/>
        <w:ind w:firstLine="0"/>
        <w:jc w:val="left"/>
        <w:textAlignment w:val="auto"/>
        <w:rPr>
          <w:rFonts w:hint="eastAsia" w:ascii="仿宋" w:hAnsi="仿宋" w:eastAsia="仿宋" w:cs="仿宋"/>
          <w:b/>
          <w:color w:val="auto"/>
          <w:sz w:val="24"/>
          <w:szCs w:val="24"/>
          <w:highlight w:val="none"/>
        </w:rPr>
      </w:pPr>
    </w:p>
    <w:p>
      <w:pPr>
        <w:pStyle w:val="11"/>
        <w:pageBreakBefore w:val="0"/>
        <w:kinsoku/>
        <w:wordWrap/>
        <w:overflowPunct/>
        <w:topLinePunct w:val="0"/>
        <w:autoSpaceDE/>
        <w:autoSpaceDN/>
        <w:bidi w:val="0"/>
        <w:adjustRightInd/>
        <w:snapToGrid/>
        <w:spacing w:line="360" w:lineRule="auto"/>
        <w:ind w:firstLine="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p>
      <w:pPr>
        <w:pageBreakBefore w:val="0"/>
        <w:kinsoku/>
        <w:wordWrap/>
        <w:overflowPunct/>
        <w:topLinePunct w:val="0"/>
        <w:autoSpaceDE/>
        <w:autoSpaceDN/>
        <w:bidi w:val="0"/>
        <w:adjustRightInd/>
        <w:snapToGrid/>
        <w:spacing w:line="360" w:lineRule="auto"/>
        <w:ind w:firstLine="470" w:firstLineChars="196"/>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若出现综合得分并列时，按磋商报价由低到高顺序排列；若报价得分仍相同，比较评审因素的量化指标评审得分，此分项得分高者排序在前；若评审因素的量化指标得分仍相同，则由磋商小组无记名投票，得票高者排序在前。</w:t>
      </w:r>
    </w:p>
    <w:p>
      <w:pPr>
        <w:pageBreakBefore w:val="0"/>
        <w:kinsoku/>
        <w:wordWrap/>
        <w:overflowPunct/>
        <w:topLinePunct w:val="0"/>
        <w:autoSpaceDE/>
        <w:autoSpaceDN/>
        <w:bidi w:val="0"/>
        <w:adjustRightInd/>
        <w:snapToGrid/>
        <w:spacing w:line="360" w:lineRule="auto"/>
        <w:ind w:firstLine="470" w:firstLineChars="196"/>
        <w:textAlignment w:val="auto"/>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2)磋商响应文件中缺少某分项时，该分项为0分。</w:t>
      </w:r>
    </w:p>
    <w:p>
      <w:pPr>
        <w:pageBreakBefore w:val="0"/>
        <w:kinsoku/>
        <w:wordWrap/>
        <w:overflowPunct/>
        <w:topLinePunct w:val="0"/>
        <w:autoSpaceDE/>
        <w:autoSpaceDN/>
        <w:bidi w:val="0"/>
        <w:adjustRightInd/>
        <w:snapToGrid/>
        <w:spacing w:line="360" w:lineRule="auto"/>
        <w:ind w:firstLine="470" w:firstLineChars="196"/>
        <w:textAlignment w:val="auto"/>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3)评委打分超过得分界限或未按本方法赋分时，该评委的打分按废票处理。</w:t>
      </w:r>
    </w:p>
    <w:p>
      <w:pPr>
        <w:pageBreakBefore w:val="0"/>
        <w:kinsoku/>
        <w:wordWrap/>
        <w:overflowPunct/>
        <w:topLinePunct w:val="0"/>
        <w:autoSpaceDE/>
        <w:autoSpaceDN/>
        <w:bidi w:val="0"/>
        <w:adjustRightInd/>
        <w:snapToGrid/>
        <w:spacing w:line="360" w:lineRule="auto"/>
        <w:ind w:firstLine="470" w:firstLineChars="196"/>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4)各种计算采用插入法，数字均保留两位小数，第三位“四舍五入”。</w:t>
      </w:r>
    </w:p>
    <w:p>
      <w:pPr>
        <w:pageBreakBefore w:val="0"/>
        <w:kinsoku/>
        <w:wordWrap/>
        <w:overflowPunct/>
        <w:topLinePunct w:val="0"/>
        <w:autoSpaceDE/>
        <w:autoSpaceDN/>
        <w:bidi w:val="0"/>
        <w:adjustRightInd/>
        <w:snapToGrid/>
        <w:spacing w:line="360" w:lineRule="auto"/>
        <w:ind w:firstLine="470" w:firstLineChars="196"/>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5）最低报价不是中标的唯一条件。</w:t>
      </w:r>
    </w:p>
    <w:p>
      <w:pPr>
        <w:pageBreakBefore w:val="0"/>
        <w:kinsoku/>
        <w:wordWrap/>
        <w:overflowPunct/>
        <w:topLinePunct w:val="0"/>
        <w:autoSpaceDE/>
        <w:autoSpaceDN/>
        <w:bidi w:val="0"/>
        <w:adjustRightInd/>
        <w:snapToGrid/>
        <w:spacing w:afterAutospacing="0" w:line="360" w:lineRule="auto"/>
        <w:ind w:firstLine="470" w:firstLineChars="196"/>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 xml:space="preserve">6）评标过程中，若出现特殊情况时，由磋商小组决定暂停评标，并提出具体处理意见。 </w:t>
      </w:r>
    </w:p>
    <w:p>
      <w:pPr>
        <w:pStyle w:val="3"/>
        <w:bidi w:val="0"/>
        <w:spacing w:before="0" w:beforeAutospacing="0" w:after="0" w:afterAutospacing="0"/>
        <w:rPr>
          <w:rFonts w:hint="eastAsia" w:ascii="仿宋" w:hAnsi="仿宋" w:eastAsia="仿宋" w:cs="仿宋"/>
          <w:highlight w:val="none"/>
          <w:lang w:val="en-US"/>
        </w:rPr>
      </w:pPr>
      <w:bookmarkStart w:id="273" w:name="_Toc31010"/>
      <w:r>
        <w:rPr>
          <w:rFonts w:hint="eastAsia" w:ascii="仿宋" w:hAnsi="仿宋" w:eastAsia="仿宋" w:cs="仿宋"/>
          <w:highlight w:val="none"/>
          <w:lang w:val="en-US" w:eastAsia="zh-CN"/>
        </w:rPr>
        <w:t>六、定标</w:t>
      </w:r>
      <w:bookmarkEnd w:id="273"/>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96" w:firstLineChars="200"/>
        <w:jc w:val="both"/>
        <w:textAlignment w:val="auto"/>
        <w:rPr>
          <w:rFonts w:hint="eastAsia" w:ascii="仿宋" w:hAnsi="仿宋" w:eastAsia="仿宋" w:cs="仿宋"/>
          <w:color w:val="auto"/>
          <w:spacing w:val="4"/>
          <w:sz w:val="24"/>
          <w:szCs w:val="24"/>
          <w:highlight w:val="none"/>
          <w:lang w:val="en-US"/>
        </w:rPr>
      </w:pPr>
      <w:r>
        <w:rPr>
          <w:rFonts w:hint="eastAsia" w:ascii="仿宋" w:hAnsi="仿宋" w:eastAsia="仿宋" w:cs="仿宋"/>
          <w:color w:val="auto"/>
          <w:spacing w:val="4"/>
          <w:kern w:val="2"/>
          <w:sz w:val="24"/>
          <w:szCs w:val="24"/>
          <w:highlight w:val="none"/>
          <w:lang w:val="en-US" w:eastAsia="zh-CN" w:bidi="ar"/>
        </w:rPr>
        <w:t>1、评标结果由全体</w:t>
      </w:r>
      <w:r>
        <w:rPr>
          <w:rFonts w:hint="eastAsia" w:ascii="仿宋" w:hAnsi="仿宋" w:eastAsia="仿宋" w:cs="仿宋"/>
          <w:color w:val="auto"/>
          <w:kern w:val="2"/>
          <w:sz w:val="24"/>
          <w:szCs w:val="24"/>
          <w:highlight w:val="none"/>
          <w:lang w:val="en-US" w:eastAsia="zh-CN" w:bidi="ar"/>
        </w:rPr>
        <w:t>磋商小组成员</w:t>
      </w:r>
      <w:r>
        <w:rPr>
          <w:rFonts w:hint="eastAsia" w:ascii="仿宋" w:hAnsi="仿宋" w:eastAsia="仿宋" w:cs="仿宋"/>
          <w:color w:val="auto"/>
          <w:spacing w:val="4"/>
          <w:kern w:val="2"/>
          <w:sz w:val="24"/>
          <w:szCs w:val="24"/>
          <w:highlight w:val="none"/>
          <w:lang w:val="en-US" w:eastAsia="zh-CN" w:bidi="ar"/>
        </w:rPr>
        <w:t>签字确认。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仿宋" w:hAnsi="仿宋" w:eastAsia="仿宋" w:cs="仿宋"/>
          <w:highlight w:val="none"/>
          <w:lang w:val="en-US" w:eastAsia="zh-CN"/>
        </w:rPr>
      </w:pPr>
      <w:r>
        <w:rPr>
          <w:rFonts w:hint="eastAsia" w:ascii="仿宋" w:hAnsi="仿宋" w:eastAsia="仿宋" w:cs="仿宋"/>
          <w:color w:val="auto"/>
          <w:spacing w:val="4"/>
          <w:kern w:val="2"/>
          <w:sz w:val="24"/>
          <w:szCs w:val="24"/>
          <w:highlight w:val="none"/>
          <w:lang w:val="en-US" w:eastAsia="zh-CN" w:bidi="ar"/>
        </w:rPr>
        <w:t>2、采购人根据评标报告中推荐的成交候选人排列顺序确定成交人，以复函通知采购代理机构。</w:t>
      </w:r>
    </w:p>
    <w:p>
      <w:pPr>
        <w:rPr>
          <w:rFonts w:hint="eastAsia" w:ascii="仿宋" w:hAnsi="仿宋" w:eastAsia="仿宋" w:cs="仿宋"/>
          <w:color w:val="auto"/>
          <w:highlight w:val="none"/>
        </w:rPr>
      </w:pPr>
      <w:bookmarkStart w:id="274" w:name="_Toc16425"/>
      <w:bookmarkStart w:id="275" w:name="_Toc21797"/>
      <w:bookmarkStart w:id="276" w:name="_Toc315"/>
      <w:bookmarkStart w:id="277" w:name="_Toc14046"/>
      <w:r>
        <w:rPr>
          <w:rFonts w:hint="eastAsia" w:ascii="仿宋" w:hAnsi="仿宋" w:eastAsia="仿宋" w:cs="仿宋"/>
          <w:color w:val="auto"/>
          <w:highlight w:val="none"/>
        </w:rPr>
        <w:br w:type="page"/>
      </w:r>
    </w:p>
    <w:p>
      <w:pPr>
        <w:pStyle w:val="2"/>
        <w:bidi w:val="0"/>
        <w:rPr>
          <w:rFonts w:hint="eastAsia" w:ascii="仿宋" w:hAnsi="仿宋" w:eastAsia="仿宋" w:cs="仿宋"/>
          <w:highlight w:val="none"/>
          <w:lang w:val="en-US" w:eastAsia="zh-CN"/>
        </w:rPr>
      </w:pPr>
      <w:bookmarkStart w:id="278" w:name="_Toc197"/>
      <w:r>
        <w:rPr>
          <w:rFonts w:hint="eastAsia" w:ascii="仿宋" w:hAnsi="仿宋" w:eastAsia="仿宋" w:cs="仿宋"/>
          <w:highlight w:val="none"/>
          <w:lang w:val="en-US" w:eastAsia="zh-CN"/>
        </w:rPr>
        <w:t>第七章 响应文件格式</w:t>
      </w:r>
      <w:bookmarkEnd w:id="200"/>
      <w:bookmarkEnd w:id="201"/>
      <w:bookmarkEnd w:id="206"/>
      <w:bookmarkEnd w:id="274"/>
      <w:bookmarkEnd w:id="275"/>
      <w:bookmarkEnd w:id="276"/>
      <w:bookmarkEnd w:id="277"/>
      <w:bookmarkEnd w:id="278"/>
    </w:p>
    <w:p>
      <w:pPr>
        <w:pStyle w:val="17"/>
        <w:rPr>
          <w:rFonts w:hint="eastAsia" w:ascii="仿宋" w:hAnsi="仿宋" w:eastAsia="仿宋" w:cs="仿宋"/>
          <w:b/>
          <w:bCs/>
          <w:color w:val="auto"/>
          <w:sz w:val="32"/>
          <w:szCs w:val="32"/>
          <w:highlight w:val="none"/>
        </w:rPr>
      </w:pPr>
      <w:bookmarkStart w:id="279" w:name="_Toc184794035"/>
      <w:bookmarkStart w:id="280" w:name="_Toc257126854"/>
      <w:r>
        <w:rPr>
          <w:rFonts w:hint="eastAsia" w:ascii="仿宋" w:hAnsi="仿宋" w:eastAsia="仿宋" w:cs="仿宋"/>
          <w:b/>
          <w:bCs/>
          <w:color w:val="auto"/>
          <w:sz w:val="32"/>
          <w:szCs w:val="32"/>
          <w:highlight w:val="none"/>
          <w:lang w:val="en-US" w:eastAsia="zh-CN"/>
        </w:rPr>
        <w:t>采购</w:t>
      </w:r>
      <w:r>
        <w:rPr>
          <w:rFonts w:hint="eastAsia" w:ascii="仿宋" w:hAnsi="仿宋" w:eastAsia="仿宋" w:cs="仿宋"/>
          <w:b/>
          <w:bCs/>
          <w:color w:val="auto"/>
          <w:sz w:val="32"/>
          <w:szCs w:val="32"/>
          <w:highlight w:val="none"/>
        </w:rPr>
        <w:t>项目编号：</w:t>
      </w:r>
    </w:p>
    <w:p>
      <w:pPr>
        <w:pStyle w:val="17"/>
        <w:rPr>
          <w:rFonts w:hint="eastAsia" w:ascii="仿宋" w:hAnsi="仿宋" w:eastAsia="仿宋" w:cs="仿宋"/>
          <w:color w:val="auto"/>
          <w:sz w:val="36"/>
          <w:szCs w:val="36"/>
          <w:highlight w:val="none"/>
        </w:rPr>
      </w:pPr>
    </w:p>
    <w:p>
      <w:pPr>
        <w:pStyle w:val="17"/>
        <w:rPr>
          <w:rFonts w:hint="eastAsia" w:ascii="仿宋" w:hAnsi="仿宋" w:eastAsia="仿宋" w:cs="仿宋"/>
          <w:color w:val="auto"/>
          <w:sz w:val="36"/>
          <w:szCs w:val="36"/>
          <w:highlight w:val="none"/>
        </w:rPr>
      </w:pPr>
    </w:p>
    <w:p>
      <w:pPr>
        <w:pStyle w:val="4"/>
        <w:spacing w:line="360" w:lineRule="auto"/>
        <w:ind w:firstLine="0"/>
        <w:jc w:val="center"/>
        <w:rPr>
          <w:rFonts w:hint="eastAsia" w:ascii="仿宋" w:hAnsi="仿宋" w:eastAsia="仿宋" w:cs="仿宋"/>
          <w:b/>
          <w:color w:val="000000"/>
          <w:sz w:val="48"/>
          <w:szCs w:val="48"/>
          <w:highlight w:val="none"/>
          <w:lang w:val="en-US" w:eastAsia="zh-CN"/>
        </w:rPr>
      </w:pPr>
    </w:p>
    <w:p>
      <w:pPr>
        <w:pStyle w:val="4"/>
        <w:spacing w:line="360" w:lineRule="auto"/>
        <w:ind w:firstLine="0"/>
        <w:jc w:val="center"/>
        <w:rPr>
          <w:rFonts w:hint="eastAsia" w:ascii="仿宋" w:hAnsi="仿宋" w:eastAsia="仿宋" w:cs="仿宋"/>
          <w:b/>
          <w:color w:val="000000"/>
          <w:sz w:val="48"/>
          <w:szCs w:val="48"/>
          <w:highlight w:val="none"/>
          <w:lang w:val="en-US" w:eastAsia="zh-CN"/>
        </w:rPr>
      </w:pPr>
      <w:r>
        <w:rPr>
          <w:rFonts w:hint="eastAsia" w:ascii="仿宋" w:hAnsi="仿宋" w:eastAsia="仿宋" w:cs="仿宋"/>
          <w:b/>
          <w:color w:val="000000"/>
          <w:sz w:val="48"/>
          <w:szCs w:val="48"/>
          <w:highlight w:val="none"/>
          <w:lang w:val="en-US" w:eastAsia="zh-CN"/>
        </w:rPr>
        <w:t>榆林市政协APP软件开发服务采购项目</w:t>
      </w:r>
    </w:p>
    <w:p>
      <w:pPr>
        <w:pStyle w:val="4"/>
        <w:rPr>
          <w:rFonts w:hint="eastAsia" w:ascii="仿宋" w:hAnsi="仿宋" w:eastAsia="仿宋" w:cs="仿宋"/>
          <w:color w:val="auto"/>
          <w:highlight w:val="none"/>
        </w:rPr>
      </w:pPr>
    </w:p>
    <w:p>
      <w:pPr>
        <w:pStyle w:val="4"/>
        <w:rPr>
          <w:rFonts w:hint="eastAsia" w:ascii="仿宋" w:hAnsi="仿宋" w:eastAsia="仿宋" w:cs="仿宋"/>
          <w:color w:val="auto"/>
          <w:highlight w:val="none"/>
        </w:rPr>
      </w:pPr>
    </w:p>
    <w:p>
      <w:pPr>
        <w:pStyle w:val="4"/>
        <w:rPr>
          <w:rFonts w:hint="eastAsia" w:ascii="仿宋" w:hAnsi="仿宋" w:eastAsia="仿宋" w:cs="仿宋"/>
          <w:color w:val="auto"/>
          <w:highlight w:val="none"/>
        </w:rPr>
      </w:pPr>
    </w:p>
    <w:p>
      <w:pPr>
        <w:pStyle w:val="4"/>
        <w:rPr>
          <w:rFonts w:hint="eastAsia" w:ascii="仿宋" w:hAnsi="仿宋" w:eastAsia="仿宋" w:cs="仿宋"/>
          <w:color w:val="auto"/>
          <w:highlight w:val="none"/>
        </w:rPr>
      </w:pPr>
    </w:p>
    <w:p>
      <w:pPr>
        <w:pStyle w:val="4"/>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10"/>
        <w:rPr>
          <w:rFonts w:hint="eastAsia"/>
        </w:rPr>
      </w:pPr>
    </w:p>
    <w:p>
      <w:pPr>
        <w:rPr>
          <w:rFonts w:hint="eastAsia" w:ascii="仿宋" w:hAnsi="仿宋" w:eastAsia="仿宋" w:cs="仿宋"/>
          <w:color w:val="auto"/>
          <w:highlight w:val="none"/>
        </w:rPr>
      </w:pPr>
    </w:p>
    <w:p>
      <w:pPr>
        <w:pStyle w:val="4"/>
        <w:rPr>
          <w:rFonts w:hint="eastAsia" w:ascii="仿宋" w:hAnsi="仿宋" w:eastAsia="仿宋" w:cs="仿宋"/>
          <w:color w:val="auto"/>
          <w:highlight w:val="none"/>
        </w:rPr>
      </w:pPr>
    </w:p>
    <w:bookmarkEnd w:id="279"/>
    <w:bookmarkEnd w:id="280"/>
    <w:p>
      <w:pPr>
        <w:bidi w:val="0"/>
        <w:jc w:val="center"/>
        <w:rPr>
          <w:rFonts w:hint="eastAsia" w:ascii="仿宋" w:hAnsi="仿宋" w:eastAsia="仿宋" w:cs="仿宋"/>
          <w:color w:val="auto"/>
          <w:sz w:val="24"/>
          <w:szCs w:val="24"/>
          <w:highlight w:val="none"/>
        </w:rPr>
      </w:pPr>
      <w:r>
        <w:rPr>
          <w:rFonts w:hint="eastAsia" w:ascii="仿宋" w:hAnsi="仿宋" w:eastAsia="仿宋" w:cs="仿宋"/>
          <w:b/>
          <w:bCs/>
          <w:color w:val="auto"/>
          <w:sz w:val="52"/>
          <w:szCs w:val="52"/>
          <w:highlight w:val="none"/>
          <w:lang w:eastAsia="zh-CN"/>
        </w:rPr>
        <w:t>磋商响应</w:t>
      </w:r>
      <w:r>
        <w:rPr>
          <w:rFonts w:hint="eastAsia" w:ascii="仿宋" w:hAnsi="仿宋" w:eastAsia="仿宋" w:cs="仿宋"/>
          <w:b/>
          <w:bCs/>
          <w:color w:val="auto"/>
          <w:sz w:val="52"/>
          <w:szCs w:val="52"/>
          <w:highlight w:val="none"/>
        </w:rPr>
        <w:t>文件</w:t>
      </w:r>
    </w:p>
    <w:p>
      <w:pPr>
        <w:pStyle w:val="96"/>
        <w:widowControl/>
        <w:spacing w:line="360" w:lineRule="auto"/>
        <w:ind w:firstLine="0" w:firstLineChars="0"/>
        <w:jc w:val="center"/>
        <w:rPr>
          <w:rFonts w:hint="eastAsia" w:ascii="仿宋" w:hAnsi="仿宋" w:eastAsia="仿宋" w:cs="仿宋"/>
          <w:color w:val="auto"/>
          <w:sz w:val="36"/>
          <w:highlight w:val="none"/>
        </w:rPr>
      </w:pPr>
      <w:r>
        <w:rPr>
          <w:rFonts w:hint="eastAsia" w:ascii="仿宋" w:hAnsi="仿宋" w:eastAsia="仿宋" w:cs="仿宋"/>
          <w:b/>
          <w:bCs/>
          <w:color w:val="auto"/>
          <w:sz w:val="36"/>
          <w:szCs w:val="36"/>
          <w:highlight w:val="none"/>
        </w:rPr>
        <w:t>正本/副本</w:t>
      </w:r>
    </w:p>
    <w:p>
      <w:pPr>
        <w:pStyle w:val="96"/>
        <w:widowControl/>
        <w:spacing w:line="240" w:lineRule="auto"/>
        <w:ind w:firstLine="0" w:firstLineChars="0"/>
        <w:jc w:val="center"/>
        <w:rPr>
          <w:rFonts w:hint="eastAsia" w:ascii="仿宋" w:hAnsi="仿宋" w:eastAsia="仿宋" w:cs="仿宋"/>
          <w:color w:val="auto"/>
          <w:sz w:val="36"/>
          <w:highlight w:val="none"/>
        </w:rPr>
      </w:pPr>
    </w:p>
    <w:p>
      <w:pPr>
        <w:pStyle w:val="96"/>
        <w:widowControl/>
        <w:spacing w:line="240" w:lineRule="auto"/>
        <w:ind w:firstLine="0" w:firstLineChars="0"/>
        <w:jc w:val="center"/>
        <w:rPr>
          <w:rFonts w:hint="eastAsia" w:ascii="仿宋" w:hAnsi="仿宋" w:eastAsia="仿宋" w:cs="仿宋"/>
          <w:color w:val="auto"/>
          <w:sz w:val="36"/>
          <w:highlight w:val="none"/>
        </w:rPr>
      </w:pPr>
    </w:p>
    <w:p>
      <w:pPr>
        <w:pStyle w:val="96"/>
        <w:widowControl/>
        <w:spacing w:line="240" w:lineRule="auto"/>
        <w:ind w:firstLine="0" w:firstLineChars="0"/>
        <w:jc w:val="center"/>
        <w:rPr>
          <w:rFonts w:hint="eastAsia" w:ascii="仿宋" w:hAnsi="仿宋" w:eastAsia="仿宋" w:cs="仿宋"/>
          <w:color w:val="auto"/>
          <w:sz w:val="36"/>
          <w:highlight w:val="none"/>
        </w:rPr>
      </w:pPr>
    </w:p>
    <w:p>
      <w:pPr>
        <w:pStyle w:val="96"/>
        <w:widowControl/>
        <w:spacing w:line="240" w:lineRule="auto"/>
        <w:ind w:firstLine="0" w:firstLineChars="0"/>
        <w:jc w:val="center"/>
        <w:rPr>
          <w:rFonts w:hint="eastAsia" w:ascii="仿宋" w:hAnsi="仿宋" w:eastAsia="仿宋" w:cs="仿宋"/>
          <w:color w:val="auto"/>
          <w:sz w:val="36"/>
          <w:highlight w:val="none"/>
        </w:rPr>
      </w:pPr>
    </w:p>
    <w:p>
      <w:pPr>
        <w:pStyle w:val="96"/>
        <w:widowControl/>
        <w:spacing w:line="240" w:lineRule="auto"/>
        <w:ind w:firstLine="0" w:firstLineChars="0"/>
        <w:jc w:val="both"/>
        <w:rPr>
          <w:rFonts w:hint="eastAsia" w:ascii="仿宋" w:hAnsi="仿宋" w:eastAsia="仿宋" w:cs="仿宋"/>
          <w:color w:val="auto"/>
          <w:sz w:val="36"/>
          <w:highlight w:val="none"/>
        </w:rPr>
      </w:pPr>
    </w:p>
    <w:p>
      <w:pPr>
        <w:pStyle w:val="96"/>
        <w:widowControl/>
        <w:spacing w:line="240" w:lineRule="auto"/>
        <w:ind w:firstLine="0" w:firstLineChars="0"/>
        <w:jc w:val="both"/>
        <w:rPr>
          <w:rFonts w:hint="eastAsia" w:ascii="仿宋" w:hAnsi="仿宋" w:eastAsia="仿宋" w:cs="仿宋"/>
          <w:color w:val="auto"/>
          <w:sz w:val="36"/>
          <w:highlight w:val="none"/>
        </w:rPr>
      </w:pPr>
    </w:p>
    <w:p>
      <w:pPr>
        <w:spacing w:line="360" w:lineRule="auto"/>
        <w:rPr>
          <w:rFonts w:hint="eastAsia" w:ascii="仿宋" w:hAnsi="仿宋" w:eastAsia="仿宋" w:cs="仿宋"/>
          <w:b/>
          <w:sz w:val="32"/>
          <w:szCs w:val="32"/>
          <w:highlight w:val="none"/>
        </w:rPr>
      </w:pPr>
      <w:r>
        <w:rPr>
          <w:rFonts w:hint="eastAsia" w:ascii="仿宋" w:hAnsi="仿宋" w:eastAsia="仿宋" w:cs="仿宋"/>
          <w:b/>
          <w:sz w:val="32"/>
          <w:szCs w:val="32"/>
          <w:highlight w:val="none"/>
          <w:lang w:eastAsia="zh-CN"/>
        </w:rPr>
        <w:t>供应商</w:t>
      </w:r>
      <w:r>
        <w:rPr>
          <w:rFonts w:hint="eastAsia" w:ascii="仿宋" w:hAnsi="仿宋" w:eastAsia="仿宋" w:cs="仿宋"/>
          <w:b/>
          <w:sz w:val="32"/>
          <w:szCs w:val="32"/>
          <w:highlight w:val="none"/>
        </w:rPr>
        <w:t>：</w:t>
      </w:r>
      <w:r>
        <w:rPr>
          <w:rFonts w:hint="eastAsia" w:ascii="仿宋" w:hAnsi="仿宋" w:eastAsia="仿宋" w:cs="仿宋"/>
          <w:b/>
          <w:sz w:val="32"/>
          <w:szCs w:val="32"/>
          <w:highlight w:val="none"/>
          <w:u w:val="single"/>
        </w:rPr>
        <w:t xml:space="preserve">        公司名称    </w:t>
      </w:r>
      <w:r>
        <w:rPr>
          <w:rFonts w:hint="eastAsia" w:ascii="仿宋" w:hAnsi="仿宋" w:eastAsia="仿宋" w:cs="仿宋"/>
          <w:b/>
          <w:sz w:val="32"/>
          <w:szCs w:val="32"/>
          <w:highlight w:val="none"/>
          <w:u w:val="single"/>
          <w:lang w:val="en-US" w:eastAsia="zh-CN"/>
        </w:rPr>
        <w:t xml:space="preserve">  </w:t>
      </w:r>
      <w:r>
        <w:rPr>
          <w:rFonts w:hint="eastAsia" w:ascii="仿宋" w:hAnsi="仿宋" w:eastAsia="仿宋" w:cs="仿宋"/>
          <w:b/>
          <w:sz w:val="32"/>
          <w:szCs w:val="32"/>
          <w:highlight w:val="none"/>
          <w:u w:val="single"/>
        </w:rPr>
        <w:t xml:space="preserve">    </w:t>
      </w:r>
      <w:r>
        <w:rPr>
          <w:rFonts w:hint="eastAsia" w:ascii="仿宋" w:hAnsi="仿宋" w:eastAsia="仿宋" w:cs="仿宋"/>
          <w:b/>
          <w:sz w:val="32"/>
          <w:szCs w:val="32"/>
          <w:highlight w:val="none"/>
          <w:u w:val="single"/>
          <w:lang w:val="en-US" w:eastAsia="zh-CN"/>
        </w:rPr>
        <w:t xml:space="preserve">       </w:t>
      </w:r>
      <w:r>
        <w:rPr>
          <w:rFonts w:hint="eastAsia" w:ascii="仿宋" w:hAnsi="仿宋" w:eastAsia="仿宋" w:cs="仿宋"/>
          <w:b/>
          <w:sz w:val="32"/>
          <w:szCs w:val="32"/>
          <w:highlight w:val="none"/>
          <w:u w:val="single"/>
        </w:rPr>
        <w:t xml:space="preserve">  </w:t>
      </w:r>
      <w:r>
        <w:rPr>
          <w:rFonts w:hint="eastAsia" w:ascii="仿宋" w:hAnsi="仿宋" w:eastAsia="仿宋" w:cs="仿宋"/>
          <w:b/>
          <w:sz w:val="32"/>
          <w:szCs w:val="32"/>
          <w:highlight w:val="none"/>
        </w:rPr>
        <w:t>（公章)</w:t>
      </w:r>
    </w:p>
    <w:p>
      <w:pPr>
        <w:spacing w:line="360" w:lineRule="auto"/>
        <w:jc w:val="center"/>
        <w:rPr>
          <w:rFonts w:hint="eastAsia" w:ascii="仿宋" w:hAnsi="仿宋" w:eastAsia="仿宋" w:cs="仿宋"/>
          <w:b/>
          <w:sz w:val="32"/>
          <w:szCs w:val="32"/>
          <w:highlight w:val="none"/>
          <w:u w:val="single"/>
        </w:rPr>
      </w:pPr>
    </w:p>
    <w:p>
      <w:pPr>
        <w:spacing w:line="360" w:lineRule="auto"/>
        <w:jc w:val="left"/>
        <w:rPr>
          <w:rFonts w:hint="eastAsia" w:ascii="仿宋" w:hAnsi="仿宋" w:eastAsia="仿宋" w:cs="仿宋"/>
          <w:b/>
          <w:sz w:val="32"/>
          <w:szCs w:val="32"/>
          <w:highlight w:val="none"/>
          <w:u w:val="single"/>
        </w:rPr>
      </w:pPr>
      <w:r>
        <w:rPr>
          <w:rFonts w:hint="eastAsia" w:ascii="仿宋" w:hAnsi="仿宋" w:eastAsia="仿宋" w:cs="仿宋"/>
          <w:b/>
          <w:sz w:val="32"/>
          <w:szCs w:val="32"/>
          <w:highlight w:val="none"/>
        </w:rPr>
        <w:t>法定代表人或授权委托人（签字或盖章）：</w:t>
      </w:r>
      <w:r>
        <w:rPr>
          <w:rFonts w:hint="eastAsia" w:ascii="仿宋" w:hAnsi="仿宋" w:eastAsia="仿宋" w:cs="仿宋"/>
          <w:b/>
          <w:i/>
          <w:iCs/>
          <w:sz w:val="32"/>
          <w:szCs w:val="32"/>
          <w:highlight w:val="none"/>
          <w:u w:val="single"/>
        </w:rPr>
        <w:t xml:space="preserve">  </w:t>
      </w:r>
      <w:r>
        <w:rPr>
          <w:rFonts w:hint="eastAsia" w:ascii="仿宋" w:hAnsi="仿宋" w:eastAsia="仿宋" w:cs="仿宋"/>
          <w:b/>
          <w:sz w:val="32"/>
          <w:szCs w:val="32"/>
          <w:highlight w:val="none"/>
          <w:u w:val="single"/>
        </w:rPr>
        <w:t xml:space="preserve"> </w:t>
      </w:r>
      <w:r>
        <w:rPr>
          <w:rFonts w:hint="eastAsia" w:ascii="仿宋" w:hAnsi="仿宋" w:eastAsia="仿宋" w:cs="仿宋"/>
          <w:b/>
          <w:sz w:val="32"/>
          <w:szCs w:val="32"/>
          <w:highlight w:val="none"/>
          <w:u w:val="single"/>
          <w:lang w:val="en-US" w:eastAsia="zh-CN"/>
        </w:rPr>
        <w:t xml:space="preserve">  </w:t>
      </w:r>
      <w:r>
        <w:rPr>
          <w:rFonts w:hint="eastAsia" w:ascii="仿宋" w:hAnsi="仿宋" w:eastAsia="仿宋" w:cs="仿宋"/>
          <w:b/>
          <w:sz w:val="32"/>
          <w:szCs w:val="32"/>
          <w:highlight w:val="none"/>
          <w:u w:val="single"/>
        </w:rPr>
        <w:t xml:space="preserve">      </w:t>
      </w:r>
    </w:p>
    <w:p>
      <w:pPr>
        <w:spacing w:line="360" w:lineRule="auto"/>
        <w:jc w:val="left"/>
        <w:rPr>
          <w:rFonts w:hint="eastAsia" w:ascii="仿宋" w:hAnsi="仿宋" w:eastAsia="仿宋" w:cs="仿宋"/>
          <w:b/>
          <w:sz w:val="32"/>
          <w:szCs w:val="32"/>
          <w:highlight w:val="none"/>
          <w:u w:val="single"/>
        </w:rPr>
      </w:pPr>
    </w:p>
    <w:p>
      <w:pPr>
        <w:spacing w:line="360" w:lineRule="auto"/>
        <w:jc w:val="left"/>
        <w:rPr>
          <w:rFonts w:hint="eastAsia" w:ascii="仿宋" w:hAnsi="仿宋" w:eastAsia="仿宋" w:cs="仿宋"/>
          <w:b/>
          <w:sz w:val="32"/>
          <w:szCs w:val="32"/>
          <w:highlight w:val="none"/>
          <w:u w:val="single"/>
        </w:rPr>
      </w:pPr>
      <w:r>
        <w:rPr>
          <w:rFonts w:hint="eastAsia" w:ascii="仿宋" w:hAnsi="仿宋" w:eastAsia="仿宋" w:cs="仿宋"/>
          <w:b/>
          <w:sz w:val="32"/>
          <w:szCs w:val="32"/>
          <w:highlight w:val="none"/>
        </w:rPr>
        <w:t>时  间：</w:t>
      </w:r>
      <w:r>
        <w:rPr>
          <w:rFonts w:hint="eastAsia" w:ascii="仿宋" w:hAnsi="仿宋" w:eastAsia="仿宋" w:cs="仿宋"/>
          <w:b/>
          <w:sz w:val="32"/>
          <w:szCs w:val="32"/>
          <w:highlight w:val="none"/>
          <w:u w:val="single"/>
        </w:rPr>
        <w:t xml:space="preserve">            </w:t>
      </w:r>
      <w:r>
        <w:rPr>
          <w:rFonts w:hint="eastAsia" w:ascii="仿宋" w:hAnsi="仿宋" w:eastAsia="仿宋" w:cs="仿宋"/>
          <w:b/>
          <w:sz w:val="32"/>
          <w:szCs w:val="32"/>
          <w:highlight w:val="none"/>
          <w:u w:val="single"/>
          <w:lang w:val="en-US" w:eastAsia="zh-CN"/>
        </w:rPr>
        <w:t xml:space="preserve">                    </w:t>
      </w:r>
      <w:r>
        <w:rPr>
          <w:rFonts w:hint="eastAsia" w:ascii="仿宋" w:hAnsi="仿宋" w:eastAsia="仿宋" w:cs="仿宋"/>
          <w:b/>
          <w:sz w:val="32"/>
          <w:szCs w:val="32"/>
          <w:highlight w:val="none"/>
          <w:u w:val="single"/>
        </w:rPr>
        <w:t xml:space="preserve">  </w:t>
      </w:r>
      <w:r>
        <w:rPr>
          <w:rFonts w:hint="eastAsia" w:ascii="仿宋" w:hAnsi="仿宋" w:eastAsia="仿宋" w:cs="仿宋"/>
          <w:b/>
          <w:sz w:val="32"/>
          <w:szCs w:val="32"/>
          <w:highlight w:val="none"/>
          <w:u w:val="single"/>
          <w:lang w:val="en-US" w:eastAsia="zh-CN"/>
        </w:rPr>
        <w:t xml:space="preserve">   </w:t>
      </w:r>
      <w:r>
        <w:rPr>
          <w:rFonts w:hint="eastAsia" w:ascii="仿宋" w:hAnsi="仿宋" w:eastAsia="仿宋" w:cs="仿宋"/>
          <w:b/>
          <w:sz w:val="32"/>
          <w:szCs w:val="32"/>
          <w:highlight w:val="none"/>
          <w:u w:val="single"/>
        </w:rPr>
        <w:t xml:space="preserve">    </w:t>
      </w:r>
    </w:p>
    <w:p>
      <w:pPr>
        <w:bidi w:val="0"/>
        <w:jc w:val="center"/>
        <w:rPr>
          <w:rFonts w:hint="eastAsia" w:ascii="仿宋" w:hAnsi="仿宋" w:eastAsia="仿宋" w:cs="仿宋"/>
          <w:b/>
          <w:bCs/>
          <w:sz w:val="44"/>
          <w:szCs w:val="32"/>
          <w:highlight w:val="none"/>
          <w:lang w:val="en-US" w:eastAsia="zh-CN"/>
        </w:rPr>
      </w:pPr>
      <w:bookmarkStart w:id="281" w:name="_Toc21589"/>
      <w:bookmarkStart w:id="282" w:name="_Toc24885"/>
      <w:bookmarkStart w:id="283" w:name="_Toc27723"/>
      <w:bookmarkStart w:id="284" w:name="_Toc22061"/>
      <w:bookmarkStart w:id="285" w:name="_Toc11086"/>
      <w:bookmarkStart w:id="286" w:name="_Toc15048"/>
      <w:bookmarkStart w:id="287" w:name="_Toc15779"/>
      <w:bookmarkStart w:id="288" w:name="_Toc27299"/>
      <w:bookmarkStart w:id="289" w:name="_Toc13882"/>
      <w:r>
        <w:rPr>
          <w:rFonts w:hint="eastAsia" w:ascii="仿宋" w:hAnsi="仿宋" w:eastAsia="仿宋" w:cs="仿宋"/>
          <w:b/>
          <w:bCs/>
          <w:sz w:val="44"/>
          <w:szCs w:val="32"/>
          <w:highlight w:val="none"/>
          <w:lang w:val="en-US" w:eastAsia="zh-CN"/>
        </w:rPr>
        <w:t>目  录</w:t>
      </w:r>
      <w:bookmarkEnd w:id="281"/>
      <w:bookmarkEnd w:id="282"/>
    </w:p>
    <w:p>
      <w:pPr>
        <w:pStyle w:val="10"/>
        <w:rPr>
          <w:rFonts w:hint="eastAsia" w:ascii="仿宋" w:hAnsi="仿宋" w:eastAsia="仿宋" w:cs="仿宋"/>
          <w:highlight w:val="none"/>
          <w:lang w:val="en-US" w:eastAsia="zh-CN"/>
        </w:rPr>
      </w:pPr>
      <w:bookmarkStart w:id="290" w:name="_Toc11689"/>
      <w:bookmarkStart w:id="291" w:name="_Toc19350"/>
      <w:r>
        <w:rPr>
          <w:rFonts w:hint="eastAsia" w:ascii="仿宋" w:hAnsi="仿宋" w:eastAsia="仿宋" w:cs="仿宋"/>
          <w:highlight w:val="none"/>
          <w:lang w:val="en-US" w:eastAsia="zh-CN"/>
        </w:rPr>
        <w:t>三级目录自行索引</w:t>
      </w:r>
    </w:p>
    <w:p>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pPr>
        <w:pStyle w:val="3"/>
        <w:bidi w:val="0"/>
        <w:jc w:val="center"/>
        <w:rPr>
          <w:rFonts w:hint="eastAsia" w:ascii="仿宋" w:hAnsi="仿宋" w:eastAsia="仿宋" w:cs="仿宋"/>
          <w:highlight w:val="none"/>
          <w:lang w:val="en-US" w:eastAsia="zh-CN"/>
        </w:rPr>
      </w:pPr>
      <w:bookmarkStart w:id="292" w:name="_Toc17844"/>
      <w:bookmarkStart w:id="293" w:name="_Toc17316"/>
      <w:bookmarkStart w:id="294" w:name="_Toc18925"/>
      <w:bookmarkStart w:id="295" w:name="_Toc29416"/>
      <w:bookmarkStart w:id="296" w:name="_Toc12306"/>
      <w:bookmarkStart w:id="297" w:name="_Toc19381"/>
      <w:r>
        <w:rPr>
          <w:rFonts w:hint="eastAsia" w:ascii="仿宋" w:hAnsi="仿宋" w:eastAsia="仿宋" w:cs="仿宋"/>
          <w:highlight w:val="none"/>
          <w:lang w:val="en-US" w:eastAsia="zh-CN"/>
        </w:rPr>
        <w:t>一、响应函</w:t>
      </w:r>
      <w:bookmarkEnd w:id="292"/>
      <w:bookmarkEnd w:id="293"/>
      <w:bookmarkEnd w:id="294"/>
      <w:bookmarkEnd w:id="295"/>
      <w:bookmarkEnd w:id="296"/>
      <w:bookmarkEnd w:id="297"/>
    </w:p>
    <w:p>
      <w:pPr>
        <w:shd w:val="clea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u w:val="single"/>
        </w:rPr>
        <w:t>（采购人名称）</w:t>
      </w:r>
      <w:r>
        <w:rPr>
          <w:rFonts w:hint="eastAsia" w:ascii="仿宋" w:hAnsi="仿宋" w:eastAsia="仿宋" w:cs="仿宋"/>
          <w:color w:val="auto"/>
          <w:szCs w:val="21"/>
          <w:highlight w:val="none"/>
        </w:rPr>
        <w:t>：</w:t>
      </w:r>
    </w:p>
    <w:p>
      <w:pPr>
        <w:shd w:val="clear"/>
        <w:spacing w:line="500" w:lineRule="exact"/>
        <w:ind w:firstLine="48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根据贵方</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u w:val="single"/>
          <w:lang w:eastAsia="zh-CN"/>
        </w:rPr>
        <w:t>采购</w:t>
      </w:r>
      <w:r>
        <w:rPr>
          <w:rFonts w:hint="eastAsia" w:ascii="仿宋" w:hAnsi="仿宋" w:eastAsia="仿宋" w:cs="仿宋"/>
          <w:color w:val="auto"/>
          <w:szCs w:val="21"/>
          <w:highlight w:val="none"/>
          <w:u w:val="single"/>
        </w:rPr>
        <w:t>项目名称）（</w:t>
      </w:r>
      <w:r>
        <w:rPr>
          <w:rFonts w:hint="eastAsia" w:ascii="仿宋" w:hAnsi="仿宋" w:eastAsia="仿宋" w:cs="仿宋"/>
          <w:color w:val="auto"/>
          <w:szCs w:val="21"/>
          <w:highlight w:val="none"/>
          <w:u w:val="single"/>
          <w:lang w:eastAsia="zh-CN"/>
        </w:rPr>
        <w:t>采购</w:t>
      </w:r>
      <w:r>
        <w:rPr>
          <w:rFonts w:hint="eastAsia" w:ascii="仿宋" w:hAnsi="仿宋" w:eastAsia="仿宋" w:cs="仿宋"/>
          <w:color w:val="auto"/>
          <w:szCs w:val="21"/>
          <w:highlight w:val="none"/>
          <w:u w:val="single"/>
        </w:rPr>
        <w:t>项目编号）</w:t>
      </w:r>
      <w:r>
        <w:rPr>
          <w:rFonts w:hint="eastAsia" w:ascii="仿宋" w:hAnsi="仿宋" w:eastAsia="仿宋" w:cs="仿宋"/>
          <w:color w:val="auto"/>
          <w:szCs w:val="21"/>
          <w:highlight w:val="none"/>
        </w:rPr>
        <w:t>磋商文件，签字代表</w:t>
      </w:r>
      <w:r>
        <w:rPr>
          <w:rFonts w:hint="eastAsia" w:ascii="仿宋" w:hAnsi="仿宋" w:eastAsia="仿宋" w:cs="仿宋"/>
          <w:color w:val="auto"/>
          <w:szCs w:val="21"/>
          <w:highlight w:val="none"/>
          <w:u w:val="single"/>
        </w:rPr>
        <w:t>(全名、职务)</w:t>
      </w:r>
      <w:r>
        <w:rPr>
          <w:rFonts w:hint="eastAsia" w:ascii="仿宋" w:hAnsi="仿宋" w:eastAsia="仿宋" w:cs="仿宋"/>
          <w:color w:val="auto"/>
          <w:szCs w:val="21"/>
          <w:highlight w:val="none"/>
        </w:rPr>
        <w:t>经正式授权并代表</w:t>
      </w:r>
      <w:r>
        <w:rPr>
          <w:rFonts w:hint="eastAsia" w:ascii="仿宋" w:hAnsi="仿宋" w:eastAsia="仿宋" w:cs="仿宋"/>
          <w:color w:val="auto"/>
          <w:szCs w:val="21"/>
          <w:highlight w:val="none"/>
          <w:u w:val="single"/>
        </w:rPr>
        <w:t>(供应商名称、地址）</w:t>
      </w:r>
      <w:r>
        <w:rPr>
          <w:rFonts w:hint="eastAsia" w:ascii="仿宋" w:hAnsi="仿宋" w:eastAsia="仿宋" w:cs="仿宋"/>
          <w:color w:val="auto"/>
          <w:szCs w:val="21"/>
          <w:highlight w:val="none"/>
        </w:rPr>
        <w:t>提交</w:t>
      </w:r>
      <w:r>
        <w:rPr>
          <w:rFonts w:hint="eastAsia" w:ascii="仿宋" w:hAnsi="仿宋" w:eastAsia="仿宋" w:cs="仿宋"/>
          <w:color w:val="auto"/>
          <w:szCs w:val="21"/>
          <w:highlight w:val="none"/>
          <w:lang w:eastAsia="zh-CN"/>
        </w:rPr>
        <w:t>纸质版</w:t>
      </w:r>
      <w:r>
        <w:rPr>
          <w:rFonts w:hint="eastAsia" w:ascii="仿宋" w:hAnsi="仿宋" w:eastAsia="仿宋" w:cs="仿宋"/>
          <w:color w:val="auto"/>
          <w:szCs w:val="21"/>
          <w:highlight w:val="none"/>
        </w:rPr>
        <w:t>响应文件正本</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rPr>
        <w:t>份、副本一式</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rPr>
        <w:t>份</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电子版</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份</w:t>
      </w:r>
      <w:r>
        <w:rPr>
          <w:rFonts w:hint="eastAsia" w:ascii="仿宋" w:hAnsi="仿宋" w:eastAsia="仿宋" w:cs="仿宋"/>
          <w:color w:val="auto"/>
          <w:szCs w:val="21"/>
          <w:highlight w:val="none"/>
        </w:rPr>
        <w:t>。</w:t>
      </w:r>
    </w:p>
    <w:p>
      <w:pPr>
        <w:shd w:val="clear"/>
        <w:spacing w:line="5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1.愿意按照磋商文件中的一切要求，总报价为：</w:t>
      </w:r>
    </w:p>
    <w:p>
      <w:pPr>
        <w:shd w:val="clear"/>
        <w:spacing w:line="500" w:lineRule="exact"/>
        <w:ind w:firstLine="840" w:firstLineChars="3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人民币（大写）：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；（小写）</w:t>
      </w:r>
      <w:r>
        <w:rPr>
          <w:rFonts w:hint="eastAsia" w:ascii="仿宋" w:hAnsi="仿宋" w:eastAsia="仿宋" w:cs="仿宋"/>
          <w:color w:val="auto"/>
          <w:szCs w:val="21"/>
          <w:highlight w:val="none"/>
          <w:u w:val="single"/>
        </w:rPr>
        <w:t>￥            元。</w:t>
      </w:r>
    </w:p>
    <w:p>
      <w:pPr>
        <w:shd w:val="clear"/>
        <w:spacing w:line="5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2.提交</w:t>
      </w:r>
      <w:r>
        <w:rPr>
          <w:rFonts w:hint="eastAsia" w:ascii="仿宋" w:hAnsi="仿宋" w:eastAsia="仿宋" w:cs="仿宋"/>
          <w:color w:val="auto"/>
          <w:szCs w:val="21"/>
          <w:highlight w:val="none"/>
          <w:lang w:eastAsia="zh-CN"/>
        </w:rPr>
        <w:t>磋商</w:t>
      </w:r>
      <w:r>
        <w:rPr>
          <w:rFonts w:hint="eastAsia" w:ascii="仿宋" w:hAnsi="仿宋" w:eastAsia="仿宋" w:cs="仿宋"/>
          <w:color w:val="auto"/>
          <w:szCs w:val="21"/>
          <w:highlight w:val="none"/>
        </w:rPr>
        <w:t>保证金</w:t>
      </w:r>
      <w:r>
        <w:rPr>
          <w:rFonts w:hint="eastAsia" w:ascii="仿宋" w:hAnsi="仿宋" w:eastAsia="仿宋" w:cs="仿宋"/>
          <w:color w:val="auto"/>
          <w:szCs w:val="21"/>
          <w:highlight w:val="none"/>
          <w:lang w:val="en-US" w:eastAsia="zh-CN"/>
        </w:rPr>
        <w:t>的形式</w:t>
      </w:r>
      <w:r>
        <w:rPr>
          <w:rFonts w:hint="eastAsia" w:ascii="仿宋" w:hAnsi="仿宋" w:eastAsia="仿宋" w:cs="仿宋"/>
          <w:color w:val="auto"/>
          <w:szCs w:val="21"/>
          <w:highlight w:val="none"/>
        </w:rPr>
        <w:t>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p>
      <w:pPr>
        <w:shd w:val="clear"/>
        <w:spacing w:line="5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供应商将按磋商文件的规定履行合同责任和义务；</w:t>
      </w:r>
    </w:p>
    <w:p>
      <w:pPr>
        <w:shd w:val="clear"/>
        <w:spacing w:line="5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.供应商已详细审查全部磋商文件，包括修改文件（如有的话）以及全部参考资料和有关附件。我们完全理解并同意放弃对这方面有不明及误解的权利；</w:t>
      </w:r>
    </w:p>
    <w:p>
      <w:pPr>
        <w:shd w:val="clear"/>
        <w:spacing w:line="5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b/>
          <w:bCs/>
          <w:color w:val="auto"/>
          <w:szCs w:val="21"/>
          <w:highlight w:val="none"/>
        </w:rPr>
        <w:t>供应商同意提供按照贵方可能要求的与其磋商有关的一切数据或资料，完全理解贵方不一定要接受最低价的报价或收到的任何其他报价；</w:t>
      </w:r>
    </w:p>
    <w:p>
      <w:pPr>
        <w:shd w:val="clear"/>
        <w:spacing w:line="5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其他</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w:t>
      </w:r>
    </w:p>
    <w:p>
      <w:pPr>
        <w:shd w:val="clear"/>
        <w:spacing w:line="500" w:lineRule="exact"/>
        <w:ind w:firstLine="42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 w:val="24"/>
          <w:highlight w:val="none"/>
        </w:rPr>
        <w:t>我们同意在投标有效期内（</w:t>
      </w:r>
      <w:r>
        <w:rPr>
          <w:rFonts w:hint="eastAsia" w:ascii="仿宋" w:hAnsi="仿宋" w:eastAsia="仿宋" w:cs="仿宋"/>
          <w:color w:val="auto"/>
          <w:sz w:val="24"/>
          <w:highlight w:val="none"/>
          <w:u w:val="single"/>
        </w:rPr>
        <w:t>自开标之日起    天内</w:t>
      </w:r>
      <w:r>
        <w:rPr>
          <w:rFonts w:hint="eastAsia" w:ascii="仿宋" w:hAnsi="仿宋" w:eastAsia="仿宋" w:cs="仿宋"/>
          <w:color w:val="auto"/>
          <w:sz w:val="24"/>
          <w:highlight w:val="none"/>
        </w:rPr>
        <w:t>），本投标函对我方具有约束力。</w:t>
      </w:r>
    </w:p>
    <w:p>
      <w:pPr>
        <w:shd w:val="clear"/>
        <w:spacing w:line="500" w:lineRule="exact"/>
        <w:ind w:firstLine="42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.与本项目有关的一切正式往来通讯请寄</w:t>
      </w:r>
      <w:r>
        <w:rPr>
          <w:rFonts w:hint="eastAsia" w:ascii="仿宋" w:hAnsi="仿宋" w:eastAsia="仿宋" w:cs="仿宋"/>
          <w:color w:val="auto"/>
          <w:szCs w:val="21"/>
          <w:highlight w:val="none"/>
          <w:lang w:eastAsia="zh-CN"/>
        </w:rPr>
        <w:t>：</w:t>
      </w:r>
    </w:p>
    <w:p>
      <w:pPr>
        <w:shd w:val="clear"/>
        <w:spacing w:line="500" w:lineRule="exact"/>
        <w:ind w:firstLine="42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地址：</w:t>
      </w:r>
      <w:r>
        <w:rPr>
          <w:rFonts w:hint="eastAsia" w:ascii="仿宋" w:hAnsi="仿宋" w:eastAsia="仿宋" w:cs="仿宋"/>
          <w:color w:val="auto"/>
          <w:szCs w:val="21"/>
          <w:highlight w:val="none"/>
          <w:u w:val="single"/>
        </w:rPr>
        <w:t xml:space="preserve">              </w:t>
      </w:r>
    </w:p>
    <w:p>
      <w:pPr>
        <w:shd w:val="clear"/>
        <w:spacing w:line="5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邮编：</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pPr>
        <w:shd w:val="clear"/>
        <w:spacing w:line="500" w:lineRule="exact"/>
        <w:ind w:firstLine="42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电话：</w:t>
      </w:r>
      <w:r>
        <w:rPr>
          <w:rFonts w:hint="eastAsia" w:ascii="仿宋" w:hAnsi="仿宋" w:eastAsia="仿宋" w:cs="仿宋"/>
          <w:color w:val="auto"/>
          <w:szCs w:val="21"/>
          <w:highlight w:val="none"/>
          <w:u w:val="single"/>
        </w:rPr>
        <w:t xml:space="preserve">            </w:t>
      </w:r>
    </w:p>
    <w:p>
      <w:pPr>
        <w:shd w:val="clear"/>
        <w:spacing w:line="500" w:lineRule="exact"/>
        <w:ind w:firstLine="42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传真：</w:t>
      </w:r>
      <w:r>
        <w:rPr>
          <w:rFonts w:hint="eastAsia" w:ascii="仿宋" w:hAnsi="仿宋" w:eastAsia="仿宋" w:cs="仿宋"/>
          <w:color w:val="auto"/>
          <w:szCs w:val="21"/>
          <w:highlight w:val="none"/>
          <w:u w:val="single"/>
        </w:rPr>
        <w:t xml:space="preserve">              </w:t>
      </w:r>
    </w:p>
    <w:p>
      <w:pPr>
        <w:shd w:val="clear"/>
        <w:spacing w:line="500" w:lineRule="exact"/>
        <w:ind w:firstLine="42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供应商代表姓名、职务（印刷体）：</w:t>
      </w:r>
      <w:r>
        <w:rPr>
          <w:rFonts w:hint="eastAsia" w:ascii="仿宋" w:hAnsi="仿宋" w:eastAsia="仿宋" w:cs="仿宋"/>
          <w:color w:val="auto"/>
          <w:szCs w:val="21"/>
          <w:highlight w:val="none"/>
          <w:u w:val="single"/>
        </w:rPr>
        <w:t xml:space="preserve">         </w:t>
      </w:r>
    </w:p>
    <w:p>
      <w:pPr>
        <w:shd w:val="clear"/>
        <w:spacing w:line="5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供应商名称：</w:t>
      </w:r>
      <w:r>
        <w:rPr>
          <w:rFonts w:hint="eastAsia" w:ascii="仿宋" w:hAnsi="仿宋" w:eastAsia="仿宋" w:cs="仿宋"/>
          <w:color w:val="auto"/>
          <w:szCs w:val="21"/>
          <w:highlight w:val="none"/>
          <w:u w:val="single"/>
        </w:rPr>
        <w:t xml:space="preserve">              （公章） </w:t>
      </w:r>
    </w:p>
    <w:p>
      <w:pPr>
        <w:shd w:val="clear"/>
        <w:spacing w:line="5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法定代表人</w:t>
      </w:r>
      <w:r>
        <w:rPr>
          <w:rFonts w:hint="eastAsia" w:ascii="仿宋" w:hAnsi="仿宋" w:eastAsia="仿宋" w:cs="仿宋"/>
          <w:color w:val="auto"/>
          <w:szCs w:val="21"/>
          <w:highlight w:val="none"/>
          <w:lang w:val="en-US" w:eastAsia="zh-CN"/>
        </w:rPr>
        <w:t>或授权委托人</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（签字或盖章）</w:t>
      </w:r>
    </w:p>
    <w:p>
      <w:pPr>
        <w:shd w:val="clear"/>
        <w:spacing w:line="560" w:lineRule="exact"/>
        <w:ind w:left="0" w:leftChars="0" w:firstLine="364" w:firstLineChars="152"/>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     期：   年   月   日</w:t>
      </w:r>
      <w:bookmarkStart w:id="298" w:name="_Hlt491573407"/>
      <w:bookmarkEnd w:id="298"/>
    </w:p>
    <w:p>
      <w:pPr>
        <w:shd w:val="clear"/>
        <w:rPr>
          <w:rFonts w:hint="eastAsia" w:ascii="仿宋" w:hAnsi="仿宋" w:eastAsia="仿宋" w:cs="仿宋"/>
          <w:color w:val="auto"/>
          <w:sz w:val="32"/>
          <w:szCs w:val="32"/>
          <w:highlight w:val="none"/>
        </w:rPr>
      </w:pPr>
    </w:p>
    <w:p>
      <w:pPr>
        <w:widowControl/>
        <w:shd w:val="clear"/>
        <w:jc w:val="left"/>
        <w:rPr>
          <w:rFonts w:hint="eastAsia" w:ascii="仿宋" w:hAnsi="仿宋" w:eastAsia="仿宋" w:cs="仿宋"/>
          <w:b/>
          <w:bCs/>
          <w:color w:val="auto"/>
          <w:sz w:val="28"/>
          <w:szCs w:val="22"/>
          <w:highlight w:val="none"/>
        </w:rPr>
      </w:pPr>
      <w:r>
        <w:rPr>
          <w:rFonts w:hint="eastAsia" w:ascii="仿宋" w:hAnsi="仿宋" w:eastAsia="仿宋" w:cs="仿宋"/>
          <w:b/>
          <w:bCs/>
          <w:color w:val="auto"/>
          <w:sz w:val="28"/>
          <w:highlight w:val="none"/>
        </w:rPr>
        <w:br w:type="page"/>
      </w:r>
    </w:p>
    <w:p>
      <w:pPr>
        <w:pStyle w:val="3"/>
        <w:bidi w:val="0"/>
        <w:jc w:val="center"/>
        <w:rPr>
          <w:rFonts w:hint="eastAsia" w:ascii="仿宋" w:hAnsi="仿宋" w:eastAsia="仿宋" w:cs="仿宋"/>
          <w:highlight w:val="none"/>
          <w:lang w:val="en-US" w:eastAsia="zh-CN"/>
        </w:rPr>
      </w:pPr>
      <w:bookmarkStart w:id="299" w:name="_Toc13702"/>
      <w:bookmarkStart w:id="300" w:name="_Toc3275"/>
      <w:bookmarkStart w:id="301" w:name="_Toc10127"/>
      <w:bookmarkStart w:id="302" w:name="_Toc11250"/>
      <w:bookmarkStart w:id="303" w:name="_Toc5025"/>
      <w:bookmarkStart w:id="304" w:name="_Toc24912"/>
      <w:bookmarkStart w:id="305" w:name="_Toc11561"/>
      <w:bookmarkStart w:id="306" w:name="_Toc3365"/>
      <w:bookmarkStart w:id="307" w:name="_Toc28680"/>
      <w:bookmarkStart w:id="308" w:name="_Toc31432"/>
      <w:bookmarkStart w:id="309" w:name="_Toc15351"/>
      <w:r>
        <w:rPr>
          <w:rFonts w:hint="eastAsia" w:ascii="仿宋" w:hAnsi="仿宋" w:eastAsia="仿宋" w:cs="仿宋"/>
          <w:highlight w:val="none"/>
          <w:lang w:val="en-US" w:eastAsia="zh-CN"/>
        </w:rPr>
        <w:t>二、第一次磋商报价表</w:t>
      </w:r>
      <w:bookmarkEnd w:id="299"/>
      <w:bookmarkEnd w:id="300"/>
      <w:bookmarkEnd w:id="301"/>
      <w:bookmarkEnd w:id="302"/>
      <w:bookmarkEnd w:id="303"/>
      <w:bookmarkEnd w:id="304"/>
      <w:bookmarkEnd w:id="305"/>
      <w:bookmarkEnd w:id="306"/>
      <w:bookmarkEnd w:id="307"/>
      <w:bookmarkEnd w:id="308"/>
      <w:bookmarkEnd w:id="309"/>
    </w:p>
    <w:tbl>
      <w:tblPr>
        <w:tblStyle w:val="27"/>
        <w:tblW w:w="9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0"/>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530" w:type="dxa"/>
            <w:vAlign w:val="center"/>
          </w:tcPr>
          <w:p>
            <w:pPr>
              <w:shd w:val="clea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采购</w:t>
            </w:r>
            <w:r>
              <w:rPr>
                <w:rFonts w:hint="eastAsia" w:ascii="仿宋" w:hAnsi="仿宋" w:eastAsia="仿宋" w:cs="仿宋"/>
                <w:color w:val="auto"/>
                <w:szCs w:val="21"/>
                <w:highlight w:val="none"/>
              </w:rPr>
              <w:t>项目编号</w:t>
            </w:r>
          </w:p>
        </w:tc>
        <w:tc>
          <w:tcPr>
            <w:tcW w:w="6943" w:type="dxa"/>
            <w:vAlign w:val="center"/>
          </w:tcPr>
          <w:p>
            <w:pPr>
              <w:shd w:val="clear"/>
              <w:spacing w:line="360" w:lineRule="auto"/>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530" w:type="dxa"/>
            <w:vAlign w:val="center"/>
          </w:tcPr>
          <w:p>
            <w:pPr>
              <w:shd w:val="clea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采购</w:t>
            </w:r>
            <w:r>
              <w:rPr>
                <w:rFonts w:hint="eastAsia" w:ascii="仿宋" w:hAnsi="仿宋" w:eastAsia="仿宋" w:cs="仿宋"/>
                <w:color w:val="auto"/>
                <w:szCs w:val="21"/>
                <w:highlight w:val="none"/>
              </w:rPr>
              <w:t>项目名称</w:t>
            </w:r>
          </w:p>
        </w:tc>
        <w:tc>
          <w:tcPr>
            <w:tcW w:w="6943" w:type="dxa"/>
            <w:vAlign w:val="center"/>
          </w:tcPr>
          <w:p>
            <w:pPr>
              <w:shd w:val="clear"/>
              <w:spacing w:line="360" w:lineRule="auto"/>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530" w:type="dxa"/>
            <w:vAlign w:val="center"/>
          </w:tcPr>
          <w:p>
            <w:pPr>
              <w:shd w:val="clea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总报价</w:t>
            </w:r>
          </w:p>
          <w:p>
            <w:pPr>
              <w:shd w:val="clea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（人民币）</w:t>
            </w:r>
          </w:p>
        </w:tc>
        <w:tc>
          <w:tcPr>
            <w:tcW w:w="6943" w:type="dxa"/>
            <w:vAlign w:val="center"/>
          </w:tcPr>
          <w:p>
            <w:pPr>
              <w:shd w:val="clea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小写金额：</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元。</w:t>
            </w:r>
          </w:p>
          <w:p>
            <w:pPr>
              <w:shd w:val="clea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大写金额：</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530" w:type="dxa"/>
            <w:vAlign w:val="center"/>
          </w:tcPr>
          <w:p>
            <w:pPr>
              <w:shd w:val="clear"/>
              <w:spacing w:line="36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服务期</w:t>
            </w:r>
          </w:p>
        </w:tc>
        <w:tc>
          <w:tcPr>
            <w:tcW w:w="6943" w:type="dxa"/>
            <w:vAlign w:val="center"/>
          </w:tcPr>
          <w:p>
            <w:pPr>
              <w:shd w:val="clear"/>
              <w:spacing w:line="360" w:lineRule="auto"/>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530" w:type="dxa"/>
            <w:vAlign w:val="center"/>
          </w:tcPr>
          <w:p>
            <w:pPr>
              <w:shd w:val="clear"/>
              <w:spacing w:line="36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其他声明</w:t>
            </w:r>
          </w:p>
        </w:tc>
        <w:tc>
          <w:tcPr>
            <w:tcW w:w="6943" w:type="dxa"/>
            <w:vAlign w:val="center"/>
          </w:tcPr>
          <w:p>
            <w:pPr>
              <w:shd w:val="clear"/>
              <w:spacing w:line="360" w:lineRule="auto"/>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473" w:type="dxa"/>
            <w:gridSpan w:val="2"/>
            <w:vAlign w:val="center"/>
          </w:tcPr>
          <w:p>
            <w:pPr>
              <w:shd w:val="clea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highlight w:val="none"/>
              </w:rPr>
              <w:t>备注：表内报价内容以元为单位，保留小数点后两位。</w:t>
            </w:r>
          </w:p>
        </w:tc>
      </w:tr>
    </w:tbl>
    <w:p>
      <w:pPr>
        <w:shd w:val="clear"/>
        <w:spacing w:line="360" w:lineRule="auto"/>
        <w:rPr>
          <w:rFonts w:hint="eastAsia" w:ascii="仿宋" w:hAnsi="仿宋" w:eastAsia="仿宋" w:cs="仿宋"/>
          <w:color w:val="auto"/>
          <w:szCs w:val="21"/>
          <w:highlight w:val="none"/>
        </w:rPr>
      </w:pPr>
    </w:p>
    <w:p>
      <w:pPr>
        <w:shd w:val="clear"/>
        <w:spacing w:line="360" w:lineRule="auto"/>
        <w:rPr>
          <w:rFonts w:hint="eastAsia" w:ascii="仿宋" w:hAnsi="仿宋" w:eastAsia="仿宋" w:cs="仿宋"/>
          <w:color w:val="auto"/>
          <w:szCs w:val="21"/>
          <w:highlight w:val="none"/>
        </w:rPr>
      </w:pPr>
    </w:p>
    <w:p>
      <w:pPr>
        <w:shd w:val="clear"/>
        <w:spacing w:line="480" w:lineRule="exact"/>
        <w:ind w:left="240" w:leftChars="100"/>
        <w:rPr>
          <w:rFonts w:hint="eastAsia" w:ascii="仿宋" w:hAnsi="仿宋" w:eastAsia="仿宋" w:cs="仿宋"/>
          <w:color w:val="auto"/>
          <w:sz w:val="24"/>
          <w:highlight w:val="none"/>
          <w:u w:val="single"/>
        </w:rPr>
      </w:pPr>
      <w:bookmarkStart w:id="310" w:name="_Toc8368"/>
      <w:r>
        <w:rPr>
          <w:rFonts w:hint="eastAsia" w:ascii="仿宋" w:hAnsi="仿宋" w:eastAsia="仿宋" w:cs="仿宋"/>
          <w:color w:val="auto"/>
          <w:sz w:val="24"/>
          <w:szCs w:val="24"/>
          <w:highlight w:val="none"/>
          <w:lang w:eastAsia="zh-CN"/>
        </w:rPr>
        <w:t>供应商名称（</w:t>
      </w: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highlight w:val="none"/>
          <w:u w:val="single"/>
          <w:lang w:val="en-US" w:eastAsia="zh-CN"/>
        </w:rPr>
        <w:t xml:space="preserve">                          </w:t>
      </w:r>
    </w:p>
    <w:p>
      <w:pPr>
        <w:shd w:val="clear"/>
        <w:spacing w:line="480" w:lineRule="exact"/>
        <w:ind w:left="240" w:leftChars="1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zh-CN"/>
        </w:rPr>
        <w:t>法定代表人</w:t>
      </w:r>
      <w:r>
        <w:rPr>
          <w:rFonts w:hint="eastAsia" w:ascii="仿宋" w:hAnsi="仿宋" w:eastAsia="仿宋" w:cs="仿宋"/>
          <w:sz w:val="24"/>
          <w:szCs w:val="24"/>
          <w:highlight w:val="none"/>
          <w:lang w:val="en-US" w:eastAsia="zh-CN"/>
        </w:rPr>
        <w:t>或授权委托人</w:t>
      </w:r>
      <w:r>
        <w:rPr>
          <w:rFonts w:hint="eastAsia" w:ascii="仿宋" w:hAnsi="仿宋" w:eastAsia="仿宋" w:cs="仿宋"/>
          <w:color w:val="auto"/>
          <w:szCs w:val="24"/>
          <w:highlight w:val="none"/>
          <w:lang w:val="zh-CN"/>
        </w:rPr>
        <w:t>（签字或盖章）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u w:val="single"/>
        </w:rPr>
        <w:t xml:space="preserve">   </w:t>
      </w:r>
    </w:p>
    <w:p>
      <w:pPr>
        <w:shd w:val="clear"/>
        <w:spacing w:line="480" w:lineRule="exact"/>
        <w:ind w:left="240" w:leftChars="100"/>
        <w:rPr>
          <w:rFonts w:hint="eastAsia" w:ascii="仿宋" w:hAnsi="仿宋" w:eastAsia="仿宋" w:cs="仿宋"/>
          <w:color w:val="auto"/>
          <w:highlight w:val="none"/>
          <w:u w:val="single"/>
        </w:rPr>
      </w:pPr>
      <w:r>
        <w:rPr>
          <w:rFonts w:hint="eastAsia" w:ascii="仿宋" w:hAnsi="仿宋" w:eastAsia="仿宋" w:cs="仿宋"/>
          <w:color w:val="auto"/>
          <w:szCs w:val="24"/>
          <w:highlight w:val="none"/>
        </w:rPr>
        <w:t>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bookmarkEnd w:id="310"/>
    <w:p>
      <w:pPr>
        <w:rPr>
          <w:rFonts w:hint="eastAsia" w:ascii="仿宋" w:hAnsi="仿宋" w:eastAsia="仿宋" w:cs="仿宋"/>
          <w:color w:val="auto"/>
          <w:highlight w:val="none"/>
          <w:lang w:eastAsia="zh-CN"/>
        </w:rPr>
      </w:pPr>
      <w:bookmarkStart w:id="311" w:name="_Toc13402"/>
      <w:bookmarkStart w:id="312" w:name="_Toc3747"/>
      <w:bookmarkStart w:id="313" w:name="_Toc18070"/>
      <w:bookmarkStart w:id="314" w:name="_Toc15642"/>
      <w:bookmarkStart w:id="315" w:name="_Toc22414"/>
      <w:bookmarkStart w:id="316" w:name="_Toc24077"/>
      <w:r>
        <w:rPr>
          <w:rFonts w:hint="eastAsia" w:ascii="仿宋" w:hAnsi="仿宋" w:eastAsia="仿宋" w:cs="仿宋"/>
          <w:color w:val="auto"/>
          <w:highlight w:val="none"/>
          <w:lang w:eastAsia="zh-CN"/>
        </w:rPr>
        <w:br w:type="page"/>
      </w:r>
    </w:p>
    <w:p>
      <w:pPr>
        <w:pStyle w:val="3"/>
        <w:bidi w:val="0"/>
        <w:jc w:val="center"/>
        <w:rPr>
          <w:rFonts w:hint="eastAsia" w:ascii="仿宋" w:hAnsi="仿宋" w:eastAsia="仿宋" w:cs="仿宋"/>
          <w:highlight w:val="none"/>
          <w:lang w:val="en-US" w:eastAsia="zh-CN"/>
        </w:rPr>
      </w:pPr>
      <w:bookmarkStart w:id="317" w:name="_Toc15524"/>
      <w:r>
        <w:rPr>
          <w:rFonts w:hint="eastAsia" w:ascii="仿宋" w:hAnsi="仿宋" w:eastAsia="仿宋" w:cs="仿宋"/>
          <w:highlight w:val="none"/>
          <w:lang w:val="en-US" w:eastAsia="zh-CN"/>
        </w:rPr>
        <w:t>三、投标分项报价表</w:t>
      </w:r>
      <w:bookmarkEnd w:id="311"/>
      <w:bookmarkEnd w:id="312"/>
      <w:bookmarkEnd w:id="313"/>
      <w:bookmarkEnd w:id="314"/>
      <w:bookmarkEnd w:id="315"/>
      <w:bookmarkEnd w:id="316"/>
      <w:bookmarkEnd w:id="317"/>
    </w:p>
    <w:p>
      <w:pPr>
        <w:jc w:val="center"/>
        <w:rPr>
          <w:rFonts w:hint="eastAsia" w:ascii="仿宋" w:hAnsi="仿宋" w:eastAsia="仿宋" w:cs="仿宋"/>
          <w:color w:val="auto"/>
          <w:highlight w:val="none"/>
        </w:rPr>
      </w:pPr>
    </w:p>
    <w:p>
      <w:pPr>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eastAsia="zh-CN"/>
        </w:rPr>
        <w:t>采购</w:t>
      </w:r>
      <w:r>
        <w:rPr>
          <w:rFonts w:hint="eastAsia" w:ascii="仿宋" w:hAnsi="仿宋" w:eastAsia="仿宋" w:cs="仿宋"/>
          <w:color w:val="auto"/>
          <w:highlight w:val="none"/>
        </w:rPr>
        <w:t>项目名称：</w:t>
      </w:r>
    </w:p>
    <w:p>
      <w:pPr>
        <w:widowControl w:val="0"/>
        <w:snapToGrid w:val="0"/>
        <w:spacing w:line="360" w:lineRule="auto"/>
        <w:jc w:val="left"/>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24"/>
          <w:szCs w:val="18"/>
          <w:highlight w:val="none"/>
          <w:lang w:val="en-US" w:eastAsia="zh-CN" w:bidi="ar-SA"/>
        </w:rPr>
        <w:t>采购项目编号：</w:t>
      </w:r>
    </w:p>
    <w:p>
      <w:pPr>
        <w:spacing w:line="360" w:lineRule="auto"/>
        <w:jc w:val="center"/>
        <w:rPr>
          <w:rFonts w:hint="eastAsia" w:ascii="仿宋" w:hAnsi="仿宋" w:eastAsia="仿宋" w:cs="仿宋"/>
          <w:b/>
          <w:bCs/>
          <w:color w:val="auto"/>
          <w:highlight w:val="none"/>
        </w:rPr>
      </w:pPr>
    </w:p>
    <w:p>
      <w:pPr>
        <w:jc w:val="center"/>
        <w:rPr>
          <w:rFonts w:hint="eastAsia" w:ascii="仿宋" w:hAnsi="仿宋" w:eastAsia="仿宋" w:cs="仿宋"/>
          <w:b/>
          <w:bCs/>
          <w:color w:val="auto"/>
          <w:highlight w:val="none"/>
        </w:rPr>
      </w:pPr>
    </w:p>
    <w:p>
      <w:pPr>
        <w:shd w:val="clear" w:color="auto" w:fill="auto"/>
        <w:jc w:val="center"/>
        <w:rPr>
          <w:rFonts w:hint="eastAsia" w:ascii="仿宋" w:hAnsi="仿宋" w:eastAsia="仿宋" w:cs="仿宋"/>
          <w:color w:val="auto"/>
          <w:kern w:val="0"/>
          <w:highlight w:val="none"/>
          <w:lang w:eastAsia="zh-CN"/>
        </w:rPr>
      </w:pPr>
      <w:r>
        <w:rPr>
          <w:rFonts w:hint="eastAsia" w:ascii="仿宋" w:hAnsi="仿宋" w:eastAsia="仿宋" w:cs="仿宋"/>
          <w:b/>
          <w:color w:val="auto"/>
          <w:kern w:val="0"/>
          <w:sz w:val="24"/>
          <w:highlight w:val="none"/>
        </w:rPr>
        <w:t>（格式自拟，</w:t>
      </w:r>
      <w:r>
        <w:rPr>
          <w:rFonts w:hint="eastAsia" w:ascii="仿宋" w:hAnsi="仿宋" w:eastAsia="仿宋" w:cs="仿宋"/>
          <w:b/>
          <w:color w:val="auto"/>
          <w:kern w:val="0"/>
          <w:sz w:val="24"/>
          <w:highlight w:val="none"/>
          <w:lang w:eastAsia="zh-CN"/>
        </w:rPr>
        <w:t>供应商</w:t>
      </w:r>
      <w:r>
        <w:rPr>
          <w:rFonts w:hint="eastAsia" w:ascii="仿宋" w:hAnsi="仿宋" w:eastAsia="仿宋" w:cs="仿宋"/>
          <w:b/>
          <w:color w:val="auto"/>
          <w:kern w:val="0"/>
          <w:sz w:val="24"/>
          <w:highlight w:val="none"/>
        </w:rPr>
        <w:t>根据项目情况自行编制，须包含本项目的所有内容）</w:t>
      </w:r>
    </w:p>
    <w:p>
      <w:pPr>
        <w:shd w:val="clear" w:color="auto" w:fill="auto"/>
        <w:jc w:val="center"/>
        <w:rPr>
          <w:rFonts w:hint="eastAsia" w:ascii="仿宋" w:hAnsi="仿宋" w:eastAsia="仿宋" w:cs="仿宋"/>
          <w:b/>
          <w:bCs/>
          <w:color w:val="auto"/>
          <w:kern w:val="0"/>
          <w:highlight w:val="none"/>
        </w:rPr>
      </w:pPr>
    </w:p>
    <w:p>
      <w:pPr>
        <w:shd w:val="clear" w:color="auto" w:fill="auto"/>
        <w:rPr>
          <w:rFonts w:hint="eastAsia" w:ascii="仿宋" w:hAnsi="仿宋" w:eastAsia="仿宋" w:cs="仿宋"/>
          <w:color w:val="auto"/>
          <w:kern w:val="0"/>
          <w:highlight w:val="none"/>
        </w:rPr>
      </w:pPr>
    </w:p>
    <w:p>
      <w:pPr>
        <w:shd w:val="clear" w:color="auto" w:fill="auto"/>
        <w:rPr>
          <w:rFonts w:hint="eastAsia" w:ascii="仿宋" w:hAnsi="仿宋" w:eastAsia="仿宋" w:cs="仿宋"/>
          <w:color w:val="auto"/>
          <w:kern w:val="0"/>
          <w:highlight w:val="none"/>
        </w:rPr>
      </w:pPr>
    </w:p>
    <w:p>
      <w:pPr>
        <w:shd w:val="clear" w:color="auto" w:fill="auto"/>
        <w:rPr>
          <w:rFonts w:hint="eastAsia" w:ascii="仿宋" w:hAnsi="仿宋" w:eastAsia="仿宋" w:cs="仿宋"/>
          <w:color w:val="auto"/>
          <w:kern w:val="0"/>
          <w:highlight w:val="none"/>
        </w:rPr>
      </w:pPr>
    </w:p>
    <w:p>
      <w:pPr>
        <w:shd w:val="clear" w:color="auto" w:fill="auto"/>
        <w:rPr>
          <w:rFonts w:hint="eastAsia" w:ascii="仿宋" w:hAnsi="仿宋" w:eastAsia="仿宋" w:cs="仿宋"/>
          <w:color w:val="auto"/>
          <w:kern w:val="0"/>
          <w:highlight w:val="none"/>
        </w:rPr>
      </w:pPr>
    </w:p>
    <w:p>
      <w:pPr>
        <w:shd w:val="clear" w:color="auto" w:fill="auto"/>
        <w:rPr>
          <w:rFonts w:hint="eastAsia" w:ascii="仿宋" w:hAnsi="仿宋" w:eastAsia="仿宋" w:cs="仿宋"/>
          <w:color w:val="auto"/>
          <w:kern w:val="0"/>
          <w:highlight w:val="none"/>
        </w:rPr>
      </w:pPr>
    </w:p>
    <w:p>
      <w:pPr>
        <w:shd w:val="clear" w:color="auto" w:fill="auto"/>
        <w:rPr>
          <w:rFonts w:hint="eastAsia" w:ascii="仿宋" w:hAnsi="仿宋" w:eastAsia="仿宋" w:cs="仿宋"/>
          <w:color w:val="auto"/>
          <w:kern w:val="0"/>
          <w:highlight w:val="none"/>
        </w:rPr>
      </w:pPr>
    </w:p>
    <w:p>
      <w:pPr>
        <w:shd w:val="clear" w:color="auto" w:fill="auto"/>
        <w:rPr>
          <w:rFonts w:hint="eastAsia" w:ascii="仿宋" w:hAnsi="仿宋" w:eastAsia="仿宋" w:cs="仿宋"/>
          <w:color w:val="auto"/>
          <w:kern w:val="0"/>
          <w:highlight w:val="none"/>
        </w:rPr>
      </w:pPr>
    </w:p>
    <w:p>
      <w:pPr>
        <w:shd w:val="clear" w:color="auto" w:fill="auto"/>
        <w:rPr>
          <w:rFonts w:hint="eastAsia" w:ascii="仿宋" w:hAnsi="仿宋" w:eastAsia="仿宋" w:cs="仿宋"/>
          <w:color w:val="auto"/>
          <w:kern w:val="0"/>
          <w:highlight w:val="none"/>
        </w:rPr>
      </w:pPr>
    </w:p>
    <w:p>
      <w:pPr>
        <w:shd w:val="clear" w:color="auto" w:fill="auto"/>
        <w:spacing w:line="312" w:lineRule="auto"/>
        <w:ind w:firstLine="480" w:firstLineChars="200"/>
        <w:rPr>
          <w:rFonts w:hint="eastAsia" w:ascii="仿宋" w:hAnsi="仿宋" w:eastAsia="仿宋" w:cs="仿宋"/>
          <w:color w:val="auto"/>
          <w:kern w:val="0"/>
          <w:highlight w:val="none"/>
        </w:rPr>
      </w:pPr>
      <w:r>
        <w:rPr>
          <w:rFonts w:hint="eastAsia" w:ascii="仿宋" w:hAnsi="仿宋" w:eastAsia="仿宋" w:cs="仿宋"/>
          <w:color w:val="auto"/>
          <w:kern w:val="0"/>
          <w:highlight w:val="none"/>
        </w:rPr>
        <w:t>注：以上报价</w:t>
      </w:r>
      <w:r>
        <w:rPr>
          <w:rFonts w:hint="eastAsia" w:ascii="仿宋" w:hAnsi="仿宋" w:eastAsia="仿宋" w:cs="仿宋"/>
          <w:color w:val="auto"/>
          <w:kern w:val="0"/>
          <w:highlight w:val="none"/>
          <w:lang w:eastAsia="zh-CN"/>
        </w:rPr>
        <w:t>供应商</w:t>
      </w:r>
      <w:r>
        <w:rPr>
          <w:rFonts w:hint="eastAsia" w:ascii="仿宋" w:hAnsi="仿宋" w:eastAsia="仿宋" w:cs="仿宋"/>
          <w:color w:val="auto"/>
          <w:kern w:val="0"/>
          <w:highlight w:val="none"/>
        </w:rPr>
        <w:t>全面完成全部工作内容的全部</w:t>
      </w:r>
      <w:r>
        <w:rPr>
          <w:rFonts w:hint="eastAsia" w:ascii="仿宋" w:hAnsi="仿宋" w:eastAsia="仿宋" w:cs="仿宋"/>
          <w:color w:val="auto"/>
          <w:kern w:val="0"/>
          <w:highlight w:val="none"/>
          <w:lang w:eastAsia="zh-CN"/>
        </w:rPr>
        <w:t>费用</w:t>
      </w:r>
      <w:r>
        <w:rPr>
          <w:rFonts w:hint="eastAsia" w:ascii="仿宋" w:hAnsi="仿宋" w:eastAsia="仿宋" w:cs="仿宋"/>
          <w:color w:val="auto"/>
          <w:kern w:val="0"/>
          <w:highlight w:val="none"/>
        </w:rPr>
        <w:t>，</w:t>
      </w:r>
      <w:r>
        <w:rPr>
          <w:rFonts w:hint="eastAsia" w:ascii="仿宋" w:hAnsi="仿宋" w:eastAsia="仿宋" w:cs="仿宋"/>
          <w:color w:val="auto"/>
          <w:kern w:val="0"/>
          <w:highlight w:val="none"/>
          <w:lang w:eastAsia="zh-CN"/>
        </w:rPr>
        <w:t>供应商</w:t>
      </w:r>
      <w:r>
        <w:rPr>
          <w:rFonts w:hint="eastAsia" w:ascii="仿宋" w:hAnsi="仿宋" w:eastAsia="仿宋" w:cs="仿宋"/>
          <w:color w:val="auto"/>
          <w:kern w:val="0"/>
          <w:highlight w:val="none"/>
        </w:rPr>
        <w:t>自行考虑项目完成过程中可能会发生的一切费用。</w:t>
      </w:r>
      <w:r>
        <w:rPr>
          <w:rFonts w:hint="eastAsia" w:ascii="仿宋" w:hAnsi="仿宋" w:eastAsia="仿宋" w:cs="仿宋"/>
          <w:color w:val="auto"/>
          <w:kern w:val="0"/>
          <w:highlight w:val="none"/>
          <w:lang w:eastAsia="zh-CN"/>
        </w:rPr>
        <w:t>供应商</w:t>
      </w:r>
      <w:r>
        <w:rPr>
          <w:rFonts w:hint="eastAsia" w:ascii="仿宋" w:hAnsi="仿宋" w:eastAsia="仿宋" w:cs="仿宋"/>
          <w:color w:val="auto"/>
          <w:kern w:val="0"/>
          <w:highlight w:val="none"/>
        </w:rPr>
        <w:t>不得要求采购人在报价之外支付其它任何费用，否则费用由</w:t>
      </w:r>
      <w:r>
        <w:rPr>
          <w:rFonts w:hint="eastAsia" w:ascii="仿宋" w:hAnsi="仿宋" w:eastAsia="仿宋" w:cs="仿宋"/>
          <w:color w:val="auto"/>
          <w:kern w:val="0"/>
          <w:highlight w:val="none"/>
          <w:lang w:eastAsia="zh-CN"/>
        </w:rPr>
        <w:t>供应商</w:t>
      </w:r>
      <w:r>
        <w:rPr>
          <w:rFonts w:hint="eastAsia" w:ascii="仿宋" w:hAnsi="仿宋" w:eastAsia="仿宋" w:cs="仿宋"/>
          <w:color w:val="auto"/>
          <w:kern w:val="0"/>
          <w:highlight w:val="none"/>
        </w:rPr>
        <w:t>自行承担。</w:t>
      </w:r>
    </w:p>
    <w:p>
      <w:pPr>
        <w:shd w:val="clear" w:color="auto" w:fill="auto"/>
        <w:rPr>
          <w:rFonts w:hint="eastAsia" w:ascii="仿宋" w:hAnsi="仿宋" w:eastAsia="仿宋" w:cs="仿宋"/>
          <w:color w:val="auto"/>
          <w:kern w:val="0"/>
          <w:highlight w:val="none"/>
        </w:rPr>
      </w:pPr>
    </w:p>
    <w:p>
      <w:pPr>
        <w:shd w:val="clear" w:color="auto" w:fill="auto"/>
        <w:rPr>
          <w:rFonts w:hint="eastAsia" w:ascii="仿宋" w:hAnsi="仿宋" w:eastAsia="仿宋" w:cs="仿宋"/>
          <w:color w:val="auto"/>
          <w:kern w:val="0"/>
          <w:highlight w:val="none"/>
        </w:rPr>
      </w:pPr>
    </w:p>
    <w:p>
      <w:pPr>
        <w:shd w:val="clear" w:color="auto" w:fill="auto"/>
        <w:rPr>
          <w:rFonts w:hint="eastAsia" w:ascii="仿宋" w:hAnsi="仿宋" w:eastAsia="仿宋" w:cs="仿宋"/>
          <w:color w:val="auto"/>
          <w:kern w:val="0"/>
          <w:highlight w:val="none"/>
        </w:rPr>
      </w:pPr>
    </w:p>
    <w:p>
      <w:pPr>
        <w:shd w:val="clear"/>
        <w:spacing w:line="480" w:lineRule="exact"/>
        <w:ind w:left="240" w:leftChars="10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szCs w:val="24"/>
          <w:highlight w:val="none"/>
          <w:lang w:eastAsia="zh-CN"/>
        </w:rPr>
        <w:t>供应商名称（</w:t>
      </w: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highlight w:val="none"/>
          <w:u w:val="single"/>
          <w:lang w:val="en-US" w:eastAsia="zh-CN"/>
        </w:rPr>
        <w:t xml:space="preserve">                           </w:t>
      </w:r>
    </w:p>
    <w:p>
      <w:pPr>
        <w:shd w:val="clear"/>
        <w:spacing w:line="480" w:lineRule="exact"/>
        <w:ind w:left="240" w:leftChars="1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zh-CN"/>
        </w:rPr>
        <w:t>法定代表人</w:t>
      </w:r>
      <w:r>
        <w:rPr>
          <w:rFonts w:hint="eastAsia" w:ascii="仿宋" w:hAnsi="仿宋" w:eastAsia="仿宋" w:cs="仿宋"/>
          <w:color w:val="auto"/>
          <w:szCs w:val="24"/>
          <w:highlight w:val="none"/>
          <w:lang w:val="zh-CN" w:eastAsia="zh-CN"/>
        </w:rPr>
        <w:t>或授权委托人</w:t>
      </w:r>
      <w:r>
        <w:rPr>
          <w:rFonts w:hint="eastAsia" w:ascii="仿宋" w:hAnsi="仿宋" w:eastAsia="仿宋" w:cs="仿宋"/>
          <w:color w:val="auto"/>
          <w:szCs w:val="24"/>
          <w:highlight w:val="none"/>
          <w:lang w:val="zh-CN"/>
        </w:rPr>
        <w:t>（签字或盖章）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u w:val="single"/>
        </w:rPr>
        <w:t xml:space="preserve">    </w:t>
      </w:r>
    </w:p>
    <w:p>
      <w:pPr>
        <w:shd w:val="clear"/>
        <w:spacing w:line="480" w:lineRule="exact"/>
        <w:ind w:left="240" w:leftChars="100"/>
        <w:rPr>
          <w:rFonts w:hint="eastAsia" w:ascii="仿宋" w:hAnsi="仿宋" w:eastAsia="仿宋" w:cs="仿宋"/>
          <w:color w:val="auto"/>
          <w:highlight w:val="none"/>
          <w:u w:val="single"/>
        </w:rPr>
      </w:pPr>
      <w:r>
        <w:rPr>
          <w:rFonts w:hint="eastAsia" w:ascii="仿宋" w:hAnsi="仿宋" w:eastAsia="仿宋" w:cs="仿宋"/>
          <w:color w:val="auto"/>
          <w:szCs w:val="24"/>
          <w:highlight w:val="none"/>
        </w:rPr>
        <w:t>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widowControl w:val="0"/>
        <w:shd w:val="clear" w:color="auto" w:fill="auto"/>
        <w:spacing w:line="360" w:lineRule="auto"/>
        <w:ind w:firstLine="480" w:firstLineChars="200"/>
        <w:jc w:val="both"/>
        <w:rPr>
          <w:rFonts w:hint="eastAsia" w:ascii="仿宋" w:hAnsi="仿宋" w:eastAsia="仿宋" w:cs="仿宋"/>
          <w:color w:val="auto"/>
          <w:sz w:val="24"/>
          <w:szCs w:val="22"/>
          <w:highlight w:val="none"/>
          <w:lang w:val="zh-CN" w:eastAsia="zh-CN" w:bidi="ar-SA"/>
        </w:rPr>
      </w:pPr>
    </w:p>
    <w:p>
      <w:pPr>
        <w:shd w:val="clear" w:color="auto" w:fill="auto"/>
        <w:spacing w:line="312" w:lineRule="auto"/>
        <w:rPr>
          <w:rFonts w:hint="eastAsia" w:ascii="仿宋" w:hAnsi="仿宋" w:eastAsia="仿宋" w:cs="仿宋"/>
          <w:color w:val="auto"/>
          <w:kern w:val="0"/>
          <w:highlight w:val="none"/>
        </w:rPr>
      </w:pPr>
    </w:p>
    <w:p>
      <w:pPr>
        <w:widowControl w:val="0"/>
        <w:shd w:val="clear"/>
        <w:snapToGrid w:val="0"/>
        <w:jc w:val="left"/>
        <w:rPr>
          <w:rFonts w:hint="eastAsia" w:ascii="仿宋" w:hAnsi="仿宋" w:eastAsia="仿宋" w:cs="仿宋"/>
          <w:color w:val="auto"/>
          <w:kern w:val="2"/>
          <w:sz w:val="18"/>
          <w:szCs w:val="21"/>
          <w:highlight w:val="none"/>
          <w:lang w:val="en-US" w:eastAsia="zh-CN" w:bidi="ar-SA"/>
        </w:rPr>
      </w:pPr>
    </w:p>
    <w:p>
      <w:pPr>
        <w:widowControl w:val="0"/>
        <w:shd w:val="clear"/>
        <w:snapToGrid w:val="0"/>
        <w:jc w:val="left"/>
        <w:rPr>
          <w:rFonts w:hint="eastAsia" w:ascii="仿宋" w:hAnsi="仿宋" w:eastAsia="仿宋" w:cs="仿宋"/>
          <w:color w:val="auto"/>
          <w:kern w:val="2"/>
          <w:sz w:val="18"/>
          <w:szCs w:val="21"/>
          <w:highlight w:val="none"/>
          <w:lang w:val="en-US" w:eastAsia="zh-CN" w:bidi="ar-SA"/>
        </w:rPr>
      </w:pPr>
    </w:p>
    <w:p>
      <w:pPr>
        <w:widowControl w:val="0"/>
        <w:shd w:val="clear"/>
        <w:snapToGrid w:val="0"/>
        <w:jc w:val="left"/>
        <w:rPr>
          <w:rFonts w:hint="eastAsia" w:ascii="仿宋" w:hAnsi="仿宋" w:eastAsia="仿宋" w:cs="仿宋"/>
          <w:color w:val="auto"/>
          <w:kern w:val="2"/>
          <w:sz w:val="18"/>
          <w:szCs w:val="21"/>
          <w:highlight w:val="none"/>
          <w:lang w:val="en-US" w:eastAsia="zh-CN" w:bidi="ar-SA"/>
        </w:rPr>
      </w:pPr>
    </w:p>
    <w:p>
      <w:pPr>
        <w:widowControl w:val="0"/>
        <w:shd w:val="clear"/>
        <w:snapToGrid w:val="0"/>
        <w:jc w:val="left"/>
        <w:rPr>
          <w:rFonts w:hint="eastAsia" w:ascii="仿宋" w:hAnsi="仿宋" w:eastAsia="仿宋" w:cs="仿宋"/>
          <w:color w:val="auto"/>
          <w:kern w:val="2"/>
          <w:sz w:val="18"/>
          <w:szCs w:val="21"/>
          <w:highlight w:val="none"/>
          <w:lang w:val="en-US" w:eastAsia="zh-CN" w:bidi="ar-SA"/>
        </w:rPr>
      </w:pPr>
    </w:p>
    <w:p>
      <w:pPr>
        <w:widowControl w:val="0"/>
        <w:shd w:val="clear"/>
        <w:snapToGrid w:val="0"/>
        <w:jc w:val="left"/>
        <w:rPr>
          <w:rFonts w:hint="eastAsia" w:ascii="仿宋" w:hAnsi="仿宋" w:eastAsia="仿宋" w:cs="仿宋"/>
          <w:color w:val="auto"/>
          <w:kern w:val="2"/>
          <w:sz w:val="18"/>
          <w:szCs w:val="21"/>
          <w:highlight w:val="none"/>
          <w:lang w:val="en-US" w:eastAsia="zh-CN" w:bidi="ar-SA"/>
        </w:rPr>
      </w:pPr>
    </w:p>
    <w:p>
      <w:pPr>
        <w:widowControl w:val="0"/>
        <w:shd w:val="clear"/>
        <w:snapToGrid w:val="0"/>
        <w:jc w:val="left"/>
        <w:rPr>
          <w:rFonts w:hint="eastAsia" w:ascii="仿宋" w:hAnsi="仿宋" w:eastAsia="仿宋" w:cs="仿宋"/>
          <w:color w:val="auto"/>
          <w:kern w:val="2"/>
          <w:sz w:val="18"/>
          <w:szCs w:val="21"/>
          <w:highlight w:val="none"/>
          <w:lang w:val="en-US" w:eastAsia="zh-CN" w:bidi="ar-SA"/>
        </w:rPr>
      </w:pPr>
    </w:p>
    <w:p>
      <w:pPr>
        <w:widowControl w:val="0"/>
        <w:shd w:val="clear"/>
        <w:snapToGrid w:val="0"/>
        <w:jc w:val="left"/>
        <w:rPr>
          <w:rFonts w:hint="eastAsia" w:ascii="仿宋" w:hAnsi="仿宋" w:eastAsia="仿宋" w:cs="仿宋"/>
          <w:color w:val="auto"/>
          <w:kern w:val="2"/>
          <w:sz w:val="18"/>
          <w:szCs w:val="21"/>
          <w:highlight w:val="none"/>
          <w:lang w:val="en-US" w:eastAsia="zh-CN" w:bidi="ar-SA"/>
        </w:rPr>
      </w:pPr>
    </w:p>
    <w:p>
      <w:pPr>
        <w:widowControl w:val="0"/>
        <w:shd w:val="clear"/>
        <w:snapToGrid w:val="0"/>
        <w:jc w:val="left"/>
        <w:rPr>
          <w:rFonts w:hint="eastAsia" w:ascii="仿宋" w:hAnsi="仿宋" w:eastAsia="仿宋" w:cs="仿宋"/>
          <w:color w:val="auto"/>
          <w:kern w:val="2"/>
          <w:sz w:val="18"/>
          <w:szCs w:val="21"/>
          <w:highlight w:val="none"/>
          <w:lang w:val="en-US" w:eastAsia="zh-CN" w:bidi="ar-SA"/>
        </w:rPr>
      </w:pPr>
    </w:p>
    <w:p>
      <w:pPr>
        <w:widowControl w:val="0"/>
        <w:shd w:val="clear"/>
        <w:snapToGrid w:val="0"/>
        <w:jc w:val="left"/>
        <w:rPr>
          <w:rFonts w:hint="eastAsia" w:ascii="仿宋" w:hAnsi="仿宋" w:eastAsia="仿宋" w:cs="仿宋"/>
          <w:color w:val="auto"/>
          <w:kern w:val="2"/>
          <w:sz w:val="18"/>
          <w:szCs w:val="21"/>
          <w:highlight w:val="none"/>
          <w:lang w:val="en-US" w:eastAsia="zh-CN" w:bidi="ar-SA"/>
        </w:rPr>
      </w:pPr>
    </w:p>
    <w:p>
      <w:pPr>
        <w:widowControl w:val="0"/>
        <w:shd w:val="clear"/>
        <w:snapToGrid w:val="0"/>
        <w:jc w:val="left"/>
        <w:rPr>
          <w:rFonts w:hint="eastAsia" w:ascii="仿宋" w:hAnsi="仿宋" w:eastAsia="仿宋" w:cs="仿宋"/>
          <w:color w:val="auto"/>
          <w:kern w:val="2"/>
          <w:sz w:val="18"/>
          <w:szCs w:val="21"/>
          <w:highlight w:val="none"/>
          <w:lang w:val="en-US" w:eastAsia="zh-CN" w:bidi="ar-SA"/>
        </w:rPr>
      </w:pPr>
    </w:p>
    <w:p>
      <w:pPr>
        <w:widowControl w:val="0"/>
        <w:shd w:val="clear"/>
        <w:snapToGrid w:val="0"/>
        <w:jc w:val="left"/>
        <w:rPr>
          <w:rFonts w:hint="eastAsia" w:ascii="仿宋" w:hAnsi="仿宋" w:eastAsia="仿宋" w:cs="仿宋"/>
          <w:color w:val="auto"/>
          <w:kern w:val="2"/>
          <w:sz w:val="18"/>
          <w:szCs w:val="21"/>
          <w:highlight w:val="none"/>
          <w:lang w:val="en-US" w:eastAsia="zh-CN" w:bidi="ar-SA"/>
        </w:rPr>
      </w:pPr>
    </w:p>
    <w:p>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pPr>
        <w:pStyle w:val="3"/>
        <w:bidi w:val="0"/>
        <w:jc w:val="center"/>
        <w:rPr>
          <w:rFonts w:hint="eastAsia" w:ascii="仿宋" w:hAnsi="仿宋" w:eastAsia="仿宋" w:cs="仿宋"/>
          <w:sz w:val="28"/>
          <w:szCs w:val="28"/>
          <w:highlight w:val="none"/>
          <w:lang w:val="en-US" w:eastAsia="zh-CN"/>
        </w:rPr>
      </w:pPr>
      <w:bookmarkStart w:id="318" w:name="_Toc3813"/>
      <w:bookmarkStart w:id="319" w:name="_Toc18990"/>
      <w:bookmarkStart w:id="320" w:name="_Toc10782"/>
      <w:bookmarkStart w:id="321" w:name="_Toc20817"/>
      <w:bookmarkStart w:id="322" w:name="_Toc13761"/>
      <w:bookmarkStart w:id="323" w:name="_Toc14528"/>
      <w:bookmarkStart w:id="324" w:name="_Toc11840"/>
      <w:bookmarkStart w:id="325" w:name="_Toc17851"/>
      <w:r>
        <w:rPr>
          <w:rFonts w:hint="eastAsia" w:ascii="仿宋" w:hAnsi="仿宋" w:eastAsia="仿宋" w:cs="仿宋"/>
          <w:sz w:val="28"/>
          <w:szCs w:val="28"/>
          <w:highlight w:val="none"/>
          <w:lang w:val="en-US" w:eastAsia="zh-CN"/>
        </w:rPr>
        <w:t>四、法定代表人证明书、法定代表人授权委托书</w:t>
      </w:r>
      <w:bookmarkEnd w:id="318"/>
    </w:p>
    <w:p>
      <w:pPr>
        <w:widowControl w:val="0"/>
        <w:snapToGrid w:val="0"/>
        <w:spacing w:before="253" w:beforeLines="81" w:beforeAutospacing="0" w:after="253" w:afterLines="81" w:afterAutospacing="0" w:line="360" w:lineRule="auto"/>
        <w:jc w:val="center"/>
        <w:rPr>
          <w:rFonts w:hint="eastAsia" w:ascii="仿宋" w:hAnsi="仿宋" w:eastAsia="仿宋" w:cs="仿宋"/>
          <w:b/>
          <w:bCs/>
          <w:color w:val="auto"/>
          <w:kern w:val="2"/>
          <w:sz w:val="28"/>
          <w:szCs w:val="20"/>
          <w:highlight w:val="none"/>
          <w:lang w:val="en-US" w:eastAsia="zh-CN" w:bidi="ar-SA"/>
        </w:rPr>
      </w:pPr>
      <w:r>
        <w:rPr>
          <w:rFonts w:hint="eastAsia" w:ascii="仿宋" w:hAnsi="仿宋" w:eastAsia="仿宋" w:cs="仿宋"/>
          <w:b/>
          <w:bCs/>
          <w:color w:val="auto"/>
          <w:kern w:val="2"/>
          <w:sz w:val="28"/>
          <w:szCs w:val="20"/>
          <w:highlight w:val="none"/>
          <w:lang w:val="en-US" w:eastAsia="zh-CN" w:bidi="ar-SA"/>
        </w:rPr>
        <w:t>法定代表人身份证明书</w:t>
      </w:r>
      <w:bookmarkEnd w:id="319"/>
      <w:bookmarkEnd w:id="320"/>
      <w:bookmarkEnd w:id="321"/>
      <w:bookmarkEnd w:id="322"/>
      <w:bookmarkEnd w:id="323"/>
      <w:bookmarkEnd w:id="324"/>
      <w:bookmarkEnd w:id="325"/>
    </w:p>
    <w:p>
      <w:pPr>
        <w:keepNext w:val="0"/>
        <w:keepLines w:val="0"/>
        <w:widowControl w:val="0"/>
        <w:suppressLineNumbers w:val="0"/>
        <w:spacing w:beforeAutospacing="0" w:after="0" w:afterAutospacing="0" w:line="360" w:lineRule="auto"/>
        <w:ind w:left="0" w:right="0" w:firstLine="480" w:firstLineChars="200"/>
        <w:jc w:val="both"/>
        <w:rPr>
          <w:rFonts w:hint="eastAsia" w:ascii="仿宋" w:hAnsi="仿宋" w:eastAsia="仿宋" w:cs="仿宋"/>
          <w:color w:val="auto"/>
          <w:sz w:val="24"/>
          <w:szCs w:val="20"/>
          <w:highlight w:val="none"/>
          <w:u w:val="single"/>
          <w:lang w:val="en-US"/>
        </w:rPr>
      </w:pPr>
      <w:r>
        <w:rPr>
          <w:rFonts w:hint="eastAsia" w:ascii="仿宋" w:hAnsi="仿宋" w:eastAsia="仿宋" w:cs="仿宋"/>
          <w:color w:val="auto"/>
          <w:kern w:val="2"/>
          <w:sz w:val="24"/>
          <w:szCs w:val="20"/>
          <w:highlight w:val="none"/>
          <w:lang w:val="en-US" w:eastAsia="zh-CN" w:bidi="ar"/>
        </w:rPr>
        <w:t>单位名称：</w:t>
      </w:r>
      <w:r>
        <w:rPr>
          <w:rFonts w:hint="eastAsia" w:ascii="仿宋" w:hAnsi="仿宋" w:eastAsia="仿宋" w:cs="仿宋"/>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仿宋" w:hAnsi="仿宋" w:eastAsia="仿宋" w:cs="仿宋"/>
          <w:color w:val="auto"/>
          <w:sz w:val="24"/>
          <w:szCs w:val="20"/>
          <w:highlight w:val="none"/>
          <w:lang w:val="en-US"/>
        </w:rPr>
      </w:pPr>
      <w:r>
        <w:rPr>
          <w:rFonts w:hint="eastAsia" w:ascii="仿宋" w:hAnsi="仿宋" w:eastAsia="仿宋" w:cs="仿宋"/>
          <w:color w:val="auto"/>
          <w:kern w:val="2"/>
          <w:sz w:val="24"/>
          <w:szCs w:val="20"/>
          <w:highlight w:val="none"/>
          <w:lang w:val="en-US" w:eastAsia="zh-CN" w:bidi="ar"/>
        </w:rPr>
        <w:t>单位性质：</w:t>
      </w:r>
      <w:r>
        <w:rPr>
          <w:rFonts w:hint="eastAsia" w:ascii="仿宋" w:hAnsi="仿宋" w:eastAsia="仿宋" w:cs="仿宋"/>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仿宋" w:hAnsi="仿宋" w:eastAsia="仿宋" w:cs="仿宋"/>
          <w:color w:val="auto"/>
          <w:sz w:val="24"/>
          <w:szCs w:val="20"/>
          <w:highlight w:val="none"/>
          <w:u w:val="single"/>
          <w:lang w:val="en-US"/>
        </w:rPr>
      </w:pPr>
      <w:r>
        <w:rPr>
          <w:rFonts w:hint="eastAsia" w:ascii="仿宋" w:hAnsi="仿宋" w:eastAsia="仿宋" w:cs="仿宋"/>
          <w:color w:val="auto"/>
          <w:kern w:val="2"/>
          <w:sz w:val="24"/>
          <w:szCs w:val="20"/>
          <w:highlight w:val="none"/>
          <w:lang w:val="en-US" w:eastAsia="zh-CN" w:bidi="ar"/>
        </w:rPr>
        <w:t>地址：</w:t>
      </w:r>
      <w:r>
        <w:rPr>
          <w:rFonts w:hint="eastAsia" w:ascii="仿宋" w:hAnsi="仿宋" w:eastAsia="仿宋" w:cs="仿宋"/>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仿宋" w:hAnsi="仿宋" w:eastAsia="仿宋" w:cs="仿宋"/>
          <w:color w:val="auto"/>
          <w:sz w:val="24"/>
          <w:szCs w:val="20"/>
          <w:highlight w:val="none"/>
          <w:lang w:val="en-US"/>
        </w:rPr>
      </w:pPr>
      <w:r>
        <w:rPr>
          <w:rFonts w:hint="eastAsia" w:ascii="仿宋" w:hAnsi="仿宋" w:eastAsia="仿宋" w:cs="仿宋"/>
          <w:color w:val="auto"/>
          <w:kern w:val="2"/>
          <w:sz w:val="24"/>
          <w:szCs w:val="20"/>
          <w:highlight w:val="none"/>
          <w:lang w:val="en-US" w:eastAsia="zh-CN" w:bidi="ar"/>
        </w:rPr>
        <w:t>成立时间：</w:t>
      </w:r>
      <w:r>
        <w:rPr>
          <w:rFonts w:hint="eastAsia" w:ascii="仿宋" w:hAnsi="仿宋" w:eastAsia="仿宋" w:cs="仿宋"/>
          <w:color w:val="auto"/>
          <w:kern w:val="2"/>
          <w:sz w:val="24"/>
          <w:szCs w:val="20"/>
          <w:highlight w:val="none"/>
          <w:u w:val="single"/>
          <w:lang w:val="en-US" w:eastAsia="zh-CN" w:bidi="ar"/>
        </w:rPr>
        <w:t xml:space="preserve">         年          月            日</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仿宋" w:hAnsi="仿宋" w:eastAsia="仿宋" w:cs="仿宋"/>
          <w:color w:val="auto"/>
          <w:sz w:val="24"/>
          <w:szCs w:val="20"/>
          <w:highlight w:val="none"/>
          <w:u w:val="single"/>
          <w:lang w:val="en-US"/>
        </w:rPr>
      </w:pPr>
      <w:r>
        <w:rPr>
          <w:rFonts w:hint="eastAsia" w:ascii="仿宋" w:hAnsi="仿宋" w:eastAsia="仿宋" w:cs="仿宋"/>
          <w:color w:val="auto"/>
          <w:kern w:val="2"/>
          <w:sz w:val="24"/>
          <w:szCs w:val="20"/>
          <w:highlight w:val="none"/>
          <w:lang w:val="en-US" w:eastAsia="zh-CN" w:bidi="ar"/>
        </w:rPr>
        <w:t>经营期限：</w:t>
      </w:r>
      <w:r>
        <w:rPr>
          <w:rFonts w:hint="eastAsia" w:ascii="仿宋" w:hAnsi="仿宋" w:eastAsia="仿宋" w:cs="仿宋"/>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仿宋" w:hAnsi="仿宋" w:eastAsia="仿宋" w:cs="仿宋"/>
          <w:color w:val="auto"/>
          <w:sz w:val="24"/>
          <w:szCs w:val="20"/>
          <w:highlight w:val="none"/>
          <w:lang w:val="en-US"/>
        </w:rPr>
      </w:pPr>
      <w:r>
        <w:rPr>
          <w:rFonts w:hint="eastAsia" w:ascii="仿宋" w:hAnsi="仿宋" w:eastAsia="仿宋" w:cs="仿宋"/>
          <w:color w:val="auto"/>
          <w:kern w:val="2"/>
          <w:sz w:val="24"/>
          <w:szCs w:val="20"/>
          <w:highlight w:val="none"/>
          <w:lang w:val="en-US" w:eastAsia="zh-CN" w:bidi="ar"/>
        </w:rPr>
        <w:t>姓名：</w:t>
      </w:r>
      <w:r>
        <w:rPr>
          <w:rFonts w:hint="eastAsia" w:ascii="仿宋" w:hAnsi="仿宋" w:eastAsia="仿宋" w:cs="仿宋"/>
          <w:color w:val="auto"/>
          <w:kern w:val="2"/>
          <w:sz w:val="24"/>
          <w:szCs w:val="20"/>
          <w:highlight w:val="none"/>
          <w:u w:val="single"/>
          <w:lang w:val="en-US" w:eastAsia="zh-CN" w:bidi="ar"/>
        </w:rPr>
        <w:t xml:space="preserve">      </w:t>
      </w:r>
      <w:r>
        <w:rPr>
          <w:rFonts w:hint="eastAsia" w:ascii="仿宋" w:hAnsi="仿宋" w:eastAsia="仿宋" w:cs="仿宋"/>
          <w:color w:val="auto"/>
          <w:kern w:val="2"/>
          <w:sz w:val="24"/>
          <w:szCs w:val="20"/>
          <w:highlight w:val="none"/>
          <w:lang w:val="en-US" w:eastAsia="zh-CN" w:bidi="ar"/>
        </w:rPr>
        <w:t>性别：</w:t>
      </w:r>
      <w:r>
        <w:rPr>
          <w:rFonts w:hint="eastAsia" w:ascii="仿宋" w:hAnsi="仿宋" w:eastAsia="仿宋" w:cs="仿宋"/>
          <w:color w:val="auto"/>
          <w:kern w:val="2"/>
          <w:sz w:val="24"/>
          <w:szCs w:val="20"/>
          <w:highlight w:val="none"/>
          <w:u w:val="single"/>
          <w:lang w:val="en-US" w:eastAsia="zh-CN" w:bidi="ar"/>
        </w:rPr>
        <w:t xml:space="preserve">      </w:t>
      </w:r>
      <w:r>
        <w:rPr>
          <w:rFonts w:hint="eastAsia" w:ascii="仿宋" w:hAnsi="仿宋" w:eastAsia="仿宋" w:cs="仿宋"/>
          <w:color w:val="auto"/>
          <w:kern w:val="2"/>
          <w:sz w:val="24"/>
          <w:szCs w:val="20"/>
          <w:highlight w:val="none"/>
          <w:lang w:val="en-US" w:eastAsia="zh-CN" w:bidi="ar"/>
        </w:rPr>
        <w:t>年龄：</w:t>
      </w:r>
      <w:r>
        <w:rPr>
          <w:rFonts w:hint="eastAsia" w:ascii="仿宋" w:hAnsi="仿宋" w:eastAsia="仿宋" w:cs="仿宋"/>
          <w:color w:val="auto"/>
          <w:kern w:val="2"/>
          <w:sz w:val="24"/>
          <w:szCs w:val="20"/>
          <w:highlight w:val="none"/>
          <w:u w:val="single"/>
          <w:lang w:val="en-US" w:eastAsia="zh-CN" w:bidi="ar"/>
        </w:rPr>
        <w:t xml:space="preserve">       </w:t>
      </w:r>
      <w:r>
        <w:rPr>
          <w:rFonts w:hint="eastAsia" w:ascii="仿宋" w:hAnsi="仿宋" w:eastAsia="仿宋" w:cs="仿宋"/>
          <w:color w:val="auto"/>
          <w:kern w:val="2"/>
          <w:sz w:val="24"/>
          <w:szCs w:val="20"/>
          <w:highlight w:val="none"/>
          <w:lang w:val="en-US" w:eastAsia="zh-CN" w:bidi="ar"/>
        </w:rPr>
        <w:t>职务：</w:t>
      </w:r>
      <w:r>
        <w:rPr>
          <w:rFonts w:hint="eastAsia" w:ascii="仿宋" w:hAnsi="仿宋" w:eastAsia="仿宋" w:cs="仿宋"/>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仿宋" w:hAnsi="仿宋" w:eastAsia="仿宋" w:cs="仿宋"/>
          <w:color w:val="auto"/>
          <w:sz w:val="24"/>
          <w:szCs w:val="20"/>
          <w:highlight w:val="none"/>
          <w:lang w:val="en-US"/>
        </w:rPr>
      </w:pPr>
      <w:r>
        <w:rPr>
          <w:rFonts w:hint="eastAsia" w:ascii="仿宋" w:hAnsi="仿宋" w:eastAsia="仿宋" w:cs="仿宋"/>
          <w:color w:val="auto"/>
          <w:kern w:val="2"/>
          <w:sz w:val="24"/>
          <w:szCs w:val="20"/>
          <w:highlight w:val="none"/>
          <w:lang w:val="en-US" w:eastAsia="zh-CN" w:bidi="ar"/>
        </w:rPr>
        <w:t>系</w:t>
      </w:r>
      <w:r>
        <w:rPr>
          <w:rFonts w:hint="eastAsia" w:ascii="仿宋" w:hAnsi="仿宋" w:eastAsia="仿宋" w:cs="仿宋"/>
          <w:color w:val="auto"/>
          <w:kern w:val="2"/>
          <w:sz w:val="24"/>
          <w:szCs w:val="20"/>
          <w:highlight w:val="none"/>
          <w:u w:val="single"/>
          <w:lang w:val="en-US" w:eastAsia="zh-CN" w:bidi="ar"/>
        </w:rPr>
        <w:t xml:space="preserve">                   </w:t>
      </w:r>
      <w:r>
        <w:rPr>
          <w:rFonts w:hint="eastAsia" w:ascii="仿宋" w:hAnsi="仿宋" w:eastAsia="仿宋" w:cs="仿宋"/>
          <w:color w:val="auto"/>
          <w:kern w:val="2"/>
          <w:sz w:val="24"/>
          <w:szCs w:val="20"/>
          <w:highlight w:val="none"/>
          <w:lang w:val="en-US" w:eastAsia="zh-CN" w:bidi="ar"/>
        </w:rPr>
        <w:t>的法定代表人。</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仿宋" w:hAnsi="仿宋" w:eastAsia="仿宋" w:cs="仿宋"/>
          <w:color w:val="auto"/>
          <w:sz w:val="24"/>
          <w:szCs w:val="20"/>
          <w:highlight w:val="none"/>
          <w:lang w:val="en-US"/>
        </w:rPr>
      </w:pPr>
      <w:r>
        <w:rPr>
          <w:rFonts w:hint="eastAsia" w:ascii="仿宋" w:hAnsi="仿宋" w:eastAsia="仿宋" w:cs="仿宋"/>
          <w:color w:val="auto"/>
          <w:kern w:val="2"/>
          <w:sz w:val="24"/>
          <w:szCs w:val="20"/>
          <w:highlight w:val="none"/>
          <w:lang w:val="en-US" w:eastAsia="zh-CN" w:bidi="ar"/>
        </w:rPr>
        <w:t>特此证明。</w:t>
      </w:r>
    </w:p>
    <w:p>
      <w:pPr>
        <w:keepNext w:val="0"/>
        <w:keepLines w:val="0"/>
        <w:widowControl w:val="0"/>
        <w:suppressLineNumbers w:val="0"/>
        <w:wordWrap w:val="0"/>
        <w:spacing w:before="0" w:beforeAutospacing="0" w:after="0" w:afterAutospacing="0" w:line="360" w:lineRule="auto"/>
        <w:ind w:left="0" w:right="560"/>
        <w:jc w:val="both"/>
        <w:rPr>
          <w:rFonts w:hint="eastAsia" w:ascii="仿宋" w:hAnsi="仿宋" w:eastAsia="仿宋" w:cs="仿宋"/>
          <w:color w:val="auto"/>
          <w:sz w:val="24"/>
          <w:szCs w:val="20"/>
          <w:highlight w:val="none"/>
          <w:lang w:val="en-US"/>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仿宋" w:hAnsi="仿宋" w:eastAsia="仿宋" w:cs="仿宋"/>
          <w:color w:val="auto"/>
          <w:kern w:val="2"/>
          <w:sz w:val="24"/>
          <w:szCs w:val="20"/>
          <w:highlight w:val="none"/>
          <w:u w:val="single"/>
          <w:lang w:val="en-US" w:eastAsia="zh-CN" w:bidi="ar"/>
        </w:rPr>
      </w:pPr>
      <w:r>
        <w:rPr>
          <w:rFonts w:hint="eastAsia" w:ascii="仿宋" w:hAnsi="仿宋" w:eastAsia="仿宋" w:cs="仿宋"/>
          <w:color w:val="auto"/>
          <w:kern w:val="2"/>
          <w:sz w:val="24"/>
          <w:szCs w:val="20"/>
          <w:highlight w:val="none"/>
          <w:lang w:val="en-US" w:eastAsia="zh-CN" w:bidi="ar"/>
        </w:rPr>
        <w:t>供应商：</w:t>
      </w:r>
      <w:r>
        <w:rPr>
          <w:rFonts w:hint="eastAsia" w:ascii="仿宋" w:hAnsi="仿宋" w:eastAsia="仿宋" w:cs="仿宋"/>
          <w:color w:val="auto"/>
          <w:kern w:val="2"/>
          <w:sz w:val="24"/>
          <w:szCs w:val="20"/>
          <w:highlight w:val="none"/>
          <w:u w:val="single"/>
          <w:lang w:val="en-US" w:eastAsia="zh-CN" w:bidi="ar"/>
        </w:rPr>
        <w:t xml:space="preserve">      （盖公章）</w:t>
      </w:r>
    </w:p>
    <w:p>
      <w:pPr>
        <w:keepNext w:val="0"/>
        <w:keepLines w:val="0"/>
        <w:widowControl w:val="0"/>
        <w:suppressLineNumbers w:val="0"/>
        <w:spacing w:before="0" w:beforeAutospacing="0" w:after="120" w:afterAutospacing="0"/>
        <w:ind w:left="0" w:right="0"/>
        <w:jc w:val="both"/>
        <w:rPr>
          <w:rFonts w:hint="eastAsia" w:ascii="仿宋" w:hAnsi="仿宋" w:eastAsia="仿宋" w:cs="仿宋"/>
          <w:color w:val="auto"/>
          <w:kern w:val="2"/>
          <w:sz w:val="21"/>
          <w:szCs w:val="20"/>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仿宋" w:hAnsi="仿宋" w:eastAsia="仿宋" w:cs="仿宋"/>
          <w:color w:val="auto"/>
          <w:sz w:val="21"/>
          <w:szCs w:val="24"/>
          <w:highlight w:val="none"/>
          <w:lang w:val="en-US"/>
        </w:rPr>
      </w:pPr>
      <w:r>
        <w:rPr>
          <w:rFonts w:hint="eastAsia" w:ascii="仿宋" w:hAnsi="仿宋" w:eastAsia="仿宋" w:cs="仿宋"/>
          <w:color w:val="auto"/>
          <w:kern w:val="2"/>
          <w:sz w:val="24"/>
          <w:szCs w:val="20"/>
          <w:highlight w:val="none"/>
          <w:lang w:val="en-US" w:eastAsia="zh-CN" w:bidi="ar"/>
        </w:rPr>
        <w:t>日期：   年   月   日</w:t>
      </w:r>
    </w:p>
    <w:p>
      <w:pPr>
        <w:keepNext w:val="0"/>
        <w:keepLines w:val="0"/>
        <w:widowControl w:val="0"/>
        <w:suppressLineNumbers w:val="0"/>
        <w:wordWrap w:val="0"/>
        <w:spacing w:before="240" w:beforeAutospacing="0" w:after="0" w:afterAutospacing="0" w:line="360" w:lineRule="auto"/>
        <w:ind w:left="0" w:right="560"/>
        <w:jc w:val="both"/>
        <w:rPr>
          <w:rFonts w:hint="eastAsia" w:ascii="仿宋" w:hAnsi="仿宋" w:eastAsia="仿宋" w:cs="仿宋"/>
          <w:color w:val="auto"/>
          <w:sz w:val="24"/>
          <w:szCs w:val="20"/>
          <w:highlight w:val="none"/>
          <w:lang w:val="en-US"/>
        </w:rPr>
      </w:pPr>
      <w:r>
        <w:rPr>
          <w:rFonts w:hint="eastAsia" w:ascii="仿宋" w:hAnsi="仿宋" w:eastAsia="仿宋" w:cs="仿宋"/>
          <w:b/>
          <w:bCs w:val="0"/>
          <w:color w:val="auto"/>
          <w:kern w:val="2"/>
          <w:sz w:val="24"/>
          <w:szCs w:val="20"/>
          <w:highlight w:val="none"/>
          <w:lang w:val="en-US" w:eastAsia="zh-CN" w:bidi="ar"/>
        </w:rPr>
        <w:t>附法定代表人身份证复印件</w:t>
      </w:r>
    </w:p>
    <w:p>
      <w:pPr>
        <w:bidi w:val="0"/>
        <w:spacing w:before="471" w:beforeLines="150" w:beforeAutospacing="0" w:after="363" w:afterLines="116" w:afterAutospacing="0"/>
        <w:jc w:val="center"/>
        <w:rPr>
          <w:rStyle w:val="78"/>
          <w:rFonts w:hint="eastAsia" w:ascii="仿宋" w:hAnsi="仿宋" w:eastAsia="仿宋" w:cs="仿宋"/>
          <w:b/>
          <w:bCs/>
          <w:color w:val="auto"/>
          <w:sz w:val="28"/>
          <w:szCs w:val="28"/>
          <w:highlight w:val="none"/>
          <w:lang w:val="en-US" w:eastAsia="zh-CN"/>
        </w:rPr>
      </w:pPr>
      <w:r>
        <w:rPr>
          <w:rFonts w:hint="eastAsia" w:ascii="仿宋" w:hAnsi="仿宋" w:eastAsia="仿宋" w:cs="仿宋"/>
          <w:b/>
          <w:color w:val="auto"/>
          <w:kern w:val="0"/>
          <w:sz w:val="28"/>
          <w:szCs w:val="32"/>
          <w:highlight w:val="none"/>
          <w:lang w:val="en-US" w:eastAsia="zh-CN" w:bidi="ar"/>
        </w:rPr>
        <w:br w:type="page"/>
      </w:r>
      <w:bookmarkStart w:id="326" w:name="_Toc16804"/>
      <w:bookmarkStart w:id="327" w:name="_Toc21264"/>
      <w:bookmarkStart w:id="328" w:name="_Toc23845"/>
      <w:bookmarkStart w:id="329" w:name="_Toc6376"/>
      <w:bookmarkStart w:id="330" w:name="_Toc729"/>
      <w:bookmarkStart w:id="331" w:name="_Toc27694"/>
      <w:bookmarkStart w:id="332" w:name="_Toc8685"/>
      <w:r>
        <w:rPr>
          <w:rFonts w:hint="eastAsia" w:ascii="仿宋" w:hAnsi="仿宋" w:eastAsia="仿宋" w:cs="仿宋"/>
          <w:b/>
          <w:bCs/>
          <w:color w:val="auto"/>
          <w:kern w:val="2"/>
          <w:sz w:val="28"/>
          <w:szCs w:val="28"/>
          <w:highlight w:val="none"/>
          <w:lang w:val="en-US" w:eastAsia="zh-CN" w:bidi="ar-SA"/>
        </w:rPr>
        <w:t>法定代表人授权委托书</w:t>
      </w:r>
      <w:bookmarkEnd w:id="326"/>
      <w:bookmarkEnd w:id="327"/>
      <w:bookmarkEnd w:id="328"/>
      <w:bookmarkEnd w:id="329"/>
      <w:bookmarkEnd w:id="330"/>
      <w:bookmarkEnd w:id="331"/>
      <w:bookmarkEnd w:id="332"/>
    </w:p>
    <w:p>
      <w:pPr>
        <w:shd w:val="clear"/>
        <w:tabs>
          <w:tab w:val="left" w:pos="8820"/>
        </w:tabs>
        <w:spacing w:beforeAutospacing="0" w:line="360" w:lineRule="auto"/>
        <w:ind w:firstLine="570"/>
        <w:rPr>
          <w:rFonts w:hint="eastAsia" w:ascii="仿宋" w:hAnsi="仿宋" w:eastAsia="仿宋" w:cs="仿宋"/>
          <w:color w:val="auto"/>
          <w:sz w:val="24"/>
          <w:highlight w:val="none"/>
          <w:u w:val="single"/>
        </w:rPr>
      </w:pPr>
      <w:bookmarkStart w:id="333" w:name="OLE_LINK7"/>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szCs w:val="22"/>
          <w:highlight w:val="none"/>
          <w:u w:val="single"/>
          <w:lang w:eastAsia="zh-CN"/>
        </w:rPr>
        <w:t>（法定代表人姓名）</w:t>
      </w:r>
      <w:r>
        <w:rPr>
          <w:rFonts w:hint="eastAsia" w:ascii="仿宋" w:hAnsi="仿宋" w:eastAsia="仿宋" w:cs="仿宋"/>
          <w:color w:val="auto"/>
          <w:sz w:val="24"/>
          <w:szCs w:val="22"/>
          <w:highlight w:val="none"/>
          <w:lang w:eastAsia="zh-CN"/>
        </w:rPr>
        <w:t>系注</w:t>
      </w:r>
      <w:r>
        <w:rPr>
          <w:rFonts w:hint="eastAsia" w:ascii="仿宋" w:hAnsi="仿宋" w:eastAsia="仿宋" w:cs="仿宋"/>
          <w:color w:val="auto"/>
          <w:sz w:val="24"/>
          <w:highlight w:val="none"/>
        </w:rPr>
        <w:t>册于</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供应商</w:t>
      </w:r>
      <w:r>
        <w:rPr>
          <w:rFonts w:hint="eastAsia" w:ascii="仿宋" w:hAnsi="仿宋" w:eastAsia="仿宋" w:cs="仿宋"/>
          <w:color w:val="auto"/>
          <w:sz w:val="24"/>
          <w:highlight w:val="none"/>
          <w:u w:val="single"/>
        </w:rPr>
        <w:t>地址）</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供应商</w:t>
      </w:r>
      <w:r>
        <w:rPr>
          <w:rFonts w:hint="eastAsia" w:ascii="仿宋" w:hAnsi="仿宋" w:eastAsia="仿宋" w:cs="仿宋"/>
          <w:color w:val="auto"/>
          <w:sz w:val="24"/>
          <w:highlight w:val="none"/>
          <w:u w:val="single"/>
        </w:rPr>
        <w:t>名称）</w:t>
      </w:r>
      <w:r>
        <w:rPr>
          <w:rFonts w:hint="eastAsia" w:ascii="仿宋" w:hAnsi="仿宋" w:eastAsia="仿宋" w:cs="仿宋"/>
          <w:color w:val="auto"/>
          <w:sz w:val="24"/>
          <w:highlight w:val="none"/>
        </w:rPr>
        <w:t>的法定代表人，现代表公司授权下面签字的</w:t>
      </w:r>
      <w:r>
        <w:rPr>
          <w:rFonts w:hint="eastAsia" w:ascii="仿宋" w:hAnsi="仿宋" w:eastAsia="仿宋" w:cs="仿宋"/>
          <w:color w:val="auto"/>
          <w:sz w:val="24"/>
          <w:highlight w:val="none"/>
          <w:u w:val="single"/>
        </w:rPr>
        <w:t>（被授权人的姓名、职务）</w:t>
      </w:r>
      <w:r>
        <w:rPr>
          <w:rFonts w:hint="eastAsia" w:ascii="仿宋" w:hAnsi="仿宋" w:eastAsia="仿宋" w:cs="仿宋"/>
          <w:color w:val="auto"/>
          <w:sz w:val="24"/>
          <w:highlight w:val="none"/>
        </w:rPr>
        <w:t>为我公司合法代理人，代表本公司参加</w:t>
      </w:r>
      <w:r>
        <w:rPr>
          <w:rFonts w:hint="eastAsia" w:ascii="仿宋" w:hAnsi="仿宋" w:eastAsia="仿宋" w:cs="仿宋"/>
          <w:color w:val="auto"/>
          <w:sz w:val="24"/>
          <w:highlight w:val="none"/>
          <w:u w:val="single"/>
        </w:rPr>
        <w:t>（采购项目名称）(采购项目编号)</w:t>
      </w:r>
      <w:r>
        <w:rPr>
          <w:rFonts w:hint="eastAsia" w:ascii="仿宋" w:hAnsi="仿宋" w:eastAsia="仿宋" w:cs="仿宋"/>
          <w:color w:val="auto"/>
          <w:sz w:val="24"/>
          <w:highlight w:val="none"/>
        </w:rPr>
        <w:t>的招标活动。代理人在本次投标、</w:t>
      </w:r>
      <w:r>
        <w:rPr>
          <w:rFonts w:hint="eastAsia" w:ascii="仿宋" w:hAnsi="仿宋" w:eastAsia="仿宋" w:cs="仿宋"/>
          <w:color w:val="auto"/>
          <w:sz w:val="24"/>
          <w:highlight w:val="none"/>
          <w:lang w:eastAsia="zh-CN"/>
        </w:rPr>
        <w:t>磋商</w:t>
      </w:r>
      <w:r>
        <w:rPr>
          <w:rFonts w:hint="eastAsia" w:ascii="仿宋" w:hAnsi="仿宋" w:eastAsia="仿宋" w:cs="仿宋"/>
          <w:color w:val="auto"/>
          <w:sz w:val="24"/>
          <w:highlight w:val="none"/>
        </w:rPr>
        <w:t>、签约中所签署的一切文件和处理的一切有关事物，我公司均予承认。</w:t>
      </w:r>
    </w:p>
    <w:p>
      <w:pPr>
        <w:shd w:val="clea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注：</w:t>
      </w:r>
      <w:r>
        <w:rPr>
          <w:rFonts w:hint="eastAsia" w:ascii="仿宋" w:hAnsi="仿宋" w:eastAsia="仿宋" w:cs="仿宋"/>
          <w:color w:val="auto"/>
          <w:sz w:val="24"/>
          <w:highlight w:val="none"/>
        </w:rPr>
        <w:t>此授权书的有效期与</w:t>
      </w:r>
      <w:r>
        <w:rPr>
          <w:rFonts w:hint="eastAsia" w:ascii="仿宋" w:hAnsi="仿宋" w:eastAsia="仿宋" w:cs="仿宋"/>
          <w:color w:val="auto"/>
          <w:sz w:val="24"/>
          <w:highlight w:val="none"/>
          <w:lang w:eastAsia="zh-CN"/>
        </w:rPr>
        <w:t>磋商响应</w:t>
      </w:r>
      <w:r>
        <w:rPr>
          <w:rFonts w:hint="eastAsia" w:ascii="仿宋" w:hAnsi="仿宋" w:eastAsia="仿宋" w:cs="仿宋"/>
          <w:color w:val="auto"/>
          <w:sz w:val="24"/>
          <w:highlight w:val="none"/>
        </w:rPr>
        <w:t>文件有效期一致</w:t>
      </w:r>
      <w:r>
        <w:rPr>
          <w:rFonts w:hint="eastAsia" w:ascii="仿宋" w:hAnsi="仿宋" w:eastAsia="仿宋" w:cs="仿宋"/>
          <w:color w:val="auto"/>
          <w:sz w:val="24"/>
          <w:highlight w:val="none"/>
          <w:lang w:eastAsia="zh-CN"/>
        </w:rPr>
        <w:t>、法人直接参加开标不需要填写此表。</w:t>
      </w:r>
    </w:p>
    <w:p>
      <w:pPr>
        <w:shd w:val="clea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 xml:space="preserve"> 附件：法定代表人身份证、被授权人身份证</w:t>
      </w:r>
      <w:r>
        <w:rPr>
          <w:rFonts w:hint="eastAsia" w:ascii="仿宋" w:hAnsi="仿宋" w:eastAsia="仿宋" w:cs="仿宋"/>
          <w:color w:val="auto"/>
          <w:sz w:val="24"/>
          <w:highlight w:val="none"/>
          <w:lang w:eastAsia="zh-CN"/>
        </w:rPr>
        <w:t>。</w:t>
      </w:r>
    </w:p>
    <w:tbl>
      <w:tblPr>
        <w:tblStyle w:val="28"/>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0"/>
        <w:gridCol w:w="4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0" w:hRule="atLeast"/>
          <w:jc w:val="center"/>
        </w:trPr>
        <w:tc>
          <w:tcPr>
            <w:tcW w:w="4790" w:type="dxa"/>
            <w:noWrap w:val="0"/>
            <w:vAlign w:val="center"/>
          </w:tcPr>
          <w:p>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法定代表人身份证复印件</w:t>
            </w:r>
          </w:p>
          <w:p>
            <w:pPr>
              <w:shd w:val="clear"/>
              <w:spacing w:line="360" w:lineRule="auto"/>
              <w:jc w:val="center"/>
              <w:rPr>
                <w:rFonts w:hint="eastAsia" w:ascii="仿宋" w:hAnsi="仿宋" w:eastAsia="仿宋" w:cs="仿宋"/>
                <w:color w:val="auto"/>
                <w:sz w:val="24"/>
                <w:highlight w:val="none"/>
              </w:rPr>
            </w:pPr>
          </w:p>
        </w:tc>
        <w:tc>
          <w:tcPr>
            <w:tcW w:w="4790" w:type="dxa"/>
            <w:noWrap w:val="0"/>
            <w:vAlign w:val="center"/>
          </w:tcPr>
          <w:p>
            <w:pPr>
              <w:widowControl/>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被授权人身份证复印件</w:t>
            </w:r>
          </w:p>
          <w:p>
            <w:pPr>
              <w:shd w:val="clea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4790" w:type="dxa"/>
            <w:noWrap w:val="0"/>
            <w:vAlign w:val="center"/>
          </w:tcPr>
          <w:p>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法定代表人身份证复印件</w:t>
            </w:r>
          </w:p>
          <w:p>
            <w:pPr>
              <w:shd w:val="clear"/>
              <w:spacing w:line="360" w:lineRule="auto"/>
              <w:jc w:val="center"/>
              <w:rPr>
                <w:rFonts w:hint="eastAsia" w:ascii="仿宋" w:hAnsi="仿宋" w:eastAsia="仿宋" w:cs="仿宋"/>
                <w:color w:val="auto"/>
                <w:sz w:val="24"/>
                <w:highlight w:val="none"/>
              </w:rPr>
            </w:pPr>
          </w:p>
        </w:tc>
        <w:tc>
          <w:tcPr>
            <w:tcW w:w="4790" w:type="dxa"/>
            <w:noWrap w:val="0"/>
            <w:vAlign w:val="center"/>
          </w:tcPr>
          <w:p>
            <w:pPr>
              <w:widowControl/>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被授权人身份证复印件</w:t>
            </w:r>
          </w:p>
          <w:p>
            <w:pPr>
              <w:shd w:val="clear"/>
              <w:spacing w:line="360" w:lineRule="auto"/>
              <w:jc w:val="center"/>
              <w:rPr>
                <w:rFonts w:hint="eastAsia" w:ascii="仿宋" w:hAnsi="仿宋" w:eastAsia="仿宋" w:cs="仿宋"/>
                <w:color w:val="auto"/>
                <w:sz w:val="24"/>
                <w:highlight w:val="none"/>
              </w:rPr>
            </w:pPr>
          </w:p>
        </w:tc>
      </w:tr>
    </w:tbl>
    <w:p>
      <w:pPr>
        <w:shd w:val="clear"/>
        <w:spacing w:line="360" w:lineRule="auto"/>
        <w:rPr>
          <w:rFonts w:hint="eastAsia" w:ascii="仿宋" w:hAnsi="仿宋" w:eastAsia="仿宋" w:cs="仿宋"/>
          <w:color w:val="auto"/>
          <w:highlight w:val="none"/>
        </w:rPr>
      </w:pPr>
    </w:p>
    <w:p>
      <w:pPr>
        <w:shd w:val="clear"/>
        <w:spacing w:line="360" w:lineRule="auto"/>
        <w:ind w:firstLine="3360" w:firstLineChars="1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（公章）</w:t>
      </w:r>
    </w:p>
    <w:p>
      <w:pPr>
        <w:shd w:val="clea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法定代表人（签字</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rPr>
        <w:t>盖章）：</w:t>
      </w:r>
      <w:r>
        <w:rPr>
          <w:rFonts w:hint="eastAsia" w:ascii="仿宋" w:hAnsi="仿宋" w:eastAsia="仿宋" w:cs="仿宋"/>
          <w:color w:val="auto"/>
          <w:sz w:val="24"/>
          <w:szCs w:val="24"/>
          <w:highlight w:val="none"/>
          <w:u w:val="single"/>
        </w:rPr>
        <w:t xml:space="preserve">                  </w:t>
      </w:r>
    </w:p>
    <w:p>
      <w:pPr>
        <w:shd w:val="clea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被 授 权人（签字确认）：</w:t>
      </w:r>
      <w:r>
        <w:rPr>
          <w:rFonts w:hint="eastAsia" w:ascii="仿宋" w:hAnsi="仿宋" w:eastAsia="仿宋" w:cs="仿宋"/>
          <w:color w:val="auto"/>
          <w:sz w:val="24"/>
          <w:szCs w:val="24"/>
          <w:highlight w:val="none"/>
          <w:u w:val="single"/>
        </w:rPr>
        <w:t xml:space="preserve">                      </w:t>
      </w:r>
      <w:bookmarkEnd w:id="333"/>
    </w:p>
    <w:p>
      <w:pPr>
        <w:shd w:val="clear"/>
        <w:spacing w:line="360" w:lineRule="auto"/>
        <w:ind w:firstLine="3360" w:firstLineChars="1400"/>
        <w:rPr>
          <w:rFonts w:hint="eastAsia" w:ascii="仿宋" w:hAnsi="仿宋" w:eastAsia="仿宋" w:cs="仿宋"/>
          <w:color w:val="auto"/>
          <w:kern w:val="2"/>
          <w:sz w:val="24"/>
          <w:szCs w:val="24"/>
          <w:highlight w:val="none"/>
          <w:u w:val="single"/>
          <w:lang w:val="en-US" w:eastAsia="zh-CN" w:bidi="ar-SA"/>
        </w:rPr>
      </w:pPr>
      <w:r>
        <w:rPr>
          <w:rFonts w:hint="eastAsia" w:ascii="仿宋" w:hAnsi="仿宋" w:eastAsia="仿宋" w:cs="仿宋"/>
          <w:color w:val="auto"/>
          <w:kern w:val="2"/>
          <w:sz w:val="24"/>
          <w:szCs w:val="24"/>
          <w:highlight w:val="none"/>
          <w:u w:val="none"/>
          <w:lang w:val="en-US" w:eastAsia="zh-CN" w:bidi="ar-SA"/>
        </w:rPr>
        <w:t>日    期：</w:t>
      </w:r>
      <w:r>
        <w:rPr>
          <w:rFonts w:hint="eastAsia" w:ascii="仿宋" w:hAnsi="仿宋" w:eastAsia="仿宋" w:cs="仿宋"/>
          <w:color w:val="auto"/>
          <w:kern w:val="2"/>
          <w:sz w:val="24"/>
          <w:szCs w:val="24"/>
          <w:highlight w:val="none"/>
          <w:u w:val="single"/>
          <w:lang w:val="en-US" w:eastAsia="zh-CN" w:bidi="ar-SA"/>
        </w:rPr>
        <w:t xml:space="preserve">                   </w:t>
      </w:r>
    </w:p>
    <w:p>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pPr>
        <w:pStyle w:val="3"/>
        <w:bidi w:val="0"/>
        <w:jc w:val="center"/>
        <w:rPr>
          <w:rFonts w:hint="eastAsia" w:ascii="仿宋" w:hAnsi="仿宋" w:eastAsia="仿宋" w:cs="仿宋"/>
          <w:highlight w:val="none"/>
          <w:lang w:val="en-US" w:eastAsia="zh-CN"/>
        </w:rPr>
      </w:pPr>
      <w:bookmarkStart w:id="334" w:name="_Toc20176"/>
      <w:r>
        <w:rPr>
          <w:rFonts w:hint="eastAsia" w:ascii="仿宋" w:hAnsi="仿宋" w:eastAsia="仿宋" w:cs="仿宋"/>
          <w:highlight w:val="none"/>
          <w:lang w:val="en-US" w:eastAsia="zh-CN"/>
        </w:rPr>
        <w:t>五、资格证明文件</w:t>
      </w:r>
      <w:bookmarkEnd w:id="283"/>
      <w:bookmarkEnd w:id="284"/>
      <w:bookmarkEnd w:id="285"/>
      <w:bookmarkEnd w:id="286"/>
      <w:bookmarkEnd w:id="290"/>
      <w:bookmarkEnd w:id="291"/>
      <w:bookmarkEnd w:id="334"/>
    </w:p>
    <w:p>
      <w:pPr>
        <w:keepNext w:val="0"/>
        <w:keepLines w:val="0"/>
        <w:widowControl/>
        <w:suppressLineNumbers w:val="0"/>
        <w:spacing w:line="360" w:lineRule="auto"/>
        <w:ind w:firstLine="482" w:firstLineChars="200"/>
        <w:jc w:val="left"/>
        <w:rPr>
          <w:rFonts w:hint="eastAsia" w:ascii="仿宋" w:hAnsi="仿宋" w:eastAsia="仿宋" w:cs="仿宋"/>
          <w:b/>
          <w:bCs/>
          <w:color w:val="auto"/>
          <w:kern w:val="0"/>
          <w:sz w:val="24"/>
          <w:szCs w:val="24"/>
          <w:highlight w:val="none"/>
          <w:lang w:val="en-US" w:eastAsia="zh-CN" w:bidi="ar"/>
        </w:rPr>
      </w:pPr>
      <w:bookmarkStart w:id="335" w:name="_Toc10236"/>
      <w:r>
        <w:rPr>
          <w:rFonts w:hint="eastAsia" w:ascii="仿宋" w:hAnsi="仿宋" w:eastAsia="仿宋" w:cs="仿宋"/>
          <w:b/>
          <w:bCs/>
          <w:color w:val="auto"/>
          <w:kern w:val="0"/>
          <w:sz w:val="24"/>
          <w:szCs w:val="24"/>
          <w:highlight w:val="none"/>
          <w:lang w:val="en-US" w:eastAsia="zh-CN" w:bidi="ar"/>
        </w:rPr>
        <w:t>供应商应按照磋商文件“供应商资格要求”逐一提供全部资格证明文件。缺少其中任何一项，其响应文件将被视为无效文件。</w:t>
      </w:r>
    </w:p>
    <w:p>
      <w:pPr>
        <w:keepNext w:val="0"/>
        <w:keepLines w:val="0"/>
        <w:widowControl/>
        <w:suppressLineNumbers w:val="0"/>
        <w:spacing w:line="360" w:lineRule="auto"/>
        <w:ind w:firstLine="482" w:firstLineChars="200"/>
        <w:jc w:val="left"/>
        <w:rPr>
          <w:rFonts w:hint="eastAsia" w:ascii="仿宋" w:hAnsi="仿宋" w:eastAsia="仿宋" w:cs="仿宋"/>
          <w:color w:val="auto"/>
          <w:highlight w:val="none"/>
          <w:lang w:val="en-US" w:eastAsia="zh-CN"/>
        </w:rPr>
      </w:pPr>
      <w:r>
        <w:rPr>
          <w:rFonts w:hint="eastAsia" w:ascii="仿宋" w:hAnsi="仿宋" w:eastAsia="仿宋" w:cs="仿宋"/>
          <w:b/>
          <w:bCs/>
          <w:color w:val="auto"/>
          <w:kern w:val="0"/>
          <w:sz w:val="24"/>
          <w:szCs w:val="24"/>
          <w:highlight w:val="none"/>
          <w:lang w:val="en-US" w:eastAsia="zh-CN" w:bidi="ar"/>
        </w:rPr>
        <w:t>特别说明，法定代表人亲自参加磋商的，可不提供法定代表人授权委托书，但须提供其本人身份证（正反面）复印件。</w:t>
      </w:r>
      <w:bookmarkEnd w:id="287"/>
      <w:bookmarkEnd w:id="335"/>
      <w:bookmarkStart w:id="336" w:name="_Toc15424"/>
      <w:bookmarkStart w:id="337" w:name="_Toc23792"/>
      <w:bookmarkStart w:id="338" w:name="_Toc4474"/>
      <w:bookmarkStart w:id="339" w:name="_Toc14617"/>
      <w:bookmarkStart w:id="340" w:name="_Toc16018"/>
      <w:bookmarkStart w:id="341" w:name="_Toc10018"/>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lang w:val="en-US" w:eastAsia="zh-CN"/>
        </w:rPr>
      </w:pPr>
      <w:bookmarkStart w:id="342" w:name="_Toc27001"/>
      <w:r>
        <w:rPr>
          <w:rFonts w:hint="eastAsia" w:ascii="仿宋" w:hAnsi="仿宋" w:eastAsia="仿宋" w:cs="仿宋"/>
          <w:color w:val="auto"/>
          <w:highlight w:val="none"/>
          <w:lang w:val="en-US" w:eastAsia="zh-CN"/>
        </w:rPr>
        <w:t>1、营业执照等主体资格证明文件</w:t>
      </w:r>
      <w:bookmarkEnd w:id="336"/>
      <w:bookmarkEnd w:id="337"/>
      <w:bookmarkEnd w:id="338"/>
      <w:bookmarkEnd w:id="339"/>
      <w:bookmarkEnd w:id="340"/>
      <w:bookmarkEnd w:id="341"/>
      <w:bookmarkEnd w:id="342"/>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lang w:val="en-US" w:eastAsia="zh-CN"/>
        </w:rPr>
      </w:pPr>
      <w:bookmarkStart w:id="343" w:name="_Toc9306"/>
      <w:bookmarkStart w:id="344" w:name="_Toc17801"/>
      <w:bookmarkStart w:id="345" w:name="_Toc25405"/>
      <w:bookmarkStart w:id="346" w:name="_Toc14790"/>
      <w:bookmarkStart w:id="347" w:name="_Toc25487"/>
      <w:bookmarkStart w:id="348" w:name="_Toc11459"/>
      <w:bookmarkStart w:id="349" w:name="_Toc15382"/>
      <w:bookmarkStart w:id="350" w:name="_Toc20210"/>
      <w:bookmarkStart w:id="351" w:name="_Toc2716"/>
      <w:bookmarkStart w:id="352" w:name="_Toc1285"/>
      <w:bookmarkStart w:id="353" w:name="_Toc30842"/>
      <w:r>
        <w:rPr>
          <w:rFonts w:hint="eastAsia" w:ascii="仿宋" w:hAnsi="仿宋" w:eastAsia="仿宋" w:cs="仿宋"/>
          <w:color w:val="auto"/>
          <w:highlight w:val="none"/>
          <w:lang w:val="en-US" w:eastAsia="zh-CN"/>
        </w:rPr>
        <w:t>2、财务状况报告</w:t>
      </w:r>
      <w:bookmarkEnd w:id="343"/>
      <w:bookmarkEnd w:id="344"/>
      <w:bookmarkEnd w:id="345"/>
      <w:bookmarkEnd w:id="346"/>
      <w:bookmarkEnd w:id="347"/>
      <w:bookmarkEnd w:id="348"/>
      <w:bookmarkEnd w:id="349"/>
      <w:bookmarkEnd w:id="350"/>
      <w:bookmarkEnd w:id="351"/>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lang w:val="en-US" w:eastAsia="zh-CN"/>
        </w:rPr>
      </w:pPr>
      <w:bookmarkStart w:id="354" w:name="_Toc19221"/>
      <w:bookmarkStart w:id="355" w:name="_Toc3802"/>
      <w:bookmarkStart w:id="356" w:name="_Toc27177"/>
      <w:bookmarkStart w:id="357" w:name="_Toc23272"/>
      <w:bookmarkStart w:id="358" w:name="_Toc17188"/>
      <w:bookmarkStart w:id="359" w:name="_Toc6201"/>
      <w:bookmarkStart w:id="360" w:name="_Toc28700"/>
      <w:r>
        <w:rPr>
          <w:rFonts w:hint="eastAsia" w:ascii="仿宋" w:hAnsi="仿宋" w:eastAsia="仿宋" w:cs="仿宋"/>
          <w:color w:val="auto"/>
          <w:highlight w:val="none"/>
          <w:lang w:val="en-US" w:eastAsia="zh-CN"/>
        </w:rPr>
        <w:t>3、社保缴纳证明</w:t>
      </w:r>
      <w:bookmarkEnd w:id="352"/>
      <w:bookmarkEnd w:id="353"/>
      <w:bookmarkEnd w:id="354"/>
      <w:bookmarkEnd w:id="355"/>
      <w:bookmarkEnd w:id="356"/>
      <w:bookmarkEnd w:id="357"/>
      <w:bookmarkEnd w:id="358"/>
      <w:bookmarkEnd w:id="359"/>
      <w:bookmarkEnd w:id="360"/>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lang w:val="en-US" w:eastAsia="zh-CN"/>
        </w:rPr>
      </w:pPr>
      <w:bookmarkStart w:id="361" w:name="_Toc20979"/>
      <w:bookmarkStart w:id="362" w:name="_Toc527"/>
      <w:bookmarkStart w:id="363" w:name="_Toc25423"/>
      <w:bookmarkStart w:id="364" w:name="_Toc2288"/>
      <w:bookmarkStart w:id="365" w:name="_Toc10916"/>
      <w:bookmarkStart w:id="366" w:name="_Toc6624"/>
      <w:bookmarkStart w:id="367" w:name="_Toc4621"/>
      <w:bookmarkStart w:id="368" w:name="_Toc16494"/>
      <w:bookmarkStart w:id="369" w:name="_Toc27590"/>
      <w:r>
        <w:rPr>
          <w:rFonts w:hint="eastAsia" w:ascii="仿宋" w:hAnsi="仿宋" w:eastAsia="仿宋" w:cs="仿宋"/>
          <w:color w:val="auto"/>
          <w:highlight w:val="none"/>
          <w:lang w:val="en-US" w:eastAsia="zh-CN"/>
        </w:rPr>
        <w:t>4、税收缴纳证明</w:t>
      </w:r>
      <w:bookmarkEnd w:id="361"/>
      <w:bookmarkEnd w:id="362"/>
      <w:bookmarkEnd w:id="363"/>
      <w:bookmarkEnd w:id="364"/>
      <w:bookmarkEnd w:id="365"/>
      <w:bookmarkEnd w:id="366"/>
      <w:bookmarkEnd w:id="367"/>
      <w:bookmarkEnd w:id="368"/>
      <w:bookmarkEnd w:id="369"/>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lang w:val="en-US" w:eastAsia="zh-CN"/>
        </w:rPr>
      </w:pPr>
      <w:bookmarkStart w:id="370" w:name="_Toc27984"/>
      <w:bookmarkStart w:id="371" w:name="_Toc4916"/>
      <w:bookmarkStart w:id="372" w:name="_Toc21735"/>
      <w:bookmarkStart w:id="373" w:name="_Toc31725"/>
      <w:bookmarkStart w:id="374" w:name="_Toc23187"/>
      <w:bookmarkStart w:id="375" w:name="_Toc10559"/>
      <w:bookmarkStart w:id="376" w:name="_Toc2967"/>
      <w:bookmarkStart w:id="377" w:name="_Toc24456"/>
      <w:bookmarkStart w:id="378" w:name="_Toc31557"/>
      <w:r>
        <w:rPr>
          <w:rFonts w:hint="eastAsia" w:ascii="仿宋" w:hAnsi="仿宋" w:eastAsia="仿宋" w:cs="仿宋"/>
          <w:color w:val="auto"/>
          <w:highlight w:val="none"/>
          <w:lang w:val="en-US" w:eastAsia="zh-CN"/>
        </w:rPr>
        <w:t>5、书面声明函</w:t>
      </w:r>
      <w:bookmarkEnd w:id="370"/>
      <w:bookmarkEnd w:id="371"/>
      <w:bookmarkEnd w:id="372"/>
      <w:bookmarkEnd w:id="373"/>
      <w:bookmarkEnd w:id="374"/>
      <w:bookmarkEnd w:id="375"/>
      <w:bookmarkEnd w:id="376"/>
      <w:bookmarkEnd w:id="377"/>
      <w:bookmarkEnd w:id="378"/>
      <w:bookmarkStart w:id="379" w:name="_Toc21967"/>
      <w:bookmarkStart w:id="380" w:name="_Toc14334"/>
    </w:p>
    <w:p>
      <w:pPr>
        <w:pStyle w:val="97"/>
        <w:widowControl/>
        <w:spacing w:beforeLines="0" w:beforeAutospacing="0" w:afterLines="0" w:afterAutospacing="0" w:line="360" w:lineRule="auto"/>
        <w:jc w:val="center"/>
        <w:outlineLvl w:val="9"/>
        <w:rPr>
          <w:rFonts w:hint="eastAsia" w:ascii="仿宋" w:hAnsi="仿宋" w:eastAsia="仿宋" w:cs="仿宋"/>
          <w:b/>
          <w:bCs w:val="0"/>
          <w:color w:val="auto"/>
          <w:kern w:val="0"/>
          <w:sz w:val="30"/>
          <w:szCs w:val="32"/>
          <w:highlight w:val="none"/>
          <w:lang w:val="en-US" w:eastAsia="zh-CN" w:bidi="ar"/>
        </w:rPr>
      </w:pPr>
      <w:bookmarkStart w:id="381" w:name="_Toc23995"/>
      <w:bookmarkStart w:id="382" w:name="_Toc26447"/>
      <w:bookmarkStart w:id="383" w:name="_Toc28122"/>
      <w:bookmarkStart w:id="384" w:name="_Toc16242"/>
      <w:bookmarkStart w:id="385" w:name="_Toc29937"/>
      <w:bookmarkStart w:id="386" w:name="_Toc22243"/>
      <w:bookmarkStart w:id="387" w:name="_Toc21794"/>
      <w:bookmarkStart w:id="388" w:name="_Toc1003"/>
      <w:bookmarkStart w:id="389" w:name="_Toc11890"/>
      <w:bookmarkStart w:id="390" w:name="_Toc27143"/>
      <w:bookmarkStart w:id="391" w:name="_Toc10769"/>
      <w:bookmarkStart w:id="392" w:name="_Toc26217"/>
      <w:bookmarkStart w:id="393" w:name="_Toc11518"/>
      <w:r>
        <w:rPr>
          <w:rFonts w:hint="eastAsia" w:ascii="仿宋" w:hAnsi="仿宋" w:eastAsia="仿宋" w:cs="仿宋"/>
          <w:b/>
          <w:bCs w:val="0"/>
          <w:color w:val="auto"/>
          <w:kern w:val="0"/>
          <w:sz w:val="30"/>
          <w:szCs w:val="32"/>
          <w:highlight w:val="none"/>
          <w:lang w:val="en-US" w:eastAsia="zh-CN" w:bidi="ar"/>
        </w:rPr>
        <w:t>书面声明函</w:t>
      </w:r>
      <w:bookmarkEnd w:id="381"/>
      <w:bookmarkEnd w:id="382"/>
      <w:bookmarkEnd w:id="383"/>
      <w:bookmarkEnd w:id="384"/>
      <w:bookmarkEnd w:id="385"/>
      <w:bookmarkEnd w:id="386"/>
      <w:bookmarkEnd w:id="387"/>
      <w:bookmarkEnd w:id="388"/>
      <w:bookmarkEnd w:id="389"/>
      <w:bookmarkEnd w:id="390"/>
      <w:bookmarkEnd w:id="391"/>
      <w:bookmarkEnd w:id="392"/>
      <w:bookmarkEnd w:id="393"/>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亿诚建设项目管理有限公司</w:t>
      </w:r>
      <w:r>
        <w:rPr>
          <w:rFonts w:hint="eastAsia" w:ascii="仿宋" w:hAnsi="仿宋" w:eastAsia="仿宋" w:cs="仿宋"/>
          <w:color w:val="auto"/>
          <w:sz w:val="24"/>
          <w:szCs w:val="24"/>
          <w:highlight w:val="none"/>
        </w:rPr>
        <w:t>：</w:t>
      </w:r>
    </w:p>
    <w:p>
      <w:pPr>
        <w:widowControl/>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我方作为</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项目名称</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）的投标供应商，在此郑重声明：</w:t>
      </w:r>
    </w:p>
    <w:p>
      <w:pPr>
        <w:widowControl/>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1、在参加政府采购活动前3年内的经营活动中____（填“没有”或“有”）重大违法记录。供应商</w:t>
      </w:r>
      <w:r>
        <w:rPr>
          <w:rFonts w:hint="eastAsia" w:ascii="仿宋" w:hAnsi="仿宋" w:eastAsia="仿宋" w:cs="仿宋"/>
          <w:b/>
          <w:bCs/>
          <w:color w:val="auto"/>
          <w:sz w:val="24"/>
          <w:szCs w:val="24"/>
          <w:highlight w:val="none"/>
        </w:rPr>
        <w:t>在参加政府采购活动前3年内因违法经营被禁止在一定期限内参加政府采购活动，期限届满的，可以参加政府采购活动，但应提供期限届满的证明材料。</w:t>
      </w:r>
    </w:p>
    <w:p>
      <w:pPr>
        <w:widowControl/>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2、我方______（填“未被列入”或“被列入”）失信被执行人名单。</w:t>
      </w:r>
    </w:p>
    <w:p>
      <w:pPr>
        <w:widowControl/>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3、我方______（填“未被列入”或“被列入”）重大税收违法案件当事人名单。</w:t>
      </w:r>
    </w:p>
    <w:p>
      <w:pPr>
        <w:widowControl/>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4、我方______（填“未被列入”或“被列入”）政府采购严重违法失信行为记录名单。</w:t>
      </w:r>
    </w:p>
    <w:p>
      <w:pPr>
        <w:widowControl/>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如有不实，我方将无条件地退出本项目的采购活动，并遵照《政府采购法》有关“提供虚假材料的规定”接受处罚。</w:t>
      </w:r>
    </w:p>
    <w:p>
      <w:pPr>
        <w:widowControl/>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特此声明。</w:t>
      </w:r>
    </w:p>
    <w:p>
      <w:pPr>
        <w:widowControl/>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      （盖公章）</w:t>
      </w:r>
    </w:p>
    <w:p>
      <w:pPr>
        <w:widowControl/>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（签字或盖章）</w:t>
      </w:r>
    </w:p>
    <w:p>
      <w:pPr>
        <w:widowControl/>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bookmarkEnd w:id="379"/>
    <w:bookmarkEnd w:id="380"/>
    <w:p>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lang w:val="en-US" w:eastAsia="zh-CN"/>
        </w:rPr>
      </w:pPr>
      <w:bookmarkStart w:id="394" w:name="_Toc17391"/>
      <w:bookmarkStart w:id="395" w:name="_Toc4418"/>
      <w:bookmarkStart w:id="396" w:name="_Toc16355"/>
      <w:bookmarkStart w:id="397" w:name="_Toc15231"/>
      <w:bookmarkStart w:id="398" w:name="_Toc30777"/>
      <w:bookmarkStart w:id="399" w:name="_Toc32391"/>
      <w:bookmarkStart w:id="400" w:name="_Toc9029"/>
      <w:r>
        <w:rPr>
          <w:rFonts w:hint="eastAsia" w:ascii="仿宋" w:hAnsi="仿宋" w:eastAsia="仿宋" w:cs="仿宋"/>
          <w:b/>
          <w:color w:val="auto"/>
          <w:kern w:val="2"/>
          <w:sz w:val="28"/>
          <w:highlight w:val="none"/>
          <w:lang w:val="en-US" w:eastAsia="zh-CN" w:bidi="ar-SA"/>
        </w:rPr>
        <w:t>6、具有履行合同所必需的专业设备及技术能力的书面声明或承诺函</w:t>
      </w:r>
      <w:bookmarkEnd w:id="394"/>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lang w:val="en-US" w:eastAsia="zh-CN"/>
        </w:rPr>
      </w:pPr>
      <w:bookmarkStart w:id="401" w:name="_Toc4502"/>
      <w:r>
        <w:rPr>
          <w:rFonts w:hint="eastAsia" w:ascii="仿宋" w:hAnsi="仿宋" w:eastAsia="仿宋" w:cs="仿宋"/>
          <w:color w:val="auto"/>
          <w:highlight w:val="none"/>
          <w:lang w:val="en-US" w:eastAsia="zh-CN"/>
        </w:rPr>
        <w:t>7、信用查询</w:t>
      </w:r>
      <w:bookmarkEnd w:id="395"/>
      <w:bookmarkEnd w:id="396"/>
      <w:bookmarkEnd w:id="397"/>
      <w:bookmarkEnd w:id="398"/>
      <w:bookmarkEnd w:id="401"/>
    </w:p>
    <w:bookmarkEnd w:id="399"/>
    <w:bookmarkEnd w:id="400"/>
    <w:p>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lang w:val="en-US" w:eastAsia="zh-CN"/>
        </w:rPr>
      </w:pPr>
      <w:bookmarkStart w:id="402" w:name="_Toc3539"/>
      <w:bookmarkStart w:id="403" w:name="_Toc8990"/>
      <w:bookmarkStart w:id="404" w:name="_Toc9034"/>
      <w:bookmarkStart w:id="405" w:name="_Toc19880"/>
      <w:bookmarkStart w:id="406" w:name="_Toc29689"/>
      <w:bookmarkStart w:id="407" w:name="_Toc31166"/>
      <w:bookmarkStart w:id="408" w:name="_Toc7295"/>
      <w:r>
        <w:rPr>
          <w:rFonts w:hint="eastAsia" w:ascii="仿宋" w:hAnsi="仿宋" w:eastAsia="仿宋" w:cs="仿宋"/>
          <w:color w:val="auto"/>
          <w:highlight w:val="none"/>
          <w:lang w:val="en-US" w:eastAsia="zh-CN"/>
        </w:rPr>
        <w:t>8、投标信用承诺书（保证金）（承诺书效力和作用等同投标保证金）</w:t>
      </w:r>
      <w:bookmarkEnd w:id="402"/>
      <w:bookmarkEnd w:id="403"/>
      <w:bookmarkEnd w:id="404"/>
      <w:bookmarkEnd w:id="405"/>
      <w:bookmarkEnd w:id="406"/>
    </w:p>
    <w:p>
      <w:pPr>
        <w:spacing w:line="500" w:lineRule="exact"/>
        <w:jc w:val="center"/>
        <w:rPr>
          <w:rFonts w:hint="eastAsia" w:ascii="仿宋" w:hAnsi="仿宋" w:eastAsia="仿宋" w:cs="仿宋"/>
          <w:color w:val="auto"/>
          <w:kern w:val="0"/>
          <w:sz w:val="24"/>
          <w:highlight w:val="none"/>
        </w:rPr>
      </w:pPr>
      <w:r>
        <w:rPr>
          <w:rFonts w:hint="eastAsia" w:ascii="仿宋" w:hAnsi="仿宋" w:eastAsia="仿宋" w:cs="仿宋"/>
          <w:b/>
          <w:color w:val="auto"/>
          <w:sz w:val="32"/>
          <w:szCs w:val="32"/>
          <w:highlight w:val="none"/>
        </w:rPr>
        <w:t>投标信用承诺书（保证金）</w:t>
      </w: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项目</w:t>
      </w:r>
      <w:r>
        <w:rPr>
          <w:rFonts w:hint="eastAsia" w:ascii="仿宋" w:hAnsi="仿宋" w:eastAsia="仿宋" w:cs="仿宋"/>
          <w:color w:val="auto"/>
          <w:kern w:val="0"/>
          <w:sz w:val="24"/>
          <w:szCs w:val="24"/>
          <w:highlight w:val="none"/>
          <w:lang w:val="en-US" w:eastAsia="zh-CN"/>
        </w:rPr>
        <w:t>名称</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供应商：</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统一社会信用代码：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法人代表：</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在本项目标段招投标活动中，我公司（单位）自愿作出以下投标信用承诺：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（一）能严格遵守法律法规、职业道德和行业规范。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二）不得有以下违法违规行为：1.围标串标；以他人名义或者其他方式弄虚作假投标；出让出租资格、资质证书供他人投标；恶意竞标；以暴力、威胁、利诱等手段阻止或者控制其他潜在供应商参与招投标活动。2.向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收到中标通知书后，30日内未将合同原件送至招标代理机构备案；放弃中标；不按照招标文件的规定提交履约保证金。5.招投标法规定的其它违法违规行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p>
    <w:p>
      <w:pPr>
        <w:keepNext w:val="0"/>
        <w:keepLines w:val="0"/>
        <w:pageBreakBefore w:val="0"/>
        <w:widowControl w:val="0"/>
        <w:tabs>
          <w:tab w:val="left" w:pos="4395"/>
        </w:tabs>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法定代表人（签章）：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   供应商（盖章）：</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color w:val="auto"/>
          <w:kern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承诺时间：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日</w:t>
      </w:r>
    </w:p>
    <w:p>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FF0000"/>
          <w:kern w:val="0"/>
          <w:sz w:val="24"/>
          <w:szCs w:val="24"/>
          <w:highlight w:val="none"/>
        </w:rPr>
      </w:pPr>
    </w:p>
    <w:p>
      <w:pPr>
        <w:pStyle w:val="25"/>
        <w:keepNext w:val="0"/>
        <w:keepLines w:val="0"/>
        <w:pageBreakBefore w:val="0"/>
        <w:widowControl w:val="0"/>
        <w:kinsoku/>
        <w:wordWrap/>
        <w:overflowPunct/>
        <w:topLinePunct w:val="0"/>
        <w:autoSpaceDE/>
        <w:autoSpaceDN/>
        <w:bidi w:val="0"/>
        <w:spacing w:line="360" w:lineRule="auto"/>
        <w:ind w:firstLine="214"/>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说明：本承诺书效力和作用等同投标保证金，其有效期与投标有效期一致。</w:t>
      </w:r>
    </w:p>
    <w:p>
      <w:pPr>
        <w:numPr>
          <w:ilvl w:val="0"/>
          <w:numId w:val="0"/>
        </w:numPr>
        <w:ind w:firstLine="562" w:firstLineChars="200"/>
        <w:jc w:val="both"/>
        <w:rPr>
          <w:rFonts w:hint="eastAsia" w:ascii="仿宋" w:hAnsi="仿宋" w:eastAsia="仿宋" w:cs="仿宋"/>
          <w:highlight w:val="none"/>
          <w:lang w:val="en-US" w:eastAsia="zh-CN"/>
        </w:rPr>
      </w:pPr>
      <w:r>
        <w:rPr>
          <w:rFonts w:hint="eastAsia" w:ascii="仿宋" w:hAnsi="仿宋" w:eastAsia="仿宋" w:cs="仿宋"/>
          <w:b/>
          <w:bCs/>
          <w:color w:val="auto"/>
          <w:kern w:val="2"/>
          <w:sz w:val="28"/>
          <w:szCs w:val="28"/>
          <w:highlight w:val="none"/>
          <w:shd w:val="clear" w:color="auto" w:fill="FFFFFF"/>
          <w:lang w:val="en-US" w:eastAsia="zh-CN" w:bidi="ar-SA"/>
        </w:rPr>
        <w:t>后附：信用中国陕西榆林承诺申报截图</w:t>
      </w:r>
    </w:p>
    <w:p>
      <w:pPr>
        <w:rPr>
          <w:rFonts w:hint="eastAsia" w:ascii="仿宋" w:hAnsi="仿宋" w:eastAsia="仿宋" w:cs="仿宋"/>
          <w:color w:val="auto"/>
          <w:highlight w:val="none"/>
          <w:lang w:val="en-US" w:eastAsia="zh-CN"/>
        </w:rPr>
      </w:pPr>
      <w:bookmarkStart w:id="409" w:name="_Toc17400"/>
      <w:bookmarkStart w:id="410" w:name="_Toc211"/>
      <w:bookmarkStart w:id="411" w:name="_Toc7766"/>
      <w:bookmarkStart w:id="412" w:name="_Toc13713"/>
      <w:bookmarkStart w:id="413" w:name="_Toc8788"/>
      <w:bookmarkStart w:id="414" w:name="_Toc14597"/>
      <w:r>
        <w:rPr>
          <w:rFonts w:hint="eastAsia" w:ascii="仿宋" w:hAnsi="仿宋" w:eastAsia="仿宋" w:cs="仿宋"/>
          <w:color w:val="auto"/>
          <w:highlight w:val="none"/>
          <w:lang w:val="en-US" w:eastAsia="zh-CN"/>
        </w:rPr>
        <w:br w:type="page"/>
      </w:r>
    </w:p>
    <w:bookmarkEnd w:id="407"/>
    <w:bookmarkEnd w:id="408"/>
    <w:bookmarkEnd w:id="409"/>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lang w:val="en-US" w:eastAsia="zh-CN"/>
        </w:rPr>
      </w:pPr>
      <w:bookmarkStart w:id="415" w:name="_Toc19829"/>
      <w:bookmarkStart w:id="416" w:name="_Toc10544"/>
      <w:bookmarkStart w:id="417" w:name="_Toc27379"/>
      <w:bookmarkStart w:id="418" w:name="_Toc32463"/>
      <w:r>
        <w:rPr>
          <w:rFonts w:hint="eastAsia" w:ascii="仿宋" w:hAnsi="仿宋" w:eastAsia="仿宋" w:cs="仿宋"/>
          <w:color w:val="auto"/>
          <w:highlight w:val="none"/>
          <w:lang w:val="en-US" w:eastAsia="zh-CN"/>
        </w:rPr>
        <w:t>9、提供榆林市政府釆购服务类项目供应商信用承诺书原件。</w:t>
      </w:r>
      <w:bookmarkEnd w:id="410"/>
      <w:bookmarkEnd w:id="411"/>
      <w:bookmarkEnd w:id="412"/>
      <w:bookmarkEnd w:id="413"/>
      <w:bookmarkEnd w:id="414"/>
      <w:bookmarkEnd w:id="415"/>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jc w:val="center"/>
        <w:textAlignment w:val="auto"/>
        <w:rPr>
          <w:rFonts w:hint="eastAsia" w:ascii="仿宋" w:hAnsi="仿宋" w:eastAsia="仿宋" w:cs="仿宋"/>
          <w:b/>
          <w:bCs/>
          <w:color w:val="auto"/>
          <w:sz w:val="32"/>
          <w:szCs w:val="32"/>
          <w:highlight w:val="none"/>
          <w:shd w:val="clear" w:color="auto" w:fill="FFFFFF"/>
        </w:rPr>
      </w:pPr>
      <w:r>
        <w:rPr>
          <w:rFonts w:hint="eastAsia" w:ascii="仿宋" w:hAnsi="仿宋" w:eastAsia="仿宋" w:cs="仿宋"/>
          <w:b/>
          <w:bCs/>
          <w:color w:val="auto"/>
          <w:sz w:val="32"/>
          <w:szCs w:val="32"/>
          <w:highlight w:val="none"/>
          <w:shd w:val="clear" w:color="auto" w:fill="FFFFFF"/>
          <w:lang w:val="en-US" w:eastAsia="zh-CN"/>
        </w:rPr>
        <w:t>榆林市</w:t>
      </w:r>
      <w:r>
        <w:rPr>
          <w:rFonts w:hint="eastAsia" w:ascii="仿宋" w:hAnsi="仿宋" w:eastAsia="仿宋" w:cs="仿宋"/>
          <w:b/>
          <w:bCs/>
          <w:color w:val="auto"/>
          <w:sz w:val="32"/>
          <w:szCs w:val="32"/>
          <w:highlight w:val="none"/>
          <w:shd w:val="clear" w:color="auto" w:fill="FFFFFF"/>
        </w:rPr>
        <w:t>政府采购</w:t>
      </w:r>
      <w:r>
        <w:rPr>
          <w:rFonts w:hint="eastAsia" w:ascii="仿宋" w:hAnsi="仿宋" w:eastAsia="仿宋" w:cs="仿宋"/>
          <w:b/>
          <w:bCs/>
          <w:color w:val="auto"/>
          <w:sz w:val="32"/>
          <w:szCs w:val="32"/>
          <w:highlight w:val="none"/>
          <w:shd w:val="clear" w:color="auto" w:fill="FFFFFF"/>
          <w:lang w:val="en-US" w:eastAsia="zh-CN"/>
        </w:rPr>
        <w:t>工程类/货物类/服务类项目</w:t>
      </w:r>
      <w:r>
        <w:rPr>
          <w:rFonts w:hint="eastAsia" w:ascii="仿宋" w:hAnsi="仿宋" w:eastAsia="仿宋" w:cs="仿宋"/>
          <w:b/>
          <w:bCs/>
          <w:color w:val="auto"/>
          <w:sz w:val="32"/>
          <w:szCs w:val="32"/>
          <w:highlight w:val="none"/>
          <w:shd w:val="clear" w:color="auto" w:fill="FFFFFF"/>
        </w:rPr>
        <w:t>供应商信用承诺书</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shd w:val="clear" w:color="auto" w:fill="FFFFFF"/>
        </w:rPr>
        <w:t>市场主体名称：</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shd w:val="clear" w:color="auto" w:fill="FFFFFF"/>
        </w:rPr>
        <w:t>证件类型：统一社会信用代码</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证件号码：</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法人代表：</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承诺有效期限：   年  月  日—   年  月  日（自开标之日起一年）</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shd w:val="clear" w:color="auto" w:fill="FFFFFF"/>
        </w:rPr>
        <w:t>承诺内容：</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shd w:val="clear" w:color="auto" w:fill="FFFFFF"/>
        </w:rPr>
        <w:t>为维护公开、公平、公正的政府采购市场秩序，树立诚实守信的政府采购供应商形象，本单位自愿做出以下承诺：</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shd w:val="clear" w:color="auto" w:fill="FFFFFF"/>
        </w:rPr>
        <w:t>一、承诺本单位严格遵守国家法律、法规和规章，全面履行应尽的责任和义务，全面做到履约守信，具备《政府采购法》第二十二条第一款规定的条件;</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shd w:val="clear" w:color="auto" w:fill="FFFFFF"/>
        </w:rPr>
        <w:t>三、承诺本单位严格依法开展生产经营活动，主动接受行业监管，自愿接受依法开展的日常检查；违法失信经营后将自愿接受约束和惩戒，并依法承担相应责任；</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shd w:val="clear" w:color="auto" w:fill="FFFFFF"/>
        </w:rPr>
        <w:t>四、承诺本单位自觉接受行政管理部门、行业组织、社会公众、新闻舆论的监督；</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shd w:val="clear" w:color="auto" w:fill="FFFFFF"/>
        </w:rPr>
        <w:t>六、承诺本单位提出政府采购质疑和投诉坚持依法依规、诚实信用原则，在全国范围12个月内没有三次以上查无实据的政府采购投诉；</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shd w:val="clear" w:color="auto" w:fill="FFFFFF"/>
        </w:rPr>
        <w:t>七、根据政府采购相关法律法规的规定需要作出的其他承诺：</w:t>
      </w:r>
      <w:r>
        <w:rPr>
          <w:rFonts w:hint="eastAsia" w:ascii="仿宋" w:hAnsi="仿宋" w:eastAsia="仿宋" w:cs="仿宋"/>
          <w:color w:val="auto"/>
          <w:highlight w:val="none"/>
          <w:u w:val="single"/>
          <w:shd w:val="clear" w:color="auto" w:fill="FFFFFF"/>
        </w:rPr>
        <w:t>          </w:t>
      </w:r>
      <w:r>
        <w:rPr>
          <w:rFonts w:hint="eastAsia" w:ascii="仿宋" w:hAnsi="仿宋" w:eastAsia="仿宋" w:cs="仿宋"/>
          <w:color w:val="auto"/>
          <w:highlight w:val="none"/>
          <w:u w:val="single"/>
          <w:shd w:val="clear" w:color="auto" w:fill="FFFFFF"/>
          <w:lang w:eastAsia="zh-CN"/>
        </w:rPr>
        <w:t>；</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640"/>
        <w:jc w:val="both"/>
        <w:textAlignment w:val="auto"/>
        <w:rPr>
          <w:rFonts w:hint="eastAsia" w:ascii="仿宋" w:hAnsi="仿宋" w:eastAsia="仿宋" w:cs="仿宋"/>
          <w:color w:val="auto"/>
          <w:highlight w:val="none"/>
          <w:shd w:val="clear" w:color="auto" w:fill="FFFFFF"/>
        </w:rPr>
      </w:pPr>
    </w:p>
    <w:p>
      <w:pPr>
        <w:keepNext w:val="0"/>
        <w:keepLines w:val="0"/>
        <w:pageBreakBefore w:val="0"/>
        <w:shd w:val="clear"/>
        <w:kinsoku/>
        <w:wordWrap/>
        <w:overflowPunct/>
        <w:topLinePunct w:val="0"/>
        <w:autoSpaceDE/>
        <w:autoSpaceDN/>
        <w:bidi w:val="0"/>
        <w:adjustRightInd/>
        <w:snapToGrid/>
        <w:spacing w:beforeAutospacing="0" w:afterAutospacing="0" w:line="360" w:lineRule="auto"/>
        <w:ind w:firstLine="3840" w:firstLineChars="1600"/>
        <w:textAlignment w:val="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承诺单位（盖章）：</w:t>
      </w:r>
    </w:p>
    <w:p>
      <w:pPr>
        <w:keepNext w:val="0"/>
        <w:keepLines w:val="0"/>
        <w:pageBreakBefore w:val="0"/>
        <w:shd w:val="clear"/>
        <w:kinsoku/>
        <w:wordWrap/>
        <w:overflowPunct/>
        <w:topLinePunct w:val="0"/>
        <w:autoSpaceDE/>
        <w:autoSpaceDN/>
        <w:bidi w:val="0"/>
        <w:adjustRightInd/>
        <w:snapToGrid/>
        <w:spacing w:beforeAutospacing="0" w:afterAutospacing="0" w:line="360" w:lineRule="auto"/>
        <w:ind w:firstLine="3840" w:firstLineChars="1600"/>
        <w:textAlignment w:val="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法定代表人：</w:t>
      </w:r>
    </w:p>
    <w:p>
      <w:pPr>
        <w:keepNext w:val="0"/>
        <w:keepLines w:val="0"/>
        <w:pageBreakBefore w:val="0"/>
        <w:shd w:val="clear"/>
        <w:kinsoku/>
        <w:wordWrap/>
        <w:overflowPunct/>
        <w:topLinePunct w:val="0"/>
        <w:autoSpaceDE/>
        <w:autoSpaceDN/>
        <w:bidi w:val="0"/>
        <w:adjustRightInd/>
        <w:snapToGrid/>
        <w:spacing w:beforeAutospacing="0" w:afterAutospacing="0" w:line="360" w:lineRule="auto"/>
        <w:ind w:firstLine="3840" w:firstLineChars="1600"/>
        <w:textAlignment w:val="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法定代表人身份证号：</w:t>
      </w:r>
    </w:p>
    <w:p>
      <w:pPr>
        <w:keepNext w:val="0"/>
        <w:keepLines w:val="0"/>
        <w:pageBreakBefore w:val="0"/>
        <w:shd w:val="clear"/>
        <w:kinsoku/>
        <w:wordWrap/>
        <w:overflowPunct/>
        <w:topLinePunct w:val="0"/>
        <w:autoSpaceDE/>
        <w:autoSpaceDN/>
        <w:bidi w:val="0"/>
        <w:adjustRightInd/>
        <w:snapToGrid/>
        <w:spacing w:beforeAutospacing="0" w:afterAutospacing="0" w:line="360" w:lineRule="auto"/>
        <w:ind w:firstLine="3840" w:firstLineChars="1600"/>
        <w:textAlignment w:val="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承诺日期：</w:t>
      </w:r>
    </w:p>
    <w:p>
      <w:pPr>
        <w:pStyle w:val="24"/>
        <w:keepNext w:val="0"/>
        <w:keepLines w:val="0"/>
        <w:pageBreakBefore w:val="0"/>
        <w:shd w:val="clear" w:color="auto"/>
        <w:kinsoku/>
        <w:wordWrap/>
        <w:overflowPunct/>
        <w:topLinePunct w:val="0"/>
        <w:autoSpaceDE/>
        <w:autoSpaceDN/>
        <w:bidi w:val="0"/>
        <w:adjustRightInd/>
        <w:snapToGrid/>
        <w:spacing w:before="0" w:beforeLines="0" w:beforeAutospacing="0" w:after="0" w:afterLines="0" w:afterAutospacing="0" w:line="360" w:lineRule="auto"/>
        <w:ind w:firstLine="640"/>
        <w:jc w:val="both"/>
        <w:textAlignment w:val="auto"/>
        <w:rPr>
          <w:rFonts w:hint="eastAsia"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注：法定代表人、主体名称发生变更的应当重新做出承诺；承诺书标题按照工程类、货物类、服务类确定。</w:t>
      </w:r>
    </w:p>
    <w:p>
      <w:pPr>
        <w:jc w:val="both"/>
        <w:rPr>
          <w:rFonts w:hint="eastAsia" w:ascii="仿宋" w:hAnsi="仿宋" w:eastAsia="仿宋" w:cs="仿宋"/>
          <w:b/>
          <w:color w:val="auto"/>
          <w:kern w:val="2"/>
          <w:sz w:val="28"/>
          <w:highlight w:val="none"/>
          <w:lang w:val="en-US" w:eastAsia="zh-CN" w:bidi="ar-SA"/>
        </w:rPr>
      </w:pPr>
      <w:r>
        <w:rPr>
          <w:rFonts w:hint="eastAsia" w:ascii="仿宋" w:hAnsi="仿宋" w:eastAsia="仿宋" w:cs="仿宋"/>
          <w:b/>
          <w:bCs/>
          <w:color w:val="auto"/>
          <w:kern w:val="2"/>
          <w:sz w:val="28"/>
          <w:szCs w:val="28"/>
          <w:highlight w:val="none"/>
          <w:shd w:val="clear" w:color="auto" w:fill="FFFFFF"/>
          <w:lang w:val="en-US" w:eastAsia="zh-CN" w:bidi="ar-SA"/>
        </w:rPr>
        <w:t>后附：信用中国陕西榆林承诺申报截图</w:t>
      </w:r>
    </w:p>
    <w:p>
      <w:pPr>
        <w:rPr>
          <w:rFonts w:hint="eastAsia" w:ascii="仿宋" w:hAnsi="仿宋" w:eastAsia="仿宋" w:cs="仿宋"/>
          <w:color w:val="auto"/>
          <w:highlight w:val="none"/>
          <w:lang w:val="en-US" w:eastAsia="zh-CN"/>
        </w:rPr>
      </w:pPr>
      <w:r>
        <w:rPr>
          <w:rFonts w:hint="eastAsia" w:ascii="仿宋" w:hAnsi="仿宋" w:eastAsia="仿宋" w:cs="仿宋"/>
          <w:b/>
          <w:color w:val="auto"/>
          <w:kern w:val="2"/>
          <w:sz w:val="28"/>
          <w:highlight w:val="none"/>
          <w:lang w:val="en-US" w:eastAsia="zh-CN" w:bidi="ar-SA"/>
        </w:rPr>
        <w:br w:type="page"/>
      </w:r>
    </w:p>
    <w:bookmarkEnd w:id="416"/>
    <w:bookmarkEnd w:id="417"/>
    <w:bookmarkEnd w:id="418"/>
    <w:p>
      <w:pPr>
        <w:pStyle w:val="5"/>
        <w:keepNext/>
        <w:keepLines/>
        <w:pageBreakBefore w:val="0"/>
        <w:widowControl w:val="0"/>
        <w:kinsoku/>
        <w:wordWrap/>
        <w:overflowPunct/>
        <w:topLinePunct w:val="0"/>
        <w:autoSpaceDE/>
        <w:autoSpaceDN/>
        <w:bidi w:val="0"/>
        <w:adjustRightInd/>
        <w:snapToGrid/>
        <w:spacing w:before="0" w:after="0" w:afterAutospacing="0" w:line="360" w:lineRule="auto"/>
        <w:textAlignment w:val="auto"/>
        <w:rPr>
          <w:rFonts w:hint="eastAsia" w:ascii="仿宋" w:hAnsi="仿宋" w:eastAsia="仿宋" w:cs="仿宋"/>
          <w:b/>
          <w:bCs/>
          <w:color w:val="auto"/>
          <w:kern w:val="0"/>
          <w:sz w:val="24"/>
          <w:szCs w:val="24"/>
          <w:highlight w:val="none"/>
          <w:lang w:val="en-US" w:eastAsia="zh-CN" w:bidi="ar"/>
        </w:rPr>
      </w:pPr>
      <w:bookmarkStart w:id="419" w:name="_Toc13955"/>
      <w:bookmarkStart w:id="420" w:name="_Toc27301"/>
      <w:bookmarkStart w:id="421" w:name="_Toc26089"/>
      <w:bookmarkStart w:id="422" w:name="_Toc22446"/>
      <w:bookmarkStart w:id="423" w:name="_Toc22274"/>
      <w:bookmarkStart w:id="424" w:name="_Toc15272"/>
      <w:r>
        <w:rPr>
          <w:rFonts w:hint="eastAsia" w:ascii="仿宋" w:hAnsi="仿宋" w:eastAsia="仿宋" w:cs="仿宋"/>
          <w:color w:val="auto"/>
          <w:highlight w:val="none"/>
          <w:lang w:val="en-US" w:eastAsia="zh-CN"/>
        </w:rPr>
        <w:t>10、非联合体投标声明</w:t>
      </w:r>
      <w:bookmarkEnd w:id="419"/>
      <w:bookmarkEnd w:id="420"/>
      <w:bookmarkEnd w:id="421"/>
      <w:bookmarkEnd w:id="422"/>
      <w:bookmarkEnd w:id="423"/>
      <w:bookmarkEnd w:id="424"/>
    </w:p>
    <w:p>
      <w:pPr>
        <w:spacing w:before="156" w:beforeAutospacing="0" w:after="159" w:afterLines="50" w:afterAutospacing="0" w:line="225" w:lineRule="auto"/>
        <w:ind w:left="0" w:leftChars="0" w:firstLine="0" w:firstLineChars="0"/>
        <w:jc w:val="center"/>
        <w:rPr>
          <w:rFonts w:hint="eastAsia" w:ascii="仿宋" w:hAnsi="仿宋" w:eastAsia="仿宋" w:cs="仿宋"/>
          <w:spacing w:val="10"/>
          <w:sz w:val="29"/>
          <w:szCs w:val="29"/>
          <w:highlight w:val="none"/>
          <w14:textOutline w14:w="5448" w14:cap="sq" w14:cmpd="sng">
            <w14:solidFill>
              <w14:srgbClr w14:val="000000"/>
            </w14:solidFill>
            <w14:prstDash w14:val="solid"/>
            <w14:bevel/>
          </w14:textOutline>
        </w:rPr>
      </w:pPr>
      <w:r>
        <w:rPr>
          <w:rFonts w:hint="eastAsia" w:ascii="仿宋" w:hAnsi="仿宋" w:eastAsia="仿宋" w:cs="仿宋"/>
          <w:spacing w:val="10"/>
          <w:sz w:val="29"/>
          <w:szCs w:val="29"/>
          <w:highlight w:val="none"/>
          <w:lang w:val="en-US" w:eastAsia="zh-CN"/>
          <w14:textOutline w14:w="5448" w14:cap="sq" w14:cmpd="sng">
            <w14:solidFill>
              <w14:srgbClr w14:val="000000"/>
            </w14:solidFill>
            <w14:prstDash w14:val="solid"/>
            <w14:bevel/>
          </w14:textOutline>
        </w:rPr>
        <w:t>非联合体投标声明（格式）</w:t>
      </w:r>
    </w:p>
    <w:p>
      <w:pPr>
        <w:keepNext w:val="0"/>
        <w:keepLines w:val="0"/>
        <w:widowControl/>
        <w:suppressLineNumbers w:val="0"/>
        <w:spacing w:beforeAutospacing="0"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本单位郑重声明，参加亿诚建设项目管理有限公司的项目名称:</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（项目编号：______）采购活动，为非联合体投标，本项目实施过程由本单位独立承担。 </w:t>
      </w:r>
    </w:p>
    <w:p>
      <w:pPr>
        <w:keepNext w:val="0"/>
        <w:keepLines w:val="0"/>
        <w:widowControl/>
        <w:suppressLineNumbers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本单位对上述声明的真实性负责。如有虚假，将依法承担相应责任。 </w:t>
      </w:r>
    </w:p>
    <w:p>
      <w:pPr>
        <w:keepNext w:val="0"/>
        <w:keepLines w:val="0"/>
        <w:widowControl/>
        <w:suppressLineNumbers w:val="0"/>
        <w:spacing w:line="360" w:lineRule="auto"/>
        <w:ind w:firstLine="480" w:firstLineChars="200"/>
        <w:jc w:val="left"/>
        <w:rPr>
          <w:rFonts w:hint="eastAsia" w:ascii="仿宋" w:hAnsi="仿宋" w:eastAsia="仿宋" w:cs="仿宋"/>
          <w:color w:val="auto"/>
          <w:kern w:val="0"/>
          <w:sz w:val="24"/>
          <w:szCs w:val="24"/>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仿宋" w:hAnsi="仿宋" w:eastAsia="仿宋" w:cs="仿宋"/>
          <w:color w:val="auto"/>
          <w:kern w:val="2"/>
          <w:sz w:val="24"/>
          <w:szCs w:val="20"/>
          <w:highlight w:val="none"/>
          <w:u w:val="single"/>
          <w:lang w:val="en-US" w:eastAsia="zh-CN" w:bidi="ar"/>
        </w:rPr>
      </w:pPr>
      <w:r>
        <w:rPr>
          <w:rFonts w:hint="eastAsia" w:ascii="仿宋" w:hAnsi="仿宋" w:eastAsia="仿宋" w:cs="仿宋"/>
          <w:color w:val="auto"/>
          <w:kern w:val="2"/>
          <w:sz w:val="24"/>
          <w:szCs w:val="20"/>
          <w:highlight w:val="none"/>
          <w:lang w:val="en-US" w:eastAsia="zh-CN" w:bidi="ar"/>
        </w:rPr>
        <w:t>供应商：</w:t>
      </w:r>
      <w:r>
        <w:rPr>
          <w:rFonts w:hint="eastAsia" w:ascii="仿宋" w:hAnsi="仿宋" w:eastAsia="仿宋" w:cs="仿宋"/>
          <w:color w:val="auto"/>
          <w:kern w:val="2"/>
          <w:sz w:val="24"/>
          <w:szCs w:val="20"/>
          <w:highlight w:val="none"/>
          <w:u w:val="single"/>
          <w:lang w:val="en-US" w:eastAsia="zh-CN" w:bidi="ar"/>
        </w:rPr>
        <w:t xml:space="preserve">      （盖公章）</w:t>
      </w:r>
    </w:p>
    <w:p>
      <w:pPr>
        <w:keepNext w:val="0"/>
        <w:keepLines w:val="0"/>
        <w:widowControl w:val="0"/>
        <w:suppressLineNumbers w:val="0"/>
        <w:spacing w:before="0" w:beforeAutospacing="0" w:after="120" w:afterAutospacing="0"/>
        <w:ind w:left="0" w:right="0"/>
        <w:jc w:val="both"/>
        <w:rPr>
          <w:rFonts w:hint="eastAsia" w:ascii="仿宋" w:hAnsi="仿宋" w:eastAsia="仿宋" w:cs="仿宋"/>
          <w:color w:val="auto"/>
          <w:kern w:val="2"/>
          <w:sz w:val="21"/>
          <w:szCs w:val="20"/>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仿宋" w:hAnsi="仿宋" w:eastAsia="仿宋" w:cs="仿宋"/>
          <w:color w:val="auto"/>
          <w:kern w:val="2"/>
          <w:sz w:val="24"/>
          <w:szCs w:val="20"/>
          <w:highlight w:val="none"/>
          <w:lang w:val="en-US" w:eastAsia="zh-CN" w:bidi="ar"/>
        </w:rPr>
      </w:pPr>
      <w:r>
        <w:rPr>
          <w:rFonts w:hint="eastAsia" w:ascii="仿宋" w:hAnsi="仿宋" w:eastAsia="仿宋" w:cs="仿宋"/>
          <w:color w:val="auto"/>
          <w:kern w:val="2"/>
          <w:sz w:val="24"/>
          <w:szCs w:val="20"/>
          <w:highlight w:val="none"/>
          <w:lang w:val="en-US" w:eastAsia="zh-CN" w:bidi="ar"/>
        </w:rPr>
        <w:t>日期：   年   月   日</w:t>
      </w:r>
    </w:p>
    <w:p>
      <w:pPr>
        <w:rPr>
          <w:rFonts w:hint="eastAsia" w:ascii="仿宋" w:hAnsi="仿宋" w:eastAsia="仿宋" w:cs="仿宋"/>
          <w:color w:val="auto"/>
          <w:kern w:val="2"/>
          <w:sz w:val="24"/>
          <w:szCs w:val="20"/>
          <w:highlight w:val="none"/>
          <w:lang w:val="en-US" w:eastAsia="zh-CN" w:bidi="ar"/>
        </w:rPr>
      </w:pPr>
      <w:r>
        <w:rPr>
          <w:rFonts w:hint="eastAsia" w:ascii="仿宋" w:hAnsi="仿宋" w:eastAsia="仿宋" w:cs="仿宋"/>
          <w:color w:val="auto"/>
          <w:kern w:val="2"/>
          <w:sz w:val="24"/>
          <w:szCs w:val="20"/>
          <w:highlight w:val="none"/>
          <w:lang w:val="en-US" w:eastAsia="zh-CN" w:bidi="ar"/>
        </w:rPr>
        <w:br w:type="page"/>
      </w:r>
    </w:p>
    <w:p>
      <w:pPr>
        <w:spacing w:before="299" w:line="225" w:lineRule="auto"/>
        <w:ind w:left="2698"/>
        <w:rPr>
          <w:rFonts w:hint="eastAsia" w:ascii="仿宋" w:hAnsi="仿宋" w:eastAsia="仿宋" w:cs="仿宋"/>
          <w:sz w:val="21"/>
          <w:highlight w:val="none"/>
        </w:rPr>
      </w:pPr>
      <w:r>
        <w:rPr>
          <w:rFonts w:hint="eastAsia" w:ascii="仿宋" w:hAnsi="仿宋" w:eastAsia="仿宋" w:cs="仿宋"/>
          <w:spacing w:val="10"/>
          <w:sz w:val="29"/>
          <w:szCs w:val="29"/>
          <w:highlight w:val="none"/>
          <w14:textOutline w14:w="5448" w14:cap="sq" w14:cmpd="sng">
            <w14:solidFill>
              <w14:srgbClr w14:val="000000"/>
            </w14:solidFill>
            <w14:prstDash w14:val="solid"/>
            <w14:bevel/>
          </w14:textOutline>
        </w:rPr>
        <w:t>供应商企业关系关联承诺书</w:t>
      </w:r>
    </w:p>
    <w:p>
      <w:pPr>
        <w:spacing w:before="75" w:line="360" w:lineRule="auto"/>
        <w:ind w:left="491"/>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1、供应商股东及股权证明。</w:t>
      </w:r>
    </w:p>
    <w:p>
      <w:pPr>
        <w:spacing w:before="75" w:line="360" w:lineRule="auto"/>
        <w:ind w:firstLine="479"/>
        <w:rPr>
          <w:rFonts w:hint="eastAsia" w:ascii="仿宋" w:hAnsi="仿宋" w:eastAsia="仿宋" w:cs="仿宋"/>
          <w:sz w:val="24"/>
          <w:szCs w:val="24"/>
          <w:highlight w:val="none"/>
        </w:rPr>
      </w:pPr>
      <w:r>
        <w:rPr>
          <w:rFonts w:hint="eastAsia" w:ascii="仿宋" w:hAnsi="仿宋" w:eastAsia="仿宋" w:cs="仿宋"/>
          <w:spacing w:val="21"/>
          <w:sz w:val="24"/>
          <w:szCs w:val="24"/>
          <w:highlight w:val="none"/>
        </w:rPr>
        <w:t>2</w:t>
      </w:r>
      <w:r>
        <w:rPr>
          <w:rFonts w:hint="eastAsia" w:ascii="仿宋" w:hAnsi="仿宋" w:eastAsia="仿宋" w:cs="仿宋"/>
          <w:spacing w:val="11"/>
          <w:sz w:val="24"/>
          <w:szCs w:val="24"/>
          <w:highlight w:val="none"/>
        </w:rPr>
        <w:t>、供应商在本项目谈判中，不存在与其它供应商负责人为同一人，有控股、管理等</w:t>
      </w:r>
      <w:r>
        <w:rPr>
          <w:rFonts w:hint="eastAsia" w:ascii="仿宋" w:hAnsi="仿宋" w:eastAsia="仿宋" w:cs="仿宋"/>
          <w:spacing w:val="10"/>
          <w:sz w:val="24"/>
          <w:szCs w:val="24"/>
          <w:highlight w:val="none"/>
        </w:rPr>
        <w:t>关</w:t>
      </w:r>
      <w:r>
        <w:rPr>
          <w:rFonts w:hint="eastAsia" w:ascii="仿宋" w:hAnsi="仿宋" w:eastAsia="仿宋" w:cs="仿宋"/>
          <w:spacing w:val="6"/>
          <w:sz w:val="24"/>
          <w:szCs w:val="24"/>
          <w:highlight w:val="none"/>
        </w:rPr>
        <w:t>联关系承诺。</w:t>
      </w:r>
    </w:p>
    <w:p>
      <w:pPr>
        <w:spacing w:afterAutospacing="0" w:line="360" w:lineRule="auto"/>
        <w:ind w:left="479"/>
        <w:rPr>
          <w:rFonts w:hint="eastAsia" w:ascii="仿宋" w:hAnsi="仿宋" w:eastAsia="仿宋" w:cs="仿宋"/>
          <w:sz w:val="24"/>
          <w:szCs w:val="24"/>
          <w:highlight w:val="none"/>
        </w:rPr>
      </w:pPr>
      <w:r>
        <w:rPr>
          <w:rFonts w:hint="eastAsia" w:ascii="仿宋" w:hAnsi="仿宋" w:eastAsia="仿宋" w:cs="仿宋"/>
          <w:spacing w:val="12"/>
          <w:position w:val="1"/>
          <w:sz w:val="24"/>
          <w:szCs w:val="24"/>
          <w:highlight w:val="none"/>
        </w:rPr>
        <w:t>2</w:t>
      </w:r>
      <w:r>
        <w:rPr>
          <w:rFonts w:hint="eastAsia" w:ascii="仿宋" w:hAnsi="仿宋" w:eastAsia="仿宋" w:cs="仿宋"/>
          <w:spacing w:val="6"/>
          <w:position w:val="1"/>
          <w:sz w:val="24"/>
          <w:szCs w:val="24"/>
          <w:highlight w:val="none"/>
        </w:rPr>
        <w:t>-1、管理关系说明：</w:t>
      </w:r>
    </w:p>
    <w:p>
      <w:pPr>
        <w:spacing w:beforeAutospacing="0" w:line="360" w:lineRule="auto"/>
        <w:ind w:left="478"/>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我单位管理的具有独立法人的下属单位有：</w:t>
      </w:r>
      <w:r>
        <w:rPr>
          <w:rFonts w:hint="eastAsia" w:ascii="仿宋" w:hAnsi="仿宋" w:eastAsia="仿宋" w:cs="仿宋"/>
          <w:spacing w:val="1"/>
          <w:sz w:val="24"/>
          <w:szCs w:val="24"/>
          <w:highlight w:val="none"/>
          <w:u w:val="single" w:color="auto"/>
        </w:rPr>
        <w:t xml:space="preserve"> </w:t>
      </w:r>
      <w:r>
        <w:rPr>
          <w:rFonts w:hint="eastAsia" w:ascii="仿宋" w:hAnsi="仿宋" w:eastAsia="仿宋" w:cs="仿宋"/>
          <w:sz w:val="24"/>
          <w:szCs w:val="24"/>
          <w:highlight w:val="none"/>
          <w:u w:val="single" w:color="auto"/>
        </w:rPr>
        <w:t xml:space="preserve">               </w:t>
      </w:r>
      <w:r>
        <w:rPr>
          <w:rFonts w:hint="eastAsia" w:ascii="仿宋" w:hAnsi="仿宋" w:eastAsia="仿宋" w:cs="仿宋"/>
          <w:sz w:val="24"/>
          <w:szCs w:val="24"/>
          <w:highlight w:val="none"/>
        </w:rPr>
        <w:t>。</w:t>
      </w:r>
    </w:p>
    <w:p>
      <w:pPr>
        <w:spacing w:afterAutospacing="0" w:line="360" w:lineRule="auto"/>
        <w:ind w:left="478"/>
        <w:rPr>
          <w:rFonts w:hint="eastAsia" w:ascii="仿宋" w:hAnsi="仿宋" w:eastAsia="仿宋" w:cs="仿宋"/>
          <w:sz w:val="24"/>
          <w:szCs w:val="24"/>
          <w:highlight w:val="none"/>
        </w:rPr>
      </w:pPr>
      <w:r>
        <w:rPr>
          <w:rFonts w:hint="eastAsia" w:ascii="仿宋" w:hAnsi="仿宋" w:eastAsia="仿宋" w:cs="仿宋"/>
          <w:spacing w:val="12"/>
          <w:sz w:val="24"/>
          <w:szCs w:val="24"/>
          <w:highlight w:val="none"/>
        </w:rPr>
        <w:t>我单</w:t>
      </w:r>
      <w:r>
        <w:rPr>
          <w:rFonts w:hint="eastAsia" w:ascii="仿宋" w:hAnsi="仿宋" w:eastAsia="仿宋" w:cs="仿宋"/>
          <w:spacing w:val="6"/>
          <w:sz w:val="24"/>
          <w:szCs w:val="24"/>
          <w:highlight w:val="none"/>
        </w:rPr>
        <w:t>位的上级管理单位有</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6"/>
          <w:sz w:val="24"/>
          <w:szCs w:val="24"/>
          <w:highlight w:val="none"/>
        </w:rPr>
        <w:t>。</w:t>
      </w:r>
    </w:p>
    <w:p>
      <w:pPr>
        <w:spacing w:beforeAutospacing="0" w:afterAutospacing="0" w:line="360" w:lineRule="auto"/>
        <w:ind w:left="479"/>
        <w:rPr>
          <w:rFonts w:hint="eastAsia" w:ascii="仿宋" w:hAnsi="仿宋" w:eastAsia="仿宋" w:cs="仿宋"/>
          <w:sz w:val="24"/>
          <w:szCs w:val="24"/>
          <w:highlight w:val="none"/>
        </w:rPr>
      </w:pPr>
      <w:r>
        <w:rPr>
          <w:rFonts w:hint="eastAsia" w:ascii="仿宋" w:hAnsi="仿宋" w:eastAsia="仿宋" w:cs="仿宋"/>
          <w:spacing w:val="12"/>
          <w:position w:val="1"/>
          <w:sz w:val="24"/>
          <w:szCs w:val="24"/>
          <w:highlight w:val="none"/>
        </w:rPr>
        <w:t>2</w:t>
      </w:r>
      <w:r>
        <w:rPr>
          <w:rFonts w:hint="eastAsia" w:ascii="仿宋" w:hAnsi="仿宋" w:eastAsia="仿宋" w:cs="仿宋"/>
          <w:spacing w:val="6"/>
          <w:position w:val="1"/>
          <w:sz w:val="24"/>
          <w:szCs w:val="24"/>
          <w:highlight w:val="none"/>
        </w:rPr>
        <w:t>-2、股权关系说明：</w:t>
      </w:r>
    </w:p>
    <w:p>
      <w:pPr>
        <w:spacing w:beforeAutospacing="0" w:afterAutospacing="0" w:line="360" w:lineRule="auto"/>
        <w:ind w:left="478"/>
        <w:rPr>
          <w:rFonts w:hint="eastAsia" w:ascii="仿宋" w:hAnsi="仿宋" w:eastAsia="仿宋" w:cs="仿宋"/>
          <w:sz w:val="24"/>
          <w:szCs w:val="24"/>
          <w:highlight w:val="none"/>
        </w:rPr>
      </w:pPr>
      <w:r>
        <w:rPr>
          <w:rFonts w:hint="eastAsia" w:ascii="仿宋" w:hAnsi="仿宋" w:eastAsia="仿宋" w:cs="仿宋"/>
          <w:spacing w:val="10"/>
          <w:sz w:val="24"/>
          <w:szCs w:val="24"/>
          <w:highlight w:val="none"/>
        </w:rPr>
        <w:t>我</w:t>
      </w:r>
      <w:r>
        <w:rPr>
          <w:rFonts w:hint="eastAsia" w:ascii="仿宋" w:hAnsi="仿宋" w:eastAsia="仿宋" w:cs="仿宋"/>
          <w:spacing w:val="6"/>
          <w:sz w:val="24"/>
          <w:szCs w:val="24"/>
          <w:highlight w:val="none"/>
        </w:rPr>
        <w:t>单位控股的单位有</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6"/>
          <w:sz w:val="24"/>
          <w:szCs w:val="24"/>
          <w:highlight w:val="none"/>
        </w:rPr>
        <w:t>。</w:t>
      </w:r>
    </w:p>
    <w:p>
      <w:pPr>
        <w:spacing w:beforeAutospacing="0" w:line="360" w:lineRule="auto"/>
        <w:ind w:left="478"/>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我单位被</w:t>
      </w:r>
      <w:r>
        <w:rPr>
          <w:rFonts w:hint="eastAsia" w:ascii="仿宋" w:hAnsi="仿宋" w:eastAsia="仿宋" w:cs="仿宋"/>
          <w:spacing w:val="1"/>
          <w:sz w:val="24"/>
          <w:szCs w:val="24"/>
          <w:highlight w:val="none"/>
          <w:u w:val="single" w:color="auto"/>
        </w:rPr>
        <w:t xml:space="preserve">              </w:t>
      </w:r>
      <w:r>
        <w:rPr>
          <w:rFonts w:hint="eastAsia" w:ascii="仿宋" w:hAnsi="仿宋" w:eastAsia="仿宋" w:cs="仿宋"/>
          <w:spacing w:val="1"/>
          <w:sz w:val="24"/>
          <w:szCs w:val="24"/>
          <w:highlight w:val="none"/>
        </w:rPr>
        <w:t xml:space="preserve"> 单位控股</w:t>
      </w:r>
      <w:r>
        <w:rPr>
          <w:rFonts w:hint="eastAsia" w:ascii="仿宋" w:hAnsi="仿宋" w:eastAsia="仿宋" w:cs="仿宋"/>
          <w:sz w:val="24"/>
          <w:szCs w:val="24"/>
          <w:highlight w:val="none"/>
        </w:rPr>
        <w:t>。</w:t>
      </w:r>
    </w:p>
    <w:p>
      <w:pPr>
        <w:spacing w:afterAutospacing="0" w:line="360" w:lineRule="auto"/>
        <w:ind w:left="479"/>
        <w:rPr>
          <w:rFonts w:hint="eastAsia" w:ascii="仿宋" w:hAnsi="仿宋" w:eastAsia="仿宋" w:cs="仿宋"/>
          <w:sz w:val="24"/>
          <w:szCs w:val="24"/>
          <w:highlight w:val="none"/>
        </w:rPr>
      </w:pPr>
      <w:r>
        <w:rPr>
          <w:rFonts w:hint="eastAsia" w:ascii="仿宋" w:hAnsi="仿宋" w:eastAsia="仿宋" w:cs="仿宋"/>
          <w:spacing w:val="8"/>
          <w:position w:val="1"/>
          <w:sz w:val="24"/>
          <w:szCs w:val="24"/>
          <w:highlight w:val="none"/>
        </w:rPr>
        <w:t>2</w:t>
      </w:r>
      <w:r>
        <w:rPr>
          <w:rFonts w:hint="eastAsia" w:ascii="仿宋" w:hAnsi="仿宋" w:eastAsia="仿宋" w:cs="仿宋"/>
          <w:spacing w:val="6"/>
          <w:position w:val="1"/>
          <w:sz w:val="24"/>
          <w:szCs w:val="24"/>
          <w:highlight w:val="none"/>
        </w:rPr>
        <w:t>-3、单位负责人：</w:t>
      </w:r>
    </w:p>
    <w:p>
      <w:pPr>
        <w:spacing w:beforeAutospacing="0" w:afterAutospacing="0" w:line="360" w:lineRule="auto"/>
        <w:ind w:left="547" w:leftChars="228" w:firstLine="0" w:firstLineChars="0"/>
        <w:rPr>
          <w:rFonts w:hint="eastAsia" w:ascii="仿宋" w:hAnsi="仿宋" w:eastAsia="仿宋" w:cs="仿宋"/>
          <w:sz w:val="24"/>
          <w:szCs w:val="24"/>
          <w:highlight w:val="none"/>
        </w:rPr>
      </w:pPr>
      <w:r>
        <w:rPr>
          <w:rFonts w:hint="eastAsia" w:ascii="仿宋" w:hAnsi="仿宋" w:eastAsia="仿宋" w:cs="仿宋"/>
          <w:spacing w:val="14"/>
          <w:position w:val="1"/>
          <w:sz w:val="24"/>
          <w:szCs w:val="24"/>
          <w:highlight w:val="none"/>
        </w:rPr>
        <w:t>3</w:t>
      </w:r>
      <w:r>
        <w:rPr>
          <w:rFonts w:hint="eastAsia" w:ascii="仿宋" w:hAnsi="仿宋" w:eastAsia="仿宋" w:cs="仿宋"/>
          <w:spacing w:val="8"/>
          <w:position w:val="1"/>
          <w:sz w:val="24"/>
          <w:szCs w:val="24"/>
          <w:highlight w:val="none"/>
        </w:rPr>
        <w:t>、其他与本项目有关的利害关系说明：</w:t>
      </w:r>
    </w:p>
    <w:p>
      <w:pPr>
        <w:spacing w:beforeAutospacing="0" w:line="360" w:lineRule="auto"/>
        <w:ind w:left="478"/>
        <w:rPr>
          <w:rFonts w:hint="eastAsia" w:ascii="仿宋" w:hAnsi="仿宋" w:eastAsia="仿宋" w:cs="仿宋"/>
          <w:sz w:val="24"/>
          <w:szCs w:val="24"/>
          <w:highlight w:val="none"/>
        </w:rPr>
      </w:pPr>
      <w:r>
        <w:rPr>
          <w:rFonts w:hint="eastAsia" w:ascii="仿宋" w:hAnsi="仿宋" w:eastAsia="仿宋" w:cs="仿宋"/>
          <w:spacing w:val="10"/>
          <w:sz w:val="24"/>
          <w:szCs w:val="24"/>
          <w:highlight w:val="none"/>
        </w:rPr>
        <w:t>我</w:t>
      </w:r>
      <w:r>
        <w:rPr>
          <w:rFonts w:hint="eastAsia" w:ascii="仿宋" w:hAnsi="仿宋" w:eastAsia="仿宋" w:cs="仿宋"/>
          <w:spacing w:val="9"/>
          <w:sz w:val="24"/>
          <w:szCs w:val="24"/>
          <w:highlight w:val="none"/>
        </w:rPr>
        <w:t>单位承诺以上说明真实有效，无虚假内容或隐瞒。</w:t>
      </w:r>
    </w:p>
    <w:p>
      <w:pPr>
        <w:spacing w:line="360" w:lineRule="auto"/>
        <w:rPr>
          <w:rFonts w:hint="eastAsia" w:ascii="仿宋" w:hAnsi="仿宋" w:eastAsia="仿宋" w:cs="仿宋"/>
          <w:sz w:val="24"/>
          <w:szCs w:val="24"/>
          <w:highlight w:val="none"/>
        </w:rPr>
      </w:pPr>
    </w:p>
    <w:p>
      <w:pPr>
        <w:spacing w:line="360" w:lineRule="auto"/>
        <w:rPr>
          <w:rFonts w:hint="eastAsia" w:ascii="仿宋" w:hAnsi="仿宋" w:eastAsia="仿宋" w:cs="仿宋"/>
          <w:sz w:val="24"/>
          <w:szCs w:val="24"/>
          <w:highlight w:val="none"/>
        </w:rPr>
      </w:pPr>
    </w:p>
    <w:p>
      <w:pPr>
        <w:spacing w:before="76" w:line="360" w:lineRule="auto"/>
        <w:ind w:left="476"/>
        <w:rPr>
          <w:rFonts w:hint="eastAsia" w:ascii="仿宋" w:hAnsi="仿宋" w:eastAsia="仿宋" w:cs="仿宋"/>
          <w:sz w:val="24"/>
          <w:szCs w:val="24"/>
          <w:highlight w:val="none"/>
        </w:rPr>
      </w:pPr>
      <w:r>
        <w:rPr>
          <w:rFonts w:hint="eastAsia" w:ascii="仿宋" w:hAnsi="仿宋" w:eastAsia="仿宋" w:cs="仿宋"/>
          <w:spacing w:val="-3"/>
          <w:sz w:val="24"/>
          <w:szCs w:val="24"/>
          <w:highlight w:val="none"/>
          <w:lang w:val="en-US" w:eastAsia="zh-CN"/>
        </w:rPr>
        <w:t>供应商</w:t>
      </w:r>
      <w:r>
        <w:rPr>
          <w:rFonts w:hint="eastAsia" w:ascii="仿宋" w:hAnsi="仿宋" w:eastAsia="仿宋" w:cs="仿宋"/>
          <w:spacing w:val="-3"/>
          <w:sz w:val="24"/>
          <w:szCs w:val="24"/>
          <w:highlight w:val="none"/>
        </w:rPr>
        <w:t>：(公章</w:t>
      </w:r>
      <w:r>
        <w:rPr>
          <w:rFonts w:hint="eastAsia" w:ascii="仿宋" w:hAnsi="仿宋" w:eastAsia="仿宋" w:cs="仿宋"/>
          <w:spacing w:val="-2"/>
          <w:sz w:val="24"/>
          <w:szCs w:val="24"/>
          <w:highlight w:val="none"/>
        </w:rPr>
        <w:t>)</w:t>
      </w:r>
    </w:p>
    <w:p>
      <w:pPr>
        <w:spacing w:line="360" w:lineRule="auto"/>
        <w:rPr>
          <w:rFonts w:hint="eastAsia" w:ascii="仿宋" w:hAnsi="仿宋" w:eastAsia="仿宋" w:cs="仿宋"/>
          <w:sz w:val="24"/>
          <w:szCs w:val="24"/>
          <w:highlight w:val="none"/>
        </w:rPr>
      </w:pPr>
    </w:p>
    <w:p>
      <w:pPr>
        <w:spacing w:before="75" w:line="360" w:lineRule="auto"/>
        <w:ind w:left="477"/>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日期：</w:t>
      </w:r>
      <w:r>
        <w:rPr>
          <w:rFonts w:hint="eastAsia" w:ascii="仿宋" w:hAnsi="仿宋" w:eastAsia="仿宋" w:cs="仿宋"/>
          <w:spacing w:val="-1"/>
          <w:sz w:val="24"/>
          <w:szCs w:val="24"/>
          <w:highlight w:val="none"/>
        </w:rPr>
        <w:t xml:space="preserve">    年    月    日</w:t>
      </w: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仿宋" w:hAnsi="仿宋" w:eastAsia="仿宋" w:cs="仿宋"/>
          <w:color w:val="auto"/>
          <w:kern w:val="2"/>
          <w:sz w:val="24"/>
          <w:szCs w:val="20"/>
          <w:highlight w:val="none"/>
          <w:lang w:val="en-US" w:eastAsia="zh-CN" w:bidi="ar"/>
        </w:rPr>
      </w:pPr>
    </w:p>
    <w:p>
      <w:pPr>
        <w:rPr>
          <w:rFonts w:hint="eastAsia" w:ascii="仿宋" w:hAnsi="仿宋" w:eastAsia="仿宋" w:cs="仿宋"/>
          <w:color w:val="auto"/>
          <w:kern w:val="2"/>
          <w:sz w:val="24"/>
          <w:szCs w:val="20"/>
          <w:highlight w:val="none"/>
          <w:lang w:val="en-US" w:eastAsia="zh-CN" w:bidi="ar"/>
        </w:rPr>
      </w:pPr>
      <w:r>
        <w:rPr>
          <w:rFonts w:hint="eastAsia" w:ascii="仿宋" w:hAnsi="仿宋" w:eastAsia="仿宋" w:cs="仿宋"/>
          <w:color w:val="auto"/>
          <w:kern w:val="2"/>
          <w:sz w:val="24"/>
          <w:szCs w:val="20"/>
          <w:highlight w:val="none"/>
          <w:lang w:val="en-US" w:eastAsia="zh-CN" w:bidi="ar"/>
        </w:rPr>
        <w:br w:type="page"/>
      </w:r>
    </w:p>
    <w:bookmarkEnd w:id="288"/>
    <w:bookmarkEnd w:id="289"/>
    <w:p>
      <w:pPr>
        <w:pStyle w:val="3"/>
        <w:bidi w:val="0"/>
        <w:jc w:val="center"/>
        <w:rPr>
          <w:rFonts w:hint="eastAsia" w:ascii="仿宋" w:hAnsi="仿宋" w:eastAsia="仿宋" w:cs="仿宋"/>
          <w:highlight w:val="none"/>
          <w:lang w:val="en-US" w:eastAsia="zh-CN"/>
        </w:rPr>
      </w:pPr>
      <w:bookmarkStart w:id="425" w:name="_Toc21287"/>
      <w:bookmarkStart w:id="426" w:name="_Toc28812"/>
      <w:bookmarkStart w:id="427" w:name="_Toc1489"/>
      <w:bookmarkStart w:id="428" w:name="_Toc23250"/>
      <w:bookmarkStart w:id="429" w:name="_Toc21173"/>
      <w:bookmarkStart w:id="430" w:name="_Toc12700"/>
      <w:bookmarkStart w:id="431" w:name="_Toc20182"/>
      <w:bookmarkStart w:id="432" w:name="_Toc25962"/>
      <w:bookmarkStart w:id="433" w:name="_Toc4766"/>
      <w:bookmarkStart w:id="434" w:name="_Toc12277"/>
      <w:bookmarkStart w:id="435" w:name="_Toc12268"/>
      <w:bookmarkStart w:id="436" w:name="_Toc283240497"/>
      <w:bookmarkStart w:id="437" w:name="_Toc356814675"/>
      <w:bookmarkStart w:id="438" w:name="_Toc334522292"/>
      <w:bookmarkStart w:id="439" w:name="_Toc19883"/>
      <w:bookmarkStart w:id="440" w:name="_Toc2908"/>
      <w:bookmarkStart w:id="441" w:name="_Toc19460"/>
      <w:bookmarkStart w:id="442" w:name="_Toc312789404"/>
      <w:bookmarkStart w:id="443" w:name="_Toc347478747"/>
      <w:bookmarkStart w:id="444" w:name="_Toc311415658"/>
      <w:bookmarkStart w:id="445" w:name="_Toc30946"/>
      <w:r>
        <w:rPr>
          <w:rFonts w:hint="eastAsia" w:ascii="仿宋" w:hAnsi="仿宋" w:eastAsia="仿宋" w:cs="仿宋"/>
          <w:highlight w:val="none"/>
          <w:lang w:val="en-US" w:eastAsia="zh-CN"/>
        </w:rPr>
        <w:t>六、投标信用承诺书（保证金）</w:t>
      </w:r>
      <w:bookmarkEnd w:id="425"/>
      <w:bookmarkEnd w:id="426"/>
      <w:bookmarkEnd w:id="427"/>
      <w:bookmarkEnd w:id="428"/>
      <w:bookmarkEnd w:id="429"/>
    </w:p>
    <w:p>
      <w:pPr>
        <w:spacing w:line="500" w:lineRule="exact"/>
        <w:jc w:val="center"/>
        <w:rPr>
          <w:rFonts w:hint="eastAsia" w:ascii="仿宋" w:hAnsi="仿宋" w:eastAsia="仿宋" w:cs="仿宋"/>
          <w:color w:val="auto"/>
          <w:kern w:val="0"/>
          <w:sz w:val="24"/>
          <w:highlight w:val="none"/>
        </w:rPr>
      </w:pPr>
      <w:r>
        <w:rPr>
          <w:rFonts w:hint="eastAsia" w:ascii="仿宋" w:hAnsi="仿宋" w:eastAsia="仿宋" w:cs="仿宋"/>
          <w:b/>
          <w:color w:val="auto"/>
          <w:sz w:val="32"/>
          <w:szCs w:val="32"/>
          <w:highlight w:val="none"/>
        </w:rPr>
        <w:t>投标信用承诺书（保证金）</w:t>
      </w: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项目</w:t>
      </w:r>
      <w:r>
        <w:rPr>
          <w:rFonts w:hint="eastAsia" w:ascii="仿宋" w:hAnsi="仿宋" w:eastAsia="仿宋" w:cs="仿宋"/>
          <w:color w:val="auto"/>
          <w:kern w:val="0"/>
          <w:sz w:val="24"/>
          <w:szCs w:val="24"/>
          <w:highlight w:val="none"/>
          <w:lang w:val="en-US" w:eastAsia="zh-CN"/>
        </w:rPr>
        <w:t>名称</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供应商：</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统一社会信用代码：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法人代表：</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在本项目标段招投标活动中，我公司（单位）自愿作出以下投标信用承诺：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（一）能严格遵守法律法规、职业道德和行业规范。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二）不得有以下违法违规行为：1.围标串标；以他人名义或者其他方式弄虚作假投标；出让出租资格、资质证书供他人投标；恶意竞标；以暴力、威胁、利诱等手段阻止或者控制其他潜在供应商参与招投标活动。2.向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收到中标通知书后，30日内未将合同原件送至招标代理机构备案；放弃中标；不按照招标文件的规定提交履约保证金。5.招投标法规定的其它违法违规行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p>
    <w:p>
      <w:pPr>
        <w:keepNext w:val="0"/>
        <w:keepLines w:val="0"/>
        <w:pageBreakBefore w:val="0"/>
        <w:widowControl w:val="0"/>
        <w:tabs>
          <w:tab w:val="left" w:pos="4395"/>
        </w:tabs>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法定代表人（签章）：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  供应商（盖章）：</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color w:val="auto"/>
          <w:kern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承诺时间：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日</w:t>
      </w:r>
    </w:p>
    <w:p>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FF0000"/>
          <w:kern w:val="0"/>
          <w:sz w:val="24"/>
          <w:szCs w:val="24"/>
          <w:highlight w:val="none"/>
        </w:rPr>
      </w:pPr>
    </w:p>
    <w:p>
      <w:pPr>
        <w:pStyle w:val="25"/>
        <w:keepNext w:val="0"/>
        <w:keepLines w:val="0"/>
        <w:pageBreakBefore w:val="0"/>
        <w:widowControl w:val="0"/>
        <w:kinsoku/>
        <w:wordWrap/>
        <w:overflowPunct/>
        <w:topLinePunct w:val="0"/>
        <w:autoSpaceDE/>
        <w:autoSpaceDN/>
        <w:bidi w:val="0"/>
        <w:spacing w:line="360" w:lineRule="auto"/>
        <w:ind w:firstLine="214"/>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说明：本承诺书效力和作用等同投标保证金，其有效期与投标有效期一致。</w:t>
      </w:r>
    </w:p>
    <w:p>
      <w:pPr>
        <w:jc w:val="both"/>
        <w:rPr>
          <w:rFonts w:hint="eastAsia" w:ascii="仿宋" w:hAnsi="仿宋" w:eastAsia="仿宋" w:cs="仿宋"/>
          <w:b/>
          <w:bCs/>
          <w:color w:val="auto"/>
          <w:kern w:val="2"/>
          <w:sz w:val="28"/>
          <w:szCs w:val="28"/>
          <w:highlight w:val="none"/>
          <w:shd w:val="clear" w:color="auto" w:fill="FFFFFF"/>
          <w:lang w:val="en-US" w:eastAsia="zh-CN" w:bidi="ar-SA"/>
        </w:rPr>
      </w:pPr>
      <w:r>
        <w:rPr>
          <w:rFonts w:hint="eastAsia" w:ascii="仿宋" w:hAnsi="仿宋" w:eastAsia="仿宋" w:cs="仿宋"/>
          <w:b/>
          <w:bCs/>
          <w:color w:val="auto"/>
          <w:kern w:val="2"/>
          <w:sz w:val="28"/>
          <w:szCs w:val="28"/>
          <w:highlight w:val="none"/>
          <w:shd w:val="clear" w:color="auto" w:fill="FFFFFF"/>
          <w:lang w:val="en-US" w:eastAsia="zh-CN" w:bidi="ar-SA"/>
        </w:rPr>
        <w:t>后附：信用中国陕西榆林承诺申报截图</w:t>
      </w:r>
    </w:p>
    <w:p>
      <w:pPr>
        <w:rPr>
          <w:rFonts w:hint="eastAsia" w:ascii="仿宋" w:hAnsi="仿宋" w:eastAsia="仿宋" w:cs="仿宋"/>
          <w:color w:val="auto"/>
          <w:highlight w:val="none"/>
          <w:lang w:val="en-US" w:eastAsia="zh-CN"/>
        </w:rPr>
      </w:pPr>
      <w:bookmarkStart w:id="446" w:name="_Toc23920"/>
      <w:bookmarkStart w:id="447" w:name="_Toc19151"/>
      <w:r>
        <w:rPr>
          <w:rFonts w:hint="eastAsia" w:ascii="仿宋" w:hAnsi="仿宋" w:eastAsia="仿宋" w:cs="仿宋"/>
          <w:color w:val="auto"/>
          <w:highlight w:val="none"/>
          <w:lang w:val="en-US" w:eastAsia="zh-CN"/>
        </w:rPr>
        <w:br w:type="page"/>
      </w:r>
    </w:p>
    <w:p>
      <w:pPr>
        <w:pStyle w:val="3"/>
        <w:bidi w:val="0"/>
        <w:jc w:val="center"/>
        <w:rPr>
          <w:rFonts w:hint="eastAsia" w:ascii="仿宋" w:hAnsi="仿宋" w:eastAsia="仿宋" w:cs="仿宋"/>
          <w:highlight w:val="none"/>
          <w:lang w:val="en-US" w:eastAsia="zh-CN"/>
        </w:rPr>
      </w:pPr>
      <w:bookmarkStart w:id="448" w:name="_Toc22735"/>
      <w:r>
        <w:rPr>
          <w:rFonts w:hint="eastAsia" w:ascii="仿宋" w:hAnsi="仿宋" w:eastAsia="仿宋" w:cs="仿宋"/>
          <w:highlight w:val="none"/>
          <w:lang w:val="en-US" w:eastAsia="zh-CN"/>
        </w:rPr>
        <w:t>七、供应商承诺书</w:t>
      </w:r>
      <w:bookmarkEnd w:id="430"/>
      <w:bookmarkEnd w:id="431"/>
      <w:bookmarkEnd w:id="432"/>
      <w:bookmarkEnd w:id="446"/>
      <w:bookmarkEnd w:id="447"/>
      <w:bookmarkEnd w:id="448"/>
    </w:p>
    <w:p>
      <w:pPr>
        <w:bidi w:val="0"/>
        <w:spacing w:afterAutospacing="0"/>
        <w:jc w:val="center"/>
        <w:rPr>
          <w:rFonts w:hint="eastAsia" w:ascii="仿宋" w:hAnsi="仿宋" w:eastAsia="仿宋" w:cs="仿宋"/>
          <w:b/>
          <w:bCs/>
          <w:sz w:val="32"/>
          <w:szCs w:val="22"/>
          <w:highlight w:val="none"/>
          <w:lang w:val="en-US" w:eastAsia="zh-CN"/>
        </w:rPr>
      </w:pPr>
      <w:bookmarkStart w:id="449" w:name="_Toc25526"/>
      <w:bookmarkStart w:id="450" w:name="_Toc10728"/>
      <w:bookmarkStart w:id="451" w:name="_Toc19114"/>
      <w:bookmarkStart w:id="452" w:name="_Toc15960"/>
      <w:bookmarkStart w:id="453" w:name="_Toc1011"/>
      <w:bookmarkStart w:id="454" w:name="_Toc21986"/>
      <w:bookmarkStart w:id="455" w:name="_Toc949"/>
      <w:r>
        <w:rPr>
          <w:rFonts w:hint="eastAsia" w:ascii="仿宋" w:hAnsi="仿宋" w:eastAsia="仿宋" w:cs="仿宋"/>
          <w:b/>
          <w:bCs/>
          <w:sz w:val="32"/>
          <w:szCs w:val="22"/>
          <w:highlight w:val="none"/>
          <w:lang w:val="en-US" w:eastAsia="zh-CN"/>
        </w:rPr>
        <w:t>陕西省政府采购供应商拒绝政府采购领域商业贿赂承诺书</w:t>
      </w:r>
      <w:bookmarkEnd w:id="449"/>
      <w:bookmarkEnd w:id="450"/>
      <w:bookmarkEnd w:id="451"/>
      <w:bookmarkEnd w:id="452"/>
      <w:bookmarkEnd w:id="453"/>
      <w:bookmarkEnd w:id="454"/>
      <w:bookmarkEnd w:id="455"/>
    </w:p>
    <w:p>
      <w:pPr>
        <w:bidi w:val="0"/>
        <w:spacing w:before="315" w:beforeLines="100" w:beforeAutospacing="0" w:after="315" w:afterLines="100" w:afterAutospacing="0"/>
        <w:jc w:val="center"/>
        <w:rPr>
          <w:rFonts w:hint="eastAsia" w:ascii="仿宋" w:hAnsi="仿宋" w:eastAsia="仿宋" w:cs="仿宋"/>
          <w:b/>
          <w:bCs/>
          <w:sz w:val="32"/>
          <w:szCs w:val="22"/>
          <w:highlight w:val="none"/>
          <w:lang w:val="en-US" w:eastAsia="zh-CN"/>
        </w:rPr>
      </w:pPr>
      <w:bookmarkStart w:id="456" w:name="_Toc28894"/>
      <w:bookmarkStart w:id="457" w:name="_Toc1476"/>
      <w:bookmarkStart w:id="458" w:name="_Toc5630"/>
      <w:bookmarkStart w:id="459" w:name="_Toc16007"/>
      <w:bookmarkStart w:id="460" w:name="_Toc28410"/>
      <w:bookmarkStart w:id="461" w:name="_Toc9568"/>
      <w:bookmarkStart w:id="462" w:name="_Toc10986"/>
      <w:r>
        <w:rPr>
          <w:rFonts w:hint="eastAsia" w:ascii="仿宋" w:hAnsi="仿宋" w:eastAsia="仿宋" w:cs="仿宋"/>
          <w:b/>
          <w:bCs/>
          <w:sz w:val="32"/>
          <w:szCs w:val="22"/>
          <w:highlight w:val="none"/>
          <w:lang w:val="en-US" w:eastAsia="zh-CN"/>
        </w:rPr>
        <w:t>承诺书（一）</w:t>
      </w:r>
      <w:bookmarkEnd w:id="456"/>
      <w:bookmarkEnd w:id="457"/>
      <w:bookmarkEnd w:id="458"/>
      <w:bookmarkEnd w:id="459"/>
      <w:bookmarkEnd w:id="460"/>
      <w:bookmarkEnd w:id="461"/>
      <w:bookmarkEnd w:id="462"/>
    </w:p>
    <w:p>
      <w:pPr>
        <w:widowControl/>
        <w:shd w:val="clear"/>
        <w:spacing w:beforeAutospacing="0" w:line="360" w:lineRule="auto"/>
        <w:ind w:firstLine="480" w:firstLineChars="200"/>
        <w:jc w:val="left"/>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为响应党中央、国务院关于治理政府采购领域商业贿赂行为的号召，我公司在此庄严承诺：</w:t>
      </w:r>
    </w:p>
    <w:p>
      <w:pPr>
        <w:widowControl/>
        <w:shd w:val="clear"/>
        <w:spacing w:line="360" w:lineRule="auto"/>
        <w:ind w:firstLine="480" w:firstLineChars="200"/>
        <w:jc w:val="left"/>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 xml:space="preserve">  1、在参与政府采购活动中遵纪守法、诚信经营、公平竞标。</w:t>
      </w:r>
    </w:p>
    <w:p>
      <w:pPr>
        <w:widowControl/>
        <w:shd w:val="clear"/>
        <w:spacing w:line="360" w:lineRule="auto"/>
        <w:ind w:firstLine="480" w:firstLineChars="200"/>
        <w:jc w:val="left"/>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 xml:space="preserve">  2、不向政府采购人、采购代理机构和政府采购评审专家进行任何形式的商业贿赂以谋取交易机会。</w:t>
      </w:r>
    </w:p>
    <w:p>
      <w:pPr>
        <w:widowControl/>
        <w:shd w:val="clear"/>
        <w:spacing w:line="360" w:lineRule="auto"/>
        <w:ind w:firstLine="480" w:firstLineChars="200"/>
        <w:jc w:val="left"/>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 xml:space="preserve">  3、不向政府采购代理机构和采购人提供虚假资质文件或采用虚假应标方式参与政府采购市场竞争并谋取中标、成交。</w:t>
      </w:r>
    </w:p>
    <w:p>
      <w:pPr>
        <w:widowControl/>
        <w:shd w:val="clear"/>
        <w:spacing w:line="360" w:lineRule="auto"/>
        <w:ind w:firstLine="480" w:firstLineChars="200"/>
        <w:jc w:val="left"/>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 xml:space="preserve">  4、不采取“围标、陪标”等商业欺诈手段获得政府采购定单。</w:t>
      </w:r>
    </w:p>
    <w:p>
      <w:pPr>
        <w:widowControl/>
        <w:shd w:val="clear"/>
        <w:spacing w:line="360" w:lineRule="auto"/>
        <w:ind w:firstLine="480" w:firstLineChars="200"/>
        <w:jc w:val="left"/>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 xml:space="preserve">  5、不采取不正当手段诋毁、排挤其他供应商。</w:t>
      </w:r>
    </w:p>
    <w:p>
      <w:pPr>
        <w:widowControl/>
        <w:shd w:val="clear"/>
        <w:spacing w:line="360" w:lineRule="auto"/>
        <w:ind w:firstLine="480" w:firstLineChars="200"/>
        <w:jc w:val="left"/>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 xml:space="preserve">  6、不在提供商品和服务时“偷梁换柱、以次充好”损害采购人的合法权益。</w:t>
      </w:r>
    </w:p>
    <w:p>
      <w:pPr>
        <w:widowControl/>
        <w:shd w:val="clear"/>
        <w:spacing w:line="360" w:lineRule="auto"/>
        <w:ind w:firstLine="480" w:firstLineChars="200"/>
        <w:jc w:val="left"/>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 xml:space="preserve">  7、不与采购人、采购代理机构政府采购评审专家或其它供应商恶意串通，进行质疑和投诉，维护政府采购市场秩序。</w:t>
      </w:r>
    </w:p>
    <w:p>
      <w:pPr>
        <w:widowControl/>
        <w:shd w:val="clear"/>
        <w:spacing w:line="360" w:lineRule="auto"/>
        <w:ind w:firstLine="480" w:firstLineChars="200"/>
        <w:jc w:val="left"/>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 xml:space="preserve">  8、尊重和接受政府采购监督管理部门的监督和政府采购代理机构招标采购要求，承担因违约行为给采购人造成的损失。</w:t>
      </w:r>
    </w:p>
    <w:p>
      <w:pPr>
        <w:widowControl/>
        <w:shd w:val="clear"/>
        <w:spacing w:line="360" w:lineRule="auto"/>
        <w:ind w:firstLine="480" w:firstLineChars="200"/>
        <w:jc w:val="left"/>
        <w:rPr>
          <w:rFonts w:hint="eastAsia" w:ascii="仿宋" w:hAnsi="仿宋" w:eastAsia="仿宋" w:cs="仿宋"/>
          <w:highlight w:val="none"/>
          <w:lang w:eastAsia="zh-CN"/>
        </w:rPr>
      </w:pPr>
      <w:r>
        <w:rPr>
          <w:rFonts w:hint="eastAsia" w:ascii="仿宋" w:hAnsi="仿宋" w:eastAsia="仿宋" w:cs="仿宋"/>
          <w:color w:val="auto"/>
          <w:kern w:val="0"/>
          <w:sz w:val="24"/>
          <w:szCs w:val="20"/>
          <w:highlight w:val="none"/>
        </w:rPr>
        <w:t xml:space="preserve">  9、不发生其他有悖于政府采购公开、公平、公正和诚信原则的行为。</w:t>
      </w:r>
    </w:p>
    <w:p>
      <w:pPr>
        <w:widowControl/>
        <w:shd w:val="clear"/>
        <w:spacing w:line="360" w:lineRule="auto"/>
        <w:ind w:left="274" w:leftChars="114"/>
        <w:jc w:val="left"/>
        <w:rPr>
          <w:rFonts w:hint="eastAsia" w:ascii="仿宋" w:hAnsi="仿宋" w:eastAsia="仿宋" w:cs="仿宋"/>
          <w:color w:val="auto"/>
          <w:kern w:val="0"/>
          <w:sz w:val="24"/>
          <w:szCs w:val="20"/>
          <w:highlight w:val="none"/>
        </w:rPr>
      </w:pPr>
    </w:p>
    <w:p>
      <w:pPr>
        <w:widowControl/>
        <w:shd w:val="clear"/>
        <w:spacing w:line="360" w:lineRule="auto"/>
        <w:ind w:left="274" w:leftChars="114"/>
        <w:jc w:val="left"/>
        <w:rPr>
          <w:rFonts w:hint="eastAsia" w:ascii="仿宋" w:hAnsi="仿宋" w:eastAsia="仿宋" w:cs="仿宋"/>
          <w:color w:val="auto"/>
          <w:kern w:val="0"/>
          <w:sz w:val="24"/>
          <w:szCs w:val="20"/>
          <w:highlight w:val="none"/>
        </w:rPr>
      </w:pPr>
    </w:p>
    <w:p>
      <w:pPr>
        <w:widowControl/>
        <w:shd w:val="clear"/>
        <w:spacing w:line="360" w:lineRule="auto"/>
        <w:ind w:left="274" w:leftChars="114"/>
        <w:jc w:val="left"/>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承诺单位名称：</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（盖章）</w:t>
      </w:r>
    </w:p>
    <w:p>
      <w:pPr>
        <w:widowControl/>
        <w:shd w:val="clear"/>
        <w:spacing w:line="360" w:lineRule="auto"/>
        <w:ind w:left="274" w:leftChars="114"/>
        <w:jc w:val="left"/>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sz w:val="24"/>
          <w:szCs w:val="24"/>
          <w:highlight w:val="none"/>
        </w:rPr>
        <w:t>法定代表人或被授权人：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4"/>
          <w:szCs w:val="20"/>
          <w:highlight w:val="none"/>
        </w:rPr>
        <w:t>（签字）</w:t>
      </w:r>
    </w:p>
    <w:p>
      <w:pPr>
        <w:widowControl/>
        <w:shd w:val="clear"/>
        <w:spacing w:line="360" w:lineRule="auto"/>
        <w:ind w:left="274" w:leftChars="114"/>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地址：</w:t>
      </w:r>
    </w:p>
    <w:p>
      <w:pPr>
        <w:widowControl/>
        <w:shd w:val="clear"/>
        <w:spacing w:line="360" w:lineRule="auto"/>
        <w:ind w:left="274" w:leftChars="114"/>
        <w:jc w:val="left"/>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邮编：</w:t>
      </w:r>
    </w:p>
    <w:p>
      <w:pPr>
        <w:widowControl/>
        <w:shd w:val="clear"/>
        <w:spacing w:line="360" w:lineRule="auto"/>
        <w:ind w:left="274" w:leftChars="114"/>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电话：</w:t>
      </w:r>
    </w:p>
    <w:p>
      <w:pPr>
        <w:widowControl/>
        <w:shd w:val="clear"/>
        <w:spacing w:line="360" w:lineRule="auto"/>
        <w:ind w:left="274" w:leftChars="114"/>
        <w:jc w:val="left"/>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日期：</w:t>
      </w:r>
    </w:p>
    <w:p>
      <w:pPr>
        <w:rPr>
          <w:rFonts w:hint="eastAsia" w:ascii="仿宋" w:hAnsi="仿宋" w:eastAsia="仿宋" w:cs="仿宋"/>
          <w:b/>
          <w:bCs/>
          <w:sz w:val="32"/>
          <w:szCs w:val="22"/>
          <w:highlight w:val="none"/>
          <w:lang w:val="en-US" w:eastAsia="zh-CN"/>
        </w:rPr>
      </w:pPr>
      <w:bookmarkStart w:id="463" w:name="_Toc23094"/>
      <w:bookmarkStart w:id="464" w:name="_Toc32034"/>
      <w:bookmarkStart w:id="465" w:name="_Toc32039"/>
      <w:bookmarkStart w:id="466" w:name="_Toc24969"/>
      <w:bookmarkStart w:id="467" w:name="_Toc29291"/>
      <w:bookmarkStart w:id="468" w:name="_Toc26673"/>
      <w:bookmarkStart w:id="469" w:name="_Toc1713"/>
      <w:r>
        <w:rPr>
          <w:rFonts w:hint="eastAsia" w:ascii="仿宋" w:hAnsi="仿宋" w:eastAsia="仿宋" w:cs="仿宋"/>
          <w:b/>
          <w:bCs/>
          <w:sz w:val="32"/>
          <w:szCs w:val="22"/>
          <w:highlight w:val="none"/>
          <w:lang w:val="en-US" w:eastAsia="zh-CN"/>
        </w:rPr>
        <w:br w:type="page"/>
      </w:r>
    </w:p>
    <w:p>
      <w:pPr>
        <w:bidi w:val="0"/>
        <w:spacing w:before="315" w:beforeLines="100" w:beforeAutospacing="0" w:after="315" w:afterLines="100" w:afterAutospacing="0"/>
        <w:jc w:val="center"/>
        <w:rPr>
          <w:rFonts w:hint="eastAsia" w:ascii="仿宋" w:hAnsi="仿宋" w:eastAsia="仿宋" w:cs="仿宋"/>
          <w:b/>
          <w:bCs/>
          <w:sz w:val="32"/>
          <w:szCs w:val="22"/>
          <w:highlight w:val="none"/>
          <w:lang w:val="en-US" w:eastAsia="zh-CN"/>
        </w:rPr>
      </w:pPr>
      <w:r>
        <w:rPr>
          <w:rFonts w:hint="eastAsia" w:ascii="仿宋" w:hAnsi="仿宋" w:eastAsia="仿宋" w:cs="仿宋"/>
          <w:b/>
          <w:bCs/>
          <w:sz w:val="32"/>
          <w:szCs w:val="22"/>
          <w:highlight w:val="none"/>
          <w:lang w:val="en-US" w:eastAsia="zh-CN"/>
        </w:rPr>
        <w:t>承诺书（二）</w:t>
      </w:r>
      <w:bookmarkEnd w:id="463"/>
      <w:bookmarkEnd w:id="464"/>
      <w:bookmarkEnd w:id="465"/>
      <w:bookmarkEnd w:id="466"/>
      <w:bookmarkEnd w:id="467"/>
      <w:bookmarkEnd w:id="468"/>
      <w:bookmarkEnd w:id="469"/>
    </w:p>
    <w:tbl>
      <w:tblPr>
        <w:tblStyle w:val="27"/>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465"/>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118" w:type="dxa"/>
            <w:gridSpan w:val="3"/>
            <w:vAlign w:val="center"/>
          </w:tcPr>
          <w:p>
            <w:pPr>
              <w:shd w:val="clear"/>
              <w:spacing w:line="360" w:lineRule="auto"/>
              <w:rPr>
                <w:rFonts w:hint="eastAsia" w:ascii="仿宋" w:hAnsi="仿宋" w:eastAsia="仿宋" w:cs="仿宋"/>
                <w:color w:val="auto"/>
                <w:sz w:val="24"/>
                <w:szCs w:val="20"/>
                <w:highlight w:val="none"/>
                <w:lang w:eastAsia="zh-CN"/>
              </w:rPr>
            </w:pPr>
            <w:r>
              <w:rPr>
                <w:rFonts w:hint="eastAsia" w:ascii="仿宋" w:hAnsi="仿宋" w:eastAsia="仿宋" w:cs="仿宋"/>
                <w:color w:val="auto"/>
                <w:sz w:val="24"/>
                <w:szCs w:val="20"/>
                <w:highlight w:val="none"/>
              </w:rPr>
              <w:t>致：</w:t>
            </w:r>
            <w:r>
              <w:rPr>
                <w:rFonts w:hint="eastAsia" w:ascii="仿宋" w:hAnsi="仿宋" w:eastAsia="仿宋" w:cs="仿宋"/>
                <w:color w:val="auto"/>
                <w:sz w:val="24"/>
                <w:szCs w:val="20"/>
                <w:highlight w:val="none"/>
                <w:lang w:eastAsia="zh-CN"/>
              </w:rPr>
              <w:t>亿诚建设项目管理有限公司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9118" w:type="dxa"/>
            <w:gridSpan w:val="3"/>
            <w:vAlign w:val="center"/>
          </w:tcPr>
          <w:p>
            <w:pPr>
              <w:shd w:val="clea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作为参加贵公司组织的本次招标项目的供应商，本公司承诺：在参加本项目招标之前不存在被依法禁止经营行为、财产被接管或冻结的情况，如有隐瞒实情，愿承担一切责任及后果。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282"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供应商</w:t>
            </w:r>
          </w:p>
        </w:tc>
        <w:tc>
          <w:tcPr>
            <w:tcW w:w="3465"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法定代表人</w:t>
            </w:r>
          </w:p>
        </w:tc>
        <w:tc>
          <w:tcPr>
            <w:tcW w:w="2371"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3282"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（供应商名称）（公章）</w:t>
            </w:r>
          </w:p>
        </w:tc>
        <w:tc>
          <w:tcPr>
            <w:tcW w:w="3465"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（签字或盖章）</w:t>
            </w:r>
          </w:p>
        </w:tc>
        <w:tc>
          <w:tcPr>
            <w:tcW w:w="2371" w:type="dxa"/>
            <w:vAlign w:val="center"/>
          </w:tcPr>
          <w:p>
            <w:pPr>
              <w:shd w:val="clear"/>
              <w:spacing w:line="360" w:lineRule="auto"/>
              <w:ind w:firstLine="240" w:firstLineChars="100"/>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年  月  日</w:t>
            </w:r>
          </w:p>
        </w:tc>
      </w:tr>
    </w:tbl>
    <w:p>
      <w:pPr>
        <w:bidi w:val="0"/>
        <w:spacing w:before="315" w:beforeLines="100" w:beforeAutospacing="0" w:after="315" w:afterLines="100" w:afterAutospacing="0"/>
        <w:jc w:val="center"/>
        <w:rPr>
          <w:rFonts w:hint="eastAsia" w:ascii="仿宋" w:hAnsi="仿宋" w:eastAsia="仿宋" w:cs="仿宋"/>
          <w:b/>
          <w:bCs/>
          <w:sz w:val="32"/>
          <w:szCs w:val="22"/>
          <w:highlight w:val="none"/>
          <w:lang w:val="en-US" w:eastAsia="zh-CN"/>
        </w:rPr>
      </w:pPr>
      <w:bookmarkStart w:id="470" w:name="_Toc678"/>
      <w:bookmarkStart w:id="471" w:name="_Toc9733"/>
      <w:bookmarkStart w:id="472" w:name="_Toc2901"/>
      <w:bookmarkStart w:id="473" w:name="_Toc21023"/>
      <w:bookmarkStart w:id="474" w:name="_Toc9114"/>
      <w:bookmarkStart w:id="475" w:name="_Toc22805"/>
      <w:bookmarkStart w:id="476" w:name="_Toc3494"/>
      <w:r>
        <w:rPr>
          <w:rFonts w:hint="eastAsia" w:ascii="仿宋" w:hAnsi="仿宋" w:eastAsia="仿宋" w:cs="仿宋"/>
          <w:b/>
          <w:bCs/>
          <w:sz w:val="32"/>
          <w:szCs w:val="22"/>
          <w:highlight w:val="none"/>
          <w:lang w:val="en-US" w:eastAsia="zh-CN"/>
        </w:rPr>
        <w:t>承诺书（三）</w:t>
      </w:r>
      <w:bookmarkEnd w:id="470"/>
      <w:bookmarkEnd w:id="471"/>
      <w:bookmarkEnd w:id="472"/>
      <w:bookmarkEnd w:id="473"/>
      <w:bookmarkEnd w:id="474"/>
      <w:bookmarkEnd w:id="475"/>
      <w:bookmarkEnd w:id="476"/>
    </w:p>
    <w:tbl>
      <w:tblPr>
        <w:tblStyle w:val="27"/>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497"/>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202" w:type="dxa"/>
            <w:gridSpan w:val="3"/>
            <w:vAlign w:val="center"/>
          </w:tcPr>
          <w:p>
            <w:pPr>
              <w:shd w:val="clear"/>
              <w:spacing w:line="360" w:lineRule="auto"/>
              <w:rPr>
                <w:rFonts w:hint="eastAsia" w:ascii="仿宋" w:hAnsi="仿宋" w:eastAsia="仿宋" w:cs="仿宋"/>
                <w:color w:val="auto"/>
                <w:sz w:val="24"/>
                <w:szCs w:val="20"/>
                <w:highlight w:val="none"/>
                <w:lang w:eastAsia="zh-CN"/>
              </w:rPr>
            </w:pPr>
            <w:r>
              <w:rPr>
                <w:rFonts w:hint="eastAsia" w:ascii="仿宋" w:hAnsi="仿宋" w:eastAsia="仿宋" w:cs="仿宋"/>
                <w:color w:val="auto"/>
                <w:sz w:val="24"/>
                <w:szCs w:val="20"/>
                <w:highlight w:val="none"/>
              </w:rPr>
              <w:t>致：</w:t>
            </w:r>
            <w:r>
              <w:rPr>
                <w:rFonts w:hint="eastAsia" w:ascii="仿宋" w:hAnsi="仿宋" w:eastAsia="仿宋" w:cs="仿宋"/>
                <w:color w:val="auto"/>
                <w:sz w:val="24"/>
                <w:szCs w:val="20"/>
                <w:highlight w:val="none"/>
                <w:lang w:eastAsia="zh-CN"/>
              </w:rPr>
              <w:t>亿诚建设项目管理有限公司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202" w:type="dxa"/>
            <w:gridSpan w:val="3"/>
            <w:vAlign w:val="center"/>
          </w:tcPr>
          <w:p>
            <w:pPr>
              <w:shd w:val="clea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作为参加贵公司组织的本次招标项目的供应商，本公司郑重申告并承诺：近三年受到有关行政主管部门的行政处理、不良行为记录为</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313"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供应商</w:t>
            </w:r>
          </w:p>
        </w:tc>
        <w:tc>
          <w:tcPr>
            <w:tcW w:w="3497"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法定代表人</w:t>
            </w:r>
          </w:p>
        </w:tc>
        <w:tc>
          <w:tcPr>
            <w:tcW w:w="2392"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3313"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（供应商名称）（公章）</w:t>
            </w:r>
          </w:p>
        </w:tc>
        <w:tc>
          <w:tcPr>
            <w:tcW w:w="3497"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（签字或盖章）</w:t>
            </w:r>
          </w:p>
        </w:tc>
        <w:tc>
          <w:tcPr>
            <w:tcW w:w="2392" w:type="dxa"/>
            <w:vAlign w:val="center"/>
          </w:tcPr>
          <w:p>
            <w:pPr>
              <w:shd w:val="clear"/>
              <w:spacing w:line="360" w:lineRule="auto"/>
              <w:ind w:firstLine="240" w:firstLineChars="100"/>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年  月  日</w:t>
            </w:r>
          </w:p>
        </w:tc>
      </w:tr>
    </w:tbl>
    <w:p>
      <w:pPr>
        <w:shd w:val="clea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br w:type="page"/>
      </w:r>
    </w:p>
    <w:p>
      <w:pPr>
        <w:bidi w:val="0"/>
        <w:spacing w:before="315" w:beforeLines="100" w:beforeAutospacing="0" w:after="315" w:afterLines="100" w:afterAutospacing="0"/>
        <w:jc w:val="center"/>
        <w:rPr>
          <w:rFonts w:hint="eastAsia" w:ascii="仿宋" w:hAnsi="仿宋" w:eastAsia="仿宋" w:cs="仿宋"/>
          <w:b/>
          <w:color w:val="auto"/>
          <w:sz w:val="24"/>
          <w:szCs w:val="20"/>
          <w:highlight w:val="none"/>
        </w:rPr>
      </w:pPr>
      <w:bookmarkStart w:id="477" w:name="_Toc24273"/>
      <w:bookmarkStart w:id="478" w:name="_Toc12990"/>
      <w:bookmarkStart w:id="479" w:name="_Toc27234"/>
      <w:bookmarkStart w:id="480" w:name="_Toc23303"/>
      <w:bookmarkStart w:id="481" w:name="_Toc22104"/>
      <w:bookmarkStart w:id="482" w:name="_Toc18481"/>
      <w:bookmarkStart w:id="483" w:name="_Toc13124"/>
      <w:r>
        <w:rPr>
          <w:rFonts w:hint="eastAsia" w:ascii="仿宋" w:hAnsi="仿宋" w:eastAsia="仿宋" w:cs="仿宋"/>
          <w:b/>
          <w:bCs/>
          <w:sz w:val="32"/>
          <w:szCs w:val="22"/>
          <w:highlight w:val="none"/>
          <w:lang w:val="en-US" w:eastAsia="zh-CN"/>
        </w:rPr>
        <w:t>承诺书（四）</w:t>
      </w:r>
      <w:bookmarkEnd w:id="477"/>
      <w:bookmarkEnd w:id="478"/>
      <w:bookmarkEnd w:id="479"/>
      <w:bookmarkEnd w:id="480"/>
      <w:bookmarkEnd w:id="481"/>
      <w:bookmarkEnd w:id="482"/>
      <w:bookmarkEnd w:id="483"/>
    </w:p>
    <w:tbl>
      <w:tblPr>
        <w:tblStyle w:val="27"/>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3471"/>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135" w:type="dxa"/>
            <w:gridSpan w:val="3"/>
            <w:vAlign w:val="center"/>
          </w:tcPr>
          <w:p>
            <w:pPr>
              <w:shd w:val="clear"/>
              <w:spacing w:line="360" w:lineRule="auto"/>
              <w:rPr>
                <w:rFonts w:hint="eastAsia" w:ascii="仿宋" w:hAnsi="仿宋" w:eastAsia="仿宋" w:cs="仿宋"/>
                <w:color w:val="auto"/>
                <w:sz w:val="24"/>
                <w:szCs w:val="20"/>
                <w:highlight w:val="none"/>
                <w:lang w:eastAsia="zh-CN"/>
              </w:rPr>
            </w:pPr>
            <w:r>
              <w:rPr>
                <w:rFonts w:hint="eastAsia" w:ascii="仿宋" w:hAnsi="仿宋" w:eastAsia="仿宋" w:cs="仿宋"/>
                <w:color w:val="auto"/>
                <w:sz w:val="24"/>
                <w:szCs w:val="20"/>
                <w:highlight w:val="none"/>
              </w:rPr>
              <w:t>致：</w:t>
            </w:r>
            <w:r>
              <w:rPr>
                <w:rFonts w:hint="eastAsia" w:ascii="仿宋" w:hAnsi="仿宋" w:eastAsia="仿宋" w:cs="仿宋"/>
                <w:color w:val="auto"/>
                <w:sz w:val="24"/>
                <w:szCs w:val="20"/>
                <w:highlight w:val="none"/>
                <w:lang w:eastAsia="zh-CN"/>
              </w:rPr>
              <w:t>亿诚建设项目管理有限公司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9135" w:type="dxa"/>
            <w:gridSpan w:val="3"/>
            <w:vAlign w:val="center"/>
          </w:tcPr>
          <w:p>
            <w:pPr>
              <w:shd w:val="clea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作为参加贵公司组织的本次招标项目的供应商，本公司郑重申告：近三年因服务问题的不法行为记录为</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次（没有填零），如有隐瞒实情，愿承担一切责任及后果。</w:t>
            </w:r>
          </w:p>
          <w:p>
            <w:pPr>
              <w:shd w:val="clea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本公司承诺：本次招标标的物为正品行货。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288"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供应商</w:t>
            </w:r>
          </w:p>
        </w:tc>
        <w:tc>
          <w:tcPr>
            <w:tcW w:w="3471"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法定代表人</w:t>
            </w:r>
          </w:p>
        </w:tc>
        <w:tc>
          <w:tcPr>
            <w:tcW w:w="2376"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3288" w:type="dxa"/>
            <w:vAlign w:val="center"/>
          </w:tcPr>
          <w:p>
            <w:pPr>
              <w:shd w:val="clear"/>
              <w:spacing w:line="360" w:lineRule="auto"/>
              <w:ind w:left="-62" w:leftChars="-26" w:firstLine="52" w:firstLineChars="22"/>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（供应商名称）（公章）</w:t>
            </w:r>
          </w:p>
        </w:tc>
        <w:tc>
          <w:tcPr>
            <w:tcW w:w="3471"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（签字或盖章）</w:t>
            </w:r>
          </w:p>
        </w:tc>
        <w:tc>
          <w:tcPr>
            <w:tcW w:w="2376" w:type="dxa"/>
            <w:vAlign w:val="center"/>
          </w:tcPr>
          <w:p>
            <w:pPr>
              <w:shd w:val="clear"/>
              <w:spacing w:line="360" w:lineRule="auto"/>
              <w:ind w:firstLine="240" w:firstLineChars="100"/>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年  月  日</w:t>
            </w:r>
          </w:p>
        </w:tc>
      </w:tr>
    </w:tbl>
    <w:p>
      <w:pPr>
        <w:bidi w:val="0"/>
        <w:spacing w:before="315" w:beforeLines="100" w:beforeAutospacing="0" w:after="315" w:afterLines="100" w:afterAutospacing="0"/>
        <w:jc w:val="center"/>
        <w:rPr>
          <w:rFonts w:hint="eastAsia" w:ascii="仿宋" w:hAnsi="仿宋" w:eastAsia="仿宋" w:cs="仿宋"/>
          <w:b/>
          <w:bCs/>
          <w:sz w:val="32"/>
          <w:szCs w:val="22"/>
          <w:highlight w:val="none"/>
          <w:lang w:val="en-US" w:eastAsia="zh-CN"/>
        </w:rPr>
      </w:pPr>
      <w:bookmarkStart w:id="484" w:name="_Toc32559"/>
      <w:bookmarkStart w:id="485" w:name="_Toc7119"/>
      <w:bookmarkStart w:id="486" w:name="_Toc18425"/>
      <w:bookmarkStart w:id="487" w:name="_Toc26339"/>
      <w:bookmarkStart w:id="488" w:name="_Toc30478"/>
      <w:bookmarkStart w:id="489" w:name="_Toc16997"/>
      <w:bookmarkStart w:id="490" w:name="_Toc26506"/>
      <w:r>
        <w:rPr>
          <w:rFonts w:hint="eastAsia" w:ascii="仿宋" w:hAnsi="仿宋" w:eastAsia="仿宋" w:cs="仿宋"/>
          <w:b/>
          <w:bCs/>
          <w:sz w:val="32"/>
          <w:szCs w:val="22"/>
          <w:highlight w:val="none"/>
          <w:lang w:val="en-US" w:eastAsia="zh-CN"/>
        </w:rPr>
        <w:t>承诺书（五）</w:t>
      </w:r>
      <w:bookmarkEnd w:id="484"/>
      <w:bookmarkEnd w:id="485"/>
      <w:bookmarkEnd w:id="486"/>
      <w:bookmarkEnd w:id="487"/>
      <w:bookmarkEnd w:id="488"/>
      <w:bookmarkEnd w:id="489"/>
      <w:bookmarkEnd w:id="490"/>
    </w:p>
    <w:tbl>
      <w:tblPr>
        <w:tblStyle w:val="27"/>
        <w:tblpPr w:leftFromText="180" w:rightFromText="180" w:vertAnchor="text" w:horzAnchor="margin" w:tblpXSpec="center" w:tblpY="11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3524"/>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073" w:type="dxa"/>
            <w:gridSpan w:val="3"/>
            <w:vAlign w:val="center"/>
          </w:tcPr>
          <w:p>
            <w:pPr>
              <w:shd w:val="clear"/>
              <w:spacing w:line="360" w:lineRule="auto"/>
              <w:rPr>
                <w:rFonts w:hint="eastAsia" w:ascii="仿宋" w:hAnsi="仿宋" w:eastAsia="仿宋" w:cs="仿宋"/>
                <w:color w:val="auto"/>
                <w:sz w:val="24"/>
                <w:szCs w:val="20"/>
                <w:highlight w:val="none"/>
                <w:lang w:eastAsia="zh-CN"/>
              </w:rPr>
            </w:pPr>
            <w:r>
              <w:rPr>
                <w:rFonts w:hint="eastAsia" w:ascii="仿宋" w:hAnsi="仿宋" w:eastAsia="仿宋" w:cs="仿宋"/>
                <w:color w:val="auto"/>
                <w:sz w:val="24"/>
                <w:szCs w:val="20"/>
                <w:highlight w:val="none"/>
              </w:rPr>
              <w:t>致：</w:t>
            </w:r>
            <w:r>
              <w:rPr>
                <w:rFonts w:hint="eastAsia" w:ascii="仿宋" w:hAnsi="仿宋" w:eastAsia="仿宋" w:cs="仿宋"/>
                <w:color w:val="auto"/>
                <w:sz w:val="24"/>
                <w:szCs w:val="20"/>
                <w:highlight w:val="none"/>
                <w:lang w:eastAsia="zh-CN"/>
              </w:rPr>
              <w:t>亿诚建设项目管理有限公司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9073" w:type="dxa"/>
            <w:gridSpan w:val="3"/>
            <w:vAlign w:val="center"/>
          </w:tcPr>
          <w:p>
            <w:pPr>
              <w:shd w:val="clea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作为参加贵公司组织的本次招标项目的供应商，本公司承诺：参加本次招标提交的所有资质证明文件及业绩证明文件是真实的、有效的，如有隐瞒实情，愿承担一切责任及后果。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788"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供应商</w:t>
            </w:r>
          </w:p>
        </w:tc>
        <w:tc>
          <w:tcPr>
            <w:tcW w:w="3524"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法定代表人</w:t>
            </w:r>
          </w:p>
        </w:tc>
        <w:tc>
          <w:tcPr>
            <w:tcW w:w="2761"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2788"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（供应商名称）（公章）</w:t>
            </w:r>
          </w:p>
        </w:tc>
        <w:tc>
          <w:tcPr>
            <w:tcW w:w="3524" w:type="dxa"/>
            <w:vAlign w:val="center"/>
          </w:tcPr>
          <w:p>
            <w:pPr>
              <w:shd w:val="clear"/>
              <w:spacing w:line="360" w:lineRule="auto"/>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（签字或盖章）</w:t>
            </w:r>
          </w:p>
        </w:tc>
        <w:tc>
          <w:tcPr>
            <w:tcW w:w="2761" w:type="dxa"/>
            <w:vAlign w:val="center"/>
          </w:tcPr>
          <w:p>
            <w:pPr>
              <w:shd w:val="clear"/>
              <w:spacing w:line="360" w:lineRule="auto"/>
              <w:ind w:firstLine="240" w:firstLineChars="100"/>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年  月  日</w:t>
            </w:r>
          </w:p>
        </w:tc>
      </w:tr>
    </w:tbl>
    <w:p>
      <w:pPr>
        <w:rPr>
          <w:rStyle w:val="78"/>
          <w:rFonts w:hint="eastAsia" w:ascii="仿宋" w:hAnsi="仿宋" w:eastAsia="仿宋" w:cs="仿宋"/>
          <w:color w:val="auto"/>
          <w:highlight w:val="none"/>
          <w:lang w:val="en-US" w:eastAsia="zh-CN"/>
        </w:rPr>
      </w:pPr>
      <w:bookmarkStart w:id="491" w:name="_Toc12070"/>
      <w:bookmarkStart w:id="492" w:name="_Toc11997"/>
      <w:bookmarkStart w:id="493" w:name="_Toc24960"/>
      <w:bookmarkStart w:id="494" w:name="_Toc31021"/>
    </w:p>
    <w:p>
      <w:pPr>
        <w:rPr>
          <w:rFonts w:hint="eastAsia"/>
          <w:highlight w:val="none"/>
          <w:lang w:val="en-US" w:eastAsia="zh-CN"/>
        </w:rPr>
      </w:pPr>
      <w:r>
        <w:rPr>
          <w:rFonts w:hint="eastAsia"/>
          <w:highlight w:val="none"/>
          <w:lang w:val="en-US" w:eastAsia="zh-CN"/>
        </w:rPr>
        <w:br w:type="page"/>
      </w:r>
    </w:p>
    <w:p>
      <w:pPr>
        <w:pStyle w:val="3"/>
        <w:bidi w:val="0"/>
        <w:jc w:val="center"/>
        <w:rPr>
          <w:rFonts w:hint="eastAsia"/>
          <w:highlight w:val="none"/>
          <w:lang w:val="en-US" w:eastAsia="zh-CN"/>
        </w:rPr>
      </w:pPr>
      <w:bookmarkStart w:id="495" w:name="_Toc15119"/>
      <w:r>
        <w:rPr>
          <w:rFonts w:hint="eastAsia"/>
          <w:highlight w:val="none"/>
          <w:lang w:val="en-US" w:eastAsia="zh-CN"/>
        </w:rPr>
        <w:t>八、响应偏离表</w:t>
      </w:r>
      <w:bookmarkEnd w:id="433"/>
      <w:bookmarkEnd w:id="491"/>
      <w:bookmarkEnd w:id="492"/>
      <w:bookmarkEnd w:id="493"/>
      <w:bookmarkEnd w:id="494"/>
      <w:bookmarkEnd w:id="495"/>
    </w:p>
    <w:p>
      <w:pPr>
        <w:pStyle w:val="5"/>
        <w:bidi w:val="0"/>
        <w:rPr>
          <w:rFonts w:hint="eastAsia" w:ascii="仿宋" w:hAnsi="仿宋" w:eastAsia="仿宋" w:cs="仿宋"/>
          <w:highlight w:val="none"/>
        </w:rPr>
      </w:pPr>
      <w:bookmarkStart w:id="496" w:name="_Toc6742"/>
      <w:bookmarkStart w:id="497" w:name="_Toc17695"/>
      <w:bookmarkStart w:id="498" w:name="_Toc25231"/>
      <w:bookmarkStart w:id="499" w:name="_Toc5351"/>
      <w:bookmarkStart w:id="500" w:name="_Toc22056"/>
      <w:bookmarkStart w:id="501" w:name="_Toc23522"/>
      <w:bookmarkStart w:id="502" w:name="_Toc16393"/>
      <w:r>
        <w:rPr>
          <w:rFonts w:hint="eastAsia" w:ascii="仿宋" w:hAnsi="仿宋" w:eastAsia="仿宋" w:cs="仿宋"/>
          <w:highlight w:val="none"/>
        </w:rPr>
        <w:t>（</w:t>
      </w:r>
      <w:r>
        <w:rPr>
          <w:rFonts w:hint="eastAsia" w:ascii="仿宋" w:hAnsi="仿宋" w:eastAsia="仿宋" w:cs="仿宋"/>
          <w:highlight w:val="none"/>
          <w:lang w:val="en-US" w:eastAsia="zh-CN"/>
        </w:rPr>
        <w:t>一</w:t>
      </w:r>
      <w:r>
        <w:rPr>
          <w:rFonts w:hint="eastAsia" w:ascii="仿宋" w:hAnsi="仿宋" w:eastAsia="仿宋" w:cs="仿宋"/>
          <w:highlight w:val="none"/>
        </w:rPr>
        <w:t>）技术偏离表</w:t>
      </w:r>
      <w:bookmarkEnd w:id="496"/>
      <w:bookmarkEnd w:id="497"/>
      <w:bookmarkEnd w:id="498"/>
      <w:bookmarkEnd w:id="499"/>
      <w:bookmarkEnd w:id="500"/>
      <w:bookmarkEnd w:id="501"/>
      <w:bookmarkEnd w:id="502"/>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2877"/>
        <w:gridCol w:w="2807"/>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44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章节及条款号</w:t>
            </w:r>
          </w:p>
        </w:tc>
        <w:tc>
          <w:tcPr>
            <w:tcW w:w="141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文件章节及条款号</w:t>
            </w:r>
          </w:p>
        </w:tc>
        <w:tc>
          <w:tcPr>
            <w:tcW w:w="1044"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4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44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44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w:t>
            </w: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仿宋" w:hAnsi="仿宋" w:eastAsia="仿宋" w:cs="仿宋"/>
                <w:b/>
                <w:color w:val="auto"/>
                <w:sz w:val="24"/>
                <w:szCs w:val="24"/>
                <w:highlight w:val="none"/>
              </w:rPr>
            </w:pPr>
          </w:p>
        </w:tc>
      </w:tr>
    </w:tbl>
    <w:p>
      <w:pPr>
        <w:widowControl/>
        <w:shd w:val="clear" w:color="auto" w:fill="auto"/>
        <w:spacing w:line="240" w:lineRule="auto"/>
        <w:ind w:firstLine="0" w:firstLineChars="0"/>
        <w:rPr>
          <w:rFonts w:hint="eastAsia" w:ascii="仿宋" w:hAnsi="仿宋" w:eastAsia="仿宋" w:cs="仿宋"/>
          <w:color w:val="auto"/>
          <w:kern w:val="0"/>
          <w:sz w:val="24"/>
          <w:szCs w:val="24"/>
          <w:highlight w:val="none"/>
          <w:lang w:eastAsia="zh-CN"/>
        </w:rPr>
      </w:pPr>
    </w:p>
    <w:p>
      <w:pPr>
        <w:widowControl/>
        <w:shd w:val="clear" w:color="auto" w:fill="auto"/>
        <w:spacing w:line="240" w:lineRule="auto"/>
        <w:ind w:firstLine="480" w:firstLineChars="200"/>
        <w:rPr>
          <w:rFonts w:hint="eastAsia" w:ascii="仿宋" w:hAnsi="仿宋" w:eastAsia="仿宋" w:cs="仿宋"/>
          <w:color w:val="auto"/>
          <w:spacing w:val="0"/>
          <w:kern w:val="0"/>
          <w:sz w:val="24"/>
          <w:szCs w:val="24"/>
          <w:highlight w:val="none"/>
        </w:rPr>
      </w:pPr>
      <w:r>
        <w:rPr>
          <w:rFonts w:hint="eastAsia" w:ascii="仿宋" w:hAnsi="仿宋" w:eastAsia="仿宋" w:cs="仿宋"/>
          <w:color w:val="auto"/>
          <w:kern w:val="0"/>
          <w:sz w:val="24"/>
          <w:szCs w:val="24"/>
          <w:highlight w:val="none"/>
          <w:lang w:val="en-US" w:eastAsia="zh-CN"/>
        </w:rPr>
        <w:t>供应商</w:t>
      </w:r>
      <w:r>
        <w:rPr>
          <w:rFonts w:hint="eastAsia" w:ascii="仿宋" w:hAnsi="仿宋" w:eastAsia="仿宋" w:cs="仿宋"/>
          <w:color w:val="auto"/>
          <w:kern w:val="0"/>
          <w:sz w:val="24"/>
          <w:szCs w:val="24"/>
          <w:highlight w:val="none"/>
        </w:rPr>
        <w:t>保证：除技术偏差表列出的偏差外，</w:t>
      </w:r>
      <w:r>
        <w:rPr>
          <w:rFonts w:hint="eastAsia" w:ascii="仿宋" w:hAnsi="仿宋" w:eastAsia="仿宋" w:cs="仿宋"/>
          <w:color w:val="auto"/>
          <w:kern w:val="0"/>
          <w:sz w:val="24"/>
          <w:szCs w:val="24"/>
          <w:highlight w:val="none"/>
          <w:lang w:val="en-US" w:eastAsia="zh-CN"/>
        </w:rPr>
        <w:t>供应商响应竞争性磋商</w:t>
      </w:r>
      <w:r>
        <w:rPr>
          <w:rFonts w:hint="eastAsia" w:ascii="仿宋" w:hAnsi="仿宋" w:eastAsia="仿宋" w:cs="仿宋"/>
          <w:color w:val="auto"/>
          <w:kern w:val="0"/>
          <w:sz w:val="24"/>
          <w:szCs w:val="24"/>
          <w:highlight w:val="none"/>
          <w:lang w:eastAsia="zh-CN"/>
        </w:rPr>
        <w:t>文件</w:t>
      </w:r>
      <w:r>
        <w:rPr>
          <w:rFonts w:hint="eastAsia" w:ascii="仿宋" w:hAnsi="仿宋" w:eastAsia="仿宋" w:cs="仿宋"/>
          <w:color w:val="auto"/>
          <w:kern w:val="0"/>
          <w:sz w:val="24"/>
          <w:szCs w:val="24"/>
          <w:highlight w:val="none"/>
        </w:rPr>
        <w:t>的全部要求。如未填写此表，则视为无偏离。</w:t>
      </w:r>
    </w:p>
    <w:p>
      <w:pPr>
        <w:shd w:val="clear"/>
        <w:spacing w:line="480" w:lineRule="exact"/>
        <w:ind w:left="240" w:leftChars="100" w:firstLine="3360" w:firstLineChars="140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lang w:val="zh-CN"/>
        </w:rPr>
        <w:t>法定代表人或被授权人（签字或盖章）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u w:val="single"/>
        </w:rPr>
        <w:t xml:space="preserve">   </w:t>
      </w:r>
    </w:p>
    <w:p>
      <w:pPr>
        <w:shd w:val="clear"/>
        <w:spacing w:line="480" w:lineRule="exact"/>
        <w:ind w:left="240" w:leftChars="100" w:firstLine="3360" w:firstLineChars="1400"/>
        <w:rPr>
          <w:rFonts w:hint="eastAsia" w:ascii="仿宋" w:hAnsi="仿宋" w:eastAsia="仿宋" w:cs="仿宋"/>
          <w:color w:val="auto"/>
          <w:szCs w:val="24"/>
          <w:highlight w:val="none"/>
        </w:rPr>
      </w:pPr>
      <w:r>
        <w:rPr>
          <w:rFonts w:hint="eastAsia" w:ascii="仿宋" w:hAnsi="仿宋" w:eastAsia="仿宋" w:cs="仿宋"/>
          <w:color w:val="auto"/>
          <w:sz w:val="24"/>
          <w:szCs w:val="24"/>
          <w:highlight w:val="none"/>
          <w:lang w:eastAsia="zh-CN"/>
        </w:rPr>
        <w:t>供应商名称（</w:t>
      </w: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highlight w:val="none"/>
          <w:u w:val="single"/>
        </w:rPr>
        <w:t>        </w:t>
      </w:r>
      <w:r>
        <w:rPr>
          <w:rFonts w:hint="eastAsia" w:ascii="仿宋" w:hAnsi="仿宋" w:eastAsia="仿宋" w:cs="仿宋"/>
          <w:color w:val="auto"/>
          <w:szCs w:val="24"/>
          <w:highlight w:val="none"/>
        </w:rPr>
        <w:t xml:space="preserve">  </w:t>
      </w:r>
    </w:p>
    <w:p>
      <w:pPr>
        <w:shd w:val="clear"/>
        <w:spacing w:line="480" w:lineRule="exact"/>
        <w:ind w:left="240" w:leftChars="100" w:firstLine="3360" w:firstLineChars="1400"/>
        <w:rPr>
          <w:rFonts w:hint="eastAsia" w:ascii="仿宋" w:hAnsi="仿宋" w:eastAsia="仿宋" w:cs="仿宋"/>
          <w:color w:val="auto"/>
          <w:highlight w:val="none"/>
          <w:u w:val="single"/>
        </w:rPr>
      </w:pPr>
      <w:r>
        <w:rPr>
          <w:rFonts w:hint="eastAsia" w:ascii="仿宋" w:hAnsi="仿宋" w:eastAsia="仿宋" w:cs="仿宋"/>
          <w:color w:val="auto"/>
          <w:szCs w:val="24"/>
          <w:highlight w:val="none"/>
        </w:rPr>
        <w:t>日 期：</w:t>
      </w: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u w:val="single"/>
        </w:rPr>
      </w:pPr>
      <w:r>
        <w:rPr>
          <w:rFonts w:hint="eastAsia" w:ascii="仿宋" w:hAnsi="仿宋" w:eastAsia="仿宋" w:cs="仿宋"/>
          <w:color w:val="auto"/>
          <w:highlight w:val="none"/>
          <w:u w:val="single"/>
        </w:rPr>
        <w:br w:type="page"/>
      </w:r>
    </w:p>
    <w:p>
      <w:pPr>
        <w:pStyle w:val="5"/>
        <w:bidi w:val="0"/>
        <w:rPr>
          <w:rFonts w:hint="eastAsia" w:ascii="仿宋" w:hAnsi="仿宋" w:eastAsia="仿宋" w:cs="仿宋"/>
          <w:highlight w:val="none"/>
        </w:rPr>
      </w:pPr>
      <w:bookmarkStart w:id="503" w:name="_Toc18052"/>
      <w:bookmarkStart w:id="504" w:name="_Toc12703"/>
      <w:r>
        <w:rPr>
          <w:rFonts w:hint="eastAsia" w:ascii="仿宋" w:hAnsi="仿宋" w:eastAsia="仿宋" w:cs="仿宋"/>
          <w:highlight w:val="none"/>
          <w:lang w:eastAsia="zh-CN"/>
        </w:rPr>
        <w:t>（</w:t>
      </w:r>
      <w:r>
        <w:rPr>
          <w:rFonts w:hint="eastAsia" w:ascii="仿宋" w:hAnsi="仿宋" w:eastAsia="仿宋" w:cs="仿宋"/>
          <w:highlight w:val="none"/>
          <w:lang w:val="en-US" w:eastAsia="zh-CN"/>
        </w:rPr>
        <w:t>二</w:t>
      </w:r>
      <w:r>
        <w:rPr>
          <w:rFonts w:hint="eastAsia" w:ascii="仿宋" w:hAnsi="仿宋" w:eastAsia="仿宋" w:cs="仿宋"/>
          <w:highlight w:val="none"/>
          <w:lang w:eastAsia="zh-CN"/>
        </w:rPr>
        <w:t>）</w:t>
      </w:r>
      <w:r>
        <w:rPr>
          <w:rFonts w:hint="eastAsia" w:ascii="仿宋" w:hAnsi="仿宋" w:eastAsia="仿宋" w:cs="仿宋"/>
          <w:highlight w:val="none"/>
        </w:rPr>
        <w:t>商务偏离表</w:t>
      </w:r>
      <w:bookmarkEnd w:id="503"/>
      <w:bookmarkEnd w:id="504"/>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3001"/>
        <w:gridCol w:w="3196"/>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507"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章节及条款号</w:t>
            </w:r>
          </w:p>
        </w:tc>
        <w:tc>
          <w:tcPr>
            <w:tcW w:w="160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文件章节及条款号</w:t>
            </w: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507"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60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507"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60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507"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60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507"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60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507"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60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507"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60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507"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60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507"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60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507"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60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507"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60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507"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60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507"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605"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仿宋" w:hAnsi="仿宋" w:eastAsia="仿宋" w:cs="仿宋"/>
                <w:color w:val="auto"/>
                <w:sz w:val="24"/>
                <w:szCs w:val="24"/>
                <w:highlight w:val="none"/>
              </w:rPr>
            </w:pPr>
          </w:p>
        </w:tc>
      </w:tr>
    </w:tbl>
    <w:p>
      <w:pPr>
        <w:widowControl/>
        <w:shd w:val="clear" w:color="auto" w:fill="auto"/>
        <w:spacing w:line="480" w:lineRule="auto"/>
        <w:ind w:firstLine="210"/>
        <w:rPr>
          <w:rFonts w:hint="eastAsia" w:ascii="仿宋" w:hAnsi="仿宋" w:eastAsia="仿宋" w:cs="仿宋"/>
          <w:color w:val="auto"/>
          <w:kern w:val="0"/>
          <w:sz w:val="24"/>
          <w:szCs w:val="24"/>
          <w:highlight w:val="none"/>
          <w:lang w:eastAsia="zh-CN"/>
        </w:rPr>
      </w:pPr>
    </w:p>
    <w:p>
      <w:pPr>
        <w:widowControl/>
        <w:shd w:val="clear" w:color="auto" w:fill="auto"/>
        <w:spacing w:line="480" w:lineRule="auto"/>
        <w:ind w:firstLine="21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供应商</w:t>
      </w:r>
      <w:r>
        <w:rPr>
          <w:rFonts w:hint="eastAsia" w:ascii="仿宋" w:hAnsi="仿宋" w:eastAsia="仿宋" w:cs="仿宋"/>
          <w:color w:val="auto"/>
          <w:kern w:val="0"/>
          <w:sz w:val="24"/>
          <w:szCs w:val="24"/>
          <w:highlight w:val="none"/>
        </w:rPr>
        <w:t>保证：除商务偏差表列出的偏差外，</w:t>
      </w:r>
      <w:r>
        <w:rPr>
          <w:rFonts w:hint="eastAsia" w:ascii="仿宋" w:hAnsi="仿宋" w:eastAsia="仿宋" w:cs="仿宋"/>
          <w:color w:val="auto"/>
          <w:kern w:val="0"/>
          <w:sz w:val="24"/>
          <w:szCs w:val="24"/>
          <w:highlight w:val="none"/>
          <w:lang w:val="en-US" w:eastAsia="zh-CN"/>
        </w:rPr>
        <w:t>供应商响应竞争性磋商</w:t>
      </w:r>
      <w:r>
        <w:rPr>
          <w:rFonts w:hint="eastAsia" w:ascii="仿宋" w:hAnsi="仿宋" w:eastAsia="仿宋" w:cs="仿宋"/>
          <w:color w:val="auto"/>
          <w:kern w:val="0"/>
          <w:sz w:val="24"/>
          <w:szCs w:val="24"/>
          <w:highlight w:val="none"/>
          <w:lang w:eastAsia="zh-CN"/>
        </w:rPr>
        <w:t>文件</w:t>
      </w:r>
      <w:r>
        <w:rPr>
          <w:rFonts w:hint="eastAsia" w:ascii="仿宋" w:hAnsi="仿宋" w:eastAsia="仿宋" w:cs="仿宋"/>
          <w:color w:val="auto"/>
          <w:kern w:val="0"/>
          <w:sz w:val="24"/>
          <w:szCs w:val="24"/>
          <w:highlight w:val="none"/>
        </w:rPr>
        <w:t>的全部要求。如未填写此表，则视为无偏离。</w:t>
      </w:r>
    </w:p>
    <w:p>
      <w:pPr>
        <w:shd w:val="clear"/>
        <w:spacing w:line="480" w:lineRule="exact"/>
        <w:ind w:left="240" w:leftChars="100" w:firstLine="3360" w:firstLineChars="1400"/>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lang w:val="zh-CN"/>
        </w:rPr>
        <w:t>法定代表人或被授权人（签字或盖章）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p>
    <w:p>
      <w:pPr>
        <w:shd w:val="clear"/>
        <w:spacing w:line="480" w:lineRule="exact"/>
        <w:ind w:left="240" w:leftChars="100" w:firstLine="3360" w:firstLineChars="1400"/>
        <w:rPr>
          <w:rFonts w:hint="eastAsia" w:ascii="仿宋" w:hAnsi="仿宋" w:eastAsia="仿宋" w:cs="仿宋"/>
          <w:color w:val="auto"/>
          <w:szCs w:val="24"/>
          <w:highlight w:val="none"/>
        </w:rPr>
      </w:pPr>
      <w:r>
        <w:rPr>
          <w:rFonts w:hint="eastAsia" w:ascii="仿宋" w:hAnsi="仿宋" w:eastAsia="仿宋" w:cs="仿宋"/>
          <w:color w:val="auto"/>
          <w:sz w:val="24"/>
          <w:szCs w:val="24"/>
          <w:highlight w:val="none"/>
          <w:lang w:eastAsia="zh-CN"/>
        </w:rPr>
        <w:t>供应商名称（</w:t>
      </w: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highlight w:val="none"/>
          <w:u w:val="single"/>
        </w:rPr>
        <w:t>        </w:t>
      </w:r>
      <w:r>
        <w:rPr>
          <w:rFonts w:hint="eastAsia" w:ascii="仿宋" w:hAnsi="仿宋" w:eastAsia="仿宋" w:cs="仿宋"/>
          <w:color w:val="auto"/>
          <w:szCs w:val="24"/>
          <w:highlight w:val="none"/>
        </w:rPr>
        <w:t xml:space="preserve">  </w:t>
      </w:r>
    </w:p>
    <w:p>
      <w:pPr>
        <w:shd w:val="clear"/>
        <w:spacing w:line="480" w:lineRule="exact"/>
        <w:ind w:left="240" w:leftChars="100" w:firstLine="3360" w:firstLineChars="1400"/>
        <w:rPr>
          <w:rFonts w:hint="eastAsia" w:ascii="仿宋" w:hAnsi="仿宋" w:eastAsia="仿宋" w:cs="仿宋"/>
          <w:color w:val="auto"/>
          <w:highlight w:val="none"/>
          <w:u w:val="single"/>
        </w:rPr>
      </w:pPr>
      <w:r>
        <w:rPr>
          <w:rFonts w:hint="eastAsia" w:ascii="仿宋" w:hAnsi="仿宋" w:eastAsia="仿宋" w:cs="仿宋"/>
          <w:color w:val="auto"/>
          <w:szCs w:val="24"/>
          <w:highlight w:val="none"/>
        </w:rPr>
        <w:t>日 期：</w:t>
      </w:r>
      <w:r>
        <w:rPr>
          <w:rFonts w:hint="eastAsia" w:ascii="仿宋" w:hAnsi="仿宋" w:eastAsia="仿宋" w:cs="仿宋"/>
          <w:color w:val="auto"/>
          <w:highlight w:val="none"/>
          <w:u w:val="single"/>
        </w:rPr>
        <w:t xml:space="preserve">            </w:t>
      </w:r>
    </w:p>
    <w:p>
      <w:pPr>
        <w:pStyle w:val="10"/>
        <w:rPr>
          <w:rFonts w:hint="eastAsia"/>
          <w:b/>
          <w:bCs/>
          <w:highlight w:val="none"/>
        </w:rPr>
      </w:pPr>
    </w:p>
    <w:bookmarkEnd w:id="434"/>
    <w:bookmarkEnd w:id="435"/>
    <w:bookmarkEnd w:id="436"/>
    <w:bookmarkEnd w:id="437"/>
    <w:bookmarkEnd w:id="438"/>
    <w:bookmarkEnd w:id="439"/>
    <w:bookmarkEnd w:id="440"/>
    <w:bookmarkEnd w:id="441"/>
    <w:bookmarkEnd w:id="442"/>
    <w:bookmarkEnd w:id="443"/>
    <w:bookmarkEnd w:id="444"/>
    <w:bookmarkEnd w:id="445"/>
    <w:p>
      <w:pPr>
        <w:rPr>
          <w:rFonts w:hint="eastAsia" w:ascii="仿宋" w:hAnsi="仿宋" w:eastAsia="仿宋" w:cs="仿宋"/>
          <w:color w:val="auto"/>
          <w:highlight w:val="none"/>
        </w:rPr>
      </w:pPr>
      <w:bookmarkStart w:id="505" w:name="_Toc4163"/>
      <w:r>
        <w:rPr>
          <w:rFonts w:hint="eastAsia" w:ascii="仿宋" w:hAnsi="仿宋" w:eastAsia="仿宋" w:cs="仿宋"/>
          <w:color w:val="auto"/>
          <w:highlight w:val="none"/>
        </w:rPr>
        <w:br w:type="page"/>
      </w:r>
    </w:p>
    <w:p>
      <w:pPr>
        <w:pStyle w:val="3"/>
        <w:bidi w:val="0"/>
        <w:jc w:val="center"/>
        <w:rPr>
          <w:rFonts w:hint="eastAsia" w:ascii="仿宋" w:hAnsi="仿宋" w:eastAsia="仿宋" w:cs="仿宋"/>
          <w:highlight w:val="none"/>
          <w:lang w:val="en-US" w:eastAsia="zh-CN"/>
        </w:rPr>
      </w:pPr>
      <w:bookmarkStart w:id="506" w:name="_Toc8570"/>
      <w:bookmarkStart w:id="507" w:name="_Toc11780"/>
      <w:r>
        <w:rPr>
          <w:rFonts w:hint="eastAsia" w:ascii="仿宋" w:hAnsi="仿宋" w:eastAsia="仿宋" w:cs="仿宋"/>
          <w:highlight w:val="none"/>
          <w:lang w:val="en-US" w:eastAsia="zh-CN"/>
        </w:rPr>
        <w:t>九、</w:t>
      </w:r>
      <w:bookmarkEnd w:id="506"/>
      <w:bookmarkStart w:id="508" w:name="_Toc27810"/>
      <w:bookmarkStart w:id="509" w:name="_Toc6481"/>
      <w:bookmarkStart w:id="510" w:name="_Toc276"/>
      <w:bookmarkStart w:id="511" w:name="_Toc31503"/>
      <w:bookmarkStart w:id="512" w:name="_Toc6671"/>
      <w:bookmarkStart w:id="513" w:name="_Toc17648"/>
      <w:r>
        <w:rPr>
          <w:rFonts w:hint="eastAsia" w:ascii="仿宋" w:hAnsi="仿宋" w:eastAsia="仿宋" w:cs="仿宋"/>
          <w:highlight w:val="none"/>
          <w:lang w:val="en-US" w:eastAsia="zh-CN"/>
        </w:rPr>
        <w:t>投标响应方案</w:t>
      </w:r>
      <w:bookmarkEnd w:id="507"/>
      <w:bookmarkEnd w:id="508"/>
      <w:bookmarkEnd w:id="509"/>
      <w:bookmarkEnd w:id="510"/>
      <w:bookmarkEnd w:id="511"/>
      <w:bookmarkEnd w:id="512"/>
      <w:bookmarkEnd w:id="513"/>
    </w:p>
    <w:p>
      <w:pPr>
        <w:bidi w:val="0"/>
        <w:jc w:val="center"/>
        <w:rPr>
          <w:rFonts w:hint="eastAsia" w:ascii="仿宋" w:hAnsi="仿宋" w:eastAsia="仿宋" w:cs="仿宋"/>
          <w:b/>
          <w:bCs/>
          <w:sz w:val="28"/>
          <w:szCs w:val="28"/>
          <w:highlight w:val="none"/>
          <w:lang w:val="en-US" w:eastAsia="zh-CN"/>
        </w:rPr>
      </w:pPr>
      <w:bookmarkStart w:id="514" w:name="_Toc21499"/>
      <w:bookmarkStart w:id="515" w:name="_Toc25301"/>
      <w:bookmarkStart w:id="516" w:name="_Toc29430"/>
      <w:bookmarkStart w:id="517" w:name="_Toc607"/>
      <w:bookmarkStart w:id="518" w:name="_Toc29"/>
      <w:bookmarkStart w:id="519" w:name="_Toc16244"/>
      <w:bookmarkStart w:id="520" w:name="_Toc12847"/>
      <w:bookmarkStart w:id="521" w:name="_Toc24023"/>
      <w:r>
        <w:rPr>
          <w:rFonts w:hint="eastAsia" w:ascii="仿宋" w:hAnsi="仿宋" w:eastAsia="仿宋" w:cs="仿宋"/>
          <w:b/>
          <w:bCs/>
          <w:sz w:val="28"/>
          <w:szCs w:val="28"/>
          <w:highlight w:val="none"/>
          <w:lang w:val="en-US" w:eastAsia="zh-CN"/>
        </w:rPr>
        <w:t>供应商性质及其概况</w:t>
      </w:r>
      <w:bookmarkEnd w:id="514"/>
      <w:bookmarkEnd w:id="515"/>
      <w:bookmarkEnd w:id="516"/>
      <w:bookmarkEnd w:id="517"/>
      <w:bookmarkEnd w:id="518"/>
      <w:bookmarkEnd w:id="519"/>
      <w:bookmarkEnd w:id="520"/>
      <w:bookmarkEnd w:id="521"/>
    </w:p>
    <w:p>
      <w:pPr>
        <w:widowControl/>
        <w:spacing w:before="156" w:beforeLines="50" w:line="5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（一）供应商基本信息</w:t>
      </w:r>
    </w:p>
    <w:p>
      <w:pPr>
        <w:widowControl/>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如设立时间、隶属关系、经营范围、资质等级及单位人员情况。</w:t>
      </w:r>
    </w:p>
    <w:p>
      <w:pPr>
        <w:widowControl/>
        <w:spacing w:before="156" w:beforeLines="50" w:line="5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（二）供应商性质</w:t>
      </w:r>
    </w:p>
    <w:p>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color w:val="auto"/>
          <w:kern w:val="2"/>
          <w:sz w:val="24"/>
          <w:szCs w:val="24"/>
          <w:highlight w:val="none"/>
          <w:lang w:val="en-US" w:eastAsia="zh-CN" w:bidi="zh-TW"/>
        </w:rPr>
      </w:pPr>
      <w:r>
        <w:rPr>
          <w:rFonts w:hint="eastAsia" w:ascii="仿宋" w:hAnsi="仿宋" w:eastAsia="仿宋" w:cs="仿宋"/>
          <w:color w:val="auto"/>
          <w:kern w:val="2"/>
          <w:sz w:val="24"/>
          <w:szCs w:val="24"/>
          <w:highlight w:val="none"/>
          <w:lang w:val="en-US" w:eastAsia="zh-CN" w:bidi="zh-TW"/>
        </w:rPr>
        <w:t>1、供应商为小微企业或残疾人福利性单位的，应按下文给定格式填写声明函。未提供或未按给定格式提供声明函的，将不能享受投标文件规定的价格优惠政策，但不影响响应文件的有效性。</w:t>
      </w:r>
    </w:p>
    <w:p>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color w:val="auto"/>
          <w:kern w:val="2"/>
          <w:sz w:val="24"/>
          <w:szCs w:val="24"/>
          <w:highlight w:val="none"/>
          <w:lang w:val="en-US" w:eastAsia="zh-CN" w:bidi="zh-TW"/>
        </w:rPr>
      </w:pPr>
      <w:r>
        <w:rPr>
          <w:rFonts w:hint="eastAsia" w:ascii="仿宋" w:hAnsi="仿宋" w:eastAsia="仿宋" w:cs="仿宋"/>
          <w:color w:val="auto"/>
          <w:kern w:val="2"/>
          <w:sz w:val="24"/>
          <w:szCs w:val="24"/>
          <w:highlight w:val="none"/>
          <w:lang w:val="en-US" w:eastAsia="zh-CN" w:bidi="zh-TW"/>
        </w:rPr>
        <w:t>2、供应商为监狱企业的，应当提供由省级以上监狱管理局、戒毒管理局（含新疆生产建设兵团）出具的属于监狱企业的证明函（格式不限定）。未提供证明函的，将不能享受投标文件规定的价格优惠政策，但不影响响应文件的有效性。</w:t>
      </w:r>
    </w:p>
    <w:p>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color w:val="auto"/>
          <w:kern w:val="2"/>
          <w:sz w:val="24"/>
          <w:szCs w:val="24"/>
          <w:highlight w:val="none"/>
          <w:lang w:val="en-US" w:eastAsia="zh-CN" w:bidi="zh-TW"/>
        </w:rPr>
      </w:pPr>
    </w:p>
    <w:p>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color w:val="auto"/>
          <w:kern w:val="2"/>
          <w:sz w:val="24"/>
          <w:szCs w:val="24"/>
          <w:highlight w:val="none"/>
          <w:lang w:val="en-US" w:eastAsia="zh-CN" w:bidi="zh-TW"/>
        </w:rPr>
      </w:pPr>
      <w:r>
        <w:rPr>
          <w:rFonts w:hint="eastAsia" w:ascii="仿宋" w:hAnsi="仿宋" w:eastAsia="仿宋" w:cs="仿宋"/>
          <w:color w:val="auto"/>
          <w:kern w:val="2"/>
          <w:sz w:val="24"/>
          <w:szCs w:val="24"/>
          <w:highlight w:val="none"/>
          <w:lang w:val="en-US" w:eastAsia="zh-CN" w:bidi="zh-TW"/>
        </w:rPr>
        <w:t>特别提醒：仅当服务商属于小微企业、或残疾人福利性单位、或监狱企业时才需填写相应的声明函/证明函，否则应当将其留空。供应商性质将随成交公告一同公布，接受社会监督。</w:t>
      </w:r>
    </w:p>
    <w:p>
      <w:pPr>
        <w:shd w:val="clear"/>
        <w:rPr>
          <w:rFonts w:hint="eastAsia" w:ascii="仿宋" w:hAnsi="仿宋" w:eastAsia="仿宋" w:cs="仿宋"/>
          <w:color w:val="auto"/>
          <w:highlight w:val="none"/>
          <w:lang w:eastAsia="zh-CN"/>
        </w:rPr>
      </w:pPr>
      <w:bookmarkStart w:id="522" w:name="_Toc2986"/>
      <w:bookmarkStart w:id="523" w:name="_Toc18730"/>
      <w:r>
        <w:rPr>
          <w:rFonts w:hint="eastAsia" w:ascii="仿宋" w:hAnsi="仿宋" w:eastAsia="仿宋" w:cs="仿宋"/>
          <w:color w:val="auto"/>
          <w:highlight w:val="none"/>
          <w:lang w:eastAsia="zh-CN"/>
        </w:rPr>
        <w:br w:type="page"/>
      </w:r>
    </w:p>
    <w:p>
      <w:pPr>
        <w:bidi w:val="0"/>
        <w:spacing w:after="263" w:afterLines="84" w:afterAutospacing="0"/>
        <w:jc w:val="center"/>
        <w:rPr>
          <w:rFonts w:hint="eastAsia" w:ascii="仿宋" w:hAnsi="仿宋" w:eastAsia="仿宋" w:cs="仿宋"/>
          <w:b/>
          <w:bCs/>
          <w:sz w:val="28"/>
          <w:szCs w:val="28"/>
          <w:highlight w:val="none"/>
        </w:rPr>
      </w:pPr>
      <w:bookmarkStart w:id="524" w:name="_Toc7051"/>
      <w:bookmarkStart w:id="525" w:name="_Toc32719"/>
      <w:bookmarkStart w:id="526" w:name="_Toc8594"/>
      <w:bookmarkStart w:id="527" w:name="_Toc10505"/>
      <w:bookmarkStart w:id="528" w:name="_Toc27199"/>
      <w:bookmarkStart w:id="529" w:name="_Toc16855"/>
      <w:bookmarkStart w:id="530" w:name="_Toc8051"/>
      <w:bookmarkStart w:id="531" w:name="_Toc31729"/>
      <w:r>
        <w:rPr>
          <w:rFonts w:hint="eastAsia" w:ascii="仿宋" w:hAnsi="仿宋" w:eastAsia="仿宋" w:cs="仿宋"/>
          <w:b/>
          <w:bCs/>
          <w:sz w:val="28"/>
          <w:szCs w:val="28"/>
          <w:highlight w:val="none"/>
        </w:rPr>
        <w:t>中小企业声明函</w:t>
      </w:r>
      <w:bookmarkEnd w:id="524"/>
      <w:bookmarkEnd w:id="525"/>
      <w:bookmarkEnd w:id="526"/>
      <w:bookmarkEnd w:id="527"/>
      <w:bookmarkEnd w:id="528"/>
      <w:bookmarkEnd w:id="529"/>
      <w:bookmarkEnd w:id="530"/>
      <w:bookmarkEnd w:id="531"/>
    </w:p>
    <w:p>
      <w:pPr>
        <w:pStyle w:val="172"/>
        <w:spacing w:beforeAutospacing="0"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w:t>
      </w:r>
      <w:r>
        <w:rPr>
          <w:rFonts w:hint="eastAsia" w:ascii="仿宋" w:hAnsi="仿宋" w:eastAsia="仿宋" w:cs="仿宋"/>
          <w:color w:val="auto"/>
          <w:sz w:val="24"/>
          <w:szCs w:val="24"/>
          <w:highlight w:val="none"/>
          <w:lang w:val="en-US" w:eastAsia="zh-CN"/>
        </w:rPr>
        <w:t>非</w:t>
      </w:r>
      <w:r>
        <w:rPr>
          <w:rFonts w:hint="eastAsia" w:ascii="仿宋" w:hAnsi="仿宋" w:eastAsia="仿宋" w:cs="仿宋"/>
          <w:color w:val="auto"/>
          <w:sz w:val="24"/>
          <w:szCs w:val="24"/>
          <w:highlight w:val="none"/>
        </w:rPr>
        <w:t>联合体）郑重声明，根据《政府采购促进中小企业发展管理办法》（财库〔2020〕46号）的规定，本公司（</w:t>
      </w:r>
      <w:r>
        <w:rPr>
          <w:rFonts w:hint="eastAsia" w:ascii="仿宋" w:hAnsi="仿宋" w:eastAsia="仿宋" w:cs="仿宋"/>
          <w:color w:val="auto"/>
          <w:sz w:val="24"/>
          <w:szCs w:val="24"/>
          <w:highlight w:val="none"/>
          <w:lang w:val="en-US" w:eastAsia="zh-CN"/>
        </w:rPr>
        <w:t>非</w:t>
      </w:r>
      <w:r>
        <w:rPr>
          <w:rFonts w:hint="eastAsia" w:ascii="仿宋" w:hAnsi="仿宋" w:eastAsia="仿宋" w:cs="仿宋"/>
          <w:color w:val="auto"/>
          <w:sz w:val="24"/>
          <w:szCs w:val="24"/>
          <w:highlight w:val="none"/>
        </w:rPr>
        <w:t>联合体）参加</w:t>
      </w:r>
      <w:r>
        <w:rPr>
          <w:rFonts w:hint="eastAsia" w:ascii="仿宋" w:hAnsi="仿宋" w:eastAsia="仿宋" w:cs="仿宋"/>
          <w:color w:val="auto"/>
          <w:sz w:val="24"/>
          <w:szCs w:val="24"/>
          <w:highlight w:val="none"/>
          <w:u w:val="single"/>
        </w:rPr>
        <w:t>（单位名称）</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72"/>
        <w:numPr>
          <w:ilvl w:val="0"/>
          <w:numId w:val="0"/>
        </w:numPr>
        <w:tabs>
          <w:tab w:val="left" w:pos="1224"/>
          <w:tab w:val="left" w:pos="6989"/>
        </w:tabs>
        <w:spacing w:line="360" w:lineRule="auto"/>
        <w:ind w:firstLine="480" w:firstLineChars="200"/>
        <w:rPr>
          <w:rFonts w:hint="eastAsia" w:ascii="仿宋" w:hAnsi="仿宋" w:eastAsia="仿宋" w:cs="仿宋"/>
          <w:color w:val="auto"/>
          <w:sz w:val="24"/>
          <w:szCs w:val="24"/>
          <w:highlight w:val="none"/>
        </w:rPr>
      </w:pPr>
      <w:bookmarkStart w:id="532" w:name="bookmark24"/>
      <w:bookmarkEnd w:id="532"/>
      <w:r>
        <w:rPr>
          <w:rFonts w:hint="eastAsia" w:ascii="仿宋" w:hAnsi="仿宋" w:eastAsia="仿宋" w:cs="仿宋"/>
          <w:color w:val="auto"/>
          <w:sz w:val="24"/>
          <w:szCs w:val="24"/>
          <w:highlight w:val="none"/>
          <w:u w:val="none"/>
          <w:lang w:val="en-US" w:eastAsia="zh-CN"/>
        </w:rPr>
        <w:t>1、</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 收入为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"bookmark26" \o "Current Document" \h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szCs w:val="24"/>
          <w:highlight w:val="none"/>
          <w:lang w:val="en-US" w:eastAsia="zh-CN" w:bidi="en-US"/>
        </w:rPr>
        <w:t>'</w:t>
      </w:r>
      <w:r>
        <w:rPr>
          <w:rFonts w:hint="eastAsia" w:ascii="仿宋" w:hAnsi="仿宋" w:eastAsia="仿宋" w:cs="仿宋"/>
          <w:color w:val="auto"/>
          <w:sz w:val="24"/>
          <w:szCs w:val="24"/>
          <w:highlight w:val="none"/>
          <w:lang w:val="en-US" w:eastAsia="zh-CN" w:bidi="en-US"/>
        </w:rPr>
        <w:fldChar w:fldCharType="end"/>
      </w:r>
      <w:r>
        <w:rPr>
          <w:rFonts w:hint="eastAsia" w:ascii="仿宋" w:hAnsi="仿宋" w:eastAsia="仿宋" w:cs="仿宋"/>
          <w:color w:val="auto"/>
          <w:sz w:val="24"/>
          <w:szCs w:val="24"/>
          <w:highlight w:val="none"/>
          <w:lang w:val="en-US" w:eastAsia="zh-CN" w:bidi="en-US"/>
        </w:rPr>
        <w:t>，</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w:t>
      </w:r>
    </w:p>
    <w:p>
      <w:pPr>
        <w:pStyle w:val="172"/>
        <w:numPr>
          <w:ilvl w:val="0"/>
          <w:numId w:val="0"/>
        </w:numPr>
        <w:tabs>
          <w:tab w:val="left" w:pos="1224"/>
          <w:tab w:val="left" w:pos="6989"/>
        </w:tabs>
        <w:spacing w:line="360" w:lineRule="auto"/>
        <w:ind w:firstLine="480" w:firstLineChars="200"/>
        <w:rPr>
          <w:rFonts w:hint="eastAsia" w:ascii="仿宋" w:hAnsi="仿宋" w:eastAsia="仿宋" w:cs="仿宋"/>
          <w:color w:val="auto"/>
          <w:sz w:val="24"/>
          <w:szCs w:val="24"/>
          <w:highlight w:val="none"/>
        </w:rPr>
      </w:pPr>
      <w:bookmarkStart w:id="533" w:name="bookmark25"/>
      <w:bookmarkEnd w:id="533"/>
      <w:r>
        <w:rPr>
          <w:rFonts w:hint="eastAsia" w:ascii="仿宋" w:hAnsi="仿宋" w:eastAsia="仿宋" w:cs="仿宋"/>
          <w:color w:val="auto"/>
          <w:sz w:val="24"/>
          <w:szCs w:val="24"/>
          <w:highlight w:val="none"/>
          <w:u w:val="none"/>
          <w:lang w:val="en-US" w:eastAsia="zh-CN"/>
        </w:rPr>
        <w:t>2、</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（采购文件 中明确的所属行业</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w:t>
      </w:r>
      <w:r>
        <w:rPr>
          <w:rFonts w:hint="eastAsia" w:ascii="仿宋" w:hAnsi="仿宋" w:eastAsia="仿宋" w:cs="仿宋"/>
          <w:color w:val="auto"/>
          <w:sz w:val="24"/>
          <w:szCs w:val="24"/>
          <w:highlight w:val="none"/>
          <w:lang w:val="en-US" w:eastAsia="zh-CN" w:bidi="en-US"/>
        </w:rPr>
        <w:t>，</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w:t>
      </w:r>
    </w:p>
    <w:p>
      <w:pPr>
        <w:pStyle w:val="172"/>
        <w:spacing w:line="360" w:lineRule="auto"/>
        <w:ind w:firstLine="6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 为大企业的情形，也不存在与大企业的负责人为同一人的情形。</w:t>
      </w:r>
    </w:p>
    <w:p>
      <w:pPr>
        <w:pStyle w:val="172"/>
        <w:spacing w:line="360" w:lineRule="auto"/>
        <w:ind w:firstLine="6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pPr>
        <w:pStyle w:val="172"/>
        <w:spacing w:line="360" w:lineRule="auto"/>
        <w:ind w:left="3860" w:firstLine="0"/>
        <w:jc w:val="left"/>
        <w:rPr>
          <w:rFonts w:hint="eastAsia" w:ascii="仿宋" w:hAnsi="仿宋" w:eastAsia="仿宋" w:cs="仿宋"/>
          <w:color w:val="auto"/>
          <w:sz w:val="24"/>
          <w:szCs w:val="24"/>
          <w:highlight w:val="none"/>
        </w:rPr>
      </w:pPr>
    </w:p>
    <w:p>
      <w:pPr>
        <w:pStyle w:val="172"/>
        <w:spacing w:line="360" w:lineRule="auto"/>
        <w:ind w:left="3860" w:firstLine="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企业名称（盖章）：</w:t>
      </w:r>
    </w:p>
    <w:p>
      <w:pPr>
        <w:pStyle w:val="172"/>
        <w:spacing w:line="360" w:lineRule="auto"/>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从业人员、营业收入、资产总额填报上一年度数据，无上一年度数据的新成立企业可不填报。</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7"/>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备注：</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提供的《中小企业声明函》必须真实有效，如果被举报经查实出具虚假声明函的，将被取消投标资格，并按有关规定予以处理。</w:t>
      </w:r>
      <w:r>
        <w:rPr>
          <w:rFonts w:hint="eastAsia" w:ascii="仿宋" w:hAnsi="仿宋" w:eastAsia="仿宋" w:cs="仿宋"/>
          <w:sz w:val="28"/>
          <w:szCs w:val="28"/>
          <w:highlight w:val="none"/>
        </w:rPr>
        <w:br w:type="page"/>
      </w:r>
    </w:p>
    <w:p>
      <w:pPr>
        <w:bidi w:val="0"/>
        <w:spacing w:after="263" w:afterLines="84" w:afterAutospacing="0"/>
        <w:jc w:val="center"/>
        <w:rPr>
          <w:rFonts w:hint="eastAsia" w:ascii="仿宋" w:hAnsi="仿宋" w:eastAsia="仿宋" w:cs="仿宋"/>
          <w:b/>
          <w:color w:val="auto"/>
          <w:spacing w:val="6"/>
          <w:sz w:val="24"/>
          <w:szCs w:val="24"/>
          <w:highlight w:val="none"/>
        </w:rPr>
      </w:pPr>
      <w:bookmarkStart w:id="534" w:name="OLE_LINK13"/>
      <w:r>
        <w:rPr>
          <w:rFonts w:hint="eastAsia" w:ascii="仿宋" w:hAnsi="仿宋" w:eastAsia="仿宋" w:cs="仿宋"/>
          <w:b/>
          <w:bCs/>
          <w:sz w:val="28"/>
          <w:szCs w:val="28"/>
          <w:highlight w:val="none"/>
        </w:rPr>
        <w:t>残疾人福利性单位声明函（如用，不用可删除）</w:t>
      </w:r>
      <w:bookmarkEnd w:id="534"/>
    </w:p>
    <w:p>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本单位郑重声明，根据《财政部 民政部 中国残疾人联合会关于促进残疾人就业政府采购政策的通知》（财库</w:t>
      </w:r>
      <w:r>
        <w:rPr>
          <w:rFonts w:hint="eastAsia" w:ascii="仿宋" w:hAnsi="仿宋" w:eastAsia="仿宋" w:cs="仿宋"/>
          <w:color w:val="auto"/>
          <w:sz w:val="24"/>
          <w:szCs w:val="24"/>
          <w:highlight w:val="none"/>
        </w:rPr>
        <w:t>〔2017〕 141</w:t>
      </w:r>
      <w:r>
        <w:rPr>
          <w:rFonts w:hint="eastAsia" w:ascii="仿宋" w:hAnsi="仿宋" w:eastAsia="仿宋" w:cs="仿宋"/>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本单位对上述声明的真实性负责。如有虚假，将依法承担相应责任。</w:t>
      </w:r>
    </w:p>
    <w:p>
      <w:pPr>
        <w:spacing w:line="360" w:lineRule="auto"/>
        <w:ind w:firstLine="504" w:firstLineChars="200"/>
        <w:rPr>
          <w:rFonts w:hint="eastAsia" w:ascii="仿宋" w:hAnsi="仿宋" w:eastAsia="仿宋" w:cs="仿宋"/>
          <w:color w:val="auto"/>
          <w:spacing w:val="6"/>
          <w:sz w:val="24"/>
          <w:szCs w:val="24"/>
          <w:highlight w:val="none"/>
        </w:rPr>
      </w:pPr>
    </w:p>
    <w:p>
      <w:pPr>
        <w:spacing w:line="360" w:lineRule="auto"/>
        <w:ind w:firstLine="504" w:firstLineChars="200"/>
        <w:rPr>
          <w:rFonts w:hint="eastAsia" w:ascii="仿宋" w:hAnsi="仿宋" w:eastAsia="仿宋" w:cs="仿宋"/>
          <w:color w:val="auto"/>
          <w:spacing w:val="6"/>
          <w:sz w:val="24"/>
          <w:szCs w:val="24"/>
          <w:highlight w:val="none"/>
        </w:rPr>
      </w:pPr>
    </w:p>
    <w:p>
      <w:pPr>
        <w:tabs>
          <w:tab w:val="left" w:pos="4860"/>
        </w:tabs>
        <w:spacing w:line="360" w:lineRule="auto"/>
        <w:ind w:right="1560" w:firstLine="504" w:firstLineChars="200"/>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 xml:space="preserve">               </w:t>
      </w:r>
      <w:r>
        <w:rPr>
          <w:rFonts w:hint="eastAsia" w:ascii="仿宋" w:hAnsi="仿宋" w:eastAsia="仿宋" w:cs="仿宋"/>
          <w:color w:val="auto"/>
          <w:spacing w:val="6"/>
          <w:sz w:val="24"/>
          <w:szCs w:val="24"/>
          <w:highlight w:val="none"/>
          <w:lang w:val="en-US" w:eastAsia="zh-CN"/>
        </w:rPr>
        <w:t>供应商</w:t>
      </w:r>
      <w:r>
        <w:rPr>
          <w:rFonts w:hint="eastAsia" w:ascii="仿宋" w:hAnsi="仿宋" w:eastAsia="仿宋" w:cs="仿宋"/>
          <w:color w:val="auto"/>
          <w:spacing w:val="6"/>
          <w:sz w:val="24"/>
          <w:szCs w:val="24"/>
          <w:highlight w:val="none"/>
        </w:rPr>
        <w:t>（盖章）：</w:t>
      </w:r>
    </w:p>
    <w:p>
      <w:pPr>
        <w:tabs>
          <w:tab w:val="left" w:pos="4860"/>
        </w:tabs>
        <w:spacing w:line="360" w:lineRule="auto"/>
        <w:ind w:right="1560" w:firstLine="504" w:firstLineChars="200"/>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 xml:space="preserve">       日  期：</w:t>
      </w:r>
    </w:p>
    <w:p>
      <w:pPr>
        <w:rPr>
          <w:rFonts w:hint="eastAsia" w:ascii="仿宋" w:hAnsi="仿宋" w:eastAsia="仿宋" w:cs="仿宋"/>
          <w:b/>
          <w:color w:val="auto"/>
          <w:sz w:val="32"/>
          <w:szCs w:val="32"/>
          <w:highlight w:val="none"/>
        </w:rPr>
      </w:pPr>
      <w:r>
        <w:rPr>
          <w:rFonts w:hint="eastAsia" w:ascii="仿宋" w:hAnsi="仿宋" w:eastAsia="仿宋" w:cs="仿宋"/>
          <w:color w:val="auto"/>
          <w:spacing w:val="6"/>
          <w:sz w:val="24"/>
          <w:szCs w:val="24"/>
          <w:highlight w:val="none"/>
        </w:rPr>
        <w:br w:type="page"/>
      </w:r>
    </w:p>
    <w:p>
      <w:pPr>
        <w:bidi w:val="0"/>
        <w:spacing w:after="263" w:afterLines="84" w:afterAutospacing="0"/>
        <w:jc w:val="center"/>
        <w:rPr>
          <w:rFonts w:hint="eastAsia" w:ascii="仿宋" w:hAnsi="仿宋" w:eastAsia="仿宋" w:cs="仿宋"/>
          <w:color w:val="auto"/>
          <w:sz w:val="28"/>
          <w:szCs w:val="28"/>
          <w:highlight w:val="none"/>
        </w:rPr>
      </w:pPr>
      <w:r>
        <w:rPr>
          <w:rFonts w:hint="eastAsia" w:ascii="仿宋" w:hAnsi="仿宋" w:eastAsia="仿宋" w:cs="仿宋"/>
          <w:b/>
          <w:bCs/>
          <w:sz w:val="28"/>
          <w:szCs w:val="28"/>
          <w:highlight w:val="none"/>
        </w:rPr>
        <w:t>监狱、戒毒企业声明函（如用，不用可删除）</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w:t>
      </w:r>
      <w:r>
        <w:rPr>
          <w:rFonts w:hint="eastAsia" w:ascii="仿宋" w:hAnsi="仿宋" w:eastAsia="仿宋" w:cs="仿宋"/>
          <w:color w:val="auto"/>
          <w:spacing w:val="-4"/>
          <w:kern w:val="0"/>
          <w:sz w:val="24"/>
          <w:highlight w:val="none"/>
        </w:rPr>
        <w:t>财政部 司法部 关于政府采购支持监狱企业发展有关问题的通知</w:t>
      </w:r>
      <w:r>
        <w:rPr>
          <w:rFonts w:hint="eastAsia" w:ascii="仿宋" w:hAnsi="仿宋" w:eastAsia="仿宋" w:cs="仿宋"/>
          <w:color w:val="auto"/>
          <w:sz w:val="24"/>
          <w:highlight w:val="none"/>
        </w:rPr>
        <w:t>》（财库〔2014〕 68号）的规定，本单位为符合条件的监狱、戒毒企业，且本单位参加的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 w:val="left" w:pos="8040"/>
          <w:tab w:val="left" w:pos="8160"/>
        </w:tabs>
        <w:spacing w:line="360" w:lineRule="auto"/>
        <w:ind w:right="862" w:firstLine="3360" w:firstLineChars="1400"/>
        <w:jc w:val="both"/>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（公章）：</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p>
    <w:p>
      <w:pPr>
        <w:tabs>
          <w:tab w:val="left" w:pos="4860"/>
        </w:tabs>
        <w:spacing w:line="360" w:lineRule="auto"/>
        <w:ind w:firstLine="3360" w:firstLineChars="14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p>
    <w:p>
      <w:pPr>
        <w:spacing w:line="360" w:lineRule="auto"/>
        <w:ind w:firstLine="506" w:firstLineChars="200"/>
        <w:rPr>
          <w:rFonts w:hint="eastAsia" w:ascii="仿宋" w:hAnsi="仿宋" w:eastAsia="仿宋" w:cs="仿宋"/>
          <w:b/>
          <w:color w:val="auto"/>
          <w:spacing w:val="6"/>
          <w:sz w:val="24"/>
          <w:highlight w:val="none"/>
          <w:shd w:val="pct10" w:color="auto" w:fill="FFFFFF"/>
        </w:rPr>
      </w:pPr>
    </w:p>
    <w:p>
      <w:pPr>
        <w:spacing w:line="360" w:lineRule="auto"/>
        <w:ind w:firstLine="506" w:firstLineChars="200"/>
        <w:rPr>
          <w:rFonts w:hint="eastAsia" w:ascii="仿宋" w:hAnsi="仿宋" w:eastAsia="仿宋" w:cs="仿宋"/>
          <w:b/>
          <w:color w:val="auto"/>
          <w:spacing w:val="6"/>
          <w:sz w:val="24"/>
          <w:highlight w:val="none"/>
          <w:shd w:val="pct10" w:color="auto" w:fill="FFFFFF"/>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备注：供应商提供的《</w:t>
      </w:r>
      <w:r>
        <w:rPr>
          <w:rFonts w:hint="eastAsia" w:ascii="仿宋" w:hAnsi="仿宋" w:eastAsia="仿宋" w:cs="仿宋"/>
          <w:color w:val="auto"/>
          <w:sz w:val="24"/>
          <w:highlight w:val="none"/>
        </w:rPr>
        <w:t>监狱、戒毒企业</w:t>
      </w:r>
      <w:r>
        <w:rPr>
          <w:rFonts w:hint="eastAsia" w:ascii="仿宋" w:hAnsi="仿宋" w:eastAsia="仿宋" w:cs="仿宋"/>
          <w:color w:val="auto"/>
          <w:kern w:val="0"/>
          <w:sz w:val="24"/>
          <w:highlight w:val="none"/>
          <w:lang w:val="zh-CN"/>
        </w:rPr>
        <w:t>声明函》必须真实有效，</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应当提供由省级以上监狱管理局、戒毒管理局(含新疆生产建设兵团)出具的属于监狱企业的证明文件。</w:t>
      </w:r>
    </w:p>
    <w:p>
      <w:pPr>
        <w:pStyle w:val="26"/>
        <w:rPr>
          <w:rFonts w:hint="eastAsia" w:ascii="仿宋" w:hAnsi="仿宋" w:eastAsia="仿宋" w:cs="仿宋"/>
          <w:color w:val="auto"/>
          <w:highlight w:val="none"/>
          <w:lang w:eastAsia="zh-CN"/>
        </w:rPr>
      </w:pPr>
      <w:r>
        <w:rPr>
          <w:rFonts w:hint="eastAsia" w:ascii="仿宋" w:hAnsi="仿宋" w:eastAsia="仿宋" w:cs="仿宋"/>
          <w:b/>
          <w:bCs/>
          <w:color w:val="auto"/>
          <w:kern w:val="44"/>
          <w:sz w:val="36"/>
          <w:szCs w:val="44"/>
          <w:highlight w:val="none"/>
          <w:lang w:val="en-US" w:eastAsia="zh-CN" w:bidi="ar-SA"/>
        </w:rPr>
        <w:br w:type="page"/>
      </w:r>
    </w:p>
    <w:p>
      <w:pPr>
        <w:bidi w:val="0"/>
        <w:spacing w:before="123" w:beforeLines="39" w:beforeAutospacing="0" w:after="240" w:afterLines="76" w:afterAutospacing="0"/>
        <w:jc w:val="center"/>
        <w:rPr>
          <w:rFonts w:hint="default" w:ascii="仿宋" w:hAnsi="仿宋" w:eastAsia="仿宋" w:cs="仿宋"/>
          <w:b/>
          <w:bCs/>
          <w:sz w:val="28"/>
          <w:szCs w:val="28"/>
          <w:highlight w:val="none"/>
          <w:lang w:val="en-US" w:eastAsia="zh-CN"/>
        </w:rPr>
      </w:pPr>
      <w:bookmarkStart w:id="535" w:name="_Toc19137"/>
      <w:bookmarkStart w:id="536" w:name="_Toc22399"/>
      <w:bookmarkStart w:id="537" w:name="_Toc28403"/>
      <w:bookmarkStart w:id="538" w:name="_Toc24061"/>
      <w:bookmarkStart w:id="539" w:name="_Toc11676"/>
      <w:bookmarkStart w:id="540" w:name="_Toc9802"/>
      <w:bookmarkStart w:id="541" w:name="_Toc9283"/>
      <w:bookmarkStart w:id="542" w:name="_Toc10993"/>
      <w:bookmarkStart w:id="543" w:name="_Toc4462"/>
      <w:bookmarkStart w:id="544" w:name="_Toc27335"/>
      <w:r>
        <w:rPr>
          <w:rFonts w:hint="eastAsia" w:ascii="仿宋" w:hAnsi="仿宋" w:eastAsia="仿宋" w:cs="仿宋"/>
          <w:b/>
          <w:bCs/>
          <w:sz w:val="28"/>
          <w:szCs w:val="28"/>
          <w:highlight w:val="none"/>
          <w:lang w:val="en-US" w:eastAsia="zh-CN"/>
        </w:rPr>
        <w:t>响应</w:t>
      </w:r>
      <w:bookmarkEnd w:id="535"/>
      <w:bookmarkEnd w:id="536"/>
      <w:bookmarkEnd w:id="537"/>
      <w:bookmarkEnd w:id="538"/>
      <w:bookmarkEnd w:id="539"/>
      <w:bookmarkEnd w:id="540"/>
      <w:bookmarkEnd w:id="541"/>
      <w:bookmarkEnd w:id="542"/>
      <w:r>
        <w:rPr>
          <w:rFonts w:hint="eastAsia" w:ascii="仿宋" w:hAnsi="仿宋" w:eastAsia="仿宋" w:cs="仿宋"/>
          <w:b/>
          <w:bCs/>
          <w:sz w:val="28"/>
          <w:szCs w:val="28"/>
          <w:highlight w:val="none"/>
          <w:lang w:val="en-US" w:eastAsia="zh-CN"/>
        </w:rPr>
        <w:t>方案说明</w:t>
      </w:r>
    </w:p>
    <w:bookmarkEnd w:id="522"/>
    <w:bookmarkEnd w:id="523"/>
    <w:bookmarkEnd w:id="543"/>
    <w:bookmarkEnd w:id="544"/>
    <w:p>
      <w:pPr>
        <w:kinsoku w:val="0"/>
        <w:spacing w:beforeAutospacing="0" w:line="360" w:lineRule="auto"/>
        <w:ind w:firstLine="480" w:firstLineChars="20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按照磋商文件的要求编制的响应方案说明书，参照磋商文件《评标方法》各条款的要求，结合采购内容及要求编制磋商响应方案。</w:t>
      </w:r>
    </w:p>
    <w:p>
      <w:pPr>
        <w:spacing w:line="360" w:lineRule="auto"/>
        <w:jc w:val="left"/>
        <w:rPr>
          <w:rFonts w:hint="eastAsia" w:ascii="仿宋" w:hAnsi="仿宋" w:eastAsia="仿宋" w:cs="仿宋"/>
          <w:color w:val="auto"/>
          <w:szCs w:val="22"/>
          <w:highlight w:val="none"/>
          <w:lang w:val="en-US" w:eastAsia="zh-CN"/>
        </w:rPr>
      </w:pPr>
    </w:p>
    <w:p>
      <w:pPr>
        <w:spacing w:line="360" w:lineRule="auto"/>
        <w:jc w:val="left"/>
        <w:rPr>
          <w:rFonts w:hint="eastAsia" w:ascii="仿宋" w:hAnsi="仿宋" w:eastAsia="仿宋" w:cs="仿宋"/>
          <w:color w:val="auto"/>
          <w:szCs w:val="22"/>
          <w:highlight w:val="none"/>
          <w:lang w:val="en-US" w:eastAsia="zh-CN"/>
        </w:rPr>
      </w:pPr>
    </w:p>
    <w:p>
      <w:pPr>
        <w:spacing w:line="360" w:lineRule="auto"/>
        <w:jc w:val="left"/>
        <w:rPr>
          <w:rFonts w:hint="eastAsia" w:ascii="仿宋" w:hAnsi="仿宋" w:eastAsia="仿宋" w:cs="仿宋"/>
          <w:color w:val="auto"/>
          <w:szCs w:val="22"/>
          <w:highlight w:val="none"/>
          <w:lang w:val="en-US" w:eastAsia="zh-CN"/>
        </w:rPr>
      </w:pPr>
    </w:p>
    <w:p>
      <w:pPr>
        <w:spacing w:line="360" w:lineRule="auto"/>
        <w:jc w:val="left"/>
        <w:rPr>
          <w:rFonts w:hint="eastAsia" w:ascii="仿宋" w:hAnsi="仿宋" w:eastAsia="仿宋" w:cs="仿宋"/>
          <w:color w:val="auto"/>
          <w:szCs w:val="22"/>
          <w:highlight w:val="none"/>
          <w:lang w:val="en-US" w:eastAsia="zh-CN"/>
        </w:rPr>
      </w:pPr>
    </w:p>
    <w:p>
      <w:pPr>
        <w:spacing w:line="360" w:lineRule="auto"/>
        <w:jc w:val="left"/>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投标方案自拟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仿宋" w:hAnsi="仿宋" w:eastAsia="仿宋" w:cs="仿宋"/>
          <w:b/>
          <w:bCs/>
          <w:color w:val="auto"/>
          <w:highlight w:val="none"/>
        </w:rPr>
      </w:pPr>
      <w:bookmarkStart w:id="545" w:name="_Toc6384"/>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仿宋" w:hAnsi="仿宋" w:eastAsia="仿宋" w:cs="仿宋"/>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仿宋" w:hAnsi="仿宋" w:eastAsia="仿宋" w:cs="仿宋"/>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仿宋" w:hAnsi="仿宋" w:eastAsia="仿宋" w:cs="仿宋"/>
          <w:b/>
          <w:bCs/>
          <w:color w:val="auto"/>
          <w:sz w:val="28"/>
          <w:highlight w:val="none"/>
        </w:rPr>
      </w:pPr>
      <w:r>
        <w:rPr>
          <w:rFonts w:hint="eastAsia" w:ascii="仿宋" w:hAnsi="仿宋" w:eastAsia="仿宋" w:cs="仿宋"/>
          <w:b/>
          <w:bCs/>
          <w:color w:val="auto"/>
          <w:highlight w:val="none"/>
        </w:rPr>
        <w:t>注：供应商根据本项目实际情况编写，后附</w:t>
      </w:r>
      <w:r>
        <w:rPr>
          <w:rFonts w:hint="eastAsia" w:ascii="仿宋" w:hAnsi="仿宋" w:eastAsia="仿宋" w:cs="仿宋"/>
          <w:b/>
          <w:bCs/>
          <w:color w:val="auto"/>
          <w:highlight w:val="none"/>
          <w:lang w:val="en-US" w:eastAsia="zh-CN"/>
        </w:rPr>
        <w:t>部分</w:t>
      </w:r>
      <w:r>
        <w:rPr>
          <w:rFonts w:hint="eastAsia" w:ascii="仿宋" w:hAnsi="仿宋" w:eastAsia="仿宋" w:cs="仿宋"/>
          <w:b/>
          <w:bCs/>
          <w:color w:val="auto"/>
          <w:highlight w:val="none"/>
        </w:rPr>
        <w:t>格式，其余格式自拟。</w:t>
      </w:r>
      <w:bookmarkEnd w:id="545"/>
    </w:p>
    <w:p>
      <w:pPr>
        <w:shd w:val="clear"/>
        <w:spacing w:line="480" w:lineRule="exact"/>
        <w:ind w:left="240" w:leftChars="100"/>
        <w:rPr>
          <w:rFonts w:hint="eastAsia" w:ascii="仿宋" w:hAnsi="仿宋" w:eastAsia="仿宋" w:cs="仿宋"/>
          <w:color w:val="auto"/>
          <w:sz w:val="24"/>
          <w:szCs w:val="24"/>
          <w:highlight w:val="none"/>
          <w:lang w:eastAsia="zh-CN"/>
        </w:rPr>
      </w:pPr>
    </w:p>
    <w:p>
      <w:pPr>
        <w:shd w:val="clear"/>
        <w:spacing w:line="480" w:lineRule="exact"/>
        <w:ind w:left="240" w:leftChars="100"/>
        <w:rPr>
          <w:rFonts w:hint="eastAsia" w:ascii="仿宋" w:hAnsi="仿宋" w:eastAsia="仿宋" w:cs="仿宋"/>
          <w:color w:val="auto"/>
          <w:sz w:val="24"/>
          <w:szCs w:val="24"/>
          <w:highlight w:val="none"/>
          <w:lang w:eastAsia="zh-CN"/>
        </w:rPr>
      </w:pPr>
    </w:p>
    <w:p>
      <w:pPr>
        <w:shd w:val="clear"/>
        <w:spacing w:line="480" w:lineRule="exact"/>
        <w:ind w:left="240" w:leftChars="100"/>
        <w:rPr>
          <w:rFonts w:hint="eastAsia" w:ascii="仿宋" w:hAnsi="仿宋" w:eastAsia="仿宋" w:cs="仿宋"/>
          <w:color w:val="auto"/>
          <w:sz w:val="24"/>
          <w:szCs w:val="24"/>
          <w:highlight w:val="none"/>
          <w:lang w:eastAsia="zh-CN"/>
        </w:rPr>
      </w:pPr>
    </w:p>
    <w:p>
      <w:pPr>
        <w:shd w:val="clear"/>
        <w:spacing w:line="480" w:lineRule="exact"/>
        <w:ind w:left="240" w:leftChars="100"/>
        <w:rPr>
          <w:rFonts w:hint="eastAsia" w:ascii="仿宋" w:hAnsi="仿宋" w:eastAsia="仿宋" w:cs="仿宋"/>
          <w:color w:val="auto"/>
          <w:sz w:val="24"/>
          <w:szCs w:val="24"/>
          <w:highlight w:val="none"/>
          <w:lang w:eastAsia="zh-CN"/>
        </w:rPr>
      </w:pPr>
    </w:p>
    <w:p>
      <w:pPr>
        <w:shd w:val="clear"/>
        <w:spacing w:line="480" w:lineRule="exact"/>
        <w:ind w:left="240" w:leftChars="100"/>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lang w:eastAsia="zh-CN"/>
        </w:rPr>
        <w:t>供应商名称（</w:t>
      </w: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w:t>
      </w:r>
    </w:p>
    <w:p>
      <w:pPr>
        <w:shd w:val="clear"/>
        <w:spacing w:line="480" w:lineRule="exact"/>
        <w:ind w:left="240" w:leftChars="1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zh-CN"/>
        </w:rPr>
        <w:t>法定代表人或被授权人（签字或盖章）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p>
    <w:p>
      <w:pPr>
        <w:shd w:val="clear"/>
        <w:spacing w:line="480" w:lineRule="exact"/>
        <w:ind w:left="240" w:leftChars="100"/>
        <w:rPr>
          <w:rFonts w:hint="eastAsia" w:ascii="仿宋" w:hAnsi="仿宋" w:eastAsia="仿宋" w:cs="仿宋"/>
          <w:color w:val="auto"/>
          <w:highlight w:val="none"/>
          <w:u w:val="single"/>
        </w:rPr>
      </w:pPr>
      <w:r>
        <w:rPr>
          <w:rFonts w:hint="eastAsia" w:ascii="仿宋" w:hAnsi="仿宋" w:eastAsia="仿宋" w:cs="仿宋"/>
          <w:color w:val="auto"/>
          <w:szCs w:val="24"/>
          <w:highlight w:val="none"/>
        </w:rPr>
        <w:t>日 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widowControl w:val="0"/>
        <w:spacing w:after="120" w:afterLines="0"/>
        <w:jc w:val="both"/>
        <w:rPr>
          <w:rFonts w:hint="eastAsia" w:ascii="仿宋" w:hAnsi="仿宋" w:eastAsia="仿宋" w:cs="仿宋"/>
          <w:color w:val="auto"/>
          <w:kern w:val="2"/>
          <w:sz w:val="24"/>
          <w:highlight w:val="none"/>
          <w:lang w:val="en-US" w:eastAsia="zh-CN" w:bidi="ar-SA"/>
        </w:rPr>
      </w:pPr>
    </w:p>
    <w:p>
      <w:pPr>
        <w:rPr>
          <w:rFonts w:hint="eastAsia" w:ascii="仿宋" w:hAnsi="仿宋" w:eastAsia="仿宋" w:cs="仿宋"/>
          <w:b/>
          <w:bCs/>
          <w:color w:val="auto"/>
          <w:kern w:val="2"/>
          <w:sz w:val="24"/>
          <w:szCs w:val="24"/>
          <w:highlight w:val="none"/>
          <w:lang w:val="en-US" w:eastAsia="zh-CN" w:bidi="ar-SA"/>
        </w:rPr>
      </w:pPr>
      <w:bookmarkStart w:id="546" w:name="_Toc23676"/>
      <w:bookmarkStart w:id="547" w:name="_Toc210"/>
      <w:bookmarkStart w:id="548" w:name="_Toc14088"/>
      <w:bookmarkStart w:id="549" w:name="_Toc8097"/>
      <w:bookmarkStart w:id="550" w:name="_Toc11111"/>
      <w:r>
        <w:rPr>
          <w:rFonts w:hint="eastAsia" w:ascii="仿宋" w:hAnsi="仿宋" w:eastAsia="仿宋" w:cs="仿宋"/>
          <w:b/>
          <w:bCs/>
          <w:color w:val="auto"/>
          <w:kern w:val="2"/>
          <w:sz w:val="24"/>
          <w:szCs w:val="24"/>
          <w:highlight w:val="none"/>
          <w:lang w:val="en-US" w:eastAsia="zh-CN" w:bidi="ar-SA"/>
        </w:rPr>
        <w:br w:type="page"/>
      </w:r>
    </w:p>
    <w:p>
      <w:pPr>
        <w:bidi w:val="0"/>
        <w:spacing w:after="263" w:afterLines="84" w:afterAutospacing="0"/>
        <w:jc w:val="left"/>
        <w:rPr>
          <w:rFonts w:hint="eastAsia" w:ascii="仿宋" w:hAnsi="仿宋" w:eastAsia="仿宋" w:cs="仿宋"/>
          <w:b/>
          <w:bCs/>
          <w:sz w:val="24"/>
          <w:szCs w:val="24"/>
          <w:highlight w:val="none"/>
          <w:lang w:val="en-US" w:eastAsia="zh-CN"/>
        </w:rPr>
      </w:pPr>
      <w:bookmarkStart w:id="551" w:name="_Toc28816"/>
      <w:bookmarkStart w:id="552" w:name="_Toc21369"/>
      <w:bookmarkStart w:id="553" w:name="_Toc11679"/>
      <w:bookmarkStart w:id="554" w:name="_Toc13976"/>
      <w:bookmarkStart w:id="555" w:name="_Toc20921"/>
      <w:bookmarkStart w:id="556" w:name="_Toc12734"/>
      <w:bookmarkStart w:id="557" w:name="_Toc20858"/>
      <w:r>
        <w:rPr>
          <w:rFonts w:hint="eastAsia" w:ascii="仿宋" w:hAnsi="仿宋" w:eastAsia="仿宋" w:cs="仿宋"/>
          <w:b/>
          <w:bCs/>
          <w:sz w:val="24"/>
          <w:szCs w:val="24"/>
          <w:highlight w:val="none"/>
          <w:lang w:val="en-US" w:eastAsia="zh-CN"/>
        </w:rPr>
        <w:t>附件1：</w:t>
      </w:r>
      <w:bookmarkStart w:id="558" w:name="_Toc5731"/>
      <w:r>
        <w:rPr>
          <w:rFonts w:hint="eastAsia" w:ascii="仿宋" w:hAnsi="仿宋" w:eastAsia="仿宋" w:cs="仿宋"/>
          <w:b/>
          <w:bCs/>
          <w:sz w:val="24"/>
          <w:szCs w:val="24"/>
          <w:highlight w:val="none"/>
          <w:lang w:val="en-US" w:eastAsia="zh-CN"/>
        </w:rPr>
        <w:t>拟投入本项目人员汇总表</w:t>
      </w:r>
      <w:bookmarkEnd w:id="546"/>
      <w:bookmarkEnd w:id="547"/>
      <w:bookmarkEnd w:id="548"/>
      <w:bookmarkEnd w:id="549"/>
      <w:bookmarkEnd w:id="550"/>
      <w:bookmarkEnd w:id="551"/>
      <w:bookmarkEnd w:id="552"/>
      <w:bookmarkEnd w:id="553"/>
      <w:bookmarkEnd w:id="554"/>
      <w:bookmarkEnd w:id="555"/>
      <w:bookmarkEnd w:id="556"/>
      <w:bookmarkEnd w:id="557"/>
      <w:bookmarkEnd w:id="558"/>
    </w:p>
    <w:p>
      <w:pPr>
        <w:shd w:val="clea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 xml:space="preserve">采购项目名称： </w:t>
      </w:r>
      <w:r>
        <w:rPr>
          <w:rFonts w:hint="eastAsia" w:ascii="仿宋" w:hAnsi="仿宋" w:eastAsia="仿宋" w:cs="仿宋"/>
          <w:color w:val="auto"/>
          <w:highlight w:val="none"/>
          <w:u w:val="single"/>
        </w:rPr>
        <w:t xml:space="preserve">                            </w:t>
      </w:r>
    </w:p>
    <w:p>
      <w:pPr>
        <w:shd w:val="clea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 xml:space="preserve">采购项目编号： </w:t>
      </w:r>
      <w:r>
        <w:rPr>
          <w:rFonts w:hint="eastAsia" w:ascii="仿宋" w:hAnsi="仿宋" w:eastAsia="仿宋" w:cs="仿宋"/>
          <w:color w:val="auto"/>
          <w:highlight w:val="none"/>
          <w:u w:val="single"/>
        </w:rPr>
        <w:t xml:space="preserve">                            </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1642"/>
        <w:gridCol w:w="819"/>
        <w:gridCol w:w="929"/>
        <w:gridCol w:w="1120"/>
        <w:gridCol w:w="929"/>
        <w:gridCol w:w="1004"/>
        <w:gridCol w:w="2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61" w:type="pct"/>
          </w:tcPr>
          <w:p>
            <w:pPr>
              <w:shd w:val="clea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824" w:type="pct"/>
          </w:tcPr>
          <w:p>
            <w:pPr>
              <w:shd w:val="clear"/>
              <w:spacing w:line="360" w:lineRule="auto"/>
              <w:ind w:firstLine="240"/>
              <w:rPr>
                <w:rFonts w:hint="eastAsia" w:ascii="仿宋" w:hAnsi="仿宋" w:eastAsia="仿宋" w:cs="仿宋"/>
                <w:color w:val="auto"/>
                <w:highlight w:val="none"/>
              </w:rPr>
            </w:pPr>
            <w:r>
              <w:rPr>
                <w:rFonts w:hint="eastAsia" w:ascii="仿宋" w:hAnsi="仿宋" w:eastAsia="仿宋" w:cs="仿宋"/>
                <w:color w:val="auto"/>
                <w:highlight w:val="none"/>
              </w:rPr>
              <w:t>姓   名</w:t>
            </w:r>
          </w:p>
        </w:tc>
        <w:tc>
          <w:tcPr>
            <w:tcW w:w="411" w:type="pct"/>
          </w:tcPr>
          <w:p>
            <w:pPr>
              <w:shd w:val="clea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年龄</w:t>
            </w:r>
          </w:p>
        </w:tc>
        <w:tc>
          <w:tcPr>
            <w:tcW w:w="466" w:type="pct"/>
          </w:tcPr>
          <w:p>
            <w:pPr>
              <w:shd w:val="clea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性别</w:t>
            </w:r>
          </w:p>
        </w:tc>
        <w:tc>
          <w:tcPr>
            <w:tcW w:w="562" w:type="pct"/>
          </w:tcPr>
          <w:p>
            <w:pPr>
              <w:shd w:val="clea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学 历</w:t>
            </w:r>
          </w:p>
        </w:tc>
        <w:tc>
          <w:tcPr>
            <w:tcW w:w="466" w:type="pct"/>
          </w:tcPr>
          <w:p>
            <w:pPr>
              <w:shd w:val="clea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专业</w:t>
            </w:r>
          </w:p>
        </w:tc>
        <w:tc>
          <w:tcPr>
            <w:tcW w:w="504" w:type="pct"/>
          </w:tcPr>
          <w:p>
            <w:pPr>
              <w:shd w:val="clea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职称</w:t>
            </w:r>
          </w:p>
        </w:tc>
        <w:tc>
          <w:tcPr>
            <w:tcW w:w="1302" w:type="pct"/>
          </w:tcPr>
          <w:p>
            <w:pPr>
              <w:shd w:val="clea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pPr>
              <w:shd w:val="clear"/>
              <w:spacing w:line="360" w:lineRule="auto"/>
              <w:jc w:val="center"/>
              <w:rPr>
                <w:rFonts w:hint="eastAsia" w:ascii="仿宋" w:hAnsi="仿宋" w:eastAsia="仿宋" w:cs="仿宋"/>
                <w:color w:val="auto"/>
                <w:highlight w:val="none"/>
              </w:rPr>
            </w:pPr>
          </w:p>
        </w:tc>
        <w:tc>
          <w:tcPr>
            <w:tcW w:w="824" w:type="pct"/>
          </w:tcPr>
          <w:p>
            <w:pPr>
              <w:shd w:val="clear"/>
              <w:spacing w:line="360" w:lineRule="auto"/>
              <w:jc w:val="center"/>
              <w:rPr>
                <w:rFonts w:hint="eastAsia" w:ascii="仿宋" w:hAnsi="仿宋" w:eastAsia="仿宋" w:cs="仿宋"/>
                <w:color w:val="auto"/>
                <w:highlight w:val="none"/>
              </w:rPr>
            </w:pPr>
          </w:p>
        </w:tc>
        <w:tc>
          <w:tcPr>
            <w:tcW w:w="411"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62" w:type="pct"/>
          </w:tcPr>
          <w:p>
            <w:pPr>
              <w:shd w:val="clear"/>
              <w:spacing w:line="360" w:lineRule="auto"/>
              <w:jc w:val="center"/>
              <w:rPr>
                <w:rFonts w:hint="eastAsia" w:ascii="仿宋" w:hAnsi="仿宋" w:eastAsia="仿宋" w:cs="仿宋"/>
                <w:color w:val="auto"/>
                <w:highlight w:val="none"/>
              </w:rPr>
            </w:pPr>
          </w:p>
        </w:tc>
        <w:tc>
          <w:tcPr>
            <w:tcW w:w="466" w:type="pct"/>
          </w:tcPr>
          <w:p>
            <w:pPr>
              <w:shd w:val="clear"/>
              <w:spacing w:line="360" w:lineRule="auto"/>
              <w:jc w:val="center"/>
              <w:rPr>
                <w:rFonts w:hint="eastAsia" w:ascii="仿宋" w:hAnsi="仿宋" w:eastAsia="仿宋" w:cs="仿宋"/>
                <w:color w:val="auto"/>
                <w:highlight w:val="none"/>
              </w:rPr>
            </w:pPr>
          </w:p>
        </w:tc>
        <w:tc>
          <w:tcPr>
            <w:tcW w:w="504" w:type="pct"/>
          </w:tcPr>
          <w:p>
            <w:pPr>
              <w:shd w:val="clear"/>
              <w:spacing w:line="360" w:lineRule="auto"/>
              <w:jc w:val="center"/>
              <w:rPr>
                <w:rFonts w:hint="eastAsia" w:ascii="仿宋" w:hAnsi="仿宋" w:eastAsia="仿宋" w:cs="仿宋"/>
                <w:color w:val="auto"/>
                <w:highlight w:val="none"/>
              </w:rPr>
            </w:pPr>
          </w:p>
        </w:tc>
        <w:tc>
          <w:tcPr>
            <w:tcW w:w="1302" w:type="pct"/>
          </w:tcPr>
          <w:p>
            <w:pPr>
              <w:shd w:val="clear"/>
              <w:spacing w:line="360" w:lineRule="auto"/>
              <w:jc w:val="center"/>
              <w:rPr>
                <w:rFonts w:hint="eastAsia" w:ascii="仿宋" w:hAnsi="仿宋" w:eastAsia="仿宋" w:cs="仿宋"/>
                <w:color w:val="auto"/>
                <w:highlight w:val="none"/>
              </w:rPr>
            </w:pPr>
          </w:p>
        </w:tc>
      </w:tr>
    </w:tbl>
    <w:p>
      <w:pPr>
        <w:pStyle w:val="76"/>
        <w:tabs>
          <w:tab w:val="left" w:pos="2040"/>
        </w:tabs>
        <w:spacing w:beforeLines="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注：1.供应商可适当调整该表格式，但不得减少信息内容。</w:t>
      </w:r>
    </w:p>
    <w:p>
      <w:pPr>
        <w:pStyle w:val="76"/>
        <w:keepNext w:val="0"/>
        <w:keepLines w:val="0"/>
        <w:pageBreakBefore w:val="0"/>
        <w:widowControl w:val="0"/>
        <w:numPr>
          <w:ilvl w:val="0"/>
          <w:numId w:val="0"/>
        </w:numPr>
        <w:tabs>
          <w:tab w:val="left" w:pos="2040"/>
        </w:tabs>
        <w:kinsoku/>
        <w:wordWrap/>
        <w:overflowPunct/>
        <w:topLinePunct w:val="0"/>
        <w:autoSpaceDE/>
        <w:autoSpaceDN/>
        <w:bidi w:val="0"/>
        <w:adjustRightInd w:val="0"/>
        <w:snapToGrid w:val="0"/>
        <w:spacing w:beforeLines="0" w:line="36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供应商应书面承诺</w:t>
      </w:r>
      <w:r>
        <w:rPr>
          <w:rFonts w:hint="eastAsia" w:ascii="仿宋" w:hAnsi="仿宋" w:eastAsia="仿宋" w:cs="仿宋"/>
          <w:color w:val="auto"/>
          <w:sz w:val="24"/>
          <w:highlight w:val="none"/>
          <w:lang w:eastAsia="zh-CN"/>
        </w:rPr>
        <w:t>磋商</w:t>
      </w:r>
      <w:r>
        <w:rPr>
          <w:rFonts w:hint="eastAsia" w:ascii="仿宋" w:hAnsi="仿宋" w:eastAsia="仿宋" w:cs="仿宋"/>
          <w:color w:val="auto"/>
          <w:sz w:val="24"/>
          <w:highlight w:val="none"/>
        </w:rPr>
        <w:t>响应文件中人员的真实性</w:t>
      </w:r>
      <w:r>
        <w:rPr>
          <w:rFonts w:hint="eastAsia" w:ascii="仿宋" w:hAnsi="仿宋" w:eastAsia="仿宋" w:cs="仿宋"/>
          <w:color w:val="auto"/>
          <w:sz w:val="24"/>
          <w:highlight w:val="none"/>
          <w:lang w:eastAsia="zh-CN"/>
        </w:rPr>
        <w:t>。</w:t>
      </w:r>
      <w:bookmarkStart w:id="559" w:name="_Toc25376"/>
      <w:bookmarkStart w:id="560" w:name="_Toc7322"/>
      <w:bookmarkStart w:id="561" w:name="_Toc19329"/>
    </w:p>
    <w:p>
      <w:pPr>
        <w:pStyle w:val="76"/>
        <w:keepNext w:val="0"/>
        <w:keepLines w:val="0"/>
        <w:pageBreakBefore w:val="0"/>
        <w:widowControl w:val="0"/>
        <w:numPr>
          <w:ilvl w:val="0"/>
          <w:numId w:val="0"/>
        </w:numPr>
        <w:tabs>
          <w:tab w:val="left" w:pos="2040"/>
        </w:tabs>
        <w:kinsoku/>
        <w:wordWrap/>
        <w:overflowPunct/>
        <w:topLinePunct w:val="0"/>
        <w:autoSpaceDE/>
        <w:autoSpaceDN/>
        <w:bidi w:val="0"/>
        <w:adjustRightInd w:val="0"/>
        <w:snapToGrid w:val="0"/>
        <w:spacing w:beforeLines="0" w:line="360" w:lineRule="auto"/>
        <w:textAlignment w:val="auto"/>
        <w:rPr>
          <w:rFonts w:hint="eastAsia" w:ascii="仿宋" w:hAnsi="仿宋" w:eastAsia="仿宋" w:cs="仿宋"/>
          <w:color w:val="auto"/>
          <w:szCs w:val="24"/>
          <w:highlight w:val="none"/>
          <w:lang w:val="zh-CN"/>
        </w:rPr>
      </w:pPr>
    </w:p>
    <w:p>
      <w:pPr>
        <w:shd w:val="clear"/>
        <w:spacing w:line="480" w:lineRule="exact"/>
        <w:ind w:left="240" w:leftChars="100"/>
        <w:rPr>
          <w:rFonts w:hint="eastAsia" w:ascii="仿宋" w:hAnsi="仿宋" w:eastAsia="仿宋" w:cs="仿宋"/>
          <w:color w:val="auto"/>
          <w:sz w:val="24"/>
          <w:highlight w:val="none"/>
          <w:u w:val="single"/>
        </w:rPr>
      </w:pPr>
      <w:bookmarkStart w:id="562" w:name="_Toc311"/>
      <w:bookmarkStart w:id="563" w:name="_Toc5724"/>
      <w:bookmarkStart w:id="564" w:name="_Toc11343"/>
      <w:r>
        <w:rPr>
          <w:rFonts w:hint="eastAsia" w:ascii="仿宋" w:hAnsi="仿宋" w:eastAsia="仿宋" w:cs="仿宋"/>
          <w:color w:val="auto"/>
          <w:sz w:val="24"/>
          <w:szCs w:val="24"/>
          <w:highlight w:val="none"/>
          <w:lang w:eastAsia="zh-CN"/>
        </w:rPr>
        <w:t>供应商名称（</w:t>
      </w: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w:t>
      </w:r>
    </w:p>
    <w:p>
      <w:pPr>
        <w:shd w:val="clear"/>
        <w:spacing w:line="480" w:lineRule="exact"/>
        <w:ind w:left="240" w:leftChars="1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zh-CN"/>
        </w:rPr>
        <w:t>法定代表人或被授权人（签字或盖章）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p>
    <w:p>
      <w:pPr>
        <w:shd w:val="clear"/>
        <w:spacing w:line="480" w:lineRule="exact"/>
        <w:ind w:left="240" w:leftChars="100"/>
        <w:rPr>
          <w:rFonts w:hint="eastAsia" w:ascii="仿宋" w:hAnsi="仿宋" w:eastAsia="仿宋" w:cs="仿宋"/>
          <w:color w:val="auto"/>
          <w:highlight w:val="none"/>
          <w:u w:val="single"/>
        </w:rPr>
      </w:pPr>
      <w:r>
        <w:rPr>
          <w:rFonts w:hint="eastAsia" w:ascii="仿宋" w:hAnsi="仿宋" w:eastAsia="仿宋" w:cs="仿宋"/>
          <w:color w:val="auto"/>
          <w:szCs w:val="24"/>
          <w:highlight w:val="none"/>
        </w:rPr>
        <w:t>日 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kern w:val="2"/>
          <w:sz w:val="24"/>
          <w:szCs w:val="18"/>
          <w:highlight w:val="none"/>
          <w:lang w:val="en-US" w:eastAsia="zh-CN" w:bidi="ar-SA"/>
        </w:rPr>
      </w:pPr>
      <w:r>
        <w:rPr>
          <w:rFonts w:hint="eastAsia" w:ascii="仿宋" w:hAnsi="仿宋" w:eastAsia="仿宋" w:cs="仿宋"/>
          <w:b/>
          <w:color w:val="auto"/>
          <w:kern w:val="2"/>
          <w:sz w:val="24"/>
          <w:szCs w:val="18"/>
          <w:highlight w:val="none"/>
          <w:lang w:val="en-US" w:eastAsia="zh-CN" w:bidi="ar-SA"/>
        </w:rPr>
        <w:br w:type="page"/>
      </w:r>
    </w:p>
    <w:p>
      <w:pPr>
        <w:bidi w:val="0"/>
        <w:spacing w:after="263" w:afterLines="84" w:afterAutospacing="0"/>
        <w:jc w:val="left"/>
        <w:rPr>
          <w:rFonts w:hint="eastAsia" w:ascii="仿宋" w:hAnsi="仿宋" w:eastAsia="仿宋" w:cs="仿宋"/>
          <w:b/>
          <w:bCs/>
          <w:sz w:val="24"/>
          <w:szCs w:val="24"/>
          <w:highlight w:val="none"/>
          <w:lang w:val="en-US" w:eastAsia="zh-CN"/>
        </w:rPr>
      </w:pPr>
      <w:bookmarkStart w:id="565" w:name="_Toc12081"/>
      <w:bookmarkStart w:id="566" w:name="_Toc26272"/>
      <w:bookmarkStart w:id="567" w:name="_Toc21538"/>
      <w:bookmarkStart w:id="568" w:name="_Toc17048"/>
      <w:bookmarkStart w:id="569" w:name="_Toc16966"/>
      <w:bookmarkStart w:id="570" w:name="_Toc27227"/>
      <w:bookmarkStart w:id="571" w:name="_Toc15414"/>
      <w:r>
        <w:rPr>
          <w:rFonts w:hint="eastAsia" w:ascii="仿宋" w:hAnsi="仿宋" w:eastAsia="仿宋" w:cs="仿宋"/>
          <w:b/>
          <w:bCs/>
          <w:sz w:val="24"/>
          <w:szCs w:val="24"/>
          <w:highlight w:val="none"/>
          <w:lang w:val="en-US" w:eastAsia="zh-CN"/>
        </w:rPr>
        <w:t>附件2：拟投入本项目</w:t>
      </w:r>
      <w:bookmarkStart w:id="572" w:name="_Toc225416062"/>
      <w:bookmarkStart w:id="573" w:name="_Toc21036"/>
      <w:bookmarkStart w:id="574" w:name="_Toc225412374"/>
      <w:bookmarkStart w:id="575" w:name="_Toc225566702"/>
      <w:bookmarkStart w:id="576" w:name="_Toc225410808"/>
      <w:bookmarkStart w:id="577" w:name="_Toc225415861"/>
      <w:bookmarkStart w:id="578" w:name="_Toc225415660"/>
      <w:bookmarkStart w:id="579" w:name="_Toc225567482"/>
      <w:bookmarkStart w:id="580" w:name="_Toc225566883"/>
      <w:bookmarkStart w:id="581" w:name="_Toc4691"/>
      <w:bookmarkStart w:id="582" w:name="_Toc10862"/>
      <w:bookmarkStart w:id="583" w:name="_Toc403077653"/>
      <w:bookmarkStart w:id="584" w:name="_Toc225412172"/>
      <w:bookmarkStart w:id="585" w:name="_Toc225409966"/>
      <w:bookmarkStart w:id="586" w:name="_Toc396304715"/>
      <w:bookmarkStart w:id="587" w:name="_Toc225410182"/>
      <w:bookmarkStart w:id="588" w:name="_Toc341541376"/>
      <w:r>
        <w:rPr>
          <w:rFonts w:hint="eastAsia" w:ascii="仿宋" w:hAnsi="仿宋" w:eastAsia="仿宋" w:cs="仿宋"/>
          <w:b/>
          <w:bCs/>
          <w:sz w:val="24"/>
          <w:szCs w:val="24"/>
          <w:highlight w:val="none"/>
          <w:lang w:val="en-US" w:eastAsia="zh-CN"/>
        </w:rPr>
        <w:t>主要人员简历表</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298"/>
        <w:gridCol w:w="1735"/>
        <w:gridCol w:w="1677"/>
        <w:gridCol w:w="1412"/>
        <w:gridCol w:w="52"/>
        <w:gridCol w:w="1880"/>
        <w:gridCol w:w="4"/>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8" w:type="pct"/>
            <w:gridSpan w:val="2"/>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姓  名</w:t>
            </w:r>
          </w:p>
        </w:tc>
        <w:tc>
          <w:tcPr>
            <w:tcW w:w="871"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p>
        </w:tc>
        <w:tc>
          <w:tcPr>
            <w:tcW w:w="842"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性 别</w:t>
            </w:r>
          </w:p>
        </w:tc>
        <w:tc>
          <w:tcPr>
            <w:tcW w:w="735" w:type="pct"/>
            <w:gridSpan w:val="2"/>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p>
        </w:tc>
        <w:tc>
          <w:tcPr>
            <w:tcW w:w="943"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年 龄</w:t>
            </w:r>
          </w:p>
        </w:tc>
        <w:tc>
          <w:tcPr>
            <w:tcW w:w="629" w:type="pct"/>
            <w:gridSpan w:val="2"/>
            <w:vAlign w:val="center"/>
          </w:tcPr>
          <w:p>
            <w:pPr>
              <w:widowControl w:val="0"/>
              <w:shd w:val="clear"/>
              <w:adjustRightInd w:val="0"/>
              <w:snapToGrid w:val="0"/>
              <w:spacing w:line="400" w:lineRule="exact"/>
              <w:ind w:left="0" w:leftChars="0" w:firstLine="480" w:firstLineChars="200"/>
              <w:jc w:val="center"/>
              <w:rPr>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78" w:type="pct"/>
            <w:gridSpan w:val="2"/>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职  称</w:t>
            </w:r>
          </w:p>
        </w:tc>
        <w:tc>
          <w:tcPr>
            <w:tcW w:w="871"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p>
        </w:tc>
        <w:tc>
          <w:tcPr>
            <w:tcW w:w="842"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身份证号</w:t>
            </w:r>
          </w:p>
        </w:tc>
        <w:tc>
          <w:tcPr>
            <w:tcW w:w="735" w:type="pct"/>
            <w:gridSpan w:val="2"/>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p>
        </w:tc>
        <w:tc>
          <w:tcPr>
            <w:tcW w:w="943"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专业/年限</w:t>
            </w:r>
          </w:p>
        </w:tc>
        <w:tc>
          <w:tcPr>
            <w:tcW w:w="629" w:type="pct"/>
            <w:gridSpan w:val="2"/>
            <w:vAlign w:val="center"/>
          </w:tcPr>
          <w:p>
            <w:pPr>
              <w:widowControl w:val="0"/>
              <w:shd w:val="clear"/>
              <w:adjustRightInd w:val="0"/>
              <w:snapToGrid w:val="0"/>
              <w:spacing w:line="400" w:lineRule="exact"/>
              <w:ind w:left="0" w:leftChars="0" w:firstLine="480" w:firstLineChars="200"/>
              <w:jc w:val="center"/>
              <w:rPr>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8" w:type="pct"/>
            <w:gridSpan w:val="2"/>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毕业时间</w:t>
            </w:r>
          </w:p>
        </w:tc>
        <w:tc>
          <w:tcPr>
            <w:tcW w:w="871"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p>
        </w:tc>
        <w:tc>
          <w:tcPr>
            <w:tcW w:w="842"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毕业学校</w:t>
            </w:r>
          </w:p>
        </w:tc>
        <w:tc>
          <w:tcPr>
            <w:tcW w:w="735" w:type="pct"/>
            <w:gridSpan w:val="2"/>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p>
        </w:tc>
        <w:tc>
          <w:tcPr>
            <w:tcW w:w="943"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学历/专业</w:t>
            </w:r>
          </w:p>
        </w:tc>
        <w:tc>
          <w:tcPr>
            <w:tcW w:w="629" w:type="pct"/>
            <w:gridSpan w:val="2"/>
            <w:vAlign w:val="center"/>
          </w:tcPr>
          <w:p>
            <w:pPr>
              <w:widowControl w:val="0"/>
              <w:shd w:val="clear"/>
              <w:adjustRightInd w:val="0"/>
              <w:snapToGrid w:val="0"/>
              <w:spacing w:line="400" w:lineRule="exact"/>
              <w:ind w:left="0" w:leftChars="0" w:firstLine="480" w:firstLineChars="200"/>
              <w:jc w:val="center"/>
              <w:rPr>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8" w:type="pct"/>
            <w:gridSpan w:val="2"/>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资格证书</w:t>
            </w:r>
          </w:p>
        </w:tc>
        <w:tc>
          <w:tcPr>
            <w:tcW w:w="871"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p>
        </w:tc>
        <w:tc>
          <w:tcPr>
            <w:tcW w:w="842"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注册时间</w:t>
            </w:r>
          </w:p>
        </w:tc>
        <w:tc>
          <w:tcPr>
            <w:tcW w:w="735" w:type="pct"/>
            <w:gridSpan w:val="2"/>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p>
        </w:tc>
        <w:tc>
          <w:tcPr>
            <w:tcW w:w="943"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从业时间</w:t>
            </w:r>
          </w:p>
        </w:tc>
        <w:tc>
          <w:tcPr>
            <w:tcW w:w="629" w:type="pct"/>
            <w:gridSpan w:val="2"/>
            <w:vAlign w:val="center"/>
          </w:tcPr>
          <w:p>
            <w:pPr>
              <w:widowControl w:val="0"/>
              <w:shd w:val="clear"/>
              <w:adjustRightInd w:val="0"/>
              <w:snapToGrid w:val="0"/>
              <w:spacing w:line="400" w:lineRule="exact"/>
              <w:ind w:left="0" w:leftChars="0" w:firstLine="480" w:firstLineChars="200"/>
              <w:jc w:val="center"/>
              <w:rPr>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849" w:type="pct"/>
            <w:gridSpan w:val="3"/>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是否属供应商固定雇员</w:t>
            </w:r>
          </w:p>
        </w:tc>
        <w:tc>
          <w:tcPr>
            <w:tcW w:w="842"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p>
        </w:tc>
        <w:tc>
          <w:tcPr>
            <w:tcW w:w="1679" w:type="pct"/>
            <w:gridSpan w:val="3"/>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为供应商服务时间</w:t>
            </w:r>
          </w:p>
        </w:tc>
        <w:tc>
          <w:tcPr>
            <w:tcW w:w="629" w:type="pct"/>
            <w:gridSpan w:val="2"/>
            <w:vAlign w:val="center"/>
          </w:tcPr>
          <w:p>
            <w:pPr>
              <w:widowControl w:val="0"/>
              <w:shd w:val="clear"/>
              <w:adjustRightInd w:val="0"/>
              <w:snapToGrid w:val="0"/>
              <w:spacing w:line="400" w:lineRule="exact"/>
              <w:ind w:left="0" w:leftChars="0" w:firstLine="480" w:firstLineChars="200"/>
              <w:jc w:val="center"/>
              <w:rPr>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49" w:type="pct"/>
            <w:gridSpan w:val="3"/>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拟在本项目担任职务</w:t>
            </w:r>
          </w:p>
        </w:tc>
        <w:tc>
          <w:tcPr>
            <w:tcW w:w="3150" w:type="pct"/>
            <w:gridSpan w:val="6"/>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gridSpan w:val="9"/>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教育和培训背景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5000" w:type="pct"/>
            <w:gridSpan w:val="9"/>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（教育背景从大学开始，包括毕业院校名称、专业、起始时间。培训填写与专业技术、业务有关的内容）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000" w:type="pct"/>
            <w:gridSpan w:val="9"/>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时  间</w:t>
            </w:r>
          </w:p>
        </w:tc>
        <w:tc>
          <w:tcPr>
            <w:tcW w:w="1863" w:type="pct"/>
            <w:gridSpan w:val="3"/>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参加过的项目名称</w:t>
            </w:r>
          </w:p>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及当时所在单位</w:t>
            </w:r>
          </w:p>
        </w:tc>
        <w:tc>
          <w:tcPr>
            <w:tcW w:w="709"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担任何职</w:t>
            </w:r>
          </w:p>
        </w:tc>
        <w:tc>
          <w:tcPr>
            <w:tcW w:w="972" w:type="pct"/>
            <w:gridSpan w:val="3"/>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主要工作内容</w:t>
            </w:r>
          </w:p>
        </w:tc>
        <w:tc>
          <w:tcPr>
            <w:tcW w:w="625" w:type="pct"/>
            <w:vAlign w:val="center"/>
          </w:tcPr>
          <w:p>
            <w:pPr>
              <w:widowControl w:val="0"/>
              <w:shd w:val="clear"/>
              <w:adjustRightInd w:val="0"/>
              <w:snapToGrid w:val="0"/>
              <w:spacing w:line="400" w:lineRule="exact"/>
              <w:ind w:left="0" w:left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1863" w:type="pct"/>
            <w:gridSpan w:val="3"/>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709" w:type="pct"/>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972" w:type="pct"/>
            <w:gridSpan w:val="3"/>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625" w:type="pct"/>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28" w:type="pct"/>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1863" w:type="pct"/>
            <w:gridSpan w:val="3"/>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709" w:type="pct"/>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972" w:type="pct"/>
            <w:gridSpan w:val="3"/>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625" w:type="pct"/>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1863" w:type="pct"/>
            <w:gridSpan w:val="3"/>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709" w:type="pct"/>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972" w:type="pct"/>
            <w:gridSpan w:val="3"/>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625" w:type="pct"/>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1863" w:type="pct"/>
            <w:gridSpan w:val="3"/>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709" w:type="pct"/>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972" w:type="pct"/>
            <w:gridSpan w:val="3"/>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c>
          <w:tcPr>
            <w:tcW w:w="625" w:type="pct"/>
            <w:vAlign w:val="center"/>
          </w:tcPr>
          <w:p>
            <w:pPr>
              <w:widowControl w:val="0"/>
              <w:shd w:val="clear"/>
              <w:adjustRightInd w:val="0"/>
              <w:snapToGrid w:val="0"/>
              <w:spacing w:line="400" w:lineRule="exact"/>
              <w:ind w:left="0" w:leftChars="0"/>
              <w:jc w:val="both"/>
              <w:rPr>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pPr>
              <w:widowControl w:val="0"/>
              <w:shd w:val="clear"/>
              <w:adjustRightInd w:val="0"/>
              <w:snapToGrid w:val="0"/>
              <w:spacing w:line="400" w:lineRule="exact"/>
              <w:ind w:left="0" w:leftChars="0" w:firstLine="480" w:firstLineChars="200"/>
              <w:jc w:val="both"/>
              <w:rPr>
                <w:rFonts w:hint="eastAsia" w:ascii="仿宋" w:hAnsi="仿宋" w:eastAsia="仿宋" w:cs="仿宋"/>
                <w:color w:val="auto"/>
                <w:kern w:val="0"/>
                <w:sz w:val="24"/>
                <w:szCs w:val="24"/>
                <w:highlight w:val="none"/>
                <w:lang w:val="en-US" w:eastAsia="zh-CN" w:bidi="ar-SA"/>
              </w:rPr>
            </w:pPr>
          </w:p>
        </w:tc>
        <w:tc>
          <w:tcPr>
            <w:tcW w:w="1863" w:type="pct"/>
            <w:gridSpan w:val="3"/>
            <w:vAlign w:val="center"/>
          </w:tcPr>
          <w:p>
            <w:pPr>
              <w:widowControl w:val="0"/>
              <w:shd w:val="clear"/>
              <w:adjustRightInd w:val="0"/>
              <w:snapToGrid w:val="0"/>
              <w:spacing w:line="400" w:lineRule="exact"/>
              <w:ind w:left="0" w:leftChars="0" w:firstLine="480" w:firstLineChars="200"/>
              <w:jc w:val="both"/>
              <w:rPr>
                <w:rFonts w:hint="eastAsia" w:ascii="仿宋" w:hAnsi="仿宋" w:eastAsia="仿宋" w:cs="仿宋"/>
                <w:color w:val="auto"/>
                <w:kern w:val="0"/>
                <w:sz w:val="24"/>
                <w:szCs w:val="24"/>
                <w:highlight w:val="none"/>
                <w:lang w:val="en-US" w:eastAsia="zh-CN" w:bidi="ar-SA"/>
              </w:rPr>
            </w:pPr>
          </w:p>
        </w:tc>
        <w:tc>
          <w:tcPr>
            <w:tcW w:w="709" w:type="pct"/>
            <w:vAlign w:val="center"/>
          </w:tcPr>
          <w:p>
            <w:pPr>
              <w:widowControl w:val="0"/>
              <w:shd w:val="clear"/>
              <w:adjustRightInd w:val="0"/>
              <w:snapToGrid w:val="0"/>
              <w:spacing w:line="400" w:lineRule="exact"/>
              <w:ind w:left="0" w:leftChars="0" w:firstLine="480" w:firstLineChars="200"/>
              <w:jc w:val="both"/>
              <w:rPr>
                <w:rFonts w:hint="eastAsia" w:ascii="仿宋" w:hAnsi="仿宋" w:eastAsia="仿宋" w:cs="仿宋"/>
                <w:color w:val="auto"/>
                <w:kern w:val="0"/>
                <w:sz w:val="24"/>
                <w:szCs w:val="24"/>
                <w:highlight w:val="none"/>
                <w:lang w:val="en-US" w:eastAsia="zh-CN" w:bidi="ar-SA"/>
              </w:rPr>
            </w:pPr>
          </w:p>
        </w:tc>
        <w:tc>
          <w:tcPr>
            <w:tcW w:w="972" w:type="pct"/>
            <w:gridSpan w:val="3"/>
            <w:vAlign w:val="center"/>
          </w:tcPr>
          <w:p>
            <w:pPr>
              <w:widowControl w:val="0"/>
              <w:shd w:val="clear"/>
              <w:adjustRightInd w:val="0"/>
              <w:snapToGrid w:val="0"/>
              <w:spacing w:line="400" w:lineRule="exact"/>
              <w:ind w:left="0" w:leftChars="0" w:firstLine="480" w:firstLineChars="200"/>
              <w:jc w:val="both"/>
              <w:rPr>
                <w:rFonts w:hint="eastAsia" w:ascii="仿宋" w:hAnsi="仿宋" w:eastAsia="仿宋" w:cs="仿宋"/>
                <w:color w:val="auto"/>
                <w:kern w:val="0"/>
                <w:sz w:val="24"/>
                <w:szCs w:val="24"/>
                <w:highlight w:val="none"/>
                <w:lang w:val="en-US" w:eastAsia="zh-CN" w:bidi="ar-SA"/>
              </w:rPr>
            </w:pPr>
          </w:p>
        </w:tc>
        <w:tc>
          <w:tcPr>
            <w:tcW w:w="625" w:type="pct"/>
            <w:vAlign w:val="center"/>
          </w:tcPr>
          <w:p>
            <w:pPr>
              <w:widowControl w:val="0"/>
              <w:shd w:val="clear"/>
              <w:adjustRightInd w:val="0"/>
              <w:snapToGrid w:val="0"/>
              <w:spacing w:line="400" w:lineRule="exact"/>
              <w:ind w:left="0" w:leftChars="0" w:firstLine="480" w:firstLineChars="200"/>
              <w:jc w:val="both"/>
              <w:rPr>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pPr>
              <w:widowControl w:val="0"/>
              <w:shd w:val="clear"/>
              <w:adjustRightInd w:val="0"/>
              <w:snapToGrid w:val="0"/>
              <w:spacing w:line="400" w:lineRule="exact"/>
              <w:ind w:left="0" w:leftChars="0" w:firstLine="480" w:firstLineChars="200"/>
              <w:jc w:val="both"/>
              <w:rPr>
                <w:rFonts w:hint="eastAsia" w:ascii="仿宋" w:hAnsi="仿宋" w:eastAsia="仿宋" w:cs="仿宋"/>
                <w:color w:val="auto"/>
                <w:kern w:val="0"/>
                <w:sz w:val="24"/>
                <w:szCs w:val="24"/>
                <w:highlight w:val="none"/>
                <w:lang w:val="en-US" w:eastAsia="zh-CN" w:bidi="ar-SA"/>
              </w:rPr>
            </w:pPr>
          </w:p>
        </w:tc>
        <w:tc>
          <w:tcPr>
            <w:tcW w:w="1863" w:type="pct"/>
            <w:gridSpan w:val="3"/>
            <w:vAlign w:val="center"/>
          </w:tcPr>
          <w:p>
            <w:pPr>
              <w:widowControl w:val="0"/>
              <w:shd w:val="clear"/>
              <w:adjustRightInd w:val="0"/>
              <w:snapToGrid w:val="0"/>
              <w:spacing w:line="400" w:lineRule="exact"/>
              <w:ind w:left="0" w:leftChars="0" w:firstLine="480" w:firstLineChars="200"/>
              <w:jc w:val="both"/>
              <w:rPr>
                <w:rFonts w:hint="eastAsia" w:ascii="仿宋" w:hAnsi="仿宋" w:eastAsia="仿宋" w:cs="仿宋"/>
                <w:color w:val="auto"/>
                <w:kern w:val="0"/>
                <w:sz w:val="24"/>
                <w:szCs w:val="24"/>
                <w:highlight w:val="none"/>
                <w:lang w:val="en-US" w:eastAsia="zh-CN" w:bidi="ar-SA"/>
              </w:rPr>
            </w:pPr>
          </w:p>
        </w:tc>
        <w:tc>
          <w:tcPr>
            <w:tcW w:w="709" w:type="pct"/>
            <w:vAlign w:val="center"/>
          </w:tcPr>
          <w:p>
            <w:pPr>
              <w:widowControl w:val="0"/>
              <w:shd w:val="clear"/>
              <w:adjustRightInd w:val="0"/>
              <w:snapToGrid w:val="0"/>
              <w:spacing w:line="400" w:lineRule="exact"/>
              <w:ind w:left="0" w:leftChars="0" w:firstLine="480" w:firstLineChars="200"/>
              <w:jc w:val="both"/>
              <w:rPr>
                <w:rFonts w:hint="eastAsia" w:ascii="仿宋" w:hAnsi="仿宋" w:eastAsia="仿宋" w:cs="仿宋"/>
                <w:color w:val="auto"/>
                <w:kern w:val="0"/>
                <w:sz w:val="24"/>
                <w:szCs w:val="24"/>
                <w:highlight w:val="none"/>
                <w:lang w:val="en-US" w:eastAsia="zh-CN" w:bidi="ar-SA"/>
              </w:rPr>
            </w:pPr>
          </w:p>
        </w:tc>
        <w:tc>
          <w:tcPr>
            <w:tcW w:w="972" w:type="pct"/>
            <w:gridSpan w:val="3"/>
            <w:vAlign w:val="center"/>
          </w:tcPr>
          <w:p>
            <w:pPr>
              <w:widowControl w:val="0"/>
              <w:shd w:val="clear"/>
              <w:adjustRightInd w:val="0"/>
              <w:snapToGrid w:val="0"/>
              <w:spacing w:line="400" w:lineRule="exact"/>
              <w:ind w:left="0" w:leftChars="0" w:firstLine="480" w:firstLineChars="200"/>
              <w:jc w:val="both"/>
              <w:rPr>
                <w:rFonts w:hint="eastAsia" w:ascii="仿宋" w:hAnsi="仿宋" w:eastAsia="仿宋" w:cs="仿宋"/>
                <w:color w:val="auto"/>
                <w:kern w:val="0"/>
                <w:sz w:val="24"/>
                <w:szCs w:val="24"/>
                <w:highlight w:val="none"/>
                <w:lang w:val="en-US" w:eastAsia="zh-CN" w:bidi="ar-SA"/>
              </w:rPr>
            </w:pPr>
          </w:p>
        </w:tc>
        <w:tc>
          <w:tcPr>
            <w:tcW w:w="625" w:type="pct"/>
            <w:vAlign w:val="center"/>
          </w:tcPr>
          <w:p>
            <w:pPr>
              <w:widowControl w:val="0"/>
              <w:shd w:val="clear"/>
              <w:adjustRightInd w:val="0"/>
              <w:snapToGrid w:val="0"/>
              <w:spacing w:line="400" w:lineRule="exact"/>
              <w:ind w:left="0" w:leftChars="0" w:firstLine="480" w:firstLineChars="200"/>
              <w:jc w:val="both"/>
              <w:rPr>
                <w:rFonts w:hint="eastAsia" w:ascii="仿宋" w:hAnsi="仿宋" w:eastAsia="仿宋" w:cs="仿宋"/>
                <w:color w:val="auto"/>
                <w:kern w:val="0"/>
                <w:sz w:val="24"/>
                <w:szCs w:val="24"/>
                <w:highlight w:val="none"/>
                <w:lang w:val="en-US" w:eastAsia="zh-CN" w:bidi="ar-SA"/>
              </w:rPr>
            </w:pPr>
          </w:p>
        </w:tc>
      </w:tr>
    </w:tbl>
    <w:p>
      <w:pPr>
        <w:widowControl w:val="0"/>
        <w:shd w:val="clear"/>
        <w:tabs>
          <w:tab w:val="left" w:pos="2040"/>
          <w:tab w:val="left" w:pos="8712"/>
        </w:tabs>
        <w:adjustRightInd w:val="0"/>
        <w:snapToGrid w:val="0"/>
        <w:spacing w:beforeLines="0" w:line="400" w:lineRule="exact"/>
        <w:ind w:left="0" w:firstLine="480" w:firstLineChars="200"/>
        <w:jc w:val="both"/>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1"/>
          <w:highlight w:val="none"/>
          <w:lang w:val="en-US" w:eastAsia="zh-CN" w:bidi="ar-SA"/>
        </w:rPr>
        <w:t>注：</w:t>
      </w:r>
      <w:r>
        <w:rPr>
          <w:rFonts w:hint="eastAsia" w:ascii="仿宋" w:hAnsi="仿宋" w:eastAsia="仿宋" w:cs="仿宋"/>
          <w:bCs/>
          <w:color w:val="auto"/>
          <w:kern w:val="2"/>
          <w:sz w:val="24"/>
          <w:szCs w:val="24"/>
          <w:highlight w:val="none"/>
          <w:lang w:val="en-US" w:eastAsia="zh-CN" w:bidi="ar-SA"/>
        </w:rPr>
        <w:t>1.表后须附身份证、毕业证、职称证（如有）等相关资料复印件。</w:t>
      </w:r>
      <w:r>
        <w:rPr>
          <w:rFonts w:hint="eastAsia" w:ascii="仿宋" w:hAnsi="仿宋" w:eastAsia="仿宋" w:cs="仿宋"/>
          <w:bCs/>
          <w:color w:val="auto"/>
          <w:kern w:val="2"/>
          <w:sz w:val="24"/>
          <w:szCs w:val="24"/>
          <w:highlight w:val="none"/>
          <w:lang w:val="en-US" w:eastAsia="zh-CN" w:bidi="ar-SA"/>
        </w:rPr>
        <w:tab/>
      </w:r>
    </w:p>
    <w:p>
      <w:pPr>
        <w:widowControl/>
        <w:shd w:val="clear"/>
        <w:jc w:val="center"/>
        <w:rPr>
          <w:rFonts w:hint="eastAsia" w:ascii="仿宋" w:hAnsi="仿宋" w:eastAsia="仿宋" w:cs="仿宋"/>
          <w:b/>
          <w:bCs/>
          <w:color w:val="auto"/>
          <w:sz w:val="28"/>
          <w:highlight w:val="none"/>
        </w:rPr>
      </w:pPr>
    </w:p>
    <w:p>
      <w:pPr>
        <w:shd w:val="clea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br w:type="page"/>
      </w:r>
    </w:p>
    <w:p>
      <w:pPr>
        <w:bidi w:val="0"/>
        <w:spacing w:after="263" w:afterLines="84" w:afterAutospacing="0"/>
        <w:jc w:val="left"/>
        <w:rPr>
          <w:rFonts w:hint="eastAsia" w:ascii="仿宋" w:hAnsi="仿宋" w:eastAsia="仿宋" w:cs="仿宋"/>
          <w:b/>
          <w:bCs/>
          <w:sz w:val="24"/>
          <w:szCs w:val="24"/>
          <w:highlight w:val="none"/>
          <w:lang w:val="en-US" w:eastAsia="zh-CN"/>
        </w:rPr>
      </w:pPr>
      <w:bookmarkStart w:id="589" w:name="_Toc5643"/>
      <w:bookmarkStart w:id="590" w:name="_Toc12190"/>
      <w:bookmarkStart w:id="591" w:name="_Toc7751"/>
      <w:bookmarkStart w:id="592" w:name="_Toc25043"/>
      <w:bookmarkStart w:id="593" w:name="_Toc24005"/>
      <w:bookmarkStart w:id="594" w:name="_Toc24803"/>
      <w:bookmarkStart w:id="595" w:name="_Toc21157"/>
      <w:r>
        <w:rPr>
          <w:rFonts w:hint="eastAsia" w:ascii="仿宋" w:hAnsi="仿宋" w:eastAsia="仿宋" w:cs="仿宋"/>
          <w:b/>
          <w:bCs/>
          <w:sz w:val="24"/>
          <w:szCs w:val="24"/>
          <w:highlight w:val="none"/>
          <w:lang w:val="en-US" w:eastAsia="zh-CN"/>
        </w:rPr>
        <w:t>附件3：类似项目业绩</w:t>
      </w:r>
      <w:bookmarkEnd w:id="589"/>
      <w:bookmarkEnd w:id="590"/>
      <w:bookmarkEnd w:id="591"/>
      <w:bookmarkEnd w:id="592"/>
      <w:bookmarkEnd w:id="593"/>
      <w:bookmarkEnd w:id="594"/>
      <w:bookmarkEnd w:id="595"/>
    </w:p>
    <w:p>
      <w:pPr>
        <w:shd w:val="clea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 xml:space="preserve">采购项目名称： </w:t>
      </w:r>
      <w:r>
        <w:rPr>
          <w:rFonts w:hint="eastAsia" w:ascii="仿宋" w:hAnsi="仿宋" w:eastAsia="仿宋" w:cs="仿宋"/>
          <w:color w:val="auto"/>
          <w:highlight w:val="none"/>
          <w:u w:val="single"/>
        </w:rPr>
        <w:t xml:space="preserve">                            </w:t>
      </w:r>
    </w:p>
    <w:p>
      <w:pPr>
        <w:shd w:val="clea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 xml:space="preserve">采购项目编号： </w:t>
      </w:r>
      <w:r>
        <w:rPr>
          <w:rFonts w:hint="eastAsia" w:ascii="仿宋" w:hAnsi="仿宋" w:eastAsia="仿宋" w:cs="仿宋"/>
          <w:color w:val="auto"/>
          <w:highlight w:val="none"/>
          <w:u w:val="single"/>
        </w:rPr>
        <w:t xml:space="preserve">                            </w:t>
      </w:r>
    </w:p>
    <w:tbl>
      <w:tblPr>
        <w:tblStyle w:val="27"/>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672"/>
        <w:gridCol w:w="1179"/>
        <w:gridCol w:w="1567"/>
        <w:gridCol w:w="1792"/>
        <w:gridCol w:w="1596"/>
        <w:gridCol w:w="29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pPr>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601" w:type="pct"/>
            <w:vAlign w:val="center"/>
          </w:tcPr>
          <w:p>
            <w:pPr>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项目名称</w:t>
            </w:r>
          </w:p>
        </w:tc>
        <w:tc>
          <w:tcPr>
            <w:tcW w:w="799" w:type="pct"/>
            <w:vAlign w:val="center"/>
          </w:tcPr>
          <w:p>
            <w:pPr>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项目内容</w:t>
            </w:r>
          </w:p>
        </w:tc>
        <w:tc>
          <w:tcPr>
            <w:tcW w:w="914" w:type="pct"/>
            <w:tcBorders>
              <w:left w:val="single" w:color="auto" w:sz="4" w:space="0"/>
              <w:right w:val="single" w:color="auto" w:sz="4" w:space="0"/>
            </w:tcBorders>
            <w:vAlign w:val="center"/>
          </w:tcPr>
          <w:p>
            <w:pPr>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金额</w:t>
            </w:r>
          </w:p>
          <w:p>
            <w:pPr>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（万元）</w:t>
            </w:r>
          </w:p>
        </w:tc>
        <w:tc>
          <w:tcPr>
            <w:tcW w:w="814" w:type="pct"/>
            <w:vAlign w:val="center"/>
          </w:tcPr>
          <w:p>
            <w:pPr>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完成日期</w:t>
            </w:r>
          </w:p>
        </w:tc>
        <w:tc>
          <w:tcPr>
            <w:tcW w:w="1525" w:type="pct"/>
            <w:vAlign w:val="center"/>
          </w:tcPr>
          <w:p>
            <w:pPr>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服务单位名称、联系人及电话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pPr>
              <w:shd w:val="clear"/>
              <w:ind w:left="120"/>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601" w:type="pct"/>
            <w:vAlign w:val="center"/>
          </w:tcPr>
          <w:p>
            <w:pPr>
              <w:shd w:val="clear"/>
              <w:jc w:val="center"/>
              <w:rPr>
                <w:rFonts w:hint="eastAsia" w:ascii="仿宋" w:hAnsi="仿宋" w:eastAsia="仿宋" w:cs="仿宋"/>
                <w:color w:val="auto"/>
                <w:highlight w:val="none"/>
              </w:rPr>
            </w:pPr>
          </w:p>
        </w:tc>
        <w:tc>
          <w:tcPr>
            <w:tcW w:w="799" w:type="pct"/>
            <w:vAlign w:val="center"/>
          </w:tcPr>
          <w:p>
            <w:pPr>
              <w:shd w:val="clear"/>
              <w:jc w:val="center"/>
              <w:rPr>
                <w:rFonts w:hint="eastAsia" w:ascii="仿宋" w:hAnsi="仿宋" w:eastAsia="仿宋" w:cs="仿宋"/>
                <w:color w:val="auto"/>
                <w:highlight w:val="none"/>
              </w:rPr>
            </w:pPr>
          </w:p>
        </w:tc>
        <w:tc>
          <w:tcPr>
            <w:tcW w:w="914" w:type="pct"/>
            <w:tcBorders>
              <w:left w:val="single" w:color="auto" w:sz="4" w:space="0"/>
              <w:right w:val="single" w:color="auto" w:sz="4" w:space="0"/>
            </w:tcBorders>
            <w:vAlign w:val="center"/>
          </w:tcPr>
          <w:p>
            <w:pPr>
              <w:shd w:val="clear"/>
              <w:jc w:val="center"/>
              <w:rPr>
                <w:rFonts w:hint="eastAsia" w:ascii="仿宋" w:hAnsi="仿宋" w:eastAsia="仿宋" w:cs="仿宋"/>
                <w:color w:val="auto"/>
                <w:highlight w:val="none"/>
              </w:rPr>
            </w:pPr>
          </w:p>
        </w:tc>
        <w:tc>
          <w:tcPr>
            <w:tcW w:w="814" w:type="pct"/>
            <w:vAlign w:val="center"/>
          </w:tcPr>
          <w:p>
            <w:pPr>
              <w:shd w:val="clear"/>
              <w:jc w:val="center"/>
              <w:rPr>
                <w:rFonts w:hint="eastAsia" w:ascii="仿宋" w:hAnsi="仿宋" w:eastAsia="仿宋" w:cs="仿宋"/>
                <w:color w:val="auto"/>
                <w:highlight w:val="none"/>
              </w:rPr>
            </w:pPr>
          </w:p>
        </w:tc>
        <w:tc>
          <w:tcPr>
            <w:tcW w:w="1525" w:type="pct"/>
          </w:tcPr>
          <w:p>
            <w:pPr>
              <w:shd w:val="clear"/>
              <w:jc w:val="center"/>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pPr>
              <w:shd w:val="clear"/>
              <w:ind w:left="120"/>
              <w:jc w:val="cente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601" w:type="pct"/>
            <w:vAlign w:val="center"/>
          </w:tcPr>
          <w:p>
            <w:pPr>
              <w:shd w:val="clear"/>
              <w:jc w:val="center"/>
              <w:rPr>
                <w:rFonts w:hint="eastAsia" w:ascii="仿宋" w:hAnsi="仿宋" w:eastAsia="仿宋" w:cs="仿宋"/>
                <w:color w:val="auto"/>
                <w:highlight w:val="none"/>
              </w:rPr>
            </w:pPr>
          </w:p>
        </w:tc>
        <w:tc>
          <w:tcPr>
            <w:tcW w:w="799" w:type="pct"/>
            <w:vAlign w:val="center"/>
          </w:tcPr>
          <w:p>
            <w:pPr>
              <w:shd w:val="clear"/>
              <w:jc w:val="center"/>
              <w:rPr>
                <w:rFonts w:hint="eastAsia" w:ascii="仿宋" w:hAnsi="仿宋" w:eastAsia="仿宋" w:cs="仿宋"/>
                <w:color w:val="auto"/>
                <w:highlight w:val="none"/>
              </w:rPr>
            </w:pPr>
          </w:p>
        </w:tc>
        <w:tc>
          <w:tcPr>
            <w:tcW w:w="914" w:type="pct"/>
            <w:tcBorders>
              <w:left w:val="single" w:color="auto" w:sz="4" w:space="0"/>
              <w:right w:val="single" w:color="auto" w:sz="4" w:space="0"/>
            </w:tcBorders>
            <w:vAlign w:val="center"/>
          </w:tcPr>
          <w:p>
            <w:pPr>
              <w:shd w:val="clear"/>
              <w:jc w:val="center"/>
              <w:rPr>
                <w:rFonts w:hint="eastAsia" w:ascii="仿宋" w:hAnsi="仿宋" w:eastAsia="仿宋" w:cs="仿宋"/>
                <w:color w:val="auto"/>
                <w:highlight w:val="none"/>
              </w:rPr>
            </w:pPr>
          </w:p>
        </w:tc>
        <w:tc>
          <w:tcPr>
            <w:tcW w:w="814" w:type="pct"/>
            <w:vAlign w:val="center"/>
          </w:tcPr>
          <w:p>
            <w:pPr>
              <w:shd w:val="clear"/>
              <w:jc w:val="center"/>
              <w:rPr>
                <w:rFonts w:hint="eastAsia" w:ascii="仿宋" w:hAnsi="仿宋" w:eastAsia="仿宋" w:cs="仿宋"/>
                <w:color w:val="auto"/>
                <w:highlight w:val="none"/>
              </w:rPr>
            </w:pPr>
          </w:p>
        </w:tc>
        <w:tc>
          <w:tcPr>
            <w:tcW w:w="1525" w:type="pct"/>
          </w:tcPr>
          <w:p>
            <w:pPr>
              <w:shd w:val="clear"/>
              <w:jc w:val="center"/>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pPr>
              <w:shd w:val="clear"/>
              <w:ind w:left="120"/>
              <w:jc w:val="cente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601" w:type="pct"/>
            <w:vAlign w:val="center"/>
          </w:tcPr>
          <w:p>
            <w:pPr>
              <w:shd w:val="clear"/>
              <w:jc w:val="center"/>
              <w:rPr>
                <w:rFonts w:hint="eastAsia" w:ascii="仿宋" w:hAnsi="仿宋" w:eastAsia="仿宋" w:cs="仿宋"/>
                <w:color w:val="auto"/>
                <w:highlight w:val="none"/>
              </w:rPr>
            </w:pPr>
          </w:p>
        </w:tc>
        <w:tc>
          <w:tcPr>
            <w:tcW w:w="799" w:type="pct"/>
            <w:vAlign w:val="center"/>
          </w:tcPr>
          <w:p>
            <w:pPr>
              <w:shd w:val="clear"/>
              <w:jc w:val="center"/>
              <w:rPr>
                <w:rFonts w:hint="eastAsia" w:ascii="仿宋" w:hAnsi="仿宋" w:eastAsia="仿宋" w:cs="仿宋"/>
                <w:color w:val="auto"/>
                <w:highlight w:val="none"/>
              </w:rPr>
            </w:pPr>
          </w:p>
        </w:tc>
        <w:tc>
          <w:tcPr>
            <w:tcW w:w="914" w:type="pct"/>
            <w:tcBorders>
              <w:left w:val="single" w:color="auto" w:sz="4" w:space="0"/>
              <w:right w:val="single" w:color="auto" w:sz="4" w:space="0"/>
            </w:tcBorders>
            <w:vAlign w:val="center"/>
          </w:tcPr>
          <w:p>
            <w:pPr>
              <w:shd w:val="clear"/>
              <w:jc w:val="center"/>
              <w:rPr>
                <w:rFonts w:hint="eastAsia" w:ascii="仿宋" w:hAnsi="仿宋" w:eastAsia="仿宋" w:cs="仿宋"/>
                <w:color w:val="auto"/>
                <w:highlight w:val="none"/>
              </w:rPr>
            </w:pPr>
          </w:p>
        </w:tc>
        <w:tc>
          <w:tcPr>
            <w:tcW w:w="814" w:type="pct"/>
            <w:vAlign w:val="center"/>
          </w:tcPr>
          <w:p>
            <w:pPr>
              <w:shd w:val="clear"/>
              <w:jc w:val="center"/>
              <w:rPr>
                <w:rFonts w:hint="eastAsia" w:ascii="仿宋" w:hAnsi="仿宋" w:eastAsia="仿宋" w:cs="仿宋"/>
                <w:color w:val="auto"/>
                <w:highlight w:val="none"/>
              </w:rPr>
            </w:pPr>
          </w:p>
        </w:tc>
        <w:tc>
          <w:tcPr>
            <w:tcW w:w="1525" w:type="pct"/>
          </w:tcPr>
          <w:p>
            <w:pPr>
              <w:shd w:val="clear"/>
              <w:jc w:val="center"/>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pPr>
              <w:shd w:val="clear"/>
              <w:ind w:left="120"/>
              <w:jc w:val="cente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601" w:type="pct"/>
            <w:vAlign w:val="center"/>
          </w:tcPr>
          <w:p>
            <w:pPr>
              <w:shd w:val="clear"/>
              <w:jc w:val="center"/>
              <w:rPr>
                <w:rFonts w:hint="eastAsia" w:ascii="仿宋" w:hAnsi="仿宋" w:eastAsia="仿宋" w:cs="仿宋"/>
                <w:color w:val="auto"/>
                <w:highlight w:val="none"/>
              </w:rPr>
            </w:pPr>
          </w:p>
        </w:tc>
        <w:tc>
          <w:tcPr>
            <w:tcW w:w="799" w:type="pct"/>
            <w:vAlign w:val="center"/>
          </w:tcPr>
          <w:p>
            <w:pPr>
              <w:shd w:val="clear"/>
              <w:jc w:val="center"/>
              <w:rPr>
                <w:rFonts w:hint="eastAsia" w:ascii="仿宋" w:hAnsi="仿宋" w:eastAsia="仿宋" w:cs="仿宋"/>
                <w:color w:val="auto"/>
                <w:highlight w:val="none"/>
              </w:rPr>
            </w:pPr>
          </w:p>
        </w:tc>
        <w:tc>
          <w:tcPr>
            <w:tcW w:w="914" w:type="pct"/>
            <w:tcBorders>
              <w:left w:val="single" w:color="auto" w:sz="4" w:space="0"/>
              <w:right w:val="single" w:color="auto" w:sz="4" w:space="0"/>
            </w:tcBorders>
            <w:vAlign w:val="center"/>
          </w:tcPr>
          <w:p>
            <w:pPr>
              <w:shd w:val="clear"/>
              <w:jc w:val="center"/>
              <w:rPr>
                <w:rFonts w:hint="eastAsia" w:ascii="仿宋" w:hAnsi="仿宋" w:eastAsia="仿宋" w:cs="仿宋"/>
                <w:color w:val="auto"/>
                <w:highlight w:val="none"/>
              </w:rPr>
            </w:pPr>
          </w:p>
        </w:tc>
        <w:tc>
          <w:tcPr>
            <w:tcW w:w="814" w:type="pct"/>
            <w:vAlign w:val="center"/>
          </w:tcPr>
          <w:p>
            <w:pPr>
              <w:shd w:val="clear"/>
              <w:jc w:val="center"/>
              <w:rPr>
                <w:rFonts w:hint="eastAsia" w:ascii="仿宋" w:hAnsi="仿宋" w:eastAsia="仿宋" w:cs="仿宋"/>
                <w:color w:val="auto"/>
                <w:highlight w:val="none"/>
              </w:rPr>
            </w:pPr>
          </w:p>
        </w:tc>
        <w:tc>
          <w:tcPr>
            <w:tcW w:w="1525" w:type="pct"/>
          </w:tcPr>
          <w:p>
            <w:pPr>
              <w:shd w:val="clear"/>
              <w:jc w:val="center"/>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pPr>
              <w:shd w:val="clear"/>
              <w:ind w:left="120"/>
              <w:jc w:val="cente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601" w:type="pct"/>
            <w:vAlign w:val="center"/>
          </w:tcPr>
          <w:p>
            <w:pPr>
              <w:shd w:val="clear"/>
              <w:jc w:val="center"/>
              <w:rPr>
                <w:rFonts w:hint="eastAsia" w:ascii="仿宋" w:hAnsi="仿宋" w:eastAsia="仿宋" w:cs="仿宋"/>
                <w:color w:val="auto"/>
                <w:highlight w:val="none"/>
              </w:rPr>
            </w:pPr>
          </w:p>
        </w:tc>
        <w:tc>
          <w:tcPr>
            <w:tcW w:w="799" w:type="pct"/>
            <w:vAlign w:val="center"/>
          </w:tcPr>
          <w:p>
            <w:pPr>
              <w:shd w:val="clear"/>
              <w:jc w:val="center"/>
              <w:rPr>
                <w:rFonts w:hint="eastAsia" w:ascii="仿宋" w:hAnsi="仿宋" w:eastAsia="仿宋" w:cs="仿宋"/>
                <w:color w:val="auto"/>
                <w:highlight w:val="none"/>
              </w:rPr>
            </w:pPr>
          </w:p>
        </w:tc>
        <w:tc>
          <w:tcPr>
            <w:tcW w:w="914" w:type="pct"/>
            <w:tcBorders>
              <w:left w:val="single" w:color="auto" w:sz="4" w:space="0"/>
              <w:right w:val="single" w:color="auto" w:sz="4" w:space="0"/>
            </w:tcBorders>
            <w:vAlign w:val="center"/>
          </w:tcPr>
          <w:p>
            <w:pPr>
              <w:shd w:val="clear"/>
              <w:jc w:val="center"/>
              <w:rPr>
                <w:rFonts w:hint="eastAsia" w:ascii="仿宋" w:hAnsi="仿宋" w:eastAsia="仿宋" w:cs="仿宋"/>
                <w:color w:val="auto"/>
                <w:highlight w:val="none"/>
              </w:rPr>
            </w:pPr>
          </w:p>
        </w:tc>
        <w:tc>
          <w:tcPr>
            <w:tcW w:w="814" w:type="pct"/>
            <w:vAlign w:val="center"/>
          </w:tcPr>
          <w:p>
            <w:pPr>
              <w:shd w:val="clear"/>
              <w:jc w:val="center"/>
              <w:rPr>
                <w:rFonts w:hint="eastAsia" w:ascii="仿宋" w:hAnsi="仿宋" w:eastAsia="仿宋" w:cs="仿宋"/>
                <w:color w:val="auto"/>
                <w:highlight w:val="none"/>
              </w:rPr>
            </w:pPr>
          </w:p>
        </w:tc>
        <w:tc>
          <w:tcPr>
            <w:tcW w:w="1525" w:type="pct"/>
          </w:tcPr>
          <w:p>
            <w:pPr>
              <w:shd w:val="clear"/>
              <w:jc w:val="center"/>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pPr>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601" w:type="pct"/>
            <w:vAlign w:val="center"/>
          </w:tcPr>
          <w:p>
            <w:pPr>
              <w:shd w:val="clear"/>
              <w:jc w:val="center"/>
              <w:rPr>
                <w:rFonts w:hint="eastAsia" w:ascii="仿宋" w:hAnsi="仿宋" w:eastAsia="仿宋" w:cs="仿宋"/>
                <w:color w:val="auto"/>
                <w:highlight w:val="none"/>
              </w:rPr>
            </w:pPr>
          </w:p>
        </w:tc>
        <w:tc>
          <w:tcPr>
            <w:tcW w:w="799" w:type="pct"/>
            <w:vAlign w:val="center"/>
          </w:tcPr>
          <w:p>
            <w:pPr>
              <w:shd w:val="clear"/>
              <w:jc w:val="center"/>
              <w:rPr>
                <w:rFonts w:hint="eastAsia" w:ascii="仿宋" w:hAnsi="仿宋" w:eastAsia="仿宋" w:cs="仿宋"/>
                <w:color w:val="auto"/>
                <w:highlight w:val="none"/>
              </w:rPr>
            </w:pPr>
          </w:p>
        </w:tc>
        <w:tc>
          <w:tcPr>
            <w:tcW w:w="914" w:type="pct"/>
            <w:tcBorders>
              <w:left w:val="single" w:color="auto" w:sz="4" w:space="0"/>
              <w:right w:val="single" w:color="auto" w:sz="4" w:space="0"/>
            </w:tcBorders>
            <w:vAlign w:val="center"/>
          </w:tcPr>
          <w:p>
            <w:pPr>
              <w:shd w:val="clear"/>
              <w:jc w:val="center"/>
              <w:rPr>
                <w:rFonts w:hint="eastAsia" w:ascii="仿宋" w:hAnsi="仿宋" w:eastAsia="仿宋" w:cs="仿宋"/>
                <w:color w:val="auto"/>
                <w:highlight w:val="none"/>
              </w:rPr>
            </w:pPr>
          </w:p>
        </w:tc>
        <w:tc>
          <w:tcPr>
            <w:tcW w:w="814" w:type="pct"/>
            <w:vAlign w:val="center"/>
          </w:tcPr>
          <w:p>
            <w:pPr>
              <w:shd w:val="clear"/>
              <w:jc w:val="center"/>
              <w:rPr>
                <w:rFonts w:hint="eastAsia" w:ascii="仿宋" w:hAnsi="仿宋" w:eastAsia="仿宋" w:cs="仿宋"/>
                <w:color w:val="auto"/>
                <w:highlight w:val="none"/>
              </w:rPr>
            </w:pPr>
          </w:p>
        </w:tc>
        <w:tc>
          <w:tcPr>
            <w:tcW w:w="1525" w:type="pct"/>
          </w:tcPr>
          <w:p>
            <w:pPr>
              <w:shd w:val="clear"/>
              <w:jc w:val="center"/>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pPr>
              <w:shd w:val="clear"/>
              <w:jc w:val="center"/>
              <w:rPr>
                <w:rFonts w:hint="eastAsia" w:ascii="仿宋" w:hAnsi="仿宋" w:eastAsia="仿宋" w:cs="仿宋"/>
                <w:b/>
                <w:color w:val="auto"/>
                <w:highlight w:val="none"/>
              </w:rPr>
            </w:pPr>
          </w:p>
        </w:tc>
        <w:tc>
          <w:tcPr>
            <w:tcW w:w="601" w:type="pct"/>
            <w:vAlign w:val="center"/>
          </w:tcPr>
          <w:p>
            <w:pPr>
              <w:shd w:val="clear"/>
              <w:jc w:val="center"/>
              <w:rPr>
                <w:rFonts w:hint="eastAsia" w:ascii="仿宋" w:hAnsi="仿宋" w:eastAsia="仿宋" w:cs="仿宋"/>
                <w:color w:val="auto"/>
                <w:highlight w:val="none"/>
              </w:rPr>
            </w:pPr>
          </w:p>
        </w:tc>
        <w:tc>
          <w:tcPr>
            <w:tcW w:w="799" w:type="pct"/>
            <w:vAlign w:val="center"/>
          </w:tcPr>
          <w:p>
            <w:pPr>
              <w:shd w:val="clear"/>
              <w:jc w:val="center"/>
              <w:rPr>
                <w:rFonts w:hint="eastAsia" w:ascii="仿宋" w:hAnsi="仿宋" w:eastAsia="仿宋" w:cs="仿宋"/>
                <w:color w:val="auto"/>
                <w:highlight w:val="none"/>
              </w:rPr>
            </w:pPr>
          </w:p>
        </w:tc>
        <w:tc>
          <w:tcPr>
            <w:tcW w:w="914" w:type="pct"/>
            <w:tcBorders>
              <w:left w:val="single" w:color="auto" w:sz="4" w:space="0"/>
              <w:right w:val="single" w:color="auto" w:sz="4" w:space="0"/>
            </w:tcBorders>
            <w:vAlign w:val="center"/>
          </w:tcPr>
          <w:p>
            <w:pPr>
              <w:shd w:val="clear"/>
              <w:jc w:val="center"/>
              <w:rPr>
                <w:rFonts w:hint="eastAsia" w:ascii="仿宋" w:hAnsi="仿宋" w:eastAsia="仿宋" w:cs="仿宋"/>
                <w:color w:val="auto"/>
                <w:highlight w:val="none"/>
              </w:rPr>
            </w:pPr>
          </w:p>
        </w:tc>
        <w:tc>
          <w:tcPr>
            <w:tcW w:w="814" w:type="pct"/>
            <w:vAlign w:val="center"/>
          </w:tcPr>
          <w:p>
            <w:pPr>
              <w:shd w:val="clear"/>
              <w:jc w:val="center"/>
              <w:rPr>
                <w:rFonts w:hint="eastAsia" w:ascii="仿宋" w:hAnsi="仿宋" w:eastAsia="仿宋" w:cs="仿宋"/>
                <w:color w:val="auto"/>
                <w:highlight w:val="none"/>
              </w:rPr>
            </w:pPr>
          </w:p>
        </w:tc>
        <w:tc>
          <w:tcPr>
            <w:tcW w:w="1525" w:type="pct"/>
          </w:tcPr>
          <w:p>
            <w:pPr>
              <w:shd w:val="clear"/>
              <w:jc w:val="center"/>
              <w:rPr>
                <w:rFonts w:hint="eastAsia" w:ascii="仿宋" w:hAnsi="仿宋" w:eastAsia="仿宋" w:cs="仿宋"/>
                <w:color w:val="auto"/>
                <w:highlight w:val="none"/>
              </w:rPr>
            </w:pPr>
          </w:p>
        </w:tc>
      </w:tr>
    </w:tbl>
    <w:p>
      <w:pPr>
        <w:shd w:val="clear"/>
        <w:snapToGrid w:val="0"/>
        <w:spacing w:before="120"/>
        <w:ind w:left="518" w:leftChars="50" w:right="357" w:hanging="398" w:hangingChars="166"/>
        <w:rPr>
          <w:rFonts w:hint="eastAsia" w:ascii="仿宋" w:hAnsi="仿宋" w:eastAsia="仿宋" w:cs="仿宋"/>
          <w:color w:val="auto"/>
          <w:highlight w:val="none"/>
        </w:rPr>
      </w:pPr>
    </w:p>
    <w:p>
      <w:pPr>
        <w:shd w:val="clear"/>
        <w:tabs>
          <w:tab w:val="left" w:pos="8782"/>
        </w:tabs>
        <w:snapToGrid w:val="0"/>
        <w:spacing w:before="120"/>
        <w:ind w:left="518" w:leftChars="50" w:right="-38" w:hanging="398" w:hangingChars="166"/>
        <w:rPr>
          <w:rFonts w:hint="eastAsia" w:ascii="仿宋" w:hAnsi="仿宋" w:eastAsia="仿宋" w:cs="仿宋"/>
          <w:color w:val="auto"/>
          <w:highlight w:val="none"/>
        </w:rPr>
      </w:pPr>
      <w:r>
        <w:rPr>
          <w:rFonts w:hint="eastAsia" w:ascii="仿宋" w:hAnsi="仿宋" w:eastAsia="仿宋" w:cs="仿宋"/>
          <w:color w:val="auto"/>
          <w:highlight w:val="none"/>
        </w:rPr>
        <w:t xml:space="preserve">注：1. </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应如实列出以上情况，如有隐瞒，一经查实将导致其报价申请被拒绝。</w:t>
      </w:r>
    </w:p>
    <w:p>
      <w:pPr>
        <w:shd w:val="clear"/>
        <w:snapToGrid w:val="0"/>
        <w:spacing w:before="120"/>
        <w:ind w:left="478" w:leftChars="199" w:right="357" w:firstLine="120" w:firstLineChars="50"/>
        <w:rPr>
          <w:rFonts w:hint="eastAsia" w:ascii="仿宋" w:hAnsi="仿宋" w:eastAsia="仿宋" w:cs="仿宋"/>
          <w:color w:val="auto"/>
          <w:highlight w:val="none"/>
        </w:rPr>
      </w:pPr>
      <w:r>
        <w:rPr>
          <w:rFonts w:hint="eastAsia" w:ascii="仿宋" w:hAnsi="仿宋" w:eastAsia="仿宋" w:cs="仿宋"/>
          <w:color w:val="auto"/>
          <w:highlight w:val="none"/>
        </w:rPr>
        <w:t xml:space="preserve">2.供应商应提供证明材料（复印件加盖公章装订在响应文件中）。 </w:t>
      </w:r>
    </w:p>
    <w:p>
      <w:pPr>
        <w:shd w:val="clear"/>
        <w:ind w:left="1256" w:hanging="836"/>
        <w:rPr>
          <w:rFonts w:hint="eastAsia" w:ascii="仿宋" w:hAnsi="仿宋" w:eastAsia="仿宋" w:cs="仿宋"/>
          <w:color w:val="auto"/>
          <w:sz w:val="22"/>
          <w:highlight w:val="none"/>
        </w:rPr>
      </w:pPr>
    </w:p>
    <w:p>
      <w:pPr>
        <w:shd w:val="clear"/>
        <w:tabs>
          <w:tab w:val="left" w:pos="1680"/>
        </w:tabs>
        <w:rPr>
          <w:rFonts w:hint="eastAsia" w:ascii="仿宋" w:hAnsi="仿宋" w:eastAsia="仿宋" w:cs="仿宋"/>
          <w:color w:val="auto"/>
          <w:highlight w:val="none"/>
        </w:rPr>
      </w:pPr>
    </w:p>
    <w:p>
      <w:pPr>
        <w:shd w:val="clear"/>
        <w:spacing w:line="480" w:lineRule="auto"/>
        <w:ind w:right="-161" w:firstLine="2640" w:firstLineChars="1100"/>
        <w:rPr>
          <w:rFonts w:hint="eastAsia" w:ascii="仿宋" w:hAnsi="仿宋" w:eastAsia="仿宋" w:cs="仿宋"/>
          <w:color w:val="auto"/>
          <w:highlight w:val="none"/>
        </w:rPr>
      </w:pPr>
    </w:p>
    <w:p>
      <w:pPr>
        <w:shd w:val="clear"/>
        <w:spacing w:line="480" w:lineRule="auto"/>
        <w:ind w:right="-161" w:firstLine="2640" w:firstLineChars="1100"/>
        <w:rPr>
          <w:rFonts w:hint="eastAsia" w:ascii="仿宋" w:hAnsi="仿宋" w:eastAsia="仿宋" w:cs="仿宋"/>
          <w:color w:val="auto"/>
          <w:highlight w:val="none"/>
        </w:rPr>
      </w:pPr>
    </w:p>
    <w:p>
      <w:pPr>
        <w:shd w:val="clear"/>
        <w:spacing w:line="480" w:lineRule="exact"/>
        <w:ind w:left="240" w:leftChars="100"/>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lang w:eastAsia="zh-CN"/>
        </w:rPr>
        <w:t>供应商名称（</w:t>
      </w: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w:t>
      </w:r>
    </w:p>
    <w:p>
      <w:pPr>
        <w:shd w:val="clear"/>
        <w:spacing w:line="480" w:lineRule="exact"/>
        <w:ind w:left="240" w:leftChars="1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zh-CN"/>
        </w:rPr>
        <w:t>法定代表人或被授权人（签字或盖章）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p>
    <w:p>
      <w:pPr>
        <w:shd w:val="clear"/>
        <w:spacing w:line="480" w:lineRule="exact"/>
        <w:ind w:left="240" w:leftChars="100"/>
        <w:rPr>
          <w:rFonts w:hint="eastAsia" w:ascii="仿宋" w:hAnsi="仿宋" w:eastAsia="仿宋" w:cs="仿宋"/>
          <w:color w:val="auto"/>
          <w:highlight w:val="none"/>
          <w:u w:val="single"/>
        </w:rPr>
      </w:pPr>
      <w:r>
        <w:rPr>
          <w:rFonts w:hint="eastAsia" w:ascii="仿宋" w:hAnsi="仿宋" w:eastAsia="仿宋" w:cs="仿宋"/>
          <w:color w:val="auto"/>
          <w:szCs w:val="24"/>
          <w:highlight w:val="none"/>
        </w:rPr>
        <w:t>日 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spacing w:line="219" w:lineRule="auto"/>
        <w:ind w:left="6969"/>
        <w:rPr>
          <w:rFonts w:hint="eastAsia" w:ascii="仿宋" w:hAnsi="仿宋" w:eastAsia="仿宋" w:cs="仿宋"/>
          <w:color w:val="auto"/>
          <w:sz w:val="24"/>
          <w:szCs w:val="24"/>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bidi w:val="0"/>
        <w:jc w:val="center"/>
        <w:rPr>
          <w:rFonts w:hint="eastAsia" w:ascii="仿宋" w:hAnsi="仿宋" w:eastAsia="仿宋" w:cs="仿宋"/>
          <w:highlight w:val="none"/>
          <w:lang w:val="en-US" w:eastAsia="zh-CN"/>
        </w:rPr>
      </w:pPr>
      <w:bookmarkStart w:id="596" w:name="_Toc459"/>
      <w:r>
        <w:rPr>
          <w:rFonts w:hint="eastAsia" w:ascii="仿宋" w:hAnsi="仿宋" w:eastAsia="仿宋" w:cs="仿宋"/>
          <w:highlight w:val="none"/>
          <w:lang w:val="en-US" w:eastAsia="zh-CN"/>
        </w:rPr>
        <w:t>十、第二次报价表（最终报价表）</w:t>
      </w:r>
      <w:bookmarkEnd w:id="596"/>
    </w:p>
    <w:tbl>
      <w:tblPr>
        <w:tblStyle w:val="27"/>
        <w:tblW w:w="4999"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060"/>
        <w:gridCol w:w="7899"/>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8" w:hRule="atLeast"/>
          <w:jc w:val="center"/>
        </w:trPr>
        <w:tc>
          <w:tcPr>
            <w:tcW w:w="1034" w:type="pct"/>
            <w:tcBorders>
              <w:bottom w:val="single" w:color="auto" w:sz="4" w:space="0"/>
            </w:tcBorders>
            <w:noWrap w:val="0"/>
            <w:vAlign w:val="center"/>
          </w:tcPr>
          <w:p>
            <w:pPr>
              <w:spacing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采购项目名称</w:t>
            </w:r>
          </w:p>
        </w:tc>
        <w:tc>
          <w:tcPr>
            <w:tcW w:w="3965" w:type="pct"/>
            <w:noWrap w:val="0"/>
            <w:vAlign w:val="center"/>
          </w:tcPr>
          <w:p>
            <w:pPr>
              <w:pStyle w:val="2"/>
              <w:spacing w:line="360" w:lineRule="auto"/>
              <w:jc w:val="center"/>
              <w:outlineLvl w:val="9"/>
              <w:rPr>
                <w:rFonts w:hint="eastAsia" w:ascii="仿宋" w:hAnsi="仿宋" w:eastAsia="仿宋" w:cs="仿宋"/>
                <w:b w:val="0"/>
                <w:kern w:val="2"/>
                <w:sz w:val="24"/>
                <w:szCs w:val="24"/>
                <w:highlight w:val="none"/>
                <w:lang w:val="en-US"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034" w:type="pct"/>
            <w:tcBorders>
              <w:bottom w:val="single" w:color="auto" w:sz="4" w:space="0"/>
            </w:tcBorders>
            <w:noWrap w:val="0"/>
            <w:vAlign w:val="center"/>
          </w:tcPr>
          <w:p>
            <w:pPr>
              <w:spacing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采购项目编号</w:t>
            </w:r>
          </w:p>
        </w:tc>
        <w:tc>
          <w:tcPr>
            <w:tcW w:w="3965" w:type="pct"/>
            <w:tcBorders>
              <w:bottom w:val="single" w:color="auto" w:sz="4" w:space="0"/>
            </w:tcBorders>
            <w:noWrap w:val="0"/>
            <w:vAlign w:val="center"/>
          </w:tcPr>
          <w:p>
            <w:pPr>
              <w:spacing w:line="360" w:lineRule="auto"/>
              <w:jc w:val="center"/>
              <w:rPr>
                <w:rFonts w:hint="eastAsia" w:ascii="仿宋" w:hAnsi="仿宋" w:eastAsia="仿宋" w:cs="仿宋"/>
                <w:bCs/>
                <w:sz w:val="24"/>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97" w:hRule="atLeast"/>
          <w:jc w:val="center"/>
        </w:trPr>
        <w:tc>
          <w:tcPr>
            <w:tcW w:w="1034" w:type="pct"/>
            <w:noWrap w:val="0"/>
            <w:vAlign w:val="center"/>
          </w:tcPr>
          <w:p>
            <w:pPr>
              <w:spacing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供应商名称</w:t>
            </w:r>
          </w:p>
          <w:p>
            <w:pPr>
              <w:spacing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(单位名称)</w:t>
            </w:r>
          </w:p>
        </w:tc>
        <w:tc>
          <w:tcPr>
            <w:tcW w:w="3965" w:type="pct"/>
            <w:noWrap w:val="0"/>
            <w:vAlign w:val="center"/>
          </w:tcPr>
          <w:p>
            <w:pPr>
              <w:spacing w:line="360" w:lineRule="auto"/>
              <w:jc w:val="center"/>
              <w:rPr>
                <w:rFonts w:hint="eastAsia" w:ascii="仿宋" w:hAnsi="仿宋" w:eastAsia="仿宋" w:cs="仿宋"/>
                <w:b/>
                <w:bCs/>
                <w:sz w:val="24"/>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20" w:hRule="atLeast"/>
          <w:jc w:val="center"/>
        </w:trPr>
        <w:tc>
          <w:tcPr>
            <w:tcW w:w="1034" w:type="pct"/>
            <w:noWrap w:val="0"/>
            <w:vAlign w:val="center"/>
          </w:tcPr>
          <w:p>
            <w:pPr>
              <w:spacing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磋商</w:t>
            </w:r>
            <w:r>
              <w:rPr>
                <w:rFonts w:hint="eastAsia" w:ascii="仿宋" w:hAnsi="仿宋" w:eastAsia="仿宋" w:cs="仿宋"/>
                <w:b/>
                <w:bCs/>
                <w:sz w:val="24"/>
                <w:szCs w:val="24"/>
                <w:highlight w:val="none"/>
              </w:rPr>
              <w:t>报价</w:t>
            </w:r>
          </w:p>
        </w:tc>
        <w:tc>
          <w:tcPr>
            <w:tcW w:w="3965" w:type="pct"/>
            <w:noWrap w:val="0"/>
            <w:vAlign w:val="center"/>
          </w:tcPr>
          <w:p>
            <w:pPr>
              <w:spacing w:line="360" w:lineRule="auto"/>
              <w:jc w:val="both"/>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人 民 币（大写）：</w:t>
            </w:r>
            <w:r>
              <w:rPr>
                <w:rFonts w:hint="eastAsia" w:ascii="仿宋" w:hAnsi="仿宋" w:eastAsia="仿宋" w:cs="仿宋"/>
                <w:b/>
                <w:bCs/>
                <w:sz w:val="24"/>
                <w:szCs w:val="24"/>
                <w:highlight w:val="none"/>
                <w:u w:val="single"/>
              </w:rPr>
              <w:t xml:space="preserve">                  </w:t>
            </w:r>
          </w:p>
          <w:p>
            <w:pPr>
              <w:spacing w:line="360" w:lineRule="auto"/>
              <w:jc w:val="both"/>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人 民 币（小写）：</w:t>
            </w:r>
            <w:r>
              <w:rPr>
                <w:rFonts w:hint="eastAsia" w:ascii="仿宋" w:hAnsi="仿宋" w:eastAsia="仿宋" w:cs="仿宋"/>
                <w:b/>
                <w:bCs/>
                <w:sz w:val="24"/>
                <w:szCs w:val="24"/>
                <w:highlight w:val="none"/>
                <w:u w:val="single"/>
              </w:rPr>
              <w:t xml:space="preserve">                 </w:t>
            </w:r>
            <w:r>
              <w:rPr>
                <w:rFonts w:hint="eastAsia" w:ascii="仿宋" w:hAnsi="仿宋" w:eastAsia="仿宋" w:cs="仿宋"/>
                <w:b/>
                <w:bCs/>
                <w:sz w:val="24"/>
                <w:szCs w:val="24"/>
                <w:highlight w:val="none"/>
              </w:rPr>
              <w:t xml:space="preserve"> 元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1034" w:type="pct"/>
            <w:noWrap w:val="0"/>
            <w:vAlign w:val="center"/>
          </w:tcPr>
          <w:p>
            <w:pPr>
              <w:spacing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服务期</w:t>
            </w:r>
          </w:p>
        </w:tc>
        <w:tc>
          <w:tcPr>
            <w:tcW w:w="3965" w:type="pct"/>
            <w:noWrap w:val="0"/>
            <w:vAlign w:val="center"/>
          </w:tcPr>
          <w:p>
            <w:pPr>
              <w:spacing w:line="360" w:lineRule="auto"/>
              <w:jc w:val="center"/>
              <w:rPr>
                <w:rFonts w:hint="eastAsia" w:ascii="仿宋" w:hAnsi="仿宋" w:eastAsia="仿宋" w:cs="仿宋"/>
                <w:b/>
                <w:bCs/>
                <w:sz w:val="24"/>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1034" w:type="pct"/>
            <w:noWrap w:val="0"/>
            <w:vAlign w:val="center"/>
          </w:tcPr>
          <w:p>
            <w:pPr>
              <w:spacing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服务质量</w:t>
            </w:r>
          </w:p>
        </w:tc>
        <w:tc>
          <w:tcPr>
            <w:tcW w:w="3965" w:type="pct"/>
            <w:noWrap w:val="0"/>
            <w:vAlign w:val="center"/>
          </w:tcPr>
          <w:p>
            <w:pPr>
              <w:spacing w:line="360" w:lineRule="auto"/>
              <w:jc w:val="center"/>
              <w:rPr>
                <w:rFonts w:hint="eastAsia" w:ascii="仿宋" w:hAnsi="仿宋" w:eastAsia="仿宋" w:cs="仿宋"/>
                <w:b/>
                <w:bCs/>
                <w:sz w:val="24"/>
                <w:szCs w:val="24"/>
                <w:highlight w:val="none"/>
              </w:rPr>
            </w:pPr>
          </w:p>
        </w:tc>
      </w:tr>
    </w:tbl>
    <w:p>
      <w:pPr>
        <w:spacing w:line="360" w:lineRule="auto"/>
        <w:rPr>
          <w:rFonts w:hint="eastAsia" w:ascii="仿宋" w:hAnsi="仿宋" w:eastAsia="仿宋" w:cs="仿宋"/>
          <w:sz w:val="24"/>
          <w:szCs w:val="24"/>
          <w:highlight w:val="none"/>
        </w:rPr>
      </w:pPr>
    </w:p>
    <w:p>
      <w:pPr>
        <w:spacing w:line="360" w:lineRule="auto"/>
        <w:ind w:firstLine="480" w:firstLineChars="200"/>
        <w:rPr>
          <w:rFonts w:hint="eastAsia" w:ascii="仿宋" w:hAnsi="仿宋" w:eastAsia="仿宋" w:cs="仿宋"/>
          <w:sz w:val="24"/>
          <w:szCs w:val="24"/>
          <w:highlight w:val="none"/>
        </w:rPr>
      </w:pPr>
    </w:p>
    <w:p>
      <w:pPr>
        <w:spacing w:line="360" w:lineRule="auto"/>
        <w:ind w:firstLine="480" w:firstLineChars="200"/>
        <w:rPr>
          <w:rFonts w:hint="eastAsia" w:ascii="仿宋" w:hAnsi="仿宋" w:eastAsia="仿宋" w:cs="仿宋"/>
          <w:sz w:val="24"/>
          <w:szCs w:val="24"/>
          <w:highlight w:val="none"/>
        </w:rPr>
      </w:pP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(公章):</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法定代表人/授权代表人（签字）：</w:t>
      </w:r>
    </w:p>
    <w:p>
      <w:pPr>
        <w:spacing w:line="360" w:lineRule="auto"/>
        <w:ind w:right="150"/>
        <w:rPr>
          <w:rFonts w:hint="eastAsia" w:ascii="仿宋" w:hAnsi="仿宋" w:eastAsia="仿宋" w:cs="仿宋"/>
          <w:sz w:val="24"/>
          <w:szCs w:val="24"/>
          <w:highlight w:val="none"/>
        </w:rPr>
      </w:pPr>
    </w:p>
    <w:p>
      <w:pPr>
        <w:wordWrap w:val="0"/>
        <w:spacing w:line="360" w:lineRule="auto"/>
        <w:ind w:right="150" w:firstLine="957" w:firstLineChars="399"/>
        <w:jc w:val="right"/>
        <w:rPr>
          <w:rFonts w:hint="eastAsia" w:ascii="仿宋" w:hAnsi="仿宋" w:eastAsia="仿宋" w:cs="仿宋"/>
          <w:sz w:val="24"/>
          <w:szCs w:val="24"/>
          <w:highlight w:val="none"/>
        </w:rPr>
      </w:pPr>
      <w:r>
        <w:rPr>
          <w:rFonts w:hint="eastAsia" w:ascii="仿宋" w:hAnsi="仿宋" w:eastAsia="仿宋" w:cs="仿宋"/>
          <w:sz w:val="24"/>
          <w:szCs w:val="24"/>
          <w:highlight w:val="none"/>
        </w:rPr>
        <w:t>年     月     日</w:t>
      </w:r>
    </w:p>
    <w:p>
      <w:pPr>
        <w:pStyle w:val="23"/>
        <w:wordWrap/>
        <w:rPr>
          <w:rFonts w:hint="eastAsia" w:ascii="仿宋" w:hAnsi="仿宋" w:eastAsia="仿宋" w:cs="仿宋"/>
          <w:sz w:val="24"/>
          <w:szCs w:val="24"/>
          <w:highlight w:val="none"/>
        </w:rPr>
      </w:pPr>
    </w:p>
    <w:p>
      <w:pPr>
        <w:autoSpaceDE w:val="0"/>
        <w:autoSpaceDN w:val="0"/>
        <w:adjustRightInd w:val="0"/>
        <w:spacing w:line="360" w:lineRule="auto"/>
        <w:rPr>
          <w:rFonts w:hint="eastAsia" w:ascii="仿宋" w:hAnsi="仿宋" w:eastAsia="仿宋" w:cs="仿宋"/>
          <w:sz w:val="24"/>
          <w:szCs w:val="24"/>
          <w:highlight w:val="none"/>
        </w:rPr>
      </w:pPr>
      <w:r>
        <w:rPr>
          <w:rFonts w:hint="eastAsia" w:ascii="仿宋" w:hAnsi="仿宋" w:eastAsia="仿宋" w:cs="仿宋"/>
          <w:b/>
          <w:sz w:val="24"/>
          <w:szCs w:val="24"/>
          <w:highlight w:val="none"/>
        </w:rPr>
        <w:t>（注意：“第二次报价表（最终报价表）”不装入投标响应文件中，</w:t>
      </w:r>
      <w:r>
        <w:rPr>
          <w:rFonts w:hint="eastAsia" w:ascii="仿宋" w:hAnsi="仿宋" w:eastAsia="仿宋" w:cs="仿宋"/>
          <w:b/>
          <w:sz w:val="24"/>
          <w:szCs w:val="24"/>
          <w:highlight w:val="none"/>
          <w:lang w:val="en-US" w:eastAsia="zh-CN"/>
        </w:rPr>
        <w:t>磋商</w:t>
      </w:r>
      <w:r>
        <w:rPr>
          <w:rFonts w:hint="eastAsia" w:ascii="仿宋" w:hAnsi="仿宋" w:eastAsia="仿宋" w:cs="仿宋"/>
          <w:b/>
          <w:sz w:val="24"/>
          <w:szCs w:val="24"/>
          <w:highlight w:val="none"/>
        </w:rPr>
        <w:t>结束后所有继续参加</w:t>
      </w:r>
      <w:r>
        <w:rPr>
          <w:rFonts w:hint="eastAsia" w:ascii="仿宋" w:hAnsi="仿宋" w:eastAsia="仿宋" w:cs="仿宋"/>
          <w:b/>
          <w:sz w:val="24"/>
          <w:szCs w:val="24"/>
          <w:highlight w:val="none"/>
          <w:lang w:val="en-US" w:eastAsia="zh-CN"/>
        </w:rPr>
        <w:t>磋商</w:t>
      </w:r>
      <w:r>
        <w:rPr>
          <w:rFonts w:hint="eastAsia" w:ascii="仿宋" w:hAnsi="仿宋" w:eastAsia="仿宋" w:cs="仿宋"/>
          <w:b/>
          <w:sz w:val="24"/>
          <w:szCs w:val="24"/>
          <w:highlight w:val="none"/>
        </w:rPr>
        <w:t>的供应商，按</w:t>
      </w:r>
      <w:r>
        <w:rPr>
          <w:rFonts w:hint="eastAsia" w:ascii="仿宋" w:hAnsi="仿宋" w:eastAsia="仿宋" w:cs="仿宋"/>
          <w:b/>
          <w:sz w:val="24"/>
          <w:szCs w:val="24"/>
          <w:highlight w:val="none"/>
          <w:lang w:val="en-US" w:eastAsia="zh-CN"/>
        </w:rPr>
        <w:t>磋商</w:t>
      </w:r>
      <w:r>
        <w:rPr>
          <w:rFonts w:hint="eastAsia" w:ascii="仿宋" w:hAnsi="仿宋" w:eastAsia="仿宋" w:cs="仿宋"/>
          <w:b/>
          <w:sz w:val="24"/>
          <w:szCs w:val="24"/>
          <w:highlight w:val="none"/>
        </w:rPr>
        <w:t>小组要求在规定的时间内统一提交。“第二次报价表（最终报价表）”供应商自行准备）</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仿宋" w:hAnsi="仿宋" w:eastAsia="仿宋" w:cs="仿宋"/>
          <w:b/>
          <w:bCs w:val="0"/>
          <w:color w:val="auto"/>
          <w:highlight w:val="none"/>
          <w:lang w:val="en-US" w:eastAsia="zh-CN"/>
        </w:rPr>
      </w:pPr>
    </w:p>
    <w:p>
      <w:pPr>
        <w:rPr>
          <w:rFonts w:hint="eastAsia" w:ascii="仿宋" w:hAnsi="仿宋" w:eastAsia="仿宋" w:cs="仿宋"/>
          <w:b/>
          <w:bCs/>
          <w:color w:val="auto"/>
          <w:sz w:val="28"/>
          <w:highlight w:val="none"/>
        </w:rPr>
      </w:pPr>
      <w:r>
        <w:rPr>
          <w:rFonts w:hint="eastAsia" w:ascii="仿宋" w:hAnsi="仿宋" w:eastAsia="仿宋" w:cs="仿宋"/>
          <w:color w:val="auto"/>
          <w:highlight w:val="none"/>
        </w:rPr>
        <w:br w:type="page"/>
      </w:r>
      <w:bookmarkEnd w:id="505"/>
      <w:bookmarkStart w:id="597" w:name="_Toc1373"/>
      <w:bookmarkStart w:id="598" w:name="_Toc5817"/>
      <w:bookmarkStart w:id="599" w:name="_Toc492757486"/>
    </w:p>
    <w:bookmarkEnd w:id="597"/>
    <w:bookmarkEnd w:id="598"/>
    <w:bookmarkEnd w:id="599"/>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eastAsia" w:ascii="仿宋" w:hAnsi="仿宋" w:eastAsia="仿宋" w:cs="仿宋"/>
          <w:color w:val="auto"/>
          <w:sz w:val="40"/>
          <w:szCs w:val="40"/>
          <w:highlight w:val="none"/>
        </w:rPr>
      </w:pPr>
      <w:r>
        <w:rPr>
          <w:rFonts w:hint="eastAsia" w:ascii="仿宋" w:hAnsi="仿宋" w:eastAsia="仿宋" w:cs="仿宋"/>
          <w:b/>
          <w:bCs/>
          <w:color w:val="auto"/>
          <w:sz w:val="32"/>
          <w:szCs w:val="32"/>
          <w:highlight w:val="none"/>
          <w:lang w:val="en-US" w:eastAsia="zh-CN"/>
        </w:rPr>
        <w:t>投标人</w:t>
      </w:r>
      <w:r>
        <w:rPr>
          <w:rFonts w:hint="eastAsia" w:ascii="仿宋" w:hAnsi="仿宋" w:eastAsia="仿宋" w:cs="仿宋"/>
          <w:b/>
          <w:bCs/>
          <w:color w:val="auto"/>
          <w:sz w:val="32"/>
          <w:szCs w:val="32"/>
          <w:highlight w:val="none"/>
        </w:rPr>
        <w:t>信用承诺书</w:t>
      </w:r>
    </w:p>
    <w:p>
      <w:pPr>
        <w:keepNext w:val="0"/>
        <w:keepLines w:val="0"/>
        <w:pageBreakBefore w:val="0"/>
        <w:widowControl/>
        <w:kinsoku/>
        <w:wordWrap/>
        <w:overflowPunct/>
        <w:topLinePunct w:val="0"/>
        <w:autoSpaceDE/>
        <w:autoSpaceDN/>
        <w:bidi w:val="0"/>
        <w:spacing w:line="460" w:lineRule="exact"/>
        <w:jc w:val="left"/>
        <w:textAlignment w:val="auto"/>
        <w:rPr>
          <w:rFonts w:hint="eastAsia" w:ascii="仿宋" w:hAnsi="仿宋" w:eastAsia="仿宋" w:cs="仿宋"/>
          <w:color w:val="auto"/>
          <w:kern w:val="0"/>
          <w:sz w:val="24"/>
          <w:highlight w:val="none"/>
          <w:u w:val="none"/>
          <w:lang w:val="en-US" w:eastAsia="zh-CN"/>
        </w:rPr>
      </w:pPr>
      <w:r>
        <w:rPr>
          <w:rFonts w:hint="eastAsia" w:ascii="仿宋" w:hAnsi="仿宋" w:eastAsia="仿宋" w:cs="仿宋"/>
          <w:color w:val="auto"/>
          <w:kern w:val="0"/>
          <w:sz w:val="24"/>
          <w:highlight w:val="none"/>
          <w:lang w:val="en-US" w:eastAsia="zh-CN"/>
        </w:rPr>
        <w:t>投标人</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u w:val="none"/>
          <w:lang w:val="en-US" w:eastAsia="zh-CN"/>
        </w:rPr>
        <w:t xml:space="preserve">      </w:t>
      </w:r>
    </w:p>
    <w:p>
      <w:pPr>
        <w:keepNext w:val="0"/>
        <w:keepLines w:val="0"/>
        <w:pageBreakBefore w:val="0"/>
        <w:widowControl/>
        <w:kinsoku/>
        <w:wordWrap/>
        <w:overflowPunct/>
        <w:topLinePunct w:val="0"/>
        <w:autoSpaceDE/>
        <w:autoSpaceDN/>
        <w:bidi w:val="0"/>
        <w:spacing w:line="460" w:lineRule="exact"/>
        <w:jc w:val="left"/>
        <w:textAlignment w:val="auto"/>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统一社会信用代码：</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法人代表：</w:t>
      </w:r>
    </w:p>
    <w:p>
      <w:pPr>
        <w:keepNext w:val="0"/>
        <w:keepLines w:val="0"/>
        <w:pageBreakBefore w:val="0"/>
        <w:widowControl/>
        <w:kinsoku/>
        <w:wordWrap/>
        <w:overflowPunct/>
        <w:topLinePunct w:val="0"/>
        <w:autoSpaceDE/>
        <w:autoSpaceDN/>
        <w:bidi w:val="0"/>
        <w:spacing w:line="460" w:lineRule="exact"/>
        <w:jc w:val="left"/>
        <w:textAlignment w:val="auto"/>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承诺有效期限：</w:t>
      </w:r>
      <w:r>
        <w:rPr>
          <w:rFonts w:hint="eastAsia" w:ascii="仿宋" w:hAnsi="仿宋" w:eastAsia="仿宋" w:cs="仿宋"/>
          <w:color w:val="auto"/>
          <w:kern w:val="0"/>
          <w:sz w:val="24"/>
          <w:highlight w:val="none"/>
          <w:u w:val="single"/>
        </w:rPr>
        <w:t>202</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月</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日</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u w:val="single"/>
        </w:rPr>
        <w:t>202</w:t>
      </w:r>
      <w:r>
        <w:rPr>
          <w:rFonts w:hint="eastAsia" w:ascii="仿宋" w:hAnsi="仿宋" w:eastAsia="仿宋" w:cs="仿宋"/>
          <w:color w:val="auto"/>
          <w:kern w:val="0"/>
          <w:sz w:val="24"/>
          <w:highlight w:val="none"/>
          <w:u w:val="single"/>
          <w:lang w:val="en-US" w:eastAsia="zh-CN"/>
        </w:rPr>
        <w:t>4</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月</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日</w:t>
      </w:r>
    </w:p>
    <w:p>
      <w:pPr>
        <w:keepNext w:val="0"/>
        <w:keepLines w:val="0"/>
        <w:pageBreakBefore w:val="0"/>
        <w:widowControl/>
        <w:kinsoku/>
        <w:wordWrap/>
        <w:overflowPunct/>
        <w:topLinePunct w:val="0"/>
        <w:autoSpaceDE/>
        <w:autoSpaceDN/>
        <w:bidi w:val="0"/>
        <w:spacing w:line="46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sz w:val="24"/>
          <w:highlight w:val="none"/>
          <w:u w:val="single"/>
        </w:rPr>
        <w:t>项目</w:t>
      </w:r>
      <w:r>
        <w:rPr>
          <w:rFonts w:hint="eastAsia" w:ascii="仿宋" w:hAnsi="仿宋" w:eastAsia="仿宋" w:cs="仿宋"/>
          <w:color w:val="auto"/>
          <w:sz w:val="24"/>
          <w:highlight w:val="none"/>
          <w:u w:val="single"/>
          <w:lang w:val="en-US" w:eastAsia="zh-CN"/>
        </w:rPr>
        <w:t xml:space="preserve">名称  </w:t>
      </w:r>
      <w:r>
        <w:rPr>
          <w:rFonts w:hint="eastAsia" w:ascii="仿宋" w:hAnsi="仿宋" w:eastAsia="仿宋" w:cs="仿宋"/>
          <w:color w:val="auto"/>
          <w:kern w:val="0"/>
          <w:sz w:val="24"/>
          <w:highlight w:val="none"/>
        </w:rPr>
        <w:t>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4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法定代表人（签章）：</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（盖章）：</w:t>
      </w:r>
    </w:p>
    <w:p>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rPr>
        <w:t xml:space="preserve">                             承诺时间：</w:t>
      </w:r>
      <w:r>
        <w:rPr>
          <w:rFonts w:hint="eastAsia" w:ascii="仿宋" w:hAnsi="仿宋" w:eastAsia="仿宋" w:cs="仿宋"/>
          <w:color w:val="auto"/>
          <w:kern w:val="0"/>
          <w:sz w:val="24"/>
          <w:highlight w:val="none"/>
          <w:u w:val="single"/>
        </w:rPr>
        <w:t>202</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u w:val="single"/>
        </w:rPr>
        <w:t>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月</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日</w:t>
      </w:r>
    </w:p>
    <w:p>
      <w:pPr>
        <w:pStyle w:val="26"/>
        <w:rPr>
          <w:rFonts w:hint="eastAsia" w:ascii="仿宋" w:hAnsi="仿宋" w:eastAsia="仿宋" w:cs="仿宋"/>
          <w:color w:val="auto"/>
          <w:kern w:val="0"/>
          <w:sz w:val="24"/>
          <w:highlight w:val="none"/>
          <w:u w:val="single"/>
        </w:rPr>
      </w:pPr>
    </w:p>
    <w:p>
      <w:pPr>
        <w:bidi w:val="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注：</w:t>
      </w:r>
      <w:r>
        <w:rPr>
          <w:rFonts w:hint="eastAsia" w:ascii="仿宋" w:hAnsi="仿宋" w:eastAsia="仿宋" w:cs="仿宋"/>
          <w:b/>
          <w:color w:val="auto"/>
          <w:kern w:val="0"/>
          <w:sz w:val="24"/>
          <w:highlight w:val="none"/>
          <w:lang w:val="en-US" w:eastAsia="zh-CN"/>
        </w:rPr>
        <w:t>此附件作为在信用中国“陕西榆林”网站进行注册、登录，自主上报信用承诺书格式</w:t>
      </w:r>
      <w:r>
        <w:rPr>
          <w:rFonts w:hint="eastAsia" w:ascii="仿宋" w:hAnsi="仿宋" w:eastAsia="仿宋" w:cs="仿宋"/>
          <w:b/>
          <w:color w:val="auto"/>
          <w:kern w:val="0"/>
          <w:sz w:val="24"/>
          <w:highlight w:val="none"/>
        </w:rPr>
        <w:t>。（承诺时间有效期</w:t>
      </w:r>
      <w:r>
        <w:rPr>
          <w:rFonts w:hint="eastAsia" w:ascii="仿宋" w:hAnsi="仿宋" w:eastAsia="仿宋" w:cs="仿宋"/>
          <w:b/>
          <w:color w:val="auto"/>
          <w:kern w:val="0"/>
          <w:sz w:val="24"/>
          <w:highlight w:val="none"/>
          <w:lang w:eastAsia="zh-CN"/>
        </w:rPr>
        <w:t>为</w:t>
      </w:r>
      <w:r>
        <w:rPr>
          <w:rFonts w:hint="eastAsia" w:ascii="仿宋" w:hAnsi="仿宋" w:eastAsia="仿宋" w:cs="仿宋"/>
          <w:b/>
          <w:color w:val="auto"/>
          <w:kern w:val="0"/>
          <w:sz w:val="24"/>
          <w:highlight w:val="none"/>
        </w:rPr>
        <w:t>一年</w:t>
      </w:r>
      <w:r>
        <w:rPr>
          <w:rFonts w:hint="eastAsia" w:ascii="仿宋" w:hAnsi="仿宋" w:eastAsia="仿宋" w:cs="仿宋"/>
          <w:b/>
          <w:color w:val="auto"/>
          <w:kern w:val="0"/>
          <w:sz w:val="24"/>
          <w:highlight w:val="none"/>
          <w:lang w:eastAsia="zh-CN"/>
        </w:rPr>
        <w:t>，承诺起始时间为投标文件截止之日</w:t>
      </w:r>
      <w:r>
        <w:rPr>
          <w:rFonts w:hint="eastAsia" w:ascii="仿宋" w:hAnsi="仿宋" w:eastAsia="仿宋" w:cs="仿宋"/>
          <w:b/>
          <w:color w:val="auto"/>
          <w:kern w:val="0"/>
          <w:sz w:val="24"/>
          <w:highlight w:val="none"/>
        </w:rPr>
        <w:t>）</w:t>
      </w:r>
    </w:p>
    <w:p>
      <w:pPr>
        <w:spacing w:line="360" w:lineRule="auto"/>
        <w:jc w:val="both"/>
        <w:rPr>
          <w:rFonts w:hint="eastAsia" w:ascii="仿宋" w:hAnsi="仿宋" w:eastAsia="仿宋" w:cs="仿宋"/>
          <w:b/>
          <w:color w:val="auto"/>
          <w:spacing w:val="6"/>
          <w:sz w:val="36"/>
          <w:szCs w:val="36"/>
          <w:highlight w:val="none"/>
          <w:lang w:val="en-US" w:eastAsia="zh-CN"/>
        </w:rPr>
      </w:pPr>
      <w:r>
        <w:rPr>
          <w:rFonts w:hint="eastAsia" w:ascii="仿宋" w:hAnsi="仿宋" w:eastAsia="仿宋" w:cs="仿宋"/>
          <w:b/>
          <w:color w:val="auto"/>
          <w:spacing w:val="6"/>
          <w:sz w:val="36"/>
          <w:szCs w:val="36"/>
          <w:highlight w:val="none"/>
          <w:lang w:val="en-US" w:eastAsia="zh-CN"/>
        </w:rPr>
        <w:t>后附：信用中国陕西榆林承诺申报截图</w:t>
      </w:r>
    </w:p>
    <w:p>
      <w:pP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eastAsia" w:ascii="仿宋" w:hAnsi="仿宋" w:eastAsia="仿宋" w:cs="仿宋"/>
          <w:color w:val="auto"/>
          <w:kern w:val="0"/>
          <w:sz w:val="24"/>
          <w:highlight w:val="none"/>
        </w:rPr>
      </w:pPr>
      <w:r>
        <w:rPr>
          <w:rFonts w:hint="eastAsia" w:ascii="仿宋" w:hAnsi="仿宋" w:eastAsia="仿宋" w:cs="仿宋"/>
          <w:b/>
          <w:bCs/>
          <w:color w:val="auto"/>
          <w:sz w:val="32"/>
          <w:szCs w:val="32"/>
          <w:highlight w:val="none"/>
          <w:lang w:val="en-US" w:eastAsia="zh-CN"/>
        </w:rPr>
        <w:t>投标人</w:t>
      </w:r>
      <w:r>
        <w:rPr>
          <w:rFonts w:hint="eastAsia" w:ascii="仿宋" w:hAnsi="仿宋" w:eastAsia="仿宋" w:cs="仿宋"/>
          <w:b/>
          <w:bCs/>
          <w:color w:val="auto"/>
          <w:sz w:val="32"/>
          <w:szCs w:val="32"/>
          <w:highlight w:val="none"/>
        </w:rPr>
        <w:t>委托代理人员信用承诺书</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sz w:val="24"/>
          <w:highlight w:val="none"/>
          <w:u w:val="single"/>
        </w:rPr>
        <w:t>项目</w:t>
      </w:r>
      <w:r>
        <w:rPr>
          <w:rFonts w:hint="eastAsia" w:ascii="仿宋" w:hAnsi="仿宋" w:eastAsia="仿宋" w:cs="仿宋"/>
          <w:color w:val="auto"/>
          <w:sz w:val="24"/>
          <w:highlight w:val="none"/>
          <w:u w:val="single"/>
          <w:lang w:val="en-US" w:eastAsia="zh-CN"/>
        </w:rPr>
        <w:t xml:space="preserve">名称 </w:t>
      </w:r>
      <w:r>
        <w:rPr>
          <w:rFonts w:hint="eastAsia" w:ascii="仿宋" w:hAnsi="仿宋" w:eastAsia="仿宋" w:cs="仿宋"/>
          <w:color w:val="auto"/>
          <w:kern w:val="0"/>
          <w:sz w:val="24"/>
          <w:highlight w:val="none"/>
        </w:rPr>
        <w:t>招投标活动中，我个人郑重作出以下信用承诺：</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hint="eastAsia" w:ascii="仿宋" w:hAnsi="仿宋" w:eastAsia="仿宋" w:cs="仿宋"/>
          <w:color w:val="auto"/>
          <w:kern w:val="0"/>
          <w:sz w:val="24"/>
          <w:highlight w:val="none"/>
        </w:rPr>
      </w:pPr>
    </w:p>
    <w:p>
      <w:pPr>
        <w:keepNext w:val="0"/>
        <w:keepLines w:val="0"/>
        <w:pageBreakBefore w:val="0"/>
        <w:widowControl/>
        <w:kinsoku/>
        <w:wordWrap/>
        <w:overflowPunct/>
        <w:topLinePunct w:val="0"/>
        <w:autoSpaceDE/>
        <w:autoSpaceDN/>
        <w:bidi w:val="0"/>
        <w:spacing w:line="440" w:lineRule="exact"/>
        <w:ind w:firstLine="482"/>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承诺有效期限：202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月</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日</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u w:val="single"/>
        </w:rPr>
        <w:t>202</w:t>
      </w:r>
      <w:r>
        <w:rPr>
          <w:rFonts w:hint="eastAsia" w:ascii="仿宋" w:hAnsi="仿宋" w:eastAsia="仿宋" w:cs="仿宋"/>
          <w:color w:val="auto"/>
          <w:kern w:val="0"/>
          <w:sz w:val="24"/>
          <w:highlight w:val="none"/>
          <w:u w:val="single"/>
          <w:lang w:val="en-US" w:eastAsia="zh-CN"/>
        </w:rPr>
        <w:t>4</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月</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日</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hint="eastAsia" w:ascii="仿宋" w:hAnsi="仿宋" w:eastAsia="仿宋" w:cs="仿宋"/>
          <w:color w:val="auto"/>
          <w:kern w:val="0"/>
          <w:sz w:val="24"/>
          <w:highlight w:val="none"/>
          <w:u w:val="single"/>
          <w:lang w:val="en-US" w:eastAsia="zh-CN"/>
        </w:rPr>
      </w:pPr>
      <w:r>
        <w:rPr>
          <w:rFonts w:hint="eastAsia" w:ascii="仿宋" w:hAnsi="仿宋" w:eastAsia="仿宋" w:cs="仿宋"/>
          <w:color w:val="auto"/>
          <w:kern w:val="0"/>
          <w:sz w:val="24"/>
          <w:highlight w:val="none"/>
        </w:rPr>
        <w:t>投标人：</w:t>
      </w:r>
      <w:r>
        <w:rPr>
          <w:rFonts w:hint="eastAsia" w:ascii="仿宋" w:hAnsi="仿宋" w:eastAsia="仿宋" w:cs="仿宋"/>
          <w:color w:val="auto"/>
          <w:kern w:val="0"/>
          <w:sz w:val="24"/>
          <w:highlight w:val="none"/>
          <w:u w:val="single"/>
          <w:lang w:val="en-US" w:eastAsia="zh-CN"/>
        </w:rPr>
        <w:t xml:space="preserve">                 </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承诺人（签字）：</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hint="eastAsia" w:ascii="仿宋" w:hAnsi="仿宋" w:eastAsia="仿宋" w:cs="仿宋"/>
          <w:color w:val="auto"/>
          <w:sz w:val="40"/>
          <w:szCs w:val="40"/>
          <w:highlight w:val="none"/>
        </w:rPr>
      </w:pPr>
      <w:r>
        <w:rPr>
          <w:rFonts w:hint="eastAsia" w:ascii="仿宋" w:hAnsi="仿宋" w:eastAsia="仿宋" w:cs="仿宋"/>
          <w:color w:val="auto"/>
          <w:kern w:val="0"/>
          <w:sz w:val="24"/>
          <w:highlight w:val="none"/>
        </w:rPr>
        <w:t>承诺时间：</w:t>
      </w:r>
      <w:r>
        <w:rPr>
          <w:rFonts w:hint="eastAsia" w:ascii="仿宋" w:hAnsi="仿宋" w:eastAsia="仿宋" w:cs="仿宋"/>
          <w:color w:val="auto"/>
          <w:kern w:val="0"/>
          <w:sz w:val="24"/>
          <w:highlight w:val="none"/>
          <w:u w:val="single"/>
        </w:rPr>
        <w:t>202</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u w:val="single"/>
        </w:rPr>
        <w:t>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月</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日</w:t>
      </w:r>
    </w:p>
    <w:p>
      <w:pPr>
        <w:spacing w:line="560" w:lineRule="exact"/>
        <w:ind w:right="-2" w:firstLine="2000" w:firstLineChars="500"/>
        <w:rPr>
          <w:rFonts w:hint="eastAsia" w:ascii="仿宋" w:hAnsi="仿宋" w:eastAsia="仿宋" w:cs="仿宋"/>
          <w:color w:val="auto"/>
          <w:sz w:val="40"/>
          <w:szCs w:val="40"/>
          <w:highlight w:val="none"/>
        </w:rPr>
      </w:pPr>
    </w:p>
    <w:p>
      <w:pPr>
        <w:bidi w:val="0"/>
        <w:rPr>
          <w:rFonts w:hint="eastAsia" w:ascii="仿宋" w:hAnsi="仿宋" w:eastAsia="仿宋" w:cs="仿宋"/>
          <w:color w:val="auto"/>
          <w:highlight w:val="none"/>
          <w:lang w:eastAsia="zh-CN"/>
        </w:rPr>
      </w:pPr>
      <w:r>
        <w:rPr>
          <w:rFonts w:hint="eastAsia" w:ascii="仿宋" w:hAnsi="仿宋" w:eastAsia="仿宋" w:cs="仿宋"/>
          <w:b/>
          <w:color w:val="auto"/>
          <w:kern w:val="0"/>
          <w:sz w:val="24"/>
          <w:highlight w:val="none"/>
        </w:rPr>
        <w:t>注：</w:t>
      </w:r>
      <w:r>
        <w:rPr>
          <w:rFonts w:hint="eastAsia" w:ascii="仿宋" w:hAnsi="仿宋" w:eastAsia="仿宋" w:cs="仿宋"/>
          <w:b/>
          <w:color w:val="auto"/>
          <w:kern w:val="0"/>
          <w:sz w:val="24"/>
          <w:highlight w:val="none"/>
          <w:lang w:val="en-US" w:eastAsia="zh-CN"/>
        </w:rPr>
        <w:t>此附件作为在信用中国“陕西榆林”网站进行注册、登录，自主上报信用承诺书格式</w:t>
      </w:r>
      <w:r>
        <w:rPr>
          <w:rFonts w:hint="eastAsia" w:ascii="仿宋" w:hAnsi="仿宋" w:eastAsia="仿宋" w:cs="仿宋"/>
          <w:b/>
          <w:color w:val="auto"/>
          <w:kern w:val="0"/>
          <w:sz w:val="24"/>
          <w:highlight w:val="none"/>
        </w:rPr>
        <w:t>。（承诺时间有效期</w:t>
      </w:r>
      <w:r>
        <w:rPr>
          <w:rFonts w:hint="eastAsia" w:ascii="仿宋" w:hAnsi="仿宋" w:eastAsia="仿宋" w:cs="仿宋"/>
          <w:b/>
          <w:color w:val="auto"/>
          <w:kern w:val="0"/>
          <w:sz w:val="24"/>
          <w:highlight w:val="none"/>
          <w:lang w:eastAsia="zh-CN"/>
        </w:rPr>
        <w:t>为</w:t>
      </w:r>
      <w:r>
        <w:rPr>
          <w:rFonts w:hint="eastAsia" w:ascii="仿宋" w:hAnsi="仿宋" w:eastAsia="仿宋" w:cs="仿宋"/>
          <w:b/>
          <w:color w:val="auto"/>
          <w:kern w:val="0"/>
          <w:sz w:val="24"/>
          <w:highlight w:val="none"/>
        </w:rPr>
        <w:t>一年</w:t>
      </w:r>
      <w:r>
        <w:rPr>
          <w:rFonts w:hint="eastAsia" w:ascii="仿宋" w:hAnsi="仿宋" w:eastAsia="仿宋" w:cs="仿宋"/>
          <w:b/>
          <w:color w:val="auto"/>
          <w:kern w:val="0"/>
          <w:sz w:val="24"/>
          <w:highlight w:val="none"/>
          <w:lang w:eastAsia="zh-CN"/>
        </w:rPr>
        <w:t>，承诺起始时间为投标文件截止之日</w:t>
      </w:r>
      <w:r>
        <w:rPr>
          <w:rFonts w:hint="eastAsia" w:ascii="仿宋" w:hAnsi="仿宋" w:eastAsia="仿宋" w:cs="仿宋"/>
          <w:b/>
          <w:color w:val="auto"/>
          <w:kern w:val="0"/>
          <w:sz w:val="24"/>
          <w:highlight w:val="none"/>
        </w:rPr>
        <w:t>）</w:t>
      </w:r>
    </w:p>
    <w:p>
      <w:pPr>
        <w:rPr>
          <w:rFonts w:hint="eastAsia" w:ascii="仿宋" w:hAnsi="仿宋" w:eastAsia="仿宋" w:cs="仿宋"/>
          <w:b/>
          <w:color w:val="auto"/>
          <w:spacing w:val="6"/>
          <w:sz w:val="36"/>
          <w:szCs w:val="36"/>
          <w:highlight w:val="none"/>
          <w:lang w:val="en-US" w:eastAsia="zh-CN"/>
        </w:rPr>
      </w:pPr>
      <w:r>
        <w:rPr>
          <w:rFonts w:hint="eastAsia" w:ascii="仿宋" w:hAnsi="仿宋" w:eastAsia="仿宋" w:cs="仿宋"/>
          <w:b/>
          <w:color w:val="auto"/>
          <w:spacing w:val="6"/>
          <w:sz w:val="36"/>
          <w:szCs w:val="36"/>
          <w:highlight w:val="none"/>
          <w:lang w:val="en-US" w:eastAsia="zh-CN"/>
        </w:rPr>
        <w:br w:type="page"/>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
          <w:color w:val="auto"/>
          <w:spacing w:val="6"/>
          <w:sz w:val="36"/>
          <w:szCs w:val="36"/>
          <w:highlight w:val="none"/>
          <w:lang w:val="en-US" w:eastAsia="zh-CN"/>
        </w:rPr>
        <w:t>后附：信用中国陕西榆林承诺申报截图</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5753735" cy="8127365"/>
            <wp:effectExtent l="0" t="0" r="18415" b="6985"/>
            <wp:docPr id="3" name="图片 3" descr="关于公共资源交易信用承诺网上公示的通知(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公共资源交易信用承诺网上公示的通知(2)_00"/>
                    <pic:cNvPicPr>
                      <a:picLocks noChangeAspect="1"/>
                    </pic:cNvPicPr>
                  </pic:nvPicPr>
                  <pic:blipFill>
                    <a:blip r:embed="rId6"/>
                    <a:stretch>
                      <a:fillRect/>
                    </a:stretch>
                  </pic:blipFill>
                  <pic:spPr>
                    <a:xfrm>
                      <a:off x="0" y="0"/>
                      <a:ext cx="5753735" cy="8127365"/>
                    </a:xfrm>
                    <a:prstGeom prst="rect">
                      <a:avLst/>
                    </a:prstGeom>
                  </pic:spPr>
                </pic:pic>
              </a:graphicData>
            </a:graphic>
          </wp:inline>
        </w:drawing>
      </w:r>
      <w:r>
        <w:rPr>
          <w:rFonts w:hint="eastAsia" w:ascii="仿宋" w:hAnsi="仿宋" w:eastAsia="仿宋" w:cs="仿宋"/>
          <w:color w:val="auto"/>
          <w:highlight w:val="none"/>
        </w:rPr>
        <w:drawing>
          <wp:inline distT="0" distB="0" distL="114300" distR="114300">
            <wp:extent cx="6007735" cy="8486775"/>
            <wp:effectExtent l="0" t="0" r="12065" b="9525"/>
            <wp:docPr id="1" name="图片 1" descr="关于公共资源交易信用承诺网上公示的通知(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公共资源交易信用承诺网上公示的通知(2)_01"/>
                    <pic:cNvPicPr>
                      <a:picLocks noChangeAspect="1"/>
                    </pic:cNvPicPr>
                  </pic:nvPicPr>
                  <pic:blipFill>
                    <a:blip r:embed="rId7"/>
                    <a:stretch>
                      <a:fillRect/>
                    </a:stretch>
                  </pic:blipFill>
                  <pic:spPr>
                    <a:xfrm>
                      <a:off x="0" y="0"/>
                      <a:ext cx="6007735" cy="8486775"/>
                    </a:xfrm>
                    <a:prstGeom prst="rect">
                      <a:avLst/>
                    </a:prstGeom>
                  </pic:spPr>
                </pic:pic>
              </a:graphicData>
            </a:graphic>
          </wp:inline>
        </w:drawing>
      </w:r>
    </w:p>
    <w:p>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drawing>
          <wp:inline distT="0" distB="0" distL="114300" distR="114300">
            <wp:extent cx="6035675" cy="3395980"/>
            <wp:effectExtent l="0" t="0" r="3175" b="13970"/>
            <wp:docPr id="19" name="图片 19" descr="19号附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号附件_01"/>
                    <pic:cNvPicPr>
                      <a:picLocks noChangeAspect="1"/>
                    </pic:cNvPicPr>
                  </pic:nvPicPr>
                  <pic:blipFill>
                    <a:blip r:embed="rId8"/>
                    <a:stretch>
                      <a:fillRect/>
                    </a:stretch>
                  </pic:blipFill>
                  <pic:spPr>
                    <a:xfrm>
                      <a:off x="0" y="0"/>
                      <a:ext cx="6035675" cy="3395980"/>
                    </a:xfrm>
                    <a:prstGeom prst="rect">
                      <a:avLst/>
                    </a:prstGeom>
                  </pic:spPr>
                </pic:pic>
              </a:graphicData>
            </a:graphic>
          </wp:inline>
        </w:drawing>
      </w:r>
      <w:r>
        <w:rPr>
          <w:rFonts w:hint="eastAsia" w:ascii="仿宋" w:hAnsi="仿宋" w:eastAsia="仿宋" w:cs="仿宋"/>
          <w:color w:val="auto"/>
          <w:highlight w:val="none"/>
          <w:lang w:eastAsia="zh-CN"/>
        </w:rPr>
        <w:drawing>
          <wp:inline distT="0" distB="0" distL="114300" distR="114300">
            <wp:extent cx="5997575" cy="3374390"/>
            <wp:effectExtent l="0" t="0" r="3175" b="16510"/>
            <wp:docPr id="18" name="图片 18" descr="19号附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9号附件_02"/>
                    <pic:cNvPicPr>
                      <a:picLocks noChangeAspect="1"/>
                    </pic:cNvPicPr>
                  </pic:nvPicPr>
                  <pic:blipFill>
                    <a:blip r:embed="rId9"/>
                    <a:stretch>
                      <a:fillRect/>
                    </a:stretch>
                  </pic:blipFill>
                  <pic:spPr>
                    <a:xfrm>
                      <a:off x="0" y="0"/>
                      <a:ext cx="5997575" cy="3374390"/>
                    </a:xfrm>
                    <a:prstGeom prst="rect">
                      <a:avLst/>
                    </a:prstGeom>
                  </pic:spPr>
                </pic:pic>
              </a:graphicData>
            </a:graphic>
          </wp:inline>
        </w:drawing>
      </w:r>
      <w:r>
        <w:rPr>
          <w:rFonts w:hint="eastAsia" w:ascii="仿宋" w:hAnsi="仿宋" w:eastAsia="仿宋" w:cs="仿宋"/>
          <w:color w:val="auto"/>
          <w:highlight w:val="none"/>
          <w:lang w:eastAsia="zh-CN"/>
        </w:rPr>
        <w:drawing>
          <wp:inline distT="0" distB="0" distL="114300" distR="114300">
            <wp:extent cx="6074410" cy="3417570"/>
            <wp:effectExtent l="0" t="0" r="2540" b="11430"/>
            <wp:docPr id="17" name="图片 17" descr="19号附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号附件_03"/>
                    <pic:cNvPicPr>
                      <a:picLocks noChangeAspect="1"/>
                    </pic:cNvPicPr>
                  </pic:nvPicPr>
                  <pic:blipFill>
                    <a:blip r:embed="rId10"/>
                    <a:stretch>
                      <a:fillRect/>
                    </a:stretch>
                  </pic:blipFill>
                  <pic:spPr>
                    <a:xfrm>
                      <a:off x="0" y="0"/>
                      <a:ext cx="6074410" cy="3417570"/>
                    </a:xfrm>
                    <a:prstGeom prst="rect">
                      <a:avLst/>
                    </a:prstGeom>
                  </pic:spPr>
                </pic:pic>
              </a:graphicData>
            </a:graphic>
          </wp:inline>
        </w:drawing>
      </w:r>
      <w:r>
        <w:rPr>
          <w:rFonts w:hint="eastAsia" w:ascii="仿宋" w:hAnsi="仿宋" w:eastAsia="仿宋" w:cs="仿宋"/>
          <w:color w:val="auto"/>
          <w:highlight w:val="none"/>
          <w:lang w:eastAsia="zh-CN"/>
        </w:rPr>
        <w:drawing>
          <wp:inline distT="0" distB="0" distL="114300" distR="114300">
            <wp:extent cx="6151245" cy="3460750"/>
            <wp:effectExtent l="0" t="0" r="1905" b="6350"/>
            <wp:docPr id="16" name="图片 16" descr="19号附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号附件_04"/>
                    <pic:cNvPicPr>
                      <a:picLocks noChangeAspect="1"/>
                    </pic:cNvPicPr>
                  </pic:nvPicPr>
                  <pic:blipFill>
                    <a:blip r:embed="rId11"/>
                    <a:stretch>
                      <a:fillRect/>
                    </a:stretch>
                  </pic:blipFill>
                  <pic:spPr>
                    <a:xfrm>
                      <a:off x="0" y="0"/>
                      <a:ext cx="6151245" cy="3460750"/>
                    </a:xfrm>
                    <a:prstGeom prst="rect">
                      <a:avLst/>
                    </a:prstGeom>
                  </pic:spPr>
                </pic:pic>
              </a:graphicData>
            </a:graphic>
          </wp:inline>
        </w:drawing>
      </w:r>
      <w:r>
        <w:rPr>
          <w:rFonts w:hint="eastAsia" w:ascii="仿宋" w:hAnsi="仿宋" w:eastAsia="仿宋" w:cs="仿宋"/>
          <w:color w:val="auto"/>
          <w:highlight w:val="none"/>
          <w:lang w:eastAsia="zh-CN"/>
        </w:rPr>
        <w:drawing>
          <wp:inline distT="0" distB="0" distL="114300" distR="114300">
            <wp:extent cx="6054725" cy="3406775"/>
            <wp:effectExtent l="0" t="0" r="3175" b="3175"/>
            <wp:docPr id="15" name="图片 15" descr="19号附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9号附件_05"/>
                    <pic:cNvPicPr>
                      <a:picLocks noChangeAspect="1"/>
                    </pic:cNvPicPr>
                  </pic:nvPicPr>
                  <pic:blipFill>
                    <a:blip r:embed="rId12"/>
                    <a:stretch>
                      <a:fillRect/>
                    </a:stretch>
                  </pic:blipFill>
                  <pic:spPr>
                    <a:xfrm>
                      <a:off x="0" y="0"/>
                      <a:ext cx="6054725" cy="3406775"/>
                    </a:xfrm>
                    <a:prstGeom prst="rect">
                      <a:avLst/>
                    </a:prstGeom>
                  </pic:spPr>
                </pic:pic>
              </a:graphicData>
            </a:graphic>
          </wp:inline>
        </w:drawing>
      </w:r>
      <w:r>
        <w:rPr>
          <w:rFonts w:hint="eastAsia" w:ascii="仿宋" w:hAnsi="仿宋" w:eastAsia="仿宋" w:cs="仿宋"/>
          <w:color w:val="auto"/>
          <w:highlight w:val="none"/>
          <w:lang w:eastAsia="zh-CN"/>
        </w:rPr>
        <w:drawing>
          <wp:inline distT="0" distB="0" distL="114300" distR="114300">
            <wp:extent cx="6035675" cy="3395980"/>
            <wp:effectExtent l="0" t="0" r="3175" b="13970"/>
            <wp:docPr id="14" name="图片 14" descr="19号附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号附件_06"/>
                    <pic:cNvPicPr>
                      <a:picLocks noChangeAspect="1"/>
                    </pic:cNvPicPr>
                  </pic:nvPicPr>
                  <pic:blipFill>
                    <a:blip r:embed="rId13"/>
                    <a:stretch>
                      <a:fillRect/>
                    </a:stretch>
                  </pic:blipFill>
                  <pic:spPr>
                    <a:xfrm>
                      <a:off x="0" y="0"/>
                      <a:ext cx="6035675" cy="3395980"/>
                    </a:xfrm>
                    <a:prstGeom prst="rect">
                      <a:avLst/>
                    </a:prstGeom>
                  </pic:spPr>
                </pic:pic>
              </a:graphicData>
            </a:graphic>
          </wp:inline>
        </w:drawing>
      </w:r>
      <w:r>
        <w:rPr>
          <w:rFonts w:hint="eastAsia" w:ascii="仿宋" w:hAnsi="仿宋" w:eastAsia="仿宋" w:cs="仿宋"/>
          <w:color w:val="auto"/>
          <w:highlight w:val="none"/>
          <w:lang w:eastAsia="zh-CN"/>
        </w:rPr>
        <w:drawing>
          <wp:inline distT="0" distB="0" distL="114300" distR="114300">
            <wp:extent cx="5996305" cy="3373755"/>
            <wp:effectExtent l="0" t="0" r="4445" b="17145"/>
            <wp:docPr id="13" name="图片 13" descr="19号附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9号附件_07"/>
                    <pic:cNvPicPr>
                      <a:picLocks noChangeAspect="1"/>
                    </pic:cNvPicPr>
                  </pic:nvPicPr>
                  <pic:blipFill>
                    <a:blip r:embed="rId14"/>
                    <a:stretch>
                      <a:fillRect/>
                    </a:stretch>
                  </pic:blipFill>
                  <pic:spPr>
                    <a:xfrm>
                      <a:off x="0" y="0"/>
                      <a:ext cx="5996305" cy="3373755"/>
                    </a:xfrm>
                    <a:prstGeom prst="rect">
                      <a:avLst/>
                    </a:prstGeom>
                  </pic:spPr>
                </pic:pic>
              </a:graphicData>
            </a:graphic>
          </wp:inline>
        </w:drawing>
      </w:r>
      <w:r>
        <w:rPr>
          <w:rFonts w:hint="eastAsia" w:ascii="仿宋" w:hAnsi="仿宋" w:eastAsia="仿宋" w:cs="仿宋"/>
          <w:color w:val="auto"/>
          <w:highlight w:val="none"/>
          <w:lang w:eastAsia="zh-CN"/>
        </w:rPr>
        <w:drawing>
          <wp:inline distT="0" distB="0" distL="114300" distR="114300">
            <wp:extent cx="6017895" cy="3385820"/>
            <wp:effectExtent l="0" t="0" r="1905" b="5080"/>
            <wp:docPr id="12" name="图片 12" descr="19号附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号附件_08"/>
                    <pic:cNvPicPr>
                      <a:picLocks noChangeAspect="1"/>
                    </pic:cNvPicPr>
                  </pic:nvPicPr>
                  <pic:blipFill>
                    <a:blip r:embed="rId15"/>
                    <a:stretch>
                      <a:fillRect/>
                    </a:stretch>
                  </pic:blipFill>
                  <pic:spPr>
                    <a:xfrm>
                      <a:off x="0" y="0"/>
                      <a:ext cx="6017895" cy="3385820"/>
                    </a:xfrm>
                    <a:prstGeom prst="rect">
                      <a:avLst/>
                    </a:prstGeom>
                  </pic:spPr>
                </pic:pic>
              </a:graphicData>
            </a:graphic>
          </wp:inline>
        </w:drawing>
      </w:r>
      <w:r>
        <w:rPr>
          <w:rFonts w:hint="eastAsia" w:ascii="仿宋" w:hAnsi="仿宋" w:eastAsia="仿宋" w:cs="仿宋"/>
          <w:color w:val="auto"/>
          <w:highlight w:val="none"/>
          <w:lang w:eastAsia="zh-CN"/>
        </w:rPr>
        <w:drawing>
          <wp:inline distT="0" distB="0" distL="114300" distR="114300">
            <wp:extent cx="6037580" cy="3396615"/>
            <wp:effectExtent l="0" t="0" r="1270" b="13335"/>
            <wp:docPr id="11" name="图片 11" descr="19号附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9号附件_09"/>
                    <pic:cNvPicPr>
                      <a:picLocks noChangeAspect="1"/>
                    </pic:cNvPicPr>
                  </pic:nvPicPr>
                  <pic:blipFill>
                    <a:blip r:embed="rId16"/>
                    <a:stretch>
                      <a:fillRect/>
                    </a:stretch>
                  </pic:blipFill>
                  <pic:spPr>
                    <a:xfrm>
                      <a:off x="0" y="0"/>
                      <a:ext cx="6037580" cy="3396615"/>
                    </a:xfrm>
                    <a:prstGeom prst="rect">
                      <a:avLst/>
                    </a:prstGeom>
                  </pic:spPr>
                </pic:pic>
              </a:graphicData>
            </a:graphic>
          </wp:inline>
        </w:drawing>
      </w:r>
      <w:r>
        <w:rPr>
          <w:rFonts w:hint="eastAsia" w:ascii="仿宋" w:hAnsi="仿宋" w:eastAsia="仿宋" w:cs="仿宋"/>
          <w:color w:val="auto"/>
          <w:highlight w:val="none"/>
          <w:lang w:eastAsia="zh-CN"/>
        </w:rPr>
        <w:drawing>
          <wp:inline distT="0" distB="0" distL="114300" distR="114300">
            <wp:extent cx="5977890" cy="3363595"/>
            <wp:effectExtent l="0" t="0" r="3810" b="8255"/>
            <wp:docPr id="10" name="图片 10" descr="19号附件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9号附件_10"/>
                    <pic:cNvPicPr>
                      <a:picLocks noChangeAspect="1"/>
                    </pic:cNvPicPr>
                  </pic:nvPicPr>
                  <pic:blipFill>
                    <a:blip r:embed="rId17"/>
                    <a:stretch>
                      <a:fillRect/>
                    </a:stretch>
                  </pic:blipFill>
                  <pic:spPr>
                    <a:xfrm>
                      <a:off x="0" y="0"/>
                      <a:ext cx="5977890" cy="3363595"/>
                    </a:xfrm>
                    <a:prstGeom prst="rect">
                      <a:avLst/>
                    </a:prstGeom>
                  </pic:spPr>
                </pic:pic>
              </a:graphicData>
            </a:graphic>
          </wp:inline>
        </w:drawing>
      </w:r>
      <w:r>
        <w:rPr>
          <w:rFonts w:hint="eastAsia" w:ascii="仿宋" w:hAnsi="仿宋" w:eastAsia="仿宋" w:cs="仿宋"/>
          <w:color w:val="auto"/>
          <w:highlight w:val="none"/>
          <w:lang w:eastAsia="zh-CN"/>
        </w:rPr>
        <w:drawing>
          <wp:inline distT="0" distB="0" distL="114300" distR="114300">
            <wp:extent cx="6109970" cy="3437255"/>
            <wp:effectExtent l="0" t="0" r="5080" b="10795"/>
            <wp:docPr id="9" name="图片 9" descr="19号附件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号附件_11"/>
                    <pic:cNvPicPr>
                      <a:picLocks noChangeAspect="1"/>
                    </pic:cNvPicPr>
                  </pic:nvPicPr>
                  <pic:blipFill>
                    <a:blip r:embed="rId18"/>
                    <a:stretch>
                      <a:fillRect/>
                    </a:stretch>
                  </pic:blipFill>
                  <pic:spPr>
                    <a:xfrm>
                      <a:off x="0" y="0"/>
                      <a:ext cx="6109970" cy="3437255"/>
                    </a:xfrm>
                    <a:prstGeom prst="rect">
                      <a:avLst/>
                    </a:prstGeom>
                  </pic:spPr>
                </pic:pic>
              </a:graphicData>
            </a:graphic>
          </wp:inline>
        </w:drawing>
      </w:r>
      <w:r>
        <w:rPr>
          <w:rFonts w:hint="eastAsia" w:ascii="仿宋" w:hAnsi="仿宋" w:eastAsia="仿宋" w:cs="仿宋"/>
          <w:color w:val="auto"/>
          <w:highlight w:val="none"/>
          <w:lang w:eastAsia="zh-CN"/>
        </w:rPr>
        <w:drawing>
          <wp:inline distT="0" distB="0" distL="114300" distR="114300">
            <wp:extent cx="5997575" cy="3374390"/>
            <wp:effectExtent l="0" t="0" r="3175" b="16510"/>
            <wp:docPr id="8" name="图片 8" descr="19号附件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号附件_12"/>
                    <pic:cNvPicPr>
                      <a:picLocks noChangeAspect="1"/>
                    </pic:cNvPicPr>
                  </pic:nvPicPr>
                  <pic:blipFill>
                    <a:blip r:embed="rId19"/>
                    <a:stretch>
                      <a:fillRect/>
                    </a:stretch>
                  </pic:blipFill>
                  <pic:spPr>
                    <a:xfrm>
                      <a:off x="0" y="0"/>
                      <a:ext cx="5997575" cy="3374390"/>
                    </a:xfrm>
                    <a:prstGeom prst="rect">
                      <a:avLst/>
                    </a:prstGeom>
                  </pic:spPr>
                </pic:pic>
              </a:graphicData>
            </a:graphic>
          </wp:inline>
        </w:drawing>
      </w:r>
    </w:p>
    <w:sectPr>
      <w:footerReference r:id="rId4" w:type="first"/>
      <w:footerReference r:id="rId3" w:type="default"/>
      <w:pgSz w:w="11905" w:h="16838"/>
      <w:pgMar w:top="1440" w:right="1080" w:bottom="1440" w:left="1080" w:header="1134" w:footer="1134" w:gutter="0"/>
      <w:pgBorders>
        <w:top w:val="none" w:sz="0" w:space="0"/>
        <w:left w:val="none" w:sz="0" w:space="0"/>
        <w:bottom w:val="none" w:sz="0" w:space="0"/>
        <w:right w:val="none" w:sz="0" w:space="0"/>
      </w:pgBorders>
      <w:pgNumType w:fmt="decimal" w:start="1"/>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BC62FAC-98D6-43CA-BF08-F772CA7537A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Garamond">
    <w:altName w:val="PMingLiU-ExtB"/>
    <w:panose1 w:val="02020404030301010803"/>
    <w:charset w:val="00"/>
    <w:family w:val="roman"/>
    <w:pitch w:val="default"/>
    <w:sig w:usb0="00000000" w:usb1="00000000" w:usb2="00000000" w:usb3="00000000" w:csb0="0000009F" w:csb1="DFD70000"/>
  </w:font>
  <w:font w:name="MS Sans Serif">
    <w:altName w:val="Segoe UI Symbol"/>
    <w:panose1 w:val="020B0500000000000000"/>
    <w:charset w:val="00"/>
    <w:family w:val="swiss"/>
    <w:pitch w:val="default"/>
    <w:sig w:usb0="00000000" w:usb1="00000000" w:usb2="00000000" w:usb3="00000000" w:csb0="00000001" w:csb1="00000000"/>
  </w:font>
  <w:font w:name="楷体_GB2312">
    <w:panose1 w:val="02010609030101010101"/>
    <w:charset w:val="86"/>
    <w:family w:val="auto"/>
    <w:pitch w:val="default"/>
    <w:sig w:usb0="00000001" w:usb1="080E0000" w:usb2="00000000" w:usb3="00000000" w:csb0="00040000" w:csb1="00000000"/>
  </w:font>
  <w:font w:name="Copperplate Gothic Bold">
    <w:altName w:val="Segoe Print"/>
    <w:panose1 w:val="020E0705020206020404"/>
    <w:charset w:val="00"/>
    <w:family w:val="swiss"/>
    <w:pitch w:val="default"/>
    <w:sig w:usb0="00000000" w:usb1="00000000" w:usb2="00000000" w:usb3="00000000" w:csb0="20000001"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Arial (W1)">
    <w:altName w:val="Arial"/>
    <w:panose1 w:val="00000000000000000000"/>
    <w:charset w:val="00"/>
    <w:family w:val="swiss"/>
    <w:pitch w:val="default"/>
    <w:sig w:usb0="00000000" w:usb1="00000000" w:usb2="00000008" w:usb3="00000000" w:csb0="000001FF" w:csb1="00000000"/>
  </w:font>
  <w:font w:name="新宋体">
    <w:panose1 w:val="02010609030101010101"/>
    <w:charset w:val="86"/>
    <w:family w:val="auto"/>
    <w:pitch w:val="default"/>
    <w:sig w:usb0="0000028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2" w:fontKey="{AB772012-3EEB-4137-A6CA-79E91CCD6428}"/>
  </w:font>
  <w:font w:name="Calibri Light">
    <w:panose1 w:val="020F0302020204030204"/>
    <w:charset w:val="00"/>
    <w:family w:val="swiss"/>
    <w:pitch w:val="default"/>
    <w:sig w:usb0="E0002A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SourceHanSansCN-Regular">
    <w:altName w:val="Segoe Print"/>
    <w:panose1 w:val="00000000000000000000"/>
    <w:charset w:val="00"/>
    <w:family w:val="auto"/>
    <w:pitch w:val="default"/>
    <w:sig w:usb0="00000000" w:usb1="00000000" w:usb2="00000000" w:usb3="00000000" w:csb0="00000000" w:csb1="00000000"/>
  </w:font>
  <w:font w:name="MingLiU">
    <w:altName w:val="PMingLiU-ExtB"/>
    <w:panose1 w:val="02020509000000000000"/>
    <w:charset w:val="88"/>
    <w:family w:val="moder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 w:name="Segoe UI Symbol">
    <w:panose1 w:val="020B0502040204020203"/>
    <w:charset w:val="00"/>
    <w:family w:val="auto"/>
    <w:pitch w:val="default"/>
    <w:sig w:usb0="800001E3" w:usb1="1200FFEF" w:usb2="00040000" w:usb3="04000000" w:csb0="00000001" w:csb1="4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b/>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Style w:val="32"/>
        <w:rFonts w:ascii="宋体" w:hAnsi="宋体"/>
        <w:b/>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b/>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2A0AF4"/>
    <w:multiLevelType w:val="singleLevel"/>
    <w:tmpl w:val="B82A0AF4"/>
    <w:lvl w:ilvl="0" w:tentative="0">
      <w:start w:val="8"/>
      <w:numFmt w:val="decimal"/>
      <w:suff w:val="nothing"/>
      <w:lvlText w:val="%1、"/>
      <w:lvlJc w:val="left"/>
    </w:lvl>
  </w:abstractNum>
  <w:abstractNum w:abstractNumId="1">
    <w:nsid w:val="724B0212"/>
    <w:multiLevelType w:val="multilevel"/>
    <w:tmpl w:val="724B0212"/>
    <w:lvl w:ilvl="0" w:tentative="0">
      <w:start w:val="1"/>
      <w:numFmt w:val="decimal"/>
      <w:pStyle w:val="101"/>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4MTFmNzI2OWMyMzk4ZDBhZWY0NDE2ZmQ0YmY4NDkifQ=="/>
  </w:docVars>
  <w:rsids>
    <w:rsidRoot w:val="00172A27"/>
    <w:rsid w:val="000814FC"/>
    <w:rsid w:val="000C3DA7"/>
    <w:rsid w:val="00141F43"/>
    <w:rsid w:val="00163D65"/>
    <w:rsid w:val="001A408A"/>
    <w:rsid w:val="002269F9"/>
    <w:rsid w:val="002729DD"/>
    <w:rsid w:val="00274BDD"/>
    <w:rsid w:val="002B3596"/>
    <w:rsid w:val="002F7DD2"/>
    <w:rsid w:val="00301D60"/>
    <w:rsid w:val="00301E70"/>
    <w:rsid w:val="0030386A"/>
    <w:rsid w:val="00366C7C"/>
    <w:rsid w:val="00383CBD"/>
    <w:rsid w:val="004763F0"/>
    <w:rsid w:val="00476578"/>
    <w:rsid w:val="00484843"/>
    <w:rsid w:val="004E1F3A"/>
    <w:rsid w:val="00514266"/>
    <w:rsid w:val="00577718"/>
    <w:rsid w:val="00593490"/>
    <w:rsid w:val="005A0FB6"/>
    <w:rsid w:val="005C0CB7"/>
    <w:rsid w:val="005D1E75"/>
    <w:rsid w:val="005E6FED"/>
    <w:rsid w:val="006728F5"/>
    <w:rsid w:val="006758E0"/>
    <w:rsid w:val="0067594F"/>
    <w:rsid w:val="006F4D01"/>
    <w:rsid w:val="0076174B"/>
    <w:rsid w:val="00774531"/>
    <w:rsid w:val="007B7C41"/>
    <w:rsid w:val="008D1CDE"/>
    <w:rsid w:val="009113D8"/>
    <w:rsid w:val="00911AD9"/>
    <w:rsid w:val="009224FE"/>
    <w:rsid w:val="00922DD2"/>
    <w:rsid w:val="009C15CF"/>
    <w:rsid w:val="00A1762B"/>
    <w:rsid w:val="00A24B21"/>
    <w:rsid w:val="00A36735"/>
    <w:rsid w:val="00A37A9F"/>
    <w:rsid w:val="00A6244D"/>
    <w:rsid w:val="00BB6407"/>
    <w:rsid w:val="00BB69A9"/>
    <w:rsid w:val="00BE03DA"/>
    <w:rsid w:val="00C01C58"/>
    <w:rsid w:val="00C2485D"/>
    <w:rsid w:val="00C37605"/>
    <w:rsid w:val="00C603FA"/>
    <w:rsid w:val="00D4477F"/>
    <w:rsid w:val="00D55543"/>
    <w:rsid w:val="00D7103E"/>
    <w:rsid w:val="00D77720"/>
    <w:rsid w:val="00E05830"/>
    <w:rsid w:val="00E22921"/>
    <w:rsid w:val="00E86676"/>
    <w:rsid w:val="00EF5BA2"/>
    <w:rsid w:val="00F3673D"/>
    <w:rsid w:val="00F93027"/>
    <w:rsid w:val="00FC0BA8"/>
    <w:rsid w:val="00FD44BF"/>
    <w:rsid w:val="00FE78E0"/>
    <w:rsid w:val="010C3C88"/>
    <w:rsid w:val="010E5303"/>
    <w:rsid w:val="0110648F"/>
    <w:rsid w:val="011352BE"/>
    <w:rsid w:val="011C626C"/>
    <w:rsid w:val="01204AB9"/>
    <w:rsid w:val="01244C73"/>
    <w:rsid w:val="013350C3"/>
    <w:rsid w:val="01341544"/>
    <w:rsid w:val="01350C9C"/>
    <w:rsid w:val="01385160"/>
    <w:rsid w:val="01391423"/>
    <w:rsid w:val="013B3C3E"/>
    <w:rsid w:val="013E2686"/>
    <w:rsid w:val="01410F36"/>
    <w:rsid w:val="014469DB"/>
    <w:rsid w:val="01476284"/>
    <w:rsid w:val="014B4F11"/>
    <w:rsid w:val="01505F15"/>
    <w:rsid w:val="01536D2A"/>
    <w:rsid w:val="01541EA9"/>
    <w:rsid w:val="01567CE3"/>
    <w:rsid w:val="016519C1"/>
    <w:rsid w:val="017240DE"/>
    <w:rsid w:val="01812F41"/>
    <w:rsid w:val="018C1643"/>
    <w:rsid w:val="019B6F83"/>
    <w:rsid w:val="01A50524"/>
    <w:rsid w:val="01A511C6"/>
    <w:rsid w:val="01B80899"/>
    <w:rsid w:val="01B83A4E"/>
    <w:rsid w:val="01BA74E4"/>
    <w:rsid w:val="01BB3CD7"/>
    <w:rsid w:val="01C012ED"/>
    <w:rsid w:val="01C0309B"/>
    <w:rsid w:val="01C901A1"/>
    <w:rsid w:val="01D52DD1"/>
    <w:rsid w:val="01DE1773"/>
    <w:rsid w:val="01ED2883"/>
    <w:rsid w:val="01EF572E"/>
    <w:rsid w:val="01F62F61"/>
    <w:rsid w:val="01FB0577"/>
    <w:rsid w:val="01FB2226"/>
    <w:rsid w:val="01FE5971"/>
    <w:rsid w:val="020138B9"/>
    <w:rsid w:val="020B7342"/>
    <w:rsid w:val="02172DEF"/>
    <w:rsid w:val="021816D9"/>
    <w:rsid w:val="02182ED7"/>
    <w:rsid w:val="022B2C0A"/>
    <w:rsid w:val="022D4557"/>
    <w:rsid w:val="022E076F"/>
    <w:rsid w:val="02300F80"/>
    <w:rsid w:val="02385AB4"/>
    <w:rsid w:val="023973AC"/>
    <w:rsid w:val="02432B89"/>
    <w:rsid w:val="02493090"/>
    <w:rsid w:val="024E06A7"/>
    <w:rsid w:val="0251240E"/>
    <w:rsid w:val="02533F93"/>
    <w:rsid w:val="025727E8"/>
    <w:rsid w:val="02647ECA"/>
    <w:rsid w:val="02693733"/>
    <w:rsid w:val="026A7FD7"/>
    <w:rsid w:val="026E6DDD"/>
    <w:rsid w:val="026F1714"/>
    <w:rsid w:val="02737970"/>
    <w:rsid w:val="02740886"/>
    <w:rsid w:val="027F2F56"/>
    <w:rsid w:val="028E103A"/>
    <w:rsid w:val="029146C1"/>
    <w:rsid w:val="029A1B3E"/>
    <w:rsid w:val="02A329D6"/>
    <w:rsid w:val="02A46519"/>
    <w:rsid w:val="02AB10A3"/>
    <w:rsid w:val="02AE55E9"/>
    <w:rsid w:val="02B11EDA"/>
    <w:rsid w:val="02B15FAE"/>
    <w:rsid w:val="02B7449E"/>
    <w:rsid w:val="02BC1AB4"/>
    <w:rsid w:val="02BD6397"/>
    <w:rsid w:val="02BF2C1C"/>
    <w:rsid w:val="02C1268B"/>
    <w:rsid w:val="02C31095"/>
    <w:rsid w:val="02DB3C85"/>
    <w:rsid w:val="02DF2D53"/>
    <w:rsid w:val="02E33AD7"/>
    <w:rsid w:val="02E5725D"/>
    <w:rsid w:val="02E57681"/>
    <w:rsid w:val="02EF0B13"/>
    <w:rsid w:val="02F64878"/>
    <w:rsid w:val="02F92294"/>
    <w:rsid w:val="02FC1732"/>
    <w:rsid w:val="0300089E"/>
    <w:rsid w:val="03074DDC"/>
    <w:rsid w:val="030A6CC4"/>
    <w:rsid w:val="03146304"/>
    <w:rsid w:val="0317318F"/>
    <w:rsid w:val="03174F3D"/>
    <w:rsid w:val="0321400D"/>
    <w:rsid w:val="0321767B"/>
    <w:rsid w:val="032801FA"/>
    <w:rsid w:val="032C0E4B"/>
    <w:rsid w:val="033265A6"/>
    <w:rsid w:val="033518D8"/>
    <w:rsid w:val="034026E5"/>
    <w:rsid w:val="034675D0"/>
    <w:rsid w:val="034D4AAB"/>
    <w:rsid w:val="034D6BB0"/>
    <w:rsid w:val="035241C7"/>
    <w:rsid w:val="035C5045"/>
    <w:rsid w:val="03656829"/>
    <w:rsid w:val="0366612B"/>
    <w:rsid w:val="0375606D"/>
    <w:rsid w:val="037B44D8"/>
    <w:rsid w:val="038616D4"/>
    <w:rsid w:val="038A468E"/>
    <w:rsid w:val="038B4AFA"/>
    <w:rsid w:val="03932DE8"/>
    <w:rsid w:val="03A8356F"/>
    <w:rsid w:val="03AC7D7B"/>
    <w:rsid w:val="03B960E0"/>
    <w:rsid w:val="03C2134C"/>
    <w:rsid w:val="03C350C4"/>
    <w:rsid w:val="03D11130"/>
    <w:rsid w:val="03D244AC"/>
    <w:rsid w:val="03D245C3"/>
    <w:rsid w:val="03D62C79"/>
    <w:rsid w:val="03D746CC"/>
    <w:rsid w:val="03E80687"/>
    <w:rsid w:val="03EB56E7"/>
    <w:rsid w:val="03EE3951"/>
    <w:rsid w:val="04014AFF"/>
    <w:rsid w:val="04025BED"/>
    <w:rsid w:val="040533DA"/>
    <w:rsid w:val="041100C3"/>
    <w:rsid w:val="04115E30"/>
    <w:rsid w:val="041317A6"/>
    <w:rsid w:val="041D6BC9"/>
    <w:rsid w:val="041F679F"/>
    <w:rsid w:val="04213385"/>
    <w:rsid w:val="0421588D"/>
    <w:rsid w:val="04233225"/>
    <w:rsid w:val="04390EE3"/>
    <w:rsid w:val="0445774F"/>
    <w:rsid w:val="04483997"/>
    <w:rsid w:val="045D12A6"/>
    <w:rsid w:val="045D72C7"/>
    <w:rsid w:val="04604650"/>
    <w:rsid w:val="04626190"/>
    <w:rsid w:val="046940F6"/>
    <w:rsid w:val="04700BDD"/>
    <w:rsid w:val="04707B3A"/>
    <w:rsid w:val="047D5491"/>
    <w:rsid w:val="04820ADC"/>
    <w:rsid w:val="048416CC"/>
    <w:rsid w:val="0485659F"/>
    <w:rsid w:val="048819C4"/>
    <w:rsid w:val="04954F03"/>
    <w:rsid w:val="049A79FA"/>
    <w:rsid w:val="04A9250C"/>
    <w:rsid w:val="04B2316F"/>
    <w:rsid w:val="04BA3FA6"/>
    <w:rsid w:val="04BA64C7"/>
    <w:rsid w:val="04C64E6C"/>
    <w:rsid w:val="04E0496C"/>
    <w:rsid w:val="04F25C61"/>
    <w:rsid w:val="05041C7F"/>
    <w:rsid w:val="05121E5F"/>
    <w:rsid w:val="051536FE"/>
    <w:rsid w:val="051F47F0"/>
    <w:rsid w:val="052851DF"/>
    <w:rsid w:val="052A53FB"/>
    <w:rsid w:val="052A5A34"/>
    <w:rsid w:val="052B49B1"/>
    <w:rsid w:val="053C2210"/>
    <w:rsid w:val="053F077B"/>
    <w:rsid w:val="05404D37"/>
    <w:rsid w:val="05507798"/>
    <w:rsid w:val="055406CA"/>
    <w:rsid w:val="055900D9"/>
    <w:rsid w:val="055B1BFB"/>
    <w:rsid w:val="056035AE"/>
    <w:rsid w:val="056A57F8"/>
    <w:rsid w:val="05707F63"/>
    <w:rsid w:val="05736F63"/>
    <w:rsid w:val="05741F1F"/>
    <w:rsid w:val="057866FB"/>
    <w:rsid w:val="057C5931"/>
    <w:rsid w:val="057D63D4"/>
    <w:rsid w:val="057E12A3"/>
    <w:rsid w:val="05811161"/>
    <w:rsid w:val="059016D1"/>
    <w:rsid w:val="059447F4"/>
    <w:rsid w:val="059C5BB5"/>
    <w:rsid w:val="05A131E3"/>
    <w:rsid w:val="05AB5E10"/>
    <w:rsid w:val="05B26E1A"/>
    <w:rsid w:val="05B274F9"/>
    <w:rsid w:val="05BF623B"/>
    <w:rsid w:val="05C84C14"/>
    <w:rsid w:val="05D24766"/>
    <w:rsid w:val="05D47115"/>
    <w:rsid w:val="05E41A4E"/>
    <w:rsid w:val="05E470DE"/>
    <w:rsid w:val="05E479E5"/>
    <w:rsid w:val="05F15F19"/>
    <w:rsid w:val="05F9301F"/>
    <w:rsid w:val="05F94DCD"/>
    <w:rsid w:val="060519C4"/>
    <w:rsid w:val="06054DF2"/>
    <w:rsid w:val="061E463C"/>
    <w:rsid w:val="06220EE9"/>
    <w:rsid w:val="062D1457"/>
    <w:rsid w:val="062F1FE3"/>
    <w:rsid w:val="06316315"/>
    <w:rsid w:val="0643011C"/>
    <w:rsid w:val="06534E82"/>
    <w:rsid w:val="065F4C00"/>
    <w:rsid w:val="066A0661"/>
    <w:rsid w:val="067135D1"/>
    <w:rsid w:val="067526A6"/>
    <w:rsid w:val="067B1C86"/>
    <w:rsid w:val="067D3154"/>
    <w:rsid w:val="0680729D"/>
    <w:rsid w:val="06881726"/>
    <w:rsid w:val="06941792"/>
    <w:rsid w:val="069858D8"/>
    <w:rsid w:val="06A707AF"/>
    <w:rsid w:val="06AD4D54"/>
    <w:rsid w:val="06B84C89"/>
    <w:rsid w:val="06CF7D55"/>
    <w:rsid w:val="06D53145"/>
    <w:rsid w:val="06DA69AD"/>
    <w:rsid w:val="06E16AEE"/>
    <w:rsid w:val="06E415DA"/>
    <w:rsid w:val="06E8731C"/>
    <w:rsid w:val="06F04422"/>
    <w:rsid w:val="06F2301F"/>
    <w:rsid w:val="06F4641F"/>
    <w:rsid w:val="070B505A"/>
    <w:rsid w:val="070E52C7"/>
    <w:rsid w:val="071375C7"/>
    <w:rsid w:val="072662AA"/>
    <w:rsid w:val="07382FE8"/>
    <w:rsid w:val="073B6770"/>
    <w:rsid w:val="073C1416"/>
    <w:rsid w:val="073D5600"/>
    <w:rsid w:val="074B5E56"/>
    <w:rsid w:val="0759168E"/>
    <w:rsid w:val="0775091E"/>
    <w:rsid w:val="078C4FC6"/>
    <w:rsid w:val="078D04D6"/>
    <w:rsid w:val="07944DAE"/>
    <w:rsid w:val="079E5931"/>
    <w:rsid w:val="07A31495"/>
    <w:rsid w:val="07AB012E"/>
    <w:rsid w:val="07AD19DF"/>
    <w:rsid w:val="07AD7CAE"/>
    <w:rsid w:val="07AF7E3A"/>
    <w:rsid w:val="07B126C5"/>
    <w:rsid w:val="07B269DF"/>
    <w:rsid w:val="07B47A1C"/>
    <w:rsid w:val="07C531B9"/>
    <w:rsid w:val="07C9269B"/>
    <w:rsid w:val="07CB582A"/>
    <w:rsid w:val="07CE4CD5"/>
    <w:rsid w:val="07D30528"/>
    <w:rsid w:val="07D37F81"/>
    <w:rsid w:val="07E66374"/>
    <w:rsid w:val="07EA652B"/>
    <w:rsid w:val="07EB0E8D"/>
    <w:rsid w:val="07F10452"/>
    <w:rsid w:val="07F25F78"/>
    <w:rsid w:val="07FA5067"/>
    <w:rsid w:val="0800177F"/>
    <w:rsid w:val="08133233"/>
    <w:rsid w:val="081547F4"/>
    <w:rsid w:val="081C726C"/>
    <w:rsid w:val="082312A0"/>
    <w:rsid w:val="084B781B"/>
    <w:rsid w:val="084E7652"/>
    <w:rsid w:val="084F33CB"/>
    <w:rsid w:val="08536E7C"/>
    <w:rsid w:val="085E4BA3"/>
    <w:rsid w:val="0874112F"/>
    <w:rsid w:val="087A1F0C"/>
    <w:rsid w:val="088120C2"/>
    <w:rsid w:val="088306A3"/>
    <w:rsid w:val="08841657"/>
    <w:rsid w:val="088A4403"/>
    <w:rsid w:val="089434A9"/>
    <w:rsid w:val="08955281"/>
    <w:rsid w:val="08982A6C"/>
    <w:rsid w:val="08994010"/>
    <w:rsid w:val="08A528F7"/>
    <w:rsid w:val="08A81198"/>
    <w:rsid w:val="08A90542"/>
    <w:rsid w:val="08B13B59"/>
    <w:rsid w:val="08B17C40"/>
    <w:rsid w:val="08B66FA6"/>
    <w:rsid w:val="08B93E90"/>
    <w:rsid w:val="08BB280E"/>
    <w:rsid w:val="08C23B9D"/>
    <w:rsid w:val="08C46DA5"/>
    <w:rsid w:val="08C77D21"/>
    <w:rsid w:val="08D613F6"/>
    <w:rsid w:val="08D823CD"/>
    <w:rsid w:val="08F5190E"/>
    <w:rsid w:val="08F55279"/>
    <w:rsid w:val="08F9489D"/>
    <w:rsid w:val="0907636A"/>
    <w:rsid w:val="0914790E"/>
    <w:rsid w:val="091A5787"/>
    <w:rsid w:val="091C32AD"/>
    <w:rsid w:val="09213027"/>
    <w:rsid w:val="093177DC"/>
    <w:rsid w:val="09394C52"/>
    <w:rsid w:val="093F51ED"/>
    <w:rsid w:val="09414AC1"/>
    <w:rsid w:val="09442803"/>
    <w:rsid w:val="09454ED0"/>
    <w:rsid w:val="09533DA3"/>
    <w:rsid w:val="0954013C"/>
    <w:rsid w:val="09594501"/>
    <w:rsid w:val="09776735"/>
    <w:rsid w:val="097C02CB"/>
    <w:rsid w:val="09896468"/>
    <w:rsid w:val="098D268D"/>
    <w:rsid w:val="098D41AA"/>
    <w:rsid w:val="098F1E19"/>
    <w:rsid w:val="09907BA7"/>
    <w:rsid w:val="09923932"/>
    <w:rsid w:val="09937C7F"/>
    <w:rsid w:val="099C5BE4"/>
    <w:rsid w:val="099E21CF"/>
    <w:rsid w:val="09A84B40"/>
    <w:rsid w:val="09B03F22"/>
    <w:rsid w:val="09B31999"/>
    <w:rsid w:val="09B41737"/>
    <w:rsid w:val="09B5725D"/>
    <w:rsid w:val="09B6060A"/>
    <w:rsid w:val="09B61513"/>
    <w:rsid w:val="09BB0A8F"/>
    <w:rsid w:val="09BD796D"/>
    <w:rsid w:val="09BF1E8A"/>
    <w:rsid w:val="09C474A0"/>
    <w:rsid w:val="09CF7E92"/>
    <w:rsid w:val="09D122E9"/>
    <w:rsid w:val="09D52BE3"/>
    <w:rsid w:val="09DF42DA"/>
    <w:rsid w:val="09E813E1"/>
    <w:rsid w:val="09E93CA4"/>
    <w:rsid w:val="09EA39F6"/>
    <w:rsid w:val="09EA6F07"/>
    <w:rsid w:val="09F14739"/>
    <w:rsid w:val="09F20F0B"/>
    <w:rsid w:val="09FA5AFC"/>
    <w:rsid w:val="0A011553"/>
    <w:rsid w:val="0A03231E"/>
    <w:rsid w:val="0A157CFC"/>
    <w:rsid w:val="0A2148F3"/>
    <w:rsid w:val="0A252E0C"/>
    <w:rsid w:val="0A284BE4"/>
    <w:rsid w:val="0A2C0451"/>
    <w:rsid w:val="0A2C1C9B"/>
    <w:rsid w:val="0A2D71EC"/>
    <w:rsid w:val="0A2E2CCE"/>
    <w:rsid w:val="0A411CC2"/>
    <w:rsid w:val="0A5C3FED"/>
    <w:rsid w:val="0A6C1CE7"/>
    <w:rsid w:val="0A6D18E6"/>
    <w:rsid w:val="0A7A1265"/>
    <w:rsid w:val="0A864510"/>
    <w:rsid w:val="0A9211D9"/>
    <w:rsid w:val="0A924546"/>
    <w:rsid w:val="0AAF0151"/>
    <w:rsid w:val="0AAF1EFF"/>
    <w:rsid w:val="0ABB08A3"/>
    <w:rsid w:val="0ABD286D"/>
    <w:rsid w:val="0AC1523C"/>
    <w:rsid w:val="0AC37545"/>
    <w:rsid w:val="0AC77248"/>
    <w:rsid w:val="0AD304E7"/>
    <w:rsid w:val="0AD96F7B"/>
    <w:rsid w:val="0AE307D2"/>
    <w:rsid w:val="0AE56260"/>
    <w:rsid w:val="0AE712C5"/>
    <w:rsid w:val="0AE7534D"/>
    <w:rsid w:val="0AEB4275"/>
    <w:rsid w:val="0AF27D18"/>
    <w:rsid w:val="0AF87AF6"/>
    <w:rsid w:val="0AFF4C34"/>
    <w:rsid w:val="0B057D70"/>
    <w:rsid w:val="0B0E0423"/>
    <w:rsid w:val="0B0E4F20"/>
    <w:rsid w:val="0B1676E4"/>
    <w:rsid w:val="0B1A1A6E"/>
    <w:rsid w:val="0B1D3AD1"/>
    <w:rsid w:val="0B282530"/>
    <w:rsid w:val="0B335D30"/>
    <w:rsid w:val="0B3D4634"/>
    <w:rsid w:val="0B404627"/>
    <w:rsid w:val="0B4238FB"/>
    <w:rsid w:val="0B424B21"/>
    <w:rsid w:val="0B462863"/>
    <w:rsid w:val="0B4A2C98"/>
    <w:rsid w:val="0B4A2E96"/>
    <w:rsid w:val="0B4B5018"/>
    <w:rsid w:val="0B5B1938"/>
    <w:rsid w:val="0B5B47C1"/>
    <w:rsid w:val="0B6079DE"/>
    <w:rsid w:val="0B615072"/>
    <w:rsid w:val="0B6373B4"/>
    <w:rsid w:val="0B6452DB"/>
    <w:rsid w:val="0B64718D"/>
    <w:rsid w:val="0B6658C1"/>
    <w:rsid w:val="0B7530F1"/>
    <w:rsid w:val="0B802457"/>
    <w:rsid w:val="0B8136EA"/>
    <w:rsid w:val="0B8530C0"/>
    <w:rsid w:val="0B8B471A"/>
    <w:rsid w:val="0B916712"/>
    <w:rsid w:val="0B926B0D"/>
    <w:rsid w:val="0B9E41C6"/>
    <w:rsid w:val="0BAA21C9"/>
    <w:rsid w:val="0BB0189B"/>
    <w:rsid w:val="0BB023D2"/>
    <w:rsid w:val="0BB0519C"/>
    <w:rsid w:val="0BBC689F"/>
    <w:rsid w:val="0BC85A32"/>
    <w:rsid w:val="0BD10FD4"/>
    <w:rsid w:val="0BD75D9E"/>
    <w:rsid w:val="0BDD28DA"/>
    <w:rsid w:val="0BDD356E"/>
    <w:rsid w:val="0BEA0EF2"/>
    <w:rsid w:val="0BEB4F00"/>
    <w:rsid w:val="0BFA4F8B"/>
    <w:rsid w:val="0C0637AE"/>
    <w:rsid w:val="0C0A1AE2"/>
    <w:rsid w:val="0C0B092B"/>
    <w:rsid w:val="0C134B25"/>
    <w:rsid w:val="0C1464BD"/>
    <w:rsid w:val="0C19682A"/>
    <w:rsid w:val="0C430B50"/>
    <w:rsid w:val="0C5C2119"/>
    <w:rsid w:val="0C5E0B8C"/>
    <w:rsid w:val="0C632FA1"/>
    <w:rsid w:val="0C637445"/>
    <w:rsid w:val="0C640C8F"/>
    <w:rsid w:val="0C664056"/>
    <w:rsid w:val="0C6854C6"/>
    <w:rsid w:val="0C692118"/>
    <w:rsid w:val="0C6E64A7"/>
    <w:rsid w:val="0C7236C8"/>
    <w:rsid w:val="0C761AE4"/>
    <w:rsid w:val="0C7B478E"/>
    <w:rsid w:val="0C811679"/>
    <w:rsid w:val="0C831AD1"/>
    <w:rsid w:val="0C8474DC"/>
    <w:rsid w:val="0C882A07"/>
    <w:rsid w:val="0C8B665C"/>
    <w:rsid w:val="0C8E389C"/>
    <w:rsid w:val="0C937688"/>
    <w:rsid w:val="0C9413AC"/>
    <w:rsid w:val="0CA13DE0"/>
    <w:rsid w:val="0CA37841"/>
    <w:rsid w:val="0CAD042E"/>
    <w:rsid w:val="0CB151A7"/>
    <w:rsid w:val="0CB46D59"/>
    <w:rsid w:val="0CB944F3"/>
    <w:rsid w:val="0CBF6651"/>
    <w:rsid w:val="0CC122A9"/>
    <w:rsid w:val="0CC15BD3"/>
    <w:rsid w:val="0CC779D3"/>
    <w:rsid w:val="0CD05AE9"/>
    <w:rsid w:val="0CE340E1"/>
    <w:rsid w:val="0CEE7129"/>
    <w:rsid w:val="0CF144A2"/>
    <w:rsid w:val="0CF87B8D"/>
    <w:rsid w:val="0D024281"/>
    <w:rsid w:val="0D041CB1"/>
    <w:rsid w:val="0D0A4729"/>
    <w:rsid w:val="0D1715CA"/>
    <w:rsid w:val="0D25324A"/>
    <w:rsid w:val="0D273AED"/>
    <w:rsid w:val="0D3037CB"/>
    <w:rsid w:val="0D38267F"/>
    <w:rsid w:val="0D3B0FD3"/>
    <w:rsid w:val="0D441595"/>
    <w:rsid w:val="0D525723"/>
    <w:rsid w:val="0D56275E"/>
    <w:rsid w:val="0D5A63DD"/>
    <w:rsid w:val="0D601453"/>
    <w:rsid w:val="0D735465"/>
    <w:rsid w:val="0D802921"/>
    <w:rsid w:val="0D813E3B"/>
    <w:rsid w:val="0D8530B8"/>
    <w:rsid w:val="0D892EDB"/>
    <w:rsid w:val="0D9378B6"/>
    <w:rsid w:val="0D9D457B"/>
    <w:rsid w:val="0DA2581C"/>
    <w:rsid w:val="0DA5766E"/>
    <w:rsid w:val="0DB05DDA"/>
    <w:rsid w:val="0DB24F70"/>
    <w:rsid w:val="0DB27C34"/>
    <w:rsid w:val="0DB3568C"/>
    <w:rsid w:val="0DB72EC2"/>
    <w:rsid w:val="0DC33BD4"/>
    <w:rsid w:val="0DE66214"/>
    <w:rsid w:val="0DE96C29"/>
    <w:rsid w:val="0DEE43F5"/>
    <w:rsid w:val="0DF26CD2"/>
    <w:rsid w:val="0DFC153A"/>
    <w:rsid w:val="0E09021D"/>
    <w:rsid w:val="0E0A7BF0"/>
    <w:rsid w:val="0E250E55"/>
    <w:rsid w:val="0E261047"/>
    <w:rsid w:val="0E285EA9"/>
    <w:rsid w:val="0E28678F"/>
    <w:rsid w:val="0E314DF7"/>
    <w:rsid w:val="0E3F2245"/>
    <w:rsid w:val="0E435835"/>
    <w:rsid w:val="0E4358AC"/>
    <w:rsid w:val="0E4D5CB6"/>
    <w:rsid w:val="0E4F28EB"/>
    <w:rsid w:val="0E530AE0"/>
    <w:rsid w:val="0E53203D"/>
    <w:rsid w:val="0E56100F"/>
    <w:rsid w:val="0E6036A6"/>
    <w:rsid w:val="0E67321C"/>
    <w:rsid w:val="0E7B19F4"/>
    <w:rsid w:val="0E7B6CC7"/>
    <w:rsid w:val="0E842348"/>
    <w:rsid w:val="0E8536A2"/>
    <w:rsid w:val="0E8B67DF"/>
    <w:rsid w:val="0E8B779A"/>
    <w:rsid w:val="0E8F4521"/>
    <w:rsid w:val="0E8F7AC9"/>
    <w:rsid w:val="0E930825"/>
    <w:rsid w:val="0E9A071E"/>
    <w:rsid w:val="0EA11C00"/>
    <w:rsid w:val="0EA27ACA"/>
    <w:rsid w:val="0EA37E63"/>
    <w:rsid w:val="0EBD5965"/>
    <w:rsid w:val="0EC92DAC"/>
    <w:rsid w:val="0ECF47FF"/>
    <w:rsid w:val="0ED92C64"/>
    <w:rsid w:val="0EDA16DF"/>
    <w:rsid w:val="0EE0306A"/>
    <w:rsid w:val="0EE50253"/>
    <w:rsid w:val="0EEA5280"/>
    <w:rsid w:val="0EEF3211"/>
    <w:rsid w:val="0EF93F79"/>
    <w:rsid w:val="0EFA3F03"/>
    <w:rsid w:val="0EFB63B0"/>
    <w:rsid w:val="0F012B99"/>
    <w:rsid w:val="0F0720BC"/>
    <w:rsid w:val="0F0C791F"/>
    <w:rsid w:val="0F0E707E"/>
    <w:rsid w:val="0F144A26"/>
    <w:rsid w:val="0F154025"/>
    <w:rsid w:val="0F2E5695"/>
    <w:rsid w:val="0F2E7896"/>
    <w:rsid w:val="0F3126FC"/>
    <w:rsid w:val="0F320DF8"/>
    <w:rsid w:val="0F36508C"/>
    <w:rsid w:val="0F3A0931"/>
    <w:rsid w:val="0F422294"/>
    <w:rsid w:val="0F490B74"/>
    <w:rsid w:val="0F521CF9"/>
    <w:rsid w:val="0F533C3C"/>
    <w:rsid w:val="0F5512C6"/>
    <w:rsid w:val="0F5D461F"/>
    <w:rsid w:val="0F610D41"/>
    <w:rsid w:val="0F626C41"/>
    <w:rsid w:val="0F6B614E"/>
    <w:rsid w:val="0F704352"/>
    <w:rsid w:val="0F791001"/>
    <w:rsid w:val="0F7E204A"/>
    <w:rsid w:val="0F8120BC"/>
    <w:rsid w:val="0F824F30"/>
    <w:rsid w:val="0F8447FC"/>
    <w:rsid w:val="0F8E182F"/>
    <w:rsid w:val="0F8F7EEC"/>
    <w:rsid w:val="0F9135A8"/>
    <w:rsid w:val="0FA4224E"/>
    <w:rsid w:val="0FA451BD"/>
    <w:rsid w:val="0FA6751B"/>
    <w:rsid w:val="0FA92EA2"/>
    <w:rsid w:val="0FB30185"/>
    <w:rsid w:val="0FB35535"/>
    <w:rsid w:val="0FB6788B"/>
    <w:rsid w:val="0FC96D9E"/>
    <w:rsid w:val="0FD6350A"/>
    <w:rsid w:val="0FD73A9D"/>
    <w:rsid w:val="0FE21A87"/>
    <w:rsid w:val="0FFF7484"/>
    <w:rsid w:val="10036F74"/>
    <w:rsid w:val="10086013"/>
    <w:rsid w:val="10125409"/>
    <w:rsid w:val="10137137"/>
    <w:rsid w:val="102F3975"/>
    <w:rsid w:val="103D0CFD"/>
    <w:rsid w:val="10401F77"/>
    <w:rsid w:val="104F3F68"/>
    <w:rsid w:val="10562898"/>
    <w:rsid w:val="10623011"/>
    <w:rsid w:val="10651349"/>
    <w:rsid w:val="10697DC2"/>
    <w:rsid w:val="106A2B50"/>
    <w:rsid w:val="10702130"/>
    <w:rsid w:val="10722149"/>
    <w:rsid w:val="107E126F"/>
    <w:rsid w:val="108005C5"/>
    <w:rsid w:val="10931CD8"/>
    <w:rsid w:val="1096176D"/>
    <w:rsid w:val="109A0F5B"/>
    <w:rsid w:val="109D5F30"/>
    <w:rsid w:val="109E0747"/>
    <w:rsid w:val="10BC72A5"/>
    <w:rsid w:val="10C34956"/>
    <w:rsid w:val="10CA27EF"/>
    <w:rsid w:val="10CA76BE"/>
    <w:rsid w:val="10CC565C"/>
    <w:rsid w:val="10D12BCF"/>
    <w:rsid w:val="10DC182C"/>
    <w:rsid w:val="10DC3844"/>
    <w:rsid w:val="10DE52EC"/>
    <w:rsid w:val="10E50428"/>
    <w:rsid w:val="10F56F9A"/>
    <w:rsid w:val="10F66AD9"/>
    <w:rsid w:val="10F817BB"/>
    <w:rsid w:val="10F91DBE"/>
    <w:rsid w:val="10FE773C"/>
    <w:rsid w:val="11001559"/>
    <w:rsid w:val="110273FB"/>
    <w:rsid w:val="1115559D"/>
    <w:rsid w:val="111E5295"/>
    <w:rsid w:val="1122342A"/>
    <w:rsid w:val="1124059A"/>
    <w:rsid w:val="113B273E"/>
    <w:rsid w:val="115003BB"/>
    <w:rsid w:val="115A1790"/>
    <w:rsid w:val="1160654C"/>
    <w:rsid w:val="11654C5D"/>
    <w:rsid w:val="116A6B7F"/>
    <w:rsid w:val="117D6D9B"/>
    <w:rsid w:val="117F087D"/>
    <w:rsid w:val="11853829"/>
    <w:rsid w:val="1186795B"/>
    <w:rsid w:val="11867E5D"/>
    <w:rsid w:val="118B41C4"/>
    <w:rsid w:val="11914273"/>
    <w:rsid w:val="11971BFD"/>
    <w:rsid w:val="119836EC"/>
    <w:rsid w:val="119E4995"/>
    <w:rsid w:val="11A55993"/>
    <w:rsid w:val="11B31D73"/>
    <w:rsid w:val="11BD3153"/>
    <w:rsid w:val="11BD71AA"/>
    <w:rsid w:val="11BF511D"/>
    <w:rsid w:val="11C11BA0"/>
    <w:rsid w:val="11C664AC"/>
    <w:rsid w:val="11C92BC7"/>
    <w:rsid w:val="11CB3CC8"/>
    <w:rsid w:val="11D36486"/>
    <w:rsid w:val="11DC7A7D"/>
    <w:rsid w:val="11E20E0C"/>
    <w:rsid w:val="11E42AF1"/>
    <w:rsid w:val="11ED1C8A"/>
    <w:rsid w:val="11F16FBA"/>
    <w:rsid w:val="12080872"/>
    <w:rsid w:val="12140A0E"/>
    <w:rsid w:val="123B7561"/>
    <w:rsid w:val="123D061E"/>
    <w:rsid w:val="123F5E21"/>
    <w:rsid w:val="12490E8B"/>
    <w:rsid w:val="124E024F"/>
    <w:rsid w:val="12500C0A"/>
    <w:rsid w:val="12505D75"/>
    <w:rsid w:val="1255649B"/>
    <w:rsid w:val="125E4936"/>
    <w:rsid w:val="125F245C"/>
    <w:rsid w:val="12687563"/>
    <w:rsid w:val="126E7044"/>
    <w:rsid w:val="12707D43"/>
    <w:rsid w:val="12767ED2"/>
    <w:rsid w:val="1283439D"/>
    <w:rsid w:val="12842974"/>
    <w:rsid w:val="128B1CD8"/>
    <w:rsid w:val="129B5A47"/>
    <w:rsid w:val="129C545E"/>
    <w:rsid w:val="129D69FC"/>
    <w:rsid w:val="12A65AFE"/>
    <w:rsid w:val="12A762DD"/>
    <w:rsid w:val="12C72549"/>
    <w:rsid w:val="12CE5F59"/>
    <w:rsid w:val="12D22C2E"/>
    <w:rsid w:val="12DC06A9"/>
    <w:rsid w:val="12EA5817"/>
    <w:rsid w:val="12EB689D"/>
    <w:rsid w:val="12FB4942"/>
    <w:rsid w:val="130059ED"/>
    <w:rsid w:val="13022C26"/>
    <w:rsid w:val="1303728B"/>
    <w:rsid w:val="130627D3"/>
    <w:rsid w:val="130725DA"/>
    <w:rsid w:val="13081D2B"/>
    <w:rsid w:val="131172AD"/>
    <w:rsid w:val="13166FBF"/>
    <w:rsid w:val="131F2C60"/>
    <w:rsid w:val="132310B1"/>
    <w:rsid w:val="13287709"/>
    <w:rsid w:val="132A0AB1"/>
    <w:rsid w:val="132B59C4"/>
    <w:rsid w:val="132C50AF"/>
    <w:rsid w:val="13323A5E"/>
    <w:rsid w:val="13344181"/>
    <w:rsid w:val="13456A27"/>
    <w:rsid w:val="134578A4"/>
    <w:rsid w:val="134E3561"/>
    <w:rsid w:val="136B12BD"/>
    <w:rsid w:val="136D6841"/>
    <w:rsid w:val="137018D5"/>
    <w:rsid w:val="13721E7F"/>
    <w:rsid w:val="1372481A"/>
    <w:rsid w:val="137F7571"/>
    <w:rsid w:val="13826F49"/>
    <w:rsid w:val="13873BB1"/>
    <w:rsid w:val="138D09EE"/>
    <w:rsid w:val="13917D30"/>
    <w:rsid w:val="13A10F7E"/>
    <w:rsid w:val="13A94EAE"/>
    <w:rsid w:val="13C133CE"/>
    <w:rsid w:val="13C277FC"/>
    <w:rsid w:val="13D56333"/>
    <w:rsid w:val="13D75A20"/>
    <w:rsid w:val="13D84E59"/>
    <w:rsid w:val="13D859C6"/>
    <w:rsid w:val="13DF4450"/>
    <w:rsid w:val="13E6357E"/>
    <w:rsid w:val="13EA5D12"/>
    <w:rsid w:val="13F1162C"/>
    <w:rsid w:val="13F37300"/>
    <w:rsid w:val="140B289C"/>
    <w:rsid w:val="140D291C"/>
    <w:rsid w:val="140E5EE8"/>
    <w:rsid w:val="140E7D77"/>
    <w:rsid w:val="141F6347"/>
    <w:rsid w:val="14236E4E"/>
    <w:rsid w:val="142B4CEC"/>
    <w:rsid w:val="142E20E6"/>
    <w:rsid w:val="143F5854"/>
    <w:rsid w:val="144A310D"/>
    <w:rsid w:val="144A7A0B"/>
    <w:rsid w:val="144D7903"/>
    <w:rsid w:val="14515DD5"/>
    <w:rsid w:val="145911BE"/>
    <w:rsid w:val="14681F47"/>
    <w:rsid w:val="146B35F0"/>
    <w:rsid w:val="14771CDF"/>
    <w:rsid w:val="1478581C"/>
    <w:rsid w:val="1479563A"/>
    <w:rsid w:val="147D6BCA"/>
    <w:rsid w:val="147E6A1C"/>
    <w:rsid w:val="148361ED"/>
    <w:rsid w:val="14846919"/>
    <w:rsid w:val="14847BCB"/>
    <w:rsid w:val="14863661"/>
    <w:rsid w:val="148A274D"/>
    <w:rsid w:val="149208C7"/>
    <w:rsid w:val="149E726C"/>
    <w:rsid w:val="14A4212E"/>
    <w:rsid w:val="14AB3FBF"/>
    <w:rsid w:val="14AF57E7"/>
    <w:rsid w:val="14B20F69"/>
    <w:rsid w:val="14B80B62"/>
    <w:rsid w:val="14BD0B6D"/>
    <w:rsid w:val="14BF2D1A"/>
    <w:rsid w:val="14C015FA"/>
    <w:rsid w:val="14CA0061"/>
    <w:rsid w:val="14CE0982"/>
    <w:rsid w:val="14D33207"/>
    <w:rsid w:val="14D632DF"/>
    <w:rsid w:val="14D71284"/>
    <w:rsid w:val="14E146E7"/>
    <w:rsid w:val="14EF5D19"/>
    <w:rsid w:val="14EF747D"/>
    <w:rsid w:val="14F055ED"/>
    <w:rsid w:val="14F450DE"/>
    <w:rsid w:val="14F5090E"/>
    <w:rsid w:val="14FE7D0A"/>
    <w:rsid w:val="15015A4D"/>
    <w:rsid w:val="150712B5"/>
    <w:rsid w:val="150A046A"/>
    <w:rsid w:val="15115C90"/>
    <w:rsid w:val="15176D6C"/>
    <w:rsid w:val="151C1999"/>
    <w:rsid w:val="15231FB0"/>
    <w:rsid w:val="152F6116"/>
    <w:rsid w:val="1535166C"/>
    <w:rsid w:val="15353F92"/>
    <w:rsid w:val="153839D0"/>
    <w:rsid w:val="1541273A"/>
    <w:rsid w:val="154A11A2"/>
    <w:rsid w:val="154E694A"/>
    <w:rsid w:val="15580D15"/>
    <w:rsid w:val="15597637"/>
    <w:rsid w:val="15616BC2"/>
    <w:rsid w:val="156721CE"/>
    <w:rsid w:val="15673B02"/>
    <w:rsid w:val="1568138F"/>
    <w:rsid w:val="156C184C"/>
    <w:rsid w:val="156C55BC"/>
    <w:rsid w:val="156F6E5A"/>
    <w:rsid w:val="15701810"/>
    <w:rsid w:val="15701F34"/>
    <w:rsid w:val="15706B81"/>
    <w:rsid w:val="15707694"/>
    <w:rsid w:val="157C38F2"/>
    <w:rsid w:val="157F16A7"/>
    <w:rsid w:val="157F52EF"/>
    <w:rsid w:val="157F6CD1"/>
    <w:rsid w:val="158C0F94"/>
    <w:rsid w:val="15935FE5"/>
    <w:rsid w:val="159D76CF"/>
    <w:rsid w:val="159F69CE"/>
    <w:rsid w:val="15A22D8C"/>
    <w:rsid w:val="15A8220B"/>
    <w:rsid w:val="15A93C8C"/>
    <w:rsid w:val="15B8386B"/>
    <w:rsid w:val="15BE458A"/>
    <w:rsid w:val="15C617EC"/>
    <w:rsid w:val="15CC6547"/>
    <w:rsid w:val="15D3530E"/>
    <w:rsid w:val="15E213DA"/>
    <w:rsid w:val="15E30851"/>
    <w:rsid w:val="15E433A4"/>
    <w:rsid w:val="15E74C42"/>
    <w:rsid w:val="15F96458"/>
    <w:rsid w:val="160038F0"/>
    <w:rsid w:val="16003919"/>
    <w:rsid w:val="160B0483"/>
    <w:rsid w:val="161B669A"/>
    <w:rsid w:val="161C64EF"/>
    <w:rsid w:val="161E004C"/>
    <w:rsid w:val="16273291"/>
    <w:rsid w:val="16313445"/>
    <w:rsid w:val="163B0D72"/>
    <w:rsid w:val="163D2632"/>
    <w:rsid w:val="164E7F90"/>
    <w:rsid w:val="16586AA2"/>
    <w:rsid w:val="166B76D2"/>
    <w:rsid w:val="16753FFC"/>
    <w:rsid w:val="167831F0"/>
    <w:rsid w:val="167A107B"/>
    <w:rsid w:val="167C35DD"/>
    <w:rsid w:val="168B7CC4"/>
    <w:rsid w:val="16921052"/>
    <w:rsid w:val="16923D0D"/>
    <w:rsid w:val="16985F3D"/>
    <w:rsid w:val="16AF095C"/>
    <w:rsid w:val="16AF4D5F"/>
    <w:rsid w:val="16B408F9"/>
    <w:rsid w:val="16B82313"/>
    <w:rsid w:val="16BA2357"/>
    <w:rsid w:val="16C2531F"/>
    <w:rsid w:val="16D22113"/>
    <w:rsid w:val="16D276A1"/>
    <w:rsid w:val="16D4377A"/>
    <w:rsid w:val="16D7043E"/>
    <w:rsid w:val="16DD1801"/>
    <w:rsid w:val="16DF5006"/>
    <w:rsid w:val="16E839D3"/>
    <w:rsid w:val="16EA49EA"/>
    <w:rsid w:val="16EB0762"/>
    <w:rsid w:val="16F13FCB"/>
    <w:rsid w:val="16F75866"/>
    <w:rsid w:val="16FC64EB"/>
    <w:rsid w:val="17040B80"/>
    <w:rsid w:val="17071754"/>
    <w:rsid w:val="170C23A9"/>
    <w:rsid w:val="170F6255"/>
    <w:rsid w:val="171C025A"/>
    <w:rsid w:val="172E0F37"/>
    <w:rsid w:val="172E628C"/>
    <w:rsid w:val="17326391"/>
    <w:rsid w:val="1733053A"/>
    <w:rsid w:val="1737155F"/>
    <w:rsid w:val="17372163"/>
    <w:rsid w:val="173F02E7"/>
    <w:rsid w:val="174468F1"/>
    <w:rsid w:val="17514A69"/>
    <w:rsid w:val="175201D2"/>
    <w:rsid w:val="17556FCB"/>
    <w:rsid w:val="17591B70"/>
    <w:rsid w:val="175C4BE8"/>
    <w:rsid w:val="175C6F6A"/>
    <w:rsid w:val="176944CF"/>
    <w:rsid w:val="17793FC0"/>
    <w:rsid w:val="177B7D38"/>
    <w:rsid w:val="177D47DC"/>
    <w:rsid w:val="17800EAB"/>
    <w:rsid w:val="1791130A"/>
    <w:rsid w:val="17946583"/>
    <w:rsid w:val="17946704"/>
    <w:rsid w:val="17976A44"/>
    <w:rsid w:val="17A821AF"/>
    <w:rsid w:val="17AA5FE0"/>
    <w:rsid w:val="17B42F96"/>
    <w:rsid w:val="17C57205"/>
    <w:rsid w:val="17CC016D"/>
    <w:rsid w:val="17D90767"/>
    <w:rsid w:val="17E82C54"/>
    <w:rsid w:val="17EC5864"/>
    <w:rsid w:val="17F81876"/>
    <w:rsid w:val="17F827B4"/>
    <w:rsid w:val="17FF0B2F"/>
    <w:rsid w:val="18191F1C"/>
    <w:rsid w:val="18193FCC"/>
    <w:rsid w:val="181B76D5"/>
    <w:rsid w:val="1820394D"/>
    <w:rsid w:val="182B179A"/>
    <w:rsid w:val="1835340B"/>
    <w:rsid w:val="1838227C"/>
    <w:rsid w:val="183C2597"/>
    <w:rsid w:val="18440C4B"/>
    <w:rsid w:val="18477C1A"/>
    <w:rsid w:val="184C6637"/>
    <w:rsid w:val="18526B88"/>
    <w:rsid w:val="18552FA6"/>
    <w:rsid w:val="185A6600"/>
    <w:rsid w:val="185D743E"/>
    <w:rsid w:val="1862729A"/>
    <w:rsid w:val="186B356A"/>
    <w:rsid w:val="1875756F"/>
    <w:rsid w:val="187D363C"/>
    <w:rsid w:val="188E5849"/>
    <w:rsid w:val="18A12010"/>
    <w:rsid w:val="18A6784E"/>
    <w:rsid w:val="18A8690B"/>
    <w:rsid w:val="18AD588E"/>
    <w:rsid w:val="18AF579C"/>
    <w:rsid w:val="18B3139C"/>
    <w:rsid w:val="18B74DA0"/>
    <w:rsid w:val="18BC23B6"/>
    <w:rsid w:val="18BD7604"/>
    <w:rsid w:val="18C179CD"/>
    <w:rsid w:val="18CC17EB"/>
    <w:rsid w:val="18D30F86"/>
    <w:rsid w:val="18D744DF"/>
    <w:rsid w:val="18D86AC4"/>
    <w:rsid w:val="18D90B53"/>
    <w:rsid w:val="18D95880"/>
    <w:rsid w:val="18D9630E"/>
    <w:rsid w:val="18E02863"/>
    <w:rsid w:val="18E13BCB"/>
    <w:rsid w:val="18E65685"/>
    <w:rsid w:val="18E77BBD"/>
    <w:rsid w:val="18EE7A36"/>
    <w:rsid w:val="18EE7B53"/>
    <w:rsid w:val="190D676E"/>
    <w:rsid w:val="190F380D"/>
    <w:rsid w:val="19112F3C"/>
    <w:rsid w:val="191510EE"/>
    <w:rsid w:val="19182810"/>
    <w:rsid w:val="1921046B"/>
    <w:rsid w:val="192949E1"/>
    <w:rsid w:val="1934092B"/>
    <w:rsid w:val="19371A3D"/>
    <w:rsid w:val="19387192"/>
    <w:rsid w:val="193A152D"/>
    <w:rsid w:val="195A5FA2"/>
    <w:rsid w:val="195C1BDD"/>
    <w:rsid w:val="1962509A"/>
    <w:rsid w:val="196B2C61"/>
    <w:rsid w:val="197F44B5"/>
    <w:rsid w:val="19856C4C"/>
    <w:rsid w:val="198836FD"/>
    <w:rsid w:val="19921369"/>
    <w:rsid w:val="199A1972"/>
    <w:rsid w:val="199B1FCC"/>
    <w:rsid w:val="199F24BC"/>
    <w:rsid w:val="199F6F69"/>
    <w:rsid w:val="19A35C1A"/>
    <w:rsid w:val="19A9566F"/>
    <w:rsid w:val="19B10DE3"/>
    <w:rsid w:val="19B47531"/>
    <w:rsid w:val="19B96EE3"/>
    <w:rsid w:val="19BC49F6"/>
    <w:rsid w:val="19C5760C"/>
    <w:rsid w:val="19CB7AC9"/>
    <w:rsid w:val="19CD5F76"/>
    <w:rsid w:val="19CE23A1"/>
    <w:rsid w:val="19CF5E5E"/>
    <w:rsid w:val="19D70B07"/>
    <w:rsid w:val="19DC433A"/>
    <w:rsid w:val="19E15603"/>
    <w:rsid w:val="19E87054"/>
    <w:rsid w:val="19FC4817"/>
    <w:rsid w:val="1A0658E0"/>
    <w:rsid w:val="1A1A2B42"/>
    <w:rsid w:val="1A1B135F"/>
    <w:rsid w:val="1A1B41E5"/>
    <w:rsid w:val="1A29211E"/>
    <w:rsid w:val="1A2A3B73"/>
    <w:rsid w:val="1A384B08"/>
    <w:rsid w:val="1A390B21"/>
    <w:rsid w:val="1A4466D2"/>
    <w:rsid w:val="1A4A30C1"/>
    <w:rsid w:val="1A587EBD"/>
    <w:rsid w:val="1A604F71"/>
    <w:rsid w:val="1A644AB4"/>
    <w:rsid w:val="1A666A95"/>
    <w:rsid w:val="1A6C7985"/>
    <w:rsid w:val="1A6E5932"/>
    <w:rsid w:val="1A6F149D"/>
    <w:rsid w:val="1A7B3BAB"/>
    <w:rsid w:val="1A7D3DC7"/>
    <w:rsid w:val="1A800D42"/>
    <w:rsid w:val="1A802FC8"/>
    <w:rsid w:val="1A860413"/>
    <w:rsid w:val="1A9557B8"/>
    <w:rsid w:val="1A9609E5"/>
    <w:rsid w:val="1A974049"/>
    <w:rsid w:val="1A9A3F41"/>
    <w:rsid w:val="1A9E3873"/>
    <w:rsid w:val="1AA90718"/>
    <w:rsid w:val="1AAB26E2"/>
    <w:rsid w:val="1AB31362"/>
    <w:rsid w:val="1AB71087"/>
    <w:rsid w:val="1ABD0FA6"/>
    <w:rsid w:val="1AC01821"/>
    <w:rsid w:val="1AC34D4E"/>
    <w:rsid w:val="1AC92B69"/>
    <w:rsid w:val="1ADC6D40"/>
    <w:rsid w:val="1ADD6614"/>
    <w:rsid w:val="1ADF5198"/>
    <w:rsid w:val="1AE23C2A"/>
    <w:rsid w:val="1AE9320B"/>
    <w:rsid w:val="1AFA5418"/>
    <w:rsid w:val="1B0C0A1D"/>
    <w:rsid w:val="1B143EF3"/>
    <w:rsid w:val="1B1B68D3"/>
    <w:rsid w:val="1B1E0B58"/>
    <w:rsid w:val="1B1F1EE0"/>
    <w:rsid w:val="1B281F85"/>
    <w:rsid w:val="1B352F88"/>
    <w:rsid w:val="1B35725B"/>
    <w:rsid w:val="1B3B764E"/>
    <w:rsid w:val="1B4072CF"/>
    <w:rsid w:val="1B446AA9"/>
    <w:rsid w:val="1B46645D"/>
    <w:rsid w:val="1B48577A"/>
    <w:rsid w:val="1B4B2CC6"/>
    <w:rsid w:val="1B602FAA"/>
    <w:rsid w:val="1B612829"/>
    <w:rsid w:val="1B684C06"/>
    <w:rsid w:val="1B6E3190"/>
    <w:rsid w:val="1B7264C7"/>
    <w:rsid w:val="1B8B5859"/>
    <w:rsid w:val="1B8D3B96"/>
    <w:rsid w:val="1B8D4E19"/>
    <w:rsid w:val="1B900751"/>
    <w:rsid w:val="1B970EB9"/>
    <w:rsid w:val="1B9D734C"/>
    <w:rsid w:val="1BA22624"/>
    <w:rsid w:val="1BB13D28"/>
    <w:rsid w:val="1BB455C7"/>
    <w:rsid w:val="1BB45CAA"/>
    <w:rsid w:val="1BB472B8"/>
    <w:rsid w:val="1BE0460E"/>
    <w:rsid w:val="1BEF65FF"/>
    <w:rsid w:val="1BF34341"/>
    <w:rsid w:val="1BF4417E"/>
    <w:rsid w:val="1BF63EC8"/>
    <w:rsid w:val="1BFD463E"/>
    <w:rsid w:val="1C073948"/>
    <w:rsid w:val="1C0C29D2"/>
    <w:rsid w:val="1C126997"/>
    <w:rsid w:val="1C2D680D"/>
    <w:rsid w:val="1C33298F"/>
    <w:rsid w:val="1C344B74"/>
    <w:rsid w:val="1C3645D6"/>
    <w:rsid w:val="1C3D55BC"/>
    <w:rsid w:val="1C402B44"/>
    <w:rsid w:val="1C4650C5"/>
    <w:rsid w:val="1C4F52EF"/>
    <w:rsid w:val="1C567C91"/>
    <w:rsid w:val="1C582AC6"/>
    <w:rsid w:val="1C5D199B"/>
    <w:rsid w:val="1C7106F0"/>
    <w:rsid w:val="1C7D5A2E"/>
    <w:rsid w:val="1C8367BC"/>
    <w:rsid w:val="1C8843DE"/>
    <w:rsid w:val="1C9166B0"/>
    <w:rsid w:val="1C9427E0"/>
    <w:rsid w:val="1C9A5FAA"/>
    <w:rsid w:val="1C9B22ED"/>
    <w:rsid w:val="1CA73B26"/>
    <w:rsid w:val="1CAE0268"/>
    <w:rsid w:val="1CB533A4"/>
    <w:rsid w:val="1CB6536F"/>
    <w:rsid w:val="1CB6711D"/>
    <w:rsid w:val="1CC01D49"/>
    <w:rsid w:val="1CC7026A"/>
    <w:rsid w:val="1CC91F80"/>
    <w:rsid w:val="1CDB1762"/>
    <w:rsid w:val="1CDD79BB"/>
    <w:rsid w:val="1CE123EB"/>
    <w:rsid w:val="1CEA2A31"/>
    <w:rsid w:val="1CEC0015"/>
    <w:rsid w:val="1CF66402"/>
    <w:rsid w:val="1CFB6CBA"/>
    <w:rsid w:val="1CFC39E2"/>
    <w:rsid w:val="1D0165EA"/>
    <w:rsid w:val="1D0936F0"/>
    <w:rsid w:val="1D0F3866"/>
    <w:rsid w:val="1D1125A5"/>
    <w:rsid w:val="1D136AE0"/>
    <w:rsid w:val="1D1502E7"/>
    <w:rsid w:val="1D196479"/>
    <w:rsid w:val="1D1E53EE"/>
    <w:rsid w:val="1D28626C"/>
    <w:rsid w:val="1D3E50D4"/>
    <w:rsid w:val="1D3F7112"/>
    <w:rsid w:val="1D4328FA"/>
    <w:rsid w:val="1D456AFB"/>
    <w:rsid w:val="1D491FE2"/>
    <w:rsid w:val="1D4A7C0F"/>
    <w:rsid w:val="1D523031"/>
    <w:rsid w:val="1D5302F2"/>
    <w:rsid w:val="1D617919"/>
    <w:rsid w:val="1D633EE6"/>
    <w:rsid w:val="1D682B0D"/>
    <w:rsid w:val="1D6D3C7F"/>
    <w:rsid w:val="1D75634E"/>
    <w:rsid w:val="1D7768AC"/>
    <w:rsid w:val="1D7D5D0C"/>
    <w:rsid w:val="1D8B05A9"/>
    <w:rsid w:val="1D9F423D"/>
    <w:rsid w:val="1DA90CC5"/>
    <w:rsid w:val="1DC3473C"/>
    <w:rsid w:val="1DC76469"/>
    <w:rsid w:val="1DC8750C"/>
    <w:rsid w:val="1DD67B31"/>
    <w:rsid w:val="1DD8017D"/>
    <w:rsid w:val="1DDE2DCF"/>
    <w:rsid w:val="1DE653C4"/>
    <w:rsid w:val="1DE86925"/>
    <w:rsid w:val="1DEE3479"/>
    <w:rsid w:val="1E00075A"/>
    <w:rsid w:val="1E0314DD"/>
    <w:rsid w:val="1E036392"/>
    <w:rsid w:val="1E071B1C"/>
    <w:rsid w:val="1E10659D"/>
    <w:rsid w:val="1E183E07"/>
    <w:rsid w:val="1E193E07"/>
    <w:rsid w:val="1E195BB5"/>
    <w:rsid w:val="1E1C37B6"/>
    <w:rsid w:val="1E1D56A5"/>
    <w:rsid w:val="1E1E11FC"/>
    <w:rsid w:val="1E21567C"/>
    <w:rsid w:val="1E235220"/>
    <w:rsid w:val="1E283C37"/>
    <w:rsid w:val="1E2F0BDF"/>
    <w:rsid w:val="1E331CB3"/>
    <w:rsid w:val="1E33615A"/>
    <w:rsid w:val="1E391DB3"/>
    <w:rsid w:val="1E3E3534"/>
    <w:rsid w:val="1E4348AF"/>
    <w:rsid w:val="1E460992"/>
    <w:rsid w:val="1E503619"/>
    <w:rsid w:val="1E520CA2"/>
    <w:rsid w:val="1E543091"/>
    <w:rsid w:val="1E554FAC"/>
    <w:rsid w:val="1E5F6569"/>
    <w:rsid w:val="1E607D47"/>
    <w:rsid w:val="1E62130A"/>
    <w:rsid w:val="1E635082"/>
    <w:rsid w:val="1E6D7CAF"/>
    <w:rsid w:val="1E780B2E"/>
    <w:rsid w:val="1E796654"/>
    <w:rsid w:val="1E7B23CC"/>
    <w:rsid w:val="1E8079E2"/>
    <w:rsid w:val="1E847B3B"/>
    <w:rsid w:val="1E875689"/>
    <w:rsid w:val="1E8757F5"/>
    <w:rsid w:val="1E8C282B"/>
    <w:rsid w:val="1E8E65A3"/>
    <w:rsid w:val="1E9047A9"/>
    <w:rsid w:val="1E921FE8"/>
    <w:rsid w:val="1E935967"/>
    <w:rsid w:val="1E962B34"/>
    <w:rsid w:val="1EA307B4"/>
    <w:rsid w:val="1EA469C5"/>
    <w:rsid w:val="1EA66792"/>
    <w:rsid w:val="1EAA70F6"/>
    <w:rsid w:val="1EAE7EFA"/>
    <w:rsid w:val="1EB06E4A"/>
    <w:rsid w:val="1EB211CB"/>
    <w:rsid w:val="1EB41B2B"/>
    <w:rsid w:val="1EC5436C"/>
    <w:rsid w:val="1ECA6EAF"/>
    <w:rsid w:val="1ECB2861"/>
    <w:rsid w:val="1ED313C8"/>
    <w:rsid w:val="1ED336BB"/>
    <w:rsid w:val="1EE5696B"/>
    <w:rsid w:val="1EE73F05"/>
    <w:rsid w:val="1EE937D9"/>
    <w:rsid w:val="1EED151B"/>
    <w:rsid w:val="1EED179E"/>
    <w:rsid w:val="1F0128F5"/>
    <w:rsid w:val="1F095F07"/>
    <w:rsid w:val="1F137B68"/>
    <w:rsid w:val="1F197261"/>
    <w:rsid w:val="1F26058A"/>
    <w:rsid w:val="1F274302"/>
    <w:rsid w:val="1F2B32FE"/>
    <w:rsid w:val="1F386D5B"/>
    <w:rsid w:val="1F3A4968"/>
    <w:rsid w:val="1F3E5755"/>
    <w:rsid w:val="1F4629DA"/>
    <w:rsid w:val="1F4A28E7"/>
    <w:rsid w:val="1F4D1FBA"/>
    <w:rsid w:val="1F61687B"/>
    <w:rsid w:val="1F6933E9"/>
    <w:rsid w:val="1F7211BD"/>
    <w:rsid w:val="1F7532BF"/>
    <w:rsid w:val="1F7C289F"/>
    <w:rsid w:val="1F820B2E"/>
    <w:rsid w:val="1F841754"/>
    <w:rsid w:val="1F876F00"/>
    <w:rsid w:val="1F8A4EEE"/>
    <w:rsid w:val="1F947BE9"/>
    <w:rsid w:val="1F9C6A9E"/>
    <w:rsid w:val="1FA81127"/>
    <w:rsid w:val="1FAF7E7E"/>
    <w:rsid w:val="1FB262C1"/>
    <w:rsid w:val="1FB63828"/>
    <w:rsid w:val="1FB729F2"/>
    <w:rsid w:val="1FB75686"/>
    <w:rsid w:val="1FB94DC1"/>
    <w:rsid w:val="1FC14756"/>
    <w:rsid w:val="1FC214D4"/>
    <w:rsid w:val="1FC473C9"/>
    <w:rsid w:val="1FD004F5"/>
    <w:rsid w:val="1FDB5818"/>
    <w:rsid w:val="1FE10954"/>
    <w:rsid w:val="1FE34EF0"/>
    <w:rsid w:val="1FF12E51"/>
    <w:rsid w:val="1FF91AA8"/>
    <w:rsid w:val="1FFF1088"/>
    <w:rsid w:val="2007450E"/>
    <w:rsid w:val="200D1749"/>
    <w:rsid w:val="201131DA"/>
    <w:rsid w:val="203171E6"/>
    <w:rsid w:val="2039253E"/>
    <w:rsid w:val="203A0569"/>
    <w:rsid w:val="204809D3"/>
    <w:rsid w:val="20495C97"/>
    <w:rsid w:val="205C70B6"/>
    <w:rsid w:val="205D447F"/>
    <w:rsid w:val="205E0B32"/>
    <w:rsid w:val="205E3D53"/>
    <w:rsid w:val="20685AA7"/>
    <w:rsid w:val="20713A86"/>
    <w:rsid w:val="207637BA"/>
    <w:rsid w:val="207924F8"/>
    <w:rsid w:val="2089132B"/>
    <w:rsid w:val="20901778"/>
    <w:rsid w:val="20912778"/>
    <w:rsid w:val="20927ACC"/>
    <w:rsid w:val="209748D1"/>
    <w:rsid w:val="2099122F"/>
    <w:rsid w:val="209F2972"/>
    <w:rsid w:val="20A45DD5"/>
    <w:rsid w:val="20A774A8"/>
    <w:rsid w:val="20AA5651"/>
    <w:rsid w:val="20AB6E7D"/>
    <w:rsid w:val="20B00A53"/>
    <w:rsid w:val="20B54EE2"/>
    <w:rsid w:val="20BB5AFF"/>
    <w:rsid w:val="20BD3A98"/>
    <w:rsid w:val="20C02F8A"/>
    <w:rsid w:val="20C16E58"/>
    <w:rsid w:val="20C51CD3"/>
    <w:rsid w:val="20C95670"/>
    <w:rsid w:val="20CC6F0F"/>
    <w:rsid w:val="20D15459"/>
    <w:rsid w:val="20D30D12"/>
    <w:rsid w:val="20DE1F0A"/>
    <w:rsid w:val="20E13753"/>
    <w:rsid w:val="20FB77F4"/>
    <w:rsid w:val="20FD5A0E"/>
    <w:rsid w:val="20FF5D39"/>
    <w:rsid w:val="210E7527"/>
    <w:rsid w:val="211508B6"/>
    <w:rsid w:val="21184BEF"/>
    <w:rsid w:val="211A5ECC"/>
    <w:rsid w:val="211D3C0E"/>
    <w:rsid w:val="21336A03"/>
    <w:rsid w:val="214116AB"/>
    <w:rsid w:val="21415B4F"/>
    <w:rsid w:val="214728CD"/>
    <w:rsid w:val="215018EE"/>
    <w:rsid w:val="21541757"/>
    <w:rsid w:val="21570D5D"/>
    <w:rsid w:val="21621621"/>
    <w:rsid w:val="218035CC"/>
    <w:rsid w:val="21893C3E"/>
    <w:rsid w:val="21964ED3"/>
    <w:rsid w:val="21982A7C"/>
    <w:rsid w:val="219C4B33"/>
    <w:rsid w:val="21A03603"/>
    <w:rsid w:val="21AD6D40"/>
    <w:rsid w:val="21AF58F3"/>
    <w:rsid w:val="21B43D89"/>
    <w:rsid w:val="21C710CD"/>
    <w:rsid w:val="21C747EF"/>
    <w:rsid w:val="21CE5BCE"/>
    <w:rsid w:val="21D11108"/>
    <w:rsid w:val="21D342CD"/>
    <w:rsid w:val="21D8003C"/>
    <w:rsid w:val="21D84806"/>
    <w:rsid w:val="21DF0EC4"/>
    <w:rsid w:val="21E116E9"/>
    <w:rsid w:val="21E309B4"/>
    <w:rsid w:val="21E571DC"/>
    <w:rsid w:val="21E87D78"/>
    <w:rsid w:val="21EC5D52"/>
    <w:rsid w:val="2201290B"/>
    <w:rsid w:val="22034F3A"/>
    <w:rsid w:val="220E425E"/>
    <w:rsid w:val="22224508"/>
    <w:rsid w:val="2231742D"/>
    <w:rsid w:val="223212F1"/>
    <w:rsid w:val="2241435E"/>
    <w:rsid w:val="224545EA"/>
    <w:rsid w:val="225F2286"/>
    <w:rsid w:val="226905D0"/>
    <w:rsid w:val="226F30E0"/>
    <w:rsid w:val="22766417"/>
    <w:rsid w:val="227C6712"/>
    <w:rsid w:val="227E4414"/>
    <w:rsid w:val="227F7D42"/>
    <w:rsid w:val="22877591"/>
    <w:rsid w:val="229439C9"/>
    <w:rsid w:val="229744C5"/>
    <w:rsid w:val="229E2B2D"/>
    <w:rsid w:val="22B422BA"/>
    <w:rsid w:val="22B71839"/>
    <w:rsid w:val="22BC1102"/>
    <w:rsid w:val="22BD3097"/>
    <w:rsid w:val="22BE1381"/>
    <w:rsid w:val="22C25006"/>
    <w:rsid w:val="22E305B1"/>
    <w:rsid w:val="22F13C86"/>
    <w:rsid w:val="22FD4E56"/>
    <w:rsid w:val="22FE241C"/>
    <w:rsid w:val="23042A63"/>
    <w:rsid w:val="23045086"/>
    <w:rsid w:val="230B235C"/>
    <w:rsid w:val="230C7666"/>
    <w:rsid w:val="23144B49"/>
    <w:rsid w:val="23164DB9"/>
    <w:rsid w:val="2318468D"/>
    <w:rsid w:val="23186B89"/>
    <w:rsid w:val="231E08D1"/>
    <w:rsid w:val="232D3BA5"/>
    <w:rsid w:val="2332402C"/>
    <w:rsid w:val="23337719"/>
    <w:rsid w:val="233B6047"/>
    <w:rsid w:val="233C38C1"/>
    <w:rsid w:val="233F60BE"/>
    <w:rsid w:val="23494431"/>
    <w:rsid w:val="235259AF"/>
    <w:rsid w:val="2354342E"/>
    <w:rsid w:val="235A65D4"/>
    <w:rsid w:val="235F406A"/>
    <w:rsid w:val="2366364A"/>
    <w:rsid w:val="236C0707"/>
    <w:rsid w:val="237B1EB1"/>
    <w:rsid w:val="23862C71"/>
    <w:rsid w:val="23887A65"/>
    <w:rsid w:val="238C41D0"/>
    <w:rsid w:val="238F1173"/>
    <w:rsid w:val="23931140"/>
    <w:rsid w:val="239A7798"/>
    <w:rsid w:val="239B1142"/>
    <w:rsid w:val="23A6758B"/>
    <w:rsid w:val="23AB7D49"/>
    <w:rsid w:val="23BB5FE3"/>
    <w:rsid w:val="23BF2D5B"/>
    <w:rsid w:val="23C245F9"/>
    <w:rsid w:val="23C30A9D"/>
    <w:rsid w:val="23C5360D"/>
    <w:rsid w:val="23CE2F9E"/>
    <w:rsid w:val="23CE5E40"/>
    <w:rsid w:val="23CF6A7C"/>
    <w:rsid w:val="23D83E1C"/>
    <w:rsid w:val="23E025DF"/>
    <w:rsid w:val="23E91A35"/>
    <w:rsid w:val="23EA04A6"/>
    <w:rsid w:val="23ED2053"/>
    <w:rsid w:val="23F27F4A"/>
    <w:rsid w:val="23F421BD"/>
    <w:rsid w:val="23F94963"/>
    <w:rsid w:val="24047512"/>
    <w:rsid w:val="24076056"/>
    <w:rsid w:val="240A05A5"/>
    <w:rsid w:val="241317E1"/>
    <w:rsid w:val="24150BCD"/>
    <w:rsid w:val="241E3F25"/>
    <w:rsid w:val="24377E09"/>
    <w:rsid w:val="243F3E9B"/>
    <w:rsid w:val="2442123D"/>
    <w:rsid w:val="24457F81"/>
    <w:rsid w:val="244B0A92"/>
    <w:rsid w:val="244E3B32"/>
    <w:rsid w:val="24566697"/>
    <w:rsid w:val="24617941"/>
    <w:rsid w:val="247E6772"/>
    <w:rsid w:val="247F73AD"/>
    <w:rsid w:val="24877D1C"/>
    <w:rsid w:val="249B7324"/>
    <w:rsid w:val="24A33858"/>
    <w:rsid w:val="24BD373E"/>
    <w:rsid w:val="24C148B0"/>
    <w:rsid w:val="24CA19B7"/>
    <w:rsid w:val="24CF6B94"/>
    <w:rsid w:val="24D634E9"/>
    <w:rsid w:val="24D80180"/>
    <w:rsid w:val="24D8154E"/>
    <w:rsid w:val="24DA0D94"/>
    <w:rsid w:val="24DC546D"/>
    <w:rsid w:val="24EC4023"/>
    <w:rsid w:val="24F15196"/>
    <w:rsid w:val="24F37160"/>
    <w:rsid w:val="24F40E1A"/>
    <w:rsid w:val="24F5112A"/>
    <w:rsid w:val="24FB6014"/>
    <w:rsid w:val="25041375"/>
    <w:rsid w:val="2509758D"/>
    <w:rsid w:val="250C0385"/>
    <w:rsid w:val="250D5433"/>
    <w:rsid w:val="25133B6E"/>
    <w:rsid w:val="251470D6"/>
    <w:rsid w:val="251A64DF"/>
    <w:rsid w:val="252A7AF1"/>
    <w:rsid w:val="25350875"/>
    <w:rsid w:val="254B1372"/>
    <w:rsid w:val="25517C71"/>
    <w:rsid w:val="255547D2"/>
    <w:rsid w:val="25797029"/>
    <w:rsid w:val="257F2DC4"/>
    <w:rsid w:val="257F4191"/>
    <w:rsid w:val="25853B30"/>
    <w:rsid w:val="25860EE8"/>
    <w:rsid w:val="258E11FE"/>
    <w:rsid w:val="259118C9"/>
    <w:rsid w:val="259D32AD"/>
    <w:rsid w:val="25A16480"/>
    <w:rsid w:val="25AB495B"/>
    <w:rsid w:val="25AC226E"/>
    <w:rsid w:val="25B336F9"/>
    <w:rsid w:val="25B62DF5"/>
    <w:rsid w:val="25DA7C0E"/>
    <w:rsid w:val="25EC4470"/>
    <w:rsid w:val="25FA14B4"/>
    <w:rsid w:val="260518F7"/>
    <w:rsid w:val="260A59DD"/>
    <w:rsid w:val="260C2082"/>
    <w:rsid w:val="260E63F2"/>
    <w:rsid w:val="2610794F"/>
    <w:rsid w:val="26143832"/>
    <w:rsid w:val="261D22FE"/>
    <w:rsid w:val="261E114A"/>
    <w:rsid w:val="26266C5B"/>
    <w:rsid w:val="263162FA"/>
    <w:rsid w:val="26362DEA"/>
    <w:rsid w:val="26390EC7"/>
    <w:rsid w:val="26467763"/>
    <w:rsid w:val="26477E20"/>
    <w:rsid w:val="26492DAF"/>
    <w:rsid w:val="264F1204"/>
    <w:rsid w:val="26582EFC"/>
    <w:rsid w:val="26633E71"/>
    <w:rsid w:val="266D1DEE"/>
    <w:rsid w:val="266D2F42"/>
    <w:rsid w:val="266E03A6"/>
    <w:rsid w:val="266F193B"/>
    <w:rsid w:val="26755F57"/>
    <w:rsid w:val="267C4F14"/>
    <w:rsid w:val="267C6213"/>
    <w:rsid w:val="268636A4"/>
    <w:rsid w:val="269229A8"/>
    <w:rsid w:val="26B42DB8"/>
    <w:rsid w:val="26B77DD9"/>
    <w:rsid w:val="26B96187"/>
    <w:rsid w:val="26BA7A34"/>
    <w:rsid w:val="26BB62B0"/>
    <w:rsid w:val="26BC05BD"/>
    <w:rsid w:val="26C1503C"/>
    <w:rsid w:val="26DA6DE1"/>
    <w:rsid w:val="26E51E12"/>
    <w:rsid w:val="26F5608A"/>
    <w:rsid w:val="26FB4DF4"/>
    <w:rsid w:val="270C29E1"/>
    <w:rsid w:val="270F224B"/>
    <w:rsid w:val="27147861"/>
    <w:rsid w:val="271A5565"/>
    <w:rsid w:val="271F02AB"/>
    <w:rsid w:val="27200235"/>
    <w:rsid w:val="27291A22"/>
    <w:rsid w:val="272A2C59"/>
    <w:rsid w:val="272F1FA5"/>
    <w:rsid w:val="27442972"/>
    <w:rsid w:val="274A5031"/>
    <w:rsid w:val="274F0899"/>
    <w:rsid w:val="2753038A"/>
    <w:rsid w:val="27673E35"/>
    <w:rsid w:val="276C6F54"/>
    <w:rsid w:val="27733C52"/>
    <w:rsid w:val="27800A53"/>
    <w:rsid w:val="279B05C2"/>
    <w:rsid w:val="279B15D8"/>
    <w:rsid w:val="27A96837"/>
    <w:rsid w:val="27AA169C"/>
    <w:rsid w:val="27AA5E9D"/>
    <w:rsid w:val="27AE2BF0"/>
    <w:rsid w:val="27AE75EA"/>
    <w:rsid w:val="27C54602"/>
    <w:rsid w:val="27C8469D"/>
    <w:rsid w:val="27CF1027"/>
    <w:rsid w:val="27E3026A"/>
    <w:rsid w:val="27E40FE2"/>
    <w:rsid w:val="27E4312A"/>
    <w:rsid w:val="27E9481E"/>
    <w:rsid w:val="27F20943"/>
    <w:rsid w:val="27F541B1"/>
    <w:rsid w:val="27FE6547"/>
    <w:rsid w:val="28013034"/>
    <w:rsid w:val="28153D7B"/>
    <w:rsid w:val="28225D8C"/>
    <w:rsid w:val="28251EAB"/>
    <w:rsid w:val="282F764F"/>
    <w:rsid w:val="283261F1"/>
    <w:rsid w:val="283755B5"/>
    <w:rsid w:val="283830DC"/>
    <w:rsid w:val="283C2BCC"/>
    <w:rsid w:val="283D6944"/>
    <w:rsid w:val="28445F24"/>
    <w:rsid w:val="284877C3"/>
    <w:rsid w:val="285A12A4"/>
    <w:rsid w:val="285A5748"/>
    <w:rsid w:val="28657C92"/>
    <w:rsid w:val="28681C13"/>
    <w:rsid w:val="286A466A"/>
    <w:rsid w:val="286B269F"/>
    <w:rsid w:val="286B34B1"/>
    <w:rsid w:val="286C01AD"/>
    <w:rsid w:val="286F11F3"/>
    <w:rsid w:val="288325A9"/>
    <w:rsid w:val="2886653D"/>
    <w:rsid w:val="288822B5"/>
    <w:rsid w:val="288A7DDB"/>
    <w:rsid w:val="288C1B36"/>
    <w:rsid w:val="288C4B8F"/>
    <w:rsid w:val="2890116A"/>
    <w:rsid w:val="28926C90"/>
    <w:rsid w:val="28AB7434"/>
    <w:rsid w:val="28B05368"/>
    <w:rsid w:val="28B243A5"/>
    <w:rsid w:val="28C71693"/>
    <w:rsid w:val="28C777F9"/>
    <w:rsid w:val="28D009FB"/>
    <w:rsid w:val="28D838CA"/>
    <w:rsid w:val="28DB6FB0"/>
    <w:rsid w:val="28E959B0"/>
    <w:rsid w:val="28EC2844"/>
    <w:rsid w:val="28F04F64"/>
    <w:rsid w:val="28F2365F"/>
    <w:rsid w:val="28F5682A"/>
    <w:rsid w:val="2907142C"/>
    <w:rsid w:val="290A1956"/>
    <w:rsid w:val="291665E3"/>
    <w:rsid w:val="291962A4"/>
    <w:rsid w:val="291B2B8F"/>
    <w:rsid w:val="2924450B"/>
    <w:rsid w:val="29272709"/>
    <w:rsid w:val="29312005"/>
    <w:rsid w:val="29341AF5"/>
    <w:rsid w:val="293D35A3"/>
    <w:rsid w:val="29413ED7"/>
    <w:rsid w:val="2942429D"/>
    <w:rsid w:val="294F692F"/>
    <w:rsid w:val="295108F9"/>
    <w:rsid w:val="295403E9"/>
    <w:rsid w:val="29543666"/>
    <w:rsid w:val="295757E3"/>
    <w:rsid w:val="29622B06"/>
    <w:rsid w:val="29693E94"/>
    <w:rsid w:val="296B6DBA"/>
    <w:rsid w:val="297373B5"/>
    <w:rsid w:val="297D0F37"/>
    <w:rsid w:val="298A2D20"/>
    <w:rsid w:val="298C2CFC"/>
    <w:rsid w:val="298E4810"/>
    <w:rsid w:val="299F78B6"/>
    <w:rsid w:val="29A97E6C"/>
    <w:rsid w:val="29AC5B2F"/>
    <w:rsid w:val="29B23F97"/>
    <w:rsid w:val="29BC4181"/>
    <w:rsid w:val="29D1474B"/>
    <w:rsid w:val="29D6656C"/>
    <w:rsid w:val="29DE64E6"/>
    <w:rsid w:val="29E4342A"/>
    <w:rsid w:val="29EA0465"/>
    <w:rsid w:val="29EF7011"/>
    <w:rsid w:val="29FB2613"/>
    <w:rsid w:val="2A0038F0"/>
    <w:rsid w:val="2A087B86"/>
    <w:rsid w:val="2A092F82"/>
    <w:rsid w:val="2A1262DA"/>
    <w:rsid w:val="2A312B5D"/>
    <w:rsid w:val="2A355B25"/>
    <w:rsid w:val="2A3A74D6"/>
    <w:rsid w:val="2A3C1381"/>
    <w:rsid w:val="2A463335"/>
    <w:rsid w:val="2A4D2AFF"/>
    <w:rsid w:val="2A6759EA"/>
    <w:rsid w:val="2A726D79"/>
    <w:rsid w:val="2A761F53"/>
    <w:rsid w:val="2A7E571E"/>
    <w:rsid w:val="2A905989"/>
    <w:rsid w:val="2AA33A6E"/>
    <w:rsid w:val="2AAB228B"/>
    <w:rsid w:val="2AB206FA"/>
    <w:rsid w:val="2ABE0808"/>
    <w:rsid w:val="2AC7188E"/>
    <w:rsid w:val="2ACA2711"/>
    <w:rsid w:val="2AD970A0"/>
    <w:rsid w:val="2ADC0696"/>
    <w:rsid w:val="2ADE5193"/>
    <w:rsid w:val="2ADE7F6A"/>
    <w:rsid w:val="2AE01F34"/>
    <w:rsid w:val="2AE74C63"/>
    <w:rsid w:val="2AEC104A"/>
    <w:rsid w:val="2AF03E8C"/>
    <w:rsid w:val="2AFB6D6E"/>
    <w:rsid w:val="2B001A02"/>
    <w:rsid w:val="2B0100FD"/>
    <w:rsid w:val="2B0B636E"/>
    <w:rsid w:val="2B0D49FF"/>
    <w:rsid w:val="2B1306C4"/>
    <w:rsid w:val="2B1962F0"/>
    <w:rsid w:val="2B1B1323"/>
    <w:rsid w:val="2B262923"/>
    <w:rsid w:val="2B2D11B4"/>
    <w:rsid w:val="2B34082A"/>
    <w:rsid w:val="2B3E30FF"/>
    <w:rsid w:val="2B471FB3"/>
    <w:rsid w:val="2B4A5600"/>
    <w:rsid w:val="2B5244B4"/>
    <w:rsid w:val="2B5F7F28"/>
    <w:rsid w:val="2B6778CA"/>
    <w:rsid w:val="2B6D12EE"/>
    <w:rsid w:val="2B830652"/>
    <w:rsid w:val="2B88437A"/>
    <w:rsid w:val="2B964019"/>
    <w:rsid w:val="2BA275D0"/>
    <w:rsid w:val="2BA969CB"/>
    <w:rsid w:val="2BAB6775"/>
    <w:rsid w:val="2BBE15E2"/>
    <w:rsid w:val="2BBF7820"/>
    <w:rsid w:val="2BC5112A"/>
    <w:rsid w:val="2BCD0C65"/>
    <w:rsid w:val="2BD1187D"/>
    <w:rsid w:val="2BDF39ED"/>
    <w:rsid w:val="2BEA7A47"/>
    <w:rsid w:val="2BF01068"/>
    <w:rsid w:val="2BF1494E"/>
    <w:rsid w:val="2BF415B0"/>
    <w:rsid w:val="2BFC1A4E"/>
    <w:rsid w:val="2BFF0C9D"/>
    <w:rsid w:val="2C02731B"/>
    <w:rsid w:val="2C1D0C5C"/>
    <w:rsid w:val="2C1F0C09"/>
    <w:rsid w:val="2C237DA3"/>
    <w:rsid w:val="2C32224A"/>
    <w:rsid w:val="2C332955"/>
    <w:rsid w:val="2C356FB3"/>
    <w:rsid w:val="2C471DF4"/>
    <w:rsid w:val="2C4749F9"/>
    <w:rsid w:val="2C506097"/>
    <w:rsid w:val="2C521F9B"/>
    <w:rsid w:val="2C5728E0"/>
    <w:rsid w:val="2C5A1872"/>
    <w:rsid w:val="2C5F332D"/>
    <w:rsid w:val="2C6C7DE2"/>
    <w:rsid w:val="2C7648CD"/>
    <w:rsid w:val="2C770676"/>
    <w:rsid w:val="2C7A5B1E"/>
    <w:rsid w:val="2C7B4C50"/>
    <w:rsid w:val="2C7C18CE"/>
    <w:rsid w:val="2C7C79C4"/>
    <w:rsid w:val="2C8A1D9D"/>
    <w:rsid w:val="2C9034E6"/>
    <w:rsid w:val="2CAD5E46"/>
    <w:rsid w:val="2CAE0E97"/>
    <w:rsid w:val="2CAE7E10"/>
    <w:rsid w:val="2CB2162D"/>
    <w:rsid w:val="2CB56D7A"/>
    <w:rsid w:val="2CB6144C"/>
    <w:rsid w:val="2CC01A89"/>
    <w:rsid w:val="2CC066C3"/>
    <w:rsid w:val="2CC752EA"/>
    <w:rsid w:val="2CCE7FC5"/>
    <w:rsid w:val="2CD5677E"/>
    <w:rsid w:val="2CDA6E57"/>
    <w:rsid w:val="2CE27A44"/>
    <w:rsid w:val="2CE83F46"/>
    <w:rsid w:val="2CEE645F"/>
    <w:rsid w:val="2CF03080"/>
    <w:rsid w:val="2CF241A1"/>
    <w:rsid w:val="2CF27CFD"/>
    <w:rsid w:val="2CFC6DCE"/>
    <w:rsid w:val="2D0F49B3"/>
    <w:rsid w:val="2D115183"/>
    <w:rsid w:val="2D151C3D"/>
    <w:rsid w:val="2D1759B5"/>
    <w:rsid w:val="2D214A86"/>
    <w:rsid w:val="2D2230C0"/>
    <w:rsid w:val="2D2559A9"/>
    <w:rsid w:val="2D37466B"/>
    <w:rsid w:val="2D393907"/>
    <w:rsid w:val="2D3F381C"/>
    <w:rsid w:val="2D4E2EA2"/>
    <w:rsid w:val="2D5370E6"/>
    <w:rsid w:val="2D580762"/>
    <w:rsid w:val="2D79041E"/>
    <w:rsid w:val="2D822971"/>
    <w:rsid w:val="2D8D57F6"/>
    <w:rsid w:val="2D937732"/>
    <w:rsid w:val="2D960FD0"/>
    <w:rsid w:val="2D9A63FB"/>
    <w:rsid w:val="2DA21723"/>
    <w:rsid w:val="2DA336ED"/>
    <w:rsid w:val="2DAA682A"/>
    <w:rsid w:val="2DB572EF"/>
    <w:rsid w:val="2DB63420"/>
    <w:rsid w:val="2DBD18AF"/>
    <w:rsid w:val="2DBD6F4C"/>
    <w:rsid w:val="2DCC49F2"/>
    <w:rsid w:val="2DD006DE"/>
    <w:rsid w:val="2DD8615B"/>
    <w:rsid w:val="2DE41D3C"/>
    <w:rsid w:val="2DE6137F"/>
    <w:rsid w:val="2DE73DBF"/>
    <w:rsid w:val="2DEA131C"/>
    <w:rsid w:val="2DEA5B9A"/>
    <w:rsid w:val="2DEC1DED"/>
    <w:rsid w:val="2DF20EE8"/>
    <w:rsid w:val="2DF9330D"/>
    <w:rsid w:val="2E063F3D"/>
    <w:rsid w:val="2E07312B"/>
    <w:rsid w:val="2E1168A9"/>
    <w:rsid w:val="2E126364"/>
    <w:rsid w:val="2E166EF2"/>
    <w:rsid w:val="2E1F34C8"/>
    <w:rsid w:val="2E2226D4"/>
    <w:rsid w:val="2E2D1528"/>
    <w:rsid w:val="2E33681F"/>
    <w:rsid w:val="2E3F51C4"/>
    <w:rsid w:val="2E402CEA"/>
    <w:rsid w:val="2E416920"/>
    <w:rsid w:val="2E424CB4"/>
    <w:rsid w:val="2E441B11"/>
    <w:rsid w:val="2E494294"/>
    <w:rsid w:val="2E517468"/>
    <w:rsid w:val="2E622D4C"/>
    <w:rsid w:val="2E6F6158"/>
    <w:rsid w:val="2E7D7354"/>
    <w:rsid w:val="2E7E760F"/>
    <w:rsid w:val="2E845647"/>
    <w:rsid w:val="2E9133AB"/>
    <w:rsid w:val="2E9D6506"/>
    <w:rsid w:val="2EA10776"/>
    <w:rsid w:val="2EAE2AA9"/>
    <w:rsid w:val="2EAF34B6"/>
    <w:rsid w:val="2EB765AB"/>
    <w:rsid w:val="2EB92AB6"/>
    <w:rsid w:val="2EB97CA5"/>
    <w:rsid w:val="2EBA6E9A"/>
    <w:rsid w:val="2EC14298"/>
    <w:rsid w:val="2EC75726"/>
    <w:rsid w:val="2EC8535E"/>
    <w:rsid w:val="2ECB6A58"/>
    <w:rsid w:val="2ED31DB0"/>
    <w:rsid w:val="2ED81174"/>
    <w:rsid w:val="2EDB5BF6"/>
    <w:rsid w:val="2EDC1660"/>
    <w:rsid w:val="2EDD79ED"/>
    <w:rsid w:val="2EF37741"/>
    <w:rsid w:val="2EF45B2D"/>
    <w:rsid w:val="2EFE6D3C"/>
    <w:rsid w:val="2EFE6E2D"/>
    <w:rsid w:val="2EFF50B3"/>
    <w:rsid w:val="2F247464"/>
    <w:rsid w:val="2F267098"/>
    <w:rsid w:val="2F2F5238"/>
    <w:rsid w:val="2F3318AF"/>
    <w:rsid w:val="2F376D3D"/>
    <w:rsid w:val="2F445E7D"/>
    <w:rsid w:val="2F4D4ADD"/>
    <w:rsid w:val="2F4D7FBE"/>
    <w:rsid w:val="2F57478F"/>
    <w:rsid w:val="2F5A1938"/>
    <w:rsid w:val="2F63420B"/>
    <w:rsid w:val="2F6738CD"/>
    <w:rsid w:val="2F68699C"/>
    <w:rsid w:val="2F6D49A7"/>
    <w:rsid w:val="2F6D7B0F"/>
    <w:rsid w:val="2F753B70"/>
    <w:rsid w:val="2F783AC3"/>
    <w:rsid w:val="2F8C34AF"/>
    <w:rsid w:val="2F8D21B7"/>
    <w:rsid w:val="2F8D3D2C"/>
    <w:rsid w:val="2F8F7440"/>
    <w:rsid w:val="2F923A19"/>
    <w:rsid w:val="2F971030"/>
    <w:rsid w:val="2F992124"/>
    <w:rsid w:val="2F9C0EE0"/>
    <w:rsid w:val="2F9E3CE1"/>
    <w:rsid w:val="2FA15A0A"/>
    <w:rsid w:val="2FA55027"/>
    <w:rsid w:val="2FA8543A"/>
    <w:rsid w:val="2FB71E59"/>
    <w:rsid w:val="2FB971F8"/>
    <w:rsid w:val="2FC014B2"/>
    <w:rsid w:val="2FC040E2"/>
    <w:rsid w:val="2FE302B8"/>
    <w:rsid w:val="2FEE6EA1"/>
    <w:rsid w:val="300C053C"/>
    <w:rsid w:val="30115226"/>
    <w:rsid w:val="30121F9C"/>
    <w:rsid w:val="30181AB0"/>
    <w:rsid w:val="301963FD"/>
    <w:rsid w:val="301A16BC"/>
    <w:rsid w:val="301C2A4B"/>
    <w:rsid w:val="302C0A75"/>
    <w:rsid w:val="303161D5"/>
    <w:rsid w:val="30316D8E"/>
    <w:rsid w:val="30336FAA"/>
    <w:rsid w:val="30342905"/>
    <w:rsid w:val="303625F7"/>
    <w:rsid w:val="30366934"/>
    <w:rsid w:val="30376948"/>
    <w:rsid w:val="3038011D"/>
    <w:rsid w:val="303F340C"/>
    <w:rsid w:val="303F594F"/>
    <w:rsid w:val="30585A3C"/>
    <w:rsid w:val="30645A6F"/>
    <w:rsid w:val="3067414B"/>
    <w:rsid w:val="30704943"/>
    <w:rsid w:val="308405B2"/>
    <w:rsid w:val="308E1F09"/>
    <w:rsid w:val="3090408B"/>
    <w:rsid w:val="309537C1"/>
    <w:rsid w:val="30954308"/>
    <w:rsid w:val="30A80409"/>
    <w:rsid w:val="30B45EB2"/>
    <w:rsid w:val="30BF18EF"/>
    <w:rsid w:val="30C220DC"/>
    <w:rsid w:val="30C24259"/>
    <w:rsid w:val="30C90449"/>
    <w:rsid w:val="30EF6ECA"/>
    <w:rsid w:val="30F3057A"/>
    <w:rsid w:val="30FF0C3A"/>
    <w:rsid w:val="3105708B"/>
    <w:rsid w:val="3123378A"/>
    <w:rsid w:val="312C3E61"/>
    <w:rsid w:val="312D57A8"/>
    <w:rsid w:val="312F38CC"/>
    <w:rsid w:val="31312966"/>
    <w:rsid w:val="31412E1B"/>
    <w:rsid w:val="314D12F9"/>
    <w:rsid w:val="314E2C27"/>
    <w:rsid w:val="314E74DA"/>
    <w:rsid w:val="31532E05"/>
    <w:rsid w:val="31537FFF"/>
    <w:rsid w:val="31561DFE"/>
    <w:rsid w:val="31576325"/>
    <w:rsid w:val="31600AD0"/>
    <w:rsid w:val="3161026C"/>
    <w:rsid w:val="31666628"/>
    <w:rsid w:val="317038E6"/>
    <w:rsid w:val="31756B25"/>
    <w:rsid w:val="317653A0"/>
    <w:rsid w:val="3177416A"/>
    <w:rsid w:val="317E6003"/>
    <w:rsid w:val="317F1D7B"/>
    <w:rsid w:val="31B05254"/>
    <w:rsid w:val="31B61C41"/>
    <w:rsid w:val="31D21655"/>
    <w:rsid w:val="31D40319"/>
    <w:rsid w:val="31D53C4D"/>
    <w:rsid w:val="31DC2AE0"/>
    <w:rsid w:val="31E06603"/>
    <w:rsid w:val="31E37C3D"/>
    <w:rsid w:val="31EA1C7D"/>
    <w:rsid w:val="31EB46D1"/>
    <w:rsid w:val="31F04BFC"/>
    <w:rsid w:val="31F64D46"/>
    <w:rsid w:val="31F766FF"/>
    <w:rsid w:val="31F91898"/>
    <w:rsid w:val="31F91D4C"/>
    <w:rsid w:val="31FA0F1E"/>
    <w:rsid w:val="32002E34"/>
    <w:rsid w:val="3211363E"/>
    <w:rsid w:val="321714BB"/>
    <w:rsid w:val="32193F7E"/>
    <w:rsid w:val="321B6795"/>
    <w:rsid w:val="322B01D4"/>
    <w:rsid w:val="322B50E9"/>
    <w:rsid w:val="32373508"/>
    <w:rsid w:val="323C35AF"/>
    <w:rsid w:val="323D7C6C"/>
    <w:rsid w:val="324428B6"/>
    <w:rsid w:val="32445173"/>
    <w:rsid w:val="3244724D"/>
    <w:rsid w:val="3249484C"/>
    <w:rsid w:val="32501ED2"/>
    <w:rsid w:val="32534DDF"/>
    <w:rsid w:val="32567F35"/>
    <w:rsid w:val="32633C7F"/>
    <w:rsid w:val="3264576C"/>
    <w:rsid w:val="32650F71"/>
    <w:rsid w:val="327411B4"/>
    <w:rsid w:val="32773FD5"/>
    <w:rsid w:val="327E38FF"/>
    <w:rsid w:val="327F284A"/>
    <w:rsid w:val="3290431A"/>
    <w:rsid w:val="329F0927"/>
    <w:rsid w:val="32A221C5"/>
    <w:rsid w:val="32A27B35"/>
    <w:rsid w:val="32A515F4"/>
    <w:rsid w:val="32A556C9"/>
    <w:rsid w:val="32AC094E"/>
    <w:rsid w:val="32B02833"/>
    <w:rsid w:val="32B9443A"/>
    <w:rsid w:val="32BD3E71"/>
    <w:rsid w:val="32C263C3"/>
    <w:rsid w:val="32C959A4"/>
    <w:rsid w:val="32CB171C"/>
    <w:rsid w:val="32E067E3"/>
    <w:rsid w:val="32E41F97"/>
    <w:rsid w:val="32E471FC"/>
    <w:rsid w:val="32E8650A"/>
    <w:rsid w:val="32EB2E03"/>
    <w:rsid w:val="32FA1FF2"/>
    <w:rsid w:val="32FF13C6"/>
    <w:rsid w:val="3302633C"/>
    <w:rsid w:val="33057AA5"/>
    <w:rsid w:val="33095DA0"/>
    <w:rsid w:val="330E62FB"/>
    <w:rsid w:val="331B6868"/>
    <w:rsid w:val="33227924"/>
    <w:rsid w:val="332E1C2D"/>
    <w:rsid w:val="333077D1"/>
    <w:rsid w:val="33323549"/>
    <w:rsid w:val="333378C0"/>
    <w:rsid w:val="33430996"/>
    <w:rsid w:val="334C3A43"/>
    <w:rsid w:val="33543CE0"/>
    <w:rsid w:val="335B2E00"/>
    <w:rsid w:val="33662286"/>
    <w:rsid w:val="337C38AC"/>
    <w:rsid w:val="33833DA5"/>
    <w:rsid w:val="33896EE1"/>
    <w:rsid w:val="338B1F27"/>
    <w:rsid w:val="33963554"/>
    <w:rsid w:val="339949EA"/>
    <w:rsid w:val="339B3BE0"/>
    <w:rsid w:val="33A80A26"/>
    <w:rsid w:val="33A8380B"/>
    <w:rsid w:val="33BC6C33"/>
    <w:rsid w:val="33C323F3"/>
    <w:rsid w:val="33DC2C6C"/>
    <w:rsid w:val="33E02FA5"/>
    <w:rsid w:val="33E52951"/>
    <w:rsid w:val="33E714C8"/>
    <w:rsid w:val="33F64577"/>
    <w:rsid w:val="33FB1B8D"/>
    <w:rsid w:val="340547BA"/>
    <w:rsid w:val="3407106E"/>
    <w:rsid w:val="34084F87"/>
    <w:rsid w:val="340A7C4C"/>
    <w:rsid w:val="340B6531"/>
    <w:rsid w:val="340B72BD"/>
    <w:rsid w:val="340D18C0"/>
    <w:rsid w:val="341964B7"/>
    <w:rsid w:val="341C1B03"/>
    <w:rsid w:val="341C4369"/>
    <w:rsid w:val="341D291F"/>
    <w:rsid w:val="341E030F"/>
    <w:rsid w:val="341E7389"/>
    <w:rsid w:val="34213C80"/>
    <w:rsid w:val="34237F5D"/>
    <w:rsid w:val="34267CDF"/>
    <w:rsid w:val="34271F4F"/>
    <w:rsid w:val="342866FA"/>
    <w:rsid w:val="34327C0D"/>
    <w:rsid w:val="34384B8F"/>
    <w:rsid w:val="34565015"/>
    <w:rsid w:val="34594B05"/>
    <w:rsid w:val="345B389E"/>
    <w:rsid w:val="345B5A33"/>
    <w:rsid w:val="345D63A4"/>
    <w:rsid w:val="34603435"/>
    <w:rsid w:val="34607F62"/>
    <w:rsid w:val="3466427E"/>
    <w:rsid w:val="34681CD8"/>
    <w:rsid w:val="346D04EA"/>
    <w:rsid w:val="347A4212"/>
    <w:rsid w:val="3480666E"/>
    <w:rsid w:val="348C6C89"/>
    <w:rsid w:val="34A57D4B"/>
    <w:rsid w:val="34A915E9"/>
    <w:rsid w:val="34AA58E3"/>
    <w:rsid w:val="34AF4725"/>
    <w:rsid w:val="34BB7AFC"/>
    <w:rsid w:val="34C3499A"/>
    <w:rsid w:val="34C93489"/>
    <w:rsid w:val="34DA3E98"/>
    <w:rsid w:val="34DC509A"/>
    <w:rsid w:val="34DC7A9D"/>
    <w:rsid w:val="34DF14AF"/>
    <w:rsid w:val="34F767F8"/>
    <w:rsid w:val="34FD1935"/>
    <w:rsid w:val="34FD2D07"/>
    <w:rsid w:val="34FD494F"/>
    <w:rsid w:val="34FF25C3"/>
    <w:rsid w:val="35040F15"/>
    <w:rsid w:val="351006CF"/>
    <w:rsid w:val="351153E0"/>
    <w:rsid w:val="351339A1"/>
    <w:rsid w:val="35213875"/>
    <w:rsid w:val="352217B2"/>
    <w:rsid w:val="35373E21"/>
    <w:rsid w:val="35391B04"/>
    <w:rsid w:val="354632DC"/>
    <w:rsid w:val="354B444E"/>
    <w:rsid w:val="35584DBD"/>
    <w:rsid w:val="356B1A9D"/>
    <w:rsid w:val="357240D1"/>
    <w:rsid w:val="357838DE"/>
    <w:rsid w:val="35820EC3"/>
    <w:rsid w:val="359F0C3E"/>
    <w:rsid w:val="35A71D1B"/>
    <w:rsid w:val="35B04EDA"/>
    <w:rsid w:val="35C1013F"/>
    <w:rsid w:val="35C86A1A"/>
    <w:rsid w:val="35CB1A9C"/>
    <w:rsid w:val="35D71C30"/>
    <w:rsid w:val="35E86141"/>
    <w:rsid w:val="35ED38B1"/>
    <w:rsid w:val="35FE7713"/>
    <w:rsid w:val="3600792F"/>
    <w:rsid w:val="3609032A"/>
    <w:rsid w:val="360D3643"/>
    <w:rsid w:val="361071EF"/>
    <w:rsid w:val="361B5EA3"/>
    <w:rsid w:val="36201D7F"/>
    <w:rsid w:val="362E2490"/>
    <w:rsid w:val="363311CB"/>
    <w:rsid w:val="36333885"/>
    <w:rsid w:val="36405F7D"/>
    <w:rsid w:val="36421CF5"/>
    <w:rsid w:val="36470926"/>
    <w:rsid w:val="364D41F6"/>
    <w:rsid w:val="366F5A36"/>
    <w:rsid w:val="367921AD"/>
    <w:rsid w:val="36864348"/>
    <w:rsid w:val="368C1819"/>
    <w:rsid w:val="36A06A1C"/>
    <w:rsid w:val="36AD0447"/>
    <w:rsid w:val="36B81FB7"/>
    <w:rsid w:val="36B85B13"/>
    <w:rsid w:val="36BD137C"/>
    <w:rsid w:val="36BF3346"/>
    <w:rsid w:val="36C546D4"/>
    <w:rsid w:val="36C80DD6"/>
    <w:rsid w:val="36C87D58"/>
    <w:rsid w:val="36D203FE"/>
    <w:rsid w:val="36D73F27"/>
    <w:rsid w:val="36D93CDC"/>
    <w:rsid w:val="36DE4EB1"/>
    <w:rsid w:val="36FB4019"/>
    <w:rsid w:val="36FC48D2"/>
    <w:rsid w:val="37054AD1"/>
    <w:rsid w:val="372330F6"/>
    <w:rsid w:val="372C6501"/>
    <w:rsid w:val="372D208E"/>
    <w:rsid w:val="372F1B4E"/>
    <w:rsid w:val="37303E23"/>
    <w:rsid w:val="37384EA6"/>
    <w:rsid w:val="37415551"/>
    <w:rsid w:val="37461780"/>
    <w:rsid w:val="374B4BD9"/>
    <w:rsid w:val="374B5F4E"/>
    <w:rsid w:val="37536A2A"/>
    <w:rsid w:val="37597C5C"/>
    <w:rsid w:val="375E0959"/>
    <w:rsid w:val="37603D09"/>
    <w:rsid w:val="37620BDE"/>
    <w:rsid w:val="376849F7"/>
    <w:rsid w:val="37695060"/>
    <w:rsid w:val="376E7E98"/>
    <w:rsid w:val="376F66AF"/>
    <w:rsid w:val="37754D91"/>
    <w:rsid w:val="37815546"/>
    <w:rsid w:val="37826591"/>
    <w:rsid w:val="378620B5"/>
    <w:rsid w:val="37883B21"/>
    <w:rsid w:val="378B76CC"/>
    <w:rsid w:val="378C7899"/>
    <w:rsid w:val="378F098D"/>
    <w:rsid w:val="37991DE9"/>
    <w:rsid w:val="379963AB"/>
    <w:rsid w:val="37A11E3C"/>
    <w:rsid w:val="37A367C3"/>
    <w:rsid w:val="37AB38CA"/>
    <w:rsid w:val="37AE5168"/>
    <w:rsid w:val="37B12EAC"/>
    <w:rsid w:val="37B4265B"/>
    <w:rsid w:val="37B54749"/>
    <w:rsid w:val="37B8370B"/>
    <w:rsid w:val="37C07CD2"/>
    <w:rsid w:val="37C33EC0"/>
    <w:rsid w:val="37D574E4"/>
    <w:rsid w:val="37DA2D99"/>
    <w:rsid w:val="37E04999"/>
    <w:rsid w:val="37E26909"/>
    <w:rsid w:val="37EB016A"/>
    <w:rsid w:val="37FA03AE"/>
    <w:rsid w:val="37FD74CE"/>
    <w:rsid w:val="380056EB"/>
    <w:rsid w:val="38093B69"/>
    <w:rsid w:val="380A4235"/>
    <w:rsid w:val="381274A5"/>
    <w:rsid w:val="381C47C8"/>
    <w:rsid w:val="3821223F"/>
    <w:rsid w:val="38262EF3"/>
    <w:rsid w:val="3837515E"/>
    <w:rsid w:val="38393973"/>
    <w:rsid w:val="383D74F6"/>
    <w:rsid w:val="384D2BD3"/>
    <w:rsid w:val="38507FCD"/>
    <w:rsid w:val="38575800"/>
    <w:rsid w:val="385927DA"/>
    <w:rsid w:val="38594CE7"/>
    <w:rsid w:val="385D64E3"/>
    <w:rsid w:val="386A081F"/>
    <w:rsid w:val="386A72E1"/>
    <w:rsid w:val="386C4BA5"/>
    <w:rsid w:val="38702721"/>
    <w:rsid w:val="38786812"/>
    <w:rsid w:val="387C27FF"/>
    <w:rsid w:val="387C7014"/>
    <w:rsid w:val="3885236D"/>
    <w:rsid w:val="38853CBC"/>
    <w:rsid w:val="38855EC9"/>
    <w:rsid w:val="388616C2"/>
    <w:rsid w:val="38900C09"/>
    <w:rsid w:val="3895056B"/>
    <w:rsid w:val="38961E84"/>
    <w:rsid w:val="38982FAB"/>
    <w:rsid w:val="38997BC6"/>
    <w:rsid w:val="389B68D7"/>
    <w:rsid w:val="389C7F90"/>
    <w:rsid w:val="389F4307"/>
    <w:rsid w:val="38A071A7"/>
    <w:rsid w:val="38A74087"/>
    <w:rsid w:val="38AB14F2"/>
    <w:rsid w:val="38AD29E6"/>
    <w:rsid w:val="38B5763C"/>
    <w:rsid w:val="38B74293"/>
    <w:rsid w:val="38BB7767"/>
    <w:rsid w:val="38BF10A7"/>
    <w:rsid w:val="38C51842"/>
    <w:rsid w:val="38D752A9"/>
    <w:rsid w:val="38D9415D"/>
    <w:rsid w:val="38DF0DD2"/>
    <w:rsid w:val="38E250CA"/>
    <w:rsid w:val="38E83A9D"/>
    <w:rsid w:val="38F350C0"/>
    <w:rsid w:val="38FA1164"/>
    <w:rsid w:val="390664C1"/>
    <w:rsid w:val="39090CB8"/>
    <w:rsid w:val="39107A69"/>
    <w:rsid w:val="39143AA3"/>
    <w:rsid w:val="391C4E04"/>
    <w:rsid w:val="391E1E7A"/>
    <w:rsid w:val="39202096"/>
    <w:rsid w:val="392C4978"/>
    <w:rsid w:val="392E030F"/>
    <w:rsid w:val="393F42CA"/>
    <w:rsid w:val="3956276E"/>
    <w:rsid w:val="397B72CC"/>
    <w:rsid w:val="39854B09"/>
    <w:rsid w:val="399000E4"/>
    <w:rsid w:val="39932868"/>
    <w:rsid w:val="3995038E"/>
    <w:rsid w:val="39996E94"/>
    <w:rsid w:val="399C2968"/>
    <w:rsid w:val="399F5886"/>
    <w:rsid w:val="39B07798"/>
    <w:rsid w:val="39B12CEE"/>
    <w:rsid w:val="39C941BA"/>
    <w:rsid w:val="39D521A4"/>
    <w:rsid w:val="39D82117"/>
    <w:rsid w:val="39DD136A"/>
    <w:rsid w:val="39E14BE7"/>
    <w:rsid w:val="39E80B55"/>
    <w:rsid w:val="39E85058"/>
    <w:rsid w:val="39EF3F42"/>
    <w:rsid w:val="39F2758E"/>
    <w:rsid w:val="39FC040D"/>
    <w:rsid w:val="39FF3A59"/>
    <w:rsid w:val="3A105C66"/>
    <w:rsid w:val="3A1828CC"/>
    <w:rsid w:val="3A233BEC"/>
    <w:rsid w:val="3A23599A"/>
    <w:rsid w:val="3A2D4A6A"/>
    <w:rsid w:val="3A2E7092"/>
    <w:rsid w:val="3A3F3A6E"/>
    <w:rsid w:val="3A3F7DD8"/>
    <w:rsid w:val="3A437A94"/>
    <w:rsid w:val="3A485400"/>
    <w:rsid w:val="3A494AD8"/>
    <w:rsid w:val="3A497135"/>
    <w:rsid w:val="3A4A561C"/>
    <w:rsid w:val="3A4B78AE"/>
    <w:rsid w:val="3A50028E"/>
    <w:rsid w:val="3A59715B"/>
    <w:rsid w:val="3A5A32C3"/>
    <w:rsid w:val="3A60099C"/>
    <w:rsid w:val="3A704957"/>
    <w:rsid w:val="3A724207"/>
    <w:rsid w:val="3A744447"/>
    <w:rsid w:val="3A7F4866"/>
    <w:rsid w:val="3A8A3079"/>
    <w:rsid w:val="3AB3727C"/>
    <w:rsid w:val="3AB727F7"/>
    <w:rsid w:val="3AC32CD9"/>
    <w:rsid w:val="3AC37809"/>
    <w:rsid w:val="3AC60F79"/>
    <w:rsid w:val="3ACD3B57"/>
    <w:rsid w:val="3ADE734A"/>
    <w:rsid w:val="3AE60D36"/>
    <w:rsid w:val="3B091471"/>
    <w:rsid w:val="3B143452"/>
    <w:rsid w:val="3B167490"/>
    <w:rsid w:val="3B1A4929"/>
    <w:rsid w:val="3B1A5974"/>
    <w:rsid w:val="3B1D4ADF"/>
    <w:rsid w:val="3B200AB9"/>
    <w:rsid w:val="3B27770B"/>
    <w:rsid w:val="3B2B731B"/>
    <w:rsid w:val="3B2D6C62"/>
    <w:rsid w:val="3B38138F"/>
    <w:rsid w:val="3B384E25"/>
    <w:rsid w:val="3B385475"/>
    <w:rsid w:val="3B3C0013"/>
    <w:rsid w:val="3B4C0F20"/>
    <w:rsid w:val="3B55306D"/>
    <w:rsid w:val="3B654FB6"/>
    <w:rsid w:val="3B661580"/>
    <w:rsid w:val="3B6832C5"/>
    <w:rsid w:val="3B7010B2"/>
    <w:rsid w:val="3B714E2B"/>
    <w:rsid w:val="3B724A49"/>
    <w:rsid w:val="3B7364AD"/>
    <w:rsid w:val="3B835113"/>
    <w:rsid w:val="3B8C3A12"/>
    <w:rsid w:val="3B9D352A"/>
    <w:rsid w:val="3B9D79CE"/>
    <w:rsid w:val="3B9E00AB"/>
    <w:rsid w:val="3BA05111"/>
    <w:rsid w:val="3BA443E4"/>
    <w:rsid w:val="3BA526EA"/>
    <w:rsid w:val="3BAB3455"/>
    <w:rsid w:val="3BB84807"/>
    <w:rsid w:val="3BBA7B79"/>
    <w:rsid w:val="3BBD1E1E"/>
    <w:rsid w:val="3BC3474D"/>
    <w:rsid w:val="3BC74A4B"/>
    <w:rsid w:val="3BC76033"/>
    <w:rsid w:val="3BC9431F"/>
    <w:rsid w:val="3BCB35A7"/>
    <w:rsid w:val="3BD46390"/>
    <w:rsid w:val="3BDD5902"/>
    <w:rsid w:val="3BED2703"/>
    <w:rsid w:val="3BF03CCA"/>
    <w:rsid w:val="3BF27D19"/>
    <w:rsid w:val="3C0C273F"/>
    <w:rsid w:val="3C0E5615"/>
    <w:rsid w:val="3C10220A"/>
    <w:rsid w:val="3C1842F9"/>
    <w:rsid w:val="3C1E1CA2"/>
    <w:rsid w:val="3C1E28BD"/>
    <w:rsid w:val="3C21440E"/>
    <w:rsid w:val="3C325184"/>
    <w:rsid w:val="3C3470D5"/>
    <w:rsid w:val="3C35526E"/>
    <w:rsid w:val="3C383DE4"/>
    <w:rsid w:val="3C485B8B"/>
    <w:rsid w:val="3C4E103D"/>
    <w:rsid w:val="3C5858BE"/>
    <w:rsid w:val="3C5E715D"/>
    <w:rsid w:val="3C756255"/>
    <w:rsid w:val="3C7F3470"/>
    <w:rsid w:val="3C8666B4"/>
    <w:rsid w:val="3C885F88"/>
    <w:rsid w:val="3C8919F5"/>
    <w:rsid w:val="3C8C43E5"/>
    <w:rsid w:val="3CB45BE4"/>
    <w:rsid w:val="3CBB635D"/>
    <w:rsid w:val="3CC02EEE"/>
    <w:rsid w:val="3CD02A9E"/>
    <w:rsid w:val="3CD25455"/>
    <w:rsid w:val="3CEB7A0B"/>
    <w:rsid w:val="3CF61EAC"/>
    <w:rsid w:val="3CFE33D2"/>
    <w:rsid w:val="3D071314"/>
    <w:rsid w:val="3D116330"/>
    <w:rsid w:val="3D170EC3"/>
    <w:rsid w:val="3D192362"/>
    <w:rsid w:val="3D245F63"/>
    <w:rsid w:val="3D2776B0"/>
    <w:rsid w:val="3D29789F"/>
    <w:rsid w:val="3D2A3E0E"/>
    <w:rsid w:val="3D2A66B8"/>
    <w:rsid w:val="3D3D698A"/>
    <w:rsid w:val="3D4421B9"/>
    <w:rsid w:val="3D45031D"/>
    <w:rsid w:val="3D451639"/>
    <w:rsid w:val="3D487D74"/>
    <w:rsid w:val="3D4E0F7F"/>
    <w:rsid w:val="3D4F1164"/>
    <w:rsid w:val="3D5C4BC3"/>
    <w:rsid w:val="3D5F13DF"/>
    <w:rsid w:val="3D6014CF"/>
    <w:rsid w:val="3D637F4C"/>
    <w:rsid w:val="3D711112"/>
    <w:rsid w:val="3D7F382F"/>
    <w:rsid w:val="3D886EA5"/>
    <w:rsid w:val="3D9B3B25"/>
    <w:rsid w:val="3DA9265A"/>
    <w:rsid w:val="3DAC3EF8"/>
    <w:rsid w:val="3DB929DB"/>
    <w:rsid w:val="3DBC3294"/>
    <w:rsid w:val="3DC23CCE"/>
    <w:rsid w:val="3DC34D79"/>
    <w:rsid w:val="3DC41242"/>
    <w:rsid w:val="3DCE3E6E"/>
    <w:rsid w:val="3DDA2813"/>
    <w:rsid w:val="3DEC2546"/>
    <w:rsid w:val="3DED1CBB"/>
    <w:rsid w:val="3DED2444"/>
    <w:rsid w:val="3DF44CC0"/>
    <w:rsid w:val="3DF567F9"/>
    <w:rsid w:val="3DF60447"/>
    <w:rsid w:val="3DFC4E7F"/>
    <w:rsid w:val="3E0B50C2"/>
    <w:rsid w:val="3E1014FA"/>
    <w:rsid w:val="3E1C50F0"/>
    <w:rsid w:val="3E206467"/>
    <w:rsid w:val="3E2148E6"/>
    <w:rsid w:val="3E290EF2"/>
    <w:rsid w:val="3E2C62E0"/>
    <w:rsid w:val="3E2E064A"/>
    <w:rsid w:val="3E335E41"/>
    <w:rsid w:val="3E406396"/>
    <w:rsid w:val="3E4C71CA"/>
    <w:rsid w:val="3E4E3201"/>
    <w:rsid w:val="3E751B05"/>
    <w:rsid w:val="3E8E35FE"/>
    <w:rsid w:val="3E932C1B"/>
    <w:rsid w:val="3E945A00"/>
    <w:rsid w:val="3E946E66"/>
    <w:rsid w:val="3E986EC0"/>
    <w:rsid w:val="3EA370A9"/>
    <w:rsid w:val="3EA50F16"/>
    <w:rsid w:val="3EAB13D2"/>
    <w:rsid w:val="3EB412B6"/>
    <w:rsid w:val="3EB70DA6"/>
    <w:rsid w:val="3EC7548D"/>
    <w:rsid w:val="3EC96887"/>
    <w:rsid w:val="3EDB4A95"/>
    <w:rsid w:val="3EDF5AF6"/>
    <w:rsid w:val="3EED5314"/>
    <w:rsid w:val="3EF05D19"/>
    <w:rsid w:val="3EF61E81"/>
    <w:rsid w:val="3EFB0C93"/>
    <w:rsid w:val="3EFE7DE5"/>
    <w:rsid w:val="3F0264C5"/>
    <w:rsid w:val="3F061F0C"/>
    <w:rsid w:val="3F0A537A"/>
    <w:rsid w:val="3F125BD1"/>
    <w:rsid w:val="3F205546"/>
    <w:rsid w:val="3F2301EA"/>
    <w:rsid w:val="3F232B89"/>
    <w:rsid w:val="3F3543E3"/>
    <w:rsid w:val="3F5F1AF2"/>
    <w:rsid w:val="3F656A54"/>
    <w:rsid w:val="3F66192B"/>
    <w:rsid w:val="3F6C2119"/>
    <w:rsid w:val="3F7D6983"/>
    <w:rsid w:val="3F856ED8"/>
    <w:rsid w:val="3F8D1C9F"/>
    <w:rsid w:val="3F8F2341"/>
    <w:rsid w:val="3F950EED"/>
    <w:rsid w:val="3F9D7F9C"/>
    <w:rsid w:val="3FBF43B6"/>
    <w:rsid w:val="3FC277EF"/>
    <w:rsid w:val="3FC43B82"/>
    <w:rsid w:val="3FC60149"/>
    <w:rsid w:val="3FC80E07"/>
    <w:rsid w:val="3FD5519B"/>
    <w:rsid w:val="3FD85D9F"/>
    <w:rsid w:val="3FF027C2"/>
    <w:rsid w:val="3FF10C57"/>
    <w:rsid w:val="3FF916F0"/>
    <w:rsid w:val="3FFF47B3"/>
    <w:rsid w:val="40035C2A"/>
    <w:rsid w:val="40093884"/>
    <w:rsid w:val="4013025E"/>
    <w:rsid w:val="40181D19"/>
    <w:rsid w:val="401A01A4"/>
    <w:rsid w:val="40273D0A"/>
    <w:rsid w:val="403C3AF9"/>
    <w:rsid w:val="404167C7"/>
    <w:rsid w:val="405745EF"/>
    <w:rsid w:val="405976BA"/>
    <w:rsid w:val="405F3DE1"/>
    <w:rsid w:val="40644756"/>
    <w:rsid w:val="406B1E48"/>
    <w:rsid w:val="406C4CA9"/>
    <w:rsid w:val="40805D21"/>
    <w:rsid w:val="4081019F"/>
    <w:rsid w:val="408B4299"/>
    <w:rsid w:val="40953369"/>
    <w:rsid w:val="40A4534E"/>
    <w:rsid w:val="40A81707"/>
    <w:rsid w:val="40AF741E"/>
    <w:rsid w:val="40B20930"/>
    <w:rsid w:val="40B42395"/>
    <w:rsid w:val="40B67A3A"/>
    <w:rsid w:val="40BC7ABE"/>
    <w:rsid w:val="40C212DB"/>
    <w:rsid w:val="40C229C9"/>
    <w:rsid w:val="40D74B6A"/>
    <w:rsid w:val="40D912FC"/>
    <w:rsid w:val="40DA6B03"/>
    <w:rsid w:val="40DF0CE8"/>
    <w:rsid w:val="40E439A9"/>
    <w:rsid w:val="40E6155D"/>
    <w:rsid w:val="40E816EB"/>
    <w:rsid w:val="40F40C4B"/>
    <w:rsid w:val="40F77B80"/>
    <w:rsid w:val="40FA2438"/>
    <w:rsid w:val="4102013F"/>
    <w:rsid w:val="41063FD6"/>
    <w:rsid w:val="411F2102"/>
    <w:rsid w:val="41210759"/>
    <w:rsid w:val="41241AE4"/>
    <w:rsid w:val="412D51B9"/>
    <w:rsid w:val="41326E0A"/>
    <w:rsid w:val="413466DE"/>
    <w:rsid w:val="41364CBE"/>
    <w:rsid w:val="41434B73"/>
    <w:rsid w:val="414502D4"/>
    <w:rsid w:val="41460A5C"/>
    <w:rsid w:val="414E3D19"/>
    <w:rsid w:val="41586871"/>
    <w:rsid w:val="415A1A62"/>
    <w:rsid w:val="415B08F7"/>
    <w:rsid w:val="41670862"/>
    <w:rsid w:val="416741BF"/>
    <w:rsid w:val="41685545"/>
    <w:rsid w:val="416B7484"/>
    <w:rsid w:val="416D1BF0"/>
    <w:rsid w:val="41741A44"/>
    <w:rsid w:val="41797F24"/>
    <w:rsid w:val="41807B75"/>
    <w:rsid w:val="41886A2A"/>
    <w:rsid w:val="419158DF"/>
    <w:rsid w:val="4194717D"/>
    <w:rsid w:val="419A7604"/>
    <w:rsid w:val="41A575DC"/>
    <w:rsid w:val="41AF045B"/>
    <w:rsid w:val="41B617E9"/>
    <w:rsid w:val="41B62372"/>
    <w:rsid w:val="41B7012D"/>
    <w:rsid w:val="41BB2E32"/>
    <w:rsid w:val="41BD7202"/>
    <w:rsid w:val="41C319F6"/>
    <w:rsid w:val="41C37A62"/>
    <w:rsid w:val="41C47AD3"/>
    <w:rsid w:val="41CA2B9F"/>
    <w:rsid w:val="41CC2DBB"/>
    <w:rsid w:val="41CC79EB"/>
    <w:rsid w:val="41CF2217"/>
    <w:rsid w:val="41D67795"/>
    <w:rsid w:val="41EE2EB6"/>
    <w:rsid w:val="41F45E6E"/>
    <w:rsid w:val="41F76518"/>
    <w:rsid w:val="41F97532"/>
    <w:rsid w:val="41FB544E"/>
    <w:rsid w:val="41FC6D58"/>
    <w:rsid w:val="42180893"/>
    <w:rsid w:val="421933B2"/>
    <w:rsid w:val="421C5F3B"/>
    <w:rsid w:val="42240501"/>
    <w:rsid w:val="42250C79"/>
    <w:rsid w:val="422B2EF0"/>
    <w:rsid w:val="422E75D1"/>
    <w:rsid w:val="423320EE"/>
    <w:rsid w:val="42333E44"/>
    <w:rsid w:val="42390CF6"/>
    <w:rsid w:val="423A5F76"/>
    <w:rsid w:val="423E5D9C"/>
    <w:rsid w:val="42417305"/>
    <w:rsid w:val="42463630"/>
    <w:rsid w:val="424C7D1C"/>
    <w:rsid w:val="425012F6"/>
    <w:rsid w:val="4251506E"/>
    <w:rsid w:val="425955A6"/>
    <w:rsid w:val="426275EC"/>
    <w:rsid w:val="426C32B4"/>
    <w:rsid w:val="42703746"/>
    <w:rsid w:val="42784CF1"/>
    <w:rsid w:val="427E5534"/>
    <w:rsid w:val="42824DEF"/>
    <w:rsid w:val="42977B06"/>
    <w:rsid w:val="42A16813"/>
    <w:rsid w:val="42B21FB1"/>
    <w:rsid w:val="42B45D29"/>
    <w:rsid w:val="42B512D9"/>
    <w:rsid w:val="42BA3ABF"/>
    <w:rsid w:val="42BD2703"/>
    <w:rsid w:val="42BF46CD"/>
    <w:rsid w:val="42CE781F"/>
    <w:rsid w:val="42D251E4"/>
    <w:rsid w:val="42E83C24"/>
    <w:rsid w:val="42EE0B0F"/>
    <w:rsid w:val="42F00D2B"/>
    <w:rsid w:val="42FD34E2"/>
    <w:rsid w:val="42FD6C9C"/>
    <w:rsid w:val="42FD73CE"/>
    <w:rsid w:val="430402F0"/>
    <w:rsid w:val="4318627C"/>
    <w:rsid w:val="432731D8"/>
    <w:rsid w:val="432A5FEB"/>
    <w:rsid w:val="432D09BF"/>
    <w:rsid w:val="43330522"/>
    <w:rsid w:val="43366ABF"/>
    <w:rsid w:val="43385A82"/>
    <w:rsid w:val="433E7776"/>
    <w:rsid w:val="43412304"/>
    <w:rsid w:val="43471E55"/>
    <w:rsid w:val="434907D4"/>
    <w:rsid w:val="43657023"/>
    <w:rsid w:val="436A63E7"/>
    <w:rsid w:val="43735791"/>
    <w:rsid w:val="437B1086"/>
    <w:rsid w:val="437E00E5"/>
    <w:rsid w:val="438356FB"/>
    <w:rsid w:val="438C0982"/>
    <w:rsid w:val="4398365B"/>
    <w:rsid w:val="439A5916"/>
    <w:rsid w:val="439D5A8C"/>
    <w:rsid w:val="43AA70A3"/>
    <w:rsid w:val="43AD09C3"/>
    <w:rsid w:val="43AE7E34"/>
    <w:rsid w:val="43B106BE"/>
    <w:rsid w:val="43B12472"/>
    <w:rsid w:val="43B21B3C"/>
    <w:rsid w:val="43B3334C"/>
    <w:rsid w:val="43B33ACE"/>
    <w:rsid w:val="43BA7F34"/>
    <w:rsid w:val="43CC70A2"/>
    <w:rsid w:val="43D04CC8"/>
    <w:rsid w:val="43D146B8"/>
    <w:rsid w:val="43D25C86"/>
    <w:rsid w:val="43D46804"/>
    <w:rsid w:val="43D85A47"/>
    <w:rsid w:val="43E4263E"/>
    <w:rsid w:val="43E819D5"/>
    <w:rsid w:val="43E87B77"/>
    <w:rsid w:val="43F105A7"/>
    <w:rsid w:val="43FE3154"/>
    <w:rsid w:val="440525B4"/>
    <w:rsid w:val="44066235"/>
    <w:rsid w:val="44087D4D"/>
    <w:rsid w:val="440C577F"/>
    <w:rsid w:val="440E23CF"/>
    <w:rsid w:val="440E76BA"/>
    <w:rsid w:val="4416031D"/>
    <w:rsid w:val="442002DC"/>
    <w:rsid w:val="44202F4A"/>
    <w:rsid w:val="44225EF9"/>
    <w:rsid w:val="44245B36"/>
    <w:rsid w:val="442742D8"/>
    <w:rsid w:val="442A7757"/>
    <w:rsid w:val="443164E4"/>
    <w:rsid w:val="443D7C40"/>
    <w:rsid w:val="444822E4"/>
    <w:rsid w:val="444E2612"/>
    <w:rsid w:val="444F6924"/>
    <w:rsid w:val="44513346"/>
    <w:rsid w:val="44534C12"/>
    <w:rsid w:val="445A5783"/>
    <w:rsid w:val="445C6678"/>
    <w:rsid w:val="445D419E"/>
    <w:rsid w:val="445F3A72"/>
    <w:rsid w:val="4464604B"/>
    <w:rsid w:val="44660A5A"/>
    <w:rsid w:val="446C618F"/>
    <w:rsid w:val="446F51F7"/>
    <w:rsid w:val="44736F3C"/>
    <w:rsid w:val="447A13EF"/>
    <w:rsid w:val="447B63D2"/>
    <w:rsid w:val="44854738"/>
    <w:rsid w:val="448F5F58"/>
    <w:rsid w:val="44937BC0"/>
    <w:rsid w:val="44A55E4C"/>
    <w:rsid w:val="44AD6AE3"/>
    <w:rsid w:val="44B443D2"/>
    <w:rsid w:val="44B97745"/>
    <w:rsid w:val="44BD2F03"/>
    <w:rsid w:val="44C45FCB"/>
    <w:rsid w:val="44C71904"/>
    <w:rsid w:val="44DD1A61"/>
    <w:rsid w:val="44DD4684"/>
    <w:rsid w:val="44DE34EF"/>
    <w:rsid w:val="44E1763D"/>
    <w:rsid w:val="44E236FB"/>
    <w:rsid w:val="44E5119D"/>
    <w:rsid w:val="44F01295"/>
    <w:rsid w:val="44F06DC0"/>
    <w:rsid w:val="44F22B38"/>
    <w:rsid w:val="450C2A2B"/>
    <w:rsid w:val="4519008F"/>
    <w:rsid w:val="45216F7A"/>
    <w:rsid w:val="45253F61"/>
    <w:rsid w:val="45280308"/>
    <w:rsid w:val="452E086B"/>
    <w:rsid w:val="45352A25"/>
    <w:rsid w:val="45360D38"/>
    <w:rsid w:val="45395842"/>
    <w:rsid w:val="45467DAC"/>
    <w:rsid w:val="45476B74"/>
    <w:rsid w:val="45497188"/>
    <w:rsid w:val="454D5596"/>
    <w:rsid w:val="454D7D6F"/>
    <w:rsid w:val="45533D78"/>
    <w:rsid w:val="45551C97"/>
    <w:rsid w:val="45561319"/>
    <w:rsid w:val="45576E3F"/>
    <w:rsid w:val="45596CE6"/>
    <w:rsid w:val="455F7834"/>
    <w:rsid w:val="456357E4"/>
    <w:rsid w:val="45702958"/>
    <w:rsid w:val="45703206"/>
    <w:rsid w:val="45735066"/>
    <w:rsid w:val="457D6AC5"/>
    <w:rsid w:val="457F2ACD"/>
    <w:rsid w:val="45837C34"/>
    <w:rsid w:val="4584578C"/>
    <w:rsid w:val="459534C4"/>
    <w:rsid w:val="45992FB4"/>
    <w:rsid w:val="459A0CB0"/>
    <w:rsid w:val="459C0F8B"/>
    <w:rsid w:val="459E4A6E"/>
    <w:rsid w:val="45A85FD4"/>
    <w:rsid w:val="45B60099"/>
    <w:rsid w:val="45C06792"/>
    <w:rsid w:val="45C15E80"/>
    <w:rsid w:val="45C30031"/>
    <w:rsid w:val="45C379DD"/>
    <w:rsid w:val="45CC3978"/>
    <w:rsid w:val="45D60126"/>
    <w:rsid w:val="45D81DE2"/>
    <w:rsid w:val="45DB3F25"/>
    <w:rsid w:val="45E3308C"/>
    <w:rsid w:val="45EE1552"/>
    <w:rsid w:val="45F91D99"/>
    <w:rsid w:val="46046606"/>
    <w:rsid w:val="46084651"/>
    <w:rsid w:val="460D34BF"/>
    <w:rsid w:val="460E2621"/>
    <w:rsid w:val="46130FB8"/>
    <w:rsid w:val="46135C13"/>
    <w:rsid w:val="46135E5F"/>
    <w:rsid w:val="46164604"/>
    <w:rsid w:val="461A7364"/>
    <w:rsid w:val="462370A5"/>
    <w:rsid w:val="46245F19"/>
    <w:rsid w:val="46302710"/>
    <w:rsid w:val="463914F2"/>
    <w:rsid w:val="464C44CA"/>
    <w:rsid w:val="46517B64"/>
    <w:rsid w:val="4657770F"/>
    <w:rsid w:val="465863B2"/>
    <w:rsid w:val="465901DB"/>
    <w:rsid w:val="465A6BF7"/>
    <w:rsid w:val="465B64BB"/>
    <w:rsid w:val="465B7F6F"/>
    <w:rsid w:val="465E7829"/>
    <w:rsid w:val="466510E8"/>
    <w:rsid w:val="46674C86"/>
    <w:rsid w:val="46726A4B"/>
    <w:rsid w:val="46764354"/>
    <w:rsid w:val="467D0B0F"/>
    <w:rsid w:val="468123C6"/>
    <w:rsid w:val="4683537B"/>
    <w:rsid w:val="46873616"/>
    <w:rsid w:val="469A6FE4"/>
    <w:rsid w:val="469D4D26"/>
    <w:rsid w:val="46A11BA1"/>
    <w:rsid w:val="46A12ED8"/>
    <w:rsid w:val="46A249D3"/>
    <w:rsid w:val="46AF1D51"/>
    <w:rsid w:val="46B65D3B"/>
    <w:rsid w:val="46B9747D"/>
    <w:rsid w:val="46BB5E6A"/>
    <w:rsid w:val="46C01741"/>
    <w:rsid w:val="46C63F5F"/>
    <w:rsid w:val="46CB726B"/>
    <w:rsid w:val="46D87B0C"/>
    <w:rsid w:val="46E15834"/>
    <w:rsid w:val="46E26BDC"/>
    <w:rsid w:val="46E464B1"/>
    <w:rsid w:val="46E93AC7"/>
    <w:rsid w:val="46ED3B48"/>
    <w:rsid w:val="47013FD4"/>
    <w:rsid w:val="470664D5"/>
    <w:rsid w:val="470C4453"/>
    <w:rsid w:val="470E1B08"/>
    <w:rsid w:val="47370CD6"/>
    <w:rsid w:val="47406A81"/>
    <w:rsid w:val="47412E3C"/>
    <w:rsid w:val="474C098E"/>
    <w:rsid w:val="475149C0"/>
    <w:rsid w:val="47525649"/>
    <w:rsid w:val="475278BE"/>
    <w:rsid w:val="47533399"/>
    <w:rsid w:val="475F55E7"/>
    <w:rsid w:val="476A5CE9"/>
    <w:rsid w:val="477535AD"/>
    <w:rsid w:val="477C493B"/>
    <w:rsid w:val="478C66EE"/>
    <w:rsid w:val="47941C85"/>
    <w:rsid w:val="479510FE"/>
    <w:rsid w:val="479B1FFF"/>
    <w:rsid w:val="47A324A9"/>
    <w:rsid w:val="47A83982"/>
    <w:rsid w:val="47AA6C4F"/>
    <w:rsid w:val="47B217E8"/>
    <w:rsid w:val="47B71E17"/>
    <w:rsid w:val="47C416D0"/>
    <w:rsid w:val="47C96B91"/>
    <w:rsid w:val="47CC58C3"/>
    <w:rsid w:val="47CF6706"/>
    <w:rsid w:val="47E80BFD"/>
    <w:rsid w:val="48004C1C"/>
    <w:rsid w:val="4804026A"/>
    <w:rsid w:val="480C2163"/>
    <w:rsid w:val="480C4E2A"/>
    <w:rsid w:val="48174664"/>
    <w:rsid w:val="48362D3C"/>
    <w:rsid w:val="483816B9"/>
    <w:rsid w:val="483945E9"/>
    <w:rsid w:val="48482A6F"/>
    <w:rsid w:val="48491E66"/>
    <w:rsid w:val="485338EE"/>
    <w:rsid w:val="48550919"/>
    <w:rsid w:val="485D651B"/>
    <w:rsid w:val="485E20B5"/>
    <w:rsid w:val="48602247"/>
    <w:rsid w:val="486378A9"/>
    <w:rsid w:val="486C2C02"/>
    <w:rsid w:val="48701808"/>
    <w:rsid w:val="4873436A"/>
    <w:rsid w:val="4887759F"/>
    <w:rsid w:val="488B742C"/>
    <w:rsid w:val="488F14EE"/>
    <w:rsid w:val="489038D4"/>
    <w:rsid w:val="48955123"/>
    <w:rsid w:val="489A151D"/>
    <w:rsid w:val="48A57EC2"/>
    <w:rsid w:val="48A65581"/>
    <w:rsid w:val="48A71E8C"/>
    <w:rsid w:val="48AC50AC"/>
    <w:rsid w:val="48AD4952"/>
    <w:rsid w:val="48C978A6"/>
    <w:rsid w:val="48CB3C66"/>
    <w:rsid w:val="48CC2C63"/>
    <w:rsid w:val="48D367DD"/>
    <w:rsid w:val="48D6451F"/>
    <w:rsid w:val="48E655B0"/>
    <w:rsid w:val="48E924A4"/>
    <w:rsid w:val="48EC34E7"/>
    <w:rsid w:val="48F30C2D"/>
    <w:rsid w:val="48F40AE1"/>
    <w:rsid w:val="48F86B09"/>
    <w:rsid w:val="49010BCF"/>
    <w:rsid w:val="490C36D0"/>
    <w:rsid w:val="490F582F"/>
    <w:rsid w:val="49186D5A"/>
    <w:rsid w:val="491D5CAA"/>
    <w:rsid w:val="49282FCC"/>
    <w:rsid w:val="492B6619"/>
    <w:rsid w:val="492F13FF"/>
    <w:rsid w:val="493337BF"/>
    <w:rsid w:val="493A7B16"/>
    <w:rsid w:val="493C6198"/>
    <w:rsid w:val="493F2815"/>
    <w:rsid w:val="493F41AA"/>
    <w:rsid w:val="49424F51"/>
    <w:rsid w:val="49497F6D"/>
    <w:rsid w:val="49553696"/>
    <w:rsid w:val="4957740E"/>
    <w:rsid w:val="496855CB"/>
    <w:rsid w:val="496B1CD2"/>
    <w:rsid w:val="496E717B"/>
    <w:rsid w:val="4975138C"/>
    <w:rsid w:val="497B63B6"/>
    <w:rsid w:val="498456B7"/>
    <w:rsid w:val="49862E84"/>
    <w:rsid w:val="498B0D8F"/>
    <w:rsid w:val="499B0F1A"/>
    <w:rsid w:val="49A46C55"/>
    <w:rsid w:val="49A81A17"/>
    <w:rsid w:val="49AC4287"/>
    <w:rsid w:val="49AE2DA6"/>
    <w:rsid w:val="49AF2F92"/>
    <w:rsid w:val="49C56A6D"/>
    <w:rsid w:val="49CC619C"/>
    <w:rsid w:val="49D15B2F"/>
    <w:rsid w:val="49D7167B"/>
    <w:rsid w:val="49E07403"/>
    <w:rsid w:val="49E615E3"/>
    <w:rsid w:val="49EB72A5"/>
    <w:rsid w:val="49F74C7F"/>
    <w:rsid w:val="49FE6EAB"/>
    <w:rsid w:val="4A0219A2"/>
    <w:rsid w:val="4A0350A7"/>
    <w:rsid w:val="4A05330E"/>
    <w:rsid w:val="4A067726"/>
    <w:rsid w:val="4A0856E1"/>
    <w:rsid w:val="4A115B30"/>
    <w:rsid w:val="4A1C622A"/>
    <w:rsid w:val="4A215449"/>
    <w:rsid w:val="4A235542"/>
    <w:rsid w:val="4A253068"/>
    <w:rsid w:val="4A280FB1"/>
    <w:rsid w:val="4A35453B"/>
    <w:rsid w:val="4A431740"/>
    <w:rsid w:val="4A446121"/>
    <w:rsid w:val="4A463AC2"/>
    <w:rsid w:val="4A487750"/>
    <w:rsid w:val="4A49144C"/>
    <w:rsid w:val="4A534079"/>
    <w:rsid w:val="4A58168F"/>
    <w:rsid w:val="4A6A0682"/>
    <w:rsid w:val="4A724F6E"/>
    <w:rsid w:val="4A78588E"/>
    <w:rsid w:val="4A7B35D0"/>
    <w:rsid w:val="4A7F0F35"/>
    <w:rsid w:val="4A802994"/>
    <w:rsid w:val="4A852826"/>
    <w:rsid w:val="4A956184"/>
    <w:rsid w:val="4A965D14"/>
    <w:rsid w:val="4AA14C1E"/>
    <w:rsid w:val="4AC22FAD"/>
    <w:rsid w:val="4AC46D25"/>
    <w:rsid w:val="4ACC294F"/>
    <w:rsid w:val="4AD056CA"/>
    <w:rsid w:val="4AD41439"/>
    <w:rsid w:val="4AE50A49"/>
    <w:rsid w:val="4AE562EB"/>
    <w:rsid w:val="4AE65851"/>
    <w:rsid w:val="4AF00290"/>
    <w:rsid w:val="4AFF5FAF"/>
    <w:rsid w:val="4B010970"/>
    <w:rsid w:val="4B036FB5"/>
    <w:rsid w:val="4B0976E4"/>
    <w:rsid w:val="4B097E8B"/>
    <w:rsid w:val="4B176D02"/>
    <w:rsid w:val="4B1D400B"/>
    <w:rsid w:val="4B1F75EE"/>
    <w:rsid w:val="4B3317A2"/>
    <w:rsid w:val="4B3B68BB"/>
    <w:rsid w:val="4B616322"/>
    <w:rsid w:val="4B641F4A"/>
    <w:rsid w:val="4B65264F"/>
    <w:rsid w:val="4B695D81"/>
    <w:rsid w:val="4B734BAC"/>
    <w:rsid w:val="4B793A7D"/>
    <w:rsid w:val="4B7A5635"/>
    <w:rsid w:val="4B8828BE"/>
    <w:rsid w:val="4B9A59A0"/>
    <w:rsid w:val="4B9E364E"/>
    <w:rsid w:val="4B9F32EE"/>
    <w:rsid w:val="4BA70D24"/>
    <w:rsid w:val="4BAD7FC9"/>
    <w:rsid w:val="4BC15012"/>
    <w:rsid w:val="4BC46988"/>
    <w:rsid w:val="4BCE6F8C"/>
    <w:rsid w:val="4BD905AE"/>
    <w:rsid w:val="4BF05806"/>
    <w:rsid w:val="4BF247B7"/>
    <w:rsid w:val="4C053358"/>
    <w:rsid w:val="4C096F54"/>
    <w:rsid w:val="4C0E78A0"/>
    <w:rsid w:val="4C107C73"/>
    <w:rsid w:val="4C135CC2"/>
    <w:rsid w:val="4C15507D"/>
    <w:rsid w:val="4C1C493F"/>
    <w:rsid w:val="4C1E6689"/>
    <w:rsid w:val="4C231829"/>
    <w:rsid w:val="4C286E40"/>
    <w:rsid w:val="4C2C2DD4"/>
    <w:rsid w:val="4C2D3232"/>
    <w:rsid w:val="4C2E4861"/>
    <w:rsid w:val="4C39104D"/>
    <w:rsid w:val="4C453E95"/>
    <w:rsid w:val="4C51283A"/>
    <w:rsid w:val="4C544350"/>
    <w:rsid w:val="4C5B29F4"/>
    <w:rsid w:val="4C6664C4"/>
    <w:rsid w:val="4C7107E7"/>
    <w:rsid w:val="4C737B9D"/>
    <w:rsid w:val="4C754236"/>
    <w:rsid w:val="4C793B3F"/>
    <w:rsid w:val="4C7B1665"/>
    <w:rsid w:val="4C85574F"/>
    <w:rsid w:val="4CAD48E4"/>
    <w:rsid w:val="4CAF2148"/>
    <w:rsid w:val="4CB554A8"/>
    <w:rsid w:val="4CC57508"/>
    <w:rsid w:val="4CC843CB"/>
    <w:rsid w:val="4CC968DC"/>
    <w:rsid w:val="4CCD4587"/>
    <w:rsid w:val="4CD45705"/>
    <w:rsid w:val="4CDB0356"/>
    <w:rsid w:val="4CE23D45"/>
    <w:rsid w:val="4CE4545C"/>
    <w:rsid w:val="4CEA67EB"/>
    <w:rsid w:val="4CEC2EDA"/>
    <w:rsid w:val="4CEF245C"/>
    <w:rsid w:val="4CF2277F"/>
    <w:rsid w:val="4D003B9C"/>
    <w:rsid w:val="4D0478AD"/>
    <w:rsid w:val="4D083543"/>
    <w:rsid w:val="4D085A60"/>
    <w:rsid w:val="4D0E2E36"/>
    <w:rsid w:val="4D0E72DC"/>
    <w:rsid w:val="4D101B13"/>
    <w:rsid w:val="4D143A35"/>
    <w:rsid w:val="4D2659AC"/>
    <w:rsid w:val="4D292630"/>
    <w:rsid w:val="4D302450"/>
    <w:rsid w:val="4D4050C4"/>
    <w:rsid w:val="4D474333"/>
    <w:rsid w:val="4D483F5D"/>
    <w:rsid w:val="4D5123C6"/>
    <w:rsid w:val="4D551EB6"/>
    <w:rsid w:val="4D573E80"/>
    <w:rsid w:val="4D73058E"/>
    <w:rsid w:val="4D73368C"/>
    <w:rsid w:val="4D7A0FC1"/>
    <w:rsid w:val="4D7D6F47"/>
    <w:rsid w:val="4D7F1DE2"/>
    <w:rsid w:val="4D830A05"/>
    <w:rsid w:val="4D8409ED"/>
    <w:rsid w:val="4D880FB4"/>
    <w:rsid w:val="4D8C08F1"/>
    <w:rsid w:val="4D8F5E9D"/>
    <w:rsid w:val="4D950505"/>
    <w:rsid w:val="4D9F48BE"/>
    <w:rsid w:val="4DA6325F"/>
    <w:rsid w:val="4DAC23C5"/>
    <w:rsid w:val="4DAE0055"/>
    <w:rsid w:val="4DB36BEF"/>
    <w:rsid w:val="4DB75623"/>
    <w:rsid w:val="4DB82445"/>
    <w:rsid w:val="4DB87EDF"/>
    <w:rsid w:val="4DBC5E04"/>
    <w:rsid w:val="4DBD2C9B"/>
    <w:rsid w:val="4DBD4F32"/>
    <w:rsid w:val="4DBF1A26"/>
    <w:rsid w:val="4DC81785"/>
    <w:rsid w:val="4DC82688"/>
    <w:rsid w:val="4DD50225"/>
    <w:rsid w:val="4DD51249"/>
    <w:rsid w:val="4DE4323A"/>
    <w:rsid w:val="4DE61FAA"/>
    <w:rsid w:val="4DEC1C08"/>
    <w:rsid w:val="4DF0767C"/>
    <w:rsid w:val="4DFB2056"/>
    <w:rsid w:val="4E0A2082"/>
    <w:rsid w:val="4E157256"/>
    <w:rsid w:val="4E184097"/>
    <w:rsid w:val="4E197388"/>
    <w:rsid w:val="4E1A6C5C"/>
    <w:rsid w:val="4E2206DF"/>
    <w:rsid w:val="4E2B0866"/>
    <w:rsid w:val="4E3441C2"/>
    <w:rsid w:val="4E3C3FFA"/>
    <w:rsid w:val="4E3F61E7"/>
    <w:rsid w:val="4E5201C2"/>
    <w:rsid w:val="4E54216E"/>
    <w:rsid w:val="4E5D32FE"/>
    <w:rsid w:val="4E630603"/>
    <w:rsid w:val="4E6332C9"/>
    <w:rsid w:val="4E651C80"/>
    <w:rsid w:val="4E6B219C"/>
    <w:rsid w:val="4E71597E"/>
    <w:rsid w:val="4E7A0615"/>
    <w:rsid w:val="4E7B5D91"/>
    <w:rsid w:val="4E854A1D"/>
    <w:rsid w:val="4E874011"/>
    <w:rsid w:val="4E983CD2"/>
    <w:rsid w:val="4E9C6FC6"/>
    <w:rsid w:val="4EA03605"/>
    <w:rsid w:val="4EA70929"/>
    <w:rsid w:val="4EB15BC3"/>
    <w:rsid w:val="4EB16CE4"/>
    <w:rsid w:val="4EB87810"/>
    <w:rsid w:val="4EBB3F9B"/>
    <w:rsid w:val="4EC33327"/>
    <w:rsid w:val="4EC76DE4"/>
    <w:rsid w:val="4EC92B5C"/>
    <w:rsid w:val="4ED137BE"/>
    <w:rsid w:val="4EED5884"/>
    <w:rsid w:val="4EEF28F5"/>
    <w:rsid w:val="4EF92D15"/>
    <w:rsid w:val="4EFA0F67"/>
    <w:rsid w:val="4EFE0558"/>
    <w:rsid w:val="4F003513"/>
    <w:rsid w:val="4F0516BA"/>
    <w:rsid w:val="4F070E09"/>
    <w:rsid w:val="4F135B85"/>
    <w:rsid w:val="4F1E55EE"/>
    <w:rsid w:val="4F1E5BD6"/>
    <w:rsid w:val="4F22401A"/>
    <w:rsid w:val="4F2A7373"/>
    <w:rsid w:val="4F363E35"/>
    <w:rsid w:val="4F416B96"/>
    <w:rsid w:val="4F4A642F"/>
    <w:rsid w:val="4F4F4258"/>
    <w:rsid w:val="4F507127"/>
    <w:rsid w:val="4F5360DD"/>
    <w:rsid w:val="4F537ED5"/>
    <w:rsid w:val="4F590F8F"/>
    <w:rsid w:val="4F5F2F6A"/>
    <w:rsid w:val="4F5F526E"/>
    <w:rsid w:val="4F5F7E33"/>
    <w:rsid w:val="4F672375"/>
    <w:rsid w:val="4F69142C"/>
    <w:rsid w:val="4F6B3C13"/>
    <w:rsid w:val="4F6D1C5E"/>
    <w:rsid w:val="4F732AC8"/>
    <w:rsid w:val="4F786330"/>
    <w:rsid w:val="4F7D1842"/>
    <w:rsid w:val="4F8E16AF"/>
    <w:rsid w:val="4F903CA9"/>
    <w:rsid w:val="4FA24959"/>
    <w:rsid w:val="4FA73164"/>
    <w:rsid w:val="4FA90297"/>
    <w:rsid w:val="4FAA3E24"/>
    <w:rsid w:val="4FAE1D52"/>
    <w:rsid w:val="4FBA1974"/>
    <w:rsid w:val="4FBC436E"/>
    <w:rsid w:val="4FBC446F"/>
    <w:rsid w:val="4FBE795C"/>
    <w:rsid w:val="4FD814BB"/>
    <w:rsid w:val="4FF91A34"/>
    <w:rsid w:val="500100D3"/>
    <w:rsid w:val="501469A5"/>
    <w:rsid w:val="50165683"/>
    <w:rsid w:val="50175B49"/>
    <w:rsid w:val="50197E89"/>
    <w:rsid w:val="501E0E16"/>
    <w:rsid w:val="50222E67"/>
    <w:rsid w:val="50371D47"/>
    <w:rsid w:val="503A35E5"/>
    <w:rsid w:val="50450DD2"/>
    <w:rsid w:val="504F35F9"/>
    <w:rsid w:val="505D05D6"/>
    <w:rsid w:val="506B7C43"/>
    <w:rsid w:val="50746AF7"/>
    <w:rsid w:val="5076183F"/>
    <w:rsid w:val="507705FD"/>
    <w:rsid w:val="50850D04"/>
    <w:rsid w:val="508F1B83"/>
    <w:rsid w:val="508F6981"/>
    <w:rsid w:val="50960089"/>
    <w:rsid w:val="5096417A"/>
    <w:rsid w:val="50AF73BF"/>
    <w:rsid w:val="50C51101"/>
    <w:rsid w:val="50C57EFC"/>
    <w:rsid w:val="50CC43C0"/>
    <w:rsid w:val="50D61AAB"/>
    <w:rsid w:val="50E84DEF"/>
    <w:rsid w:val="50EE1310"/>
    <w:rsid w:val="50F27390"/>
    <w:rsid w:val="50FD6E91"/>
    <w:rsid w:val="5103413D"/>
    <w:rsid w:val="510A4476"/>
    <w:rsid w:val="51147C74"/>
    <w:rsid w:val="5115739F"/>
    <w:rsid w:val="5116435B"/>
    <w:rsid w:val="51181B78"/>
    <w:rsid w:val="51184597"/>
    <w:rsid w:val="51275860"/>
    <w:rsid w:val="512A53BC"/>
    <w:rsid w:val="51337486"/>
    <w:rsid w:val="513777FC"/>
    <w:rsid w:val="513B13C3"/>
    <w:rsid w:val="513E4F39"/>
    <w:rsid w:val="5144296E"/>
    <w:rsid w:val="51454E60"/>
    <w:rsid w:val="514E7348"/>
    <w:rsid w:val="5153074C"/>
    <w:rsid w:val="515661FD"/>
    <w:rsid w:val="515C37CB"/>
    <w:rsid w:val="515F3303"/>
    <w:rsid w:val="51684EF0"/>
    <w:rsid w:val="51713358"/>
    <w:rsid w:val="517146C3"/>
    <w:rsid w:val="51764728"/>
    <w:rsid w:val="518641C1"/>
    <w:rsid w:val="518B5BE8"/>
    <w:rsid w:val="518E5456"/>
    <w:rsid w:val="519147F7"/>
    <w:rsid w:val="51931383"/>
    <w:rsid w:val="51A059CA"/>
    <w:rsid w:val="51AC287F"/>
    <w:rsid w:val="51B85C39"/>
    <w:rsid w:val="51BF3DA2"/>
    <w:rsid w:val="51C413B8"/>
    <w:rsid w:val="51C9038A"/>
    <w:rsid w:val="51CF300B"/>
    <w:rsid w:val="51D95D46"/>
    <w:rsid w:val="51E22BEA"/>
    <w:rsid w:val="52036385"/>
    <w:rsid w:val="5206792F"/>
    <w:rsid w:val="5209326F"/>
    <w:rsid w:val="520C5B0A"/>
    <w:rsid w:val="520F6DE4"/>
    <w:rsid w:val="52104716"/>
    <w:rsid w:val="52126D35"/>
    <w:rsid w:val="52151B74"/>
    <w:rsid w:val="5221625D"/>
    <w:rsid w:val="52226151"/>
    <w:rsid w:val="522C5841"/>
    <w:rsid w:val="522F55F9"/>
    <w:rsid w:val="52347B49"/>
    <w:rsid w:val="523D116B"/>
    <w:rsid w:val="523D2F69"/>
    <w:rsid w:val="524336CF"/>
    <w:rsid w:val="524A3079"/>
    <w:rsid w:val="524F0399"/>
    <w:rsid w:val="525070F0"/>
    <w:rsid w:val="5253098E"/>
    <w:rsid w:val="526069A5"/>
    <w:rsid w:val="52612A1C"/>
    <w:rsid w:val="5264494A"/>
    <w:rsid w:val="526604FD"/>
    <w:rsid w:val="5267152E"/>
    <w:rsid w:val="52675B8D"/>
    <w:rsid w:val="526D2AD8"/>
    <w:rsid w:val="5271222B"/>
    <w:rsid w:val="52772240"/>
    <w:rsid w:val="5278036F"/>
    <w:rsid w:val="528D20F2"/>
    <w:rsid w:val="52936A4F"/>
    <w:rsid w:val="52940EC9"/>
    <w:rsid w:val="52995DCF"/>
    <w:rsid w:val="52AC1880"/>
    <w:rsid w:val="52AE3D04"/>
    <w:rsid w:val="52B92EE7"/>
    <w:rsid w:val="52C0236A"/>
    <w:rsid w:val="52C12807"/>
    <w:rsid w:val="52CF3B4C"/>
    <w:rsid w:val="52D675F5"/>
    <w:rsid w:val="52DA29C5"/>
    <w:rsid w:val="52DC6BD6"/>
    <w:rsid w:val="52E474CD"/>
    <w:rsid w:val="52F61813"/>
    <w:rsid w:val="52F6365C"/>
    <w:rsid w:val="52F64684"/>
    <w:rsid w:val="5304757F"/>
    <w:rsid w:val="530538E5"/>
    <w:rsid w:val="532A16EF"/>
    <w:rsid w:val="533306FA"/>
    <w:rsid w:val="53347F52"/>
    <w:rsid w:val="53392C1F"/>
    <w:rsid w:val="533A198E"/>
    <w:rsid w:val="53491D61"/>
    <w:rsid w:val="535B4311"/>
    <w:rsid w:val="53663062"/>
    <w:rsid w:val="536A3872"/>
    <w:rsid w:val="53733096"/>
    <w:rsid w:val="53764529"/>
    <w:rsid w:val="53964FD7"/>
    <w:rsid w:val="539D193A"/>
    <w:rsid w:val="53A07C03"/>
    <w:rsid w:val="53A771E4"/>
    <w:rsid w:val="53AC65A8"/>
    <w:rsid w:val="53B073F0"/>
    <w:rsid w:val="53B274E1"/>
    <w:rsid w:val="53BD2563"/>
    <w:rsid w:val="53BD388D"/>
    <w:rsid w:val="53C05EC1"/>
    <w:rsid w:val="53C43780"/>
    <w:rsid w:val="53D77AC9"/>
    <w:rsid w:val="53D8739D"/>
    <w:rsid w:val="53DB1D84"/>
    <w:rsid w:val="53E105D8"/>
    <w:rsid w:val="53E2021C"/>
    <w:rsid w:val="53E76A21"/>
    <w:rsid w:val="53E775E0"/>
    <w:rsid w:val="53F92B26"/>
    <w:rsid w:val="53FB31B8"/>
    <w:rsid w:val="54037F1F"/>
    <w:rsid w:val="540851C3"/>
    <w:rsid w:val="54120BB1"/>
    <w:rsid w:val="541C0062"/>
    <w:rsid w:val="54215874"/>
    <w:rsid w:val="54252840"/>
    <w:rsid w:val="5425631E"/>
    <w:rsid w:val="5429409D"/>
    <w:rsid w:val="543B55F1"/>
    <w:rsid w:val="543E2344"/>
    <w:rsid w:val="543E7436"/>
    <w:rsid w:val="54482775"/>
    <w:rsid w:val="545A4256"/>
    <w:rsid w:val="545F35F4"/>
    <w:rsid w:val="546E0F1E"/>
    <w:rsid w:val="54700F99"/>
    <w:rsid w:val="547C2BFD"/>
    <w:rsid w:val="548412D3"/>
    <w:rsid w:val="54877ACD"/>
    <w:rsid w:val="54880DC3"/>
    <w:rsid w:val="549928C9"/>
    <w:rsid w:val="549F1511"/>
    <w:rsid w:val="54A75AF4"/>
    <w:rsid w:val="54BB1F57"/>
    <w:rsid w:val="54BB2D6C"/>
    <w:rsid w:val="54DE09E3"/>
    <w:rsid w:val="54E077F5"/>
    <w:rsid w:val="54E24F3E"/>
    <w:rsid w:val="54E30A9C"/>
    <w:rsid w:val="54E81314"/>
    <w:rsid w:val="54F226E1"/>
    <w:rsid w:val="54F35AF2"/>
    <w:rsid w:val="54FA0A2F"/>
    <w:rsid w:val="54FB0815"/>
    <w:rsid w:val="550E2415"/>
    <w:rsid w:val="551F1C27"/>
    <w:rsid w:val="552719D8"/>
    <w:rsid w:val="552C5BF2"/>
    <w:rsid w:val="552D196B"/>
    <w:rsid w:val="553B4087"/>
    <w:rsid w:val="553E227F"/>
    <w:rsid w:val="554C5F67"/>
    <w:rsid w:val="55602E38"/>
    <w:rsid w:val="556A0985"/>
    <w:rsid w:val="55747300"/>
    <w:rsid w:val="5575088F"/>
    <w:rsid w:val="55756A34"/>
    <w:rsid w:val="557650C0"/>
    <w:rsid w:val="558624E1"/>
    <w:rsid w:val="55907B38"/>
    <w:rsid w:val="559D721B"/>
    <w:rsid w:val="55A439DB"/>
    <w:rsid w:val="55AA648C"/>
    <w:rsid w:val="55B702B1"/>
    <w:rsid w:val="55B76F90"/>
    <w:rsid w:val="55B93057"/>
    <w:rsid w:val="55BB03A1"/>
    <w:rsid w:val="55CF4E72"/>
    <w:rsid w:val="55DB652E"/>
    <w:rsid w:val="55EB160A"/>
    <w:rsid w:val="55F54C6E"/>
    <w:rsid w:val="55F81F79"/>
    <w:rsid w:val="55FA7668"/>
    <w:rsid w:val="560B1CAC"/>
    <w:rsid w:val="56106357"/>
    <w:rsid w:val="56134310"/>
    <w:rsid w:val="562A1F30"/>
    <w:rsid w:val="56304878"/>
    <w:rsid w:val="5632156B"/>
    <w:rsid w:val="56352885"/>
    <w:rsid w:val="563D201C"/>
    <w:rsid w:val="564910FE"/>
    <w:rsid w:val="564B02FA"/>
    <w:rsid w:val="56540480"/>
    <w:rsid w:val="565A678F"/>
    <w:rsid w:val="566632BF"/>
    <w:rsid w:val="56664848"/>
    <w:rsid w:val="566F6EB9"/>
    <w:rsid w:val="56702B9F"/>
    <w:rsid w:val="56712CC7"/>
    <w:rsid w:val="567322B3"/>
    <w:rsid w:val="56763CFB"/>
    <w:rsid w:val="568F0ADE"/>
    <w:rsid w:val="569021B1"/>
    <w:rsid w:val="56A417B8"/>
    <w:rsid w:val="56AD0C4E"/>
    <w:rsid w:val="56AF6944"/>
    <w:rsid w:val="56B0015D"/>
    <w:rsid w:val="56B22127"/>
    <w:rsid w:val="56B345D6"/>
    <w:rsid w:val="56B714EC"/>
    <w:rsid w:val="56C8065B"/>
    <w:rsid w:val="56CD0D0F"/>
    <w:rsid w:val="56D4449B"/>
    <w:rsid w:val="56E513C4"/>
    <w:rsid w:val="56ED13B1"/>
    <w:rsid w:val="56ED6D29"/>
    <w:rsid w:val="57032482"/>
    <w:rsid w:val="570A3D11"/>
    <w:rsid w:val="570D3802"/>
    <w:rsid w:val="571542E8"/>
    <w:rsid w:val="571909A1"/>
    <w:rsid w:val="571B7CCD"/>
    <w:rsid w:val="571E2DED"/>
    <w:rsid w:val="571E5796"/>
    <w:rsid w:val="572428B3"/>
    <w:rsid w:val="57244677"/>
    <w:rsid w:val="572A4A40"/>
    <w:rsid w:val="572B3C88"/>
    <w:rsid w:val="572D3191"/>
    <w:rsid w:val="574710DA"/>
    <w:rsid w:val="574A2360"/>
    <w:rsid w:val="575D6AB9"/>
    <w:rsid w:val="575F5238"/>
    <w:rsid w:val="576A5CB9"/>
    <w:rsid w:val="576D42A0"/>
    <w:rsid w:val="5777497E"/>
    <w:rsid w:val="57787C57"/>
    <w:rsid w:val="577B076B"/>
    <w:rsid w:val="57833AC4"/>
    <w:rsid w:val="57856D3E"/>
    <w:rsid w:val="578A30A4"/>
    <w:rsid w:val="5790004E"/>
    <w:rsid w:val="57951B52"/>
    <w:rsid w:val="579A1200"/>
    <w:rsid w:val="579E4741"/>
    <w:rsid w:val="57A557E8"/>
    <w:rsid w:val="57AA473A"/>
    <w:rsid w:val="57B6119C"/>
    <w:rsid w:val="57BC3F3F"/>
    <w:rsid w:val="57BD2949"/>
    <w:rsid w:val="57C85653"/>
    <w:rsid w:val="57CA34A1"/>
    <w:rsid w:val="57CE10A0"/>
    <w:rsid w:val="57DA5081"/>
    <w:rsid w:val="57E722A5"/>
    <w:rsid w:val="57EA2864"/>
    <w:rsid w:val="57EB62FC"/>
    <w:rsid w:val="57EE59FD"/>
    <w:rsid w:val="57F535F0"/>
    <w:rsid w:val="58024AF8"/>
    <w:rsid w:val="58100546"/>
    <w:rsid w:val="58101FAC"/>
    <w:rsid w:val="58141314"/>
    <w:rsid w:val="581445F7"/>
    <w:rsid w:val="58164938"/>
    <w:rsid w:val="58235280"/>
    <w:rsid w:val="582C7CB7"/>
    <w:rsid w:val="5836101A"/>
    <w:rsid w:val="583A7788"/>
    <w:rsid w:val="583C580F"/>
    <w:rsid w:val="584229C1"/>
    <w:rsid w:val="58551DD2"/>
    <w:rsid w:val="58597ABF"/>
    <w:rsid w:val="58690F0C"/>
    <w:rsid w:val="58782EFD"/>
    <w:rsid w:val="587C56A4"/>
    <w:rsid w:val="58814E3A"/>
    <w:rsid w:val="5886561A"/>
    <w:rsid w:val="5889510A"/>
    <w:rsid w:val="58913FBE"/>
    <w:rsid w:val="58A341CE"/>
    <w:rsid w:val="58A94319"/>
    <w:rsid w:val="58AC4254"/>
    <w:rsid w:val="58B10661"/>
    <w:rsid w:val="58B712E0"/>
    <w:rsid w:val="58BD785A"/>
    <w:rsid w:val="58CD3249"/>
    <w:rsid w:val="58D75423"/>
    <w:rsid w:val="58F61F8A"/>
    <w:rsid w:val="58FA1B64"/>
    <w:rsid w:val="590E0710"/>
    <w:rsid w:val="59181D42"/>
    <w:rsid w:val="591C5F7E"/>
    <w:rsid w:val="592A0D76"/>
    <w:rsid w:val="592B7F6F"/>
    <w:rsid w:val="592F0C47"/>
    <w:rsid w:val="5936079E"/>
    <w:rsid w:val="59363CD9"/>
    <w:rsid w:val="593D5060"/>
    <w:rsid w:val="59601568"/>
    <w:rsid w:val="5969180A"/>
    <w:rsid w:val="597466D5"/>
    <w:rsid w:val="597F2CF5"/>
    <w:rsid w:val="59873909"/>
    <w:rsid w:val="59975605"/>
    <w:rsid w:val="59A55F73"/>
    <w:rsid w:val="59A9183C"/>
    <w:rsid w:val="59B30690"/>
    <w:rsid w:val="59B63CDD"/>
    <w:rsid w:val="59B71876"/>
    <w:rsid w:val="59B97053"/>
    <w:rsid w:val="59C7379E"/>
    <w:rsid w:val="59C83A10"/>
    <w:rsid w:val="59D262F4"/>
    <w:rsid w:val="59D35CE1"/>
    <w:rsid w:val="59D86A81"/>
    <w:rsid w:val="59D979CB"/>
    <w:rsid w:val="59DB3C9E"/>
    <w:rsid w:val="59DB4AD0"/>
    <w:rsid w:val="59DF76D7"/>
    <w:rsid w:val="59E02A73"/>
    <w:rsid w:val="59E0732E"/>
    <w:rsid w:val="59EE18EE"/>
    <w:rsid w:val="59F36D13"/>
    <w:rsid w:val="59FC7637"/>
    <w:rsid w:val="5A084809"/>
    <w:rsid w:val="5A0B1D36"/>
    <w:rsid w:val="5A15680D"/>
    <w:rsid w:val="5A1A0FFC"/>
    <w:rsid w:val="5A205E72"/>
    <w:rsid w:val="5A242985"/>
    <w:rsid w:val="5A2C06BF"/>
    <w:rsid w:val="5A303B07"/>
    <w:rsid w:val="5A39009D"/>
    <w:rsid w:val="5A3A308E"/>
    <w:rsid w:val="5A3E7348"/>
    <w:rsid w:val="5A4412E8"/>
    <w:rsid w:val="5A457E3E"/>
    <w:rsid w:val="5A4620CF"/>
    <w:rsid w:val="5A4A2677"/>
    <w:rsid w:val="5A5410D3"/>
    <w:rsid w:val="5A6255EF"/>
    <w:rsid w:val="5A63711B"/>
    <w:rsid w:val="5A6B7496"/>
    <w:rsid w:val="5A7575EB"/>
    <w:rsid w:val="5A767910"/>
    <w:rsid w:val="5A772135"/>
    <w:rsid w:val="5A7A7C16"/>
    <w:rsid w:val="5A7C4F26"/>
    <w:rsid w:val="5A800567"/>
    <w:rsid w:val="5A832CF2"/>
    <w:rsid w:val="5A8662A0"/>
    <w:rsid w:val="5A891143"/>
    <w:rsid w:val="5A9467BF"/>
    <w:rsid w:val="5A9A084D"/>
    <w:rsid w:val="5AA241CA"/>
    <w:rsid w:val="5AA24EF7"/>
    <w:rsid w:val="5AA9503D"/>
    <w:rsid w:val="5AAB1367"/>
    <w:rsid w:val="5AB26B9A"/>
    <w:rsid w:val="5AB35FCD"/>
    <w:rsid w:val="5AB750BE"/>
    <w:rsid w:val="5AC36CC2"/>
    <w:rsid w:val="5AC510D8"/>
    <w:rsid w:val="5AD66B9F"/>
    <w:rsid w:val="5ADC3C17"/>
    <w:rsid w:val="5AE168C5"/>
    <w:rsid w:val="5AED76EB"/>
    <w:rsid w:val="5B075410"/>
    <w:rsid w:val="5B0855D8"/>
    <w:rsid w:val="5B0867BA"/>
    <w:rsid w:val="5B0E18F6"/>
    <w:rsid w:val="5B0F5D9A"/>
    <w:rsid w:val="5B140BC7"/>
    <w:rsid w:val="5B2353A2"/>
    <w:rsid w:val="5B24176F"/>
    <w:rsid w:val="5B242EC8"/>
    <w:rsid w:val="5B2B06FA"/>
    <w:rsid w:val="5B2B0F5E"/>
    <w:rsid w:val="5B3E50EE"/>
    <w:rsid w:val="5B466B83"/>
    <w:rsid w:val="5B487F38"/>
    <w:rsid w:val="5B513ACF"/>
    <w:rsid w:val="5B51738B"/>
    <w:rsid w:val="5B5B5CCB"/>
    <w:rsid w:val="5B6065F6"/>
    <w:rsid w:val="5B7027AC"/>
    <w:rsid w:val="5B78498E"/>
    <w:rsid w:val="5B7B536D"/>
    <w:rsid w:val="5B7E4CCE"/>
    <w:rsid w:val="5B834695"/>
    <w:rsid w:val="5B836631"/>
    <w:rsid w:val="5B856138"/>
    <w:rsid w:val="5B8816A9"/>
    <w:rsid w:val="5BA15F7C"/>
    <w:rsid w:val="5BAE3F0A"/>
    <w:rsid w:val="5BB91E87"/>
    <w:rsid w:val="5BB93C16"/>
    <w:rsid w:val="5BBB7B86"/>
    <w:rsid w:val="5BC86AAC"/>
    <w:rsid w:val="5BD213EF"/>
    <w:rsid w:val="5BDC19F5"/>
    <w:rsid w:val="5BDC6E16"/>
    <w:rsid w:val="5BE5290D"/>
    <w:rsid w:val="5BFD481D"/>
    <w:rsid w:val="5C0F7DF3"/>
    <w:rsid w:val="5C157696"/>
    <w:rsid w:val="5C1E3198"/>
    <w:rsid w:val="5C1E3DBB"/>
    <w:rsid w:val="5C207B33"/>
    <w:rsid w:val="5C214C43"/>
    <w:rsid w:val="5C243D06"/>
    <w:rsid w:val="5C2C244B"/>
    <w:rsid w:val="5C311D40"/>
    <w:rsid w:val="5C351E5B"/>
    <w:rsid w:val="5C3830CF"/>
    <w:rsid w:val="5C4260F1"/>
    <w:rsid w:val="5C4D48E8"/>
    <w:rsid w:val="5C545819"/>
    <w:rsid w:val="5C5767DC"/>
    <w:rsid w:val="5C5938EE"/>
    <w:rsid w:val="5C5D0D87"/>
    <w:rsid w:val="5C5F173A"/>
    <w:rsid w:val="5C6043D4"/>
    <w:rsid w:val="5C6338A6"/>
    <w:rsid w:val="5C67190A"/>
    <w:rsid w:val="5C682686"/>
    <w:rsid w:val="5C693288"/>
    <w:rsid w:val="5C700ABB"/>
    <w:rsid w:val="5C764F9A"/>
    <w:rsid w:val="5C7B22F5"/>
    <w:rsid w:val="5C853E3A"/>
    <w:rsid w:val="5C8833E1"/>
    <w:rsid w:val="5C89392A"/>
    <w:rsid w:val="5C9A1694"/>
    <w:rsid w:val="5C9C6988"/>
    <w:rsid w:val="5CA8355D"/>
    <w:rsid w:val="5CA86C63"/>
    <w:rsid w:val="5CA87E83"/>
    <w:rsid w:val="5CAE4944"/>
    <w:rsid w:val="5CBF2236"/>
    <w:rsid w:val="5CCD62C0"/>
    <w:rsid w:val="5CD34BA6"/>
    <w:rsid w:val="5CD74519"/>
    <w:rsid w:val="5CD8173B"/>
    <w:rsid w:val="5CE648D9"/>
    <w:rsid w:val="5CE95E77"/>
    <w:rsid w:val="5CF33A3E"/>
    <w:rsid w:val="5CF52D6E"/>
    <w:rsid w:val="5D017F66"/>
    <w:rsid w:val="5D027239"/>
    <w:rsid w:val="5D07069B"/>
    <w:rsid w:val="5D0730BE"/>
    <w:rsid w:val="5D0B24BC"/>
    <w:rsid w:val="5D0D455B"/>
    <w:rsid w:val="5D1436AA"/>
    <w:rsid w:val="5D164BB5"/>
    <w:rsid w:val="5D283C2E"/>
    <w:rsid w:val="5D2C3602"/>
    <w:rsid w:val="5D320A9E"/>
    <w:rsid w:val="5D406B15"/>
    <w:rsid w:val="5D4E247E"/>
    <w:rsid w:val="5D504585"/>
    <w:rsid w:val="5D515502"/>
    <w:rsid w:val="5D55776D"/>
    <w:rsid w:val="5D5952D4"/>
    <w:rsid w:val="5D62693C"/>
    <w:rsid w:val="5D653AB3"/>
    <w:rsid w:val="5D667D88"/>
    <w:rsid w:val="5D724364"/>
    <w:rsid w:val="5D861BC2"/>
    <w:rsid w:val="5D8714E2"/>
    <w:rsid w:val="5D8D1144"/>
    <w:rsid w:val="5D935CE3"/>
    <w:rsid w:val="5D9B1B67"/>
    <w:rsid w:val="5DA633DF"/>
    <w:rsid w:val="5DA64068"/>
    <w:rsid w:val="5DAA7FFC"/>
    <w:rsid w:val="5DAF73C1"/>
    <w:rsid w:val="5DC765FF"/>
    <w:rsid w:val="5DD903D2"/>
    <w:rsid w:val="5DDF6040"/>
    <w:rsid w:val="5DEA39C9"/>
    <w:rsid w:val="5DEC0A68"/>
    <w:rsid w:val="5DEC4171"/>
    <w:rsid w:val="5DED7262"/>
    <w:rsid w:val="5DFB2606"/>
    <w:rsid w:val="5E006086"/>
    <w:rsid w:val="5E02473D"/>
    <w:rsid w:val="5E08087F"/>
    <w:rsid w:val="5E1D54AF"/>
    <w:rsid w:val="5E1F11DF"/>
    <w:rsid w:val="5E23390B"/>
    <w:rsid w:val="5E251431"/>
    <w:rsid w:val="5E323B4E"/>
    <w:rsid w:val="5E346C10"/>
    <w:rsid w:val="5E410DF4"/>
    <w:rsid w:val="5E437855"/>
    <w:rsid w:val="5E4C36AA"/>
    <w:rsid w:val="5E55537D"/>
    <w:rsid w:val="5E5E3CED"/>
    <w:rsid w:val="5E606DDC"/>
    <w:rsid w:val="5E663377"/>
    <w:rsid w:val="5E6A778C"/>
    <w:rsid w:val="5E736640"/>
    <w:rsid w:val="5E783C56"/>
    <w:rsid w:val="5E813A2D"/>
    <w:rsid w:val="5E9D190F"/>
    <w:rsid w:val="5EA42C9D"/>
    <w:rsid w:val="5EAC56AE"/>
    <w:rsid w:val="5EAF1BD8"/>
    <w:rsid w:val="5EB47832"/>
    <w:rsid w:val="5EBE7343"/>
    <w:rsid w:val="5EC606AC"/>
    <w:rsid w:val="5EC66644"/>
    <w:rsid w:val="5ECA3D86"/>
    <w:rsid w:val="5ECB0038"/>
    <w:rsid w:val="5ED752A6"/>
    <w:rsid w:val="5EE24701"/>
    <w:rsid w:val="5EE4112F"/>
    <w:rsid w:val="5EEC72EF"/>
    <w:rsid w:val="5EF01A2C"/>
    <w:rsid w:val="5EF23378"/>
    <w:rsid w:val="5EF23618"/>
    <w:rsid w:val="5EF534F9"/>
    <w:rsid w:val="5EF657E1"/>
    <w:rsid w:val="5F013C4C"/>
    <w:rsid w:val="5F0C5D20"/>
    <w:rsid w:val="5F131F40"/>
    <w:rsid w:val="5F1B56B7"/>
    <w:rsid w:val="5F1F15E1"/>
    <w:rsid w:val="5F2D102F"/>
    <w:rsid w:val="5F3A7F04"/>
    <w:rsid w:val="5F3E6C4E"/>
    <w:rsid w:val="5F4C0C3F"/>
    <w:rsid w:val="5F56340E"/>
    <w:rsid w:val="5F5C5326"/>
    <w:rsid w:val="5F5C70D4"/>
    <w:rsid w:val="5F614B91"/>
    <w:rsid w:val="5F646549"/>
    <w:rsid w:val="5F730383"/>
    <w:rsid w:val="5F7E4FCF"/>
    <w:rsid w:val="5F812FDF"/>
    <w:rsid w:val="5F8605F5"/>
    <w:rsid w:val="5F9079D3"/>
    <w:rsid w:val="5F974F29"/>
    <w:rsid w:val="5F987DA5"/>
    <w:rsid w:val="5F9C5723"/>
    <w:rsid w:val="5FA840C8"/>
    <w:rsid w:val="5FA8421C"/>
    <w:rsid w:val="5FB07420"/>
    <w:rsid w:val="5FBA24AA"/>
    <w:rsid w:val="5FBE47E7"/>
    <w:rsid w:val="5FBE6BA1"/>
    <w:rsid w:val="5FC30D8D"/>
    <w:rsid w:val="5FC52ECB"/>
    <w:rsid w:val="5FCB4A2C"/>
    <w:rsid w:val="5FD50C35"/>
    <w:rsid w:val="5FDE017C"/>
    <w:rsid w:val="5FE4112F"/>
    <w:rsid w:val="5FE60A39"/>
    <w:rsid w:val="5FE83983"/>
    <w:rsid w:val="5FFE3FFC"/>
    <w:rsid w:val="60067040"/>
    <w:rsid w:val="6014221E"/>
    <w:rsid w:val="60151F2C"/>
    <w:rsid w:val="60174CA1"/>
    <w:rsid w:val="6022315E"/>
    <w:rsid w:val="603B4F3C"/>
    <w:rsid w:val="60435B1B"/>
    <w:rsid w:val="6046196E"/>
    <w:rsid w:val="60486EE9"/>
    <w:rsid w:val="605B3830"/>
    <w:rsid w:val="605D712F"/>
    <w:rsid w:val="606C0651"/>
    <w:rsid w:val="60714E01"/>
    <w:rsid w:val="607521FC"/>
    <w:rsid w:val="60797C86"/>
    <w:rsid w:val="60814396"/>
    <w:rsid w:val="60820189"/>
    <w:rsid w:val="60823A72"/>
    <w:rsid w:val="608E4C42"/>
    <w:rsid w:val="6091780F"/>
    <w:rsid w:val="6098536C"/>
    <w:rsid w:val="60AC7BE7"/>
    <w:rsid w:val="60BA67A8"/>
    <w:rsid w:val="60C05441"/>
    <w:rsid w:val="60C5514D"/>
    <w:rsid w:val="60CF3E73"/>
    <w:rsid w:val="60D332C1"/>
    <w:rsid w:val="60D96503"/>
    <w:rsid w:val="60E107A2"/>
    <w:rsid w:val="60E26EB9"/>
    <w:rsid w:val="60E5134B"/>
    <w:rsid w:val="60E70C20"/>
    <w:rsid w:val="60EE6452"/>
    <w:rsid w:val="60F11A9E"/>
    <w:rsid w:val="60F30995"/>
    <w:rsid w:val="60FE0D20"/>
    <w:rsid w:val="6108344D"/>
    <w:rsid w:val="61096DE8"/>
    <w:rsid w:val="610A74D7"/>
    <w:rsid w:val="610B7004"/>
    <w:rsid w:val="610E08A2"/>
    <w:rsid w:val="611156AB"/>
    <w:rsid w:val="611761FE"/>
    <w:rsid w:val="611B6BAF"/>
    <w:rsid w:val="611D09DC"/>
    <w:rsid w:val="612B03D7"/>
    <w:rsid w:val="612D39AE"/>
    <w:rsid w:val="61384404"/>
    <w:rsid w:val="61393013"/>
    <w:rsid w:val="613B1DF3"/>
    <w:rsid w:val="61453B98"/>
    <w:rsid w:val="61464C6D"/>
    <w:rsid w:val="61522BD9"/>
    <w:rsid w:val="615A005F"/>
    <w:rsid w:val="615A7643"/>
    <w:rsid w:val="61712DFD"/>
    <w:rsid w:val="6175447D"/>
    <w:rsid w:val="619078EB"/>
    <w:rsid w:val="619568CD"/>
    <w:rsid w:val="61972646"/>
    <w:rsid w:val="61A44D62"/>
    <w:rsid w:val="61AE5BE1"/>
    <w:rsid w:val="61AF5431"/>
    <w:rsid w:val="61B054B5"/>
    <w:rsid w:val="61B37A60"/>
    <w:rsid w:val="61C12A4A"/>
    <w:rsid w:val="61CA3822"/>
    <w:rsid w:val="61D33AAA"/>
    <w:rsid w:val="61D86673"/>
    <w:rsid w:val="61D8675C"/>
    <w:rsid w:val="61D87C47"/>
    <w:rsid w:val="61D91307"/>
    <w:rsid w:val="61DE2022"/>
    <w:rsid w:val="61E67129"/>
    <w:rsid w:val="61EE51EB"/>
    <w:rsid w:val="61F30097"/>
    <w:rsid w:val="61F62BC1"/>
    <w:rsid w:val="61FF55EA"/>
    <w:rsid w:val="620327A0"/>
    <w:rsid w:val="62063BE5"/>
    <w:rsid w:val="620D3A12"/>
    <w:rsid w:val="620E74E6"/>
    <w:rsid w:val="621920D2"/>
    <w:rsid w:val="621B59E6"/>
    <w:rsid w:val="62247810"/>
    <w:rsid w:val="6227192F"/>
    <w:rsid w:val="622A68DD"/>
    <w:rsid w:val="62312A9A"/>
    <w:rsid w:val="6232236E"/>
    <w:rsid w:val="62373E29"/>
    <w:rsid w:val="62381D36"/>
    <w:rsid w:val="62402D30"/>
    <w:rsid w:val="62436329"/>
    <w:rsid w:val="6246704D"/>
    <w:rsid w:val="62505A85"/>
    <w:rsid w:val="626824D5"/>
    <w:rsid w:val="627604AD"/>
    <w:rsid w:val="62853BC4"/>
    <w:rsid w:val="629959DA"/>
    <w:rsid w:val="62B15989"/>
    <w:rsid w:val="62B51D3D"/>
    <w:rsid w:val="62B912F6"/>
    <w:rsid w:val="62BC712F"/>
    <w:rsid w:val="62C72269"/>
    <w:rsid w:val="62C76F5B"/>
    <w:rsid w:val="62D2542C"/>
    <w:rsid w:val="62D6719E"/>
    <w:rsid w:val="62DB1DE7"/>
    <w:rsid w:val="62DB55DA"/>
    <w:rsid w:val="62DD677E"/>
    <w:rsid w:val="62E05593"/>
    <w:rsid w:val="62EC77CE"/>
    <w:rsid w:val="62EF6654"/>
    <w:rsid w:val="62F27D53"/>
    <w:rsid w:val="62F339EF"/>
    <w:rsid w:val="62F42CEE"/>
    <w:rsid w:val="6303741A"/>
    <w:rsid w:val="63063EC2"/>
    <w:rsid w:val="63075A6C"/>
    <w:rsid w:val="630C0A45"/>
    <w:rsid w:val="630F26B0"/>
    <w:rsid w:val="631B1054"/>
    <w:rsid w:val="632040B0"/>
    <w:rsid w:val="632070CF"/>
    <w:rsid w:val="63212B0F"/>
    <w:rsid w:val="63224191"/>
    <w:rsid w:val="6324615B"/>
    <w:rsid w:val="6327473F"/>
    <w:rsid w:val="6328453E"/>
    <w:rsid w:val="63284E47"/>
    <w:rsid w:val="632F68AE"/>
    <w:rsid w:val="633B3675"/>
    <w:rsid w:val="63414F5F"/>
    <w:rsid w:val="63442359"/>
    <w:rsid w:val="634B7B8C"/>
    <w:rsid w:val="634E4F86"/>
    <w:rsid w:val="63500CFE"/>
    <w:rsid w:val="635051A2"/>
    <w:rsid w:val="63634ACF"/>
    <w:rsid w:val="6370454A"/>
    <w:rsid w:val="637367DB"/>
    <w:rsid w:val="637716C5"/>
    <w:rsid w:val="637E2742"/>
    <w:rsid w:val="63850A1A"/>
    <w:rsid w:val="639F7736"/>
    <w:rsid w:val="63B240E4"/>
    <w:rsid w:val="63B51331"/>
    <w:rsid w:val="63C31AED"/>
    <w:rsid w:val="63C8749A"/>
    <w:rsid w:val="63D7141F"/>
    <w:rsid w:val="63E23618"/>
    <w:rsid w:val="63EB0A27"/>
    <w:rsid w:val="63EB3499"/>
    <w:rsid w:val="63F82CE2"/>
    <w:rsid w:val="63FC71BB"/>
    <w:rsid w:val="63FD02BC"/>
    <w:rsid w:val="64115A56"/>
    <w:rsid w:val="6413304C"/>
    <w:rsid w:val="64163529"/>
    <w:rsid w:val="6417059F"/>
    <w:rsid w:val="641A130C"/>
    <w:rsid w:val="64216B3E"/>
    <w:rsid w:val="642A59F3"/>
    <w:rsid w:val="64356146"/>
    <w:rsid w:val="6438256E"/>
    <w:rsid w:val="64453DCD"/>
    <w:rsid w:val="644D21F1"/>
    <w:rsid w:val="644F4A85"/>
    <w:rsid w:val="64526CF8"/>
    <w:rsid w:val="64552344"/>
    <w:rsid w:val="64573C01"/>
    <w:rsid w:val="646C47B4"/>
    <w:rsid w:val="647C580F"/>
    <w:rsid w:val="64813139"/>
    <w:rsid w:val="64882719"/>
    <w:rsid w:val="648F51C1"/>
    <w:rsid w:val="64C33371"/>
    <w:rsid w:val="64C508D5"/>
    <w:rsid w:val="64CA4AE0"/>
    <w:rsid w:val="64CF2CAC"/>
    <w:rsid w:val="64D94D23"/>
    <w:rsid w:val="64E21E2A"/>
    <w:rsid w:val="64E90D5C"/>
    <w:rsid w:val="64F16B42"/>
    <w:rsid w:val="64F17BB8"/>
    <w:rsid w:val="64F64E1E"/>
    <w:rsid w:val="65155B50"/>
    <w:rsid w:val="6516756C"/>
    <w:rsid w:val="651A2071"/>
    <w:rsid w:val="651C2C15"/>
    <w:rsid w:val="65207517"/>
    <w:rsid w:val="652D32B2"/>
    <w:rsid w:val="652E32C1"/>
    <w:rsid w:val="65311667"/>
    <w:rsid w:val="6532710A"/>
    <w:rsid w:val="65333AF7"/>
    <w:rsid w:val="653A1C66"/>
    <w:rsid w:val="65403849"/>
    <w:rsid w:val="65497C58"/>
    <w:rsid w:val="65515201"/>
    <w:rsid w:val="65525D3F"/>
    <w:rsid w:val="65543B27"/>
    <w:rsid w:val="65554CF2"/>
    <w:rsid w:val="65583040"/>
    <w:rsid w:val="655D1190"/>
    <w:rsid w:val="655F5481"/>
    <w:rsid w:val="656B0071"/>
    <w:rsid w:val="656B62C3"/>
    <w:rsid w:val="65774AEF"/>
    <w:rsid w:val="657B402C"/>
    <w:rsid w:val="65841FF3"/>
    <w:rsid w:val="65853035"/>
    <w:rsid w:val="658D65D9"/>
    <w:rsid w:val="6595448C"/>
    <w:rsid w:val="6596271A"/>
    <w:rsid w:val="65A2780B"/>
    <w:rsid w:val="65A840EC"/>
    <w:rsid w:val="65A9003F"/>
    <w:rsid w:val="65BD14AC"/>
    <w:rsid w:val="65CE0600"/>
    <w:rsid w:val="65D40B74"/>
    <w:rsid w:val="65D75DB4"/>
    <w:rsid w:val="65E120E1"/>
    <w:rsid w:val="65E6197A"/>
    <w:rsid w:val="65E762A0"/>
    <w:rsid w:val="65FB510C"/>
    <w:rsid w:val="65FD0C85"/>
    <w:rsid w:val="66091638"/>
    <w:rsid w:val="661F2121"/>
    <w:rsid w:val="66225477"/>
    <w:rsid w:val="6624460D"/>
    <w:rsid w:val="662F72F1"/>
    <w:rsid w:val="663171ED"/>
    <w:rsid w:val="66342B59"/>
    <w:rsid w:val="66387226"/>
    <w:rsid w:val="664803B2"/>
    <w:rsid w:val="6655053F"/>
    <w:rsid w:val="665F2363"/>
    <w:rsid w:val="66645656"/>
    <w:rsid w:val="66753BB7"/>
    <w:rsid w:val="66983206"/>
    <w:rsid w:val="66A219E9"/>
    <w:rsid w:val="66A43797"/>
    <w:rsid w:val="66B446D0"/>
    <w:rsid w:val="66B45A48"/>
    <w:rsid w:val="66B62E46"/>
    <w:rsid w:val="66C613AF"/>
    <w:rsid w:val="66C702D7"/>
    <w:rsid w:val="66CB62AD"/>
    <w:rsid w:val="66CC2D91"/>
    <w:rsid w:val="66CD64BE"/>
    <w:rsid w:val="66CF7B5B"/>
    <w:rsid w:val="66D439F4"/>
    <w:rsid w:val="66D77332"/>
    <w:rsid w:val="66E26E7C"/>
    <w:rsid w:val="66E64DE3"/>
    <w:rsid w:val="66E76E3A"/>
    <w:rsid w:val="66F531E4"/>
    <w:rsid w:val="66F81333"/>
    <w:rsid w:val="66F955D8"/>
    <w:rsid w:val="670267B3"/>
    <w:rsid w:val="6703252B"/>
    <w:rsid w:val="670D3579"/>
    <w:rsid w:val="67160427"/>
    <w:rsid w:val="671E3A06"/>
    <w:rsid w:val="672A6B6F"/>
    <w:rsid w:val="67337BD3"/>
    <w:rsid w:val="673607F7"/>
    <w:rsid w:val="67382070"/>
    <w:rsid w:val="673A1869"/>
    <w:rsid w:val="673D77EB"/>
    <w:rsid w:val="673F6A38"/>
    <w:rsid w:val="673F7CF7"/>
    <w:rsid w:val="674F751F"/>
    <w:rsid w:val="67541762"/>
    <w:rsid w:val="675F6AA9"/>
    <w:rsid w:val="6760263B"/>
    <w:rsid w:val="67685AAA"/>
    <w:rsid w:val="676A4358"/>
    <w:rsid w:val="67714454"/>
    <w:rsid w:val="67753F04"/>
    <w:rsid w:val="67762CFD"/>
    <w:rsid w:val="67850D53"/>
    <w:rsid w:val="678910AD"/>
    <w:rsid w:val="679062A8"/>
    <w:rsid w:val="67941CD9"/>
    <w:rsid w:val="67957627"/>
    <w:rsid w:val="67960D6F"/>
    <w:rsid w:val="67BD28CF"/>
    <w:rsid w:val="67C30E23"/>
    <w:rsid w:val="67CA4DF7"/>
    <w:rsid w:val="67CE732F"/>
    <w:rsid w:val="67D0240D"/>
    <w:rsid w:val="67D75E41"/>
    <w:rsid w:val="67E20522"/>
    <w:rsid w:val="67EA1AD0"/>
    <w:rsid w:val="67ED7463"/>
    <w:rsid w:val="67FA6354"/>
    <w:rsid w:val="680B5A60"/>
    <w:rsid w:val="680B7847"/>
    <w:rsid w:val="681C1AF7"/>
    <w:rsid w:val="68200A8B"/>
    <w:rsid w:val="6826090E"/>
    <w:rsid w:val="683E723F"/>
    <w:rsid w:val="684626D0"/>
    <w:rsid w:val="685011A3"/>
    <w:rsid w:val="68511574"/>
    <w:rsid w:val="685A43CD"/>
    <w:rsid w:val="685B3AEB"/>
    <w:rsid w:val="685D1202"/>
    <w:rsid w:val="68633E7C"/>
    <w:rsid w:val="68640422"/>
    <w:rsid w:val="68725BBA"/>
    <w:rsid w:val="68826B64"/>
    <w:rsid w:val="688776AE"/>
    <w:rsid w:val="68920A52"/>
    <w:rsid w:val="689E42BA"/>
    <w:rsid w:val="68A40C5C"/>
    <w:rsid w:val="68A71A23"/>
    <w:rsid w:val="68A90854"/>
    <w:rsid w:val="68B3377A"/>
    <w:rsid w:val="68BE36F5"/>
    <w:rsid w:val="68CB020A"/>
    <w:rsid w:val="68CD3317"/>
    <w:rsid w:val="68CF4DBB"/>
    <w:rsid w:val="68DD6EC2"/>
    <w:rsid w:val="68DE0952"/>
    <w:rsid w:val="68E55B66"/>
    <w:rsid w:val="68EE5135"/>
    <w:rsid w:val="68F346E7"/>
    <w:rsid w:val="68F40280"/>
    <w:rsid w:val="68FA4198"/>
    <w:rsid w:val="6903445C"/>
    <w:rsid w:val="69097A5D"/>
    <w:rsid w:val="69124CA8"/>
    <w:rsid w:val="691C1682"/>
    <w:rsid w:val="691F4825"/>
    <w:rsid w:val="69274744"/>
    <w:rsid w:val="692A3D9F"/>
    <w:rsid w:val="694620F5"/>
    <w:rsid w:val="694A62AD"/>
    <w:rsid w:val="695452C0"/>
    <w:rsid w:val="6965739F"/>
    <w:rsid w:val="69687CB8"/>
    <w:rsid w:val="696B1659"/>
    <w:rsid w:val="69811D98"/>
    <w:rsid w:val="69826161"/>
    <w:rsid w:val="69881DEB"/>
    <w:rsid w:val="69887F40"/>
    <w:rsid w:val="698D7E01"/>
    <w:rsid w:val="698F00A6"/>
    <w:rsid w:val="6997012A"/>
    <w:rsid w:val="69971724"/>
    <w:rsid w:val="699B547D"/>
    <w:rsid w:val="699E63D3"/>
    <w:rsid w:val="69A44530"/>
    <w:rsid w:val="69A45AFF"/>
    <w:rsid w:val="69AB369D"/>
    <w:rsid w:val="69AE4085"/>
    <w:rsid w:val="69AF5A11"/>
    <w:rsid w:val="69AF5C43"/>
    <w:rsid w:val="69B30239"/>
    <w:rsid w:val="69B47B0D"/>
    <w:rsid w:val="69B77069"/>
    <w:rsid w:val="69BA77D6"/>
    <w:rsid w:val="69BB52B8"/>
    <w:rsid w:val="69D501AF"/>
    <w:rsid w:val="69D941E8"/>
    <w:rsid w:val="69E623BC"/>
    <w:rsid w:val="69EB6361"/>
    <w:rsid w:val="69ED4D72"/>
    <w:rsid w:val="69EF5A65"/>
    <w:rsid w:val="69FA7C16"/>
    <w:rsid w:val="6A041507"/>
    <w:rsid w:val="6A112DE9"/>
    <w:rsid w:val="6A195E92"/>
    <w:rsid w:val="6A292E07"/>
    <w:rsid w:val="6A2B301D"/>
    <w:rsid w:val="6A394154"/>
    <w:rsid w:val="6A472B90"/>
    <w:rsid w:val="6A537EE7"/>
    <w:rsid w:val="6A5A04F7"/>
    <w:rsid w:val="6A621A1F"/>
    <w:rsid w:val="6A660BDA"/>
    <w:rsid w:val="6A7B079B"/>
    <w:rsid w:val="6A861D62"/>
    <w:rsid w:val="6A894F86"/>
    <w:rsid w:val="6A8E5706"/>
    <w:rsid w:val="6A9A00F3"/>
    <w:rsid w:val="6A9A7FAA"/>
    <w:rsid w:val="6A9F07BD"/>
    <w:rsid w:val="6AA656A7"/>
    <w:rsid w:val="6AAA2382"/>
    <w:rsid w:val="6AAC571A"/>
    <w:rsid w:val="6AC00E5F"/>
    <w:rsid w:val="6AC124E1"/>
    <w:rsid w:val="6AC326FD"/>
    <w:rsid w:val="6AC50223"/>
    <w:rsid w:val="6AD761A9"/>
    <w:rsid w:val="6AE74CD8"/>
    <w:rsid w:val="6AFC176B"/>
    <w:rsid w:val="6AFE54E3"/>
    <w:rsid w:val="6B001715"/>
    <w:rsid w:val="6B1127D0"/>
    <w:rsid w:val="6B13721E"/>
    <w:rsid w:val="6B1E7934"/>
    <w:rsid w:val="6B2A74D8"/>
    <w:rsid w:val="6B2C2E63"/>
    <w:rsid w:val="6B2E1C4B"/>
    <w:rsid w:val="6B3277EB"/>
    <w:rsid w:val="6B3E73CB"/>
    <w:rsid w:val="6B3F079E"/>
    <w:rsid w:val="6B454EC0"/>
    <w:rsid w:val="6B455087"/>
    <w:rsid w:val="6B4A7C33"/>
    <w:rsid w:val="6B5411E0"/>
    <w:rsid w:val="6B612A97"/>
    <w:rsid w:val="6B6B19DF"/>
    <w:rsid w:val="6B714110"/>
    <w:rsid w:val="6B760662"/>
    <w:rsid w:val="6B770A17"/>
    <w:rsid w:val="6B7C465A"/>
    <w:rsid w:val="6B8137BE"/>
    <w:rsid w:val="6B814D7B"/>
    <w:rsid w:val="6B82603A"/>
    <w:rsid w:val="6B8729D0"/>
    <w:rsid w:val="6B9A2520"/>
    <w:rsid w:val="6B9B6825"/>
    <w:rsid w:val="6BAC486F"/>
    <w:rsid w:val="6BB007FB"/>
    <w:rsid w:val="6BC06753"/>
    <w:rsid w:val="6BC352E3"/>
    <w:rsid w:val="6BCC7E83"/>
    <w:rsid w:val="6BD73091"/>
    <w:rsid w:val="6BD9385B"/>
    <w:rsid w:val="6BDA597E"/>
    <w:rsid w:val="6BE91CF0"/>
    <w:rsid w:val="6BE94A51"/>
    <w:rsid w:val="6BEC4A73"/>
    <w:rsid w:val="6BEC66B2"/>
    <w:rsid w:val="6BF84629"/>
    <w:rsid w:val="6BF9629B"/>
    <w:rsid w:val="6BFD5EDF"/>
    <w:rsid w:val="6C00528B"/>
    <w:rsid w:val="6C054650"/>
    <w:rsid w:val="6C07661A"/>
    <w:rsid w:val="6C0862AF"/>
    <w:rsid w:val="6C103EB6"/>
    <w:rsid w:val="6C1C2410"/>
    <w:rsid w:val="6C315445"/>
    <w:rsid w:val="6C382398"/>
    <w:rsid w:val="6C3C41BD"/>
    <w:rsid w:val="6C3D29D2"/>
    <w:rsid w:val="6C460E1A"/>
    <w:rsid w:val="6C4909E0"/>
    <w:rsid w:val="6C4A61B1"/>
    <w:rsid w:val="6C501D6F"/>
    <w:rsid w:val="6C5D26DE"/>
    <w:rsid w:val="6C622382"/>
    <w:rsid w:val="6C677795"/>
    <w:rsid w:val="6C691082"/>
    <w:rsid w:val="6C693F2B"/>
    <w:rsid w:val="6C6A0E20"/>
    <w:rsid w:val="6C700663"/>
    <w:rsid w:val="6C731F01"/>
    <w:rsid w:val="6C7932A2"/>
    <w:rsid w:val="6C8C7FEB"/>
    <w:rsid w:val="6C963FAA"/>
    <w:rsid w:val="6C9C301F"/>
    <w:rsid w:val="6CA200F0"/>
    <w:rsid w:val="6CA37B2A"/>
    <w:rsid w:val="6CA468B0"/>
    <w:rsid w:val="6CA91731"/>
    <w:rsid w:val="6CAD0F6F"/>
    <w:rsid w:val="6CB24DA3"/>
    <w:rsid w:val="6CB322FE"/>
    <w:rsid w:val="6CB41AEA"/>
    <w:rsid w:val="6CB955FE"/>
    <w:rsid w:val="6CC16AA3"/>
    <w:rsid w:val="6CD07C76"/>
    <w:rsid w:val="6CEF6C42"/>
    <w:rsid w:val="6CF566AA"/>
    <w:rsid w:val="6CFA7A86"/>
    <w:rsid w:val="6CFF5B6E"/>
    <w:rsid w:val="6D0B3EE8"/>
    <w:rsid w:val="6D120E68"/>
    <w:rsid w:val="6D184208"/>
    <w:rsid w:val="6D1F53E9"/>
    <w:rsid w:val="6D204007"/>
    <w:rsid w:val="6D216ED1"/>
    <w:rsid w:val="6D223B4B"/>
    <w:rsid w:val="6D3708FB"/>
    <w:rsid w:val="6D392623"/>
    <w:rsid w:val="6D3D757A"/>
    <w:rsid w:val="6D4134C6"/>
    <w:rsid w:val="6D432333"/>
    <w:rsid w:val="6D452A01"/>
    <w:rsid w:val="6D4572B9"/>
    <w:rsid w:val="6D4D7E6C"/>
    <w:rsid w:val="6D54633F"/>
    <w:rsid w:val="6D5A7CFC"/>
    <w:rsid w:val="6D693A29"/>
    <w:rsid w:val="6D6D3C44"/>
    <w:rsid w:val="6D7332E9"/>
    <w:rsid w:val="6D7C06AA"/>
    <w:rsid w:val="6D886367"/>
    <w:rsid w:val="6DA70D9E"/>
    <w:rsid w:val="6DAE1F47"/>
    <w:rsid w:val="6DB97DE8"/>
    <w:rsid w:val="6DBB3B60"/>
    <w:rsid w:val="6DBB6C35"/>
    <w:rsid w:val="6DCC3677"/>
    <w:rsid w:val="6DD17ACD"/>
    <w:rsid w:val="6DD21AF4"/>
    <w:rsid w:val="6DD62748"/>
    <w:rsid w:val="6DDE74AB"/>
    <w:rsid w:val="6DE34098"/>
    <w:rsid w:val="6DE36F8E"/>
    <w:rsid w:val="6DE54739"/>
    <w:rsid w:val="6DEE183F"/>
    <w:rsid w:val="6DF606F4"/>
    <w:rsid w:val="6DFD67BE"/>
    <w:rsid w:val="6E2176BC"/>
    <w:rsid w:val="6E272FA3"/>
    <w:rsid w:val="6E3256D6"/>
    <w:rsid w:val="6E3C5272"/>
    <w:rsid w:val="6E42512A"/>
    <w:rsid w:val="6E461759"/>
    <w:rsid w:val="6E4C5EDF"/>
    <w:rsid w:val="6E520FF1"/>
    <w:rsid w:val="6E5816EA"/>
    <w:rsid w:val="6E586D17"/>
    <w:rsid w:val="6E5B49FB"/>
    <w:rsid w:val="6E5D0773"/>
    <w:rsid w:val="6E5D69C5"/>
    <w:rsid w:val="6E636C8B"/>
    <w:rsid w:val="6E6B78E5"/>
    <w:rsid w:val="6E7056A6"/>
    <w:rsid w:val="6E7D2BC3"/>
    <w:rsid w:val="6E810905"/>
    <w:rsid w:val="6E8801C2"/>
    <w:rsid w:val="6E954C46"/>
    <w:rsid w:val="6E9D193C"/>
    <w:rsid w:val="6E9D5013"/>
    <w:rsid w:val="6EA14B04"/>
    <w:rsid w:val="6EA63EC8"/>
    <w:rsid w:val="6EAF2E14"/>
    <w:rsid w:val="6EB932E3"/>
    <w:rsid w:val="6EBD1212"/>
    <w:rsid w:val="6EBD7464"/>
    <w:rsid w:val="6EBF142E"/>
    <w:rsid w:val="6EC62FC8"/>
    <w:rsid w:val="6EC75FF5"/>
    <w:rsid w:val="6ECB6975"/>
    <w:rsid w:val="6ECB7DD2"/>
    <w:rsid w:val="6ECC2CBC"/>
    <w:rsid w:val="6ED00F45"/>
    <w:rsid w:val="6ED8679F"/>
    <w:rsid w:val="6EDF546E"/>
    <w:rsid w:val="6EE333A2"/>
    <w:rsid w:val="6EE50496"/>
    <w:rsid w:val="6EEC66C3"/>
    <w:rsid w:val="6EED7D49"/>
    <w:rsid w:val="6EFA5161"/>
    <w:rsid w:val="6F0109AF"/>
    <w:rsid w:val="6F02075A"/>
    <w:rsid w:val="6F083EBF"/>
    <w:rsid w:val="6F262186"/>
    <w:rsid w:val="6F282B2F"/>
    <w:rsid w:val="6F2861E7"/>
    <w:rsid w:val="6F336454"/>
    <w:rsid w:val="6F3911E0"/>
    <w:rsid w:val="6F5649E3"/>
    <w:rsid w:val="6F613C7B"/>
    <w:rsid w:val="6F6B66D1"/>
    <w:rsid w:val="6F6D3BF0"/>
    <w:rsid w:val="6F6F075E"/>
    <w:rsid w:val="6F762D13"/>
    <w:rsid w:val="6F773AB6"/>
    <w:rsid w:val="6F7B1FDB"/>
    <w:rsid w:val="6F7E3319"/>
    <w:rsid w:val="6F814935"/>
    <w:rsid w:val="6F817C95"/>
    <w:rsid w:val="6F8D2AC6"/>
    <w:rsid w:val="6F937C88"/>
    <w:rsid w:val="6F940806"/>
    <w:rsid w:val="6F993436"/>
    <w:rsid w:val="6FA0300D"/>
    <w:rsid w:val="6FA7439C"/>
    <w:rsid w:val="6FAD4DD7"/>
    <w:rsid w:val="6FB1521A"/>
    <w:rsid w:val="6FD66A2F"/>
    <w:rsid w:val="6FED5C73"/>
    <w:rsid w:val="6FF132B7"/>
    <w:rsid w:val="6FF1412A"/>
    <w:rsid w:val="6FF670D1"/>
    <w:rsid w:val="6FFD3FBC"/>
    <w:rsid w:val="700215D2"/>
    <w:rsid w:val="70031467"/>
    <w:rsid w:val="70071274"/>
    <w:rsid w:val="700D591C"/>
    <w:rsid w:val="700F0193"/>
    <w:rsid w:val="701A2FB7"/>
    <w:rsid w:val="70255BCD"/>
    <w:rsid w:val="703D08A3"/>
    <w:rsid w:val="703D6AAE"/>
    <w:rsid w:val="70435E05"/>
    <w:rsid w:val="705C33D8"/>
    <w:rsid w:val="7064228D"/>
    <w:rsid w:val="70744886"/>
    <w:rsid w:val="707A6030"/>
    <w:rsid w:val="708446DD"/>
    <w:rsid w:val="7084648B"/>
    <w:rsid w:val="709072E9"/>
    <w:rsid w:val="70916EA8"/>
    <w:rsid w:val="70947F48"/>
    <w:rsid w:val="709A7FDA"/>
    <w:rsid w:val="709F32C5"/>
    <w:rsid w:val="70A628A5"/>
    <w:rsid w:val="70A96DEF"/>
    <w:rsid w:val="70AB3A18"/>
    <w:rsid w:val="70AC541E"/>
    <w:rsid w:val="70AC7E5F"/>
    <w:rsid w:val="70AE6490"/>
    <w:rsid w:val="70B328CC"/>
    <w:rsid w:val="70B40776"/>
    <w:rsid w:val="70BA1EAD"/>
    <w:rsid w:val="70CB0F61"/>
    <w:rsid w:val="70CC354D"/>
    <w:rsid w:val="70D6480D"/>
    <w:rsid w:val="70D87DE9"/>
    <w:rsid w:val="70E64A94"/>
    <w:rsid w:val="70EA43C9"/>
    <w:rsid w:val="70F33611"/>
    <w:rsid w:val="70FA7E6A"/>
    <w:rsid w:val="710475CC"/>
    <w:rsid w:val="71123A97"/>
    <w:rsid w:val="71186BD3"/>
    <w:rsid w:val="71197215"/>
    <w:rsid w:val="711A6DEF"/>
    <w:rsid w:val="712C351F"/>
    <w:rsid w:val="712F7C44"/>
    <w:rsid w:val="71305C4F"/>
    <w:rsid w:val="71493FB5"/>
    <w:rsid w:val="71557E27"/>
    <w:rsid w:val="715875F4"/>
    <w:rsid w:val="716224A0"/>
    <w:rsid w:val="71686675"/>
    <w:rsid w:val="716D0006"/>
    <w:rsid w:val="717A0A47"/>
    <w:rsid w:val="717A163C"/>
    <w:rsid w:val="717D38B6"/>
    <w:rsid w:val="717E737E"/>
    <w:rsid w:val="718948CA"/>
    <w:rsid w:val="71923BDE"/>
    <w:rsid w:val="7196395B"/>
    <w:rsid w:val="7197233B"/>
    <w:rsid w:val="71993EC9"/>
    <w:rsid w:val="71A008BC"/>
    <w:rsid w:val="71B41CA9"/>
    <w:rsid w:val="71BD62E7"/>
    <w:rsid w:val="71BF5F26"/>
    <w:rsid w:val="71C12F3C"/>
    <w:rsid w:val="71C34EE5"/>
    <w:rsid w:val="71C3774A"/>
    <w:rsid w:val="71CB2DF5"/>
    <w:rsid w:val="71DD100E"/>
    <w:rsid w:val="71E568C7"/>
    <w:rsid w:val="71EB3F01"/>
    <w:rsid w:val="71FC7F37"/>
    <w:rsid w:val="720122A5"/>
    <w:rsid w:val="72020BC4"/>
    <w:rsid w:val="72031059"/>
    <w:rsid w:val="720535FB"/>
    <w:rsid w:val="720641E8"/>
    <w:rsid w:val="7209306F"/>
    <w:rsid w:val="720A6E64"/>
    <w:rsid w:val="720D24B0"/>
    <w:rsid w:val="721154EB"/>
    <w:rsid w:val="721B08A3"/>
    <w:rsid w:val="72220C05"/>
    <w:rsid w:val="72320509"/>
    <w:rsid w:val="72330169"/>
    <w:rsid w:val="723B45AE"/>
    <w:rsid w:val="724908DA"/>
    <w:rsid w:val="724C4099"/>
    <w:rsid w:val="724F4299"/>
    <w:rsid w:val="725B146D"/>
    <w:rsid w:val="726B335F"/>
    <w:rsid w:val="726E2F4F"/>
    <w:rsid w:val="72722946"/>
    <w:rsid w:val="72743969"/>
    <w:rsid w:val="72777469"/>
    <w:rsid w:val="727C377E"/>
    <w:rsid w:val="72866FFF"/>
    <w:rsid w:val="728D55B3"/>
    <w:rsid w:val="728F55E6"/>
    <w:rsid w:val="7298621E"/>
    <w:rsid w:val="729D1D36"/>
    <w:rsid w:val="72A24713"/>
    <w:rsid w:val="72A44BC2"/>
    <w:rsid w:val="72B62B48"/>
    <w:rsid w:val="72B73CFC"/>
    <w:rsid w:val="72B820BC"/>
    <w:rsid w:val="72B8241C"/>
    <w:rsid w:val="72B8353D"/>
    <w:rsid w:val="72B90E34"/>
    <w:rsid w:val="72BA6194"/>
    <w:rsid w:val="72BE5D2D"/>
    <w:rsid w:val="72D072AA"/>
    <w:rsid w:val="72D13AA2"/>
    <w:rsid w:val="72D444F2"/>
    <w:rsid w:val="72D66DF2"/>
    <w:rsid w:val="72E651DB"/>
    <w:rsid w:val="72EE5E3E"/>
    <w:rsid w:val="72F773E8"/>
    <w:rsid w:val="72F90D7F"/>
    <w:rsid w:val="72FC5EB8"/>
    <w:rsid w:val="730B69EF"/>
    <w:rsid w:val="73104006"/>
    <w:rsid w:val="73137331"/>
    <w:rsid w:val="73267CCD"/>
    <w:rsid w:val="73296495"/>
    <w:rsid w:val="7333715E"/>
    <w:rsid w:val="733B0348"/>
    <w:rsid w:val="733C6D0F"/>
    <w:rsid w:val="734359DE"/>
    <w:rsid w:val="73450874"/>
    <w:rsid w:val="73487D96"/>
    <w:rsid w:val="73530396"/>
    <w:rsid w:val="735D64BE"/>
    <w:rsid w:val="736363AB"/>
    <w:rsid w:val="7366558A"/>
    <w:rsid w:val="73683251"/>
    <w:rsid w:val="73691ECF"/>
    <w:rsid w:val="736F0761"/>
    <w:rsid w:val="73754FC3"/>
    <w:rsid w:val="73855156"/>
    <w:rsid w:val="738A025C"/>
    <w:rsid w:val="738C7E25"/>
    <w:rsid w:val="738D3A12"/>
    <w:rsid w:val="73962443"/>
    <w:rsid w:val="73B0192A"/>
    <w:rsid w:val="73BB0416"/>
    <w:rsid w:val="73CC57C7"/>
    <w:rsid w:val="73CF2C9C"/>
    <w:rsid w:val="73D93569"/>
    <w:rsid w:val="73DB194D"/>
    <w:rsid w:val="73DB1DF8"/>
    <w:rsid w:val="73DB2866"/>
    <w:rsid w:val="73DD4830"/>
    <w:rsid w:val="73E24CBA"/>
    <w:rsid w:val="73E27084"/>
    <w:rsid w:val="73ED4347"/>
    <w:rsid w:val="73F94BF8"/>
    <w:rsid w:val="741C0650"/>
    <w:rsid w:val="74257F85"/>
    <w:rsid w:val="742740AC"/>
    <w:rsid w:val="742C1D42"/>
    <w:rsid w:val="742C4E6F"/>
    <w:rsid w:val="742D6E39"/>
    <w:rsid w:val="7431035B"/>
    <w:rsid w:val="74312486"/>
    <w:rsid w:val="74312566"/>
    <w:rsid w:val="74334DA5"/>
    <w:rsid w:val="74367A9C"/>
    <w:rsid w:val="74370DD0"/>
    <w:rsid w:val="74381A66"/>
    <w:rsid w:val="743E1047"/>
    <w:rsid w:val="743E2DF5"/>
    <w:rsid w:val="74422802"/>
    <w:rsid w:val="744B2C59"/>
    <w:rsid w:val="745634C3"/>
    <w:rsid w:val="745725CB"/>
    <w:rsid w:val="745919DD"/>
    <w:rsid w:val="745F3497"/>
    <w:rsid w:val="74616590"/>
    <w:rsid w:val="746218BD"/>
    <w:rsid w:val="7462350C"/>
    <w:rsid w:val="746C5BB4"/>
    <w:rsid w:val="747D5F07"/>
    <w:rsid w:val="748A74A6"/>
    <w:rsid w:val="74A97AB4"/>
    <w:rsid w:val="74AA2238"/>
    <w:rsid w:val="74AF0AA4"/>
    <w:rsid w:val="74B0476D"/>
    <w:rsid w:val="74C01A5C"/>
    <w:rsid w:val="74C23A26"/>
    <w:rsid w:val="74C26BD2"/>
    <w:rsid w:val="74CC3E27"/>
    <w:rsid w:val="74CE5F27"/>
    <w:rsid w:val="74DC02EC"/>
    <w:rsid w:val="74DC161E"/>
    <w:rsid w:val="74DC4AE7"/>
    <w:rsid w:val="74DD6F92"/>
    <w:rsid w:val="74E305FF"/>
    <w:rsid w:val="74E60208"/>
    <w:rsid w:val="74E74C59"/>
    <w:rsid w:val="74EA1DCC"/>
    <w:rsid w:val="74EB03B8"/>
    <w:rsid w:val="74EC1A09"/>
    <w:rsid w:val="74F6025A"/>
    <w:rsid w:val="74F66A02"/>
    <w:rsid w:val="74F94B08"/>
    <w:rsid w:val="74FD1237"/>
    <w:rsid w:val="750162FC"/>
    <w:rsid w:val="750E0A19"/>
    <w:rsid w:val="75140341"/>
    <w:rsid w:val="75157FF9"/>
    <w:rsid w:val="751A116C"/>
    <w:rsid w:val="751D2A0A"/>
    <w:rsid w:val="7529336F"/>
    <w:rsid w:val="75297601"/>
    <w:rsid w:val="752A30FE"/>
    <w:rsid w:val="752C5ED8"/>
    <w:rsid w:val="752D15DC"/>
    <w:rsid w:val="75466405"/>
    <w:rsid w:val="75525EEC"/>
    <w:rsid w:val="75542A4A"/>
    <w:rsid w:val="75550963"/>
    <w:rsid w:val="755C1784"/>
    <w:rsid w:val="755E0092"/>
    <w:rsid w:val="75741AFD"/>
    <w:rsid w:val="75747A5D"/>
    <w:rsid w:val="757640BC"/>
    <w:rsid w:val="75851160"/>
    <w:rsid w:val="7589009F"/>
    <w:rsid w:val="758D5DE2"/>
    <w:rsid w:val="759727BC"/>
    <w:rsid w:val="75A26FE5"/>
    <w:rsid w:val="75B551D4"/>
    <w:rsid w:val="75B93A72"/>
    <w:rsid w:val="75BA16C1"/>
    <w:rsid w:val="75BD69D6"/>
    <w:rsid w:val="75BF7F65"/>
    <w:rsid w:val="75C43B7C"/>
    <w:rsid w:val="75D0327E"/>
    <w:rsid w:val="75D25EEA"/>
    <w:rsid w:val="75E374AA"/>
    <w:rsid w:val="75FE3376"/>
    <w:rsid w:val="76083CB8"/>
    <w:rsid w:val="76120E50"/>
    <w:rsid w:val="76152D43"/>
    <w:rsid w:val="761958C7"/>
    <w:rsid w:val="76223DA4"/>
    <w:rsid w:val="76277A8C"/>
    <w:rsid w:val="762C2802"/>
    <w:rsid w:val="762C5571"/>
    <w:rsid w:val="762D259F"/>
    <w:rsid w:val="76312C11"/>
    <w:rsid w:val="76440DE5"/>
    <w:rsid w:val="764566BC"/>
    <w:rsid w:val="764B5214"/>
    <w:rsid w:val="764F4A5D"/>
    <w:rsid w:val="765133B5"/>
    <w:rsid w:val="76556A1B"/>
    <w:rsid w:val="765772AE"/>
    <w:rsid w:val="766C14B7"/>
    <w:rsid w:val="76733A97"/>
    <w:rsid w:val="76742AFE"/>
    <w:rsid w:val="767555BD"/>
    <w:rsid w:val="76787C73"/>
    <w:rsid w:val="768409CD"/>
    <w:rsid w:val="768F3AE1"/>
    <w:rsid w:val="768F3CE7"/>
    <w:rsid w:val="76940144"/>
    <w:rsid w:val="76985484"/>
    <w:rsid w:val="76AA4771"/>
    <w:rsid w:val="76AC6B33"/>
    <w:rsid w:val="76B63116"/>
    <w:rsid w:val="76BA5152"/>
    <w:rsid w:val="76BD6CE7"/>
    <w:rsid w:val="76CF5F86"/>
    <w:rsid w:val="76D15FEF"/>
    <w:rsid w:val="76DC35F5"/>
    <w:rsid w:val="76E3003A"/>
    <w:rsid w:val="76EA32EC"/>
    <w:rsid w:val="76EE55E8"/>
    <w:rsid w:val="76F105F2"/>
    <w:rsid w:val="76F53C3E"/>
    <w:rsid w:val="77057BFA"/>
    <w:rsid w:val="770F7473"/>
    <w:rsid w:val="77124CF2"/>
    <w:rsid w:val="771E077E"/>
    <w:rsid w:val="77245C00"/>
    <w:rsid w:val="77270C09"/>
    <w:rsid w:val="773A26E8"/>
    <w:rsid w:val="773F16B0"/>
    <w:rsid w:val="774B7D02"/>
    <w:rsid w:val="774E704F"/>
    <w:rsid w:val="775038B6"/>
    <w:rsid w:val="77550B81"/>
    <w:rsid w:val="77564BC9"/>
    <w:rsid w:val="7760678E"/>
    <w:rsid w:val="776641EE"/>
    <w:rsid w:val="777E4056"/>
    <w:rsid w:val="778B4487"/>
    <w:rsid w:val="77A141A5"/>
    <w:rsid w:val="77A43BCF"/>
    <w:rsid w:val="77A700E0"/>
    <w:rsid w:val="77AD62C7"/>
    <w:rsid w:val="77BD0494"/>
    <w:rsid w:val="77C02B22"/>
    <w:rsid w:val="77C16217"/>
    <w:rsid w:val="77C4184D"/>
    <w:rsid w:val="77C50110"/>
    <w:rsid w:val="77C918DC"/>
    <w:rsid w:val="77F5069A"/>
    <w:rsid w:val="77FF289B"/>
    <w:rsid w:val="78085BF3"/>
    <w:rsid w:val="78104AA8"/>
    <w:rsid w:val="78173248"/>
    <w:rsid w:val="781A7DC9"/>
    <w:rsid w:val="781B6892"/>
    <w:rsid w:val="781C3740"/>
    <w:rsid w:val="78251F22"/>
    <w:rsid w:val="782558CA"/>
    <w:rsid w:val="78262EF4"/>
    <w:rsid w:val="783666EB"/>
    <w:rsid w:val="78413B36"/>
    <w:rsid w:val="784A7B40"/>
    <w:rsid w:val="78526E6F"/>
    <w:rsid w:val="785C7CED"/>
    <w:rsid w:val="78635A04"/>
    <w:rsid w:val="7864712D"/>
    <w:rsid w:val="786A0221"/>
    <w:rsid w:val="786F5C73"/>
    <w:rsid w:val="787C25AA"/>
    <w:rsid w:val="78802E1F"/>
    <w:rsid w:val="7881154F"/>
    <w:rsid w:val="7883171E"/>
    <w:rsid w:val="78856643"/>
    <w:rsid w:val="78933672"/>
    <w:rsid w:val="789456D9"/>
    <w:rsid w:val="789A0AEB"/>
    <w:rsid w:val="78A04FA1"/>
    <w:rsid w:val="78A21BA4"/>
    <w:rsid w:val="78A55EBF"/>
    <w:rsid w:val="78A9607B"/>
    <w:rsid w:val="78B21618"/>
    <w:rsid w:val="78B71B29"/>
    <w:rsid w:val="78C20D14"/>
    <w:rsid w:val="78C7110A"/>
    <w:rsid w:val="78C75C55"/>
    <w:rsid w:val="78CF4963"/>
    <w:rsid w:val="78DA7590"/>
    <w:rsid w:val="78DB50B6"/>
    <w:rsid w:val="78E9257C"/>
    <w:rsid w:val="78EF56AE"/>
    <w:rsid w:val="7901183A"/>
    <w:rsid w:val="79060FEB"/>
    <w:rsid w:val="79066BFD"/>
    <w:rsid w:val="790945BB"/>
    <w:rsid w:val="791245FC"/>
    <w:rsid w:val="791530E8"/>
    <w:rsid w:val="791F1447"/>
    <w:rsid w:val="79297BCF"/>
    <w:rsid w:val="79336CA0"/>
    <w:rsid w:val="79382272"/>
    <w:rsid w:val="793B08DA"/>
    <w:rsid w:val="79407FB0"/>
    <w:rsid w:val="79472081"/>
    <w:rsid w:val="794F0A18"/>
    <w:rsid w:val="794F7830"/>
    <w:rsid w:val="79507D1A"/>
    <w:rsid w:val="79726150"/>
    <w:rsid w:val="7983695E"/>
    <w:rsid w:val="79872766"/>
    <w:rsid w:val="798C63B0"/>
    <w:rsid w:val="799314ED"/>
    <w:rsid w:val="799462D7"/>
    <w:rsid w:val="799A2BCF"/>
    <w:rsid w:val="799F5161"/>
    <w:rsid w:val="79A12902"/>
    <w:rsid w:val="79A454A8"/>
    <w:rsid w:val="79AA6E92"/>
    <w:rsid w:val="79C62F3C"/>
    <w:rsid w:val="79C86957"/>
    <w:rsid w:val="79D02741"/>
    <w:rsid w:val="79D54068"/>
    <w:rsid w:val="7A006F7B"/>
    <w:rsid w:val="7A171D2E"/>
    <w:rsid w:val="7A2F56B9"/>
    <w:rsid w:val="7A3031E0"/>
    <w:rsid w:val="7A314D2E"/>
    <w:rsid w:val="7A373338"/>
    <w:rsid w:val="7A382ACE"/>
    <w:rsid w:val="7A3E4E57"/>
    <w:rsid w:val="7A4B1DC7"/>
    <w:rsid w:val="7A4D7E67"/>
    <w:rsid w:val="7A5D6228"/>
    <w:rsid w:val="7A606BB1"/>
    <w:rsid w:val="7A61783D"/>
    <w:rsid w:val="7A63515A"/>
    <w:rsid w:val="7A686510"/>
    <w:rsid w:val="7A721A4A"/>
    <w:rsid w:val="7A7E33B3"/>
    <w:rsid w:val="7A951295"/>
    <w:rsid w:val="7A9C567A"/>
    <w:rsid w:val="7AA43818"/>
    <w:rsid w:val="7AA8610A"/>
    <w:rsid w:val="7AA921BC"/>
    <w:rsid w:val="7AB75161"/>
    <w:rsid w:val="7AC208AB"/>
    <w:rsid w:val="7ACA3DAA"/>
    <w:rsid w:val="7ACA40C1"/>
    <w:rsid w:val="7ACE1054"/>
    <w:rsid w:val="7ADD3367"/>
    <w:rsid w:val="7AE8631E"/>
    <w:rsid w:val="7AF67F85"/>
    <w:rsid w:val="7B0B1EC8"/>
    <w:rsid w:val="7B14665D"/>
    <w:rsid w:val="7B167E8D"/>
    <w:rsid w:val="7B261A74"/>
    <w:rsid w:val="7B420F6E"/>
    <w:rsid w:val="7B4C4049"/>
    <w:rsid w:val="7B4E1B6F"/>
    <w:rsid w:val="7B5A1010"/>
    <w:rsid w:val="7B5A2E4F"/>
    <w:rsid w:val="7B5F5B2A"/>
    <w:rsid w:val="7B615D46"/>
    <w:rsid w:val="7B643141"/>
    <w:rsid w:val="7B665FEF"/>
    <w:rsid w:val="7B7F441F"/>
    <w:rsid w:val="7B971B35"/>
    <w:rsid w:val="7B9B0885"/>
    <w:rsid w:val="7B9F686F"/>
    <w:rsid w:val="7BA63759"/>
    <w:rsid w:val="7BA75723"/>
    <w:rsid w:val="7BB30A2B"/>
    <w:rsid w:val="7BBA3565"/>
    <w:rsid w:val="7BBA5457"/>
    <w:rsid w:val="7BBB040A"/>
    <w:rsid w:val="7BC65236"/>
    <w:rsid w:val="7BCD518A"/>
    <w:rsid w:val="7BD866A0"/>
    <w:rsid w:val="7BDE7397"/>
    <w:rsid w:val="7BE20509"/>
    <w:rsid w:val="7BE424D4"/>
    <w:rsid w:val="7BE6624C"/>
    <w:rsid w:val="7BE75B20"/>
    <w:rsid w:val="7BF001E1"/>
    <w:rsid w:val="7BF71B23"/>
    <w:rsid w:val="7C003D20"/>
    <w:rsid w:val="7C016BE2"/>
    <w:rsid w:val="7C024B39"/>
    <w:rsid w:val="7C185455"/>
    <w:rsid w:val="7C204C08"/>
    <w:rsid w:val="7C2421F8"/>
    <w:rsid w:val="7C2569EB"/>
    <w:rsid w:val="7C2B1EB0"/>
    <w:rsid w:val="7C353558"/>
    <w:rsid w:val="7C3A399A"/>
    <w:rsid w:val="7C3E6F5F"/>
    <w:rsid w:val="7C3E7E36"/>
    <w:rsid w:val="7C4125A3"/>
    <w:rsid w:val="7C414F7A"/>
    <w:rsid w:val="7C506205"/>
    <w:rsid w:val="7C5E10FE"/>
    <w:rsid w:val="7C635AEE"/>
    <w:rsid w:val="7C6438BF"/>
    <w:rsid w:val="7C662EE9"/>
    <w:rsid w:val="7C70767F"/>
    <w:rsid w:val="7C745605"/>
    <w:rsid w:val="7C7D2F74"/>
    <w:rsid w:val="7C81180F"/>
    <w:rsid w:val="7C911B22"/>
    <w:rsid w:val="7C9178F5"/>
    <w:rsid w:val="7C97356A"/>
    <w:rsid w:val="7C975798"/>
    <w:rsid w:val="7CA675EF"/>
    <w:rsid w:val="7CAA6089"/>
    <w:rsid w:val="7CD12A58"/>
    <w:rsid w:val="7CDB3443"/>
    <w:rsid w:val="7CDE33C7"/>
    <w:rsid w:val="7CE12E60"/>
    <w:rsid w:val="7CE51182"/>
    <w:rsid w:val="7CF97FB7"/>
    <w:rsid w:val="7CFA6439"/>
    <w:rsid w:val="7D0D0EC9"/>
    <w:rsid w:val="7D0D47B0"/>
    <w:rsid w:val="7D1868D9"/>
    <w:rsid w:val="7D1B0177"/>
    <w:rsid w:val="7D1B0525"/>
    <w:rsid w:val="7D1E62F9"/>
    <w:rsid w:val="7D200A14"/>
    <w:rsid w:val="7D256900"/>
    <w:rsid w:val="7D2C6836"/>
    <w:rsid w:val="7D313D4F"/>
    <w:rsid w:val="7D380C49"/>
    <w:rsid w:val="7D3C5597"/>
    <w:rsid w:val="7D4B6E54"/>
    <w:rsid w:val="7D4E5C6B"/>
    <w:rsid w:val="7D5D253D"/>
    <w:rsid w:val="7D6108CC"/>
    <w:rsid w:val="7D6852C5"/>
    <w:rsid w:val="7D7A7EA3"/>
    <w:rsid w:val="7D940116"/>
    <w:rsid w:val="7D962AE8"/>
    <w:rsid w:val="7D965F61"/>
    <w:rsid w:val="7DAB14FB"/>
    <w:rsid w:val="7DAB587A"/>
    <w:rsid w:val="7DAC7F8A"/>
    <w:rsid w:val="7DB079CB"/>
    <w:rsid w:val="7DB409BF"/>
    <w:rsid w:val="7DBE5FFD"/>
    <w:rsid w:val="7DBF0B02"/>
    <w:rsid w:val="7DBF3679"/>
    <w:rsid w:val="7DC00864"/>
    <w:rsid w:val="7DD253DA"/>
    <w:rsid w:val="7DD4356A"/>
    <w:rsid w:val="7DDF6212"/>
    <w:rsid w:val="7DF65E09"/>
    <w:rsid w:val="7DF7163D"/>
    <w:rsid w:val="7DF74740"/>
    <w:rsid w:val="7E037D80"/>
    <w:rsid w:val="7E1626EC"/>
    <w:rsid w:val="7E206AA6"/>
    <w:rsid w:val="7E277E5D"/>
    <w:rsid w:val="7E2D12F4"/>
    <w:rsid w:val="7E2D1F10"/>
    <w:rsid w:val="7E2E1C89"/>
    <w:rsid w:val="7E2F209F"/>
    <w:rsid w:val="7E2F2B06"/>
    <w:rsid w:val="7E301A00"/>
    <w:rsid w:val="7E3363F2"/>
    <w:rsid w:val="7E3430BA"/>
    <w:rsid w:val="7E3647B6"/>
    <w:rsid w:val="7E390A72"/>
    <w:rsid w:val="7E453FDF"/>
    <w:rsid w:val="7E46472C"/>
    <w:rsid w:val="7E494870"/>
    <w:rsid w:val="7E4F5492"/>
    <w:rsid w:val="7E53749D"/>
    <w:rsid w:val="7E734D64"/>
    <w:rsid w:val="7E773C5A"/>
    <w:rsid w:val="7E7B6CF6"/>
    <w:rsid w:val="7E8104AE"/>
    <w:rsid w:val="7E841CD2"/>
    <w:rsid w:val="7E8C051D"/>
    <w:rsid w:val="7E8F2BCB"/>
    <w:rsid w:val="7E9B0944"/>
    <w:rsid w:val="7EA149FF"/>
    <w:rsid w:val="7EAE7F54"/>
    <w:rsid w:val="7EB40DB1"/>
    <w:rsid w:val="7EC45543"/>
    <w:rsid w:val="7ECB36F3"/>
    <w:rsid w:val="7ECC04C8"/>
    <w:rsid w:val="7ED35A00"/>
    <w:rsid w:val="7ED975C7"/>
    <w:rsid w:val="7EDE680C"/>
    <w:rsid w:val="7EE36B61"/>
    <w:rsid w:val="7EE917DA"/>
    <w:rsid w:val="7EEC37A0"/>
    <w:rsid w:val="7EF020BD"/>
    <w:rsid w:val="7EFB200E"/>
    <w:rsid w:val="7EFD6EF0"/>
    <w:rsid w:val="7F0114D4"/>
    <w:rsid w:val="7F083FDD"/>
    <w:rsid w:val="7F0B2AB8"/>
    <w:rsid w:val="7F130925"/>
    <w:rsid w:val="7F1720F2"/>
    <w:rsid w:val="7F1B620C"/>
    <w:rsid w:val="7F282C0B"/>
    <w:rsid w:val="7F2B084A"/>
    <w:rsid w:val="7F2F2DFE"/>
    <w:rsid w:val="7F3449FA"/>
    <w:rsid w:val="7F405C73"/>
    <w:rsid w:val="7F43670F"/>
    <w:rsid w:val="7F4E2109"/>
    <w:rsid w:val="7F5A53F2"/>
    <w:rsid w:val="7F617B4A"/>
    <w:rsid w:val="7F71407E"/>
    <w:rsid w:val="7F7818B1"/>
    <w:rsid w:val="7F782BB0"/>
    <w:rsid w:val="7F7E49ED"/>
    <w:rsid w:val="7F871AF4"/>
    <w:rsid w:val="7F8E06CB"/>
    <w:rsid w:val="7F947D6D"/>
    <w:rsid w:val="7FA04963"/>
    <w:rsid w:val="7FA42507"/>
    <w:rsid w:val="7FAA7EC1"/>
    <w:rsid w:val="7FAC301F"/>
    <w:rsid w:val="7FAD0A4F"/>
    <w:rsid w:val="7FAF4BA7"/>
    <w:rsid w:val="7FB06974"/>
    <w:rsid w:val="7FCA0673"/>
    <w:rsid w:val="7FD30895"/>
    <w:rsid w:val="7FD73D04"/>
    <w:rsid w:val="7FDC6CAC"/>
    <w:rsid w:val="7FFE1FEE"/>
    <w:rsid w:val="7FFF7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1"/>
    <w:autoRedefine/>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1"/>
    <w:basedOn w:val="1"/>
    <w:next w:val="1"/>
    <w:link w:val="60"/>
    <w:autoRedefine/>
    <w:qFormat/>
    <w:uiPriority w:val="0"/>
    <w:pPr>
      <w:keepNext/>
      <w:keepLines/>
      <w:spacing w:before="340" w:after="330" w:line="560" w:lineRule="exact"/>
      <w:jc w:val="center"/>
      <w:outlineLvl w:val="0"/>
    </w:pPr>
    <w:rPr>
      <w:b/>
      <w:bCs/>
      <w:kern w:val="44"/>
      <w:sz w:val="36"/>
      <w:szCs w:val="44"/>
    </w:rPr>
  </w:style>
  <w:style w:type="paragraph" w:styleId="3">
    <w:name w:val="heading 2"/>
    <w:basedOn w:val="1"/>
    <w:next w:val="4"/>
    <w:link w:val="77"/>
    <w:autoRedefine/>
    <w:qFormat/>
    <w:uiPriority w:val="0"/>
    <w:pPr>
      <w:keepNext/>
      <w:keepLines/>
      <w:spacing w:before="260" w:after="260" w:line="413" w:lineRule="auto"/>
      <w:outlineLvl w:val="1"/>
    </w:pPr>
    <w:rPr>
      <w:rFonts w:ascii="Arial" w:hAnsi="Arial"/>
      <w:b/>
      <w:bCs/>
      <w:sz w:val="30"/>
      <w:szCs w:val="32"/>
    </w:rPr>
  </w:style>
  <w:style w:type="paragraph" w:styleId="5">
    <w:name w:val="heading 3"/>
    <w:basedOn w:val="1"/>
    <w:next w:val="1"/>
    <w:link w:val="78"/>
    <w:autoRedefine/>
    <w:unhideWhenUsed/>
    <w:qFormat/>
    <w:uiPriority w:val="0"/>
    <w:pPr>
      <w:keepNext/>
      <w:keepLines/>
      <w:spacing w:before="260" w:after="260" w:line="413" w:lineRule="auto"/>
      <w:outlineLvl w:val="2"/>
    </w:pPr>
    <w:rPr>
      <w:b/>
      <w:sz w:val="28"/>
    </w:rPr>
  </w:style>
  <w:style w:type="paragraph" w:styleId="6">
    <w:name w:val="heading 4"/>
    <w:basedOn w:val="1"/>
    <w:next w:val="1"/>
    <w:autoRedefine/>
    <w:qFormat/>
    <w:uiPriority w:val="99"/>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autoRedefine/>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pPr>
    <w:rPr>
      <w:rFonts w:hint="eastAsia" w:ascii="宋体" w:hAnsi="宋体" w:eastAsia="宋体" w:cs="宋体"/>
      <w:b/>
      <w:kern w:val="0"/>
      <w:sz w:val="24"/>
      <w:szCs w:val="24"/>
      <w:lang w:val="en-US" w:eastAsia="zh-CN" w:bidi="ar"/>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rPr>
      <w:sz w:val="21"/>
    </w:rPr>
  </w:style>
  <w:style w:type="paragraph" w:styleId="8">
    <w:name w:val="toa heading"/>
    <w:basedOn w:val="1"/>
    <w:next w:val="1"/>
    <w:autoRedefine/>
    <w:semiHidden/>
    <w:qFormat/>
    <w:uiPriority w:val="0"/>
    <w:pPr>
      <w:spacing w:before="120"/>
    </w:pPr>
    <w:rPr>
      <w:rFonts w:ascii="Arial" w:hAnsi="Arial"/>
      <w:sz w:val="24"/>
      <w:szCs w:val="20"/>
    </w:rPr>
  </w:style>
  <w:style w:type="paragraph" w:styleId="9">
    <w:name w:val="annotation text"/>
    <w:basedOn w:val="1"/>
    <w:autoRedefine/>
    <w:qFormat/>
    <w:uiPriority w:val="0"/>
    <w:pPr>
      <w:jc w:val="left"/>
    </w:pPr>
  </w:style>
  <w:style w:type="paragraph" w:styleId="10">
    <w:name w:val="Body Text"/>
    <w:basedOn w:val="1"/>
    <w:next w:val="1"/>
    <w:autoRedefine/>
    <w:qFormat/>
    <w:uiPriority w:val="0"/>
    <w:pPr>
      <w:spacing w:after="120"/>
    </w:pPr>
    <w:rPr>
      <w:sz w:val="21"/>
      <w:szCs w:val="24"/>
    </w:rPr>
  </w:style>
  <w:style w:type="paragraph" w:styleId="11">
    <w:name w:val="Body Text Indent"/>
    <w:basedOn w:val="1"/>
    <w:next w:val="12"/>
    <w:autoRedefine/>
    <w:qFormat/>
    <w:uiPriority w:val="0"/>
    <w:pPr>
      <w:spacing w:line="200" w:lineRule="exact"/>
      <w:ind w:firstLine="301"/>
    </w:pPr>
    <w:rPr>
      <w:rFonts w:ascii="宋体" w:hAnsi="Courier New"/>
      <w:spacing w:val="-4"/>
      <w:sz w:val="18"/>
    </w:rPr>
  </w:style>
  <w:style w:type="paragraph" w:customStyle="1" w:styleId="12">
    <w:name w:val="样式 正文文本缩进 + 首行缩进:  2 字符 行距: 1.5 倍行距"/>
    <w:basedOn w:val="11"/>
    <w:autoRedefine/>
    <w:qFormat/>
    <w:uiPriority w:val="0"/>
    <w:pPr>
      <w:ind w:firstLine="560"/>
    </w:pPr>
    <w:rPr>
      <w:rFonts w:eastAsia="仿宋_GB2312"/>
    </w:rPr>
  </w:style>
  <w:style w:type="paragraph" w:styleId="13">
    <w:name w:val="Block Text"/>
    <w:basedOn w:val="1"/>
    <w:autoRedefine/>
    <w:qFormat/>
    <w:uiPriority w:val="0"/>
    <w:pPr>
      <w:widowControl/>
      <w:tabs>
        <w:tab w:val="right" w:pos="8640"/>
      </w:tabs>
      <w:spacing w:after="120" w:afterLines="0"/>
      <w:ind w:left="1440" w:leftChars="700" w:right="1440"/>
      <w:jc w:val="both"/>
    </w:pPr>
    <w:rPr>
      <w:rFonts w:ascii="Garamond" w:hAnsi="Garamond" w:eastAsia="Times New Roman" w:cs="Times New Roman"/>
      <w:spacing w:val="-2"/>
      <w:kern w:val="0"/>
      <w:sz w:val="24"/>
      <w:lang w:val="en-US" w:eastAsia="zh-CN" w:bidi="ar-SA"/>
    </w:rPr>
  </w:style>
  <w:style w:type="paragraph" w:styleId="14">
    <w:name w:val="toc 3"/>
    <w:basedOn w:val="1"/>
    <w:next w:val="1"/>
    <w:autoRedefine/>
    <w:qFormat/>
    <w:uiPriority w:val="0"/>
    <w:pPr>
      <w:ind w:left="840" w:leftChars="400"/>
    </w:pPr>
  </w:style>
  <w:style w:type="paragraph" w:styleId="15">
    <w:name w:val="Plain Text"/>
    <w:basedOn w:val="1"/>
    <w:next w:val="1"/>
    <w:autoRedefine/>
    <w:unhideWhenUsed/>
    <w:qFormat/>
    <w:uiPriority w:val="0"/>
    <w:rPr>
      <w:rFonts w:ascii="宋体" w:hAnsi="Courier New" w:cstheme="minorBidi"/>
      <w:sz w:val="21"/>
    </w:rPr>
  </w:style>
  <w:style w:type="paragraph" w:styleId="16">
    <w:name w:val="Body Text Indent 2"/>
    <w:basedOn w:val="1"/>
    <w:next w:val="1"/>
    <w:autoRedefine/>
    <w:qFormat/>
    <w:uiPriority w:val="99"/>
    <w:pPr>
      <w:overflowPunct w:val="0"/>
      <w:autoSpaceDE w:val="0"/>
      <w:autoSpaceDN w:val="0"/>
      <w:adjustRightInd w:val="0"/>
      <w:spacing w:line="360" w:lineRule="auto"/>
      <w:ind w:firstLine="555"/>
      <w:textAlignment w:val="baseline"/>
    </w:pPr>
    <w:rPr>
      <w:rFonts w:ascii="宋体" w:hAnsi="MS Sans Serif"/>
      <w:spacing w:val="12"/>
      <w:sz w:val="24"/>
      <w:szCs w:val="22"/>
    </w:rPr>
  </w:style>
  <w:style w:type="paragraph" w:styleId="17">
    <w:name w:val="footer"/>
    <w:basedOn w:val="1"/>
    <w:autoRedefine/>
    <w:qFormat/>
    <w:uiPriority w:val="99"/>
    <w:pPr>
      <w:tabs>
        <w:tab w:val="center" w:pos="4153"/>
        <w:tab w:val="right" w:pos="8306"/>
      </w:tabs>
      <w:snapToGrid w:val="0"/>
      <w:jc w:val="left"/>
    </w:pPr>
    <w:rPr>
      <w:sz w:val="18"/>
      <w:szCs w:val="18"/>
    </w:rPr>
  </w:style>
  <w:style w:type="paragraph" w:styleId="18">
    <w:name w:val="envelope return"/>
    <w:basedOn w:val="1"/>
    <w:autoRedefine/>
    <w:qFormat/>
    <w:uiPriority w:val="0"/>
    <w:pPr>
      <w:snapToGrid w:val="0"/>
    </w:pPr>
    <w:rPr>
      <w:rFonts w:ascii="Arial" w:hAnsi="Arial"/>
    </w:rPr>
  </w:style>
  <w:style w:type="paragraph" w:styleId="19">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rPr>
      <w:sz w:val="21"/>
      <w:szCs w:val="24"/>
    </w:rPr>
  </w:style>
  <w:style w:type="paragraph" w:styleId="21">
    <w:name w:val="Body Text Indent 3"/>
    <w:basedOn w:val="1"/>
    <w:autoRedefine/>
    <w:qFormat/>
    <w:uiPriority w:val="0"/>
    <w:pPr>
      <w:spacing w:after="120" w:afterLines="0" w:afterAutospacing="0"/>
      <w:ind w:left="420" w:leftChars="200"/>
    </w:pPr>
    <w:rPr>
      <w:sz w:val="16"/>
    </w:rPr>
  </w:style>
  <w:style w:type="paragraph" w:styleId="22">
    <w:name w:val="toc 2"/>
    <w:basedOn w:val="1"/>
    <w:next w:val="1"/>
    <w:autoRedefine/>
    <w:qFormat/>
    <w:uiPriority w:val="39"/>
    <w:pPr>
      <w:ind w:left="420" w:leftChars="200"/>
    </w:pPr>
    <w:rPr>
      <w:sz w:val="21"/>
      <w:szCs w:val="24"/>
    </w:rPr>
  </w:style>
  <w:style w:type="paragraph" w:styleId="23">
    <w:name w:val="Body Text 2"/>
    <w:basedOn w:val="1"/>
    <w:autoRedefine/>
    <w:qFormat/>
    <w:uiPriority w:val="0"/>
    <w:rPr>
      <w:rFonts w:ascii="楷体_GB2312" w:hAnsi="Copperplate Gothic Bold" w:eastAsia="楷体_GB2312"/>
      <w:kern w:val="2"/>
      <w:sz w:val="28"/>
    </w:rPr>
  </w:style>
  <w:style w:type="paragraph" w:styleId="24">
    <w:name w:val="Normal (Web)"/>
    <w:basedOn w:val="1"/>
    <w:autoRedefine/>
    <w:qFormat/>
    <w:uiPriority w:val="99"/>
    <w:rPr>
      <w:szCs w:val="24"/>
    </w:rPr>
  </w:style>
  <w:style w:type="paragraph" w:styleId="25">
    <w:name w:val="Body Text First Indent"/>
    <w:basedOn w:val="10"/>
    <w:next w:val="1"/>
    <w:autoRedefine/>
    <w:qFormat/>
    <w:uiPriority w:val="0"/>
    <w:pPr>
      <w:ind w:firstLine="420" w:firstLineChars="100"/>
    </w:pPr>
    <w:rPr>
      <w:rFonts w:eastAsia="仿宋_GB2312"/>
      <w:sz w:val="28"/>
    </w:rPr>
  </w:style>
  <w:style w:type="paragraph" w:styleId="26">
    <w:name w:val="Body Text First Indent 2"/>
    <w:basedOn w:val="11"/>
    <w:next w:val="1"/>
    <w:autoRedefine/>
    <w:qFormat/>
    <w:uiPriority w:val="0"/>
    <w:pPr>
      <w:ind w:firstLine="420" w:firstLineChars="200"/>
    </w:pPr>
    <w:rPr>
      <w:rFonts w:ascii="仿宋_GB2312" w:eastAsia="仿宋_GB2312" w:cs="宋体"/>
      <w:szCs w:val="21"/>
    </w:rPr>
  </w:style>
  <w:style w:type="table" w:styleId="28">
    <w:name w:val="Table Grid"/>
    <w:basedOn w:val="27"/>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0">
    <w:name w:val="Strong"/>
    <w:basedOn w:val="31"/>
    <w:link w:val="1"/>
    <w:autoRedefine/>
    <w:qFormat/>
    <w:uiPriority w:val="0"/>
    <w:rPr>
      <w:b/>
      <w:bCs/>
      <w:sz w:val="20"/>
      <w:szCs w:val="20"/>
    </w:rPr>
  </w:style>
  <w:style w:type="character" w:customStyle="1" w:styleId="31">
    <w:name w:val="NormalCharacter"/>
    <w:link w:val="1"/>
    <w:autoRedefine/>
    <w:qFormat/>
    <w:uiPriority w:val="0"/>
    <w:rPr>
      <w:rFonts w:ascii="Times New Roman" w:hAnsi="Times New Roman" w:eastAsia="宋体" w:cs="Times New Roman"/>
      <w:kern w:val="2"/>
      <w:sz w:val="24"/>
      <w:lang w:val="en-US" w:eastAsia="zh-CN" w:bidi="ar-SA"/>
    </w:rPr>
  </w:style>
  <w:style w:type="character" w:styleId="32">
    <w:name w:val="page number"/>
    <w:basedOn w:val="29"/>
    <w:autoRedefine/>
    <w:qFormat/>
    <w:uiPriority w:val="0"/>
  </w:style>
  <w:style w:type="character" w:styleId="33">
    <w:name w:val="FollowedHyperlink"/>
    <w:basedOn w:val="29"/>
    <w:autoRedefine/>
    <w:qFormat/>
    <w:uiPriority w:val="0"/>
    <w:rPr>
      <w:color w:val="333333"/>
      <w:u w:val="none"/>
    </w:rPr>
  </w:style>
  <w:style w:type="character" w:styleId="34">
    <w:name w:val="Emphasis"/>
    <w:basedOn w:val="29"/>
    <w:autoRedefine/>
    <w:qFormat/>
    <w:uiPriority w:val="0"/>
  </w:style>
  <w:style w:type="character" w:styleId="35">
    <w:name w:val="HTML Definition"/>
    <w:basedOn w:val="29"/>
    <w:autoRedefine/>
    <w:qFormat/>
    <w:uiPriority w:val="0"/>
    <w:rPr>
      <w:i/>
      <w:iCs/>
    </w:rPr>
  </w:style>
  <w:style w:type="character" w:styleId="36">
    <w:name w:val="HTML Typewriter"/>
    <w:basedOn w:val="29"/>
    <w:autoRedefine/>
    <w:qFormat/>
    <w:uiPriority w:val="0"/>
    <w:rPr>
      <w:rFonts w:hint="default" w:ascii="monospace" w:hAnsi="monospace" w:eastAsia="monospace" w:cs="monospace"/>
      <w:sz w:val="20"/>
    </w:rPr>
  </w:style>
  <w:style w:type="character" w:styleId="37">
    <w:name w:val="HTML Acronym"/>
    <w:basedOn w:val="29"/>
    <w:autoRedefine/>
    <w:qFormat/>
    <w:uiPriority w:val="0"/>
  </w:style>
  <w:style w:type="character" w:styleId="38">
    <w:name w:val="HTML Variable"/>
    <w:basedOn w:val="29"/>
    <w:autoRedefine/>
    <w:qFormat/>
    <w:uiPriority w:val="0"/>
  </w:style>
  <w:style w:type="character" w:styleId="39">
    <w:name w:val="Hyperlink"/>
    <w:basedOn w:val="29"/>
    <w:autoRedefine/>
    <w:qFormat/>
    <w:uiPriority w:val="0"/>
    <w:rPr>
      <w:color w:val="0563C1" w:themeColor="hyperlink"/>
      <w:u w:val="single"/>
      <w14:textFill>
        <w14:solidFill>
          <w14:schemeClr w14:val="hlink"/>
        </w14:solidFill>
      </w14:textFill>
    </w:rPr>
  </w:style>
  <w:style w:type="character" w:styleId="40">
    <w:name w:val="HTML Code"/>
    <w:basedOn w:val="29"/>
    <w:autoRedefine/>
    <w:qFormat/>
    <w:uiPriority w:val="0"/>
    <w:rPr>
      <w:rFonts w:ascii="Consolas" w:hAnsi="Consolas" w:eastAsia="Consolas" w:cs="Consolas"/>
      <w:color w:val="C7254E"/>
      <w:sz w:val="21"/>
      <w:szCs w:val="21"/>
      <w:shd w:val="clear" w:color="auto" w:fill="F9F2F4"/>
    </w:rPr>
  </w:style>
  <w:style w:type="character" w:styleId="41">
    <w:name w:val="HTML Cite"/>
    <w:basedOn w:val="29"/>
    <w:autoRedefine/>
    <w:qFormat/>
    <w:uiPriority w:val="0"/>
    <w:rPr>
      <w:color w:val="008000"/>
    </w:rPr>
  </w:style>
  <w:style w:type="character" w:styleId="42">
    <w:name w:val="HTML Keyboard"/>
    <w:basedOn w:val="29"/>
    <w:autoRedefine/>
    <w:qFormat/>
    <w:uiPriority w:val="0"/>
    <w:rPr>
      <w:rFonts w:hint="default" w:ascii="Consolas" w:hAnsi="Consolas" w:eastAsia="Consolas" w:cs="Consolas"/>
      <w:color w:val="FFFFFF"/>
      <w:sz w:val="21"/>
      <w:szCs w:val="21"/>
      <w:bdr w:val="single" w:color="CCCCCC" w:sz="6" w:space="0"/>
      <w:shd w:val="clear" w:color="auto" w:fill="333333"/>
    </w:rPr>
  </w:style>
  <w:style w:type="character" w:styleId="43">
    <w:name w:val="HTML Sample"/>
    <w:basedOn w:val="29"/>
    <w:autoRedefine/>
    <w:qFormat/>
    <w:uiPriority w:val="0"/>
    <w:rPr>
      <w:rFonts w:hint="default" w:ascii="Consolas" w:hAnsi="Consolas" w:eastAsia="Consolas" w:cs="Consolas"/>
      <w:sz w:val="21"/>
      <w:szCs w:val="21"/>
    </w:rPr>
  </w:style>
  <w:style w:type="paragraph" w:customStyle="1" w:styleId="44">
    <w:name w:val="RFI Heading 2nd Level Char"/>
    <w:next w:val="45"/>
    <w:autoRedefine/>
    <w:qFormat/>
    <w:uiPriority w:val="0"/>
    <w:pPr>
      <w:spacing w:before="240" w:after="240"/>
      <w:ind w:left="1152" w:hanging="1152"/>
      <w:jc w:val="both"/>
      <w:outlineLvl w:val="1"/>
    </w:pPr>
    <w:rPr>
      <w:rFonts w:ascii="Arial (W1)" w:hAnsi="Calibri" w:eastAsia="Times New Roman" w:cs="Times New Roman"/>
      <w:b/>
      <w:color w:val="3366FF"/>
      <w:kern w:val="2"/>
      <w:sz w:val="21"/>
      <w:lang w:val="en-US" w:eastAsia="zh-CN" w:bidi="ar-SA"/>
    </w:rPr>
  </w:style>
  <w:style w:type="paragraph" w:customStyle="1" w:styleId="45">
    <w:name w:val="Normal 0.51"/>
    <w:next w:val="1"/>
    <w:autoRedefine/>
    <w:qFormat/>
    <w:uiPriority w:val="0"/>
    <w:pPr>
      <w:spacing w:before="180" w:after="120"/>
      <w:ind w:left="720"/>
      <w:jc w:val="both"/>
    </w:pPr>
    <w:rPr>
      <w:rFonts w:ascii="Times New Roman" w:hAnsi="Times New Roman" w:eastAsia="宋体" w:cs="Times New Roman"/>
      <w:kern w:val="2"/>
      <w:sz w:val="24"/>
      <w:lang w:val="en-US" w:eastAsia="zh-CN" w:bidi="ar-SA"/>
    </w:rPr>
  </w:style>
  <w:style w:type="paragraph" w:customStyle="1" w:styleId="46">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47">
    <w:name w:val="标题 2 Char"/>
    <w:link w:val="3"/>
    <w:autoRedefine/>
    <w:qFormat/>
    <w:uiPriority w:val="0"/>
    <w:rPr>
      <w:rFonts w:ascii="Arial" w:hAnsi="Arial" w:eastAsia="新宋体"/>
      <w:b/>
      <w:bCs/>
      <w:sz w:val="32"/>
      <w:szCs w:val="32"/>
    </w:rPr>
  </w:style>
  <w:style w:type="character" w:customStyle="1" w:styleId="48">
    <w:name w:val="标题 1 Char"/>
    <w:basedOn w:val="29"/>
    <w:link w:val="2"/>
    <w:autoRedefine/>
    <w:qFormat/>
    <w:uiPriority w:val="0"/>
    <w:rPr>
      <w:rFonts w:ascii="Times New Roman" w:hAnsi="Times New Roman" w:eastAsia="宋体"/>
      <w:b/>
      <w:bCs/>
      <w:kern w:val="44"/>
      <w:sz w:val="36"/>
      <w:szCs w:val="44"/>
    </w:rPr>
  </w:style>
  <w:style w:type="paragraph" w:customStyle="1" w:styleId="49">
    <w:name w:val="正文缩进1"/>
    <w:basedOn w:val="1"/>
    <w:autoRedefine/>
    <w:qFormat/>
    <w:uiPriority w:val="0"/>
    <w:pPr>
      <w:ind w:firstLine="200" w:firstLineChars="200"/>
    </w:pPr>
  </w:style>
  <w:style w:type="paragraph" w:customStyle="1" w:styleId="50">
    <w:name w:val="首行缩进"/>
    <w:basedOn w:val="1"/>
    <w:autoRedefine/>
    <w:qFormat/>
    <w:uiPriority w:val="0"/>
    <w:pPr>
      <w:spacing w:line="360" w:lineRule="auto"/>
      <w:ind w:firstLine="480" w:firstLineChars="200"/>
    </w:pPr>
    <w:rPr>
      <w:sz w:val="24"/>
      <w:szCs w:val="22"/>
      <w:lang w:val="zh-CN"/>
    </w:rPr>
  </w:style>
  <w:style w:type="paragraph" w:customStyle="1" w:styleId="51">
    <w:name w:val="表格文字"/>
    <w:basedOn w:val="1"/>
    <w:autoRedefine/>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paragraph" w:customStyle="1" w:styleId="52">
    <w:name w:val="_Style 2"/>
    <w:basedOn w:val="1"/>
    <w:next w:val="1"/>
    <w:autoRedefine/>
    <w:qFormat/>
    <w:uiPriority w:val="0"/>
    <w:pPr>
      <w:ind w:firstLine="420" w:firstLineChars="200"/>
    </w:pPr>
    <w:rPr>
      <w:rFonts w:ascii="Times New Roman" w:hAnsi="Times New Roman" w:eastAsia="宋体" w:cs="Times New Roman"/>
    </w:rPr>
  </w:style>
  <w:style w:type="paragraph" w:customStyle="1" w:styleId="53">
    <w:name w:val="Char Char1 Char"/>
    <w:basedOn w:val="1"/>
    <w:autoRedefine/>
    <w:qFormat/>
    <w:uiPriority w:val="0"/>
  </w:style>
  <w:style w:type="paragraph" w:customStyle="1" w:styleId="54">
    <w:name w:val="_Style 5"/>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5">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56">
    <w:name w:val="p15"/>
    <w:basedOn w:val="1"/>
    <w:autoRedefine/>
    <w:qFormat/>
    <w:uiPriority w:val="99"/>
    <w:pPr>
      <w:widowControl/>
    </w:pPr>
    <w:rPr>
      <w:kern w:val="0"/>
      <w:sz w:val="21"/>
      <w:szCs w:val="21"/>
    </w:rPr>
  </w:style>
  <w:style w:type="paragraph" w:customStyle="1" w:styleId="57">
    <w:name w:val="列表段落1"/>
    <w:basedOn w:val="1"/>
    <w:autoRedefine/>
    <w:unhideWhenUsed/>
    <w:qFormat/>
    <w:uiPriority w:val="99"/>
    <w:pPr>
      <w:ind w:firstLine="420" w:firstLineChars="200"/>
    </w:pPr>
  </w:style>
  <w:style w:type="paragraph" w:customStyle="1" w:styleId="58">
    <w:name w:val="p0"/>
    <w:basedOn w:val="1"/>
    <w:autoRedefine/>
    <w:qFormat/>
    <w:uiPriority w:val="0"/>
    <w:rPr>
      <w:szCs w:val="21"/>
    </w:rPr>
  </w:style>
  <w:style w:type="character" w:customStyle="1" w:styleId="59">
    <w:name w:val="标题 2 Char Char"/>
    <w:autoRedefine/>
    <w:qFormat/>
    <w:uiPriority w:val="0"/>
    <w:rPr>
      <w:rFonts w:hint="default" w:ascii="Arial" w:hAnsi="Arial" w:eastAsia="宋体" w:cs="Arial"/>
      <w:b/>
      <w:kern w:val="2"/>
      <w:sz w:val="30"/>
      <w:lang w:val="en-US" w:eastAsia="zh-CN" w:bidi="ar-SA"/>
    </w:rPr>
  </w:style>
  <w:style w:type="character" w:customStyle="1" w:styleId="60">
    <w:name w:val="标题 1 字符"/>
    <w:basedOn w:val="29"/>
    <w:link w:val="2"/>
    <w:autoRedefine/>
    <w:qFormat/>
    <w:uiPriority w:val="0"/>
    <w:rPr>
      <w:rFonts w:ascii="Times New Roman" w:hAnsi="Times New Roman" w:eastAsia="宋体"/>
      <w:b/>
      <w:bCs/>
      <w:kern w:val="44"/>
      <w:sz w:val="36"/>
      <w:szCs w:val="44"/>
    </w:rPr>
  </w:style>
  <w:style w:type="character" w:customStyle="1" w:styleId="61">
    <w:name w:val="ca-2"/>
    <w:basedOn w:val="29"/>
    <w:autoRedefine/>
    <w:qFormat/>
    <w:uiPriority w:val="0"/>
  </w:style>
  <w:style w:type="character" w:customStyle="1" w:styleId="62">
    <w:name w:val="tmpztreemove_arrow"/>
    <w:basedOn w:val="29"/>
    <w:autoRedefine/>
    <w:qFormat/>
    <w:uiPriority w:val="0"/>
    <w:rPr>
      <w:shd w:val="clear" w:color="auto" w:fill="FFFFFF"/>
    </w:rPr>
  </w:style>
  <w:style w:type="paragraph" w:customStyle="1" w:styleId="63">
    <w:name w:val="title1"/>
    <w:basedOn w:val="1"/>
    <w:autoRedefine/>
    <w:qFormat/>
    <w:uiPriority w:val="0"/>
    <w:pPr>
      <w:spacing w:before="150" w:line="450" w:lineRule="atLeast"/>
      <w:jc w:val="left"/>
    </w:pPr>
    <w:rPr>
      <w:b/>
      <w:kern w:val="0"/>
      <w:szCs w:val="24"/>
    </w:rPr>
  </w:style>
  <w:style w:type="character" w:customStyle="1" w:styleId="64">
    <w:name w:val="button"/>
    <w:basedOn w:val="29"/>
    <w:autoRedefine/>
    <w:qFormat/>
    <w:uiPriority w:val="0"/>
  </w:style>
  <w:style w:type="character" w:customStyle="1" w:styleId="65">
    <w:name w:val="hour_am"/>
    <w:basedOn w:val="29"/>
    <w:autoRedefine/>
    <w:qFormat/>
    <w:uiPriority w:val="0"/>
  </w:style>
  <w:style w:type="character" w:customStyle="1" w:styleId="66">
    <w:name w:val="hover3"/>
    <w:basedOn w:val="29"/>
    <w:autoRedefine/>
    <w:qFormat/>
    <w:uiPriority w:val="0"/>
    <w:rPr>
      <w:shd w:val="clear" w:color="auto" w:fill="EEEEEE"/>
    </w:rPr>
  </w:style>
  <w:style w:type="character" w:customStyle="1" w:styleId="67">
    <w:name w:val="old"/>
    <w:basedOn w:val="29"/>
    <w:autoRedefine/>
    <w:qFormat/>
    <w:uiPriority w:val="0"/>
    <w:rPr>
      <w:color w:val="999999"/>
    </w:rPr>
  </w:style>
  <w:style w:type="character" w:customStyle="1" w:styleId="68">
    <w:name w:val="glyphicon4"/>
    <w:basedOn w:val="29"/>
    <w:autoRedefine/>
    <w:qFormat/>
    <w:uiPriority w:val="0"/>
  </w:style>
  <w:style w:type="character" w:customStyle="1" w:styleId="69">
    <w:name w:val="hour_pm"/>
    <w:basedOn w:val="29"/>
    <w:autoRedefine/>
    <w:qFormat/>
    <w:uiPriority w:val="0"/>
  </w:style>
  <w:style w:type="character" w:customStyle="1" w:styleId="70">
    <w:name w:val="indent"/>
    <w:basedOn w:val="29"/>
    <w:autoRedefine/>
    <w:qFormat/>
    <w:uiPriority w:val="0"/>
  </w:style>
  <w:style w:type="paragraph" w:customStyle="1" w:styleId="71">
    <w:name w:val="title11"/>
    <w:basedOn w:val="1"/>
    <w:autoRedefine/>
    <w:qFormat/>
    <w:uiPriority w:val="0"/>
    <w:pPr>
      <w:spacing w:before="150" w:line="450" w:lineRule="atLeast"/>
      <w:jc w:val="left"/>
    </w:pPr>
    <w:rPr>
      <w:b/>
      <w:kern w:val="0"/>
      <w:szCs w:val="24"/>
    </w:rPr>
  </w:style>
  <w:style w:type="paragraph" w:customStyle="1" w:styleId="72">
    <w:name w:val="Table Paragraph"/>
    <w:basedOn w:val="1"/>
    <w:autoRedefine/>
    <w:qFormat/>
    <w:uiPriority w:val="1"/>
    <w:rPr>
      <w:rFonts w:ascii="宋体" w:hAnsi="宋体" w:cs="宋体"/>
      <w:lang w:val="zh-CN" w:bidi="zh-CN"/>
    </w:rPr>
  </w:style>
  <w:style w:type="paragraph" w:customStyle="1" w:styleId="73">
    <w:name w:val="1正文"/>
    <w:basedOn w:val="24"/>
    <w:autoRedefine/>
    <w:qFormat/>
    <w:uiPriority w:val="0"/>
    <w:pPr>
      <w:spacing w:line="360" w:lineRule="auto"/>
      <w:ind w:firstLine="960" w:firstLineChars="200"/>
    </w:pPr>
    <w:rPr>
      <w:kern w:val="0"/>
    </w:rPr>
  </w:style>
  <w:style w:type="paragraph" w:customStyle="1" w:styleId="74">
    <w:name w:val="样式 WG标题3 + 行距: 固定值 18 磅"/>
    <w:basedOn w:val="1"/>
    <w:autoRedefine/>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75">
    <w:name w:val="表格文字中"/>
    <w:basedOn w:val="1"/>
    <w:autoRedefine/>
    <w:qFormat/>
    <w:uiPriority w:val="0"/>
    <w:pPr>
      <w:adjustRightInd w:val="0"/>
      <w:snapToGrid w:val="0"/>
      <w:ind w:left="22" w:leftChars="8"/>
      <w:jc w:val="center"/>
    </w:pPr>
    <w:rPr>
      <w:kern w:val="0"/>
      <w:szCs w:val="24"/>
    </w:rPr>
  </w:style>
  <w:style w:type="paragraph" w:customStyle="1" w:styleId="76">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character" w:customStyle="1" w:styleId="77">
    <w:name w:val="标题 2 字符"/>
    <w:link w:val="3"/>
    <w:autoRedefine/>
    <w:qFormat/>
    <w:uiPriority w:val="9"/>
    <w:rPr>
      <w:rFonts w:ascii="Arial" w:hAnsi="Arial" w:eastAsia="宋体"/>
      <w:b/>
      <w:bCs/>
      <w:sz w:val="30"/>
      <w:szCs w:val="32"/>
    </w:rPr>
  </w:style>
  <w:style w:type="character" w:customStyle="1" w:styleId="78">
    <w:name w:val="标题 3 字符"/>
    <w:link w:val="5"/>
    <w:autoRedefine/>
    <w:qFormat/>
    <w:uiPriority w:val="0"/>
    <w:rPr>
      <w:rFonts w:ascii="Times New Roman" w:hAnsi="Times New Roman"/>
      <w:b/>
      <w:sz w:val="28"/>
    </w:rPr>
  </w:style>
  <w:style w:type="character" w:customStyle="1" w:styleId="79">
    <w:name w:val="c-icon13"/>
    <w:basedOn w:val="29"/>
    <w:autoRedefine/>
    <w:qFormat/>
    <w:uiPriority w:val="0"/>
  </w:style>
  <w:style w:type="character" w:customStyle="1" w:styleId="80">
    <w:name w:val="p41"/>
    <w:autoRedefine/>
    <w:qFormat/>
    <w:uiPriority w:val="0"/>
    <w:rPr>
      <w:rFonts w:ascii="宋体" w:hAnsi="宋体" w:eastAsia="宋体" w:cs="宋体"/>
      <w:sz w:val="24"/>
      <w:szCs w:val="24"/>
    </w:rPr>
  </w:style>
  <w:style w:type="character" w:customStyle="1" w:styleId="81">
    <w:name w:val="font11"/>
    <w:basedOn w:val="29"/>
    <w:autoRedefine/>
    <w:qFormat/>
    <w:uiPriority w:val="0"/>
    <w:rPr>
      <w:rFonts w:hint="default" w:ascii="仿宋_GB2312" w:eastAsia="仿宋_GB2312" w:cs="仿宋_GB2312"/>
      <w:color w:val="000000"/>
      <w:sz w:val="21"/>
      <w:szCs w:val="21"/>
      <w:u w:val="none"/>
    </w:rPr>
  </w:style>
  <w:style w:type="character" w:customStyle="1" w:styleId="82">
    <w:name w:val="font01"/>
    <w:basedOn w:val="29"/>
    <w:autoRedefine/>
    <w:qFormat/>
    <w:uiPriority w:val="0"/>
    <w:rPr>
      <w:rFonts w:hint="eastAsia" w:ascii="宋体" w:hAnsi="宋体" w:eastAsia="宋体" w:cs="宋体"/>
      <w:color w:val="000000"/>
      <w:sz w:val="22"/>
      <w:szCs w:val="22"/>
      <w:u w:val="none"/>
    </w:rPr>
  </w:style>
  <w:style w:type="character" w:customStyle="1" w:styleId="83">
    <w:name w:val="proollist"/>
    <w:basedOn w:val="29"/>
    <w:autoRedefine/>
    <w:qFormat/>
    <w:uiPriority w:val="0"/>
  </w:style>
  <w:style w:type="character" w:customStyle="1" w:styleId="84">
    <w:name w:val="beforeinfotext"/>
    <w:basedOn w:val="29"/>
    <w:autoRedefine/>
    <w:qFormat/>
    <w:uiPriority w:val="0"/>
    <w:rPr>
      <w:color w:val="666666"/>
    </w:rPr>
  </w:style>
  <w:style w:type="paragraph" w:customStyle="1" w:styleId="85">
    <w:name w:val="title12"/>
    <w:basedOn w:val="1"/>
    <w:autoRedefine/>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86">
    <w:name w:val="stclosebtn"/>
    <w:basedOn w:val="29"/>
    <w:autoRedefine/>
    <w:qFormat/>
    <w:uiPriority w:val="0"/>
  </w:style>
  <w:style w:type="character" w:customStyle="1" w:styleId="87">
    <w:name w:val="number"/>
    <w:basedOn w:val="29"/>
    <w:autoRedefine/>
    <w:qFormat/>
    <w:uiPriority w:val="0"/>
    <w:rPr>
      <w:color w:val="FF8833"/>
      <w:sz w:val="18"/>
      <w:szCs w:val="18"/>
    </w:rPr>
  </w:style>
  <w:style w:type="character" w:customStyle="1" w:styleId="88">
    <w:name w:val="phone"/>
    <w:basedOn w:val="29"/>
    <w:autoRedefine/>
    <w:qFormat/>
    <w:uiPriority w:val="0"/>
    <w:rPr>
      <w:color w:val="FF8833"/>
      <w:sz w:val="18"/>
      <w:szCs w:val="18"/>
    </w:rPr>
  </w:style>
  <w:style w:type="character" w:customStyle="1" w:styleId="89">
    <w:name w:val="font41"/>
    <w:basedOn w:val="29"/>
    <w:autoRedefine/>
    <w:qFormat/>
    <w:uiPriority w:val="0"/>
    <w:rPr>
      <w:rFonts w:hint="eastAsia" w:ascii="宋体" w:hAnsi="宋体" w:eastAsia="宋体" w:cs="宋体"/>
      <w:b/>
      <w:color w:val="000000"/>
      <w:sz w:val="20"/>
      <w:szCs w:val="20"/>
      <w:u w:val="none"/>
    </w:rPr>
  </w:style>
  <w:style w:type="character" w:customStyle="1" w:styleId="90">
    <w:name w:val="font91"/>
    <w:basedOn w:val="29"/>
    <w:autoRedefine/>
    <w:qFormat/>
    <w:uiPriority w:val="0"/>
    <w:rPr>
      <w:rFonts w:hint="eastAsia" w:ascii="宋体" w:hAnsi="宋体" w:eastAsia="宋体" w:cs="宋体"/>
      <w:color w:val="000000"/>
      <w:sz w:val="20"/>
      <w:szCs w:val="20"/>
      <w:u w:val="none"/>
    </w:rPr>
  </w:style>
  <w:style w:type="paragraph" w:customStyle="1" w:styleId="91">
    <w:name w:val="Plain Text"/>
    <w:basedOn w:val="1"/>
    <w:autoRedefine/>
    <w:qFormat/>
    <w:uiPriority w:val="0"/>
    <w:pPr>
      <w:spacing w:line="324" w:lineRule="auto"/>
    </w:pPr>
    <w:rPr>
      <w:rFonts w:ascii="宋体" w:hAnsi="Courier New" w:cs="Courier New"/>
      <w:szCs w:val="21"/>
    </w:rPr>
  </w:style>
  <w:style w:type="paragraph" w:customStyle="1" w:styleId="92">
    <w:name w:val="title13"/>
    <w:basedOn w:val="1"/>
    <w:autoRedefine/>
    <w:qFormat/>
    <w:uiPriority w:val="0"/>
    <w:pPr>
      <w:spacing w:before="150" w:beforeAutospacing="0" w:after="0" w:afterAutospacing="0"/>
      <w:ind w:left="0" w:right="0" w:firstLine="0"/>
      <w:jc w:val="left"/>
    </w:pPr>
    <w:rPr>
      <w:b/>
      <w:kern w:val="0"/>
      <w:sz w:val="22"/>
      <w:szCs w:val="22"/>
      <w:lang w:val="en-US" w:eastAsia="zh-CN" w:bidi="ar"/>
    </w:rPr>
  </w:style>
  <w:style w:type="paragraph" w:styleId="93">
    <w:name w:val="List Paragraph"/>
    <w:basedOn w:val="1"/>
    <w:autoRedefine/>
    <w:qFormat/>
    <w:uiPriority w:val="34"/>
    <w:pPr>
      <w:ind w:firstLine="420" w:firstLineChars="200"/>
    </w:pPr>
  </w:style>
  <w:style w:type="paragraph" w:customStyle="1" w:styleId="94">
    <w:name w:val=" Char Char1 Char"/>
    <w:basedOn w:val="1"/>
    <w:autoRedefine/>
    <w:qFormat/>
    <w:uiPriority w:val="0"/>
    <w:rPr>
      <w:rFonts w:ascii="宋体" w:hAnsi="宋体"/>
      <w:sz w:val="24"/>
    </w:rPr>
  </w:style>
  <w:style w:type="paragraph" w:customStyle="1" w:styleId="95">
    <w:name w:val="小四正文"/>
    <w:basedOn w:val="1"/>
    <w:autoRedefine/>
    <w:qFormat/>
    <w:uiPriority w:val="0"/>
    <w:pPr>
      <w:spacing w:line="360" w:lineRule="auto"/>
      <w:ind w:firstLine="200" w:firstLineChars="200"/>
    </w:pPr>
    <w:rPr>
      <w:rFonts w:ascii="宋体" w:eastAsia="仿宋"/>
      <w:sz w:val="28"/>
    </w:rPr>
  </w:style>
  <w:style w:type="paragraph" w:customStyle="1" w:styleId="96">
    <w:name w:val="正文（缩进 2 字符）"/>
    <w:autoRedefine/>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97">
    <w:name w:val="标题 3（投标文件）"/>
    <w:autoRedefine/>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paragraph" w:customStyle="1" w:styleId="98">
    <w:name w:val="样式1"/>
    <w:autoRedefine/>
    <w:qFormat/>
    <w:uiPriority w:val="0"/>
    <w:pPr>
      <w:widowControl w:val="0"/>
      <w:jc w:val="left"/>
    </w:pPr>
    <w:rPr>
      <w:rFonts w:ascii="宋体" w:hAnsi="Courier New" w:eastAsia="仿宋_GB2312" w:cs="Courier New"/>
      <w:kern w:val="2"/>
      <w:sz w:val="32"/>
      <w:szCs w:val="21"/>
      <w:lang w:val="en-US" w:eastAsia="zh-CN" w:bidi="ar-SA"/>
    </w:rPr>
  </w:style>
  <w:style w:type="character" w:customStyle="1" w:styleId="99">
    <w:name w:val="mini-tree-nodetext3"/>
    <w:basedOn w:val="29"/>
    <w:autoRedefine/>
    <w:qFormat/>
    <w:uiPriority w:val="0"/>
  </w:style>
  <w:style w:type="character" w:customStyle="1" w:styleId="100">
    <w:name w:val="mini-outputtext1"/>
    <w:basedOn w:val="29"/>
    <w:autoRedefine/>
    <w:qFormat/>
    <w:uiPriority w:val="0"/>
  </w:style>
  <w:style w:type="paragraph" w:customStyle="1" w:styleId="101">
    <w:name w:val="3级"/>
    <w:basedOn w:val="102"/>
    <w:autoRedefine/>
    <w:qFormat/>
    <w:uiPriority w:val="0"/>
    <w:pPr>
      <w:numPr>
        <w:ilvl w:val="0"/>
        <w:numId w:val="1"/>
      </w:numPr>
      <w:ind w:firstLineChars="0"/>
      <w:outlineLvl w:val="2"/>
    </w:pPr>
  </w:style>
  <w:style w:type="paragraph" w:customStyle="1" w:styleId="102">
    <w:name w:val="列出段落1"/>
    <w:basedOn w:val="1"/>
    <w:qFormat/>
    <w:uiPriority w:val="0"/>
    <w:pPr>
      <w:ind w:firstLine="420" w:firstLineChars="200"/>
    </w:pPr>
    <w:rPr>
      <w:rFonts w:ascii="Calibri" w:hAnsi="Calibri"/>
      <w:szCs w:val="22"/>
    </w:rPr>
  </w:style>
  <w:style w:type="paragraph" w:customStyle="1" w:styleId="103">
    <w:name w:val="Normal Indent1"/>
    <w:basedOn w:val="1"/>
    <w:autoRedefine/>
    <w:qFormat/>
    <w:uiPriority w:val="0"/>
    <w:pPr>
      <w:ind w:firstLine="200" w:firstLineChars="200"/>
    </w:pPr>
    <w:rPr>
      <w:rFonts w:eastAsia="楷体_GB2312"/>
    </w:rPr>
  </w:style>
  <w:style w:type="character" w:customStyle="1" w:styleId="104">
    <w:name w:val="before2"/>
    <w:basedOn w:val="29"/>
    <w:autoRedefine/>
    <w:qFormat/>
    <w:uiPriority w:val="0"/>
    <w:rPr>
      <w:shd w:val="clear" w:fill="C20E0C"/>
    </w:rPr>
  </w:style>
  <w:style w:type="character" w:customStyle="1" w:styleId="105">
    <w:name w:val="nth-of-type(2)"/>
    <w:basedOn w:val="29"/>
    <w:autoRedefine/>
    <w:qFormat/>
    <w:uiPriority w:val="0"/>
  </w:style>
  <w:style w:type="character" w:customStyle="1" w:styleId="106">
    <w:name w:val="layui-laypage-curr"/>
    <w:basedOn w:val="29"/>
    <w:autoRedefine/>
    <w:qFormat/>
    <w:uiPriority w:val="0"/>
  </w:style>
  <w:style w:type="character" w:customStyle="1" w:styleId="107">
    <w:name w:val="nth-of-type(6)"/>
    <w:basedOn w:val="29"/>
    <w:autoRedefine/>
    <w:qFormat/>
    <w:uiPriority w:val="0"/>
  </w:style>
  <w:style w:type="character" w:customStyle="1" w:styleId="108">
    <w:name w:val="first-child"/>
    <w:basedOn w:val="29"/>
    <w:autoRedefine/>
    <w:qFormat/>
    <w:uiPriority w:val="0"/>
  </w:style>
  <w:style w:type="character" w:customStyle="1" w:styleId="109">
    <w:name w:val="first-child1"/>
    <w:basedOn w:val="29"/>
    <w:autoRedefine/>
    <w:qFormat/>
    <w:uiPriority w:val="0"/>
  </w:style>
  <w:style w:type="character" w:customStyle="1" w:styleId="110">
    <w:name w:val="first-child2"/>
    <w:basedOn w:val="29"/>
    <w:autoRedefine/>
    <w:qFormat/>
    <w:uiPriority w:val="0"/>
  </w:style>
  <w:style w:type="character" w:customStyle="1" w:styleId="111">
    <w:name w:val="first-child3"/>
    <w:basedOn w:val="29"/>
    <w:autoRedefine/>
    <w:qFormat/>
    <w:uiPriority w:val="0"/>
  </w:style>
  <w:style w:type="character" w:customStyle="1" w:styleId="112">
    <w:name w:val="nth-of-type(1)"/>
    <w:basedOn w:val="29"/>
    <w:autoRedefine/>
    <w:qFormat/>
    <w:uiPriority w:val="0"/>
  </w:style>
  <w:style w:type="character" w:customStyle="1" w:styleId="113">
    <w:name w:val="nth-of-type(1)1"/>
    <w:basedOn w:val="29"/>
    <w:autoRedefine/>
    <w:qFormat/>
    <w:uiPriority w:val="0"/>
  </w:style>
  <w:style w:type="character" w:customStyle="1" w:styleId="114">
    <w:name w:val="nth-of-type(1)2"/>
    <w:basedOn w:val="29"/>
    <w:qFormat/>
    <w:uiPriority w:val="0"/>
  </w:style>
  <w:style w:type="character" w:customStyle="1" w:styleId="115">
    <w:name w:val="nth-of-type(1)3"/>
    <w:basedOn w:val="29"/>
    <w:autoRedefine/>
    <w:qFormat/>
    <w:uiPriority w:val="0"/>
  </w:style>
  <w:style w:type="character" w:customStyle="1" w:styleId="116">
    <w:name w:val="nth-of-type(1)4"/>
    <w:basedOn w:val="29"/>
    <w:autoRedefine/>
    <w:qFormat/>
    <w:uiPriority w:val="0"/>
  </w:style>
  <w:style w:type="character" w:customStyle="1" w:styleId="117">
    <w:name w:val="nth-of-type(1)5"/>
    <w:basedOn w:val="29"/>
    <w:autoRedefine/>
    <w:qFormat/>
    <w:uiPriority w:val="0"/>
    <w:rPr>
      <w:rFonts w:ascii="SourceHanSansCN-Regular" w:hAnsi="SourceHanSansCN-Regular" w:eastAsia="SourceHanSansCN-Regular" w:cs="SourceHanSansCN-Regular"/>
      <w:color w:val="FB560A"/>
      <w:sz w:val="21"/>
      <w:szCs w:val="21"/>
    </w:rPr>
  </w:style>
  <w:style w:type="character" w:customStyle="1" w:styleId="118">
    <w:name w:val="nth-of-type(1)6"/>
    <w:basedOn w:val="29"/>
    <w:autoRedefine/>
    <w:qFormat/>
    <w:uiPriority w:val="0"/>
  </w:style>
  <w:style w:type="character" w:customStyle="1" w:styleId="119">
    <w:name w:val="nth-of-type(1)7"/>
    <w:basedOn w:val="29"/>
    <w:autoRedefine/>
    <w:qFormat/>
    <w:uiPriority w:val="0"/>
  </w:style>
  <w:style w:type="character" w:customStyle="1" w:styleId="120">
    <w:name w:val="nth-of-type(1)8"/>
    <w:basedOn w:val="29"/>
    <w:autoRedefine/>
    <w:qFormat/>
    <w:uiPriority w:val="0"/>
  </w:style>
  <w:style w:type="character" w:customStyle="1" w:styleId="121">
    <w:name w:val="nth-of-type(1)9"/>
    <w:basedOn w:val="29"/>
    <w:autoRedefine/>
    <w:qFormat/>
    <w:uiPriority w:val="0"/>
  </w:style>
  <w:style w:type="character" w:customStyle="1" w:styleId="122">
    <w:name w:val="nth-of-type(1)10"/>
    <w:basedOn w:val="29"/>
    <w:autoRedefine/>
    <w:qFormat/>
    <w:uiPriority w:val="0"/>
  </w:style>
  <w:style w:type="character" w:customStyle="1" w:styleId="123">
    <w:name w:val="nth-of-type(1)11"/>
    <w:basedOn w:val="29"/>
    <w:autoRedefine/>
    <w:qFormat/>
    <w:uiPriority w:val="0"/>
  </w:style>
  <w:style w:type="character" w:customStyle="1" w:styleId="124">
    <w:name w:val="nth-of-type(1)12"/>
    <w:basedOn w:val="29"/>
    <w:autoRedefine/>
    <w:qFormat/>
    <w:uiPriority w:val="0"/>
  </w:style>
  <w:style w:type="character" w:customStyle="1" w:styleId="125">
    <w:name w:val="nth-of-type(1)13"/>
    <w:basedOn w:val="29"/>
    <w:autoRedefine/>
    <w:qFormat/>
    <w:uiPriority w:val="0"/>
  </w:style>
  <w:style w:type="character" w:customStyle="1" w:styleId="126">
    <w:name w:val="nth-of-type(1)14"/>
    <w:basedOn w:val="29"/>
    <w:autoRedefine/>
    <w:qFormat/>
    <w:uiPriority w:val="0"/>
  </w:style>
  <w:style w:type="character" w:customStyle="1" w:styleId="127">
    <w:name w:val="nth-of-type(1)15"/>
    <w:basedOn w:val="29"/>
    <w:autoRedefine/>
    <w:qFormat/>
    <w:uiPriority w:val="0"/>
    <w:rPr>
      <w:color w:val="0082DF"/>
    </w:rPr>
  </w:style>
  <w:style w:type="character" w:customStyle="1" w:styleId="128">
    <w:name w:val="nth-of-type(1)16"/>
    <w:basedOn w:val="29"/>
    <w:autoRedefine/>
    <w:qFormat/>
    <w:uiPriority w:val="0"/>
  </w:style>
  <w:style w:type="character" w:customStyle="1" w:styleId="129">
    <w:name w:val="nth-of-type(1)17"/>
    <w:basedOn w:val="29"/>
    <w:autoRedefine/>
    <w:qFormat/>
    <w:uiPriority w:val="0"/>
  </w:style>
  <w:style w:type="character" w:customStyle="1" w:styleId="130">
    <w:name w:val="nth-of-type(1)18"/>
    <w:basedOn w:val="29"/>
    <w:autoRedefine/>
    <w:qFormat/>
    <w:uiPriority w:val="0"/>
    <w:rPr>
      <w:sz w:val="21"/>
      <w:szCs w:val="21"/>
    </w:rPr>
  </w:style>
  <w:style w:type="character" w:customStyle="1" w:styleId="131">
    <w:name w:val="nth-of-type(3)"/>
    <w:basedOn w:val="29"/>
    <w:autoRedefine/>
    <w:qFormat/>
    <w:uiPriority w:val="0"/>
  </w:style>
  <w:style w:type="character" w:customStyle="1" w:styleId="132">
    <w:name w:val="nth-of-type(3)1"/>
    <w:basedOn w:val="29"/>
    <w:autoRedefine/>
    <w:qFormat/>
    <w:uiPriority w:val="0"/>
  </w:style>
  <w:style w:type="character" w:customStyle="1" w:styleId="133">
    <w:name w:val="nth-of-type(3)2"/>
    <w:basedOn w:val="29"/>
    <w:autoRedefine/>
    <w:qFormat/>
    <w:uiPriority w:val="0"/>
  </w:style>
  <w:style w:type="character" w:customStyle="1" w:styleId="134">
    <w:name w:val="nth-of-type(3)3"/>
    <w:basedOn w:val="29"/>
    <w:autoRedefine/>
    <w:qFormat/>
    <w:uiPriority w:val="0"/>
  </w:style>
  <w:style w:type="character" w:customStyle="1" w:styleId="135">
    <w:name w:val="nth-of-type(3)4"/>
    <w:basedOn w:val="29"/>
    <w:autoRedefine/>
    <w:qFormat/>
    <w:uiPriority w:val="0"/>
  </w:style>
  <w:style w:type="character" w:customStyle="1" w:styleId="136">
    <w:name w:val="nth-of-type(3)5"/>
    <w:basedOn w:val="29"/>
    <w:autoRedefine/>
    <w:qFormat/>
    <w:uiPriority w:val="0"/>
  </w:style>
  <w:style w:type="character" w:customStyle="1" w:styleId="137">
    <w:name w:val="nth-of-type(3)6"/>
    <w:basedOn w:val="29"/>
    <w:autoRedefine/>
    <w:qFormat/>
    <w:uiPriority w:val="0"/>
  </w:style>
  <w:style w:type="character" w:customStyle="1" w:styleId="138">
    <w:name w:val="nth-of-type(3)7"/>
    <w:basedOn w:val="29"/>
    <w:autoRedefine/>
    <w:qFormat/>
    <w:uiPriority w:val="0"/>
    <w:rPr>
      <w:sz w:val="21"/>
      <w:szCs w:val="21"/>
    </w:rPr>
  </w:style>
  <w:style w:type="character" w:customStyle="1" w:styleId="139">
    <w:name w:val="nth-of-type(4)"/>
    <w:basedOn w:val="29"/>
    <w:autoRedefine/>
    <w:qFormat/>
    <w:uiPriority w:val="0"/>
  </w:style>
  <w:style w:type="character" w:customStyle="1" w:styleId="140">
    <w:name w:val="nth-of-type(4)1"/>
    <w:basedOn w:val="29"/>
    <w:autoRedefine/>
    <w:qFormat/>
    <w:uiPriority w:val="0"/>
  </w:style>
  <w:style w:type="character" w:customStyle="1" w:styleId="141">
    <w:name w:val="nth-of-type(4)2"/>
    <w:basedOn w:val="29"/>
    <w:autoRedefine/>
    <w:qFormat/>
    <w:uiPriority w:val="0"/>
  </w:style>
  <w:style w:type="character" w:customStyle="1" w:styleId="142">
    <w:name w:val="nth-of-type(4)3"/>
    <w:basedOn w:val="29"/>
    <w:autoRedefine/>
    <w:qFormat/>
    <w:uiPriority w:val="0"/>
  </w:style>
  <w:style w:type="character" w:customStyle="1" w:styleId="143">
    <w:name w:val="nth-of-type(4)4"/>
    <w:basedOn w:val="29"/>
    <w:autoRedefine/>
    <w:qFormat/>
    <w:uiPriority w:val="0"/>
  </w:style>
  <w:style w:type="character" w:customStyle="1" w:styleId="144">
    <w:name w:val="nth-of-type(4)5"/>
    <w:basedOn w:val="29"/>
    <w:autoRedefine/>
    <w:qFormat/>
    <w:uiPriority w:val="0"/>
  </w:style>
  <w:style w:type="character" w:customStyle="1" w:styleId="145">
    <w:name w:val="nth-of-type(4)6"/>
    <w:basedOn w:val="29"/>
    <w:autoRedefine/>
    <w:qFormat/>
    <w:uiPriority w:val="0"/>
  </w:style>
  <w:style w:type="character" w:customStyle="1" w:styleId="146">
    <w:name w:val="nth-of-type(4)7"/>
    <w:basedOn w:val="29"/>
    <w:autoRedefine/>
    <w:qFormat/>
    <w:uiPriority w:val="0"/>
  </w:style>
  <w:style w:type="character" w:customStyle="1" w:styleId="147">
    <w:name w:val="nth-of-type(4)8"/>
    <w:basedOn w:val="29"/>
    <w:autoRedefine/>
    <w:qFormat/>
    <w:uiPriority w:val="0"/>
    <w:rPr>
      <w:sz w:val="21"/>
      <w:szCs w:val="21"/>
    </w:rPr>
  </w:style>
  <w:style w:type="character" w:customStyle="1" w:styleId="148">
    <w:name w:val="nth-of-type(5)"/>
    <w:basedOn w:val="29"/>
    <w:autoRedefine/>
    <w:qFormat/>
    <w:uiPriority w:val="0"/>
  </w:style>
  <w:style w:type="character" w:customStyle="1" w:styleId="149">
    <w:name w:val="nth-of-type(5)1"/>
    <w:basedOn w:val="29"/>
    <w:autoRedefine/>
    <w:qFormat/>
    <w:uiPriority w:val="0"/>
  </w:style>
  <w:style w:type="character" w:customStyle="1" w:styleId="150">
    <w:name w:val="nth-of-type(5)2"/>
    <w:basedOn w:val="29"/>
    <w:autoRedefine/>
    <w:qFormat/>
    <w:uiPriority w:val="0"/>
  </w:style>
  <w:style w:type="character" w:customStyle="1" w:styleId="151">
    <w:name w:val="nth-of-type(5)3"/>
    <w:basedOn w:val="29"/>
    <w:autoRedefine/>
    <w:qFormat/>
    <w:uiPriority w:val="0"/>
  </w:style>
  <w:style w:type="character" w:customStyle="1" w:styleId="152">
    <w:name w:val="nth-of-type(5)4"/>
    <w:basedOn w:val="29"/>
    <w:autoRedefine/>
    <w:qFormat/>
    <w:uiPriority w:val="0"/>
  </w:style>
  <w:style w:type="character" w:customStyle="1" w:styleId="153">
    <w:name w:val="nth-of-type(5)5"/>
    <w:basedOn w:val="29"/>
    <w:autoRedefine/>
    <w:qFormat/>
    <w:uiPriority w:val="0"/>
  </w:style>
  <w:style w:type="character" w:customStyle="1" w:styleId="154">
    <w:name w:val="nth-of-type(5)6"/>
    <w:basedOn w:val="29"/>
    <w:autoRedefine/>
    <w:qFormat/>
    <w:uiPriority w:val="0"/>
    <w:rPr>
      <w:sz w:val="21"/>
      <w:szCs w:val="21"/>
    </w:rPr>
  </w:style>
  <w:style w:type="character" w:customStyle="1" w:styleId="155">
    <w:name w:val="nth-of-type(9)"/>
    <w:basedOn w:val="29"/>
    <w:autoRedefine/>
    <w:qFormat/>
    <w:uiPriority w:val="0"/>
  </w:style>
  <w:style w:type="character" w:customStyle="1" w:styleId="156">
    <w:name w:val="hover25"/>
    <w:basedOn w:val="29"/>
    <w:autoRedefine/>
    <w:qFormat/>
    <w:uiPriority w:val="0"/>
    <w:rPr>
      <w:color w:val="167AE0"/>
    </w:rPr>
  </w:style>
  <w:style w:type="character" w:customStyle="1" w:styleId="157">
    <w:name w:val="nth-child(3)"/>
    <w:basedOn w:val="29"/>
    <w:autoRedefine/>
    <w:qFormat/>
    <w:uiPriority w:val="0"/>
  </w:style>
  <w:style w:type="character" w:customStyle="1" w:styleId="158">
    <w:name w:val="last-child1"/>
    <w:basedOn w:val="29"/>
    <w:autoRedefine/>
    <w:qFormat/>
    <w:uiPriority w:val="0"/>
  </w:style>
  <w:style w:type="character" w:customStyle="1" w:styleId="159">
    <w:name w:val="last-child2"/>
    <w:basedOn w:val="29"/>
    <w:autoRedefine/>
    <w:qFormat/>
    <w:uiPriority w:val="0"/>
    <w:rPr>
      <w:color w:val="FFFFFF"/>
    </w:rPr>
  </w:style>
  <w:style w:type="character" w:customStyle="1" w:styleId="160">
    <w:name w:val="last-child3"/>
    <w:basedOn w:val="29"/>
    <w:autoRedefine/>
    <w:qFormat/>
    <w:uiPriority w:val="0"/>
  </w:style>
  <w:style w:type="character" w:customStyle="1" w:styleId="161">
    <w:name w:val="nth-child(1)"/>
    <w:basedOn w:val="29"/>
    <w:autoRedefine/>
    <w:qFormat/>
    <w:uiPriority w:val="0"/>
  </w:style>
  <w:style w:type="character" w:customStyle="1" w:styleId="162">
    <w:name w:val="nth-child(2)"/>
    <w:basedOn w:val="29"/>
    <w:autoRedefine/>
    <w:qFormat/>
    <w:uiPriority w:val="0"/>
  </w:style>
  <w:style w:type="character" w:customStyle="1" w:styleId="163">
    <w:name w:val="titleshow"/>
    <w:basedOn w:val="29"/>
    <w:autoRedefine/>
    <w:qFormat/>
    <w:uiPriority w:val="0"/>
    <w:rPr>
      <w:color w:val="3E464C"/>
    </w:rPr>
  </w:style>
  <w:style w:type="character" w:customStyle="1" w:styleId="164">
    <w:name w:val="nth-of-type(7)"/>
    <w:basedOn w:val="29"/>
    <w:autoRedefine/>
    <w:qFormat/>
    <w:uiPriority w:val="0"/>
  </w:style>
  <w:style w:type="character" w:customStyle="1" w:styleId="165">
    <w:name w:val="nth-of-type(7)1"/>
    <w:basedOn w:val="29"/>
    <w:autoRedefine/>
    <w:qFormat/>
    <w:uiPriority w:val="0"/>
  </w:style>
  <w:style w:type="character" w:customStyle="1" w:styleId="166">
    <w:name w:val="nth-of-type(7)2"/>
    <w:basedOn w:val="29"/>
    <w:autoRedefine/>
    <w:qFormat/>
    <w:uiPriority w:val="0"/>
  </w:style>
  <w:style w:type="character" w:customStyle="1" w:styleId="167">
    <w:name w:val="nth-of-type(8)"/>
    <w:basedOn w:val="29"/>
    <w:autoRedefine/>
    <w:qFormat/>
    <w:uiPriority w:val="0"/>
  </w:style>
  <w:style w:type="character" w:customStyle="1" w:styleId="168">
    <w:name w:val="nth-of-type(10)"/>
    <w:basedOn w:val="29"/>
    <w:autoRedefine/>
    <w:qFormat/>
    <w:uiPriority w:val="0"/>
  </w:style>
  <w:style w:type="character" w:customStyle="1" w:styleId="169">
    <w:name w:val="lineshow"/>
    <w:basedOn w:val="29"/>
    <w:autoRedefine/>
    <w:qFormat/>
    <w:uiPriority w:val="0"/>
  </w:style>
  <w:style w:type="character" w:customStyle="1" w:styleId="170">
    <w:name w:val="lineshow1"/>
    <w:basedOn w:val="29"/>
    <w:autoRedefine/>
    <w:qFormat/>
    <w:uiPriority w:val="0"/>
  </w:style>
  <w:style w:type="character" w:customStyle="1" w:styleId="171">
    <w:name w:val="layui-this4"/>
    <w:basedOn w:val="29"/>
    <w:autoRedefine/>
    <w:qFormat/>
    <w:uiPriority w:val="0"/>
    <w:rPr>
      <w:bdr w:val="single" w:color="EEEEEE" w:sz="6" w:space="0"/>
      <w:shd w:val="clear" w:fill="FFFFFF"/>
    </w:rPr>
  </w:style>
  <w:style w:type="paragraph" w:customStyle="1" w:styleId="172">
    <w:name w:val="Body text|1"/>
    <w:basedOn w:val="1"/>
    <w:autoRedefine/>
    <w:qFormat/>
    <w:uiPriority w:val="0"/>
    <w:pPr>
      <w:spacing w:line="314" w:lineRule="auto"/>
      <w:ind w:firstLine="400"/>
    </w:pPr>
    <w:rPr>
      <w:rFonts w:ascii="MingLiU" w:hAnsi="MingLiU" w:eastAsia="MingLiU" w:cs="MingLiU"/>
      <w:lang w:val="zh-TW" w:eastAsia="zh-TW" w:bidi="zh-TW"/>
    </w:rPr>
  </w:style>
  <w:style w:type="paragraph" w:customStyle="1" w:styleId="173">
    <w:name w:val="列表段落"/>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4"/>
      <w:szCs w:val="20"/>
      <w:lang w:val="en-US" w:eastAsia="zh-CN" w:bidi="ar"/>
    </w:rPr>
  </w:style>
  <w:style w:type="paragraph" w:customStyle="1" w:styleId="174">
    <w:name w:val="*正文"/>
    <w:basedOn w:val="1"/>
    <w:next w:val="1"/>
    <w:autoRedefine/>
    <w:qFormat/>
    <w:uiPriority w:val="0"/>
    <w:pPr>
      <w:keepNext w:val="0"/>
      <w:keepLines w:val="0"/>
      <w:widowControl/>
      <w:suppressLineNumbers w:val="0"/>
      <w:overflowPunct w:val="0"/>
      <w:adjustRightInd w:val="0"/>
      <w:snapToGrid w:val="0"/>
      <w:spacing w:before="0" w:beforeAutospacing="0" w:after="0" w:afterAutospacing="0" w:line="360" w:lineRule="auto"/>
      <w:ind w:left="0" w:right="0"/>
      <w:jc w:val="both"/>
    </w:pPr>
    <w:rPr>
      <w:rFonts w:hint="eastAsia" w:ascii="宋体" w:hAnsi="仿宋" w:eastAsia="宋体" w:cs="Times New Roman"/>
      <w:kern w:val="0"/>
      <w:sz w:val="24"/>
      <w:szCs w:val="32"/>
      <w:lang w:val="en-US" w:eastAsia="zh-CN" w:bidi="ar"/>
    </w:rPr>
  </w:style>
  <w:style w:type="table" w:customStyle="1" w:styleId="175">
    <w:name w:val="Table Normal"/>
    <w:autoRedefine/>
    <w:semiHidden/>
    <w:unhideWhenUsed/>
    <w:qFormat/>
    <w:uiPriority w:val="0"/>
    <w:tblPr>
      <w:tblCellMar>
        <w:top w:w="0" w:type="dxa"/>
        <w:left w:w="0" w:type="dxa"/>
        <w:bottom w:w="0" w:type="dxa"/>
        <w:right w:w="0" w:type="dxa"/>
      </w:tblCellMar>
    </w:tblPr>
  </w:style>
  <w:style w:type="character" w:customStyle="1" w:styleId="176">
    <w:name w:val="me_close"/>
    <w:basedOn w:val="29"/>
    <w:autoRedefine/>
    <w:qFormat/>
    <w:uiPriority w:val="0"/>
    <w:rPr>
      <w:b/>
      <w:bCs/>
      <w:color w:val="FFFFFF"/>
      <w:sz w:val="18"/>
      <w:szCs w:val="18"/>
      <w:shd w:val="clear" w:fill="6843FF"/>
    </w:rPr>
  </w:style>
  <w:style w:type="character" w:customStyle="1" w:styleId="177">
    <w:name w:val="required"/>
    <w:basedOn w:val="29"/>
    <w:autoRedefine/>
    <w:qFormat/>
    <w:uiPriority w:val="0"/>
    <w:rPr>
      <w:color w:val="FF0000"/>
    </w:rPr>
  </w:style>
  <w:style w:type="character" w:customStyle="1" w:styleId="178">
    <w:name w:val="size"/>
    <w:basedOn w:val="29"/>
    <w:autoRedefine/>
    <w:qFormat/>
    <w:uiPriority w:val="0"/>
    <w:rPr>
      <w:i/>
      <w:iCs/>
      <w:sz w:val="15"/>
      <w:szCs w:val="15"/>
    </w:rPr>
  </w:style>
  <w:style w:type="paragraph" w:customStyle="1" w:styleId="179">
    <w:name w:val="default"/>
    <w:basedOn w:val="1"/>
    <w:autoRedefine/>
    <w:qFormat/>
    <w:uiPriority w:val="0"/>
    <w:pPr>
      <w:spacing w:line="360" w:lineRule="auto"/>
    </w:pPr>
  </w:style>
  <w:style w:type="character" w:customStyle="1" w:styleId="180">
    <w:name w:val="font21"/>
    <w:basedOn w:val="29"/>
    <w:autoRedefine/>
    <w:qFormat/>
    <w:uiPriority w:val="0"/>
    <w:rPr>
      <w:rFonts w:hint="default" w:ascii="仿宋_GB2312" w:eastAsia="仿宋_GB2312" w:cs="仿宋_GB2312"/>
      <w:color w:val="000000"/>
      <w:sz w:val="32"/>
      <w:szCs w:val="32"/>
      <w:u w:val="none"/>
    </w:rPr>
  </w:style>
  <w:style w:type="character" w:customStyle="1" w:styleId="181">
    <w:name w:val="font31"/>
    <w:basedOn w:val="29"/>
    <w:autoRedefine/>
    <w:qFormat/>
    <w:uiPriority w:val="0"/>
    <w:rPr>
      <w:rFonts w:hint="eastAsia"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85</Pages>
  <Words>34606</Words>
  <Characters>36832</Characters>
  <Lines>206</Lines>
  <Paragraphs>58</Paragraphs>
  <TotalTime>2</TotalTime>
  <ScaleCrop>false</ScaleCrop>
  <LinksUpToDate>false</LinksUpToDate>
  <CharactersWithSpaces>39669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2019-04-16T17:06:00Z</dcterms:created>
  <dc:creator>吃猫的鱼</dc:creator>
  <cp:lastModifiedBy>RT</cp:lastModifiedBy>
  <cp:lastPrinted>2023-12-18T01:25:23Z</cp:lastPrinted>
  <dcterms:modified xsi:type="dcterms:W3CDTF">2023-12-18T01:25:41Z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FC1449055C3D4216845D7A983B205F0C_13</vt:lpwstr>
  </property>
</Properties>
</file>