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7" w:rsidRDefault="003F37B4">
      <w:pPr>
        <w:spacing w:line="7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榆林市国家安全局采购通用办公家具项目</w:t>
      </w:r>
    </w:p>
    <w:p w:rsidR="00496A77" w:rsidRDefault="003F37B4">
      <w:pPr>
        <w:spacing w:line="7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采购方案技术及相关要求的函</w:t>
      </w:r>
    </w:p>
    <w:p w:rsidR="00496A77" w:rsidRDefault="00496A77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496A77" w:rsidRDefault="003F37B4">
      <w:pPr>
        <w:spacing w:line="360" w:lineRule="auto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榆林市市级政府采购中心：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按照榆林市财政局批复（计划编码:ZCSP-榆林市-2023-00722），我单位对该项目提出采购方案技术及相关要求，请组织招标采购工作。本次采购项目为货物类项目，供应商必须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对本项目进行整体响应，只对其中一部分内容进行的响应都被视为无效响应。投标报价应遵守《中华人民共和国价格法》，供应商不得以低于成本的报价参与投标。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一：项目联系人：贺永飞</w:t>
      </w:r>
    </w:p>
    <w:p w:rsidR="00496A77" w:rsidRDefault="003F37B4">
      <w:pPr>
        <w:spacing w:line="360" w:lineRule="auto"/>
        <w:ind w:firstLine="642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13309123690</w:t>
      </w:r>
    </w:p>
    <w:p w:rsidR="00496A77" w:rsidRDefault="003F37B4">
      <w:pPr>
        <w:spacing w:line="360" w:lineRule="auto"/>
        <w:ind w:firstLine="642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采购单位地址：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榆林市榆阳区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二、服务地点、服务期（工期）：</w:t>
      </w:r>
    </w:p>
    <w:p w:rsidR="00496A77" w:rsidRDefault="003F37B4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交货（服务）地点：榆林市榆阳区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2、交货（服务）期：合同签订后45天内完成供货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三、付款方式: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1、合同签订后，乙方提出付款申请并按甲方财务要求提供相关票据后10日内甲方向乙方支付30%预付款；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2、办公家具运送至交货地点、安装完成、验收合格后，乙方按甲方财务要求提供相关票据（增值税发票类别符合要求）后，甲方向乙方付清合同总价款的67%；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3、质保期（1年）满后付清剩余3%尾款。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四、投标资质条件要求：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1、满足《中华人民共和国政府采购法》第二十二条规定。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 xml:space="preserve">    2、本项目的特定资格要求：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（1）营业执照等主体资格证明文件。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（2）供应商应具有良好的商业信誉和健全的财务会计制度，具有履行合同所必需的设备和专业技术能力，具</w:t>
      </w: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  <w:lang w:val="zh-CN"/>
        </w:rPr>
        <w:t>有依法缴纳税收和社会保障金的良好记录，参加本项目采购活动前三年内无重大违法活动记录。提供《基本资格条件承诺函》</w:t>
      </w: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（3）法定代表人授权委托书：法定代表人参加投标的，提供本人身份证复印件；法定代表人授权他人参加投标的，提供《法定代表人授权委托书》。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（4）供应商应在“信用中国（陕西榆林）”网站进行注册、登录，自主上报信用承诺书（网址：https://credit.yl.gov.cn/）。 承诺事项：《榆林市政府采购工程类/货物类/服务类项目供应商信用承诺书》，上传至承诺附件；承诺有效期为一年。（资格审查人现场通过网络查询）</w:t>
      </w:r>
    </w:p>
    <w:p w:rsidR="001A4270" w:rsidRPr="001A4270" w:rsidRDefault="001A4270" w:rsidP="001A4270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 w:rsidRPr="001A4270"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（5）供应商提供两份类似项目业绩。（要求提供合同和中标通知书缺一不可算一份有效业绩。）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五、采购需求：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通用办公家具1批：</w:t>
      </w:r>
    </w:p>
    <w:tbl>
      <w:tblPr>
        <w:tblW w:w="10219" w:type="dxa"/>
        <w:tblInd w:w="-741" w:type="dxa"/>
        <w:tblLayout w:type="fixed"/>
        <w:tblLook w:val="04A0"/>
      </w:tblPr>
      <w:tblGrid>
        <w:gridCol w:w="386"/>
        <w:gridCol w:w="1011"/>
        <w:gridCol w:w="1211"/>
        <w:gridCol w:w="368"/>
        <w:gridCol w:w="599"/>
        <w:gridCol w:w="6644"/>
      </w:tblGrid>
      <w:tr w:rsidR="00496A77" w:rsidRPr="004B2683" w:rsidTr="004B2683">
        <w:trPr>
          <w:trHeight w:val="58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办公桌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（带副台）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1600*800*760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6、五金配件：①采用优质五金配件符合导轨：至少符合QB/T 2454-2013《家具五金 抽屉导轨》、QB/T 3826-1999《轻工产品金属镀层和化学处理层的耐腐蚀试验方法 中性盐雾试验（NSS）法》标准；金属表面耐腐蚀：中性盐雾连续喷雾≥720小时，耐腐蚀等级达到8级或以上；耐久性（≥150000次）：导轨无损坏。②铰链：至少符合QB/T 2189-2013《家具五金 杯状暗铰链》、QB/T 3826-1999《轻工产品金属镀层和化学处理层的耐腐蚀试验方法 中性盐雾试验（NSS）法》标准；金属表面耐腐蚀：中性盐雾连续喷雾≥720小时，耐腐蚀等级达到8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级或以上；过载要求：垂直静载荷（30kg）、水平静载荷（70N）检测符合标准要求；功能要求：操作力、垂直静载荷（20kg）、水平静载荷（40N）、耐久性（≥150000次）均符合标准要求；下沉量：在使用调整系统前，安装B型试验门时，下沉量不应大于3.0mm。③锁具：至少符合QB/T 3826-1999《轻工产品金属镀层和化学处理层的耐腐蚀试验方法 中性盐雾试验（NSS）法》标准；金属表面耐腐蚀：中性盐雾连续喷雾≥720小时，耐腐蚀等级达到8级或以上；牢固度：锁头固定连接静拉力：锁头直径＜20mm，承受140N静拉力后应无松动；锁头固定连接扭矩：锁头直径＜20mm，承受1.80N•m静拉力后，应无松动；锁芯拨动件扭矩：承受0.70N•m扭矩后，应能正常使用；）锁舌侧向静载荷：承受200N侧向静载荷后应能正常使用；灵活度：钥匙插拔、旋转检测符合国家标准要求；钥匙拔出静拉力：叶片锁不应大于9N；钥匙开启扭矩不应大于0.65N.m；外观质量：锁头、钥匙，涂层件均符合标准要求。</w:t>
            </w:r>
          </w:p>
        </w:tc>
      </w:tr>
      <w:tr w:rsidR="00496A77" w:rsidRPr="004B2683" w:rsidTr="004B2683">
        <w:trPr>
          <w:trHeight w:val="57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办公椅、主席台椅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680*610*1050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2、海绵：①采用阻燃海绵：至少符合GB/T 10802-2006《通用软质聚醚型聚氨酯泡沫塑料》、QB/T 2280-2016《办公家具 办公椅》标准；甲醛释放量≤0.05mg/㎡h；表观密度≥50kg/m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②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力学性能：25%压陷硬度为93±12N；）65%/25%压陷比≥1.8；75%压缩永久变形≤8%；回弹率≥35%；拉伸强度≥90kPa；伸长率≥130%；撕裂强度≥2.0N/cm；）干热老化后拉伸强度≥55KPa；干热老化后拉伸强度变化率为±30%；湿热老化后拉伸强度≥55KPa；湿热老化后拉伸强度变化率为±30%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③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抗引燃特性：表面和内部未出现任何续燃、阴燃现象，通过香烟抗引燃特性试验；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>4、油漆：①采用环保水性涂料（面漆）：至少符合GB 18581-2020《木器涂料中有害物质限量》标准；②甲醛含量（水性涂料（含腻子））≤100mg/kg；③VOC含量（水性涂料（含腻子）色漆）≤250g/L；④总铅（Pb）含量（限色漆、腻子和醇酸清漆）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lastRenderedPageBreak/>
              <w:t xml:space="preserve">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255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桌前椅、会议椅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2、海绵：采用阻燃海绵：①至少符合GB/T 10802-2006《通用软质聚醚型聚氨酯泡沫塑料》、QB/T 2280-2016《办公家具 办公椅》标准；②甲醛释放量≤0.05mg/㎡h；③表观密度≥50kg/m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④物理力学性能：25%压陷硬度为93±12N；65%/25%压陷比≥1.8；75%压缩永久变形≤8%；回弹率≥35%；拉伸强度≥90kPa；伸长率≥130%；撕裂强度≥2.0N/cm；干热老化后拉伸强度≥55KPa；干热老化后拉伸强度变化率为±30%；湿热老化后拉伸强度≥55KPa；湿热老化后拉伸强度变化率为±30%；⑤抗引燃特性：表面和内部未出现任何续燃、阴燃现象，通过香烟抗引燃特性试验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4、油漆：采用环保水性涂料（面漆）：①至少符合GB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</w:t>
            </w:r>
          </w:p>
        </w:tc>
      </w:tr>
      <w:tr w:rsidR="00496A77" w:rsidRPr="004B2683" w:rsidTr="004B2683">
        <w:trPr>
          <w:trHeight w:val="55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860*840*970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2、海绵：采用阻燃海绵：①至少符合GB/T 10802-2006《通用软质聚醚型聚氨酯泡沫塑料》、QB/T 2280-2016《办公家具 办公椅》标准；②甲醛释放量≤0.05mg/㎡h；③表观密度≥50kg/m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④物理力学性能：（1）25%压陷硬度为93±12N；（2）65%/25%压陷比≥1.8；（3）75%压缩永久变形≤8%；（4）回弹率≥35%；（5）拉伸强度≥90kPa；（6）伸长率≥130%；（7）撕裂强度≥2.0N/cm；（8）干热老化后拉伸强度≥55KPa；（9）干热老化后拉伸强度变化率为±30%；（10）湿热老化后拉伸强度≥55KPa；（11）湿热老化后拉伸强度变化率为±30%；⑤抗引燃特性：表面和内部未出现任何续燃、阴燃现象，通过香烟抗引燃特性试验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4、油漆：采用环保水性涂料（面漆）：①至少符合GB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 xml:space="preserve">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条形茶几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680*480*520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6、五金配件：采用优质五金配件，所有五金件作防锈、防腐处理。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235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800*400*800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6、五金配件：采用优质五金配件，所有五金件作防锈、防腐处理。  </w:t>
            </w:r>
          </w:p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7、带烧水功能。</w:t>
            </w:r>
          </w:p>
        </w:tc>
      </w:tr>
      <w:tr w:rsidR="00496A77" w:rsidRPr="004B2683" w:rsidTr="004B2683">
        <w:trPr>
          <w:trHeight w:val="36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主席台条桌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1400*600*760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会议条桌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1200*500*760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定制会议桌1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6000*2000*750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3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主席台条桌2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900*600*760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196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定制会议桌2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3600*1600*760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3、基材：采用中密度纤维板：①至少符合GB 18580-2017《室内装饰装修材料 人造板及其制品中甲醛释放限量》、GB/T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</w:t>
            </w:r>
          </w:p>
        </w:tc>
      </w:tr>
      <w:tr w:rsidR="00496A77" w:rsidRPr="004B2683" w:rsidTr="004B2683">
        <w:trPr>
          <w:trHeight w:val="60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档案密集架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（加厚）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一组900*560*2400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一列4组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轨道：轨道采用20×20mm的45#优质碳素结构冷轧方钢，地轨板采用2.3mm优质冷轧钢板。轨道用螺栓固定，安装后与地面齐平，外观整洁大方，运行更为平稳。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2、底盘：底盘采用2.3 mm优质一级冷轧钢板制作，经折弯、焊接等工序后在Pc平台上装配而成，主要传动件为P204E级轴承，传动轴采用Φ20实心冷拉45#生产的1248齿链轮，符合GB113589标准，Φ8.5摩托连链条，滚轮采用HT200铸铁，连接管采用无缝钢管。</w:t>
            </w:r>
          </w:p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3、立柱：立柱采用1.2mm优质一级冷轧钢板，经模具冲压成形，搁板支承板孔间距符合标准要求，搁板/搁板支承板可沿立柱方向自由调整高度，从而达到充分利用空间的目的。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搁板、挂板：搁板均采用0.8mm优质一级冷轧钢板，经模具冲压成形，其中搁板折弯宽度25mm，单层承受力均布载荷≥80Kg，最大挠度≤3mm，24小时卸载后，无裂纹及永久变形，在全负荷载重情况下，架体无明显变形及倾斜现象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5、挂板均采用0.8mm优质一级冷轧钢板，经模具冲压成形。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6、密封、锁定及制动装置： 架体顶端装有防尘板；底部设有防鼠和防倾倒装置；列间接角面装有抗老化磁性密封条，形成两列间的全封闭，在满载及不均匀承重状态下,架体运行到位后架体之间隙小于1.5mm，具有较强的防碰撞、防尘、防鼠、防光等功能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7、传动机构：采用一体化传动机构，由链轮、链条、传动轴等组成，中间传动通过链条与传动轴传力于底架两端，确保架体受力均衡，运行稳定，传动同步、灵活、轻便、可靠并实现低噪音运行，架体在全负载情况下，操作运用自如，不会有阻滞现象，运行时嗓音不超过50分贝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8、摇手柄：摇手柄采用手轮式。自动挂档传动装置，停用后手柄自动停于垂直位置，且摇动任意列密集架产品所有部件表面均采用氧化剂，都不会带动其他各列手柄。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9、表面质量和表面处理：表面处理工艺流程经，除油-清洗-除锈-清洗-固化-清理-静电喷塑-高温热固等九工序处理，使产品光滑而耐磨，高贵典雅。采用宁波阿克苏诺贝尔环氧聚脂涂料进行静电喷涂，经高温塑化而成，表面均匀光滑，色泽一致、严密、平整、无划伤；光泽度达到85%以上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10制造公差：每标准节组装后，外部尺寸（长、宽、高）的极限偏差为±4mm；立柱与导轨平面垂直度不大于2mm，成批侧面板凹凸不超过5mm。侧板与中腰板的对缝间隙&lt;2mm.安装后，单根导轨直线度不大于1.0mm/m,两根导轨水平高度偏差不大于1.0mm/m,全长不大于2.0mm，导轨对接处高低差不大于0.3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11、产品延伸：产品具有对接互换性好，节型范围宽等优点，无论以后是列上加组或者直接加列都不会影响产品的使用。</w:t>
            </w:r>
          </w:p>
        </w:tc>
      </w:tr>
      <w:tr w:rsidR="00496A77" w:rsidRPr="004B2683" w:rsidTr="004B2683">
        <w:trPr>
          <w:trHeight w:val="25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防磁柜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大九抽：9个大抽：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320L：约放600盘磁带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规格1800*700*520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抽屉前板高100.宽546.深355mm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抽屉内空高170mm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钢材：采用一级冷轧钢板：①至少符合GB/T 3325-2017《金属家具通用技术条件》QB/T 3827-1999《轻工产品金属镀层和化学处理层的耐腐蚀试验方式 乙酸盐雾试验（ASS）法》标准；②金属表面耐腐蚀：乙酸盐雾连续喷雾≥600小时，耐腐蚀等级达到8级或以上；③金属喷漆（塑）涂层：硬度≥2H；附着力应不低于2级；冲击强度、耐腐蚀均符合标准要求；④金属件喷涂层：涂层应无漏喷、锈蚀和脱色、掉色现象；涂层应光滑均匀、色泽一致，应无流挂、疙瘩、皱皮、飞漆等缺陷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2、喷涂涂料：采用静电喷粉（塑粉）喷涂，符合GB 18581-2020标准，其中镉（Cd）含量≤2mg/kg、铬（Cr）含量≤2mg/kg、汞（Hg）含量≤2mg/kg、总铅(Pb）含量≤2mg/kg。</w:t>
            </w:r>
          </w:p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3、焊接工艺：焊接表面波纹应均匀，焊接处无脱焊、虚焊、焊穿。涂（镀）层应无脱落、返锈和粘漆。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4、五金配件：优质五金配件。                                                                                                                                                                 5、 防磁柜：内部专业加装防磁构造设计，能有效的屏蔽磁场，阻隔热源，从而使音带、磁带、录影带、磁盘、硬盘等资料的存放与保管，高效便捷安全可靠。防磁柜最大的功能特点就是针对外部磁场过大，热源太强或有强烈震源等原因引起的资料消磁现象，具有防止外来磁场对柜内磁性产品磁化作用，周围空间磁场强度达到达6000GS以上时，柜内装具间磁场不大于6GS（高斯），完全符合磁性产品的保质要求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6、板材厚度：采用1.0mm厚优质冷轧钢板。</w:t>
            </w:r>
          </w:p>
        </w:tc>
      </w:tr>
      <w:tr w:rsidR="00496A77" w:rsidRPr="004B2683" w:rsidTr="004B2683">
        <w:trPr>
          <w:trHeight w:val="22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1850*900*430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1、全钢板结构，柜体尺寸（高宽深）1850 mm×900 mm×430mm。①材质：采用0.8㎜优质冷轧钢板，重量在100公斤以上；②结构：上、下分5层，保证搬运顺利存、取。③外观：通体五节，外观光滑平整，无划伤、开裂和明显变形，货物表面涂层应色泽一致，不允许有涂层脱落或露底。柜体表面经酸洗磷化，全封闭静电喷塑。颜色：灰皱纹。④底部：装四个双面轴承的超静音滚轮方便移动，另配高品质可调高低的调整脚，保证地板不平时产品的稳定性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2、密码级数要求8位：可设置达8位的超强密码，增加破解难度。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3、应具备断电存码的功能：在密码锁断电的情况下保留密码锁已设定的相关信息。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4、自动报警的功能：在错误输入密码三次后，应自动报警。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5、智能管理的功能：遗忘密码，可以有技术解决更码。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6、保密锁一般都会有备用钥匙，这是保密柜不同于保险柜的原因，密码锁除可用密码外还可以使用备用机械钥匙打开，管理者配用，有利于管理各级部门。</w:t>
            </w:r>
          </w:p>
        </w:tc>
      </w:tr>
    </w:tbl>
    <w:p w:rsidR="00496A77" w:rsidRDefault="00496A77">
      <w:pPr>
        <w:pStyle w:val="a3"/>
        <w:ind w:firstLine="0"/>
      </w:pPr>
    </w:p>
    <w:p w:rsidR="00496A77" w:rsidRDefault="003F37B4">
      <w:pPr>
        <w:numPr>
          <w:ilvl w:val="0"/>
          <w:numId w:val="6"/>
        </w:numPr>
        <w:ind w:firstLineChars="200" w:firstLine="643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其他要求：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F45D39" w:rsidRPr="00D829A2">
        <w:rPr>
          <w:rFonts w:ascii="仿宋" w:eastAsia="仿宋" w:hAnsi="仿宋" w:hint="eastAsia"/>
          <w:color w:val="000000" w:themeColor="text1"/>
          <w:sz w:val="32"/>
          <w:szCs w:val="32"/>
        </w:rPr>
        <w:t>中标供应商在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签订正式合同前，须提供所有货物质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量检测报告及板材、五金件等样品。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2、供应商对提供货物实行三包，并按GB/T37652-2019《家具售后服务要求》提供家具售后服务。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采购人：榆林市国家安全局</w:t>
      </w:r>
    </w:p>
    <w:p w:rsidR="00496A77" w:rsidRDefault="00496A77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96A77" w:rsidRDefault="00496A77">
      <w:pPr>
        <w:ind w:firstLineChars="1600" w:firstLine="51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496A77" w:rsidSect="0049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7A" w:rsidRDefault="00F2057A" w:rsidP="004B2683">
      <w:r>
        <w:separator/>
      </w:r>
    </w:p>
  </w:endnote>
  <w:endnote w:type="continuationSeparator" w:id="1">
    <w:p w:rsidR="00F2057A" w:rsidRDefault="00F2057A" w:rsidP="004B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7A" w:rsidRDefault="00F2057A" w:rsidP="004B2683">
      <w:r>
        <w:separator/>
      </w:r>
    </w:p>
  </w:footnote>
  <w:footnote w:type="continuationSeparator" w:id="1">
    <w:p w:rsidR="00F2057A" w:rsidRDefault="00F2057A" w:rsidP="004B2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5A7BD"/>
    <w:multiLevelType w:val="singleLevel"/>
    <w:tmpl w:val="80B5A7BD"/>
    <w:lvl w:ilvl="0">
      <w:start w:val="1"/>
      <w:numFmt w:val="decimal"/>
      <w:suff w:val="nothing"/>
      <w:lvlText w:val="%1、"/>
      <w:lvlJc w:val="left"/>
    </w:lvl>
  </w:abstractNum>
  <w:abstractNum w:abstractNumId="1">
    <w:nsid w:val="C0656F85"/>
    <w:multiLevelType w:val="singleLevel"/>
    <w:tmpl w:val="F92E128E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0BBF0EFD"/>
    <w:multiLevelType w:val="singleLevel"/>
    <w:tmpl w:val="0BBF0EFD"/>
    <w:lvl w:ilvl="0">
      <w:start w:val="1"/>
      <w:numFmt w:val="decimal"/>
      <w:suff w:val="nothing"/>
      <w:lvlText w:val="%1、"/>
      <w:lvlJc w:val="left"/>
    </w:lvl>
  </w:abstractNum>
  <w:abstractNum w:abstractNumId="3">
    <w:nsid w:val="1ED351D3"/>
    <w:multiLevelType w:val="singleLevel"/>
    <w:tmpl w:val="1ED351D3"/>
    <w:lvl w:ilvl="0">
      <w:start w:val="1"/>
      <w:numFmt w:val="decimal"/>
      <w:suff w:val="nothing"/>
      <w:lvlText w:val="%1、"/>
      <w:lvlJc w:val="left"/>
    </w:lvl>
  </w:abstractNum>
  <w:abstractNum w:abstractNumId="4">
    <w:nsid w:val="437A33D4"/>
    <w:multiLevelType w:val="singleLevel"/>
    <w:tmpl w:val="437A33D4"/>
    <w:lvl w:ilvl="0">
      <w:start w:val="1"/>
      <w:numFmt w:val="decimal"/>
      <w:suff w:val="nothing"/>
      <w:lvlText w:val="%1、"/>
      <w:lvlJc w:val="left"/>
    </w:lvl>
  </w:abstractNum>
  <w:abstractNum w:abstractNumId="5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Q5ZDcyY2IwZjg5Zjc3ZWM1YzJhNGY2ZjQ3ZDY3Y2YifQ=="/>
  </w:docVars>
  <w:rsids>
    <w:rsidRoot w:val="004D1BFD"/>
    <w:rsid w:val="0001004A"/>
    <w:rsid w:val="00036B66"/>
    <w:rsid w:val="000370E4"/>
    <w:rsid w:val="0004159F"/>
    <w:rsid w:val="00044EF3"/>
    <w:rsid w:val="000567D7"/>
    <w:rsid w:val="0009405F"/>
    <w:rsid w:val="000C694A"/>
    <w:rsid w:val="000D5DF8"/>
    <w:rsid w:val="001A02AB"/>
    <w:rsid w:val="001A192C"/>
    <w:rsid w:val="001A4270"/>
    <w:rsid w:val="001A5CBC"/>
    <w:rsid w:val="001E5B12"/>
    <w:rsid w:val="00233183"/>
    <w:rsid w:val="002610E5"/>
    <w:rsid w:val="00265935"/>
    <w:rsid w:val="002663E8"/>
    <w:rsid w:val="00267567"/>
    <w:rsid w:val="0027578A"/>
    <w:rsid w:val="00295848"/>
    <w:rsid w:val="00295C75"/>
    <w:rsid w:val="00304299"/>
    <w:rsid w:val="003306CE"/>
    <w:rsid w:val="00331D33"/>
    <w:rsid w:val="0035619E"/>
    <w:rsid w:val="00360FD1"/>
    <w:rsid w:val="00374F4A"/>
    <w:rsid w:val="003D3513"/>
    <w:rsid w:val="003F37B4"/>
    <w:rsid w:val="00431CE5"/>
    <w:rsid w:val="00431DFD"/>
    <w:rsid w:val="0044676F"/>
    <w:rsid w:val="00492E7F"/>
    <w:rsid w:val="00496A77"/>
    <w:rsid w:val="004B2683"/>
    <w:rsid w:val="004D1BFD"/>
    <w:rsid w:val="004E5BA7"/>
    <w:rsid w:val="00552828"/>
    <w:rsid w:val="00590BC5"/>
    <w:rsid w:val="00612721"/>
    <w:rsid w:val="00625D16"/>
    <w:rsid w:val="00650E6B"/>
    <w:rsid w:val="00672874"/>
    <w:rsid w:val="0067639D"/>
    <w:rsid w:val="006766A3"/>
    <w:rsid w:val="00694AB5"/>
    <w:rsid w:val="00706951"/>
    <w:rsid w:val="00743DB6"/>
    <w:rsid w:val="0075413D"/>
    <w:rsid w:val="007659D7"/>
    <w:rsid w:val="00787D3A"/>
    <w:rsid w:val="007A5721"/>
    <w:rsid w:val="007A72BF"/>
    <w:rsid w:val="007C2FBE"/>
    <w:rsid w:val="007E32CC"/>
    <w:rsid w:val="007E4C30"/>
    <w:rsid w:val="007F46E7"/>
    <w:rsid w:val="007F5591"/>
    <w:rsid w:val="007F57A3"/>
    <w:rsid w:val="007F788C"/>
    <w:rsid w:val="00800CEE"/>
    <w:rsid w:val="00810106"/>
    <w:rsid w:val="00812812"/>
    <w:rsid w:val="00821D33"/>
    <w:rsid w:val="0082644F"/>
    <w:rsid w:val="00852138"/>
    <w:rsid w:val="00874C1D"/>
    <w:rsid w:val="008758A8"/>
    <w:rsid w:val="0088479A"/>
    <w:rsid w:val="008B0663"/>
    <w:rsid w:val="008D2068"/>
    <w:rsid w:val="008D5F7A"/>
    <w:rsid w:val="008F031E"/>
    <w:rsid w:val="00904672"/>
    <w:rsid w:val="0091456F"/>
    <w:rsid w:val="00914679"/>
    <w:rsid w:val="00915CEA"/>
    <w:rsid w:val="009201EB"/>
    <w:rsid w:val="0092299F"/>
    <w:rsid w:val="00922E3A"/>
    <w:rsid w:val="009324CD"/>
    <w:rsid w:val="00950B6F"/>
    <w:rsid w:val="009622AE"/>
    <w:rsid w:val="00970978"/>
    <w:rsid w:val="009A0482"/>
    <w:rsid w:val="009F0A74"/>
    <w:rsid w:val="00A05102"/>
    <w:rsid w:val="00A34FB3"/>
    <w:rsid w:val="00A540B4"/>
    <w:rsid w:val="00A912A5"/>
    <w:rsid w:val="00AB2885"/>
    <w:rsid w:val="00AB2FAE"/>
    <w:rsid w:val="00AB456A"/>
    <w:rsid w:val="00AD0AE1"/>
    <w:rsid w:val="00AD6FC1"/>
    <w:rsid w:val="00AF6B7C"/>
    <w:rsid w:val="00B17A40"/>
    <w:rsid w:val="00B72D69"/>
    <w:rsid w:val="00BA616A"/>
    <w:rsid w:val="00BB7F7B"/>
    <w:rsid w:val="00BC0E40"/>
    <w:rsid w:val="00BD6909"/>
    <w:rsid w:val="00BE7D90"/>
    <w:rsid w:val="00C1433E"/>
    <w:rsid w:val="00C17812"/>
    <w:rsid w:val="00C3524B"/>
    <w:rsid w:val="00C364D1"/>
    <w:rsid w:val="00C54F94"/>
    <w:rsid w:val="00C86BAE"/>
    <w:rsid w:val="00CF2C75"/>
    <w:rsid w:val="00D07F20"/>
    <w:rsid w:val="00D34861"/>
    <w:rsid w:val="00D458D0"/>
    <w:rsid w:val="00D631EE"/>
    <w:rsid w:val="00D829A2"/>
    <w:rsid w:val="00DA4B92"/>
    <w:rsid w:val="00DC381B"/>
    <w:rsid w:val="00DD3FB6"/>
    <w:rsid w:val="00DD6E6B"/>
    <w:rsid w:val="00DD6EA7"/>
    <w:rsid w:val="00E2339E"/>
    <w:rsid w:val="00E65A01"/>
    <w:rsid w:val="00E65B60"/>
    <w:rsid w:val="00E667AF"/>
    <w:rsid w:val="00E9705A"/>
    <w:rsid w:val="00EA2599"/>
    <w:rsid w:val="00EA7B44"/>
    <w:rsid w:val="00ED04EA"/>
    <w:rsid w:val="00F06076"/>
    <w:rsid w:val="00F2057A"/>
    <w:rsid w:val="00F3263B"/>
    <w:rsid w:val="00F45D39"/>
    <w:rsid w:val="00F50127"/>
    <w:rsid w:val="00F55781"/>
    <w:rsid w:val="00F629C8"/>
    <w:rsid w:val="00F81D1B"/>
    <w:rsid w:val="00F844F6"/>
    <w:rsid w:val="00FA01C1"/>
    <w:rsid w:val="00FC6A41"/>
    <w:rsid w:val="00FC74E8"/>
    <w:rsid w:val="013E0DEB"/>
    <w:rsid w:val="017E5B8F"/>
    <w:rsid w:val="047E0DF8"/>
    <w:rsid w:val="11BF74DE"/>
    <w:rsid w:val="13370BBE"/>
    <w:rsid w:val="17D8424D"/>
    <w:rsid w:val="185E7722"/>
    <w:rsid w:val="1A95479C"/>
    <w:rsid w:val="22B303E5"/>
    <w:rsid w:val="242908AD"/>
    <w:rsid w:val="26E04AC8"/>
    <w:rsid w:val="3205117D"/>
    <w:rsid w:val="373F768E"/>
    <w:rsid w:val="37AB5678"/>
    <w:rsid w:val="38E97095"/>
    <w:rsid w:val="3A144205"/>
    <w:rsid w:val="3CA24510"/>
    <w:rsid w:val="3EE22E72"/>
    <w:rsid w:val="44070EE2"/>
    <w:rsid w:val="497B664E"/>
    <w:rsid w:val="4F0A1774"/>
    <w:rsid w:val="51984A67"/>
    <w:rsid w:val="52095776"/>
    <w:rsid w:val="562D5A32"/>
    <w:rsid w:val="5CDF7602"/>
    <w:rsid w:val="5E7423B8"/>
    <w:rsid w:val="680148DE"/>
    <w:rsid w:val="6B211C8C"/>
    <w:rsid w:val="6C97087F"/>
    <w:rsid w:val="6DA55CA5"/>
    <w:rsid w:val="6F394D4F"/>
    <w:rsid w:val="7E0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496A77"/>
    <w:pPr>
      <w:ind w:firstLine="420"/>
    </w:pPr>
  </w:style>
  <w:style w:type="paragraph" w:styleId="a4">
    <w:name w:val="footer"/>
    <w:basedOn w:val="a"/>
    <w:link w:val="Char"/>
    <w:qFormat/>
    <w:rsid w:val="00496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96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96A77"/>
    <w:rPr>
      <w:sz w:val="24"/>
    </w:rPr>
  </w:style>
  <w:style w:type="character" w:customStyle="1" w:styleId="Char0">
    <w:name w:val="页眉 Char"/>
    <w:basedOn w:val="a0"/>
    <w:link w:val="a5"/>
    <w:qFormat/>
    <w:rsid w:val="00496A7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96A77"/>
    <w:rPr>
      <w:kern w:val="2"/>
      <w:sz w:val="18"/>
      <w:szCs w:val="18"/>
    </w:rPr>
  </w:style>
  <w:style w:type="character" w:customStyle="1" w:styleId="font21">
    <w:name w:val="font21"/>
    <w:basedOn w:val="a0"/>
    <w:rsid w:val="00496A77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2732</Words>
  <Characters>15578</Characters>
  <Application>Microsoft Office Word</Application>
  <DocSecurity>0</DocSecurity>
  <Lines>129</Lines>
  <Paragraphs>36</Paragraphs>
  <ScaleCrop>false</ScaleCrop>
  <Company>China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rkx</dc:creator>
  <cp:lastModifiedBy>lenovo</cp:lastModifiedBy>
  <cp:revision>84</cp:revision>
  <cp:lastPrinted>2020-07-21T01:19:00Z</cp:lastPrinted>
  <dcterms:created xsi:type="dcterms:W3CDTF">2019-03-06T00:55:00Z</dcterms:created>
  <dcterms:modified xsi:type="dcterms:W3CDTF">2023-11-01T06:45:00Z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BB810547BA1A4EACB9B28680858C4CC6</vt:lpwstr>
  </property>
</Properties>
</file>