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drawing>
          <wp:anchor distT="0" distB="0" distL="114300" distR="114300" simplePos="0" relativeHeight="251660288" behindDoc="0" locked="0" layoutInCell="1" allowOverlap="1">
            <wp:simplePos x="0" y="0"/>
            <wp:positionH relativeFrom="column">
              <wp:posOffset>-909955</wp:posOffset>
            </wp:positionH>
            <wp:positionV relativeFrom="paragraph">
              <wp:posOffset>-910590</wp:posOffset>
            </wp:positionV>
            <wp:extent cx="7548880" cy="10728960"/>
            <wp:effectExtent l="0" t="0" r="13970" b="15240"/>
            <wp:wrapSquare wrapText="bothSides"/>
            <wp:docPr id="2" name="图片 2" descr="c6e46b7173e7f12dcbe2e90796a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e46b7173e7f12dcbe2e90796a1939"/>
                    <pic:cNvPicPr>
                      <a:picLocks noChangeAspect="1"/>
                    </pic:cNvPicPr>
                  </pic:nvPicPr>
                  <pic:blipFill>
                    <a:blip r:embed="rId11"/>
                    <a:srcRect r="1667" b="1079"/>
                    <a:stretch>
                      <a:fillRect/>
                    </a:stretch>
                  </pic:blipFill>
                  <pic:spPr>
                    <a:xfrm>
                      <a:off x="0" y="0"/>
                      <a:ext cx="7548880" cy="10728960"/>
                    </a:xfrm>
                    <a:prstGeom prst="rect">
                      <a:avLst/>
                    </a:prstGeom>
                  </pic:spPr>
                </pic:pic>
              </a:graphicData>
            </a:graphic>
          </wp:anchor>
        </w:drawing>
      </w:r>
    </w:p>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p>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政府采购项目</w:t>
      </w:r>
    </w:p>
    <w:p>
      <w:pPr>
        <w:tabs>
          <w:tab w:val="left" w:pos="5670"/>
        </w:tabs>
        <w:autoSpaceDE w:val="0"/>
        <w:autoSpaceDN w:val="0"/>
        <w:adjustRightInd w:val="0"/>
        <w:spacing w:line="360" w:lineRule="auto"/>
        <w:ind w:right="64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政采编号：ZCSP-镇巴县-2023-00069</w:t>
      </w:r>
    </w:p>
    <w:p>
      <w:pPr>
        <w:tabs>
          <w:tab w:val="left" w:pos="5670"/>
        </w:tabs>
        <w:autoSpaceDE w:val="0"/>
        <w:autoSpaceDN w:val="0"/>
        <w:adjustRightInd w:val="0"/>
        <w:spacing w:line="360" w:lineRule="auto"/>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zh-CN"/>
        </w:rPr>
        <w:t>项目编号：</w:t>
      </w:r>
      <w:r>
        <w:rPr>
          <w:rFonts w:hint="eastAsia" w:ascii="仿宋" w:hAnsi="仿宋" w:eastAsia="仿宋" w:cs="仿宋"/>
          <w:b/>
          <w:bCs/>
          <w:color w:val="auto"/>
          <w:sz w:val="32"/>
          <w:szCs w:val="32"/>
          <w:highlight w:val="none"/>
          <w:lang w:eastAsia="zh-CN"/>
        </w:rPr>
        <w:t>DX2023-166</w:t>
      </w:r>
    </w:p>
    <w:p>
      <w:pPr>
        <w:tabs>
          <w:tab w:val="left" w:pos="5670"/>
        </w:tabs>
        <w:autoSpaceDE w:val="0"/>
        <w:autoSpaceDN w:val="0"/>
        <w:adjustRightInd w:val="0"/>
        <w:spacing w:line="360" w:lineRule="auto"/>
        <w:ind w:firstLine="300"/>
        <w:rPr>
          <w:rFonts w:hint="eastAsia" w:ascii="仿宋" w:hAnsi="仿宋" w:eastAsia="仿宋" w:cs="仿宋"/>
          <w:b/>
          <w:color w:val="auto"/>
          <w:sz w:val="32"/>
          <w:szCs w:val="32"/>
          <w:highlight w:val="none"/>
        </w:rPr>
      </w:pPr>
    </w:p>
    <w:p>
      <w:pPr>
        <w:tabs>
          <w:tab w:val="left" w:pos="5670"/>
        </w:tabs>
        <w:autoSpaceDE w:val="0"/>
        <w:autoSpaceDN w:val="0"/>
        <w:adjustRightInd w:val="0"/>
        <w:spacing w:line="360" w:lineRule="auto"/>
        <w:ind w:firstLine="300"/>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 xml:space="preserve"> </w:t>
      </w:r>
    </w:p>
    <w:p>
      <w:pPr>
        <w:tabs>
          <w:tab w:val="left" w:pos="5670"/>
        </w:tabs>
        <w:autoSpaceDE w:val="0"/>
        <w:autoSpaceDN w:val="0"/>
        <w:adjustRightInd w:val="0"/>
        <w:spacing w:line="360" w:lineRule="auto"/>
        <w:jc w:val="center"/>
        <w:rPr>
          <w:rFonts w:hint="eastAsia" w:ascii="仿宋" w:hAnsi="仿宋" w:eastAsia="仿宋" w:cs="仿宋"/>
          <w:b/>
          <w:bCs/>
          <w:color w:val="auto"/>
          <w:sz w:val="40"/>
          <w:szCs w:val="40"/>
          <w:highlight w:val="none"/>
          <w:lang w:val="zh-CN"/>
        </w:rPr>
      </w:pPr>
    </w:p>
    <w:p>
      <w:pPr>
        <w:tabs>
          <w:tab w:val="left" w:pos="5670"/>
        </w:tabs>
        <w:autoSpaceDE w:val="0"/>
        <w:autoSpaceDN w:val="0"/>
        <w:adjustRightInd w:val="0"/>
        <w:spacing w:line="360" w:lineRule="auto"/>
        <w:jc w:val="center"/>
        <w:rPr>
          <w:rFonts w:hint="eastAsia" w:ascii="宋体" w:hAnsi="宋体" w:cs="宋体"/>
          <w:b/>
          <w:bCs/>
          <w:sz w:val="40"/>
          <w:szCs w:val="40"/>
          <w:highlight w:val="none"/>
          <w:lang w:val="en-US" w:eastAsia="zh-CN"/>
        </w:rPr>
      </w:pPr>
      <w:r>
        <w:rPr>
          <w:rFonts w:hint="eastAsia" w:ascii="宋体" w:hAnsi="宋体" w:cs="宋体"/>
          <w:b/>
          <w:bCs/>
          <w:sz w:val="40"/>
          <w:szCs w:val="40"/>
          <w:highlight w:val="none"/>
          <w:lang w:val="en-US" w:eastAsia="zh-CN"/>
        </w:rPr>
        <w:t>镇巴县人民医院PACS及肺小结节智能诊断系统</w:t>
      </w:r>
    </w:p>
    <w:p>
      <w:pPr>
        <w:tabs>
          <w:tab w:val="left" w:pos="5670"/>
        </w:tabs>
        <w:autoSpaceDE w:val="0"/>
        <w:autoSpaceDN w:val="0"/>
        <w:adjustRightInd w:val="0"/>
        <w:spacing w:line="360" w:lineRule="auto"/>
        <w:jc w:val="center"/>
        <w:rPr>
          <w:rFonts w:hint="eastAsia" w:ascii="宋体" w:hAnsi="宋体" w:cs="宋体"/>
          <w:b/>
          <w:bCs/>
          <w:color w:val="auto"/>
          <w:sz w:val="32"/>
          <w:szCs w:val="32"/>
          <w:highlight w:val="none"/>
          <w:lang w:eastAsia="zh-CN"/>
        </w:rPr>
      </w:pPr>
      <w:r>
        <w:rPr>
          <w:rFonts w:hint="eastAsia" w:ascii="宋体" w:hAnsi="宋体" w:cs="宋体"/>
          <w:b/>
          <w:bCs/>
          <w:sz w:val="40"/>
          <w:szCs w:val="40"/>
          <w:highlight w:val="none"/>
          <w:lang w:val="en-US" w:eastAsia="zh-CN"/>
        </w:rPr>
        <w:t>采购项目</w:t>
      </w:r>
    </w:p>
    <w:p>
      <w:pPr>
        <w:tabs>
          <w:tab w:val="left" w:pos="5670"/>
        </w:tabs>
        <w:autoSpaceDE w:val="0"/>
        <w:autoSpaceDN w:val="0"/>
        <w:adjustRightInd w:val="0"/>
        <w:spacing w:line="360" w:lineRule="auto"/>
        <w:jc w:val="center"/>
        <w:rPr>
          <w:rFonts w:hint="eastAsia" w:ascii="宋体" w:hAnsi="宋体" w:cs="宋体"/>
          <w:b/>
          <w:bCs/>
          <w:sz w:val="40"/>
          <w:szCs w:val="40"/>
          <w:highlight w:val="none"/>
          <w:lang w:val="en-US" w:eastAsia="zh-CN"/>
        </w:rPr>
      </w:pPr>
      <w:r>
        <w:rPr>
          <w:rFonts w:hint="eastAsia" w:ascii="宋体" w:hAnsi="宋体" w:cs="宋体"/>
          <w:b/>
          <w:bCs/>
          <w:sz w:val="40"/>
          <w:szCs w:val="40"/>
          <w:highlight w:val="none"/>
          <w:lang w:val="en-US" w:eastAsia="zh-CN"/>
        </w:rPr>
        <w:t>（包2：肺小结节智能诊断系统）</w:t>
      </w:r>
    </w:p>
    <w:p>
      <w:pPr>
        <w:tabs>
          <w:tab w:val="left" w:pos="5670"/>
        </w:tabs>
        <w:autoSpaceDE w:val="0"/>
        <w:autoSpaceDN w:val="0"/>
        <w:adjustRightInd w:val="0"/>
        <w:spacing w:line="360" w:lineRule="auto"/>
        <w:jc w:val="both"/>
        <w:rPr>
          <w:rFonts w:hint="eastAsia" w:ascii="宋体" w:hAnsi="宋体" w:cs="宋体"/>
          <w:b/>
          <w:bCs/>
          <w:color w:val="auto"/>
          <w:sz w:val="44"/>
          <w:szCs w:val="44"/>
          <w:highlight w:val="none"/>
        </w:rPr>
      </w:pPr>
    </w:p>
    <w:p>
      <w:pPr>
        <w:tabs>
          <w:tab w:val="left" w:pos="5670"/>
        </w:tabs>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cs="宋体"/>
          <w:b/>
          <w:bCs/>
          <w:color w:val="auto"/>
          <w:sz w:val="44"/>
          <w:szCs w:val="44"/>
          <w:highlight w:val="none"/>
        </w:rPr>
        <w:t xml:space="preserve">招 </w:t>
      </w:r>
      <w:r>
        <w:rPr>
          <w:rFonts w:hint="eastAsia" w:ascii="宋体" w:hAnsi="宋体" w:cs="宋体"/>
          <w:b/>
          <w:bCs/>
          <w:color w:val="auto"/>
          <w:sz w:val="44"/>
          <w:szCs w:val="44"/>
          <w:highlight w:val="none"/>
          <w:lang w:val="zh-CN"/>
        </w:rPr>
        <w:t>标</w:t>
      </w:r>
      <w:r>
        <w:rPr>
          <w:rFonts w:hint="eastAsia" w:ascii="宋体" w:hAnsi="宋体" w:cs="宋体"/>
          <w:b/>
          <w:bCs/>
          <w:color w:val="auto"/>
          <w:sz w:val="44"/>
          <w:szCs w:val="44"/>
          <w:highlight w:val="none"/>
        </w:rPr>
        <w:t xml:space="preserve"> </w:t>
      </w:r>
      <w:r>
        <w:rPr>
          <w:rFonts w:hint="eastAsia" w:ascii="宋体" w:hAnsi="宋体" w:cs="宋体"/>
          <w:b/>
          <w:bCs/>
          <w:color w:val="auto"/>
          <w:sz w:val="44"/>
          <w:szCs w:val="44"/>
          <w:highlight w:val="none"/>
          <w:lang w:val="zh-CN"/>
        </w:rPr>
        <w:t>文</w:t>
      </w:r>
      <w:r>
        <w:rPr>
          <w:rFonts w:hint="eastAsia" w:ascii="宋体" w:hAnsi="宋体" w:cs="宋体"/>
          <w:b/>
          <w:bCs/>
          <w:color w:val="auto"/>
          <w:sz w:val="44"/>
          <w:szCs w:val="44"/>
          <w:highlight w:val="none"/>
        </w:rPr>
        <w:t xml:space="preserve"> </w:t>
      </w:r>
      <w:r>
        <w:rPr>
          <w:rFonts w:hint="eastAsia" w:ascii="宋体" w:hAnsi="宋体" w:cs="宋体"/>
          <w:b/>
          <w:bCs/>
          <w:color w:val="auto"/>
          <w:sz w:val="44"/>
          <w:szCs w:val="44"/>
          <w:highlight w:val="none"/>
          <w:lang w:val="zh-CN"/>
        </w:rPr>
        <w:t>件</w:t>
      </w:r>
      <w:r>
        <w:rPr>
          <w:rFonts w:hint="eastAsia" w:ascii="宋体" w:hAnsi="宋体" w:cs="宋体"/>
          <w:b/>
          <w:color w:val="auto"/>
          <w:sz w:val="44"/>
          <w:szCs w:val="44"/>
          <w:highlight w:val="none"/>
        </w:rPr>
        <w:t xml:space="preserve"> </w:t>
      </w:r>
    </w:p>
    <w:p>
      <w:pPr>
        <w:tabs>
          <w:tab w:val="left" w:pos="5670"/>
        </w:tabs>
        <w:autoSpaceDE w:val="0"/>
        <w:autoSpaceDN w:val="0"/>
        <w:adjustRightInd w:val="0"/>
        <w:spacing w:line="360" w:lineRule="auto"/>
        <w:jc w:val="both"/>
        <w:rPr>
          <w:rFonts w:hint="eastAsia" w:ascii="仿宋" w:hAnsi="仿宋" w:eastAsia="仿宋" w:cs="仿宋"/>
          <w:b/>
          <w:bCs/>
          <w:color w:val="auto"/>
          <w:sz w:val="32"/>
          <w:szCs w:val="32"/>
          <w:highlight w:val="none"/>
          <w:lang w:val="zh-CN"/>
        </w:rPr>
      </w:pPr>
    </w:p>
    <w:p>
      <w:pPr>
        <w:pStyle w:val="21"/>
        <w:ind w:firstLine="321"/>
        <w:rPr>
          <w:rFonts w:hint="eastAsia" w:ascii="仿宋" w:hAnsi="仿宋" w:eastAsia="仿宋" w:cs="仿宋"/>
          <w:b/>
          <w:bCs/>
          <w:color w:val="auto"/>
          <w:sz w:val="32"/>
          <w:szCs w:val="32"/>
          <w:highlight w:val="none"/>
          <w:lang w:val="zh-CN"/>
        </w:rPr>
      </w:pPr>
    </w:p>
    <w:p>
      <w:pPr>
        <w:pStyle w:val="21"/>
        <w:ind w:firstLine="321"/>
        <w:rPr>
          <w:rFonts w:hint="eastAsia" w:ascii="仿宋" w:hAnsi="仿宋" w:eastAsia="仿宋" w:cs="仿宋"/>
          <w:b/>
          <w:bCs/>
          <w:color w:val="auto"/>
          <w:sz w:val="32"/>
          <w:szCs w:val="32"/>
          <w:highlight w:val="none"/>
          <w:lang w:val="zh-CN"/>
        </w:rPr>
      </w:pPr>
    </w:p>
    <w:p>
      <w:pPr>
        <w:autoSpaceDE w:val="0"/>
        <w:autoSpaceDN w:val="0"/>
        <w:adjustRightInd w:val="0"/>
        <w:snapToGrid w:val="0"/>
        <w:spacing w:line="360" w:lineRule="auto"/>
        <w:ind w:firstLine="1606" w:firstLineChars="500"/>
        <w:jc w:val="both"/>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采</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购</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zh-CN"/>
        </w:rPr>
        <w:t>人：</w:t>
      </w:r>
      <w:r>
        <w:rPr>
          <w:rFonts w:hint="eastAsia" w:ascii="仿宋" w:hAnsi="仿宋" w:eastAsia="仿宋" w:cs="仿宋"/>
          <w:b/>
          <w:bCs/>
          <w:color w:val="auto"/>
          <w:sz w:val="32"/>
          <w:szCs w:val="32"/>
          <w:highlight w:val="none"/>
          <w:lang w:val="zh-CN" w:eastAsia="zh-CN"/>
        </w:rPr>
        <w:t>镇巴县人民医院</w:t>
      </w:r>
    </w:p>
    <w:p>
      <w:pPr>
        <w:tabs>
          <w:tab w:val="left" w:pos="5670"/>
        </w:tabs>
        <w:autoSpaceDE w:val="0"/>
        <w:autoSpaceDN w:val="0"/>
        <w:adjustRightIn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采购代理机构：陕西笃信招标有限公司</w:t>
      </w:r>
      <w:r>
        <w:rPr>
          <w:rFonts w:hint="eastAsia" w:ascii="仿宋" w:hAnsi="仿宋" w:eastAsia="仿宋" w:cs="仿宋"/>
          <w:b/>
          <w:bCs/>
          <w:color w:val="auto"/>
          <w:sz w:val="32"/>
          <w:szCs w:val="32"/>
          <w:highlight w:val="none"/>
        </w:rPr>
        <w:t xml:space="preserve"> </w:t>
      </w:r>
    </w:p>
    <w:p>
      <w:pPr>
        <w:tabs>
          <w:tab w:val="left" w:pos="5460"/>
        </w:tabs>
        <w:autoSpaceDE w:val="0"/>
        <w:autoSpaceDN w:val="0"/>
        <w:adjustRightInd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zh-CN"/>
        </w:rPr>
        <w:t>二零二</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年</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lang w:val="zh-CN"/>
        </w:rPr>
        <w:t>月</w:t>
      </w:r>
    </w:p>
    <w:p>
      <w:pPr>
        <w:rPr>
          <w:color w:val="auto"/>
          <w:highlight w:val="none"/>
        </w:rPr>
      </w:pPr>
      <w:bookmarkStart w:id="0" w:name="_Toc475451543"/>
      <w:bookmarkStart w:id="1" w:name="_Toc6076"/>
      <w:bookmarkStart w:id="2" w:name="_Toc20047"/>
    </w:p>
    <w:p>
      <w:pPr>
        <w:spacing w:line="360" w:lineRule="auto"/>
        <w:jc w:val="center"/>
        <w:rPr>
          <w:rFonts w:hint="eastAsia" w:ascii="仿宋" w:hAnsi="仿宋" w:eastAsia="仿宋" w:cs="仿宋"/>
          <w:color w:val="auto"/>
          <w:sz w:val="28"/>
          <w:szCs w:val="28"/>
          <w:highlight w:val="none"/>
        </w:rPr>
      </w:pPr>
      <w:bookmarkStart w:id="532" w:name="_GoBack"/>
      <w:bookmarkEnd w:id="532"/>
      <w:r>
        <w:rPr>
          <w:rFonts w:hint="eastAsia" w:ascii="仿宋" w:hAnsi="仿宋" w:eastAsia="仿宋" w:cs="仿宋"/>
          <w:color w:val="auto"/>
          <w:highlight w:val="none"/>
        </w:rPr>
        <w:br w:type="page"/>
      </w:r>
      <w:bookmarkStart w:id="3" w:name="_Toc20135"/>
      <w:bookmarkStart w:id="4" w:name="_Toc4593"/>
      <w:bookmarkStart w:id="5" w:name="_Toc25835"/>
      <w:bookmarkStart w:id="6" w:name="_Toc22159"/>
      <w:r>
        <w:rPr>
          <w:rFonts w:hint="eastAsia" w:ascii="仿宋" w:hAnsi="仿宋" w:eastAsia="仿宋" w:cs="仿宋"/>
          <w:b/>
          <w:bCs/>
          <w:color w:val="auto"/>
          <w:sz w:val="28"/>
          <w:szCs w:val="28"/>
          <w:highlight w:val="none"/>
        </w:rPr>
        <w:t>目  录</w:t>
      </w:r>
      <w:bookmarkStart w:id="7" w:name="_Toc31037"/>
    </w:p>
    <w:p>
      <w:pPr>
        <w:pStyle w:val="17"/>
        <w:tabs>
          <w:tab w:val="right" w:leader="dot" w:pos="9072"/>
          <w:tab w:val="clear" w:pos="9060"/>
        </w:tabs>
        <w:rPr>
          <w:highlight w:val="none"/>
        </w:rPr>
      </w:pPr>
      <w:r>
        <w:rPr>
          <w:rFonts w:hint="eastAsia" w:ascii="仿宋" w:hAnsi="仿宋" w:eastAsia="仿宋" w:cs="仿宋"/>
          <w:b w:val="0"/>
          <w:bCs w:val="0"/>
          <w:color w:val="auto"/>
          <w:sz w:val="21"/>
          <w:szCs w:val="21"/>
          <w:highlight w:val="none"/>
        </w:rPr>
        <w:fldChar w:fldCharType="begin"/>
      </w:r>
      <w:r>
        <w:rPr>
          <w:rFonts w:hint="eastAsia" w:ascii="仿宋" w:hAnsi="仿宋" w:eastAsia="仿宋" w:cs="仿宋"/>
          <w:b w:val="0"/>
          <w:bCs w:val="0"/>
          <w:color w:val="auto"/>
          <w:sz w:val="21"/>
          <w:szCs w:val="21"/>
          <w:highlight w:val="none"/>
        </w:rPr>
        <w:instrText xml:space="preserve">TOC \o "1-3" \h \u </w:instrText>
      </w:r>
      <w:r>
        <w:rPr>
          <w:rFonts w:hint="eastAsia" w:ascii="仿宋" w:hAnsi="仿宋" w:eastAsia="仿宋" w:cs="仿宋"/>
          <w:b w:val="0"/>
          <w:bCs w:val="0"/>
          <w:color w:val="auto"/>
          <w:sz w:val="21"/>
          <w:szCs w:val="21"/>
          <w:highlight w:val="none"/>
        </w:rPr>
        <w:fldChar w:fldCharType="separate"/>
      </w: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_Toc23454 </w:instrText>
      </w:r>
      <w:r>
        <w:rPr>
          <w:rFonts w:hint="eastAsia" w:ascii="仿宋" w:hAnsi="仿宋" w:eastAsia="仿宋" w:cs="仿宋"/>
          <w:bCs w:val="0"/>
          <w:szCs w:val="21"/>
          <w:highlight w:val="none"/>
        </w:rPr>
        <w:fldChar w:fldCharType="separate"/>
      </w:r>
      <w:r>
        <w:rPr>
          <w:rFonts w:hint="eastAsia" w:ascii="仿宋" w:hAnsi="仿宋" w:eastAsia="仿宋" w:cs="仿宋"/>
          <w:kern w:val="2"/>
          <w:szCs w:val="32"/>
          <w:highlight w:val="none"/>
          <w:lang w:val="zh-CN"/>
        </w:rPr>
        <w:t>第一部分  招标公告</w:t>
      </w:r>
      <w:r>
        <w:rPr>
          <w:highlight w:val="none"/>
        </w:rPr>
        <w:tab/>
      </w:r>
      <w:r>
        <w:rPr>
          <w:highlight w:val="none"/>
        </w:rPr>
        <w:fldChar w:fldCharType="begin"/>
      </w:r>
      <w:r>
        <w:rPr>
          <w:highlight w:val="none"/>
        </w:rPr>
        <w:instrText xml:space="preserve"> PAGEREF _Toc23454 \h </w:instrText>
      </w:r>
      <w:r>
        <w:rPr>
          <w:highlight w:val="none"/>
        </w:rPr>
        <w:fldChar w:fldCharType="separate"/>
      </w:r>
      <w:r>
        <w:rPr>
          <w:highlight w:val="none"/>
        </w:rPr>
        <w:t>4</w:t>
      </w:r>
      <w:r>
        <w:rPr>
          <w:highlight w:val="none"/>
        </w:rPr>
        <w:fldChar w:fldCharType="end"/>
      </w:r>
      <w:r>
        <w:rPr>
          <w:rFonts w:hint="eastAsia" w:ascii="仿宋" w:hAnsi="仿宋" w:eastAsia="仿宋" w:cs="仿宋"/>
          <w:bCs w:val="0"/>
          <w:color w:val="auto"/>
          <w:szCs w:val="21"/>
          <w:highlight w:val="none"/>
        </w:rPr>
        <w:fldChar w:fldCharType="end"/>
      </w:r>
    </w:p>
    <w:p>
      <w:pPr>
        <w:pStyle w:val="17"/>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_Toc31958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lang w:val="zh-CN"/>
        </w:rPr>
        <w:t>第二部分</w:t>
      </w:r>
      <w:r>
        <w:rPr>
          <w:rFonts w:hint="eastAsia" w:ascii="仿宋" w:hAnsi="仿宋" w:eastAsia="仿宋" w:cs="仿宋"/>
          <w:szCs w:val="32"/>
          <w:highlight w:val="none"/>
        </w:rPr>
        <w:t xml:space="preserve">  </w:t>
      </w:r>
      <w:r>
        <w:rPr>
          <w:rFonts w:hint="eastAsia" w:ascii="仿宋" w:hAnsi="仿宋" w:eastAsia="仿宋" w:cs="仿宋"/>
          <w:szCs w:val="32"/>
          <w:highlight w:val="none"/>
          <w:lang w:val="zh-CN"/>
        </w:rPr>
        <w:t>投标人须知</w:t>
      </w:r>
      <w:r>
        <w:rPr>
          <w:highlight w:val="none"/>
        </w:rPr>
        <w:tab/>
      </w:r>
      <w:r>
        <w:rPr>
          <w:highlight w:val="none"/>
        </w:rPr>
        <w:fldChar w:fldCharType="begin"/>
      </w:r>
      <w:r>
        <w:rPr>
          <w:highlight w:val="none"/>
        </w:rPr>
        <w:instrText xml:space="preserve"> PAGEREF _Toc31958 \h </w:instrText>
      </w:r>
      <w:r>
        <w:rPr>
          <w:highlight w:val="none"/>
        </w:rPr>
        <w:fldChar w:fldCharType="separate"/>
      </w:r>
      <w:r>
        <w:rPr>
          <w:highlight w:val="none"/>
        </w:rPr>
        <w:t>8</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_Toc5911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一、总则</w:t>
      </w:r>
      <w:r>
        <w:rPr>
          <w:highlight w:val="none"/>
        </w:rPr>
        <w:tab/>
      </w:r>
      <w:r>
        <w:rPr>
          <w:highlight w:val="none"/>
        </w:rPr>
        <w:fldChar w:fldCharType="begin"/>
      </w:r>
      <w:r>
        <w:rPr>
          <w:highlight w:val="none"/>
        </w:rPr>
        <w:instrText xml:space="preserve"> PAGEREF _Toc5911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_Toc16969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（一）适用范围</w:t>
      </w:r>
      <w:r>
        <w:rPr>
          <w:highlight w:val="none"/>
        </w:rPr>
        <w:tab/>
      </w:r>
      <w:r>
        <w:rPr>
          <w:highlight w:val="none"/>
        </w:rPr>
        <w:fldChar w:fldCharType="begin"/>
      </w:r>
      <w:r>
        <w:rPr>
          <w:highlight w:val="none"/>
        </w:rPr>
        <w:instrText xml:space="preserve"> PAGEREF _Toc16969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_Toc14276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（二）名词解释</w:t>
      </w:r>
      <w:r>
        <w:rPr>
          <w:highlight w:val="none"/>
        </w:rPr>
        <w:tab/>
      </w:r>
      <w:r>
        <w:rPr>
          <w:highlight w:val="none"/>
        </w:rPr>
        <w:fldChar w:fldCharType="begin"/>
      </w:r>
      <w:r>
        <w:rPr>
          <w:highlight w:val="none"/>
        </w:rPr>
        <w:instrText xml:space="preserve"> PAGEREF _Toc14276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_Toc845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二、招标文件</w:t>
      </w:r>
      <w:r>
        <w:rPr>
          <w:highlight w:val="none"/>
        </w:rPr>
        <w:tab/>
      </w:r>
      <w:r>
        <w:rPr>
          <w:highlight w:val="none"/>
        </w:rPr>
        <w:fldChar w:fldCharType="begin"/>
      </w:r>
      <w:r>
        <w:rPr>
          <w:highlight w:val="none"/>
        </w:rPr>
        <w:instrText xml:space="preserve"> PAGEREF _Toc845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_Toc10553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（一）招标文件的组成</w:t>
      </w:r>
      <w:r>
        <w:rPr>
          <w:highlight w:val="none"/>
        </w:rPr>
        <w:tab/>
      </w:r>
      <w:r>
        <w:rPr>
          <w:highlight w:val="none"/>
        </w:rPr>
        <w:fldChar w:fldCharType="begin"/>
      </w:r>
      <w:r>
        <w:rPr>
          <w:highlight w:val="none"/>
        </w:rPr>
        <w:instrText xml:space="preserve"> PAGEREF _Toc10553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_Toc14478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rPr>
        <w:t>（二）</w:t>
      </w:r>
      <w:r>
        <w:rPr>
          <w:rFonts w:hint="eastAsia" w:ascii="仿宋" w:hAnsi="仿宋" w:eastAsia="仿宋" w:cs="仿宋"/>
          <w:bCs/>
          <w:szCs w:val="24"/>
          <w:highlight w:val="none"/>
          <w:lang w:val="zh-CN"/>
        </w:rPr>
        <w:t>招标文件的修改或澄清</w:t>
      </w:r>
      <w:r>
        <w:rPr>
          <w:highlight w:val="none"/>
        </w:rPr>
        <w:tab/>
      </w:r>
      <w:r>
        <w:rPr>
          <w:highlight w:val="none"/>
        </w:rPr>
        <w:fldChar w:fldCharType="begin"/>
      </w:r>
      <w:r>
        <w:rPr>
          <w:highlight w:val="none"/>
        </w:rPr>
        <w:instrText xml:space="preserve"> PAGEREF _Toc14478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_Toc30509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rPr>
        <w:t>（三）</w:t>
      </w:r>
      <w:r>
        <w:rPr>
          <w:rFonts w:hint="eastAsia" w:ascii="仿宋" w:hAnsi="仿宋" w:eastAsia="仿宋" w:cs="仿宋"/>
          <w:bCs/>
          <w:szCs w:val="24"/>
          <w:highlight w:val="none"/>
          <w:lang w:val="zh-CN"/>
        </w:rPr>
        <w:t>招标文件的询问、质疑及答复</w:t>
      </w:r>
      <w:r>
        <w:rPr>
          <w:highlight w:val="none"/>
        </w:rPr>
        <w:tab/>
      </w:r>
      <w:r>
        <w:rPr>
          <w:highlight w:val="none"/>
        </w:rPr>
        <w:fldChar w:fldCharType="begin"/>
      </w:r>
      <w:r>
        <w:rPr>
          <w:highlight w:val="none"/>
        </w:rPr>
        <w:instrText xml:space="preserve"> PAGEREF _Toc30509 \h </w:instrText>
      </w:r>
      <w:r>
        <w:rPr>
          <w:highlight w:val="none"/>
        </w:rPr>
        <w:fldChar w:fldCharType="separate"/>
      </w:r>
      <w:r>
        <w:rPr>
          <w:highlight w:val="none"/>
        </w:rPr>
        <w:t>11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_Toc2734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（四）招标文件的解释权</w:t>
      </w:r>
      <w:r>
        <w:rPr>
          <w:highlight w:val="none"/>
        </w:rPr>
        <w:tab/>
      </w:r>
      <w:r>
        <w:rPr>
          <w:highlight w:val="none"/>
        </w:rPr>
        <w:fldChar w:fldCharType="begin"/>
      </w:r>
      <w:r>
        <w:rPr>
          <w:highlight w:val="none"/>
        </w:rPr>
        <w:instrText xml:space="preserve"> PAGEREF _Toc2734 \h </w:instrText>
      </w:r>
      <w:r>
        <w:rPr>
          <w:highlight w:val="none"/>
        </w:rPr>
        <w:fldChar w:fldCharType="separate"/>
      </w:r>
      <w:r>
        <w:rPr>
          <w:highlight w:val="none"/>
        </w:rPr>
        <w:t>12</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_Toc15347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三、投标要求</w:t>
      </w:r>
      <w:r>
        <w:rPr>
          <w:highlight w:val="none"/>
        </w:rPr>
        <w:tab/>
      </w:r>
      <w:r>
        <w:rPr>
          <w:highlight w:val="none"/>
        </w:rPr>
        <w:fldChar w:fldCharType="begin"/>
      </w:r>
      <w:r>
        <w:rPr>
          <w:highlight w:val="none"/>
        </w:rPr>
        <w:instrText xml:space="preserve"> PAGEREF _Toc15347 \h </w:instrText>
      </w:r>
      <w:r>
        <w:rPr>
          <w:highlight w:val="none"/>
        </w:rPr>
        <w:fldChar w:fldCharType="separate"/>
      </w:r>
      <w:r>
        <w:rPr>
          <w:highlight w:val="none"/>
        </w:rPr>
        <w:t>12</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_Toc12793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rPr>
        <w:t>（一）投标内容</w:t>
      </w:r>
      <w:r>
        <w:rPr>
          <w:highlight w:val="none"/>
        </w:rPr>
        <w:tab/>
      </w:r>
      <w:r>
        <w:rPr>
          <w:highlight w:val="none"/>
        </w:rPr>
        <w:fldChar w:fldCharType="begin"/>
      </w:r>
      <w:r>
        <w:rPr>
          <w:highlight w:val="none"/>
        </w:rPr>
        <w:instrText xml:space="preserve"> PAGEREF _Toc12793 \h </w:instrText>
      </w:r>
      <w:r>
        <w:rPr>
          <w:highlight w:val="none"/>
        </w:rPr>
        <w:fldChar w:fldCharType="separate"/>
      </w:r>
      <w:r>
        <w:rPr>
          <w:highlight w:val="none"/>
        </w:rPr>
        <w:t>12</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_Toc12694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rPr>
        <w:t>（二）</w:t>
      </w:r>
      <w:r>
        <w:rPr>
          <w:rFonts w:hint="eastAsia" w:ascii="仿宋" w:hAnsi="仿宋" w:eastAsia="仿宋" w:cs="仿宋"/>
          <w:szCs w:val="24"/>
          <w:highlight w:val="none"/>
          <w:lang w:val="zh-CN"/>
        </w:rPr>
        <w:t>合格的投标人要求（包</w:t>
      </w:r>
      <w:r>
        <w:rPr>
          <w:rFonts w:hint="eastAsia" w:ascii="仿宋" w:hAnsi="仿宋" w:eastAsia="仿宋" w:cs="仿宋"/>
          <w:szCs w:val="24"/>
          <w:highlight w:val="none"/>
          <w:lang w:val="en-US" w:eastAsia="zh-CN"/>
        </w:rPr>
        <w:t>2：</w:t>
      </w:r>
      <w:r>
        <w:rPr>
          <w:rFonts w:hint="eastAsia" w:ascii="仿宋" w:hAnsi="仿宋" w:eastAsia="仿宋" w:cs="仿宋"/>
          <w:szCs w:val="24"/>
          <w:highlight w:val="none"/>
          <w:lang w:val="zh-CN" w:eastAsia="zh-CN"/>
        </w:rPr>
        <w:t>肺小结节智能诊断系统</w:t>
      </w:r>
      <w:r>
        <w:rPr>
          <w:rFonts w:hint="eastAsia" w:ascii="仿宋" w:hAnsi="仿宋" w:eastAsia="仿宋" w:cs="仿宋"/>
          <w:szCs w:val="24"/>
          <w:highlight w:val="none"/>
          <w:lang w:val="zh-CN"/>
        </w:rPr>
        <w:t>）</w:t>
      </w:r>
      <w:r>
        <w:rPr>
          <w:highlight w:val="none"/>
        </w:rPr>
        <w:tab/>
      </w:r>
      <w:r>
        <w:rPr>
          <w:highlight w:val="none"/>
        </w:rPr>
        <w:fldChar w:fldCharType="begin"/>
      </w:r>
      <w:r>
        <w:rPr>
          <w:highlight w:val="none"/>
        </w:rPr>
        <w:instrText xml:space="preserve"> PAGEREF _Toc12694 \h </w:instrText>
      </w:r>
      <w:r>
        <w:rPr>
          <w:highlight w:val="none"/>
        </w:rPr>
        <w:fldChar w:fldCharType="separate"/>
      </w:r>
      <w:r>
        <w:rPr>
          <w:highlight w:val="none"/>
        </w:rPr>
        <w:t>12</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_Toc20516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rPr>
        <w:t>（三）</w:t>
      </w:r>
      <w:r>
        <w:rPr>
          <w:rFonts w:hint="eastAsia" w:ascii="仿宋" w:hAnsi="仿宋" w:eastAsia="仿宋" w:cs="仿宋"/>
          <w:bCs/>
          <w:szCs w:val="24"/>
          <w:highlight w:val="none"/>
          <w:lang w:val="zh-CN"/>
        </w:rPr>
        <w:t>限制投标要求</w:t>
      </w:r>
      <w:r>
        <w:rPr>
          <w:highlight w:val="none"/>
        </w:rPr>
        <w:tab/>
      </w:r>
      <w:r>
        <w:rPr>
          <w:highlight w:val="none"/>
        </w:rPr>
        <w:fldChar w:fldCharType="begin"/>
      </w:r>
      <w:r>
        <w:rPr>
          <w:highlight w:val="none"/>
        </w:rPr>
        <w:instrText xml:space="preserve"> PAGEREF _Toc20516 \h </w:instrText>
      </w:r>
      <w:r>
        <w:rPr>
          <w:highlight w:val="none"/>
        </w:rPr>
        <w:fldChar w:fldCharType="separate"/>
      </w:r>
      <w:r>
        <w:rPr>
          <w:highlight w:val="none"/>
        </w:rPr>
        <w:t>13</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_Toc5367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rPr>
        <w:t>（四）</w:t>
      </w:r>
      <w:r>
        <w:rPr>
          <w:rFonts w:hint="eastAsia" w:ascii="仿宋" w:hAnsi="仿宋" w:eastAsia="仿宋" w:cs="仿宋"/>
          <w:bCs/>
          <w:szCs w:val="24"/>
          <w:highlight w:val="none"/>
          <w:lang w:val="zh-CN"/>
        </w:rPr>
        <w:t>投标文件有效期</w:t>
      </w:r>
      <w:r>
        <w:rPr>
          <w:highlight w:val="none"/>
        </w:rPr>
        <w:tab/>
      </w:r>
      <w:r>
        <w:rPr>
          <w:highlight w:val="none"/>
        </w:rPr>
        <w:fldChar w:fldCharType="begin"/>
      </w:r>
      <w:r>
        <w:rPr>
          <w:highlight w:val="none"/>
        </w:rPr>
        <w:instrText xml:space="preserve"> PAGEREF _Toc5367 \h </w:instrText>
      </w:r>
      <w:r>
        <w:rPr>
          <w:highlight w:val="none"/>
        </w:rPr>
        <w:fldChar w:fldCharType="separate"/>
      </w:r>
      <w:r>
        <w:rPr>
          <w:highlight w:val="none"/>
        </w:rPr>
        <w:t>13</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_Toc15097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（五）投标文件的编写要求</w:t>
      </w:r>
      <w:r>
        <w:rPr>
          <w:highlight w:val="none"/>
        </w:rPr>
        <w:tab/>
      </w:r>
      <w:r>
        <w:rPr>
          <w:highlight w:val="none"/>
        </w:rPr>
        <w:fldChar w:fldCharType="begin"/>
      </w:r>
      <w:r>
        <w:rPr>
          <w:highlight w:val="none"/>
        </w:rPr>
        <w:instrText xml:space="preserve"> PAGEREF _Toc15097 \h </w:instrText>
      </w:r>
      <w:r>
        <w:rPr>
          <w:highlight w:val="none"/>
        </w:rPr>
        <w:fldChar w:fldCharType="separate"/>
      </w:r>
      <w:r>
        <w:rPr>
          <w:highlight w:val="none"/>
        </w:rPr>
        <w:t>13</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_Toc10676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（六）投标报价要求</w:t>
      </w:r>
      <w:r>
        <w:rPr>
          <w:highlight w:val="none"/>
        </w:rPr>
        <w:tab/>
      </w:r>
      <w:r>
        <w:rPr>
          <w:highlight w:val="none"/>
        </w:rPr>
        <w:fldChar w:fldCharType="begin"/>
      </w:r>
      <w:r>
        <w:rPr>
          <w:highlight w:val="none"/>
        </w:rPr>
        <w:instrText xml:space="preserve"> PAGEREF _Toc10676 \h </w:instrText>
      </w:r>
      <w:r>
        <w:rPr>
          <w:highlight w:val="none"/>
        </w:rPr>
        <w:fldChar w:fldCharType="separate"/>
      </w:r>
      <w:r>
        <w:rPr>
          <w:highlight w:val="none"/>
        </w:rPr>
        <w:t>14</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_Toc16557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（七）投标文件的式样和签署</w:t>
      </w:r>
      <w:r>
        <w:rPr>
          <w:highlight w:val="none"/>
        </w:rPr>
        <w:tab/>
      </w:r>
      <w:r>
        <w:rPr>
          <w:highlight w:val="none"/>
        </w:rPr>
        <w:fldChar w:fldCharType="begin"/>
      </w:r>
      <w:r>
        <w:rPr>
          <w:highlight w:val="none"/>
        </w:rPr>
        <w:instrText xml:space="preserve"> PAGEREF _Toc16557 \h </w:instrText>
      </w:r>
      <w:r>
        <w:rPr>
          <w:highlight w:val="none"/>
        </w:rPr>
        <w:fldChar w:fldCharType="separate"/>
      </w:r>
      <w:r>
        <w:rPr>
          <w:highlight w:val="none"/>
        </w:rPr>
        <w:t>15</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_Toc506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w:t>
      </w:r>
      <w:r>
        <w:rPr>
          <w:rFonts w:hint="eastAsia" w:ascii="仿宋" w:hAnsi="仿宋" w:eastAsia="仿宋" w:cs="仿宋"/>
          <w:szCs w:val="24"/>
          <w:highlight w:val="none"/>
          <w:lang w:val="en-US" w:eastAsia="zh-CN"/>
        </w:rPr>
        <w:t>八</w:t>
      </w:r>
      <w:r>
        <w:rPr>
          <w:rFonts w:hint="eastAsia" w:ascii="仿宋" w:hAnsi="仿宋" w:eastAsia="仿宋" w:cs="仿宋"/>
          <w:szCs w:val="24"/>
          <w:highlight w:val="none"/>
          <w:lang w:val="zh-CN"/>
        </w:rPr>
        <w:t>）投标文件的密封和提交</w:t>
      </w:r>
      <w:r>
        <w:rPr>
          <w:highlight w:val="none"/>
        </w:rPr>
        <w:tab/>
      </w:r>
      <w:r>
        <w:rPr>
          <w:highlight w:val="none"/>
        </w:rPr>
        <w:fldChar w:fldCharType="begin"/>
      </w:r>
      <w:r>
        <w:rPr>
          <w:highlight w:val="none"/>
        </w:rPr>
        <w:instrText xml:space="preserve"> PAGEREF _Toc506 \h </w:instrText>
      </w:r>
      <w:r>
        <w:rPr>
          <w:highlight w:val="none"/>
        </w:rPr>
        <w:fldChar w:fldCharType="separate"/>
      </w:r>
      <w:r>
        <w:rPr>
          <w:highlight w:val="none"/>
        </w:rPr>
        <w:t>15</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_Toc23644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四、开标</w:t>
      </w:r>
      <w:r>
        <w:rPr>
          <w:highlight w:val="none"/>
        </w:rPr>
        <w:tab/>
      </w:r>
      <w:r>
        <w:rPr>
          <w:highlight w:val="none"/>
        </w:rPr>
        <w:fldChar w:fldCharType="begin"/>
      </w:r>
      <w:r>
        <w:rPr>
          <w:highlight w:val="none"/>
        </w:rPr>
        <w:instrText xml:space="preserve"> PAGEREF _Toc23644 \h </w:instrText>
      </w:r>
      <w:r>
        <w:rPr>
          <w:highlight w:val="none"/>
        </w:rPr>
        <w:fldChar w:fldCharType="separate"/>
      </w:r>
      <w:r>
        <w:rPr>
          <w:highlight w:val="none"/>
        </w:rPr>
        <w:t>16</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_Toc8072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五、评标</w:t>
      </w:r>
      <w:r>
        <w:rPr>
          <w:highlight w:val="none"/>
        </w:rPr>
        <w:tab/>
      </w:r>
      <w:r>
        <w:rPr>
          <w:highlight w:val="none"/>
        </w:rPr>
        <w:fldChar w:fldCharType="begin"/>
      </w:r>
      <w:r>
        <w:rPr>
          <w:highlight w:val="none"/>
        </w:rPr>
        <w:instrText xml:space="preserve"> PAGEREF _Toc8072 \h </w:instrText>
      </w:r>
      <w:r>
        <w:rPr>
          <w:highlight w:val="none"/>
        </w:rPr>
        <w:fldChar w:fldCharType="separate"/>
      </w:r>
      <w:r>
        <w:rPr>
          <w:highlight w:val="none"/>
        </w:rPr>
        <w:t>17</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_Toc6010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六、评标程序及评标办法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17</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_Toc500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rPr>
        <w:t>（一）投标文件初审</w:t>
      </w:r>
      <w:r>
        <w:rPr>
          <w:highlight w:val="none"/>
        </w:rPr>
        <w:tab/>
      </w:r>
      <w:r>
        <w:rPr>
          <w:highlight w:val="none"/>
        </w:rPr>
        <w:fldChar w:fldCharType="begin"/>
      </w:r>
      <w:r>
        <w:rPr>
          <w:highlight w:val="none"/>
        </w:rPr>
        <w:instrText xml:space="preserve"> PAGEREF _Toc500 \h </w:instrText>
      </w:r>
      <w:r>
        <w:rPr>
          <w:highlight w:val="none"/>
        </w:rPr>
        <w:fldChar w:fldCharType="separate"/>
      </w:r>
      <w:r>
        <w:rPr>
          <w:highlight w:val="none"/>
        </w:rPr>
        <w:t>17</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_Toc18315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（二）投标文件的澄清、说明或者补正</w:t>
      </w:r>
      <w:r>
        <w:rPr>
          <w:highlight w:val="none"/>
        </w:rPr>
        <w:tab/>
      </w:r>
      <w:r>
        <w:rPr>
          <w:highlight w:val="none"/>
        </w:rPr>
        <w:fldChar w:fldCharType="begin"/>
      </w:r>
      <w:r>
        <w:rPr>
          <w:highlight w:val="none"/>
        </w:rPr>
        <w:instrText xml:space="preserve"> PAGEREF _Toc18315 \h </w:instrText>
      </w:r>
      <w:r>
        <w:rPr>
          <w:highlight w:val="none"/>
        </w:rPr>
        <w:fldChar w:fldCharType="separate"/>
      </w:r>
      <w:r>
        <w:rPr>
          <w:highlight w:val="none"/>
        </w:rPr>
        <w:t>20</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_Toc13285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（三）比较与评价</w:t>
      </w:r>
      <w:r>
        <w:rPr>
          <w:highlight w:val="none"/>
        </w:rPr>
        <w:tab/>
      </w:r>
      <w:r>
        <w:rPr>
          <w:highlight w:val="none"/>
        </w:rPr>
        <w:fldChar w:fldCharType="begin"/>
      </w:r>
      <w:r>
        <w:rPr>
          <w:highlight w:val="none"/>
        </w:rPr>
        <w:instrText xml:space="preserve"> PAGEREF _Toc13285 \h </w:instrText>
      </w:r>
      <w:r>
        <w:rPr>
          <w:highlight w:val="none"/>
        </w:rPr>
        <w:fldChar w:fldCharType="separate"/>
      </w:r>
      <w:r>
        <w:rPr>
          <w:highlight w:val="none"/>
        </w:rPr>
        <w:t>20</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_Toc4837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（四）推荐中标候选人名单</w:t>
      </w:r>
      <w:r>
        <w:rPr>
          <w:highlight w:val="none"/>
        </w:rPr>
        <w:tab/>
      </w:r>
      <w:r>
        <w:rPr>
          <w:highlight w:val="none"/>
        </w:rPr>
        <w:fldChar w:fldCharType="begin"/>
      </w:r>
      <w:r>
        <w:rPr>
          <w:highlight w:val="none"/>
        </w:rPr>
        <w:instrText xml:space="preserve"> PAGEREF _Toc4837 \h </w:instrText>
      </w:r>
      <w:r>
        <w:rPr>
          <w:highlight w:val="none"/>
        </w:rPr>
        <w:fldChar w:fldCharType="separate"/>
      </w:r>
      <w:r>
        <w:rPr>
          <w:highlight w:val="none"/>
        </w:rPr>
        <w:t>23</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_Toc14182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七、确定中标投标人</w:t>
      </w:r>
      <w:r>
        <w:rPr>
          <w:highlight w:val="none"/>
        </w:rPr>
        <w:tab/>
      </w:r>
      <w:r>
        <w:rPr>
          <w:highlight w:val="none"/>
        </w:rPr>
        <w:fldChar w:fldCharType="begin"/>
      </w:r>
      <w:r>
        <w:rPr>
          <w:highlight w:val="none"/>
        </w:rPr>
        <w:instrText xml:space="preserve"> PAGEREF _Toc14182 \h </w:instrText>
      </w:r>
      <w:r>
        <w:rPr>
          <w:highlight w:val="none"/>
        </w:rPr>
        <w:fldChar w:fldCharType="separate"/>
      </w:r>
      <w:r>
        <w:rPr>
          <w:highlight w:val="none"/>
        </w:rPr>
        <w:t>23</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_Toc15441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八、合同</w:t>
      </w:r>
      <w:r>
        <w:rPr>
          <w:highlight w:val="none"/>
        </w:rPr>
        <w:tab/>
      </w:r>
      <w:r>
        <w:rPr>
          <w:highlight w:val="none"/>
        </w:rPr>
        <w:fldChar w:fldCharType="begin"/>
      </w:r>
      <w:r>
        <w:rPr>
          <w:highlight w:val="none"/>
        </w:rPr>
        <w:instrText xml:space="preserve"> PAGEREF _Toc15441 \h </w:instrText>
      </w:r>
      <w:r>
        <w:rPr>
          <w:highlight w:val="none"/>
        </w:rPr>
        <w:fldChar w:fldCharType="separate"/>
      </w:r>
      <w:r>
        <w:rPr>
          <w:highlight w:val="none"/>
        </w:rPr>
        <w:t>24</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_Toc29049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九、中标服务费</w:t>
      </w:r>
      <w:r>
        <w:rPr>
          <w:highlight w:val="none"/>
        </w:rPr>
        <w:tab/>
      </w:r>
      <w:r>
        <w:rPr>
          <w:highlight w:val="none"/>
        </w:rPr>
        <w:fldChar w:fldCharType="begin"/>
      </w:r>
      <w:r>
        <w:rPr>
          <w:highlight w:val="none"/>
        </w:rPr>
        <w:instrText xml:space="preserve"> PAGEREF _Toc29049 \h </w:instrText>
      </w:r>
      <w:r>
        <w:rPr>
          <w:highlight w:val="none"/>
        </w:rPr>
        <w:fldChar w:fldCharType="separate"/>
      </w:r>
      <w:r>
        <w:rPr>
          <w:highlight w:val="none"/>
        </w:rPr>
        <w:t>24</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_Toc29877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十、废标或者采购方式的变更</w:t>
      </w:r>
      <w:r>
        <w:rPr>
          <w:highlight w:val="none"/>
        </w:rPr>
        <w:tab/>
      </w:r>
      <w:r>
        <w:rPr>
          <w:highlight w:val="none"/>
        </w:rPr>
        <w:fldChar w:fldCharType="begin"/>
      </w:r>
      <w:r>
        <w:rPr>
          <w:highlight w:val="none"/>
        </w:rPr>
        <w:instrText xml:space="preserve"> PAGEREF _Toc29877 \h </w:instrText>
      </w:r>
      <w:r>
        <w:rPr>
          <w:highlight w:val="none"/>
        </w:rPr>
        <w:fldChar w:fldCharType="separate"/>
      </w:r>
      <w:r>
        <w:rPr>
          <w:highlight w:val="none"/>
        </w:rPr>
        <w:t>25</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_Toc30609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（一）废标</w:t>
      </w:r>
      <w:r>
        <w:rPr>
          <w:highlight w:val="none"/>
        </w:rPr>
        <w:tab/>
      </w:r>
      <w:r>
        <w:rPr>
          <w:highlight w:val="none"/>
        </w:rPr>
        <w:fldChar w:fldCharType="begin"/>
      </w:r>
      <w:r>
        <w:rPr>
          <w:highlight w:val="none"/>
        </w:rPr>
        <w:instrText xml:space="preserve"> PAGEREF _Toc30609 \h </w:instrText>
      </w:r>
      <w:r>
        <w:rPr>
          <w:highlight w:val="none"/>
        </w:rPr>
        <w:fldChar w:fldCharType="separate"/>
      </w:r>
      <w:r>
        <w:rPr>
          <w:highlight w:val="none"/>
        </w:rPr>
        <w:t>25</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_Toc11071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（二）采购方式的变更</w:t>
      </w:r>
      <w:r>
        <w:rPr>
          <w:highlight w:val="none"/>
        </w:rPr>
        <w:tab/>
      </w:r>
      <w:r>
        <w:rPr>
          <w:highlight w:val="none"/>
        </w:rPr>
        <w:fldChar w:fldCharType="begin"/>
      </w:r>
      <w:r>
        <w:rPr>
          <w:highlight w:val="none"/>
        </w:rPr>
        <w:instrText xml:space="preserve"> PAGEREF _Toc11071 \h </w:instrText>
      </w:r>
      <w:r>
        <w:rPr>
          <w:highlight w:val="none"/>
        </w:rPr>
        <w:fldChar w:fldCharType="separate"/>
      </w:r>
      <w:r>
        <w:rPr>
          <w:highlight w:val="none"/>
        </w:rPr>
        <w:t>25</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_Toc30115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十一、需要落实的政府采购政策</w:t>
      </w:r>
      <w:r>
        <w:rPr>
          <w:highlight w:val="none"/>
        </w:rPr>
        <w:tab/>
      </w:r>
      <w:r>
        <w:rPr>
          <w:highlight w:val="none"/>
        </w:rPr>
        <w:fldChar w:fldCharType="begin"/>
      </w:r>
      <w:r>
        <w:rPr>
          <w:highlight w:val="none"/>
        </w:rPr>
        <w:instrText xml:space="preserve"> PAGEREF _Toc30115 \h </w:instrText>
      </w:r>
      <w:r>
        <w:rPr>
          <w:highlight w:val="none"/>
        </w:rPr>
        <w:fldChar w:fldCharType="separate"/>
      </w:r>
      <w:r>
        <w:rPr>
          <w:highlight w:val="none"/>
        </w:rPr>
        <w:t>25</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_Toc22430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val="zh-CN"/>
        </w:rPr>
        <w:t>十二、质疑与投诉</w:t>
      </w:r>
      <w:r>
        <w:rPr>
          <w:highlight w:val="none"/>
        </w:rPr>
        <w:tab/>
      </w:r>
      <w:r>
        <w:rPr>
          <w:highlight w:val="none"/>
        </w:rPr>
        <w:fldChar w:fldCharType="begin"/>
      </w:r>
      <w:r>
        <w:rPr>
          <w:highlight w:val="none"/>
        </w:rPr>
        <w:instrText xml:space="preserve"> PAGEREF _Toc22430 \h </w:instrText>
      </w:r>
      <w:r>
        <w:rPr>
          <w:highlight w:val="none"/>
        </w:rPr>
        <w:fldChar w:fldCharType="separate"/>
      </w:r>
      <w:r>
        <w:rPr>
          <w:highlight w:val="none"/>
        </w:rPr>
        <w:t>28</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_Toc23015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（一）质疑</w:t>
      </w:r>
      <w:r>
        <w:rPr>
          <w:highlight w:val="none"/>
        </w:rPr>
        <w:tab/>
      </w:r>
      <w:r>
        <w:rPr>
          <w:highlight w:val="none"/>
        </w:rPr>
        <w:fldChar w:fldCharType="begin"/>
      </w:r>
      <w:r>
        <w:rPr>
          <w:highlight w:val="none"/>
        </w:rPr>
        <w:instrText xml:space="preserve"> PAGEREF _Toc23015 \h </w:instrText>
      </w:r>
      <w:r>
        <w:rPr>
          <w:highlight w:val="none"/>
        </w:rPr>
        <w:fldChar w:fldCharType="separate"/>
      </w:r>
      <w:r>
        <w:rPr>
          <w:highlight w:val="none"/>
        </w:rPr>
        <w:t>28</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_Toc22351 </w:instrText>
      </w:r>
      <w:r>
        <w:rPr>
          <w:rFonts w:hint="eastAsia" w:ascii="仿宋" w:hAnsi="仿宋" w:eastAsia="仿宋" w:cs="仿宋"/>
          <w:bCs w:val="0"/>
          <w:szCs w:val="21"/>
          <w:highlight w:val="none"/>
        </w:rPr>
        <w:fldChar w:fldCharType="separate"/>
      </w:r>
      <w:r>
        <w:rPr>
          <w:rFonts w:hint="eastAsia" w:ascii="仿宋" w:hAnsi="仿宋" w:eastAsia="仿宋" w:cs="仿宋"/>
          <w:bCs/>
          <w:szCs w:val="24"/>
          <w:highlight w:val="none"/>
          <w:lang w:val="zh-CN"/>
        </w:rPr>
        <w:t>（二）投诉</w:t>
      </w:r>
      <w:r>
        <w:rPr>
          <w:highlight w:val="none"/>
        </w:rPr>
        <w:tab/>
      </w:r>
      <w:r>
        <w:rPr>
          <w:highlight w:val="none"/>
        </w:rPr>
        <w:fldChar w:fldCharType="begin"/>
      </w:r>
      <w:r>
        <w:rPr>
          <w:highlight w:val="none"/>
        </w:rPr>
        <w:instrText xml:space="preserve"> PAGEREF _Toc22351 \h </w:instrText>
      </w:r>
      <w:r>
        <w:rPr>
          <w:highlight w:val="none"/>
        </w:rPr>
        <w:fldChar w:fldCharType="separate"/>
      </w:r>
      <w:r>
        <w:rPr>
          <w:highlight w:val="none"/>
        </w:rPr>
        <w:t>29</w:t>
      </w:r>
      <w:r>
        <w:rPr>
          <w:highlight w:val="none"/>
        </w:rPr>
        <w:fldChar w:fldCharType="end"/>
      </w:r>
      <w:r>
        <w:rPr>
          <w:rFonts w:hint="eastAsia" w:ascii="仿宋" w:hAnsi="仿宋" w:eastAsia="仿宋" w:cs="仿宋"/>
          <w:bCs w:val="0"/>
          <w:color w:val="auto"/>
          <w:szCs w:val="21"/>
          <w:highlight w:val="none"/>
        </w:rPr>
        <w:fldChar w:fldCharType="end"/>
      </w:r>
    </w:p>
    <w:p>
      <w:pPr>
        <w:pStyle w:val="17"/>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_Toc7044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rPr>
        <w:t xml:space="preserve">第三部分 </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lang w:val="zh-CN"/>
        </w:rPr>
        <w:t>招标内容及要求</w:t>
      </w:r>
      <w:r>
        <w:rPr>
          <w:highlight w:val="none"/>
        </w:rPr>
        <w:tab/>
      </w:r>
      <w:r>
        <w:rPr>
          <w:highlight w:val="none"/>
        </w:rPr>
        <w:fldChar w:fldCharType="begin"/>
      </w:r>
      <w:r>
        <w:rPr>
          <w:highlight w:val="none"/>
        </w:rPr>
        <w:instrText xml:space="preserve"> PAGEREF _Toc7044 \h </w:instrText>
      </w:r>
      <w:r>
        <w:rPr>
          <w:highlight w:val="none"/>
        </w:rPr>
        <w:fldChar w:fldCharType="separate"/>
      </w:r>
      <w:r>
        <w:rPr>
          <w:highlight w:val="none"/>
        </w:rPr>
        <w:t>30</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_Toc32264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一、</w:t>
      </w:r>
      <w:r>
        <w:rPr>
          <w:rFonts w:hint="eastAsia" w:ascii="仿宋" w:hAnsi="仿宋" w:eastAsia="仿宋" w:cs="仿宋"/>
          <w:szCs w:val="24"/>
          <w:highlight w:val="none"/>
        </w:rPr>
        <w:t>建设内容</w:t>
      </w:r>
      <w:r>
        <w:rPr>
          <w:highlight w:val="none"/>
        </w:rPr>
        <w:tab/>
      </w:r>
      <w:r>
        <w:rPr>
          <w:highlight w:val="none"/>
        </w:rPr>
        <w:fldChar w:fldCharType="begin"/>
      </w:r>
      <w:r>
        <w:rPr>
          <w:highlight w:val="none"/>
        </w:rPr>
        <w:instrText xml:space="preserve"> PAGEREF _Toc32264 \h </w:instrText>
      </w:r>
      <w:r>
        <w:rPr>
          <w:highlight w:val="none"/>
        </w:rPr>
        <w:fldChar w:fldCharType="separate"/>
      </w:r>
      <w:r>
        <w:rPr>
          <w:highlight w:val="none"/>
        </w:rPr>
        <w:t>30</w:t>
      </w:r>
      <w:r>
        <w:rPr>
          <w:highlight w:val="none"/>
        </w:rPr>
        <w:fldChar w:fldCharType="end"/>
      </w:r>
      <w:r>
        <w:rPr>
          <w:rFonts w:hint="eastAsia" w:ascii="仿宋" w:hAnsi="仿宋" w:eastAsia="仿宋" w:cs="仿宋"/>
          <w:bCs w:val="0"/>
          <w:color w:val="auto"/>
          <w:szCs w:val="21"/>
          <w:highlight w:val="none"/>
        </w:rPr>
        <w:fldChar w:fldCharType="end"/>
      </w:r>
    </w:p>
    <w:p>
      <w:pPr>
        <w:pStyle w:val="17"/>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_Toc23487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肺小结节智能诊断系统</w:t>
      </w:r>
      <w:r>
        <w:rPr>
          <w:highlight w:val="none"/>
        </w:rPr>
        <w:tab/>
      </w:r>
      <w:r>
        <w:rPr>
          <w:highlight w:val="none"/>
        </w:rPr>
        <w:fldChar w:fldCharType="begin"/>
      </w:r>
      <w:r>
        <w:rPr>
          <w:highlight w:val="none"/>
        </w:rPr>
        <w:instrText xml:space="preserve"> PAGEREF _Toc23487 \h </w:instrText>
      </w:r>
      <w:r>
        <w:rPr>
          <w:highlight w:val="none"/>
        </w:rPr>
        <w:fldChar w:fldCharType="separate"/>
      </w:r>
      <w:r>
        <w:rPr>
          <w:highlight w:val="none"/>
        </w:rPr>
        <w:t>30</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_Toc15047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（一）</w:t>
      </w:r>
      <w:r>
        <w:rPr>
          <w:rFonts w:hint="eastAsia" w:ascii="仿宋" w:hAnsi="仿宋" w:eastAsia="仿宋" w:cs="仿宋"/>
          <w:szCs w:val="24"/>
          <w:highlight w:val="none"/>
        </w:rPr>
        <w:t>技术要求</w:t>
      </w:r>
      <w:r>
        <w:rPr>
          <w:highlight w:val="none"/>
        </w:rPr>
        <w:tab/>
      </w:r>
      <w:r>
        <w:rPr>
          <w:highlight w:val="none"/>
        </w:rPr>
        <w:fldChar w:fldCharType="begin"/>
      </w:r>
      <w:r>
        <w:rPr>
          <w:highlight w:val="none"/>
        </w:rPr>
        <w:instrText xml:space="preserve"> PAGEREF _Toc15047 \h </w:instrText>
      </w:r>
      <w:r>
        <w:rPr>
          <w:highlight w:val="none"/>
        </w:rPr>
        <w:fldChar w:fldCharType="separate"/>
      </w:r>
      <w:r>
        <w:rPr>
          <w:highlight w:val="none"/>
        </w:rPr>
        <w:t>30</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_Toc23897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（二）</w:t>
      </w:r>
      <w:r>
        <w:rPr>
          <w:rFonts w:hint="eastAsia" w:ascii="仿宋" w:hAnsi="仿宋" w:eastAsia="仿宋" w:cs="仿宋"/>
          <w:szCs w:val="24"/>
          <w:highlight w:val="none"/>
        </w:rPr>
        <w:t>系统显示功能</w:t>
      </w:r>
      <w:r>
        <w:rPr>
          <w:highlight w:val="none"/>
        </w:rPr>
        <w:tab/>
      </w:r>
      <w:r>
        <w:rPr>
          <w:highlight w:val="none"/>
        </w:rPr>
        <w:fldChar w:fldCharType="begin"/>
      </w:r>
      <w:r>
        <w:rPr>
          <w:highlight w:val="none"/>
        </w:rPr>
        <w:instrText xml:space="preserve"> PAGEREF _Toc23897 \h </w:instrText>
      </w:r>
      <w:r>
        <w:rPr>
          <w:highlight w:val="none"/>
        </w:rPr>
        <w:fldChar w:fldCharType="separate"/>
      </w:r>
      <w:r>
        <w:rPr>
          <w:highlight w:val="none"/>
        </w:rPr>
        <w:t>31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_Toc32274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（三）</w:t>
      </w:r>
      <w:r>
        <w:rPr>
          <w:rFonts w:hint="eastAsia" w:ascii="仿宋" w:hAnsi="仿宋" w:eastAsia="仿宋" w:cs="仿宋"/>
          <w:szCs w:val="24"/>
          <w:highlight w:val="none"/>
        </w:rPr>
        <w:t>处理系统</w:t>
      </w:r>
      <w:r>
        <w:rPr>
          <w:highlight w:val="none"/>
        </w:rPr>
        <w:tab/>
      </w:r>
      <w:r>
        <w:rPr>
          <w:highlight w:val="none"/>
        </w:rPr>
        <w:fldChar w:fldCharType="begin"/>
      </w:r>
      <w:r>
        <w:rPr>
          <w:highlight w:val="none"/>
        </w:rPr>
        <w:instrText xml:space="preserve"> PAGEREF _Toc32274 \h </w:instrText>
      </w:r>
      <w:r>
        <w:rPr>
          <w:highlight w:val="none"/>
        </w:rPr>
        <w:fldChar w:fldCharType="separate"/>
      </w:r>
      <w:r>
        <w:rPr>
          <w:highlight w:val="none"/>
        </w:rPr>
        <w:t>31</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_Toc27724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（四）</w:t>
      </w:r>
      <w:r>
        <w:rPr>
          <w:rFonts w:hint="eastAsia" w:ascii="仿宋" w:hAnsi="仿宋" w:eastAsia="仿宋" w:cs="仿宋"/>
          <w:szCs w:val="24"/>
          <w:highlight w:val="none"/>
        </w:rPr>
        <w:t>其他要求</w:t>
      </w:r>
      <w:r>
        <w:rPr>
          <w:highlight w:val="none"/>
        </w:rPr>
        <w:tab/>
      </w:r>
      <w:r>
        <w:rPr>
          <w:highlight w:val="none"/>
        </w:rPr>
        <w:fldChar w:fldCharType="begin"/>
      </w:r>
      <w:r>
        <w:rPr>
          <w:highlight w:val="none"/>
        </w:rPr>
        <w:instrText xml:space="preserve"> PAGEREF _Toc27724 \h </w:instrText>
      </w:r>
      <w:r>
        <w:rPr>
          <w:highlight w:val="none"/>
        </w:rPr>
        <w:fldChar w:fldCharType="separate"/>
      </w:r>
      <w:r>
        <w:rPr>
          <w:highlight w:val="none"/>
        </w:rPr>
        <w:t>34</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_Toc13152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二、</w:t>
      </w:r>
      <w:r>
        <w:rPr>
          <w:rFonts w:hint="eastAsia" w:ascii="仿宋" w:hAnsi="仿宋" w:eastAsia="仿宋" w:cs="仿宋"/>
          <w:szCs w:val="24"/>
          <w:highlight w:val="none"/>
        </w:rPr>
        <w:t>信息系统互联互通要求</w:t>
      </w:r>
      <w:r>
        <w:rPr>
          <w:highlight w:val="none"/>
        </w:rPr>
        <w:tab/>
      </w:r>
      <w:r>
        <w:rPr>
          <w:highlight w:val="none"/>
        </w:rPr>
        <w:fldChar w:fldCharType="begin"/>
      </w:r>
      <w:r>
        <w:rPr>
          <w:highlight w:val="none"/>
        </w:rPr>
        <w:instrText xml:space="preserve"> PAGEREF _Toc13152 \h </w:instrText>
      </w:r>
      <w:r>
        <w:rPr>
          <w:highlight w:val="none"/>
        </w:rPr>
        <w:fldChar w:fldCharType="separate"/>
      </w:r>
      <w:r>
        <w:rPr>
          <w:highlight w:val="none"/>
        </w:rPr>
        <w:t>34</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_Toc24584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（一）</w:t>
      </w:r>
      <w:r>
        <w:rPr>
          <w:rFonts w:hint="eastAsia" w:ascii="仿宋" w:hAnsi="仿宋" w:eastAsia="仿宋" w:cs="仿宋"/>
          <w:szCs w:val="24"/>
          <w:highlight w:val="none"/>
        </w:rPr>
        <w:t>总体要求</w:t>
      </w:r>
      <w:r>
        <w:rPr>
          <w:highlight w:val="none"/>
        </w:rPr>
        <w:tab/>
      </w:r>
      <w:r>
        <w:rPr>
          <w:highlight w:val="none"/>
        </w:rPr>
        <w:fldChar w:fldCharType="begin"/>
      </w:r>
      <w:r>
        <w:rPr>
          <w:highlight w:val="none"/>
        </w:rPr>
        <w:instrText xml:space="preserve"> PAGEREF _Toc24584 \h </w:instrText>
      </w:r>
      <w:r>
        <w:rPr>
          <w:highlight w:val="none"/>
        </w:rPr>
        <w:fldChar w:fldCharType="separate"/>
      </w:r>
      <w:r>
        <w:rPr>
          <w:highlight w:val="none"/>
        </w:rPr>
        <w:t>34</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_Toc28373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（二）</w:t>
      </w:r>
      <w:r>
        <w:rPr>
          <w:rFonts w:hint="eastAsia" w:ascii="仿宋" w:hAnsi="仿宋" w:eastAsia="仿宋" w:cs="仿宋"/>
          <w:szCs w:val="24"/>
          <w:highlight w:val="none"/>
        </w:rPr>
        <w:t>系统对接要求</w:t>
      </w:r>
      <w:r>
        <w:rPr>
          <w:highlight w:val="none"/>
        </w:rPr>
        <w:tab/>
      </w:r>
      <w:r>
        <w:rPr>
          <w:highlight w:val="none"/>
        </w:rPr>
        <w:fldChar w:fldCharType="begin"/>
      </w:r>
      <w:r>
        <w:rPr>
          <w:highlight w:val="none"/>
        </w:rPr>
        <w:instrText xml:space="preserve"> PAGEREF _Toc28373 \h </w:instrText>
      </w:r>
      <w:r>
        <w:rPr>
          <w:highlight w:val="none"/>
        </w:rPr>
        <w:fldChar w:fldCharType="separate"/>
      </w:r>
      <w:r>
        <w:rPr>
          <w:highlight w:val="none"/>
        </w:rPr>
        <w:t>35</w:t>
      </w:r>
      <w:r>
        <w:rPr>
          <w:highlight w:val="none"/>
        </w:rPr>
        <w:fldChar w:fldCharType="end"/>
      </w:r>
      <w:r>
        <w:rPr>
          <w:rFonts w:hint="eastAsia" w:ascii="仿宋" w:hAnsi="仿宋" w:eastAsia="仿宋" w:cs="仿宋"/>
          <w:bCs w:val="0"/>
          <w:color w:val="auto"/>
          <w:szCs w:val="21"/>
          <w:highlight w:val="none"/>
        </w:rPr>
        <w:fldChar w:fldCharType="end"/>
      </w:r>
    </w:p>
    <w:p>
      <w:pPr>
        <w:pStyle w:val="11"/>
        <w:tabs>
          <w:tab w:val="right" w:leader="dot" w:pos="9072"/>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_Toc29904 </w:instrText>
      </w:r>
      <w:r>
        <w:rPr>
          <w:rFonts w:hint="eastAsia" w:ascii="仿宋" w:hAnsi="仿宋" w:eastAsia="仿宋" w:cs="仿宋"/>
          <w:bCs w:val="0"/>
          <w:szCs w:val="21"/>
          <w:highlight w:val="none"/>
        </w:rPr>
        <w:fldChar w:fldCharType="separate"/>
      </w:r>
      <w:r>
        <w:rPr>
          <w:rFonts w:hint="eastAsia" w:ascii="仿宋" w:hAnsi="仿宋" w:eastAsia="仿宋" w:cs="仿宋"/>
          <w:szCs w:val="24"/>
          <w:highlight w:val="none"/>
          <w:lang w:eastAsia="zh-CN"/>
        </w:rPr>
        <w:t>（三）</w:t>
      </w:r>
      <w:r>
        <w:rPr>
          <w:rFonts w:hint="eastAsia" w:ascii="仿宋" w:hAnsi="仿宋" w:eastAsia="仿宋" w:cs="仿宋"/>
          <w:szCs w:val="24"/>
          <w:highlight w:val="none"/>
        </w:rPr>
        <w:t>数据安全要求</w:t>
      </w:r>
      <w:r>
        <w:rPr>
          <w:highlight w:val="none"/>
        </w:rPr>
        <w:tab/>
      </w:r>
      <w:r>
        <w:rPr>
          <w:highlight w:val="none"/>
        </w:rPr>
        <w:fldChar w:fldCharType="begin"/>
      </w:r>
      <w:r>
        <w:rPr>
          <w:highlight w:val="none"/>
        </w:rPr>
        <w:instrText xml:space="preserve"> PAGEREF _Toc29904 \h </w:instrText>
      </w:r>
      <w:r>
        <w:rPr>
          <w:highlight w:val="none"/>
        </w:rPr>
        <w:fldChar w:fldCharType="separate"/>
      </w:r>
      <w:r>
        <w:rPr>
          <w:highlight w:val="none"/>
        </w:rPr>
        <w:t>36</w:t>
      </w:r>
      <w:r>
        <w:rPr>
          <w:highlight w:val="none"/>
        </w:rPr>
        <w:fldChar w:fldCharType="end"/>
      </w:r>
      <w:r>
        <w:rPr>
          <w:rFonts w:hint="eastAsia" w:ascii="仿宋" w:hAnsi="仿宋" w:eastAsia="仿宋" w:cs="仿宋"/>
          <w:bCs w:val="0"/>
          <w:color w:val="auto"/>
          <w:szCs w:val="21"/>
          <w:highlight w:val="none"/>
        </w:rPr>
        <w:fldChar w:fldCharType="end"/>
      </w:r>
    </w:p>
    <w:p>
      <w:pPr>
        <w:pStyle w:val="17"/>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_Toc14760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lang w:val="zh-CN"/>
        </w:rPr>
        <w:t>第四部分 合同条款及格式</w:t>
      </w:r>
      <w:r>
        <w:rPr>
          <w:highlight w:val="none"/>
        </w:rPr>
        <w:tab/>
      </w:r>
      <w:r>
        <w:rPr>
          <w:highlight w:val="none"/>
        </w:rPr>
        <w:fldChar w:fldCharType="begin"/>
      </w:r>
      <w:r>
        <w:rPr>
          <w:highlight w:val="none"/>
        </w:rPr>
        <w:instrText xml:space="preserve"> PAGEREF _Toc14760 \h </w:instrText>
      </w:r>
      <w:r>
        <w:rPr>
          <w:highlight w:val="none"/>
        </w:rPr>
        <w:fldChar w:fldCharType="separate"/>
      </w:r>
      <w:r>
        <w:rPr>
          <w:highlight w:val="none"/>
        </w:rPr>
        <w:t>37</w:t>
      </w:r>
      <w:r>
        <w:rPr>
          <w:highlight w:val="none"/>
        </w:rPr>
        <w:fldChar w:fldCharType="end"/>
      </w:r>
      <w:r>
        <w:rPr>
          <w:rFonts w:hint="eastAsia" w:ascii="仿宋" w:hAnsi="仿宋" w:eastAsia="仿宋" w:cs="仿宋"/>
          <w:bCs w:val="0"/>
          <w:color w:val="auto"/>
          <w:szCs w:val="21"/>
          <w:highlight w:val="none"/>
        </w:rPr>
        <w:fldChar w:fldCharType="end"/>
      </w:r>
    </w:p>
    <w:p>
      <w:pPr>
        <w:pStyle w:val="17"/>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_Toc23800 </w:instrText>
      </w:r>
      <w:r>
        <w:rPr>
          <w:rFonts w:hint="eastAsia" w:ascii="仿宋" w:hAnsi="仿宋" w:eastAsia="仿宋" w:cs="仿宋"/>
          <w:bCs w:val="0"/>
          <w:szCs w:val="21"/>
          <w:highlight w:val="none"/>
        </w:rPr>
        <w:fldChar w:fldCharType="separate"/>
      </w:r>
      <w:r>
        <w:rPr>
          <w:rFonts w:hint="eastAsia" w:ascii="仿宋" w:hAnsi="仿宋" w:eastAsia="仿宋" w:cs="仿宋"/>
          <w:bCs/>
          <w:szCs w:val="32"/>
          <w:highlight w:val="none"/>
          <w:lang w:val="zh-CN"/>
        </w:rPr>
        <w:t>第五部分</w:t>
      </w:r>
      <w:r>
        <w:rPr>
          <w:rFonts w:hint="eastAsia" w:ascii="仿宋" w:hAnsi="仿宋" w:eastAsia="仿宋" w:cs="仿宋"/>
          <w:bCs/>
          <w:szCs w:val="32"/>
          <w:highlight w:val="none"/>
        </w:rPr>
        <w:t xml:space="preserve"> </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rPr>
        <w:t>投标文件格式</w:t>
      </w:r>
      <w:r>
        <w:rPr>
          <w:highlight w:val="none"/>
        </w:rPr>
        <w:tab/>
      </w:r>
      <w:r>
        <w:rPr>
          <w:highlight w:val="none"/>
        </w:rPr>
        <w:fldChar w:fldCharType="begin"/>
      </w:r>
      <w:r>
        <w:rPr>
          <w:highlight w:val="none"/>
        </w:rPr>
        <w:instrText xml:space="preserve"> PAGEREF _Toc23800 \h </w:instrText>
      </w:r>
      <w:r>
        <w:rPr>
          <w:highlight w:val="none"/>
        </w:rPr>
        <w:fldChar w:fldCharType="separate"/>
      </w:r>
      <w:r>
        <w:rPr>
          <w:highlight w:val="none"/>
        </w:rPr>
        <w:t>43</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_Toc31469 </w:instrText>
      </w:r>
      <w:r>
        <w:rPr>
          <w:rFonts w:hint="eastAsia" w:ascii="仿宋" w:hAnsi="仿宋" w:eastAsia="仿宋" w:cs="仿宋"/>
          <w:bCs w:val="0"/>
          <w:szCs w:val="21"/>
          <w:highlight w:val="none"/>
        </w:rPr>
        <w:fldChar w:fldCharType="separate"/>
      </w:r>
      <w:r>
        <w:rPr>
          <w:rFonts w:hint="eastAsia" w:ascii="仿宋" w:hAnsi="仿宋" w:eastAsia="仿宋" w:cs="仿宋"/>
          <w:bCs/>
          <w:szCs w:val="15"/>
          <w:highlight w:val="none"/>
          <w:lang w:val="zh-CN"/>
        </w:rPr>
        <w:t>一、投标函</w:t>
      </w:r>
      <w:r>
        <w:rPr>
          <w:highlight w:val="none"/>
        </w:rPr>
        <w:tab/>
      </w:r>
      <w:r>
        <w:rPr>
          <w:highlight w:val="none"/>
        </w:rPr>
        <w:fldChar w:fldCharType="begin"/>
      </w:r>
      <w:r>
        <w:rPr>
          <w:highlight w:val="none"/>
        </w:rPr>
        <w:instrText xml:space="preserve"> PAGEREF _Toc31469 \h </w:instrText>
      </w:r>
      <w:r>
        <w:rPr>
          <w:highlight w:val="none"/>
        </w:rPr>
        <w:fldChar w:fldCharType="separate"/>
      </w:r>
      <w:r>
        <w:rPr>
          <w:highlight w:val="none"/>
        </w:rPr>
        <w:t>45</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_Toc12557 </w:instrText>
      </w:r>
      <w:r>
        <w:rPr>
          <w:rFonts w:hint="eastAsia" w:ascii="仿宋" w:hAnsi="仿宋" w:eastAsia="仿宋" w:cs="仿宋"/>
          <w:bCs w:val="0"/>
          <w:szCs w:val="21"/>
          <w:highlight w:val="none"/>
        </w:rPr>
        <w:fldChar w:fldCharType="separate"/>
      </w:r>
      <w:r>
        <w:rPr>
          <w:rFonts w:hint="eastAsia" w:ascii="仿宋" w:hAnsi="仿宋" w:eastAsia="仿宋" w:cs="仿宋"/>
          <w:szCs w:val="15"/>
          <w:highlight w:val="none"/>
          <w:lang w:val="zh-CN"/>
        </w:rPr>
        <w:t>二、开标一览表（唱标报告）</w:t>
      </w:r>
      <w:r>
        <w:rPr>
          <w:highlight w:val="none"/>
        </w:rPr>
        <w:tab/>
      </w:r>
      <w:r>
        <w:rPr>
          <w:highlight w:val="none"/>
        </w:rPr>
        <w:fldChar w:fldCharType="begin"/>
      </w:r>
      <w:r>
        <w:rPr>
          <w:highlight w:val="none"/>
        </w:rPr>
        <w:instrText xml:space="preserve"> PAGEREF _Toc12557 \h </w:instrText>
      </w:r>
      <w:r>
        <w:rPr>
          <w:highlight w:val="none"/>
        </w:rPr>
        <w:fldChar w:fldCharType="separate"/>
      </w:r>
      <w:r>
        <w:rPr>
          <w:highlight w:val="none"/>
        </w:rPr>
        <w:t>47</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_Toc10149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rPr>
        <w:t>三、</w:t>
      </w:r>
      <w:r>
        <w:rPr>
          <w:rFonts w:hint="eastAsia" w:ascii="仿宋" w:hAnsi="仿宋" w:eastAsia="仿宋" w:cs="仿宋"/>
          <w:szCs w:val="32"/>
          <w:highlight w:val="none"/>
          <w:lang w:val="en-US" w:eastAsia="zh-CN"/>
        </w:rPr>
        <w:t>分项报价</w:t>
      </w:r>
      <w:r>
        <w:rPr>
          <w:rFonts w:hint="eastAsia" w:ascii="仿宋" w:hAnsi="仿宋" w:eastAsia="仿宋" w:cs="仿宋"/>
          <w:szCs w:val="32"/>
          <w:highlight w:val="none"/>
        </w:rPr>
        <w:t>表</w:t>
      </w:r>
      <w:r>
        <w:rPr>
          <w:highlight w:val="none"/>
        </w:rPr>
        <w:tab/>
      </w:r>
      <w:r>
        <w:rPr>
          <w:highlight w:val="none"/>
        </w:rPr>
        <w:fldChar w:fldCharType="begin"/>
      </w:r>
      <w:r>
        <w:rPr>
          <w:highlight w:val="none"/>
        </w:rPr>
        <w:instrText xml:space="preserve"> PAGEREF _Toc10149 \h </w:instrText>
      </w:r>
      <w:r>
        <w:rPr>
          <w:highlight w:val="none"/>
        </w:rPr>
        <w:fldChar w:fldCharType="separate"/>
      </w:r>
      <w:r>
        <w:rPr>
          <w:highlight w:val="none"/>
        </w:rPr>
        <w:t>48</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_Toc24102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lang w:val="zh-CN" w:eastAsia="zh-CN"/>
        </w:rPr>
        <w:t>四、投标人资格证明文件</w:t>
      </w:r>
      <w:r>
        <w:rPr>
          <w:highlight w:val="none"/>
        </w:rPr>
        <w:tab/>
      </w:r>
      <w:r>
        <w:rPr>
          <w:highlight w:val="none"/>
        </w:rPr>
        <w:fldChar w:fldCharType="begin"/>
      </w:r>
      <w:r>
        <w:rPr>
          <w:highlight w:val="none"/>
        </w:rPr>
        <w:instrText xml:space="preserve"> PAGEREF _Toc24102 \h </w:instrText>
      </w:r>
      <w:r>
        <w:rPr>
          <w:highlight w:val="none"/>
        </w:rPr>
        <w:fldChar w:fldCharType="separate"/>
      </w:r>
      <w:r>
        <w:rPr>
          <w:highlight w:val="none"/>
        </w:rPr>
        <w:t>49</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_Toc31798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lang w:val="zh-CN"/>
        </w:rPr>
        <w:t>五、合同主要条款偏离表</w:t>
      </w:r>
      <w:r>
        <w:rPr>
          <w:highlight w:val="none"/>
        </w:rPr>
        <w:tab/>
      </w:r>
      <w:r>
        <w:rPr>
          <w:highlight w:val="none"/>
        </w:rPr>
        <w:fldChar w:fldCharType="begin"/>
      </w:r>
      <w:r>
        <w:rPr>
          <w:highlight w:val="none"/>
        </w:rPr>
        <w:instrText xml:space="preserve"> PAGEREF _Toc31798 \h </w:instrText>
      </w:r>
      <w:r>
        <w:rPr>
          <w:highlight w:val="none"/>
        </w:rPr>
        <w:fldChar w:fldCharType="separate"/>
      </w:r>
      <w:r>
        <w:rPr>
          <w:highlight w:val="none"/>
        </w:rPr>
        <w:t>63</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_Toc27644 </w:instrText>
      </w:r>
      <w:r>
        <w:rPr>
          <w:rFonts w:hint="eastAsia" w:ascii="仿宋" w:hAnsi="仿宋" w:eastAsia="仿宋" w:cs="仿宋"/>
          <w:bCs w:val="0"/>
          <w:szCs w:val="21"/>
          <w:highlight w:val="none"/>
        </w:rPr>
        <w:fldChar w:fldCharType="separate"/>
      </w:r>
      <w:r>
        <w:rPr>
          <w:rFonts w:hint="eastAsia" w:ascii="仿宋" w:hAnsi="仿宋" w:eastAsia="仿宋" w:cs="仿宋"/>
          <w:szCs w:val="21"/>
          <w:highlight w:val="none"/>
          <w:lang w:val="zh-CN"/>
        </w:rPr>
        <w:t>六、技术规格偏离表</w:t>
      </w:r>
      <w:r>
        <w:rPr>
          <w:highlight w:val="none"/>
        </w:rPr>
        <w:tab/>
      </w:r>
      <w:r>
        <w:rPr>
          <w:highlight w:val="none"/>
        </w:rPr>
        <w:fldChar w:fldCharType="begin"/>
      </w:r>
      <w:r>
        <w:rPr>
          <w:highlight w:val="none"/>
        </w:rPr>
        <w:instrText xml:space="preserve"> PAGEREF _Toc27644 \h </w:instrText>
      </w:r>
      <w:r>
        <w:rPr>
          <w:highlight w:val="none"/>
        </w:rPr>
        <w:fldChar w:fldCharType="separate"/>
      </w:r>
      <w:r>
        <w:rPr>
          <w:highlight w:val="none"/>
        </w:rPr>
        <w:t>64</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_Toc21179 </w:instrText>
      </w:r>
      <w:r>
        <w:rPr>
          <w:rFonts w:hint="eastAsia" w:ascii="仿宋" w:hAnsi="仿宋" w:eastAsia="仿宋" w:cs="仿宋"/>
          <w:bCs w:val="0"/>
          <w:szCs w:val="21"/>
          <w:highlight w:val="none"/>
        </w:rPr>
        <w:fldChar w:fldCharType="separate"/>
      </w:r>
      <w:r>
        <w:rPr>
          <w:rFonts w:hint="eastAsia" w:ascii="仿宋" w:hAnsi="仿宋" w:eastAsia="仿宋" w:cs="仿宋"/>
          <w:szCs w:val="21"/>
          <w:highlight w:val="none"/>
          <w:lang w:eastAsia="zh-CN"/>
        </w:rPr>
        <w:t>七、</w:t>
      </w:r>
      <w:r>
        <w:rPr>
          <w:rFonts w:hint="eastAsia" w:ascii="仿宋" w:hAnsi="仿宋" w:eastAsia="仿宋" w:cs="仿宋"/>
          <w:szCs w:val="32"/>
          <w:highlight w:val="none"/>
        </w:rPr>
        <w:t>技术方案</w:t>
      </w:r>
      <w:r>
        <w:rPr>
          <w:highlight w:val="none"/>
        </w:rPr>
        <w:tab/>
      </w:r>
      <w:r>
        <w:rPr>
          <w:highlight w:val="none"/>
        </w:rPr>
        <w:fldChar w:fldCharType="begin"/>
      </w:r>
      <w:r>
        <w:rPr>
          <w:highlight w:val="none"/>
        </w:rPr>
        <w:instrText xml:space="preserve"> PAGEREF _Toc21179 \h </w:instrText>
      </w:r>
      <w:r>
        <w:rPr>
          <w:highlight w:val="none"/>
        </w:rPr>
        <w:fldChar w:fldCharType="separate"/>
      </w:r>
      <w:r>
        <w:rPr>
          <w:highlight w:val="none"/>
        </w:rPr>
        <w:t>65</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_Toc118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lang w:val="en-US" w:eastAsia="zh-CN"/>
        </w:rPr>
        <w:t>八</w:t>
      </w:r>
      <w:r>
        <w:rPr>
          <w:rFonts w:hint="eastAsia" w:ascii="仿宋" w:hAnsi="仿宋" w:eastAsia="仿宋" w:cs="仿宋"/>
          <w:szCs w:val="32"/>
          <w:highlight w:val="none"/>
        </w:rPr>
        <w:t>、售后服务及培训方案</w:t>
      </w:r>
      <w:r>
        <w:rPr>
          <w:highlight w:val="none"/>
        </w:rPr>
        <w:tab/>
      </w:r>
      <w:r>
        <w:rPr>
          <w:highlight w:val="none"/>
        </w:rPr>
        <w:fldChar w:fldCharType="begin"/>
      </w:r>
      <w:r>
        <w:rPr>
          <w:highlight w:val="none"/>
        </w:rPr>
        <w:instrText xml:space="preserve"> PAGEREF _Toc118 \h </w:instrText>
      </w:r>
      <w:r>
        <w:rPr>
          <w:highlight w:val="none"/>
        </w:rPr>
        <w:fldChar w:fldCharType="separate"/>
      </w:r>
      <w:r>
        <w:rPr>
          <w:highlight w:val="none"/>
        </w:rPr>
        <w:t>66</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_Toc1235 </w:instrText>
      </w:r>
      <w:r>
        <w:rPr>
          <w:rFonts w:hint="eastAsia" w:ascii="仿宋" w:hAnsi="仿宋" w:eastAsia="仿宋" w:cs="仿宋"/>
          <w:bCs w:val="0"/>
          <w:szCs w:val="21"/>
          <w:highlight w:val="none"/>
        </w:rPr>
        <w:fldChar w:fldCharType="separate"/>
      </w:r>
      <w:r>
        <w:rPr>
          <w:rFonts w:hint="eastAsia" w:ascii="仿宋" w:hAnsi="仿宋" w:eastAsia="仿宋" w:cs="仿宋"/>
          <w:szCs w:val="32"/>
          <w:highlight w:val="none"/>
          <w:lang w:val="en-US" w:eastAsia="zh-CN"/>
        </w:rPr>
        <w:t>九</w:t>
      </w:r>
      <w:r>
        <w:rPr>
          <w:rFonts w:hint="eastAsia" w:ascii="仿宋" w:hAnsi="仿宋" w:eastAsia="仿宋" w:cs="仿宋"/>
          <w:szCs w:val="32"/>
          <w:highlight w:val="none"/>
        </w:rPr>
        <w:t>、近年业绩的有关证明材料</w:t>
      </w:r>
      <w:r>
        <w:rPr>
          <w:highlight w:val="none"/>
        </w:rPr>
        <w:tab/>
      </w:r>
      <w:r>
        <w:rPr>
          <w:highlight w:val="none"/>
        </w:rPr>
        <w:fldChar w:fldCharType="begin"/>
      </w:r>
      <w:r>
        <w:rPr>
          <w:highlight w:val="none"/>
        </w:rPr>
        <w:instrText xml:space="preserve"> PAGEREF _Toc1235 \h </w:instrText>
      </w:r>
      <w:r>
        <w:rPr>
          <w:highlight w:val="none"/>
        </w:rPr>
        <w:fldChar w:fldCharType="separate"/>
      </w:r>
      <w:r>
        <w:rPr>
          <w:highlight w:val="none"/>
        </w:rPr>
        <w:t>67</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_Toc29890 </w:instrText>
      </w:r>
      <w:r>
        <w:rPr>
          <w:rFonts w:hint="eastAsia" w:ascii="仿宋" w:hAnsi="仿宋" w:eastAsia="仿宋" w:cs="仿宋"/>
          <w:bCs w:val="0"/>
          <w:szCs w:val="21"/>
          <w:highlight w:val="none"/>
        </w:rPr>
        <w:fldChar w:fldCharType="separate"/>
      </w:r>
      <w:r>
        <w:rPr>
          <w:rFonts w:hint="eastAsia" w:ascii="仿宋" w:hAnsi="仿宋" w:eastAsia="仿宋" w:cs="仿宋"/>
          <w:highlight w:val="none"/>
          <w:lang w:val="en-US" w:eastAsia="zh-CN"/>
        </w:rPr>
        <w:t>十</w:t>
      </w:r>
      <w:r>
        <w:rPr>
          <w:rFonts w:hint="eastAsia" w:ascii="仿宋" w:hAnsi="仿宋" w:eastAsia="仿宋" w:cs="仿宋"/>
          <w:szCs w:val="32"/>
          <w:highlight w:val="none"/>
        </w:rPr>
        <w:t>、</w:t>
      </w:r>
      <w:r>
        <w:rPr>
          <w:rFonts w:hint="eastAsia" w:ascii="仿宋" w:hAnsi="仿宋" w:eastAsia="仿宋" w:cs="仿宋"/>
          <w:szCs w:val="32"/>
          <w:highlight w:val="none"/>
          <w:lang w:eastAsia="zh-CN"/>
        </w:rPr>
        <w:t>投标人</w:t>
      </w:r>
      <w:r>
        <w:rPr>
          <w:rFonts w:hint="eastAsia" w:ascii="仿宋" w:hAnsi="仿宋" w:eastAsia="仿宋" w:cs="仿宋"/>
          <w:szCs w:val="32"/>
          <w:highlight w:val="none"/>
        </w:rPr>
        <w:t>企业关系关联承诺书</w:t>
      </w:r>
      <w:r>
        <w:rPr>
          <w:highlight w:val="none"/>
        </w:rPr>
        <w:tab/>
      </w:r>
      <w:r>
        <w:rPr>
          <w:highlight w:val="none"/>
        </w:rPr>
        <w:fldChar w:fldCharType="begin"/>
      </w:r>
      <w:r>
        <w:rPr>
          <w:highlight w:val="none"/>
        </w:rPr>
        <w:instrText xml:space="preserve"> PAGEREF _Toc29890 \h </w:instrText>
      </w:r>
      <w:r>
        <w:rPr>
          <w:highlight w:val="none"/>
        </w:rPr>
        <w:fldChar w:fldCharType="separate"/>
      </w:r>
      <w:r>
        <w:rPr>
          <w:highlight w:val="none"/>
        </w:rPr>
        <w:t>68</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_Toc31951 </w:instrText>
      </w:r>
      <w:r>
        <w:rPr>
          <w:rFonts w:hint="eastAsia" w:ascii="仿宋" w:hAnsi="仿宋" w:eastAsia="仿宋" w:cs="仿宋"/>
          <w:bCs w:val="0"/>
          <w:szCs w:val="21"/>
          <w:highlight w:val="none"/>
        </w:rPr>
        <w:fldChar w:fldCharType="separate"/>
      </w:r>
      <w:r>
        <w:rPr>
          <w:rFonts w:hint="eastAsia" w:ascii="仿宋" w:hAnsi="仿宋" w:eastAsia="仿宋" w:cs="仿宋"/>
          <w:kern w:val="0"/>
          <w:szCs w:val="24"/>
          <w:highlight w:val="none"/>
          <w:lang w:val="zh-CN"/>
        </w:rPr>
        <w:t>十</w:t>
      </w:r>
      <w:r>
        <w:rPr>
          <w:rFonts w:hint="eastAsia" w:ascii="仿宋" w:hAnsi="仿宋" w:eastAsia="仿宋" w:cs="仿宋"/>
          <w:kern w:val="0"/>
          <w:szCs w:val="24"/>
          <w:highlight w:val="none"/>
          <w:lang w:val="en-US" w:eastAsia="zh-CN"/>
        </w:rPr>
        <w:t>一</w:t>
      </w:r>
      <w:r>
        <w:rPr>
          <w:rFonts w:hint="eastAsia" w:ascii="仿宋" w:hAnsi="仿宋" w:eastAsia="仿宋" w:cs="仿宋"/>
          <w:kern w:val="0"/>
          <w:szCs w:val="24"/>
          <w:highlight w:val="none"/>
          <w:lang w:val="zh-CN"/>
        </w:rPr>
        <w:t>、投标人廉洁自律承诺书</w:t>
      </w:r>
      <w:r>
        <w:rPr>
          <w:highlight w:val="none"/>
        </w:rPr>
        <w:tab/>
      </w:r>
      <w:r>
        <w:rPr>
          <w:highlight w:val="none"/>
        </w:rPr>
        <w:fldChar w:fldCharType="begin"/>
      </w:r>
      <w:r>
        <w:rPr>
          <w:highlight w:val="none"/>
        </w:rPr>
        <w:instrText xml:space="preserve"> PAGEREF _Toc31951 \h </w:instrText>
      </w:r>
      <w:r>
        <w:rPr>
          <w:highlight w:val="none"/>
        </w:rPr>
        <w:fldChar w:fldCharType="separate"/>
      </w:r>
      <w:r>
        <w:rPr>
          <w:highlight w:val="none"/>
        </w:rPr>
        <w:t>69</w:t>
      </w:r>
      <w:r>
        <w:rPr>
          <w:highlight w:val="none"/>
        </w:rPr>
        <w:fldChar w:fldCharType="end"/>
      </w:r>
      <w:r>
        <w:rPr>
          <w:rFonts w:hint="eastAsia" w:ascii="仿宋" w:hAnsi="仿宋" w:eastAsia="仿宋" w:cs="仿宋"/>
          <w:bCs w:val="0"/>
          <w:color w:val="auto"/>
          <w:szCs w:val="21"/>
          <w:highlight w:val="none"/>
        </w:rPr>
        <w:fldChar w:fldCharType="end"/>
      </w:r>
    </w:p>
    <w:p>
      <w:pPr>
        <w:pStyle w:val="19"/>
        <w:tabs>
          <w:tab w:val="right" w:leader="dot" w:pos="9072"/>
          <w:tab w:val="clear" w:pos="9060"/>
        </w:tabs>
        <w:rPr>
          <w:highlight w:val="none"/>
        </w:rPr>
      </w:pPr>
      <w:r>
        <w:rPr>
          <w:rFonts w:hint="eastAsia" w:ascii="仿宋" w:hAnsi="仿宋" w:eastAsia="仿宋" w:cs="仿宋"/>
          <w:bCs w:val="0"/>
          <w:color w:val="auto"/>
          <w:szCs w:val="21"/>
          <w:highlight w:val="none"/>
        </w:rPr>
        <w:fldChar w:fldCharType="begin"/>
      </w:r>
      <w:r>
        <w:rPr>
          <w:rFonts w:hint="eastAsia" w:ascii="仿宋" w:hAnsi="仿宋" w:eastAsia="仿宋" w:cs="仿宋"/>
          <w:bCs w:val="0"/>
          <w:szCs w:val="21"/>
          <w:highlight w:val="none"/>
        </w:rPr>
        <w:instrText xml:space="preserve"> HYPERLINK \l _Toc12359 </w:instrText>
      </w:r>
      <w:r>
        <w:rPr>
          <w:rFonts w:hint="eastAsia" w:ascii="仿宋" w:hAnsi="仿宋" w:eastAsia="仿宋" w:cs="仿宋"/>
          <w:bCs w:val="0"/>
          <w:szCs w:val="21"/>
          <w:highlight w:val="none"/>
        </w:rPr>
        <w:fldChar w:fldCharType="separate"/>
      </w:r>
      <w:r>
        <w:rPr>
          <w:rFonts w:hint="eastAsia" w:ascii="仿宋" w:hAnsi="仿宋" w:eastAsia="仿宋" w:cs="仿宋"/>
          <w:szCs w:val="21"/>
          <w:highlight w:val="none"/>
        </w:rPr>
        <w:t>十</w:t>
      </w:r>
      <w:r>
        <w:rPr>
          <w:rFonts w:hint="eastAsia" w:ascii="仿宋" w:hAnsi="仿宋" w:eastAsia="仿宋" w:cs="仿宋"/>
          <w:szCs w:val="21"/>
          <w:highlight w:val="none"/>
          <w:lang w:val="en-US" w:eastAsia="zh-CN"/>
        </w:rPr>
        <w:t>二</w:t>
      </w:r>
      <w:r>
        <w:rPr>
          <w:rFonts w:hint="eastAsia" w:ascii="仿宋" w:hAnsi="仿宋" w:eastAsia="仿宋" w:cs="仿宋"/>
          <w:szCs w:val="24"/>
          <w:highlight w:val="none"/>
          <w:lang w:val="zh-CN"/>
        </w:rPr>
        <w:t>、投标人认为有必要补充说明的事项</w:t>
      </w:r>
      <w:r>
        <w:rPr>
          <w:highlight w:val="none"/>
        </w:rPr>
        <w:tab/>
      </w:r>
      <w:r>
        <w:rPr>
          <w:highlight w:val="none"/>
        </w:rPr>
        <w:fldChar w:fldCharType="begin"/>
      </w:r>
      <w:r>
        <w:rPr>
          <w:highlight w:val="none"/>
        </w:rPr>
        <w:instrText xml:space="preserve"> PAGEREF _Toc12359 \h </w:instrText>
      </w:r>
      <w:r>
        <w:rPr>
          <w:highlight w:val="none"/>
        </w:rPr>
        <w:fldChar w:fldCharType="separate"/>
      </w:r>
      <w:r>
        <w:rPr>
          <w:highlight w:val="none"/>
        </w:rPr>
        <w:t>70</w:t>
      </w:r>
      <w:r>
        <w:rPr>
          <w:highlight w:val="none"/>
        </w:rPr>
        <w:fldChar w:fldCharType="end"/>
      </w:r>
      <w:r>
        <w:rPr>
          <w:rFonts w:hint="eastAsia" w:ascii="仿宋" w:hAnsi="仿宋" w:eastAsia="仿宋" w:cs="仿宋"/>
          <w:bCs w:val="0"/>
          <w:color w:val="auto"/>
          <w:szCs w:val="21"/>
          <w:highlight w:val="none"/>
        </w:rPr>
        <w:fldChar w:fldCharType="end"/>
      </w:r>
    </w:p>
    <w:p>
      <w:pPr>
        <w:pStyle w:val="3"/>
        <w:keepNext/>
        <w:keepLines/>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32"/>
          <w:szCs w:val="32"/>
          <w:highlight w:val="none"/>
          <w:lang w:val="zh-CN"/>
        </w:rPr>
      </w:pPr>
      <w:r>
        <w:rPr>
          <w:rFonts w:hint="eastAsia" w:ascii="仿宋" w:hAnsi="仿宋" w:eastAsia="仿宋" w:cs="仿宋"/>
          <w:bCs w:val="0"/>
          <w:color w:val="auto"/>
          <w:szCs w:val="21"/>
          <w:highlight w:val="none"/>
        </w:rPr>
        <w:fldChar w:fldCharType="end"/>
      </w:r>
      <w:bookmarkEnd w:id="0"/>
      <w:bookmarkEnd w:id="1"/>
      <w:bookmarkEnd w:id="2"/>
      <w:bookmarkEnd w:id="3"/>
      <w:bookmarkEnd w:id="4"/>
      <w:bookmarkEnd w:id="5"/>
      <w:bookmarkEnd w:id="6"/>
      <w:bookmarkEnd w:id="7"/>
      <w:bookmarkStart w:id="8" w:name="_Toc18314"/>
      <w:bookmarkStart w:id="9" w:name="_Toc23454"/>
      <w:bookmarkStart w:id="10" w:name="_Toc786"/>
      <w:bookmarkStart w:id="11" w:name="_Toc26996"/>
      <w:bookmarkStart w:id="12" w:name="_Toc31741"/>
      <w:bookmarkStart w:id="13" w:name="_Toc14692"/>
      <w:bookmarkStart w:id="14" w:name="_Toc6649"/>
      <w:bookmarkStart w:id="15" w:name="_Toc16458"/>
      <w:bookmarkStart w:id="16" w:name="_Toc28539"/>
      <w:bookmarkStart w:id="17" w:name="_Toc475451544"/>
      <w:r>
        <w:rPr>
          <w:rFonts w:hint="eastAsia" w:ascii="仿宋" w:hAnsi="仿宋" w:eastAsia="仿宋" w:cs="仿宋"/>
          <w:color w:val="auto"/>
          <w:kern w:val="2"/>
          <w:sz w:val="32"/>
          <w:szCs w:val="32"/>
          <w:highlight w:val="none"/>
          <w:lang w:val="zh-CN"/>
        </w:rPr>
        <w:t>第一部分  招标公告</w:t>
      </w:r>
      <w:bookmarkEnd w:id="8"/>
      <w:bookmarkEnd w:id="9"/>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项目概况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镇巴县人民医院PACS及肺小结节智能诊断系统采购项目的潜在投标人应在西安经济技术开发区凤城十一路与文景路十字文景商务广场B座8层获取招标文件，并于 202</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3</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年</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5</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月</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30</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日</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09</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时</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00</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分（北京时间）前递交投标文件。</w:t>
      </w:r>
    </w:p>
    <w:p>
      <w:pPr>
        <w:keepNext w:val="0"/>
        <w:keepLines w:val="0"/>
        <w:pageBreakBefore w:val="0"/>
        <w:shd w:val="clear" w:color="auto" w:fill="auto"/>
        <w:kinsoku/>
        <w:wordWrap/>
        <w:overflowPunct/>
        <w:topLinePunct w:val="0"/>
        <w:autoSpaceDE/>
        <w:autoSpaceDN/>
        <w:bidi w:val="0"/>
        <w:adjustRightInd/>
        <w:snapToGrid/>
        <w:spacing w:line="420" w:lineRule="exact"/>
        <w:ind w:firstLine="0"/>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b/>
          <w:bCs/>
          <w:i w:val="0"/>
          <w:iCs w:val="0"/>
          <w:caps w:val="0"/>
          <w:color w:val="auto"/>
          <w:spacing w:val="0"/>
          <w:kern w:val="0"/>
          <w:sz w:val="24"/>
          <w:szCs w:val="24"/>
          <w:highlight w:val="none"/>
          <w:shd w:val="clear" w:color="auto" w:fill="FFFFFF"/>
          <w:vertAlign w:val="baseline"/>
          <w:lang w:val="en-US" w:eastAsia="zh-CN" w:bidi="ar-SA"/>
        </w:rPr>
        <w:t>一、项目基本情况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项目编号：DX2023-166</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项目名称：镇巴县人民医院PACS及肺小结节智能诊断系统采购项目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采购方式：公开招标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预算金额：2500000.00元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采购需求：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合同包1(PACS系统):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合同包预算金额：2000000.00元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合同包最高限价：2000000.00元</w:t>
      </w:r>
    </w:p>
    <w:tbl>
      <w:tblPr>
        <w:tblStyle w:val="23"/>
        <w:tblW w:w="9750"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31"/>
        <w:gridCol w:w="1454"/>
        <w:gridCol w:w="1522"/>
        <w:gridCol w:w="1052"/>
        <w:gridCol w:w="1302"/>
        <w:gridCol w:w="1440"/>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blHeader/>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品目号</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品目名称</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采购标的</w:t>
            </w:r>
          </w:p>
        </w:tc>
        <w:tc>
          <w:tcPr>
            <w:tcW w:w="10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（单位）</w:t>
            </w:r>
          </w:p>
        </w:tc>
        <w:tc>
          <w:tcPr>
            <w:tcW w:w="13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品目预算(元)</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1-1</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其他信息技术服务</w:t>
            </w:r>
          </w:p>
        </w:tc>
        <w:tc>
          <w:tcPr>
            <w:tcW w:w="15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PACS系统</w:t>
            </w:r>
          </w:p>
        </w:tc>
        <w:tc>
          <w:tcPr>
            <w:tcW w:w="10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1套</w:t>
            </w:r>
          </w:p>
        </w:tc>
        <w:tc>
          <w:tcPr>
            <w:tcW w:w="130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2000000.00</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2000000.00</w:t>
            </w:r>
          </w:p>
        </w:tc>
      </w:tr>
    </w:tbl>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本合同包不接受联合体投标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合同履行期限：无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合同包2(肺小结节智能诊断系统):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合同包预算金额：500000.00元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合同包最高限价：500000.00元</w:t>
      </w:r>
    </w:p>
    <w:tbl>
      <w:tblPr>
        <w:tblStyle w:val="23"/>
        <w:tblW w:w="9750"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31"/>
        <w:gridCol w:w="1454"/>
        <w:gridCol w:w="1311"/>
        <w:gridCol w:w="1080"/>
        <w:gridCol w:w="1485"/>
        <w:gridCol w:w="1440"/>
        <w:gridCol w:w="1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5" w:hRule="atLeast"/>
          <w:tblHeader/>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品目号</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品目名称</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采购标的</w:t>
            </w:r>
          </w:p>
        </w:tc>
        <w:tc>
          <w:tcPr>
            <w:tcW w:w="1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（单位）</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技术规格、参数及要求</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品目预算(元)</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2-1</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其他信息技术服务</w:t>
            </w:r>
          </w:p>
        </w:tc>
        <w:tc>
          <w:tcPr>
            <w:tcW w:w="13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肺小结节智能诊断系统</w:t>
            </w:r>
          </w:p>
        </w:tc>
        <w:tc>
          <w:tcPr>
            <w:tcW w:w="10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1套</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详见采购文件</w:t>
            </w:r>
          </w:p>
        </w:tc>
        <w:tc>
          <w:tcPr>
            <w:tcW w:w="14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500000.00</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500000.00</w:t>
            </w:r>
          </w:p>
        </w:tc>
      </w:tr>
    </w:tbl>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本合同包不接受联合体投标</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合同履行期限：无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二、申请人的资格要求：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1.满足《中华人民共和国政府采购法》第二十二条规定;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2.落实政府采购政策需满足的资格要求：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合同包1(</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PACS系统</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落实政府采购政策需满足的资格要求如下: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非专门面向中小企业采购项目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合同包2(</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肺小结节智能诊断系统</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w:t>
      </w:r>
      <w:r>
        <w:rPr>
          <w:rFonts w:hint="eastAsia" w:ascii="仿宋" w:hAnsi="仿宋" w:eastAsia="仿宋" w:cs="仿宋"/>
          <w:i w:val="0"/>
          <w:iCs w:val="0"/>
          <w:caps w:val="0"/>
          <w:color w:val="auto"/>
          <w:spacing w:val="0"/>
          <w:sz w:val="24"/>
          <w:szCs w:val="24"/>
          <w:highlight w:val="none"/>
          <w:shd w:val="clear" w:color="auto" w:fill="FFFFFF"/>
          <w:vertAlign w:val="baseline"/>
        </w:rPr>
        <w:t>落实政府采购政策需满足的资格要求如下: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非专门面向中小企业采购项目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3.本项目的特定资格要求：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合同包1(</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PACS系统</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特定资格要求如下: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法定代表人授权书及被授权人身份证，并且提供有效的劳动合同或投标截止前六个月内任意一个月养老保险缴纳证明（法人参加只需提供法定代表人身份证明）；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符合《财政部关于在政府采购活动中查询及使用信用记录有关问题的通知》（财库【2016】125号）文件中信用查询的要求；（此项由采购人与采购代理单位在开标时查询，以现场查询为准）；</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合同包2(</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肺小结节智能诊断系统</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w:t>
      </w:r>
      <w:r>
        <w:rPr>
          <w:rFonts w:hint="eastAsia" w:ascii="仿宋" w:hAnsi="仿宋" w:eastAsia="仿宋" w:cs="仿宋"/>
          <w:i w:val="0"/>
          <w:iCs w:val="0"/>
          <w:caps w:val="0"/>
          <w:color w:val="auto"/>
          <w:spacing w:val="0"/>
          <w:sz w:val="24"/>
          <w:szCs w:val="24"/>
          <w:highlight w:val="none"/>
          <w:shd w:val="clear" w:color="auto" w:fill="FFFFFF"/>
          <w:vertAlign w:val="baseline"/>
        </w:rPr>
        <w:t>特定资格要求如下: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同合同包1</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三、获取招标文件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时间：2023年5月6日至2023年5月12日，每天上午 09:00:00 至 12:00:00 ，下午14:00:00 至17:00:00（北京时间,法定节假日除外）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地点：西安经济技术开发区凤城十一路与文景路十字文景商务广场B座8层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方式：现场获取</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default"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售价：300.00元/标段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四、提交投标文件截止时间、开标时间和地点</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w:t>
      </w:r>
      <w:r>
        <w:rPr>
          <w:rFonts w:hint="eastAsia" w:ascii="仿宋" w:hAnsi="仿宋" w:eastAsia="仿宋" w:cs="仿宋"/>
          <w:i w:val="0"/>
          <w:iCs w:val="0"/>
          <w:caps w:val="0"/>
          <w:color w:val="auto"/>
          <w:spacing w:val="0"/>
          <w:sz w:val="24"/>
          <w:szCs w:val="24"/>
          <w:highlight w:val="none"/>
          <w:shd w:val="clear" w:color="auto" w:fill="FFFFFF"/>
          <w:vertAlign w:val="baseline"/>
        </w:rPr>
        <w:t>年</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5</w:t>
      </w:r>
      <w:r>
        <w:rPr>
          <w:rFonts w:hint="eastAsia" w:ascii="仿宋" w:hAnsi="仿宋" w:eastAsia="仿宋" w:cs="仿宋"/>
          <w:i w:val="0"/>
          <w:iCs w:val="0"/>
          <w:caps w:val="0"/>
          <w:color w:val="auto"/>
          <w:spacing w:val="0"/>
          <w:sz w:val="24"/>
          <w:szCs w:val="24"/>
          <w:highlight w:val="none"/>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iCs w:val="0"/>
          <w:caps w:val="0"/>
          <w:color w:val="auto"/>
          <w:spacing w:val="0"/>
          <w:sz w:val="24"/>
          <w:szCs w:val="24"/>
          <w:highlight w:val="none"/>
          <w:shd w:val="clear" w:color="auto" w:fill="FFFFFF"/>
          <w:vertAlign w:val="baseline"/>
        </w:rPr>
        <w:t xml:space="preserve">日 </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09</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时</w:t>
      </w: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00</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分</w:t>
      </w:r>
      <w:r>
        <w:rPr>
          <w:rFonts w:hint="eastAsia" w:ascii="仿宋" w:hAnsi="仿宋" w:eastAsia="仿宋" w:cs="仿宋"/>
          <w:i w:val="0"/>
          <w:iCs w:val="0"/>
          <w:caps w:val="0"/>
          <w:color w:val="auto"/>
          <w:spacing w:val="0"/>
          <w:sz w:val="24"/>
          <w:szCs w:val="24"/>
          <w:highlight w:val="none"/>
          <w:shd w:val="clear" w:color="auto" w:fill="FFFFFF"/>
          <w:vertAlign w:val="baseline"/>
        </w:rPr>
        <w:t>00秒 （北京时间）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地点：西安经济技术开发区凤城十一路与文景路十字文景商务广场B座8层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五、公告期限</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480" w:right="0" w:firstLine="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自本公告发布之日起5个工作日。</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六、其他补充事宜</w:t>
      </w:r>
    </w:p>
    <w:p>
      <w:pPr>
        <w:spacing w:line="360" w:lineRule="auto"/>
        <w:ind w:firstLine="480" w:firstLineChars="200"/>
        <w:rPr>
          <w:rFonts w:hint="eastAsia" w:ascii="仿宋" w:hAnsi="仿宋" w:eastAsia="仿宋" w:cs="仿宋"/>
          <w:b/>
          <w:bCs/>
          <w:i w:val="0"/>
          <w:iCs w:val="0"/>
          <w:caps w:val="0"/>
          <w:color w:val="333333"/>
          <w:spacing w:val="0"/>
          <w:sz w:val="24"/>
          <w:szCs w:val="24"/>
          <w:highlight w:val="none"/>
          <w:shd w:val="clear" w:color="auto" w:fill="FFFFFF"/>
          <w:vertAlign w:val="baseline"/>
        </w:rPr>
      </w:pPr>
      <w:r>
        <w:rPr>
          <w:rFonts w:hint="eastAsia" w:ascii="仿宋" w:hAnsi="仿宋" w:eastAsia="仿宋" w:cs="仿宋"/>
          <w:sz w:val="24"/>
          <w:szCs w:val="24"/>
          <w:highlight w:val="none"/>
          <w:lang w:eastAsia="zh-CN"/>
        </w:rPr>
        <w:t>1、</w:t>
      </w:r>
      <w:r>
        <w:rPr>
          <w:rFonts w:hint="eastAsia" w:ascii="仿宋" w:hAnsi="仿宋" w:eastAsia="仿宋" w:cs="仿宋"/>
          <w:sz w:val="24"/>
          <w:szCs w:val="24"/>
          <w:highlight w:val="none"/>
          <w:lang w:val="en-US" w:eastAsia="zh-CN"/>
        </w:rPr>
        <w:t>购买</w:t>
      </w:r>
      <w:r>
        <w:rPr>
          <w:rFonts w:hint="eastAsia" w:ascii="仿宋" w:hAnsi="仿宋" w:eastAsia="仿宋" w:cs="仿宋"/>
          <w:sz w:val="24"/>
          <w:szCs w:val="24"/>
          <w:highlight w:val="none"/>
          <w:lang w:eastAsia="zh-CN"/>
        </w:rPr>
        <w:t>招标文件时请携带单位介绍信原件、经办人身份证原件及复印件（加盖公司鲜章）。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firstLineChars="200"/>
        <w:jc w:val="both"/>
        <w:textAlignment w:val="baseline"/>
        <w:rPr>
          <w:rFonts w:hint="eastAsia" w:ascii="仿宋" w:hAnsi="仿宋" w:eastAsia="仿宋" w:cs="仿宋"/>
          <w:i w:val="0"/>
          <w:iCs w:val="0"/>
          <w:caps w:val="0"/>
          <w:color w:val="333333"/>
          <w:spacing w:val="0"/>
          <w:sz w:val="24"/>
          <w:szCs w:val="24"/>
          <w:highlight w:val="none"/>
          <w:shd w:val="clear" w:color="auto" w:fill="FFFFFF"/>
          <w:vertAlign w:val="baseline"/>
        </w:rPr>
      </w:pPr>
      <w:r>
        <w:rPr>
          <w:rFonts w:hint="eastAsia" w:ascii="仿宋" w:hAnsi="仿宋" w:eastAsia="仿宋" w:cs="仿宋"/>
          <w:i w:val="0"/>
          <w:iCs w:val="0"/>
          <w:caps w:val="0"/>
          <w:color w:val="333333"/>
          <w:spacing w:val="0"/>
          <w:sz w:val="24"/>
          <w:szCs w:val="24"/>
          <w:highlight w:val="none"/>
          <w:shd w:val="clear" w:color="auto" w:fill="FFFFFF"/>
          <w:vertAlign w:val="baseline"/>
          <w:lang w:val="en-US" w:eastAsia="zh-CN"/>
        </w:rPr>
        <w:t>2、执行的其他政府采购政策：</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（1）《政府采购促进中小企业发展管理办法》财库〔2020〕46号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（2）《财政部 司法部关于政府采购支持监狱企业发展有关问题的通知》财库[2014]68号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（3）《财政部 发展改革委 生态环境部 市场监管总局关于调整优化节能产品、环境标志产品政府采购执行机制的通知》（财库〔2019〕9号）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（4）《财政部 国家发展改革委关于印发〈节能产品政府采购实施意见〉的通知》（财库[2004]185号）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（5）《财政部环保总局关于环境标志产品政府采购实施的意见》财库[2006]90号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（6）《三部门联合发布关于促进残疾人就业政府采购政策的通知》（财库[2017]141号）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（7）《陕西省中小企业政府采购信用融资办法》（陕财办采〔2018〕23号）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（8）《国务院办公厅关于建立政府强制采购节能产品制度的通知》（国办发〔2007〕51号）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（9）《财政部 国务院扶贫办关于运用政府采购政策支持脱贫攻坚的通知》（财库〔2019〕27号）</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10）《财政部住房城乡建设部工业和信息化部关于扩大政府采购绿色建材促进建筑品质提升政策实施范围的通知》（财库〔2022〕35号）</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3、投标文件中凡是需要法定代表人盖章之处，非法人单位的负责人均参照执行。</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4、分支机构参与投标时，投标文件中应附法人出具的授权书。法人只能授权一家分支机构参与投标，且不能与分支机构同时参与投标。分支机构须提供自己的资格要求证明文件。</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5、投标人如不参与项目投标，需在递交文件截止时间前一日以书面形式告知项目联系人（邮箱号：</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"mailto:2059407584@qq.com),否则采购代理机构将向财政部门反映，供应商一年内累计出现三次该情形，将被监管部门记录为失信被执行人。" </w:instrText>
      </w:r>
      <w:r>
        <w:rPr>
          <w:rFonts w:hint="eastAsia" w:ascii="仿宋" w:hAnsi="仿宋" w:eastAsia="仿宋" w:cs="仿宋"/>
          <w:color w:val="auto"/>
          <w:sz w:val="24"/>
          <w:szCs w:val="24"/>
          <w:highlight w:val="none"/>
          <w:lang w:val="en-US" w:eastAsia="zh-CN"/>
        </w:rPr>
        <w:fldChar w:fldCharType="separate"/>
      </w:r>
      <w:r>
        <w:rPr>
          <w:rFonts w:hint="eastAsia" w:ascii="仿宋" w:hAnsi="仿宋" w:eastAsia="仿宋" w:cs="仿宋"/>
          <w:color w:val="auto"/>
          <w:sz w:val="24"/>
          <w:szCs w:val="24"/>
          <w:highlight w:val="none"/>
          <w:lang w:val="en-US" w:eastAsia="zh-CN"/>
        </w:rPr>
        <w:t>2059407584@qq.com),否则采购代理机构将向财政部门反映，投标人一年内累计出现三次该情形，将被监管部门记录为失信被执行人。</w:t>
      </w:r>
      <w:r>
        <w:rPr>
          <w:rFonts w:hint="eastAsia" w:ascii="仿宋" w:hAnsi="仿宋" w:eastAsia="仿宋" w:cs="仿宋"/>
          <w:color w:val="auto"/>
          <w:sz w:val="24"/>
          <w:szCs w:val="24"/>
          <w:highlight w:val="none"/>
          <w:lang w:val="en-US" w:eastAsia="zh-CN"/>
        </w:rPr>
        <w:fldChar w:fldCharType="end"/>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both"/>
        <w:textAlignment w:val="baseline"/>
        <w:rPr>
          <w:rFonts w:hint="eastAsia" w:ascii="仿宋" w:hAnsi="仿宋" w:eastAsia="仿宋" w:cs="仿宋"/>
          <w:b/>
          <w:bCs/>
          <w:i w:val="0"/>
          <w:iCs w:val="0"/>
          <w:caps w:val="0"/>
          <w:color w:val="auto"/>
          <w:spacing w:val="0"/>
          <w:kern w:val="0"/>
          <w:sz w:val="24"/>
          <w:szCs w:val="24"/>
          <w:highlight w:val="none"/>
          <w:shd w:val="clear" w:color="auto" w:fill="FFFFFF"/>
          <w:vertAlign w:val="baseline"/>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vertAlign w:val="baseline"/>
          <w:lang w:val="en-US" w:eastAsia="zh-CN" w:bidi="ar"/>
        </w:rPr>
        <w:t>七、对本次招标提出询问，请按以下方式联系。</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240" w:firstLineChars="1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t>1.釆购人信息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baseline"/>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t>采购人名称：</w:t>
      </w:r>
      <w:r>
        <w:rPr>
          <w:rFonts w:hint="eastAsia" w:ascii="仿宋" w:hAnsi="仿宋" w:eastAsia="仿宋" w:cs="仿宋"/>
          <w:i w:val="0"/>
          <w:iCs w:val="0"/>
          <w:caps w:val="0"/>
          <w:color w:val="auto"/>
          <w:spacing w:val="0"/>
          <w:kern w:val="0"/>
          <w:sz w:val="24"/>
          <w:szCs w:val="24"/>
          <w:highlight w:val="none"/>
          <w:shd w:val="clear" w:color="auto" w:fill="FFFFFF"/>
          <w:vertAlign w:val="baseline"/>
          <w:lang w:val="zh-CN" w:eastAsia="zh-CN" w:bidi="ar-SA"/>
        </w:rPr>
        <w:t>镇巴县人民医院</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t>地址：镇巴县泾洋镇新街43号</w:t>
      </w:r>
    </w:p>
    <w:p>
      <w:pPr>
        <w:keepNext w:val="0"/>
        <w:keepLines w:val="0"/>
        <w:pageBreakBefore w:val="0"/>
        <w:kinsoku/>
        <w:wordWrap/>
        <w:overflowPunct/>
        <w:topLinePunct w:val="0"/>
        <w:autoSpaceDE/>
        <w:autoSpaceDN/>
        <w:bidi w:val="0"/>
        <w:adjustRightInd/>
        <w:snapToGrid/>
        <w:spacing w:line="460" w:lineRule="exact"/>
        <w:ind w:firstLine="480" w:firstLineChars="200"/>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
        </w:rPr>
        <w:t>联系方式：0916-6716505</w:t>
      </w:r>
    </w:p>
    <w:p>
      <w:pPr>
        <w:keepNext w:val="0"/>
        <w:keepLines w:val="0"/>
        <w:pageBreakBefore w:val="0"/>
        <w:kinsoku/>
        <w:wordWrap/>
        <w:overflowPunct/>
        <w:topLinePunct w:val="0"/>
        <w:autoSpaceDE/>
        <w:autoSpaceDN/>
        <w:bidi w:val="0"/>
        <w:adjustRightInd/>
        <w:snapToGrid/>
        <w:spacing w:line="4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2.釆购代理机构信息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名称：陕西笃信招标有限公司</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地址：西安经济技术开发区凤城十一路与文景路十字文景商务广场B座8层</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联系方式：029-86253389</w:t>
      </w:r>
    </w:p>
    <w:p>
      <w:pPr>
        <w:keepNext w:val="0"/>
        <w:keepLines w:val="0"/>
        <w:pageBreakBefore w:val="0"/>
        <w:kinsoku/>
        <w:wordWrap/>
        <w:overflowPunct/>
        <w:topLinePunct w:val="0"/>
        <w:autoSpaceDE/>
        <w:autoSpaceDN/>
        <w:bidi w:val="0"/>
        <w:adjustRightInd/>
        <w:snapToGrid/>
        <w:spacing w:line="46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rPr>
        <w:t>项目联系人：</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贺培文</w:t>
      </w:r>
      <w:r>
        <w:rPr>
          <w:rFonts w:hint="eastAsia" w:ascii="仿宋" w:hAnsi="仿宋" w:eastAsia="仿宋" w:cs="仿宋"/>
          <w:i w:val="0"/>
          <w:iCs w:val="0"/>
          <w:caps w:val="0"/>
          <w:color w:val="auto"/>
          <w:spacing w:val="0"/>
          <w:sz w:val="24"/>
          <w:szCs w:val="24"/>
          <w:highlight w:val="none"/>
          <w:shd w:val="clear" w:color="auto" w:fill="FFFFFF"/>
          <w:vertAlign w:val="baseline"/>
        </w:rPr>
        <w:t>、张亚娜</w:t>
      </w:r>
      <w:r>
        <w:rPr>
          <w:rFonts w:hint="eastAsia"/>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李纪旋</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电话：029-86253389</w:t>
      </w:r>
    </w:p>
    <w:p>
      <w:pPr>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highlight w:val="none"/>
          <w:lang w:val="zh-CN"/>
        </w:rPr>
        <w:br w:type="page"/>
      </w:r>
    </w:p>
    <w:p>
      <w:pPr>
        <w:pStyle w:val="3"/>
        <w:spacing w:line="360" w:lineRule="auto"/>
        <w:rPr>
          <w:rFonts w:hint="eastAsia" w:ascii="仿宋" w:hAnsi="仿宋" w:eastAsia="仿宋" w:cs="仿宋"/>
          <w:color w:val="auto"/>
          <w:szCs w:val="44"/>
          <w:highlight w:val="none"/>
          <w:lang w:val="zh-CN"/>
        </w:rPr>
      </w:pPr>
      <w:bookmarkStart w:id="18" w:name="_Toc31958"/>
      <w:r>
        <w:rPr>
          <w:rFonts w:hint="eastAsia" w:ascii="仿宋" w:hAnsi="仿宋" w:eastAsia="仿宋" w:cs="仿宋"/>
          <w:color w:val="auto"/>
          <w:sz w:val="32"/>
          <w:szCs w:val="32"/>
          <w:highlight w:val="none"/>
          <w:lang w:val="zh-CN"/>
        </w:rPr>
        <w:t>第二部分</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zh-CN"/>
        </w:rPr>
        <w:t>投标人须知</w:t>
      </w:r>
      <w:bookmarkEnd w:id="10"/>
      <w:bookmarkEnd w:id="11"/>
      <w:bookmarkEnd w:id="12"/>
      <w:bookmarkEnd w:id="13"/>
      <w:bookmarkEnd w:id="14"/>
      <w:bookmarkEnd w:id="15"/>
      <w:bookmarkEnd w:id="16"/>
      <w:bookmarkEnd w:id="18"/>
    </w:p>
    <w:p>
      <w:pPr>
        <w:jc w:val="cente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投标人须知前附表</w:t>
      </w:r>
    </w:p>
    <w:tbl>
      <w:tblPr>
        <w:tblStyle w:val="23"/>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80"/>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条款名称</w:t>
            </w:r>
          </w:p>
        </w:tc>
        <w:tc>
          <w:tcPr>
            <w:tcW w:w="6974"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04"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6974"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采购人名称：镇巴县人民医院</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地址：镇巴县泾洋镇新街43号</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联系方式：0916-6716505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4"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名称：陕西笃信招标有限公司</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地址：西安经济技术开发区凤城十一路与文景路十字文景商务广场B座8层</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贺培文</w:t>
            </w:r>
            <w:r>
              <w:rPr>
                <w:rFonts w:hint="eastAsia" w:ascii="仿宋" w:hAnsi="仿宋" w:eastAsia="仿宋" w:cs="仿宋"/>
                <w:i w:val="0"/>
                <w:iCs w:val="0"/>
                <w:caps w:val="0"/>
                <w:color w:val="auto"/>
                <w:spacing w:val="0"/>
                <w:sz w:val="24"/>
                <w:szCs w:val="24"/>
                <w:highlight w:val="none"/>
                <w:shd w:val="clear" w:color="auto" w:fill="FFFFFF"/>
                <w:vertAlign w:val="baseline"/>
              </w:rPr>
              <w:t>、张亚娜</w:t>
            </w:r>
            <w:r>
              <w:rPr>
                <w:rFonts w:hint="eastAsia"/>
                <w:highlight w:val="no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李纪旋</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974" w:type="dxa"/>
            <w:noWrap w:val="0"/>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镇巴县人民医院PACS及肺小结节智能诊断系统采购项目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2180"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包号及名称</w:t>
            </w:r>
          </w:p>
        </w:tc>
        <w:tc>
          <w:tcPr>
            <w:tcW w:w="6974" w:type="dxa"/>
            <w:noWrap w:val="0"/>
            <w:vAlign w:val="center"/>
          </w:tcPr>
          <w:p>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包2：</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肺小结节智能诊断系统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文件发售时间</w:t>
            </w:r>
          </w:p>
        </w:tc>
        <w:tc>
          <w:tcPr>
            <w:tcW w:w="6974" w:type="dxa"/>
            <w:noWrap w:val="0"/>
            <w:vAlign w:val="center"/>
          </w:tcPr>
          <w:p>
            <w:pPr>
              <w:spacing w:line="360" w:lineRule="auto"/>
              <w:rPr>
                <w:rFonts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2023年5月6日至2023年5月12日</w:t>
            </w:r>
            <w:r>
              <w:rPr>
                <w:rFonts w:hint="eastAsia" w:ascii="仿宋" w:hAnsi="仿宋" w:eastAsia="仿宋" w:cs="仿宋"/>
                <w:color w:val="auto"/>
                <w:sz w:val="24"/>
                <w:szCs w:val="24"/>
                <w:highlight w:val="none"/>
              </w:rPr>
              <w:t>，每天上午 09:00:00 至 12:00:00 ，下午 14:00:00 至 17:00:00 （北京时间,法定节假日除外）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6974" w:type="dxa"/>
            <w:noWrap w:val="0"/>
            <w:vAlign w:val="center"/>
          </w:tcPr>
          <w:p>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采购预算</w:t>
            </w:r>
          </w:p>
        </w:tc>
        <w:tc>
          <w:tcPr>
            <w:tcW w:w="6974" w:type="dxa"/>
            <w:noWrap w:val="0"/>
            <w:vAlign w:val="center"/>
          </w:tcPr>
          <w:p>
            <w:pPr>
              <w:spacing w:line="360" w:lineRule="auto"/>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6974" w:type="dxa"/>
            <w:noWrap w:val="0"/>
            <w:vAlign w:val="center"/>
          </w:tcPr>
          <w:p>
            <w:pPr>
              <w:spacing w:line="360" w:lineRule="auto"/>
              <w:jc w:val="left"/>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kern w:val="0"/>
                <w:sz w:val="24"/>
                <w:szCs w:val="24"/>
                <w:highlight w:val="none"/>
                <w:shd w:val="clear" w:color="auto" w:fill="FFFFFF"/>
                <w:vertAlign w:val="baseline"/>
                <w:lang w:val="en-US" w:eastAsia="zh-CN" w:bidi="ar-SA"/>
              </w:rPr>
              <w:t>500000.00元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2180" w:type="dxa"/>
            <w:shd w:val="clear" w:color="auto" w:fill="auto"/>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服务期</w:t>
            </w:r>
          </w:p>
        </w:tc>
        <w:tc>
          <w:tcPr>
            <w:tcW w:w="6974" w:type="dxa"/>
            <w:shd w:val="clear" w:color="auto" w:fill="auto"/>
            <w:noWrap w:val="0"/>
            <w:vAlign w:val="center"/>
          </w:tcPr>
          <w:p>
            <w:pPr>
              <w:keepNext w:val="0"/>
              <w:keepLines w:val="0"/>
              <w:pageBreakBefore w:val="0"/>
              <w:widowControl w:val="0"/>
              <w:tabs>
                <w:tab w:val="left" w:pos="480"/>
              </w:tabs>
              <w:kinsoku/>
              <w:wordWrap/>
              <w:overflowPunct/>
              <w:topLinePunct w:val="0"/>
              <w:autoSpaceDE/>
              <w:autoSpaceDN/>
              <w:bidi w:val="0"/>
              <w:adjustRightInd/>
              <w:snapToGrid/>
              <w:spacing w:line="360" w:lineRule="auto"/>
              <w:jc w:val="both"/>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2180"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交货地点</w:t>
            </w:r>
          </w:p>
        </w:tc>
        <w:tc>
          <w:tcPr>
            <w:tcW w:w="6974" w:type="dxa"/>
            <w:noWrap w:val="0"/>
            <w:vAlign w:val="center"/>
          </w:tcPr>
          <w:p>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lang w:val="en-US" w:eastAsia="zh-CN"/>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文件递交截止时间</w:t>
            </w:r>
          </w:p>
        </w:tc>
        <w:tc>
          <w:tcPr>
            <w:tcW w:w="6974" w:type="dxa"/>
            <w:noWrap w:val="0"/>
            <w:vAlign w:val="center"/>
          </w:tcPr>
          <w:p>
            <w:pPr>
              <w:snapToGri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rPr>
              <w:t xml:space="preserve">日 </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szCs w:val="24"/>
                <w:highlight w:val="none"/>
              </w:rPr>
              <w:t>时</w:t>
            </w:r>
            <w:r>
              <w:rPr>
                <w:rFonts w:hint="eastAsia" w:ascii="仿宋" w:hAnsi="仿宋" w:eastAsia="仿宋" w:cs="仿宋"/>
                <w:color w:val="auto"/>
                <w:kern w:val="0"/>
                <w:sz w:val="24"/>
                <w:szCs w:val="24"/>
                <w:highlight w:val="none"/>
                <w:lang w:val="en-US" w:eastAsia="zh-CN"/>
              </w:rPr>
              <w:t>00</w:t>
            </w:r>
            <w:r>
              <w:rPr>
                <w:rFonts w:hint="eastAsia" w:ascii="仿宋" w:hAnsi="仿宋" w:eastAsia="仿宋" w:cs="仿宋"/>
                <w:color w:val="auto"/>
                <w:kern w:val="0"/>
                <w:sz w:val="24"/>
                <w:szCs w:val="24"/>
                <w:highlight w:val="none"/>
              </w:rPr>
              <w:t>分00秒（北京时间）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文件地点</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04" w:type="dxa"/>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13</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tc>
        <w:tc>
          <w:tcPr>
            <w:tcW w:w="6974" w:type="dxa"/>
            <w:noWrap w:val="0"/>
            <w:vAlign w:val="center"/>
          </w:tcPr>
          <w:p>
            <w:pPr>
              <w:snapToGrid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资质要求同招标公告。</w:t>
            </w:r>
          </w:p>
          <w:p>
            <w:pPr>
              <w:spacing w:line="360" w:lineRule="auto"/>
              <w:ind w:firstLine="480" w:firstLineChars="200"/>
              <w:jc w:val="left"/>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以上资质均为必备资质，并在投标文件中附资质复印件加盖公章。</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bCs/>
                <w:sz w:val="24"/>
                <w:szCs w:val="24"/>
                <w:highlight w:val="none"/>
              </w:rPr>
              <w:t>必备资质中</w:t>
            </w:r>
            <w:r>
              <w:rPr>
                <w:rFonts w:hint="eastAsia" w:ascii="仿宋" w:hAnsi="仿宋" w:eastAsia="仿宋" w:cs="仿宋"/>
                <w:bCs/>
                <w:sz w:val="24"/>
                <w:szCs w:val="24"/>
                <w:highlight w:val="none"/>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2180" w:type="dxa"/>
            <w:noWrap w:val="0"/>
            <w:vAlign w:val="center"/>
          </w:tcPr>
          <w:p>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投标保证金</w:t>
            </w:r>
          </w:p>
        </w:tc>
        <w:tc>
          <w:tcPr>
            <w:tcW w:w="6974" w:type="dxa"/>
            <w:noWrap w:val="0"/>
            <w:vAlign w:val="center"/>
          </w:tcPr>
          <w:p>
            <w:pPr>
              <w:spacing w:line="360" w:lineRule="auto"/>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在投标截止前到账。</w:t>
            </w:r>
          </w:p>
          <w:p>
            <w:pPr>
              <w:spacing w:line="360" w:lineRule="auto"/>
              <w:rPr>
                <w:rFonts w:eastAsia="仿宋"/>
                <w:highlight w:val="none"/>
              </w:rPr>
            </w:pPr>
            <w:r>
              <w:rPr>
                <w:rFonts w:hint="eastAsia" w:ascii="仿宋" w:hAnsi="仿宋" w:eastAsia="仿宋" w:cs="仿宋"/>
                <w:sz w:val="24"/>
                <w:szCs w:val="24"/>
                <w:highlight w:val="none"/>
              </w:rPr>
              <w:t>投标保证金的金额：人民</w:t>
            </w:r>
            <w:r>
              <w:rPr>
                <w:rFonts w:hint="eastAsia" w:ascii="仿宋" w:hAnsi="仿宋" w:eastAsia="仿宋" w:cs="仿宋"/>
                <w:sz w:val="24"/>
                <w:szCs w:val="24"/>
                <w:highlight w:val="none"/>
                <w:lang w:val="en-US" w:eastAsia="zh-CN"/>
              </w:rPr>
              <w:t>币捌仟元整（￥8000.0</w:t>
            </w:r>
            <w:r>
              <w:rPr>
                <w:rFonts w:hint="eastAsia" w:ascii="仿宋" w:hAnsi="仿宋" w:eastAsia="仿宋" w:cs="仿宋"/>
                <w:sz w:val="24"/>
                <w:szCs w:val="24"/>
                <w:highlight w:val="none"/>
              </w:rPr>
              <w:t>0元）</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开户名称：</w:t>
            </w:r>
            <w:r>
              <w:rPr>
                <w:rFonts w:hint="eastAsia" w:ascii="仿宋" w:hAnsi="仿宋" w:eastAsia="仿宋" w:cs="仿宋"/>
                <w:kern w:val="0"/>
                <w:sz w:val="24"/>
                <w:szCs w:val="24"/>
                <w:highlight w:val="none"/>
              </w:rPr>
              <w:t>陕西笃信招标有限公司</w:t>
            </w:r>
          </w:p>
          <w:p>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开户银行：</w:t>
            </w:r>
            <w:r>
              <w:rPr>
                <w:rFonts w:hint="eastAsia" w:ascii="仿宋" w:hAnsi="仿宋" w:eastAsia="仿宋" w:cs="仿宋"/>
                <w:kern w:val="0"/>
                <w:sz w:val="24"/>
                <w:szCs w:val="24"/>
                <w:highlight w:val="none"/>
              </w:rPr>
              <w:t>中国建设银行股份有限公司西安劳动北路支行</w:t>
            </w:r>
          </w:p>
          <w:p>
            <w:pPr>
              <w:tabs>
                <w:tab w:val="left" w:pos="9030"/>
              </w:tabs>
              <w:snapToGrid w:val="0"/>
              <w:spacing w:line="360" w:lineRule="auto"/>
              <w:ind w:right="-65"/>
              <w:rPr>
                <w:rFonts w:ascii="仿宋" w:hAnsi="仿宋" w:eastAsia="仿宋" w:cs="仿宋"/>
                <w:sz w:val="24"/>
                <w:szCs w:val="24"/>
                <w:highlight w:val="none"/>
              </w:rPr>
            </w:pPr>
            <w:r>
              <w:rPr>
                <w:rFonts w:hint="eastAsia" w:ascii="仿宋" w:hAnsi="仿宋" w:eastAsia="仿宋" w:cs="仿宋"/>
                <w:sz w:val="24"/>
                <w:szCs w:val="24"/>
                <w:highlight w:val="none"/>
              </w:rPr>
              <w:t>账 号：</w:t>
            </w:r>
            <w:r>
              <w:rPr>
                <w:rFonts w:hint="eastAsia" w:ascii="仿宋" w:hAnsi="仿宋" w:eastAsia="仿宋" w:cs="仿宋"/>
                <w:kern w:val="0"/>
                <w:sz w:val="24"/>
                <w:szCs w:val="24"/>
                <w:highlight w:val="none"/>
              </w:rPr>
              <w:t>61050174390000000193</w:t>
            </w:r>
          </w:p>
          <w:p>
            <w:pPr>
              <w:spacing w:line="360" w:lineRule="auto"/>
              <w:jc w:val="left"/>
              <w:rPr>
                <w:rFonts w:hint="eastAsia" w:ascii="仿宋" w:hAnsi="仿宋" w:eastAsia="仿宋" w:cs="仿宋"/>
                <w:bCs/>
                <w:kern w:val="2"/>
                <w:sz w:val="24"/>
                <w:szCs w:val="24"/>
                <w:highlight w:val="none"/>
                <w:lang w:val="en-US" w:eastAsia="zh-CN" w:bidi="ar-SA"/>
              </w:rPr>
            </w:pPr>
            <w:r>
              <w:rPr>
                <w:rFonts w:hint="eastAsia" w:ascii="仿宋" w:hAnsi="仿宋" w:eastAsia="仿宋" w:cs="仿宋"/>
                <w:sz w:val="24"/>
                <w:szCs w:val="24"/>
                <w:highlight w:val="none"/>
              </w:rPr>
              <w:t>投标保证金缴纳后将投标保证金缴纳凭证附在响应文件中。投标保证金缴纳凭证作为投标保证金缴纳的唯一证据，否则投标按无效响应处理。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4" w:type="dxa"/>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文件份数</w:t>
            </w:r>
          </w:p>
        </w:tc>
        <w:tc>
          <w:tcPr>
            <w:tcW w:w="6974" w:type="dxa"/>
            <w:noWrap w:val="0"/>
            <w:vAlign w:val="center"/>
          </w:tcPr>
          <w:p>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正本 1份，副本</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份，电子版1份（PDF和word文档格式，</w:t>
            </w:r>
            <w:r>
              <w:rPr>
                <w:rFonts w:hint="eastAsia" w:ascii="仿宋" w:hAnsi="仿宋" w:eastAsia="仿宋" w:cs="仿宋"/>
                <w:bCs/>
                <w:color w:val="auto"/>
                <w:sz w:val="24"/>
                <w:szCs w:val="24"/>
                <w:highlight w:val="none"/>
                <w:lang w:eastAsia="zh-CN"/>
              </w:rPr>
              <w:t>正</w:t>
            </w:r>
            <w:r>
              <w:rPr>
                <w:rFonts w:hint="eastAsia" w:ascii="仿宋" w:hAnsi="仿宋" w:eastAsia="仿宋" w:cs="仿宋"/>
                <w:bCs/>
                <w:color w:val="auto"/>
                <w:sz w:val="24"/>
                <w:szCs w:val="24"/>
                <w:highlight w:val="none"/>
                <w:lang w:val="en-US" w:eastAsia="zh-CN"/>
              </w:rPr>
              <w:t>本</w:t>
            </w:r>
            <w:r>
              <w:rPr>
                <w:rFonts w:hint="eastAsia" w:ascii="仿宋" w:hAnsi="仿宋" w:eastAsia="仿宋" w:cs="仿宋"/>
                <w:bCs/>
                <w:color w:val="auto"/>
                <w:sz w:val="24"/>
                <w:szCs w:val="24"/>
                <w:highlight w:val="none"/>
              </w:rPr>
              <w:t>U盘存储</w:t>
            </w:r>
            <w:r>
              <w:rPr>
                <w:rFonts w:hint="eastAsia" w:ascii="仿宋" w:hAnsi="仿宋" w:eastAsia="仿宋" w:cs="仿宋"/>
                <w:bCs/>
                <w:color w:val="auto"/>
                <w:sz w:val="24"/>
                <w:szCs w:val="24"/>
                <w:highlight w:val="none"/>
                <w:lang w:eastAsia="zh-CN"/>
              </w:rPr>
              <w:t>，如因</w:t>
            </w:r>
            <w:r>
              <w:rPr>
                <w:rFonts w:hint="eastAsia" w:ascii="仿宋" w:hAnsi="仿宋" w:eastAsia="仿宋" w:cs="仿宋"/>
                <w:bCs/>
                <w:color w:val="auto"/>
                <w:sz w:val="24"/>
                <w:szCs w:val="24"/>
                <w:highlight w:val="none"/>
                <w:lang w:val="en-US" w:eastAsia="zh-CN"/>
              </w:rPr>
              <w:t>U盘问题导致文件无法打开，责任自负</w:t>
            </w:r>
            <w:r>
              <w:rPr>
                <w:rFonts w:hint="eastAsia" w:ascii="仿宋" w:hAnsi="仿宋" w:eastAsia="仿宋" w:cs="仿宋"/>
                <w:bCs/>
                <w:color w:val="auto"/>
                <w:sz w:val="24"/>
                <w:szCs w:val="24"/>
                <w:highlight w:val="none"/>
              </w:rPr>
              <w:t>）</w:t>
            </w:r>
          </w:p>
          <w:p>
            <w:pP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w:t>
            </w:r>
          </w:p>
          <w:p>
            <w:pP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招标文件中“第五部分</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资格证明文件</w:t>
            </w:r>
            <w:r>
              <w:rPr>
                <w:rFonts w:hint="eastAsia" w:ascii="仿宋" w:hAnsi="仿宋" w:eastAsia="仿宋" w:cs="仿宋"/>
                <w:bCs/>
                <w:color w:val="auto"/>
                <w:sz w:val="24"/>
                <w:szCs w:val="24"/>
                <w:highlight w:val="none"/>
                <w:lang w:eastAsia="zh-CN"/>
              </w:rPr>
              <w:t>”单独胶装成册</w:t>
            </w:r>
            <w:r>
              <w:rPr>
                <w:rFonts w:hint="eastAsia" w:ascii="仿宋" w:hAnsi="仿宋" w:eastAsia="仿宋" w:cs="仿宋"/>
                <w:bCs/>
                <w:color w:val="auto"/>
                <w:sz w:val="24"/>
                <w:szCs w:val="24"/>
                <w:highlight w:val="none"/>
                <w:lang w:val="en-US" w:eastAsia="zh-CN"/>
              </w:rPr>
              <w:t>1本</w:t>
            </w:r>
            <w:r>
              <w:rPr>
                <w:rFonts w:hint="eastAsia" w:ascii="仿宋" w:hAnsi="仿宋" w:eastAsia="仿宋" w:cs="仿宋"/>
                <w:bCs/>
                <w:color w:val="auto"/>
                <w:sz w:val="24"/>
                <w:szCs w:val="24"/>
                <w:highlight w:val="none"/>
                <w:lang w:eastAsia="zh-CN"/>
              </w:rPr>
              <w:t>，与投标文件正本一同密封。</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单独胶装</w:t>
            </w:r>
            <w:r>
              <w:rPr>
                <w:rFonts w:hint="eastAsia" w:ascii="仿宋" w:hAnsi="仿宋" w:eastAsia="仿宋" w:cs="仿宋"/>
                <w:bCs/>
                <w:color w:val="auto"/>
                <w:sz w:val="24"/>
                <w:szCs w:val="24"/>
                <w:highlight w:val="none"/>
                <w:lang w:val="en-US" w:eastAsia="zh-CN"/>
              </w:rPr>
              <w:t>的</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资格证明文件</w:t>
            </w:r>
            <w:r>
              <w:rPr>
                <w:rFonts w:hint="eastAsia" w:ascii="仿宋" w:hAnsi="仿宋" w:eastAsia="仿宋" w:cs="仿宋"/>
                <w:bCs/>
                <w:color w:val="auto"/>
                <w:sz w:val="24"/>
                <w:szCs w:val="24"/>
                <w:highlight w:val="none"/>
                <w:lang w:val="en-US" w:eastAsia="zh-CN"/>
              </w:rPr>
              <w:t>与投标文件正本中资格不一致时，以投标文件正本为准。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0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文件提出质疑的截止时间</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投标人在招标文件、开标过程、中标结果使自己的权益受到损害的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可以在知道或者应知其权益受到损害之日起七个工作日内</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以书面形式向采购代理机构提出</w:t>
            </w:r>
            <w:r>
              <w:rPr>
                <w:rFonts w:hint="eastAsia" w:ascii="仿宋" w:hAnsi="仿宋" w:eastAsia="仿宋" w:cs="仿宋"/>
                <w:color w:val="auto"/>
                <w:sz w:val="24"/>
                <w:szCs w:val="24"/>
                <w:highlight w:val="none"/>
              </w:rPr>
              <w:t>（同时须将此</w:t>
            </w:r>
            <w:r>
              <w:rPr>
                <w:rFonts w:hint="eastAsia" w:ascii="仿宋" w:hAnsi="仿宋" w:eastAsia="仿宋" w:cs="仿宋"/>
                <w:sz w:val="24"/>
                <w:szCs w:val="24"/>
                <w:highlight w:val="none"/>
              </w:rPr>
              <w:t>书面文件电子版一份发送至采购代理机构电子邮箱，电子邮件：</w:t>
            </w:r>
            <w:r>
              <w:rPr>
                <w:rFonts w:hint="eastAsia" w:ascii="仿宋" w:hAnsi="仿宋" w:eastAsia="仿宋" w:cs="仿宋"/>
                <w:color w:val="auto"/>
                <w:sz w:val="24"/>
                <w:szCs w:val="24"/>
                <w:highlight w:val="none"/>
                <w:lang w:val="en-US" w:eastAsia="zh-CN"/>
              </w:rPr>
              <w:t>2059407584</w:t>
            </w:r>
            <w:r>
              <w:rPr>
                <w:rFonts w:hint="eastAsia" w:ascii="仿宋" w:hAnsi="仿宋" w:eastAsia="仿宋" w:cs="仿宋"/>
                <w:color w:val="auto"/>
                <w:sz w:val="24"/>
                <w:szCs w:val="24"/>
                <w:highlight w:val="none"/>
              </w:rPr>
              <w:t>@qq.com），</w:t>
            </w:r>
            <w:r>
              <w:rPr>
                <w:rFonts w:hint="eastAsia" w:ascii="仿宋" w:hAnsi="仿宋" w:eastAsia="仿宋" w:cs="仿宋"/>
                <w:color w:val="auto"/>
                <w:sz w:val="24"/>
                <w:szCs w:val="24"/>
                <w:highlight w:val="none"/>
                <w:lang w:val="zh-CN"/>
              </w:rPr>
              <w:t>采购代理机构将予以答复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以书面形式发给所有获取招标文件的投标人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确认收到澄清或者修改的时间</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不少于90日历日（自开标之日起）。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是否接受</w:t>
            </w:r>
          </w:p>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联合体</w:t>
            </w:r>
            <w:r>
              <w:rPr>
                <w:rFonts w:hint="eastAsia" w:ascii="仿宋" w:hAnsi="仿宋" w:eastAsia="仿宋" w:cs="仿宋"/>
                <w:color w:val="auto"/>
                <w:sz w:val="24"/>
                <w:szCs w:val="24"/>
                <w:highlight w:val="none"/>
                <w:lang w:eastAsia="zh-CN"/>
              </w:rPr>
              <w:t>投标</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答疑会</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文件装订要求</w:t>
            </w:r>
          </w:p>
        </w:tc>
        <w:tc>
          <w:tcPr>
            <w:tcW w:w="6974" w:type="dxa"/>
            <w:noWrap w:val="0"/>
            <w:vAlign w:val="center"/>
          </w:tcPr>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文件建议双面打印，应牢固装订成册，不可插页抽页。牢固装订成册是指用适当的办法,书脊涂有胶粘剂以保证</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04" w:type="dxa"/>
            <w:noWrap w:val="0"/>
            <w:vAlign w:val="center"/>
          </w:tcPr>
          <w:p>
            <w:pPr>
              <w:spacing w:line="360" w:lineRule="auto"/>
              <w:jc w:val="center"/>
              <w:rPr>
                <w:rFonts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文件的签署要求</w:t>
            </w:r>
          </w:p>
        </w:tc>
        <w:tc>
          <w:tcPr>
            <w:tcW w:w="6974" w:type="dxa"/>
            <w:noWrap w:val="0"/>
            <w:vAlign w:val="center"/>
          </w:tcPr>
          <w:p>
            <w:pPr>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lang w:val="zh-CN"/>
              </w:rPr>
              <w:t>投标文件应加盖投标人红色公章</w:t>
            </w:r>
            <w:r>
              <w:rPr>
                <w:rFonts w:hint="eastAsia" w:ascii="仿宋" w:hAnsi="仿宋" w:eastAsia="仿宋" w:cs="仿宋"/>
                <w:bCs/>
                <w:sz w:val="24"/>
                <w:szCs w:val="24"/>
                <w:highlight w:val="none"/>
              </w:rPr>
              <w:t>并按照招标文件要求由法定代表人（或授权代表人）签字。</w:t>
            </w:r>
          </w:p>
          <w:p>
            <w:pPr>
              <w:spacing w:line="360" w:lineRule="auto"/>
              <w:rPr>
                <w:rFonts w:ascii="仿宋" w:hAnsi="仿宋" w:eastAsia="仿宋" w:cs="仿宋"/>
                <w:color w:val="auto"/>
                <w:sz w:val="24"/>
                <w:szCs w:val="24"/>
                <w:highlight w:val="none"/>
              </w:rPr>
            </w:pPr>
            <w:r>
              <w:rPr>
                <w:rFonts w:hint="eastAsia" w:ascii="仿宋" w:hAnsi="仿宋" w:eastAsia="仿宋" w:cs="仿宋"/>
                <w:bCs/>
                <w:sz w:val="24"/>
                <w:szCs w:val="24"/>
                <w:highlight w:val="none"/>
              </w:rPr>
              <w:t>注：副本可以为正本的复印件。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w:t>
            </w:r>
          </w:p>
        </w:tc>
        <w:tc>
          <w:tcPr>
            <w:tcW w:w="2180" w:type="dxa"/>
            <w:noWrap w:val="0"/>
            <w:vAlign w:val="center"/>
          </w:tcPr>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文件密封</w:t>
            </w:r>
          </w:p>
        </w:tc>
        <w:tc>
          <w:tcPr>
            <w:tcW w:w="6974" w:type="dxa"/>
            <w:noWrap w:val="0"/>
            <w:vAlign w:val="center"/>
          </w:tcPr>
          <w:p>
            <w:pPr>
              <w:tabs>
                <w:tab w:val="left" w:pos="9030"/>
              </w:tabs>
              <w:snapToGrid w:val="0"/>
              <w:spacing w:line="360" w:lineRule="auto"/>
              <w:ind w:right="-6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）投标人应将投标文件分为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个包装袋。</w:t>
            </w:r>
            <w:r>
              <w:rPr>
                <w:rFonts w:hint="eastAsia" w:ascii="仿宋" w:hAnsi="仿宋" w:eastAsia="仿宋" w:cs="仿宋"/>
                <w:color w:val="auto"/>
                <w:sz w:val="24"/>
                <w:szCs w:val="24"/>
                <w:highlight w:val="none"/>
                <w:lang w:val="zh-CN"/>
              </w:rPr>
              <w:t>正本单独密封、所有副本密封，投标文件电子版单独密封且在外层包装上标明字样。</w:t>
            </w:r>
          </w:p>
          <w:p>
            <w:pPr>
              <w:tabs>
                <w:tab w:val="left" w:pos="9030"/>
              </w:tabs>
              <w:snapToGrid w:val="0"/>
              <w:spacing w:line="360" w:lineRule="auto"/>
              <w:ind w:right="-6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外层包装应加封条密封，在封线处加盖公章（骑缝章），标明项目编号、包号、项目名称，投标人全称（公章）、在</w:t>
            </w:r>
            <w:r>
              <w:rPr>
                <w:rFonts w:hint="eastAsia" w:ascii="仿宋" w:hAnsi="仿宋" w:eastAsia="仿宋" w:cs="仿宋"/>
                <w:color w:val="auto"/>
                <w:sz w:val="24"/>
                <w:szCs w:val="24"/>
                <w:highlight w:val="none"/>
              </w:rPr>
              <w:t>XXXX年XX月XX日XX：XX前不得启封</w:t>
            </w:r>
            <w:r>
              <w:rPr>
                <w:rFonts w:hint="eastAsia" w:ascii="仿宋" w:hAnsi="仿宋" w:eastAsia="仿宋" w:cs="仿宋"/>
                <w:color w:val="auto"/>
                <w:sz w:val="24"/>
                <w:szCs w:val="24"/>
                <w:highlight w:val="none"/>
                <w:lang w:val="zh-CN"/>
              </w:rPr>
              <w:t>等内容。</w:t>
            </w:r>
          </w:p>
          <w:p>
            <w:pPr>
              <w:spacing w:line="360" w:lineRule="auto"/>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注：如果投标文件未按要求密封和加写标记，采购代理机构将不予接受。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noWrap w:val="0"/>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24</w:t>
            </w:r>
          </w:p>
        </w:tc>
        <w:tc>
          <w:tcPr>
            <w:tcW w:w="21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结果</w:t>
            </w:r>
            <w:r>
              <w:rPr>
                <w:rFonts w:hint="eastAsia" w:ascii="仿宋" w:hAnsi="仿宋" w:eastAsia="仿宋" w:cs="仿宋"/>
                <w:color w:val="auto"/>
                <w:sz w:val="24"/>
                <w:szCs w:val="24"/>
                <w:highlight w:val="none"/>
              </w:rPr>
              <w:t>公告公示媒体</w:t>
            </w:r>
          </w:p>
        </w:tc>
        <w:tc>
          <w:tcPr>
            <w:tcW w:w="6974"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04" w:type="dxa"/>
            <w:noWrap w:val="0"/>
            <w:vAlign w:val="center"/>
          </w:tcPr>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25</w:t>
            </w:r>
          </w:p>
        </w:tc>
        <w:tc>
          <w:tcPr>
            <w:tcW w:w="21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tc>
        <w:tc>
          <w:tcPr>
            <w:tcW w:w="6974" w:type="dxa"/>
            <w:noWrap w:val="0"/>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参照国家计委关于《招标代理服务收费管理暂行办法》（计价格[2002]1980号）、《国家发展改革委办公厅关于招标代理服务收费有关问题的通知》（发改价格[2003]857号）、《国家发展改革委关于进一步放开建设项目专业服务价格的通知》；本项目招标代理服务费由</w:t>
            </w:r>
            <w:r>
              <w:rPr>
                <w:rFonts w:hint="eastAsia" w:ascii="仿宋" w:hAnsi="仿宋" w:eastAsia="仿宋" w:cs="仿宋"/>
                <w:sz w:val="24"/>
                <w:szCs w:val="24"/>
                <w:highlight w:val="none"/>
                <w:lang w:eastAsia="zh-CN"/>
              </w:rPr>
              <w:t>成交投标人</w:t>
            </w:r>
            <w:r>
              <w:rPr>
                <w:rFonts w:hint="eastAsia" w:ascii="仿宋" w:hAnsi="仿宋" w:eastAsia="仿宋" w:cs="仿宋"/>
                <w:sz w:val="24"/>
                <w:szCs w:val="24"/>
                <w:highlight w:val="none"/>
              </w:rPr>
              <w:t>在中标结果公示期满后三个工作日内按照标准支付给招标代理机构。（代理报酬的币种：人民币，汇率：无）</w:t>
            </w:r>
          </w:p>
        </w:tc>
      </w:tr>
    </w:tbl>
    <w:p>
      <w:pPr>
        <w:pStyle w:val="14"/>
        <w:rPr>
          <w:rFonts w:hint="eastAsia"/>
          <w:color w:val="auto"/>
          <w:highlight w:val="none"/>
          <w:lang w:val="zh-CN"/>
        </w:rPr>
      </w:pPr>
    </w:p>
    <w:p>
      <w:pPr>
        <w:pageBreakBefore/>
        <w:spacing w:line="360" w:lineRule="auto"/>
        <w:ind w:firstLine="482" w:firstLineChars="200"/>
        <w:outlineLvl w:val="1"/>
        <w:rPr>
          <w:rFonts w:hint="eastAsia" w:ascii="仿宋" w:hAnsi="仿宋" w:eastAsia="仿宋" w:cs="仿宋"/>
          <w:b/>
          <w:bCs/>
          <w:color w:val="auto"/>
          <w:sz w:val="24"/>
          <w:szCs w:val="24"/>
          <w:highlight w:val="none"/>
          <w:lang w:val="zh-CN"/>
        </w:rPr>
      </w:pPr>
      <w:bookmarkStart w:id="19" w:name="_Toc5911"/>
      <w:bookmarkStart w:id="20" w:name="_Toc24650"/>
      <w:bookmarkStart w:id="21" w:name="_Toc8779"/>
      <w:bookmarkStart w:id="22" w:name="_Toc29439"/>
      <w:bookmarkStart w:id="23" w:name="_Toc28753"/>
      <w:bookmarkStart w:id="24" w:name="_Toc31912"/>
      <w:bookmarkStart w:id="25" w:name="_Toc3130"/>
      <w:bookmarkStart w:id="26" w:name="_Toc26858"/>
      <w:r>
        <w:rPr>
          <w:rFonts w:hint="eastAsia" w:ascii="仿宋" w:hAnsi="仿宋" w:eastAsia="仿宋" w:cs="仿宋"/>
          <w:b/>
          <w:bCs/>
          <w:color w:val="auto"/>
          <w:sz w:val="24"/>
          <w:szCs w:val="24"/>
          <w:highlight w:val="none"/>
          <w:lang w:val="zh-CN"/>
        </w:rPr>
        <w:t>一、总则</w:t>
      </w:r>
      <w:bookmarkEnd w:id="19"/>
      <w:bookmarkEnd w:id="20"/>
      <w:bookmarkEnd w:id="21"/>
      <w:bookmarkEnd w:id="22"/>
      <w:bookmarkEnd w:id="23"/>
      <w:bookmarkEnd w:id="24"/>
      <w:bookmarkEnd w:id="25"/>
      <w:bookmarkEnd w:id="26"/>
    </w:p>
    <w:p>
      <w:pPr>
        <w:spacing w:line="360" w:lineRule="auto"/>
        <w:ind w:firstLine="482" w:firstLineChars="200"/>
        <w:outlineLvl w:val="2"/>
        <w:rPr>
          <w:rFonts w:hint="eastAsia" w:ascii="仿宋" w:hAnsi="仿宋" w:eastAsia="仿宋" w:cs="仿宋"/>
          <w:color w:val="auto"/>
          <w:sz w:val="24"/>
          <w:szCs w:val="24"/>
          <w:highlight w:val="none"/>
          <w:lang w:val="zh-CN"/>
        </w:rPr>
      </w:pPr>
      <w:bookmarkStart w:id="27" w:name="_Toc5427"/>
      <w:bookmarkStart w:id="28" w:name="_Toc7648"/>
      <w:bookmarkStart w:id="29" w:name="_Toc29110"/>
      <w:bookmarkStart w:id="30" w:name="_Toc20"/>
      <w:bookmarkStart w:id="31" w:name="_Toc16969"/>
      <w:bookmarkStart w:id="32" w:name="_Toc14386"/>
      <w:bookmarkStart w:id="33" w:name="_Toc6093"/>
      <w:bookmarkStart w:id="34" w:name="_Toc6337"/>
      <w:bookmarkStart w:id="35" w:name="_Toc17517"/>
      <w:r>
        <w:rPr>
          <w:rFonts w:hint="eastAsia" w:ascii="仿宋" w:hAnsi="仿宋" w:eastAsia="仿宋" w:cs="仿宋"/>
          <w:b/>
          <w:bCs/>
          <w:color w:val="auto"/>
          <w:sz w:val="24"/>
          <w:szCs w:val="24"/>
          <w:highlight w:val="none"/>
          <w:lang w:val="zh-CN"/>
        </w:rPr>
        <w:t>（一）适用范围</w:t>
      </w:r>
      <w:bookmarkEnd w:id="27"/>
      <w:bookmarkEnd w:id="28"/>
      <w:bookmarkEnd w:id="29"/>
      <w:bookmarkEnd w:id="30"/>
      <w:bookmarkEnd w:id="31"/>
      <w:bookmarkEnd w:id="32"/>
      <w:bookmarkEnd w:id="33"/>
      <w:bookmarkEnd w:id="34"/>
      <w:bookmarkEnd w:id="3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1、本招标文件仅适用于本次招标所述的</w:t>
      </w:r>
      <w:r>
        <w:rPr>
          <w:rFonts w:hint="eastAsia" w:ascii="仿宋" w:hAnsi="仿宋" w:eastAsia="仿宋" w:cs="仿宋"/>
          <w:color w:val="auto"/>
          <w:sz w:val="24"/>
          <w:szCs w:val="24"/>
          <w:highlight w:val="none"/>
          <w:lang w:eastAsia="zh-CN"/>
        </w:rPr>
        <w:t>镇巴县人民医院PACS及肺小结节智能诊断系统采购项目</w:t>
      </w:r>
      <w:r>
        <w:rPr>
          <w:rFonts w:hint="eastAsia" w:ascii="仿宋" w:hAnsi="仿宋" w:eastAsia="仿宋" w:cs="仿宋"/>
          <w:color w:val="auto"/>
          <w:sz w:val="24"/>
          <w:szCs w:val="24"/>
          <w:highlight w:val="none"/>
        </w:rPr>
        <w:t>采购活动。</w:t>
      </w:r>
    </w:p>
    <w:bookmarkEnd w:id="17"/>
    <w:p>
      <w:pPr>
        <w:spacing w:line="360" w:lineRule="auto"/>
        <w:ind w:firstLine="482" w:firstLineChars="200"/>
        <w:outlineLvl w:val="2"/>
        <w:rPr>
          <w:rFonts w:hint="eastAsia" w:ascii="仿宋" w:hAnsi="仿宋" w:eastAsia="仿宋" w:cs="仿宋"/>
          <w:color w:val="auto"/>
          <w:sz w:val="24"/>
          <w:szCs w:val="24"/>
          <w:highlight w:val="none"/>
          <w:lang w:val="zh-CN"/>
        </w:rPr>
      </w:pPr>
      <w:bookmarkStart w:id="36" w:name="_Toc25233"/>
      <w:bookmarkStart w:id="37" w:name="_Toc18376"/>
      <w:bookmarkStart w:id="38" w:name="_Toc26769"/>
      <w:bookmarkStart w:id="39" w:name="_Toc14276"/>
      <w:bookmarkStart w:id="40" w:name="_Toc20501"/>
      <w:bookmarkStart w:id="41" w:name="_Toc11334"/>
      <w:bookmarkStart w:id="42" w:name="_Toc5174"/>
      <w:bookmarkStart w:id="43" w:name="_Toc97"/>
      <w:bookmarkStart w:id="44" w:name="_Toc20921"/>
      <w:r>
        <w:rPr>
          <w:rFonts w:hint="eastAsia" w:ascii="仿宋" w:hAnsi="仿宋" w:eastAsia="仿宋" w:cs="仿宋"/>
          <w:b/>
          <w:bCs/>
          <w:color w:val="auto"/>
          <w:sz w:val="24"/>
          <w:szCs w:val="24"/>
          <w:highlight w:val="none"/>
          <w:lang w:val="zh-CN"/>
        </w:rPr>
        <w:t>（二）名词解释</w:t>
      </w:r>
      <w:bookmarkEnd w:id="36"/>
      <w:bookmarkEnd w:id="37"/>
      <w:bookmarkEnd w:id="38"/>
      <w:bookmarkEnd w:id="39"/>
      <w:bookmarkEnd w:id="40"/>
      <w:bookmarkEnd w:id="41"/>
      <w:bookmarkEnd w:id="42"/>
      <w:bookmarkEnd w:id="43"/>
      <w:bookmarkEnd w:id="44"/>
    </w:p>
    <w:p>
      <w:pPr>
        <w:keepNext w:val="0"/>
        <w:keepLines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kern w:val="0"/>
          <w:sz w:val="24"/>
          <w:szCs w:val="24"/>
          <w:highlight w:val="none"/>
          <w:u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采购人：</w:t>
      </w:r>
      <w:r>
        <w:rPr>
          <w:rFonts w:hint="eastAsia" w:ascii="仿宋" w:hAnsi="仿宋" w:eastAsia="仿宋" w:cs="仿宋"/>
          <w:color w:val="auto"/>
          <w:sz w:val="24"/>
          <w:szCs w:val="24"/>
          <w:highlight w:val="none"/>
          <w:lang w:eastAsia="zh-CN"/>
        </w:rPr>
        <w:t>镇巴县人民医院</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监督机构：镇巴县财政局</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招标代理机构：陕西笃信招标有限公司</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投标人：响应招标、参加投标竞争的法人、其他组织或者自然人。</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招标文件：含澄清、修改内容的书面资料和招标文件格式的统称。</w:t>
      </w:r>
    </w:p>
    <w:p>
      <w:pPr>
        <w:autoSpaceDE w:val="0"/>
        <w:autoSpaceDN w:val="0"/>
        <w:adjustRightInd w:val="0"/>
        <w:snapToGrid w:val="0"/>
        <w:spacing w:line="360" w:lineRule="auto"/>
        <w:ind w:firstLine="482" w:firstLineChars="200"/>
        <w:outlineLvl w:val="1"/>
        <w:rPr>
          <w:rFonts w:hint="eastAsia" w:ascii="仿宋" w:hAnsi="仿宋" w:eastAsia="仿宋" w:cs="仿宋"/>
          <w:b/>
          <w:bCs/>
          <w:color w:val="auto"/>
          <w:sz w:val="24"/>
          <w:szCs w:val="24"/>
          <w:highlight w:val="none"/>
          <w:lang w:val="zh-CN"/>
        </w:rPr>
      </w:pPr>
      <w:bookmarkStart w:id="45" w:name="_Toc13475"/>
      <w:bookmarkStart w:id="46" w:name="_Toc24956"/>
      <w:bookmarkStart w:id="47" w:name="_Toc32052"/>
      <w:bookmarkStart w:id="48" w:name="_Toc845"/>
      <w:bookmarkStart w:id="49" w:name="_Toc18136"/>
      <w:bookmarkStart w:id="50" w:name="_Toc5144"/>
      <w:bookmarkStart w:id="51" w:name="_Toc29138"/>
      <w:bookmarkStart w:id="52" w:name="_Toc7846"/>
      <w:r>
        <w:rPr>
          <w:rFonts w:hint="eastAsia" w:ascii="仿宋" w:hAnsi="仿宋" w:eastAsia="仿宋" w:cs="仿宋"/>
          <w:b/>
          <w:bCs/>
          <w:color w:val="auto"/>
          <w:sz w:val="24"/>
          <w:szCs w:val="24"/>
          <w:highlight w:val="none"/>
          <w:lang w:val="zh-CN"/>
        </w:rPr>
        <w:t>二、招标文件</w:t>
      </w:r>
      <w:bookmarkEnd w:id="45"/>
      <w:bookmarkEnd w:id="46"/>
      <w:bookmarkEnd w:id="47"/>
      <w:bookmarkEnd w:id="48"/>
      <w:bookmarkEnd w:id="49"/>
      <w:bookmarkEnd w:id="50"/>
      <w:bookmarkEnd w:id="51"/>
      <w:bookmarkEnd w:id="52"/>
    </w:p>
    <w:p>
      <w:pPr>
        <w:autoSpaceDE w:val="0"/>
        <w:autoSpaceDN w:val="0"/>
        <w:adjustRightInd w:val="0"/>
        <w:snapToGrid w:val="0"/>
        <w:spacing w:line="360" w:lineRule="auto"/>
        <w:ind w:firstLine="482" w:firstLineChars="200"/>
        <w:outlineLvl w:val="2"/>
        <w:rPr>
          <w:rFonts w:hint="eastAsia" w:ascii="仿宋" w:hAnsi="仿宋" w:eastAsia="仿宋" w:cs="仿宋"/>
          <w:b/>
          <w:color w:val="auto"/>
          <w:sz w:val="24"/>
          <w:szCs w:val="24"/>
          <w:highlight w:val="none"/>
          <w:lang w:val="zh-CN"/>
        </w:rPr>
      </w:pPr>
      <w:bookmarkStart w:id="53" w:name="_Toc24239"/>
      <w:bookmarkStart w:id="54" w:name="_Toc22798"/>
      <w:bookmarkStart w:id="55" w:name="_Toc1837"/>
      <w:bookmarkStart w:id="56" w:name="_Toc16573"/>
      <w:bookmarkStart w:id="57" w:name="_Toc21955"/>
      <w:bookmarkStart w:id="58" w:name="_Toc19188"/>
      <w:bookmarkStart w:id="59" w:name="_Toc10553"/>
      <w:bookmarkStart w:id="60" w:name="_Toc23894"/>
      <w:bookmarkStart w:id="61" w:name="_Toc27613"/>
      <w:r>
        <w:rPr>
          <w:rFonts w:hint="eastAsia" w:ascii="仿宋" w:hAnsi="仿宋" w:eastAsia="仿宋" w:cs="仿宋"/>
          <w:b/>
          <w:color w:val="auto"/>
          <w:sz w:val="24"/>
          <w:szCs w:val="24"/>
          <w:highlight w:val="none"/>
          <w:lang w:val="zh-CN"/>
        </w:rPr>
        <w:t>（一）招标文件</w:t>
      </w:r>
      <w:bookmarkEnd w:id="53"/>
      <w:bookmarkEnd w:id="54"/>
      <w:bookmarkEnd w:id="55"/>
      <w:r>
        <w:rPr>
          <w:rFonts w:hint="eastAsia" w:ascii="仿宋" w:hAnsi="仿宋" w:eastAsia="仿宋" w:cs="仿宋"/>
          <w:b/>
          <w:color w:val="auto"/>
          <w:sz w:val="24"/>
          <w:szCs w:val="24"/>
          <w:highlight w:val="none"/>
          <w:lang w:val="zh-CN"/>
        </w:rPr>
        <w:t>的组成</w:t>
      </w:r>
      <w:bookmarkEnd w:id="56"/>
      <w:bookmarkEnd w:id="57"/>
      <w:bookmarkEnd w:id="58"/>
      <w:bookmarkEnd w:id="59"/>
      <w:bookmarkEnd w:id="60"/>
      <w:bookmarkEnd w:id="61"/>
      <w:r>
        <w:rPr>
          <w:rFonts w:hint="eastAsia" w:ascii="仿宋" w:hAnsi="仿宋" w:eastAsia="仿宋" w:cs="仿宋"/>
          <w:b/>
          <w:color w:val="auto"/>
          <w:sz w:val="24"/>
          <w:szCs w:val="24"/>
          <w:highlight w:val="none"/>
          <w:lang w:val="zh-CN"/>
        </w:rPr>
        <w:t xml:space="preserve">   </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招标文件以中文编制，招标文件包括六部分，各投标人应根据招标文件中的所有内容及要求提交全部资料。</w:t>
      </w:r>
    </w:p>
    <w:p>
      <w:pPr>
        <w:autoSpaceDE w:val="0"/>
        <w:autoSpaceDN w:val="0"/>
        <w:adjustRightInd w:val="0"/>
        <w:snapToGrid w:val="0"/>
        <w:spacing w:line="360" w:lineRule="auto"/>
        <w:ind w:firstLine="57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招标文件是根据本项目的特点和需求编制，包括以下内容：</w:t>
      </w:r>
    </w:p>
    <w:p>
      <w:pPr>
        <w:autoSpaceDE w:val="0"/>
        <w:autoSpaceDN w:val="0"/>
        <w:adjustRightInd w:val="0"/>
        <w:snapToGrid w:val="0"/>
        <w:spacing w:line="360" w:lineRule="auto"/>
        <w:ind w:firstLine="57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招标公告</w:t>
      </w:r>
    </w:p>
    <w:p>
      <w:pPr>
        <w:autoSpaceDE w:val="0"/>
        <w:autoSpaceDN w:val="0"/>
        <w:adjustRightInd w:val="0"/>
        <w:snapToGrid w:val="0"/>
        <w:spacing w:line="360" w:lineRule="auto"/>
        <w:ind w:firstLine="57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投标人须知</w:t>
      </w:r>
    </w:p>
    <w:p>
      <w:pPr>
        <w:autoSpaceDE w:val="0"/>
        <w:autoSpaceDN w:val="0"/>
        <w:adjustRightInd w:val="0"/>
        <w:snapToGrid w:val="0"/>
        <w:spacing w:line="360" w:lineRule="auto"/>
        <w:ind w:firstLine="57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招标内容及要求</w:t>
      </w:r>
    </w:p>
    <w:p>
      <w:pPr>
        <w:autoSpaceDE w:val="0"/>
        <w:autoSpaceDN w:val="0"/>
        <w:adjustRightInd w:val="0"/>
        <w:snapToGrid w:val="0"/>
        <w:spacing w:line="360" w:lineRule="auto"/>
        <w:ind w:firstLine="57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合同主要条款及格式</w:t>
      </w:r>
    </w:p>
    <w:p>
      <w:pPr>
        <w:autoSpaceDE w:val="0"/>
        <w:autoSpaceDN w:val="0"/>
        <w:adjustRightInd w:val="0"/>
        <w:snapToGrid w:val="0"/>
        <w:spacing w:line="360" w:lineRule="auto"/>
        <w:ind w:firstLine="570"/>
        <w:rPr>
          <w:rFonts w:hint="eastAsia" w:ascii="仿宋" w:hAnsi="仿宋" w:eastAsia="仿宋" w:cs="仿宋"/>
          <w:sz w:val="24"/>
          <w:szCs w:val="24"/>
          <w:highlight w:val="none"/>
        </w:rPr>
      </w:pPr>
      <w:bookmarkStart w:id="62" w:name="_Toc31680"/>
      <w:bookmarkStart w:id="63" w:name="_Toc15799"/>
      <w:bookmarkStart w:id="64" w:name="_Toc26386"/>
      <w:bookmarkStart w:id="65" w:name="_Toc6936"/>
      <w:bookmarkStart w:id="66" w:name="_Toc16787"/>
      <w:bookmarkStart w:id="67" w:name="_Toc21971"/>
      <w:bookmarkStart w:id="68" w:name="_Toc9208"/>
      <w:bookmarkStart w:id="69" w:name="_Toc28098"/>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）投标文件格式</w:t>
      </w:r>
    </w:p>
    <w:p>
      <w:pPr>
        <w:autoSpaceDE w:val="0"/>
        <w:autoSpaceDN w:val="0"/>
        <w:adjustRightInd w:val="0"/>
        <w:snapToGrid w:val="0"/>
        <w:spacing w:line="360" w:lineRule="auto"/>
        <w:ind w:firstLine="482" w:firstLineChars="200"/>
        <w:outlineLvl w:val="2"/>
        <w:rPr>
          <w:rFonts w:hint="eastAsia" w:ascii="仿宋" w:hAnsi="仿宋" w:eastAsia="仿宋" w:cs="仿宋"/>
          <w:color w:val="auto"/>
          <w:sz w:val="24"/>
          <w:szCs w:val="24"/>
          <w:highlight w:val="none"/>
          <w:lang w:val="zh-CN"/>
        </w:rPr>
      </w:pPr>
      <w:bookmarkStart w:id="70" w:name="_Toc14478"/>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zh-CN"/>
        </w:rPr>
        <w:t>招标文件的修改或澄清</w:t>
      </w:r>
      <w:bookmarkEnd w:id="62"/>
      <w:bookmarkEnd w:id="63"/>
      <w:bookmarkEnd w:id="64"/>
      <w:bookmarkEnd w:id="65"/>
      <w:bookmarkEnd w:id="66"/>
      <w:bookmarkEnd w:id="67"/>
      <w:bookmarkEnd w:id="68"/>
      <w:bookmarkEnd w:id="69"/>
      <w:bookmarkEnd w:id="70"/>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如果招标文件进行必要的澄清或者修改，将在发布招标公告的财政部门指定媒体上由采购代理机构发布更正公告，并以书面形式通知所有获取招标文件的单位。澄清或者修改的内容可能影响投标文件编制的，不足</w:t>
      </w:r>
      <w:r>
        <w:rPr>
          <w:rFonts w:hint="eastAsia" w:ascii="仿宋" w:hAnsi="仿宋" w:eastAsia="仿宋" w:cs="仿宋"/>
          <w:color w:val="auto"/>
          <w:sz w:val="24"/>
          <w:szCs w:val="24"/>
          <w:highlight w:val="none"/>
        </w:rPr>
        <w:t>15日</w:t>
      </w:r>
      <w:r>
        <w:rPr>
          <w:rFonts w:hint="eastAsia" w:ascii="仿宋" w:hAnsi="仿宋" w:eastAsia="仿宋" w:cs="仿宋"/>
          <w:color w:val="auto"/>
          <w:sz w:val="24"/>
          <w:szCs w:val="24"/>
          <w:highlight w:val="none"/>
          <w:lang w:val="zh-CN"/>
        </w:rPr>
        <w:t>的，采购代理机构将顺延提交投标文件的截止时间。澄清或者修改的内容为招标文件的组成部分。</w:t>
      </w:r>
    </w:p>
    <w:p>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投标人在收到澄清或修改文件后，应在一个工作日内以书面形式（加盖公章）向采购代理机构予以确认。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hint="eastAsia" w:ascii="仿宋" w:hAnsi="仿宋" w:eastAsia="仿宋" w:cs="仿宋"/>
          <w:color w:val="auto"/>
          <w:sz w:val="24"/>
          <w:szCs w:val="24"/>
          <w:highlight w:val="none"/>
          <w:lang w:val="zh-CN"/>
        </w:rPr>
      </w:pPr>
      <w:bookmarkStart w:id="71" w:name="_Toc12617"/>
      <w:bookmarkStart w:id="72" w:name="_Toc21498"/>
      <w:bookmarkStart w:id="73" w:name="_Toc19583"/>
      <w:bookmarkStart w:id="74" w:name="_Toc30509"/>
      <w:bookmarkStart w:id="75" w:name="_Toc1550"/>
      <w:bookmarkStart w:id="76" w:name="_Toc2929"/>
      <w:bookmarkStart w:id="77" w:name="_Toc12729"/>
      <w:bookmarkStart w:id="78" w:name="_Toc31132"/>
      <w:bookmarkStart w:id="79" w:name="_Toc17894"/>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zh-CN"/>
        </w:rPr>
        <w:t>招标文件的询问、质疑及答复</w:t>
      </w:r>
      <w:bookmarkEnd w:id="71"/>
      <w:bookmarkEnd w:id="72"/>
      <w:bookmarkEnd w:id="73"/>
      <w:bookmarkEnd w:id="74"/>
      <w:bookmarkEnd w:id="75"/>
      <w:bookmarkEnd w:id="76"/>
      <w:bookmarkEnd w:id="77"/>
      <w:bookmarkEnd w:id="78"/>
      <w:bookmarkEnd w:id="79"/>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投标人应仔细阅读和检查招标文件的全部内容。如发现缺页或附件不全，应及时向采购代理机构提出，以便补齐。</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人认为招标文件、招标过程、中标或者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20"/>
        <w:spacing w:before="0" w:beforeAutospacing="0" w:after="0" w:afterAutospacing="0" w:line="360" w:lineRule="auto"/>
        <w:ind w:firstLine="480" w:firstLineChars="2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投标人提出质疑应当有明确的请求和必要的证明材料。</w:t>
      </w:r>
    </w:p>
    <w:p>
      <w:pPr>
        <w:pStyle w:val="20"/>
        <w:spacing w:before="0" w:beforeAutospacing="0" w:after="0" w:afterAutospacing="0" w:line="360" w:lineRule="auto"/>
        <w:ind w:firstLine="480" w:firstLineChars="2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4、</w:t>
      </w:r>
      <w:r>
        <w:rPr>
          <w:rFonts w:hint="eastAsia" w:ascii="仿宋" w:hAnsi="仿宋" w:eastAsia="仿宋" w:cs="仿宋"/>
          <w:color w:val="auto"/>
          <w:highlight w:val="none"/>
          <w:lang w:val="zh-CN"/>
        </w:rPr>
        <w:t>对于在规定时间内收到的投标人依法提出的询问或者质疑，采购代理机构将按程序在三个工作日内答复询问，七个工作日内答复质疑。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投标人在收到答复后，应在两个工作日内以书面形式（加盖公章）向采购代理机构予以确认。</w:t>
      </w:r>
    </w:p>
    <w:p>
      <w:pPr>
        <w:autoSpaceDE w:val="0"/>
        <w:autoSpaceDN w:val="0"/>
        <w:adjustRightInd w:val="0"/>
        <w:snapToGrid w:val="0"/>
        <w:spacing w:line="360" w:lineRule="auto"/>
        <w:ind w:firstLine="482" w:firstLineChars="200"/>
        <w:outlineLvl w:val="2"/>
        <w:rPr>
          <w:rFonts w:hint="eastAsia" w:ascii="仿宋" w:hAnsi="仿宋" w:eastAsia="仿宋" w:cs="仿宋"/>
          <w:color w:val="auto"/>
          <w:sz w:val="24"/>
          <w:szCs w:val="24"/>
          <w:highlight w:val="none"/>
          <w:lang w:val="zh-CN"/>
        </w:rPr>
      </w:pPr>
      <w:bookmarkStart w:id="80" w:name="_Toc2734"/>
      <w:bookmarkStart w:id="81" w:name="_Toc27857"/>
      <w:bookmarkStart w:id="82" w:name="_Toc28965"/>
      <w:bookmarkStart w:id="83" w:name="_Toc17969"/>
      <w:bookmarkStart w:id="84" w:name="_Toc16954"/>
      <w:bookmarkStart w:id="85" w:name="_Toc27651"/>
      <w:bookmarkStart w:id="86" w:name="_Toc1801"/>
      <w:bookmarkStart w:id="87" w:name="_Toc23823"/>
      <w:bookmarkStart w:id="88" w:name="_Toc16614"/>
      <w:r>
        <w:rPr>
          <w:rFonts w:hint="eastAsia" w:ascii="仿宋" w:hAnsi="仿宋" w:eastAsia="仿宋" w:cs="仿宋"/>
          <w:b/>
          <w:bCs/>
          <w:color w:val="auto"/>
          <w:sz w:val="24"/>
          <w:szCs w:val="24"/>
          <w:highlight w:val="none"/>
          <w:lang w:val="zh-CN"/>
        </w:rPr>
        <w:t>（四）招标文件的解释权</w:t>
      </w:r>
      <w:bookmarkEnd w:id="80"/>
      <w:bookmarkEnd w:id="81"/>
      <w:bookmarkEnd w:id="82"/>
      <w:bookmarkEnd w:id="83"/>
      <w:bookmarkEnd w:id="84"/>
      <w:bookmarkEnd w:id="85"/>
      <w:bookmarkEnd w:id="86"/>
      <w:bookmarkEnd w:id="87"/>
      <w:bookmarkEnd w:id="88"/>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投标人必须从采购代理机构获取招标文件，投标人自行转让或复制招标文件视为无效，招标文件仅作为本次招标使用。</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招标文件的解释权归采购代理机构。</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89" w:name="_Toc549"/>
      <w:bookmarkStart w:id="90" w:name="_Toc30757"/>
      <w:bookmarkStart w:id="91" w:name="_Toc15347"/>
      <w:bookmarkStart w:id="92" w:name="_Toc25911"/>
      <w:bookmarkStart w:id="93" w:name="_Toc8593"/>
      <w:bookmarkStart w:id="94" w:name="_Toc12572"/>
      <w:bookmarkStart w:id="95" w:name="_Toc13377"/>
      <w:bookmarkStart w:id="96" w:name="_Toc16073"/>
      <w:r>
        <w:rPr>
          <w:rFonts w:hint="eastAsia" w:ascii="仿宋" w:hAnsi="仿宋" w:eastAsia="仿宋" w:cs="仿宋"/>
          <w:b/>
          <w:color w:val="auto"/>
          <w:sz w:val="24"/>
          <w:szCs w:val="24"/>
          <w:highlight w:val="none"/>
          <w:lang w:val="zh-CN"/>
        </w:rPr>
        <w:t>三、投标要求</w:t>
      </w:r>
      <w:bookmarkEnd w:id="89"/>
      <w:bookmarkEnd w:id="90"/>
      <w:bookmarkEnd w:id="91"/>
      <w:bookmarkEnd w:id="92"/>
      <w:bookmarkEnd w:id="93"/>
      <w:bookmarkEnd w:id="94"/>
      <w:bookmarkEnd w:id="95"/>
      <w:bookmarkEnd w:id="96"/>
    </w:p>
    <w:p>
      <w:pPr>
        <w:snapToGrid w:val="0"/>
        <w:spacing w:line="360" w:lineRule="auto"/>
        <w:ind w:firstLine="482" w:firstLineChars="200"/>
        <w:outlineLvl w:val="2"/>
        <w:rPr>
          <w:rFonts w:hint="eastAsia" w:ascii="仿宋" w:hAnsi="仿宋" w:eastAsia="仿宋" w:cs="仿宋"/>
          <w:color w:val="auto"/>
          <w:sz w:val="24"/>
          <w:szCs w:val="24"/>
          <w:highlight w:val="none"/>
        </w:rPr>
      </w:pPr>
      <w:bookmarkStart w:id="97" w:name="_Toc6311"/>
      <w:bookmarkStart w:id="98" w:name="_Toc5035"/>
      <w:bookmarkStart w:id="99" w:name="_Toc12545"/>
      <w:bookmarkStart w:id="100" w:name="_Toc7693"/>
      <w:bookmarkStart w:id="101" w:name="_Toc17014"/>
      <w:bookmarkStart w:id="102" w:name="_Toc95"/>
      <w:bookmarkStart w:id="103" w:name="_Toc9226"/>
      <w:bookmarkStart w:id="104" w:name="_Toc9714"/>
      <w:bookmarkStart w:id="105" w:name="_Toc12793"/>
      <w:r>
        <w:rPr>
          <w:rFonts w:hint="eastAsia" w:ascii="仿宋" w:hAnsi="仿宋" w:eastAsia="仿宋" w:cs="仿宋"/>
          <w:b/>
          <w:bCs/>
          <w:color w:val="auto"/>
          <w:sz w:val="24"/>
          <w:szCs w:val="24"/>
          <w:highlight w:val="none"/>
        </w:rPr>
        <w:t>（一）投标内容</w:t>
      </w:r>
      <w:bookmarkEnd w:id="97"/>
      <w:bookmarkEnd w:id="98"/>
      <w:bookmarkEnd w:id="99"/>
      <w:bookmarkEnd w:id="100"/>
      <w:bookmarkEnd w:id="101"/>
      <w:bookmarkEnd w:id="102"/>
      <w:bookmarkEnd w:id="103"/>
      <w:bookmarkEnd w:id="104"/>
      <w:bookmarkEnd w:id="105"/>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本次招标内容为</w:t>
      </w:r>
      <w:r>
        <w:rPr>
          <w:rFonts w:hint="eastAsia" w:ascii="仿宋" w:hAnsi="仿宋" w:eastAsia="仿宋" w:cs="仿宋"/>
          <w:color w:val="auto"/>
          <w:sz w:val="24"/>
          <w:szCs w:val="24"/>
          <w:highlight w:val="none"/>
          <w:lang w:eastAsia="zh-CN"/>
        </w:rPr>
        <w:t>镇巴县人民医院PACS及肺小结节智能诊断系统采购项目</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各</w:t>
      </w:r>
      <w:r>
        <w:rPr>
          <w:rFonts w:hint="eastAsia" w:ascii="仿宋" w:hAnsi="仿宋" w:eastAsia="仿宋" w:cs="仿宋"/>
          <w:bCs/>
          <w:color w:val="auto"/>
          <w:sz w:val="24"/>
          <w:szCs w:val="24"/>
          <w:highlight w:val="none"/>
          <w:lang w:eastAsia="zh-CN"/>
        </w:rPr>
        <w:t>投标人</w:t>
      </w:r>
      <w:r>
        <w:rPr>
          <w:rFonts w:hint="eastAsia" w:ascii="仿宋" w:hAnsi="仿宋" w:eastAsia="仿宋" w:cs="仿宋"/>
          <w:color w:val="auto"/>
          <w:sz w:val="24"/>
          <w:szCs w:val="24"/>
          <w:highlight w:val="none"/>
        </w:rPr>
        <w:t>应仔细阅读招标文件中的所有事项、格式、条款和要求，对招标文件的全部</w:t>
      </w:r>
      <w:r>
        <w:rPr>
          <w:rFonts w:hint="eastAsia" w:ascii="仿宋" w:hAnsi="仿宋" w:eastAsia="仿宋" w:cs="仿宋"/>
          <w:bCs/>
          <w:color w:val="auto"/>
          <w:sz w:val="24"/>
          <w:szCs w:val="24"/>
          <w:highlight w:val="none"/>
        </w:rPr>
        <w:t>内容及要求做出实质性响应，提交相应资料。不得在其中选项投标或将其中内容再行分解，否则投标无效。</w:t>
      </w:r>
    </w:p>
    <w:p>
      <w:pPr>
        <w:autoSpaceDE w:val="0"/>
        <w:autoSpaceDN w:val="0"/>
        <w:adjustRightInd w:val="0"/>
        <w:spacing w:line="360" w:lineRule="auto"/>
        <w:ind w:firstLine="482" w:firstLineChars="200"/>
        <w:outlineLvl w:val="2"/>
        <w:rPr>
          <w:rFonts w:hint="eastAsia" w:ascii="仿宋" w:hAnsi="仿宋" w:eastAsia="仿宋" w:cs="仿宋"/>
          <w:b/>
          <w:color w:val="auto"/>
          <w:sz w:val="24"/>
          <w:szCs w:val="24"/>
          <w:highlight w:val="none"/>
          <w:lang w:val="zh-CN"/>
        </w:rPr>
      </w:pPr>
      <w:bookmarkStart w:id="106" w:name="_Toc21302"/>
      <w:bookmarkStart w:id="107" w:name="_Toc16292"/>
      <w:bookmarkStart w:id="108" w:name="_Toc8899"/>
      <w:bookmarkStart w:id="109" w:name="_Toc15084"/>
      <w:bookmarkStart w:id="110" w:name="_Toc2941"/>
      <w:bookmarkStart w:id="111" w:name="_Toc27262"/>
      <w:bookmarkStart w:id="112" w:name="_Toc16899"/>
      <w:bookmarkStart w:id="113" w:name="_Toc6567"/>
      <w:bookmarkStart w:id="114" w:name="_Toc12694"/>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zh-CN"/>
        </w:rPr>
        <w:t>合格的投标人要求</w:t>
      </w:r>
      <w:bookmarkEnd w:id="106"/>
      <w:bookmarkEnd w:id="107"/>
      <w:bookmarkEnd w:id="108"/>
      <w:bookmarkEnd w:id="109"/>
      <w:bookmarkEnd w:id="110"/>
      <w:bookmarkEnd w:id="111"/>
      <w:bookmarkEnd w:id="112"/>
      <w:bookmarkEnd w:id="113"/>
      <w:r>
        <w:rPr>
          <w:rFonts w:hint="eastAsia" w:ascii="仿宋" w:hAnsi="仿宋" w:eastAsia="仿宋" w:cs="仿宋"/>
          <w:b/>
          <w:color w:val="auto"/>
          <w:sz w:val="24"/>
          <w:szCs w:val="24"/>
          <w:highlight w:val="none"/>
          <w:lang w:val="zh-CN"/>
        </w:rPr>
        <w:t>（包</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eastAsia="zh-CN"/>
        </w:rPr>
        <w:t>肺小结节智能诊断系统</w:t>
      </w:r>
      <w:r>
        <w:rPr>
          <w:rFonts w:hint="eastAsia" w:ascii="仿宋" w:hAnsi="仿宋" w:eastAsia="仿宋" w:cs="仿宋"/>
          <w:b/>
          <w:color w:val="auto"/>
          <w:sz w:val="24"/>
          <w:szCs w:val="24"/>
          <w:highlight w:val="none"/>
          <w:lang w:val="zh-CN"/>
        </w:rPr>
        <w:t>）</w:t>
      </w:r>
      <w:bookmarkEnd w:id="114"/>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bookmarkStart w:id="115" w:name="_Toc16392"/>
      <w:bookmarkStart w:id="116" w:name="_Toc12028"/>
      <w:bookmarkStart w:id="117" w:name="_Toc15273"/>
      <w:bookmarkStart w:id="118" w:name="_Toc28737"/>
      <w:bookmarkStart w:id="119" w:name="_Toc29705"/>
      <w:bookmarkStart w:id="120" w:name="_Toc2160"/>
      <w:bookmarkStart w:id="121" w:name="_Toc15017"/>
      <w:bookmarkStart w:id="122" w:name="_Toc3918"/>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基本资格条件：符合《中华人民共和国政府采购法》第二十二条的规定；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提供统一社会信用代码的营业执照或其他组织经营的合法凭证或自然人的提供身份证明文件；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2</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财务状况报告：提供具有财务审计资质单位出具的2021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或</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2022</w:t>
      </w:r>
      <w:r>
        <w:rPr>
          <w:rFonts w:hint="eastAsia" w:ascii="仿宋" w:hAnsi="仿宋" w:eastAsia="仿宋" w:cs="仿宋"/>
          <w:i w:val="0"/>
          <w:iCs w:val="0"/>
          <w:caps w:val="0"/>
          <w:color w:val="auto"/>
          <w:spacing w:val="0"/>
          <w:sz w:val="24"/>
          <w:szCs w:val="24"/>
          <w:highlight w:val="none"/>
          <w:shd w:val="clear" w:color="auto" w:fill="FFFFFF"/>
          <w:vertAlign w:val="baseline"/>
        </w:rPr>
        <w:t>年度财务报告或开标前六个月内其基本账户银行出具的资信证明或财政部门认可的政府采购专业担保机构出具的担保函，以上形式的证明资料提供任何一种即可；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3</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税收缴纳证明：提供已缴纳的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年1月1日以来至少一个月的纳税证明或完税证明，纳税证明或完税证明上应有代收机构或税务机关的公章或业务专用章。依法免税的投标人应提供相关文件证明；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4</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社会保障资金缴纳证明：提供已缴存的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年1月1日以来至少一个月的社会保障资金缴存单据或社保机构开具的社会保险参保缴费情况证明。成立时间至提交投标文件截止时间不足一个月或依法不需要缴纳社会保障资金的投标人应提供相关文件证明；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5</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出具履行合同所必需的设备和专业技术能力的书面声明；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6</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出具参加本次政府采购活动的书面声明；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特定资格条件：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法定代表人授权书及被授权人身份证，并且提供有效的劳动合同或投标截止前六个月内任意一个月养老保险缴纳证明（法人参加只需提供法定代表人身份证明）；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2</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r>
        <w:rPr>
          <w:rFonts w:hint="eastAsia" w:ascii="仿宋" w:hAnsi="仿宋" w:eastAsia="仿宋" w:cs="仿宋"/>
          <w:i w:val="0"/>
          <w:iCs w:val="0"/>
          <w:caps w:val="0"/>
          <w:color w:val="auto"/>
          <w:spacing w:val="0"/>
          <w:sz w:val="24"/>
          <w:szCs w:val="24"/>
          <w:highlight w:val="none"/>
          <w:shd w:val="clear" w:color="auto" w:fill="FFFFFF"/>
          <w:vertAlign w:val="baseline"/>
        </w:rPr>
        <w:t>符合《财政部关于在政府采购活动中查询及使用信用记录有关问题的通知》（财库【2016】125号）文件中信用查询的要求；（此项由采购人与采购代理单位在开标时查询，以现场查询为准）；</w:t>
      </w:r>
    </w:p>
    <w:p>
      <w:pPr>
        <w:autoSpaceDE w:val="0"/>
        <w:autoSpaceDN w:val="0"/>
        <w:adjustRightInd w:val="0"/>
        <w:spacing w:line="360" w:lineRule="auto"/>
        <w:ind w:firstLine="482" w:firstLineChars="200"/>
        <w:outlineLvl w:val="2"/>
        <w:rPr>
          <w:rFonts w:hint="eastAsia" w:ascii="仿宋" w:hAnsi="仿宋" w:eastAsia="仿宋" w:cs="仿宋"/>
          <w:b/>
          <w:bCs/>
          <w:color w:val="auto"/>
          <w:sz w:val="24"/>
          <w:szCs w:val="24"/>
          <w:highlight w:val="none"/>
        </w:rPr>
      </w:pPr>
      <w:bookmarkStart w:id="123" w:name="_Toc20516"/>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val="zh-CN"/>
        </w:rPr>
        <w:t>限制投标要求</w:t>
      </w:r>
      <w:bookmarkEnd w:id="115"/>
      <w:bookmarkEnd w:id="116"/>
      <w:bookmarkEnd w:id="117"/>
      <w:bookmarkEnd w:id="118"/>
      <w:bookmarkEnd w:id="119"/>
      <w:bookmarkEnd w:id="120"/>
      <w:bookmarkEnd w:id="121"/>
      <w:bookmarkEnd w:id="122"/>
      <w:bookmarkEnd w:id="123"/>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投标人单位负责人为同一人或者存在直接控股、管理关系的不同投标人，不得参加同一项目或同一标段的政府采购活动。</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除单一来源采购项目外，为采购项目提供过整体设计、规范编制或者项目管理、监理、检测等服务的</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，不得再参加同一项目的其他采购活动。</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zh-CN"/>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lang w:val="zh-CN"/>
        </w:rPr>
        <w:t>，采购代理机构将拒绝其参与政府采购活动。</w:t>
      </w:r>
    </w:p>
    <w:p>
      <w:pPr>
        <w:autoSpaceDE w:val="0"/>
        <w:autoSpaceDN w:val="0"/>
        <w:adjustRightInd w:val="0"/>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4、</w:t>
      </w:r>
      <w:r>
        <w:rPr>
          <w:rFonts w:hint="eastAsia" w:ascii="仿宋" w:hAnsi="仿宋" w:eastAsia="仿宋" w:cs="仿宋"/>
          <w:b/>
          <w:color w:val="auto"/>
          <w:sz w:val="24"/>
          <w:szCs w:val="24"/>
          <w:highlight w:val="none"/>
          <w:lang w:val="zh-CN"/>
        </w:rPr>
        <w:t>本次招标项目不接受联合体</w:t>
      </w:r>
      <w:r>
        <w:rPr>
          <w:rFonts w:hint="eastAsia" w:ascii="仿宋" w:hAnsi="仿宋" w:eastAsia="仿宋" w:cs="仿宋"/>
          <w:b/>
          <w:color w:val="auto"/>
          <w:sz w:val="24"/>
          <w:szCs w:val="24"/>
          <w:highlight w:val="none"/>
          <w:lang w:val="en-US" w:eastAsia="zh-CN"/>
        </w:rPr>
        <w:t>投</w:t>
      </w:r>
      <w:r>
        <w:rPr>
          <w:rFonts w:hint="eastAsia" w:ascii="仿宋" w:hAnsi="仿宋" w:eastAsia="仿宋" w:cs="仿宋"/>
          <w:b/>
          <w:color w:val="auto"/>
          <w:sz w:val="24"/>
          <w:szCs w:val="24"/>
          <w:highlight w:val="none"/>
          <w:lang w:val="zh-CN"/>
        </w:rPr>
        <w:t>标</w:t>
      </w:r>
      <w:r>
        <w:rPr>
          <w:rFonts w:hint="eastAsia" w:ascii="仿宋" w:hAnsi="仿宋" w:eastAsia="仿宋" w:cs="仿宋"/>
          <w:bCs/>
          <w:color w:val="auto"/>
          <w:sz w:val="24"/>
          <w:szCs w:val="24"/>
          <w:highlight w:val="none"/>
          <w:lang w:val="zh-CN"/>
        </w:rPr>
        <w:t>。</w:t>
      </w:r>
    </w:p>
    <w:p>
      <w:pPr>
        <w:tabs>
          <w:tab w:val="left" w:pos="9030"/>
        </w:tabs>
        <w:snapToGrid w:val="0"/>
        <w:spacing w:line="360" w:lineRule="auto"/>
        <w:ind w:right="-65" w:firstLine="482" w:firstLineChars="200"/>
        <w:outlineLvl w:val="2"/>
        <w:rPr>
          <w:rFonts w:hint="eastAsia" w:ascii="仿宋" w:hAnsi="仿宋" w:eastAsia="仿宋" w:cs="仿宋"/>
          <w:b/>
          <w:bCs/>
          <w:color w:val="auto"/>
          <w:sz w:val="24"/>
          <w:szCs w:val="24"/>
          <w:highlight w:val="none"/>
          <w:lang w:val="zh-CN"/>
        </w:rPr>
      </w:pPr>
      <w:bookmarkStart w:id="124" w:name="_Toc29714"/>
      <w:bookmarkStart w:id="125" w:name="_Toc18636"/>
      <w:bookmarkStart w:id="126" w:name="_Toc2643"/>
      <w:bookmarkStart w:id="127" w:name="_Toc17603"/>
      <w:bookmarkStart w:id="128" w:name="_Toc7380"/>
      <w:bookmarkStart w:id="129" w:name="_Toc12838"/>
      <w:bookmarkStart w:id="130" w:name="_Toc5367"/>
      <w:bookmarkStart w:id="131" w:name="_Toc9223"/>
      <w:bookmarkStart w:id="132" w:name="_Toc1281"/>
      <w:r>
        <w:rPr>
          <w:rFonts w:hint="eastAsia" w:ascii="仿宋" w:hAnsi="仿宋" w:eastAsia="仿宋" w:cs="仿宋"/>
          <w:b/>
          <w:bCs/>
          <w:color w:val="auto"/>
          <w:sz w:val="24"/>
          <w:szCs w:val="24"/>
          <w:highlight w:val="none"/>
        </w:rPr>
        <w:t>（四）</w:t>
      </w:r>
      <w:r>
        <w:rPr>
          <w:rFonts w:hint="eastAsia" w:ascii="仿宋" w:hAnsi="仿宋" w:eastAsia="仿宋" w:cs="仿宋"/>
          <w:b/>
          <w:bCs/>
          <w:color w:val="auto"/>
          <w:sz w:val="24"/>
          <w:szCs w:val="24"/>
          <w:highlight w:val="none"/>
          <w:lang w:val="zh-CN"/>
        </w:rPr>
        <w:t>投标文件有效期</w:t>
      </w:r>
      <w:bookmarkEnd w:id="124"/>
      <w:bookmarkEnd w:id="125"/>
      <w:bookmarkEnd w:id="126"/>
      <w:bookmarkEnd w:id="127"/>
      <w:bookmarkEnd w:id="128"/>
      <w:bookmarkEnd w:id="129"/>
      <w:bookmarkEnd w:id="130"/>
      <w:bookmarkEnd w:id="131"/>
      <w:bookmarkEnd w:id="132"/>
    </w:p>
    <w:p>
      <w:pPr>
        <w:tabs>
          <w:tab w:val="left" w:pos="9030"/>
        </w:tabs>
        <w:snapToGrid w:val="0"/>
        <w:spacing w:line="360" w:lineRule="auto"/>
        <w:ind w:right="-65" w:firstLine="480" w:firstLineChars="200"/>
        <w:rPr>
          <w:rFonts w:hint="eastAsia" w:ascii="仿宋" w:hAnsi="仿宋" w:eastAsia="仿宋" w:cs="仿宋"/>
          <w:bCs/>
          <w:color w:val="auto"/>
          <w:sz w:val="24"/>
          <w:szCs w:val="24"/>
          <w:highlight w:val="none"/>
          <w:lang w:val="zh-CN"/>
        </w:rPr>
      </w:pPr>
      <w:r>
        <w:rPr>
          <w:rFonts w:hint="eastAsia" w:ascii="仿宋" w:hAnsi="仿宋" w:eastAsia="仿宋" w:cs="仿宋"/>
          <w:color w:val="auto"/>
          <w:sz w:val="24"/>
          <w:szCs w:val="24"/>
          <w:highlight w:val="none"/>
          <w:lang w:val="zh-CN"/>
        </w:rPr>
        <w:t>投标文件有效期为自开标之日起90个日历日，在有效期内投标文件对投标人具有法律约束力，以保证采购人完成评标、定标以及合同签订事项。中标人的投标文件有效期自动延长至合同执行完毕。</w:t>
      </w:r>
    </w:p>
    <w:p>
      <w:pPr>
        <w:autoSpaceDE w:val="0"/>
        <w:autoSpaceDN w:val="0"/>
        <w:adjustRightInd w:val="0"/>
        <w:snapToGrid w:val="0"/>
        <w:spacing w:line="360" w:lineRule="auto"/>
        <w:ind w:firstLine="482" w:firstLineChars="200"/>
        <w:outlineLvl w:val="2"/>
        <w:rPr>
          <w:rFonts w:hint="eastAsia" w:ascii="仿宋" w:hAnsi="仿宋" w:eastAsia="仿宋" w:cs="仿宋"/>
          <w:b/>
          <w:color w:val="auto"/>
          <w:sz w:val="24"/>
          <w:szCs w:val="24"/>
          <w:highlight w:val="none"/>
          <w:lang w:val="zh-CN"/>
        </w:rPr>
      </w:pPr>
      <w:bookmarkStart w:id="133" w:name="_Toc13087"/>
      <w:bookmarkStart w:id="134" w:name="_Toc11560"/>
      <w:bookmarkStart w:id="135" w:name="_Toc27607"/>
      <w:bookmarkStart w:id="136" w:name="_Toc21375"/>
      <w:bookmarkStart w:id="137" w:name="_Toc9574"/>
      <w:bookmarkStart w:id="138" w:name="_Toc21738"/>
      <w:bookmarkStart w:id="139" w:name="_Toc8253"/>
      <w:bookmarkStart w:id="140" w:name="_Toc15097"/>
      <w:bookmarkStart w:id="141" w:name="_Toc10986"/>
      <w:r>
        <w:rPr>
          <w:rFonts w:hint="eastAsia" w:ascii="仿宋" w:hAnsi="仿宋" w:eastAsia="仿宋" w:cs="仿宋"/>
          <w:b/>
          <w:color w:val="auto"/>
          <w:sz w:val="24"/>
          <w:szCs w:val="24"/>
          <w:highlight w:val="none"/>
          <w:lang w:val="zh-CN"/>
        </w:rPr>
        <w:t>（五）投标文件的编写要求</w:t>
      </w:r>
      <w:bookmarkEnd w:id="133"/>
      <w:bookmarkEnd w:id="134"/>
      <w:bookmarkEnd w:id="135"/>
      <w:bookmarkEnd w:id="136"/>
      <w:bookmarkEnd w:id="137"/>
      <w:bookmarkEnd w:id="138"/>
      <w:bookmarkEnd w:id="139"/>
      <w:bookmarkEnd w:id="140"/>
      <w:bookmarkEnd w:id="141"/>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未从采购代理机构处直接获取招标文件的投标人，谢绝报价。投标文件必须根据采购代理机构发售的投标文件格式编写，各投标人对招标文件做出实质性响应。具体内容包括：</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对投标函中内容的响应；</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开标一览表（报价表）和</w:t>
      </w:r>
      <w:r>
        <w:rPr>
          <w:rFonts w:hint="eastAsia" w:ascii="仿宋" w:hAnsi="仿宋" w:eastAsia="仿宋" w:cs="仿宋"/>
          <w:color w:val="auto"/>
          <w:kern w:val="0"/>
          <w:sz w:val="24"/>
          <w:szCs w:val="24"/>
          <w:highlight w:val="none"/>
          <w:lang w:val="en-US" w:eastAsia="zh-CN"/>
        </w:rPr>
        <w:t>分项报价</w:t>
      </w:r>
      <w:r>
        <w:rPr>
          <w:rFonts w:hint="eastAsia" w:ascii="仿宋" w:hAnsi="仿宋" w:eastAsia="仿宋" w:cs="仿宋"/>
          <w:color w:val="auto"/>
          <w:kern w:val="0"/>
          <w:sz w:val="24"/>
          <w:szCs w:val="24"/>
          <w:highlight w:val="none"/>
          <w:lang w:val="zh-CN"/>
        </w:rPr>
        <w:t>表</w:t>
      </w:r>
      <w:r>
        <w:rPr>
          <w:rFonts w:hint="eastAsia" w:ascii="仿宋" w:hAnsi="仿宋" w:eastAsia="仿宋" w:cs="仿宋"/>
          <w:color w:val="auto"/>
          <w:sz w:val="24"/>
          <w:szCs w:val="24"/>
          <w:highlight w:val="none"/>
          <w:lang w:val="zh-CN"/>
        </w:rPr>
        <w:t>。</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投标人须出具的合格投标人要求文件，证明参加投标人是响应本项目招标的合格投标人。</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投标人为本次招标活动编制的技术方案，质量保证，售后服务及方案。</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投标人提供相应业绩，证明其供应经验及能力，以及为招标活动提供的合理化建议。</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投标人根据招标文件载明采购活动的实际情况，拟在中标后将中标项目非主体、非关键性工作交由他人完成的，应当在投标文件中注明，并提供交由完成企业的营业执照、相应资质等内容，且其允许的资质范围包含本项目招标的内容。</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投标文件的编写:</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投标人需按招标文件的“第五部分”编写投标文件，</w:t>
      </w:r>
      <w:r>
        <w:rPr>
          <w:rFonts w:hint="eastAsia" w:ascii="仿宋" w:hAnsi="仿宋" w:eastAsia="仿宋" w:cs="仿宋"/>
          <w:bCs/>
          <w:color w:val="auto"/>
          <w:sz w:val="24"/>
          <w:szCs w:val="24"/>
          <w:highlight w:val="none"/>
        </w:rPr>
        <w:t>如有必要，可以增加附页，作为投标文件的组成部分。</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（2）投标文件编写说明:</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①投标人提交的投标文件以及投标人与采购代理机构就有关投标的所有来往通知、函件和文件均应使用简体中文。</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②除技术性能另有规定外，投标文件所使用的度量衡单位，均须采用国家法定计量单位。</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③投标人应仔细阅读招标文件，充分理解招标文件的要求。凡与招标文件的规定有重大不符合的投标文件，投标被拒绝。</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④凡没有按投标文件格式和内容编写、投标文件组成不全的投标人，投标被拒绝。</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⑤投标人必须对招标文件的所有规定和要求作出实质性响应，否则投标被拒绝。</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⑥投标人应仔细阅读招标文件的所有内容，按招标文件的要求提供投标文件，并保证所提供的全部资料的真实性，否则投标被拒绝。</w:t>
      </w:r>
    </w:p>
    <w:p>
      <w:pPr>
        <w:autoSpaceDE w:val="0"/>
        <w:autoSpaceDN w:val="0"/>
        <w:adjustRightInd w:val="0"/>
        <w:snapToGrid w:val="0"/>
        <w:spacing w:line="360" w:lineRule="auto"/>
        <w:ind w:firstLine="482" w:firstLineChars="200"/>
        <w:outlineLvl w:val="2"/>
        <w:rPr>
          <w:rFonts w:hint="eastAsia" w:ascii="仿宋" w:hAnsi="仿宋" w:eastAsia="仿宋" w:cs="仿宋"/>
          <w:b/>
          <w:color w:val="auto"/>
          <w:sz w:val="24"/>
          <w:szCs w:val="24"/>
          <w:highlight w:val="none"/>
          <w:lang w:val="zh-CN"/>
        </w:rPr>
      </w:pPr>
      <w:bookmarkStart w:id="142" w:name="_Toc14561"/>
      <w:bookmarkStart w:id="143" w:name="_Toc30294"/>
      <w:bookmarkStart w:id="144" w:name="_Toc2115"/>
      <w:bookmarkStart w:id="145" w:name="_Toc11902"/>
      <w:bookmarkStart w:id="146" w:name="_Toc19554"/>
      <w:bookmarkStart w:id="147" w:name="_Toc1681"/>
      <w:bookmarkStart w:id="148" w:name="_Toc10676"/>
      <w:bookmarkStart w:id="149" w:name="_Toc4232"/>
      <w:bookmarkStart w:id="150" w:name="_Toc11144"/>
      <w:r>
        <w:rPr>
          <w:rFonts w:hint="eastAsia" w:ascii="仿宋" w:hAnsi="仿宋" w:eastAsia="仿宋" w:cs="仿宋"/>
          <w:b/>
          <w:color w:val="auto"/>
          <w:sz w:val="24"/>
          <w:szCs w:val="24"/>
          <w:highlight w:val="none"/>
          <w:lang w:val="zh-CN"/>
        </w:rPr>
        <w:t>（六）投标报价要求</w:t>
      </w:r>
      <w:bookmarkEnd w:id="142"/>
      <w:bookmarkEnd w:id="143"/>
      <w:bookmarkEnd w:id="144"/>
      <w:bookmarkEnd w:id="145"/>
      <w:bookmarkEnd w:id="146"/>
      <w:bookmarkEnd w:id="147"/>
      <w:bookmarkEnd w:id="148"/>
      <w:bookmarkEnd w:id="149"/>
      <w:bookmarkEnd w:id="150"/>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bookmarkStart w:id="151" w:name="_Toc10555"/>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应在投标文件中的投标报价一览表上标明投标总报价</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服务期</w:t>
      </w:r>
      <w:r>
        <w:rPr>
          <w:rFonts w:hint="eastAsia" w:ascii="仿宋" w:hAnsi="仿宋" w:eastAsia="仿宋" w:cs="仿宋"/>
          <w:color w:val="auto"/>
          <w:kern w:val="0"/>
          <w:sz w:val="24"/>
          <w:szCs w:val="24"/>
          <w:highlight w:val="none"/>
          <w:lang w:val="zh-CN"/>
        </w:rPr>
        <w:t>等，</w:t>
      </w:r>
      <w:r>
        <w:rPr>
          <w:rFonts w:hint="eastAsia" w:ascii="仿宋" w:hAnsi="仿宋" w:eastAsia="仿宋" w:cs="仿宋"/>
          <w:color w:val="auto"/>
          <w:sz w:val="24"/>
          <w:szCs w:val="24"/>
          <w:highlight w:val="none"/>
          <w:lang w:val="zh-CN"/>
        </w:rPr>
        <w:t>投标总报价</w:t>
      </w:r>
      <w:r>
        <w:rPr>
          <w:rFonts w:hint="eastAsia" w:ascii="仿宋" w:hAnsi="仿宋" w:eastAsia="仿宋" w:cs="仿宋"/>
          <w:color w:val="auto"/>
          <w:sz w:val="24"/>
          <w:szCs w:val="24"/>
          <w:highlight w:val="none"/>
        </w:rPr>
        <w:t>只能提交唯一报价，任何有选择的报价采购代理机构将不予接受，其投标文件视为无效文件。</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2、投标总价是指完成本次服务所须的全部费用。</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凡因投标人对招标文件阅读不深、理解不透、误解、疏漏、或因市场行情了解不清造成的后果和风险均由投标人自行负责。</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投标人不得以低于成本的报价参与投标。当评标委员会认为，某投标人的报价或者部分分项报价存在明显不合理的低于成本的报价，有可能影响服务质量和不能诚信履约的，可要求该投标人在规定期限内，提供必要的书面文件予以解释和说明并附带相关证明材料；否则，评标委员会认定该投标人以低于成本价竞价，其投标文件作无效文件处理。</w:t>
      </w:r>
    </w:p>
    <w:p>
      <w:pPr>
        <w:pStyle w:val="37"/>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最低报价不是中标的唯一依据，投标过程中所产生的一切费用由投标人自行承担。</w:t>
      </w:r>
    </w:p>
    <w:bookmarkEnd w:id="151"/>
    <w:p>
      <w:pPr>
        <w:autoSpaceDE w:val="0"/>
        <w:autoSpaceDN w:val="0"/>
        <w:adjustRightInd w:val="0"/>
        <w:snapToGrid w:val="0"/>
        <w:spacing w:line="360" w:lineRule="auto"/>
        <w:ind w:firstLine="482" w:firstLineChars="200"/>
        <w:outlineLvl w:val="2"/>
        <w:rPr>
          <w:rFonts w:hint="eastAsia" w:ascii="仿宋" w:hAnsi="仿宋" w:eastAsia="仿宋" w:cs="仿宋"/>
          <w:b/>
          <w:color w:val="auto"/>
          <w:sz w:val="24"/>
          <w:szCs w:val="24"/>
          <w:highlight w:val="none"/>
          <w:lang w:val="zh-CN"/>
        </w:rPr>
      </w:pPr>
      <w:bookmarkStart w:id="152" w:name="_Toc26728"/>
      <w:bookmarkStart w:id="153" w:name="_Toc29615"/>
      <w:bookmarkStart w:id="154" w:name="_Toc25485"/>
      <w:bookmarkStart w:id="155" w:name="_Toc15088"/>
      <w:bookmarkStart w:id="156" w:name="_Toc1841"/>
      <w:bookmarkStart w:id="157" w:name="_Toc30010"/>
      <w:bookmarkStart w:id="158" w:name="_Toc21181"/>
      <w:bookmarkStart w:id="159" w:name="_Toc16182"/>
      <w:bookmarkStart w:id="160" w:name="_Toc9238"/>
      <w:bookmarkStart w:id="161" w:name="_Toc22665"/>
      <w:bookmarkStart w:id="162" w:name="_Toc10101"/>
      <w:bookmarkStart w:id="163" w:name="_Toc1393"/>
      <w:bookmarkStart w:id="164" w:name="_Toc30102"/>
      <w:bookmarkStart w:id="165" w:name="_Toc31895"/>
      <w:bookmarkStart w:id="166" w:name="_Toc11741"/>
      <w:bookmarkStart w:id="167" w:name="_Toc14066"/>
      <w:bookmarkStart w:id="168" w:name="_Toc1086"/>
      <w:bookmarkStart w:id="169" w:name="_Toc6827"/>
      <w:bookmarkStart w:id="170" w:name="_Toc16557"/>
      <w:bookmarkStart w:id="171" w:name="_Toc25857"/>
      <w:bookmarkStart w:id="172" w:name="_Toc18340"/>
      <w:bookmarkStart w:id="173" w:name="_Toc26261"/>
      <w:bookmarkStart w:id="174" w:name="_Toc3341"/>
      <w:r>
        <w:rPr>
          <w:rFonts w:hint="eastAsia" w:ascii="仿宋" w:hAnsi="仿宋" w:eastAsia="仿宋" w:cs="仿宋"/>
          <w:b/>
          <w:color w:val="auto"/>
          <w:sz w:val="24"/>
          <w:szCs w:val="24"/>
          <w:highlight w:val="none"/>
          <w:lang w:val="zh-CN"/>
        </w:rPr>
        <w:t>（七）</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 w:hAnsi="仿宋" w:eastAsia="仿宋" w:cs="仿宋"/>
          <w:b/>
          <w:color w:val="auto"/>
          <w:sz w:val="24"/>
          <w:szCs w:val="24"/>
          <w:highlight w:val="none"/>
          <w:lang w:val="zh-CN"/>
        </w:rPr>
        <w:t>投标文件的式样和签署</w:t>
      </w:r>
      <w:bookmarkEnd w:id="166"/>
      <w:bookmarkEnd w:id="167"/>
      <w:bookmarkEnd w:id="168"/>
      <w:bookmarkEnd w:id="169"/>
      <w:bookmarkEnd w:id="170"/>
      <w:bookmarkEnd w:id="171"/>
      <w:bookmarkEnd w:id="172"/>
      <w:bookmarkEnd w:id="173"/>
      <w:bookmarkEnd w:id="174"/>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投标人应按照招标文件格式，准备正本一份、副本三份和投标文件电子版一份（提供与纸质投标文件一致的PDF格式和</w:t>
      </w:r>
      <w:r>
        <w:rPr>
          <w:rFonts w:hint="eastAsia" w:ascii="仿宋" w:hAnsi="仿宋" w:eastAsia="仿宋" w:cs="仿宋"/>
          <w:color w:val="auto"/>
          <w:sz w:val="24"/>
          <w:szCs w:val="24"/>
          <w:highlight w:val="none"/>
        </w:rPr>
        <w:t>word格式</w:t>
      </w:r>
      <w:r>
        <w:rPr>
          <w:rFonts w:hint="eastAsia" w:ascii="仿宋" w:hAnsi="仿宋" w:eastAsia="仿宋" w:cs="仿宋"/>
          <w:color w:val="auto"/>
          <w:sz w:val="24"/>
          <w:szCs w:val="24"/>
          <w:highlight w:val="none"/>
          <w:lang w:val="zh-CN"/>
        </w:rPr>
        <w:t>，U盘存储），投标文件的封面上应清楚地标记“正本”、“副本”、“电子版”字样。</w:t>
      </w:r>
      <w:r>
        <w:rPr>
          <w:rFonts w:hint="eastAsia" w:ascii="仿宋" w:hAnsi="仿宋" w:eastAsia="仿宋" w:cs="仿宋"/>
          <w:color w:val="auto"/>
          <w:sz w:val="24"/>
          <w:szCs w:val="24"/>
          <w:highlight w:val="none"/>
          <w:lang w:val="zh-CN" w:eastAsia="zh-CN"/>
        </w:rPr>
        <w:t>招标文件中“第五部分 四</w:t>
      </w:r>
      <w:r>
        <w:rPr>
          <w:rFonts w:hint="eastAsia" w:ascii="仿宋" w:hAnsi="仿宋" w:eastAsia="仿宋" w:cs="仿宋"/>
          <w:color w:val="auto"/>
          <w:sz w:val="24"/>
          <w:szCs w:val="24"/>
          <w:highlight w:val="none"/>
          <w:lang w:val="zh-CN"/>
        </w:rPr>
        <w:t>、投标人资格证明文件</w:t>
      </w:r>
      <w:r>
        <w:rPr>
          <w:rFonts w:hint="eastAsia" w:ascii="仿宋" w:hAnsi="仿宋" w:eastAsia="仿宋" w:cs="仿宋"/>
          <w:color w:val="auto"/>
          <w:sz w:val="24"/>
          <w:szCs w:val="24"/>
          <w:highlight w:val="none"/>
          <w:lang w:val="zh-CN" w:eastAsia="zh-CN"/>
        </w:rPr>
        <w:t>”单独胶装成册1本，与投标文件正本一同密封。</w:t>
      </w:r>
    </w:p>
    <w:p>
      <w:pPr>
        <w:tabs>
          <w:tab w:val="left" w:pos="9030"/>
        </w:tabs>
        <w:snapToGrid w:val="0"/>
        <w:spacing w:line="360" w:lineRule="auto"/>
        <w:ind w:right="-65"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2、投标文件的正本和所有的副本均须双面打印并用不褪色蓝（黑）墨水（汁）书写，统一装订、标码，在每一页的正下方清楚标明页码等字样。</w:t>
      </w:r>
      <w:r>
        <w:rPr>
          <w:rFonts w:hint="eastAsia" w:ascii="仿宋" w:hAnsi="仿宋" w:eastAsia="仿宋" w:cs="仿宋"/>
          <w:color w:val="auto"/>
          <w:spacing w:val="-6"/>
          <w:sz w:val="24"/>
          <w:szCs w:val="24"/>
          <w:highlight w:val="none"/>
        </w:rPr>
        <w:t>因字迹不清、表达不准或不按给定的投标文件格式编制的投标文件，所引起的不利后果由</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自负。</w:t>
      </w:r>
    </w:p>
    <w:p>
      <w:pPr>
        <w:tabs>
          <w:tab w:val="left" w:pos="9030"/>
        </w:tabs>
        <w:snapToGrid w:val="0"/>
        <w:spacing w:line="360" w:lineRule="auto"/>
        <w:ind w:right="-65"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Cs/>
          <w:color w:val="auto"/>
          <w:sz w:val="24"/>
          <w:szCs w:val="24"/>
          <w:highlight w:val="none"/>
        </w:rPr>
        <w:t>投标文件必须加盖</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公章并按照招标文件要求由法定代表人（或授权代表人）签字。若未按照要求签署的，按无效文件处理。</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pacing w:val="2"/>
          <w:sz w:val="24"/>
          <w:szCs w:val="24"/>
          <w:highlight w:val="none"/>
          <w:lang w:val="zh-CN"/>
        </w:rPr>
        <w:t>除投标人对错处做必要修改外，投标文件不得行间插字、涂改和增删，如有修改错漏处，必须由投标人法定代表人或其授权人代表签字并加盖投标人公章。</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p>
      <w:pPr>
        <w:autoSpaceDE w:val="0"/>
        <w:autoSpaceDN w:val="0"/>
        <w:adjustRightInd w:val="0"/>
        <w:snapToGrid w:val="0"/>
        <w:spacing w:line="360" w:lineRule="auto"/>
        <w:ind w:firstLine="482" w:firstLineChars="200"/>
        <w:outlineLvl w:val="2"/>
        <w:rPr>
          <w:rFonts w:hint="eastAsia" w:ascii="仿宋" w:hAnsi="仿宋" w:eastAsia="仿宋" w:cs="仿宋"/>
          <w:b/>
          <w:color w:val="auto"/>
          <w:sz w:val="24"/>
          <w:szCs w:val="24"/>
          <w:highlight w:val="none"/>
          <w:lang w:val="zh-CN"/>
        </w:rPr>
      </w:pPr>
      <w:bookmarkStart w:id="175" w:name="_Toc19200"/>
      <w:bookmarkStart w:id="176" w:name="_Toc1531"/>
      <w:bookmarkStart w:id="177" w:name="_Toc32210"/>
      <w:bookmarkStart w:id="178" w:name="_Toc12544"/>
      <w:bookmarkStart w:id="179" w:name="_Toc22503"/>
      <w:bookmarkStart w:id="180" w:name="_Toc7086"/>
      <w:bookmarkStart w:id="181" w:name="_Toc5650"/>
      <w:bookmarkStart w:id="182" w:name="_Toc12685"/>
      <w:bookmarkStart w:id="183" w:name="_Toc506"/>
      <w:r>
        <w:rPr>
          <w:rFonts w:hint="eastAsia" w:ascii="仿宋" w:hAnsi="仿宋" w:eastAsia="仿宋" w:cs="仿宋"/>
          <w:b/>
          <w:color w:val="auto"/>
          <w:sz w:val="24"/>
          <w:szCs w:val="24"/>
          <w:highlight w:val="none"/>
          <w:lang w:val="zh-CN"/>
        </w:rPr>
        <w:t>（</w:t>
      </w:r>
      <w:r>
        <w:rPr>
          <w:rFonts w:hint="eastAsia" w:ascii="仿宋" w:hAnsi="仿宋" w:eastAsia="仿宋" w:cs="仿宋"/>
          <w:b/>
          <w:color w:val="auto"/>
          <w:sz w:val="24"/>
          <w:szCs w:val="24"/>
          <w:highlight w:val="none"/>
          <w:lang w:val="en-US" w:eastAsia="zh-CN"/>
        </w:rPr>
        <w:t>八</w:t>
      </w:r>
      <w:r>
        <w:rPr>
          <w:rFonts w:hint="eastAsia" w:ascii="仿宋" w:hAnsi="仿宋" w:eastAsia="仿宋" w:cs="仿宋"/>
          <w:b/>
          <w:color w:val="auto"/>
          <w:sz w:val="24"/>
          <w:szCs w:val="24"/>
          <w:highlight w:val="none"/>
          <w:lang w:val="zh-CN"/>
        </w:rPr>
        <w:t>）投标文件的密封和提交</w:t>
      </w:r>
      <w:bookmarkEnd w:id="175"/>
      <w:bookmarkEnd w:id="176"/>
      <w:bookmarkEnd w:id="177"/>
      <w:bookmarkEnd w:id="178"/>
      <w:bookmarkEnd w:id="179"/>
      <w:bookmarkEnd w:id="180"/>
      <w:bookmarkEnd w:id="181"/>
      <w:bookmarkEnd w:id="182"/>
      <w:bookmarkEnd w:id="183"/>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投标文件密封</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投标人应将投标文件分为</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个包装袋。</w:t>
      </w:r>
      <w:r>
        <w:rPr>
          <w:rFonts w:hint="eastAsia" w:ascii="仿宋" w:hAnsi="仿宋" w:eastAsia="仿宋" w:cs="仿宋"/>
          <w:color w:val="auto"/>
          <w:sz w:val="24"/>
          <w:szCs w:val="24"/>
          <w:highlight w:val="none"/>
          <w:lang w:val="zh-CN"/>
        </w:rPr>
        <w:t>正本单独密封、所有副本密封，投标文件电子版单独密封且在外层包装上标明字样。</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外层包装应加封条密封，在封线处加盖公章（骑缝章），标明项目编号、包号、项目名称，投标人全称（公章）、在</w:t>
      </w:r>
      <w:r>
        <w:rPr>
          <w:rFonts w:hint="eastAsia" w:ascii="仿宋" w:hAnsi="仿宋" w:eastAsia="仿宋" w:cs="仿宋"/>
          <w:color w:val="auto"/>
          <w:sz w:val="24"/>
          <w:szCs w:val="24"/>
          <w:highlight w:val="none"/>
        </w:rPr>
        <w:t>XXXX年XX月XX日XX：XX前不得启封</w:t>
      </w:r>
      <w:r>
        <w:rPr>
          <w:rFonts w:hint="eastAsia" w:ascii="仿宋" w:hAnsi="仿宋" w:eastAsia="仿宋" w:cs="仿宋"/>
          <w:color w:val="auto"/>
          <w:sz w:val="24"/>
          <w:szCs w:val="24"/>
          <w:highlight w:val="none"/>
          <w:lang w:val="zh-CN"/>
        </w:rPr>
        <w:t>等内容。</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投标文件的递交</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应在招标文件要求提交投标文件的截止时间前将投标文件密封送达投标地点，递交并办理签收手续，采购代理机构在收到投标文件后记载投标文件送达时间及密封情况，签收保存，并向投标人出具签收回执。</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对于要求提供合格投标人必备资格文件和业绩原件等相关资料的采购项目，投标人应将其内容与投标文件一起递交，并标明所提供资料原件的明细表（若文件未要求原件可不提供）。</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在招标文件要求提交投标文件的截止时间之后送达的投标文件和相关资料原件，为无效文件，采购代理机构拒绝接收。</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采购代理机构在招标文件规定的投标文件递交截止时间前，只负责投标文件和其相关资料原件的接收、登记和组织工作，对其投标文件和相关资料原件的有效性不负任何责任。</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投标文件递送后，在投标截止期前，投标人可以补充、修改或撤回其投标文件，并书面通知采购代理机构。补充、修改的内容应按招标文件的要求签署、盖章，密封后，作为投标文件的组成部分。</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投标截止时间后，投标人不得对其投标文件做任何修改。</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184" w:name="_Toc21515"/>
      <w:bookmarkStart w:id="185" w:name="_Toc23613"/>
      <w:bookmarkStart w:id="186" w:name="_Toc23644"/>
      <w:bookmarkStart w:id="187" w:name="_Toc17873"/>
      <w:bookmarkStart w:id="188" w:name="_Toc25855"/>
      <w:bookmarkStart w:id="189" w:name="_Toc27743"/>
      <w:bookmarkStart w:id="190" w:name="_Toc14306"/>
      <w:bookmarkStart w:id="191" w:name="_Toc3457"/>
      <w:r>
        <w:rPr>
          <w:rFonts w:hint="eastAsia" w:ascii="仿宋" w:hAnsi="仿宋" w:eastAsia="仿宋" w:cs="仿宋"/>
          <w:b/>
          <w:color w:val="auto"/>
          <w:sz w:val="24"/>
          <w:szCs w:val="24"/>
          <w:highlight w:val="none"/>
          <w:lang w:val="zh-CN"/>
        </w:rPr>
        <w:t>四、开标</w:t>
      </w:r>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（一）采购代理机构在规定的时间和地点组织公开开标并对开标、评标现场活动进行全程录音录像。</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（二）开标由采购代理机构主持，采购人、投标人和有关方面代表参加，签名报到以证明其出席。</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（三）开标截止时间后投标人不足三家的，不进行开标。</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（四）开标时，由投标人或者其推选的代表检查投标文件的密封情况，以确认各投标人的投标文件密封情况是否与递交时一致，没有被提前启封等异常情况。</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五）对投标文件的密封确认无误后，由采购代理机构工作人员当众拆封投标文件，以公开唱标的形式宣布投标人名称、投标价格以及采购代理机构认为合适的其他内容，无异议后，由投标人法定代表人（或被授权代表人）和监标人签字确认。</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（六）在开标时没有拆封和宣读的投标文件将原封退回给投标人。</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（七）以邮寄方式递交投标文件的为无效投标，不予启封。</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（八）投标人未参加开标的，视同认可开标结果。</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（九）开标过程由采购代理机构指定专人记录，参加开标的各投标人代表和相关工作人员签字确认后随采购文件一并存档。</w:t>
      </w:r>
    </w:p>
    <w:p>
      <w:pPr>
        <w:autoSpaceDE w:val="0"/>
        <w:autoSpaceDN w:val="0"/>
        <w:adjustRightInd w:val="0"/>
        <w:snapToGrid w:val="0"/>
        <w:spacing w:line="360" w:lineRule="auto"/>
        <w:ind w:firstLine="64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十）投标人代表对开标过程和开标记录有疑义，以及认为采购人、采购代理机构相关工作人员有需要回避的情形的，应当场提出询问或者回避申请。采购代理机构对投标人代表提出的询问或者回避申请应当及时处理。</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192" w:name="_Toc21519"/>
      <w:bookmarkStart w:id="193" w:name="_Toc22028"/>
      <w:bookmarkStart w:id="194" w:name="_Toc8072"/>
      <w:bookmarkStart w:id="195" w:name="_Toc16283"/>
      <w:bookmarkStart w:id="196" w:name="_Toc3139"/>
      <w:bookmarkStart w:id="197" w:name="_Toc13967"/>
      <w:bookmarkStart w:id="198" w:name="_Toc8012"/>
      <w:bookmarkStart w:id="199" w:name="_Toc11628"/>
      <w:r>
        <w:rPr>
          <w:rFonts w:hint="eastAsia" w:ascii="仿宋" w:hAnsi="仿宋" w:eastAsia="仿宋" w:cs="仿宋"/>
          <w:b/>
          <w:color w:val="auto"/>
          <w:sz w:val="24"/>
          <w:szCs w:val="24"/>
          <w:highlight w:val="none"/>
          <w:lang w:val="zh-CN"/>
        </w:rPr>
        <w:t>五、评标</w:t>
      </w:r>
      <w:bookmarkEnd w:id="192"/>
      <w:bookmarkEnd w:id="193"/>
      <w:bookmarkEnd w:id="194"/>
      <w:bookmarkEnd w:id="195"/>
      <w:bookmarkEnd w:id="196"/>
      <w:bookmarkEnd w:id="197"/>
      <w:bookmarkEnd w:id="198"/>
      <w:bookmarkEnd w:id="199"/>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zh-CN"/>
        </w:rPr>
        <w:t>按照《中华人民共和国政府采购法》、《中华人民共和国政府采购法实施条例》和《政府采购货物和服务招标投标管理办法》</w:t>
      </w:r>
      <w:r>
        <w:rPr>
          <w:rFonts w:hint="eastAsia" w:ascii="仿宋" w:hAnsi="仿宋" w:eastAsia="仿宋" w:cs="仿宋"/>
          <w:color w:val="auto"/>
          <w:sz w:val="24"/>
          <w:szCs w:val="24"/>
          <w:highlight w:val="none"/>
        </w:rPr>
        <w:t>87号令</w:t>
      </w:r>
      <w:r>
        <w:rPr>
          <w:rFonts w:hint="eastAsia" w:ascii="仿宋" w:hAnsi="仿宋" w:eastAsia="仿宋" w:cs="仿宋"/>
          <w:color w:val="auto"/>
          <w:sz w:val="24"/>
          <w:szCs w:val="24"/>
          <w:highlight w:val="none"/>
          <w:lang w:val="zh-CN"/>
        </w:rPr>
        <w:t>的规定，依法组建评标委员会。</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zh-CN"/>
        </w:rPr>
        <w:t>评标委员会的组成</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本项目评标委员会为</w:t>
      </w:r>
      <w:r>
        <w:rPr>
          <w:rFonts w:hint="eastAsia" w:ascii="仿宋" w:hAnsi="仿宋" w:eastAsia="仿宋" w:cs="仿宋"/>
          <w:color w:val="auto"/>
          <w:sz w:val="24"/>
          <w:szCs w:val="24"/>
          <w:highlight w:val="none"/>
          <w:lang w:val="en-US" w:eastAsia="zh-CN"/>
        </w:rPr>
        <w:t>5人或</w:t>
      </w:r>
      <w:r>
        <w:rPr>
          <w:rFonts w:hint="eastAsia" w:ascii="仿宋" w:hAnsi="仿宋" w:eastAsia="仿宋" w:cs="仿宋"/>
          <w:color w:val="auto"/>
          <w:sz w:val="24"/>
          <w:szCs w:val="24"/>
          <w:highlight w:val="none"/>
          <w:lang w:eastAsia="zh-CN"/>
        </w:rPr>
        <w:t>以上单数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评审专家在省级以上财政部门设立的政府采购评审专家库中随机抽取，其中评审专家不得少于成员总数的三分之二，评标委员会成员与投标人有利害关系的应当回避。</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zh-CN"/>
        </w:rPr>
        <w:t>评标委员会的职责</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审查、评价投标文件是否符合招标文件的商务、技术等实质性要求；</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要求投标人对投标文件有关事项作出澄清或者说明；</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对投标文件进行比较和评价；</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确定中标候选人名单，以及根据采购人委托直接确定中标投标人；</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向采购人、采购代理机构或者有关部门报告评标中发现的违法行为；</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配合采购代理机构答复投标人提出的质疑；</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配合财政部门的投诉处理工作。</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zh-CN"/>
        </w:rPr>
        <w:t>评标委员会有权对整个招标过程中出现的一切问题，</w:t>
      </w:r>
      <w:r>
        <w:rPr>
          <w:rFonts w:hint="eastAsia" w:ascii="仿宋" w:hAnsi="仿宋" w:eastAsia="仿宋" w:cs="仿宋"/>
          <w:color w:val="auto"/>
          <w:sz w:val="24"/>
          <w:szCs w:val="24"/>
          <w:highlight w:val="none"/>
        </w:rPr>
        <w:t>根据《中华人民共和国政府采购法》、《中华人民共和国政府采购实施条例》和《政府采购货物和服务招标投标管理办法》的精神，本着公开、公平、公正的原则，进行处理。</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（五）公开开标后，直到向中标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授予合同为止，凡与审查、澄清、评价和比较投标的有关资料及授标意见等内容，评标委员会成员均不得向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及与评标无关的其他人透露。</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200" w:name="_Toc6010"/>
      <w:bookmarkStart w:id="201" w:name="_Toc14972"/>
      <w:bookmarkStart w:id="202" w:name="_Toc25493"/>
      <w:bookmarkStart w:id="203" w:name="_Toc20761"/>
      <w:bookmarkStart w:id="204" w:name="_Toc18147"/>
      <w:bookmarkStart w:id="205" w:name="_Toc6520"/>
      <w:bookmarkStart w:id="206" w:name="_Toc29394"/>
      <w:bookmarkStart w:id="207" w:name="_Toc14292"/>
      <w:r>
        <w:rPr>
          <w:rFonts w:hint="eastAsia" w:ascii="仿宋" w:hAnsi="仿宋" w:eastAsia="仿宋" w:cs="仿宋"/>
          <w:b/>
          <w:color w:val="auto"/>
          <w:sz w:val="24"/>
          <w:szCs w:val="24"/>
          <w:highlight w:val="none"/>
          <w:lang w:val="zh-CN"/>
        </w:rPr>
        <w:t>六、</w:t>
      </w:r>
      <w:bookmarkStart w:id="208" w:name="_Toc495671240"/>
      <w:r>
        <w:rPr>
          <w:rFonts w:hint="eastAsia" w:ascii="仿宋" w:hAnsi="仿宋" w:eastAsia="仿宋" w:cs="仿宋"/>
          <w:b/>
          <w:color w:val="auto"/>
          <w:sz w:val="24"/>
          <w:szCs w:val="24"/>
          <w:highlight w:val="none"/>
          <w:lang w:val="zh-CN"/>
        </w:rPr>
        <w:t>评标程序及评标办法</w:t>
      </w:r>
      <w:bookmarkEnd w:id="200"/>
      <w:bookmarkEnd w:id="201"/>
      <w:bookmarkEnd w:id="202"/>
      <w:bookmarkEnd w:id="203"/>
      <w:bookmarkEnd w:id="204"/>
      <w:bookmarkEnd w:id="205"/>
      <w:bookmarkEnd w:id="206"/>
      <w:bookmarkEnd w:id="207"/>
      <w:bookmarkEnd w:id="208"/>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按照投标文件初审、澄清有关问题、比较与评价、推荐中标候选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名单的工作程序进行评标。</w:t>
      </w:r>
    </w:p>
    <w:p>
      <w:pPr>
        <w:tabs>
          <w:tab w:val="left" w:pos="9030"/>
        </w:tabs>
        <w:snapToGrid w:val="0"/>
        <w:spacing w:line="360" w:lineRule="auto"/>
        <w:ind w:right="-65" w:firstLine="480" w:firstLineChars="200"/>
        <w:outlineLvl w:val="2"/>
        <w:rPr>
          <w:rFonts w:hint="eastAsia" w:ascii="仿宋" w:hAnsi="仿宋" w:eastAsia="仿宋" w:cs="仿宋"/>
          <w:color w:val="auto"/>
          <w:sz w:val="24"/>
          <w:szCs w:val="24"/>
          <w:highlight w:val="none"/>
        </w:rPr>
      </w:pPr>
      <w:bookmarkStart w:id="209" w:name="_Toc16065"/>
      <w:bookmarkStart w:id="210" w:name="_Toc19431"/>
      <w:bookmarkStart w:id="211" w:name="_Toc26"/>
      <w:bookmarkStart w:id="212" w:name="_Toc1543"/>
      <w:bookmarkStart w:id="213" w:name="_Toc2042"/>
      <w:bookmarkStart w:id="214" w:name="_Toc2630"/>
      <w:bookmarkStart w:id="215" w:name="_Toc500"/>
      <w:bookmarkStart w:id="216" w:name="_Toc21585"/>
      <w:bookmarkStart w:id="217" w:name="_Toc14549"/>
      <w:r>
        <w:rPr>
          <w:rFonts w:hint="eastAsia" w:ascii="仿宋" w:hAnsi="仿宋" w:eastAsia="仿宋" w:cs="仿宋"/>
          <w:color w:val="auto"/>
          <w:sz w:val="24"/>
          <w:szCs w:val="24"/>
          <w:highlight w:val="none"/>
        </w:rPr>
        <w:t>（一）投标文件初审</w:t>
      </w:r>
      <w:bookmarkEnd w:id="209"/>
      <w:bookmarkEnd w:id="210"/>
      <w:bookmarkEnd w:id="211"/>
      <w:bookmarkEnd w:id="212"/>
      <w:bookmarkEnd w:id="213"/>
      <w:bookmarkEnd w:id="214"/>
      <w:bookmarkEnd w:id="215"/>
      <w:bookmarkEnd w:id="216"/>
      <w:bookmarkEnd w:id="217"/>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初审分为资格性检查和符合性检查。分别按照以下内容对投标文件进行检查，一项不合格即按照无效投标处理。</w:t>
      </w:r>
    </w:p>
    <w:p>
      <w:pPr>
        <w:tabs>
          <w:tab w:val="left" w:pos="9030"/>
        </w:tabs>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1、投标文件的资格性审查：依据法律法规和招标文件的规定，采购人</w:t>
      </w:r>
      <w:r>
        <w:rPr>
          <w:rFonts w:hint="eastAsia" w:ascii="仿宋" w:hAnsi="仿宋" w:eastAsia="仿宋" w:cs="仿宋"/>
          <w:b/>
          <w:bCs/>
          <w:sz w:val="24"/>
          <w:szCs w:val="24"/>
          <w:highlight w:val="none"/>
          <w:lang w:val="en-US" w:eastAsia="zh-CN"/>
        </w:rPr>
        <w:t>及</w:t>
      </w:r>
      <w:r>
        <w:rPr>
          <w:rFonts w:hint="eastAsia" w:ascii="仿宋" w:hAnsi="仿宋" w:eastAsia="仿宋" w:cs="仿宋"/>
          <w:b/>
          <w:bCs/>
          <w:sz w:val="24"/>
          <w:szCs w:val="24"/>
          <w:highlight w:val="none"/>
        </w:rPr>
        <w:t>采购代理机构对投标文件中的资格证明文件等进行审查，审查内容为公告中所列的</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资格条件。</w:t>
      </w:r>
    </w:p>
    <w:tbl>
      <w:tblPr>
        <w:tblStyle w:val="2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3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序号</w:t>
            </w:r>
          </w:p>
        </w:tc>
        <w:tc>
          <w:tcPr>
            <w:tcW w:w="223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资格审查项</w:t>
            </w:r>
          </w:p>
        </w:tc>
        <w:tc>
          <w:tcPr>
            <w:tcW w:w="6111"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营业执照等主体资格证明文件</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财务状况报告</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提供具有财务审计资质单位出具的2021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或</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2022</w:t>
            </w:r>
            <w:r>
              <w:rPr>
                <w:rFonts w:hint="eastAsia" w:ascii="仿宋" w:hAnsi="仿宋" w:eastAsia="仿宋" w:cs="仿宋"/>
                <w:i w:val="0"/>
                <w:iCs w:val="0"/>
                <w:caps w:val="0"/>
                <w:color w:val="auto"/>
                <w:spacing w:val="0"/>
                <w:sz w:val="24"/>
                <w:szCs w:val="24"/>
                <w:highlight w:val="none"/>
                <w:shd w:val="clear" w:color="auto" w:fill="FFFFFF"/>
                <w:vertAlign w:val="baseline"/>
              </w:rPr>
              <w:t>年度财务报告或开标前六个月内其基本账户银行出具的资信证明或财政部门认可的政府采购专业担保机构出具的担保函，以上形式的证明资料提供任何一种即可</w:t>
            </w:r>
            <w:r>
              <w:rPr>
                <w:rFonts w:hint="eastAsia" w:ascii="仿宋" w:hAnsi="仿宋" w:eastAsia="仿宋" w:cs="仿宋"/>
                <w:spacing w:val="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税收缴纳证明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提供已缴纳的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年1月1日以来至少一个月的纳税证明或完税证明，纳税证明或完税证明上应有代收机构或税务机关的公章或业务专用章。依法免税的投标人应提供相关文件证明</w:t>
            </w:r>
            <w:r>
              <w:rPr>
                <w:rFonts w:hint="eastAsia" w:ascii="仿宋" w:hAnsi="仿宋" w:eastAsia="仿宋" w:cs="仿宋"/>
                <w:spacing w:val="0"/>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社保缴纳证明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提供已缴存的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年1月1日以来至少一个月的社会保障资金缴存单据或社保机构开具的社会保险参保缴费情况证明。成立时间至提交投标文件截止时间不足一个月或依法不需要缴纳社会保障资金的投标人应提供相关文件证明</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ascii="仿宋" w:hAnsi="仿宋" w:eastAsia="仿宋" w:cs="仿宋"/>
                <w:spacing w:val="0"/>
                <w:sz w:val="24"/>
                <w:szCs w:val="24"/>
                <w:highlight w:val="none"/>
              </w:rPr>
            </w:pPr>
            <w:r>
              <w:rPr>
                <w:rFonts w:hint="eastAsia" w:ascii="仿宋" w:hAnsi="仿宋" w:eastAsia="仿宋" w:cs="仿宋"/>
                <w:spacing w:val="0"/>
                <w:sz w:val="24"/>
                <w:szCs w:val="24"/>
                <w:highlight w:val="none"/>
              </w:rPr>
              <w:t>5</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书面声明</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 xml:space="preserve">1.出具履行合同所必需的设备和专业技术能力的书面声明； </w:t>
            </w:r>
          </w:p>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6</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信用记录</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经查询，投标人未被列 入“信用中国”网站记录的“失信被执行 人”或“重大税收违法案件当事人”名单； 不处于“中国政府采购网”记录的“政府采购严重违法失信行为记录名单 ”中的禁止参加政府采购活动期间。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ascii="仿宋" w:hAnsi="仿宋" w:eastAsia="仿宋" w:cs="仿宋"/>
                <w:spacing w:val="0"/>
                <w:sz w:val="24"/>
                <w:szCs w:val="24"/>
                <w:highlight w:val="none"/>
              </w:rPr>
            </w:pPr>
            <w:r>
              <w:rPr>
                <w:rFonts w:hint="eastAsia" w:ascii="仿宋" w:hAnsi="仿宋" w:eastAsia="仿宋" w:cs="仿宋"/>
                <w:spacing w:val="0"/>
                <w:sz w:val="24"/>
                <w:szCs w:val="24"/>
                <w:highlight w:val="none"/>
              </w:rPr>
              <w:t>7</w:t>
            </w:r>
          </w:p>
        </w:tc>
        <w:tc>
          <w:tcPr>
            <w:tcW w:w="223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ascii="仿宋" w:hAnsi="仿宋" w:eastAsia="仿宋" w:cs="仿宋"/>
                <w:spacing w:val="0"/>
                <w:sz w:val="24"/>
                <w:szCs w:val="24"/>
                <w:highlight w:val="none"/>
              </w:rPr>
              <w:t>法定代表人授权委托书</w:t>
            </w:r>
          </w:p>
        </w:tc>
        <w:tc>
          <w:tcPr>
            <w:tcW w:w="6111"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firstLine="480" w:firstLineChars="20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法定代表人参加投标的，须提供法定代表人身份证明；法定代表人授权他人参加投标的，须提供法定代表人授权委托书，被授权代表本单位证明：</w:t>
            </w:r>
            <w:r>
              <w:rPr>
                <w:rFonts w:hint="eastAsia" w:ascii="仿宋" w:hAnsi="仿宋" w:eastAsia="仿宋" w:cs="仿宋"/>
                <w:i w:val="0"/>
                <w:iCs w:val="0"/>
                <w:caps w:val="0"/>
                <w:color w:val="auto"/>
                <w:spacing w:val="0"/>
                <w:sz w:val="24"/>
                <w:szCs w:val="24"/>
                <w:highlight w:val="none"/>
                <w:shd w:val="clear" w:color="auto" w:fill="FFFFFF"/>
                <w:vertAlign w:val="baseline"/>
              </w:rPr>
              <w:t>有效的劳动合同或投标截止前六个月内任意一个月养老保险缴纳证明</w:t>
            </w:r>
            <w:r>
              <w:rPr>
                <w:rFonts w:hint="eastAsia" w:ascii="仿宋" w:hAnsi="仿宋" w:eastAsia="仿宋" w:cs="仿宋"/>
                <w:spacing w:val="0"/>
                <w:sz w:val="24"/>
                <w:szCs w:val="24"/>
                <w:highlight w:val="none"/>
                <w:lang w:val="zh-CN" w:eastAsia="zh-CN"/>
              </w:rPr>
              <w:t>。</w:t>
            </w:r>
          </w:p>
        </w:tc>
      </w:tr>
    </w:tbl>
    <w:p>
      <w:pPr>
        <w:tabs>
          <w:tab w:val="left" w:pos="9030"/>
        </w:tabs>
        <w:snapToGrid w:val="0"/>
        <w:spacing w:line="360" w:lineRule="auto"/>
        <w:ind w:right="-65"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说明：资格审查结束后，资格审查人员对审查结果进行签字确认，若投标人资格审查未通过，注明未通过原因并告知其投标人，资格审查不合格的投标人，不得进入下一评标环节。</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2、投标文件符合性审查：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81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序号</w:t>
            </w:r>
          </w:p>
        </w:tc>
        <w:tc>
          <w:tcPr>
            <w:tcW w:w="2814"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ascii="仿宋" w:hAnsi="仿宋" w:eastAsia="仿宋" w:cs="仿宋"/>
                <w:spacing w:val="0"/>
                <w:sz w:val="24"/>
                <w:szCs w:val="24"/>
                <w:highlight w:val="none"/>
              </w:rPr>
              <w:t>符合性审查项</w:t>
            </w:r>
          </w:p>
        </w:tc>
        <w:tc>
          <w:tcPr>
            <w:tcW w:w="5528"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1</w:t>
            </w:r>
          </w:p>
        </w:tc>
        <w:tc>
          <w:tcPr>
            <w:tcW w:w="281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投标文件语言及有效期</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投标文件语言及有效期符合招标文件要求。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2</w:t>
            </w:r>
          </w:p>
        </w:tc>
        <w:tc>
          <w:tcPr>
            <w:tcW w:w="281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投标文件的投标函以及法定代表人授权委托书</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二处均无遗漏，且所投项目名称、标段应与实际参与项目一致。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3</w:t>
            </w:r>
          </w:p>
        </w:tc>
        <w:tc>
          <w:tcPr>
            <w:tcW w:w="281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开标一览表</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（1）报价符合唯一性要求：</w:t>
            </w: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（2）报价表填写符合要求；</w:t>
            </w: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（3）计量单位、报价货币均符合招标文件要求；</w:t>
            </w: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4</w:t>
            </w:r>
          </w:p>
        </w:tc>
        <w:tc>
          <w:tcPr>
            <w:tcW w:w="281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lang w:eastAsia="zh-CN"/>
              </w:rPr>
              <w:t>投标人</w:t>
            </w:r>
            <w:r>
              <w:rPr>
                <w:rFonts w:hint="eastAsia" w:ascii="仿宋" w:hAnsi="仿宋" w:eastAsia="仿宋" w:cs="仿宋"/>
                <w:spacing w:val="0"/>
                <w:sz w:val="24"/>
                <w:szCs w:val="24"/>
                <w:highlight w:val="none"/>
              </w:rPr>
              <w:t>承诺书</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完全理解并接受《投标人企业关系关联承诺书》、《投标人廉洁自律承诺书》。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17" w:type="dxa"/>
            <w:noWrap w:val="0"/>
            <w:vAlign w:val="center"/>
          </w:tcPr>
          <w:p>
            <w:pPr>
              <w:keepNext w:val="0"/>
              <w:keepLines w:val="0"/>
              <w:pageBreakBefore w:val="0"/>
              <w:widowControl w:val="0"/>
              <w:tabs>
                <w:tab w:val="left" w:pos="9030"/>
              </w:tabs>
              <w:kinsoku/>
              <w:wordWrap/>
              <w:overflowPunct/>
              <w:topLinePunct w:val="0"/>
              <w:autoSpaceDE/>
              <w:autoSpaceDN/>
              <w:bidi w:val="0"/>
              <w:adjustRightInd/>
              <w:snapToGrid w:val="0"/>
              <w:spacing w:line="360" w:lineRule="auto"/>
              <w:ind w:right="0"/>
              <w:jc w:val="center"/>
              <w:textAlignment w:val="auto"/>
              <w:rPr>
                <w:rFonts w:ascii="仿宋" w:hAnsi="仿宋" w:eastAsia="仿宋" w:cs="仿宋"/>
                <w:spacing w:val="0"/>
                <w:sz w:val="24"/>
                <w:szCs w:val="24"/>
                <w:highlight w:val="none"/>
              </w:rPr>
            </w:pPr>
            <w:r>
              <w:rPr>
                <w:rFonts w:hint="eastAsia" w:ascii="仿宋" w:hAnsi="仿宋" w:eastAsia="仿宋" w:cs="仿宋"/>
                <w:spacing w:val="0"/>
                <w:sz w:val="24"/>
                <w:szCs w:val="24"/>
                <w:highlight w:val="none"/>
              </w:rPr>
              <w:t>5</w:t>
            </w:r>
          </w:p>
        </w:tc>
        <w:tc>
          <w:tcPr>
            <w:tcW w:w="2814"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无其他招标文件或法</w:t>
            </w:r>
          </w:p>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规明确规定响应无效</w:t>
            </w:r>
          </w:p>
          <w:p>
            <w:pPr>
              <w:keepNext w:val="0"/>
              <w:keepLines w:val="0"/>
              <w:pageBreakBefore w:val="0"/>
              <w:widowControl w:val="0"/>
              <w:kinsoku/>
              <w:wordWrap/>
              <w:overflowPunct/>
              <w:topLinePunct w:val="0"/>
              <w:autoSpaceDE/>
              <w:autoSpaceDN/>
              <w:bidi w:val="0"/>
              <w:adjustRightInd/>
              <w:spacing w:line="360" w:lineRule="auto"/>
              <w:ind w:right="0"/>
              <w:jc w:val="center"/>
              <w:textAlignment w:val="auto"/>
              <w:rPr>
                <w:rFonts w:hint="eastAsia" w:ascii="仿宋" w:hAnsi="仿宋" w:eastAsia="仿宋" w:cs="仿宋"/>
                <w:spacing w:val="0"/>
                <w:sz w:val="24"/>
                <w:szCs w:val="24"/>
                <w:highlight w:val="none"/>
              </w:rPr>
            </w:pPr>
            <w:r>
              <w:rPr>
                <w:rFonts w:hint="eastAsia" w:ascii="仿宋" w:hAnsi="仿宋" w:eastAsia="仿宋" w:cs="仿宋"/>
                <w:spacing w:val="0"/>
                <w:sz w:val="24"/>
                <w:szCs w:val="24"/>
                <w:highlight w:val="none"/>
              </w:rPr>
              <w:t>的事项</w:t>
            </w:r>
          </w:p>
        </w:tc>
        <w:tc>
          <w:tcPr>
            <w:tcW w:w="55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textAlignment w:val="auto"/>
              <w:rPr>
                <w:rFonts w:hint="eastAsia" w:ascii="仿宋" w:hAnsi="仿宋" w:eastAsia="仿宋" w:cs="仿宋"/>
                <w:spacing w:val="0"/>
                <w:sz w:val="24"/>
                <w:szCs w:val="24"/>
                <w:highlight w:val="none"/>
                <w:lang w:val="zh-CN" w:eastAsia="zh-CN"/>
              </w:rPr>
            </w:pPr>
            <w:r>
              <w:rPr>
                <w:rFonts w:hint="eastAsia" w:ascii="仿宋" w:hAnsi="仿宋" w:eastAsia="仿宋" w:cs="仿宋"/>
                <w:spacing w:val="0"/>
                <w:sz w:val="24"/>
                <w:szCs w:val="24"/>
                <w:highlight w:val="none"/>
                <w:lang w:val="zh-CN" w:eastAsia="zh-CN"/>
              </w:rPr>
              <w:t xml:space="preserve">没有不符合招标文件规定的被视为无效响应的其他条款。 </w:t>
            </w:r>
          </w:p>
        </w:tc>
      </w:tr>
    </w:tbl>
    <w:p>
      <w:pPr>
        <w:tabs>
          <w:tab w:val="left" w:pos="9030"/>
        </w:tabs>
        <w:snapToGrid w:val="0"/>
        <w:spacing w:line="360" w:lineRule="auto"/>
        <w:ind w:right="-65"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说明：符合性审查结束后，评标委员会当对审查结果进行签字确认。若投标人符合性审查未通过，注明未通过原因并告知其投标人，符合性审查不合格的投标人，不得进入下一评标环节。</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投标人存在下列情况之一的，投标无效：</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投标人没有经过正常渠道获取招标文件或投标人的名称与登记领取招标文件单位的名称不符；</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不具备招标文件中规定的资格要求的或提供的资格要求文件不符合招标文件要求的；</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投标文件投标有效期不符合招标文件要求的；</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投标文件递交份数不符合招标文件要求的；</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投标文件含有采购人不能接受的附加条件的;</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人串通投标的，出现以下情形之一的：①不同投标人的投标文件由同一单位或者个人编制；②不同投标人委托同一单位或者个人办理投标事宜；③不同投标人的投标文件载明的项目管理成员或者联系人员为同一人；④不同投标人的投标文件异常一致或者投标报价呈规律性差异；⑤不同投标人的投标文件相互混装；</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投标人出现多份报价，出现选择性报价的；</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投标报价与市场价偏离较大，低于成本，形成不正当竞争；</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提供虚假证明，开具虚假资质，出现虚假应答，除按无效标处理外，还进行相应的处罚；</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报价超过招标文件中规定的预算金额或者最高限价的；</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）提交的电子版文件无效或不完整的。</w:t>
      </w:r>
      <w:bookmarkStart w:id="218" w:name="_Toc4608"/>
      <w:bookmarkStart w:id="219" w:name="_Toc876"/>
    </w:p>
    <w:p>
      <w:pPr>
        <w:autoSpaceDE w:val="0"/>
        <w:autoSpaceDN w:val="0"/>
        <w:adjustRightInd w:val="0"/>
        <w:snapToGrid w:val="0"/>
        <w:spacing w:line="360" w:lineRule="auto"/>
        <w:ind w:firstLine="627"/>
        <w:outlineLvl w:val="2"/>
        <w:rPr>
          <w:rFonts w:hint="eastAsia" w:ascii="仿宋" w:hAnsi="仿宋" w:eastAsia="仿宋" w:cs="仿宋"/>
          <w:sz w:val="24"/>
          <w:szCs w:val="24"/>
          <w:highlight w:val="none"/>
          <w:lang w:val="zh-CN"/>
        </w:rPr>
      </w:pPr>
      <w:bookmarkStart w:id="220" w:name="_Toc18315"/>
      <w:r>
        <w:rPr>
          <w:rFonts w:hint="eastAsia" w:ascii="仿宋" w:hAnsi="仿宋" w:eastAsia="仿宋" w:cs="仿宋"/>
          <w:sz w:val="24"/>
          <w:szCs w:val="24"/>
          <w:highlight w:val="none"/>
          <w:lang w:val="zh-CN"/>
        </w:rPr>
        <w:t>（二）投标文件的澄清、说明或者补正</w:t>
      </w:r>
      <w:bookmarkEnd w:id="218"/>
      <w:bookmarkEnd w:id="219"/>
      <w:bookmarkEnd w:id="220"/>
    </w:p>
    <w:p>
      <w:pPr>
        <w:autoSpaceDE w:val="0"/>
        <w:autoSpaceDN w:val="0"/>
        <w:adjustRightInd w:val="0"/>
        <w:snapToGrid w:val="0"/>
        <w:spacing w:line="360" w:lineRule="auto"/>
        <w:ind w:firstLine="627"/>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对于投标文件中含义不明确、同类问题表述不一致或者有明显文字和计算错误的内容，评标委员会应当以书面形式要求供应商作出必要的澄清、说明或者补正。供应商的澄清、说明或者补正应当采用书面形式，并加盖供应商公章或者由法定代表人或其授权的代表签字。供应商的澄清、说明或者补正不得超出投标文件的范围或者改变投标文件的实质性内容。</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2、报价出现前后不一致的，按照下列规定修正：</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投标文件中开标一览表（报价表）内容与投标文件中相应内容不一致的，以开标一览表（报价表）为准；</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zh-CN"/>
        </w:rPr>
        <w:t>大写金额和小写金额不一致的，以大写金额为准；</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单价金额小数点或者百分比有明显错位的，以开标一览表的总价为准，并修改单价；</w:t>
      </w:r>
    </w:p>
    <w:p>
      <w:pPr>
        <w:tabs>
          <w:tab w:val="left" w:pos="9030"/>
        </w:tabs>
        <w:snapToGrid w:val="0"/>
        <w:spacing w:line="360" w:lineRule="auto"/>
        <w:ind w:right="-65"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总价金额与按单价汇总金额不一致的，以单价金额计算结果为准。</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lang w:val="zh-CN"/>
        </w:rPr>
        <w:t>同时出现两种以上不一致的，按照前款规定的顺序修正。修正后的报价经供应商书面确认后产生约束力，供应商不确认的，其投标无效。</w:t>
      </w:r>
    </w:p>
    <w:p>
      <w:pPr>
        <w:autoSpaceDE w:val="0"/>
        <w:autoSpaceDN w:val="0"/>
        <w:adjustRightInd w:val="0"/>
        <w:snapToGrid w:val="0"/>
        <w:spacing w:line="360" w:lineRule="auto"/>
        <w:ind w:firstLine="627"/>
        <w:outlineLvl w:val="2"/>
        <w:rPr>
          <w:rFonts w:hint="eastAsia" w:ascii="仿宋" w:hAnsi="仿宋" w:eastAsia="仿宋" w:cs="仿宋"/>
          <w:color w:val="auto"/>
          <w:sz w:val="24"/>
          <w:szCs w:val="24"/>
          <w:highlight w:val="none"/>
          <w:lang w:val="zh-CN"/>
        </w:rPr>
      </w:pPr>
      <w:bookmarkStart w:id="221" w:name="_Toc2488"/>
      <w:bookmarkStart w:id="222" w:name="_Toc1537"/>
      <w:bookmarkStart w:id="223" w:name="_Toc17700"/>
      <w:bookmarkStart w:id="224" w:name="_Toc29517"/>
      <w:bookmarkStart w:id="225" w:name="_Toc31002"/>
      <w:bookmarkStart w:id="226" w:name="_Toc30113"/>
      <w:bookmarkStart w:id="227" w:name="_Toc1611"/>
      <w:bookmarkStart w:id="228" w:name="_Toc13285"/>
      <w:bookmarkStart w:id="229" w:name="_Toc2955"/>
      <w:bookmarkStart w:id="230" w:name="_Toc5181"/>
      <w:bookmarkStart w:id="231" w:name="_Toc8286"/>
      <w:bookmarkStart w:id="232" w:name="_Toc13137"/>
      <w:bookmarkStart w:id="233" w:name="_Toc27332"/>
      <w:r>
        <w:rPr>
          <w:rFonts w:hint="eastAsia" w:ascii="仿宋" w:hAnsi="仿宋" w:eastAsia="仿宋" w:cs="仿宋"/>
          <w:color w:val="auto"/>
          <w:sz w:val="24"/>
          <w:szCs w:val="24"/>
          <w:highlight w:val="none"/>
          <w:lang w:val="zh-CN"/>
        </w:rPr>
        <w:t>（三）比较与评价</w:t>
      </w:r>
      <w:bookmarkEnd w:id="221"/>
      <w:bookmarkEnd w:id="222"/>
      <w:bookmarkEnd w:id="223"/>
      <w:bookmarkEnd w:id="224"/>
      <w:bookmarkEnd w:id="225"/>
      <w:bookmarkEnd w:id="226"/>
      <w:bookmarkEnd w:id="227"/>
      <w:bookmarkEnd w:id="228"/>
      <w:bookmarkEnd w:id="229"/>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按照招标文件规定的评标方法和标准，对资格性审查和符合性审查合格的文件进行评审，综合比较和评价。</w:t>
      </w:r>
    </w:p>
    <w:p>
      <w:pPr>
        <w:autoSpaceDE w:val="0"/>
        <w:autoSpaceDN w:val="0"/>
        <w:adjustRightInd w:val="0"/>
        <w:snapToGrid w:val="0"/>
        <w:spacing w:line="360" w:lineRule="auto"/>
        <w:ind w:firstLine="627"/>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1、评标方法:综合评分法，指投标文件满足招标文件全部实质性要求，且按照评审因素的量化指标评审得分最高的投标人为中标候选人的评标方法。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27"/>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rPr>
        <w:t>2、评标因素及权重分解表（总计100分）</w:t>
      </w:r>
    </w:p>
    <w:tbl>
      <w:tblPr>
        <w:tblStyle w:val="23"/>
        <w:tblW w:w="8772" w:type="dxa"/>
        <w:jc w:val="center"/>
        <w:tblLayout w:type="fixed"/>
        <w:tblCellMar>
          <w:top w:w="0" w:type="dxa"/>
          <w:left w:w="108" w:type="dxa"/>
          <w:bottom w:w="0" w:type="dxa"/>
          <w:right w:w="108" w:type="dxa"/>
        </w:tblCellMar>
      </w:tblPr>
      <w:tblGrid>
        <w:gridCol w:w="747"/>
        <w:gridCol w:w="810"/>
        <w:gridCol w:w="1215"/>
        <w:gridCol w:w="5085"/>
        <w:gridCol w:w="915"/>
      </w:tblGrid>
      <w:tr>
        <w:tblPrEx>
          <w:tblCellMar>
            <w:top w:w="0" w:type="dxa"/>
            <w:left w:w="108" w:type="dxa"/>
            <w:bottom w:w="0" w:type="dxa"/>
            <w:right w:w="108" w:type="dxa"/>
          </w:tblCellMar>
        </w:tblPrEx>
        <w:trPr>
          <w:trHeight w:val="828" w:hRule="atLeast"/>
          <w:jc w:val="center"/>
        </w:trPr>
        <w:tc>
          <w:tcPr>
            <w:tcW w:w="747" w:type="dxa"/>
            <w:tcBorders>
              <w:top w:val="single" w:color="auto" w:sz="8" w:space="0"/>
              <w:left w:val="single" w:color="auto" w:sz="8"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b/>
                <w:bCs/>
                <w:highlight w:val="none"/>
              </w:rPr>
            </w:pPr>
            <w:r>
              <w:rPr>
                <w:rFonts w:hint="eastAsia" w:ascii="仿宋" w:hAnsi="仿宋" w:eastAsia="仿宋" w:cs="仿宋"/>
                <w:b/>
                <w:bCs/>
                <w:highlight w:val="none"/>
              </w:rPr>
              <w:t>序号</w:t>
            </w:r>
          </w:p>
        </w:tc>
        <w:tc>
          <w:tcPr>
            <w:tcW w:w="2025" w:type="dxa"/>
            <w:gridSpan w:val="2"/>
            <w:tcBorders>
              <w:top w:val="single" w:color="auto" w:sz="8" w:space="0"/>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b/>
                <w:bCs/>
                <w:highlight w:val="none"/>
              </w:rPr>
            </w:pPr>
            <w:r>
              <w:rPr>
                <w:rFonts w:hint="eastAsia" w:ascii="仿宋" w:hAnsi="仿宋" w:eastAsia="仿宋" w:cs="仿宋"/>
                <w:b/>
                <w:bCs/>
                <w:highlight w:val="none"/>
              </w:rPr>
              <w:t>评分项目</w:t>
            </w:r>
          </w:p>
        </w:tc>
        <w:tc>
          <w:tcPr>
            <w:tcW w:w="5085" w:type="dxa"/>
            <w:tcBorders>
              <w:top w:val="single" w:color="auto" w:sz="8" w:space="0"/>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b/>
                <w:bCs/>
                <w:highlight w:val="none"/>
              </w:rPr>
            </w:pPr>
            <w:r>
              <w:rPr>
                <w:rFonts w:hint="eastAsia" w:ascii="仿宋" w:hAnsi="仿宋" w:eastAsia="仿宋" w:cs="仿宋"/>
                <w:b/>
                <w:bCs/>
                <w:highlight w:val="none"/>
              </w:rPr>
              <w:t>评分标准</w:t>
            </w:r>
          </w:p>
        </w:tc>
        <w:tc>
          <w:tcPr>
            <w:tcW w:w="915" w:type="dxa"/>
            <w:tcBorders>
              <w:top w:val="single" w:color="auto" w:sz="8" w:space="0"/>
              <w:left w:val="nil"/>
              <w:bottom w:val="single" w:color="auto" w:sz="4" w:space="0"/>
              <w:right w:val="single" w:color="auto" w:sz="8" w:space="0"/>
            </w:tcBorders>
            <w:shd w:val="clear" w:color="auto" w:fill="auto"/>
            <w:vAlign w:val="center"/>
          </w:tcPr>
          <w:p>
            <w:pPr>
              <w:pStyle w:val="59"/>
              <w:jc w:val="center"/>
              <w:rPr>
                <w:rFonts w:hint="default" w:ascii="仿宋" w:hAnsi="仿宋" w:eastAsia="仿宋" w:cs="仿宋"/>
                <w:b/>
                <w:bCs/>
                <w:kern w:val="0"/>
                <w:sz w:val="24"/>
                <w:szCs w:val="22"/>
                <w:highlight w:val="none"/>
                <w:lang w:val="en-US" w:eastAsia="zh-CN" w:bidi="ar-SA"/>
              </w:rPr>
            </w:pPr>
            <w:r>
              <w:rPr>
                <w:rFonts w:hint="eastAsia" w:ascii="仿宋" w:hAnsi="仿宋" w:eastAsia="仿宋" w:cs="仿宋"/>
                <w:b/>
                <w:bCs/>
                <w:kern w:val="0"/>
                <w:sz w:val="24"/>
                <w:szCs w:val="22"/>
                <w:highlight w:val="none"/>
                <w:lang w:val="en-US" w:eastAsia="zh-CN" w:bidi="ar-SA"/>
              </w:rPr>
              <w:t>得分</w:t>
            </w:r>
          </w:p>
        </w:tc>
      </w:tr>
      <w:tr>
        <w:tblPrEx>
          <w:tblCellMar>
            <w:top w:w="0" w:type="dxa"/>
            <w:left w:w="108" w:type="dxa"/>
            <w:bottom w:w="0" w:type="dxa"/>
            <w:right w:w="108" w:type="dxa"/>
          </w:tblCellMar>
        </w:tblPrEx>
        <w:trPr>
          <w:trHeight w:val="2123" w:hRule="atLeast"/>
          <w:jc w:val="center"/>
        </w:trPr>
        <w:tc>
          <w:tcPr>
            <w:tcW w:w="747" w:type="dxa"/>
            <w:tcBorders>
              <w:top w:val="nil"/>
              <w:left w:val="single" w:color="auto" w:sz="8"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rPr>
              <w:t>1</w:t>
            </w:r>
          </w:p>
        </w:tc>
        <w:tc>
          <w:tcPr>
            <w:tcW w:w="2025" w:type="dxa"/>
            <w:gridSpan w:val="2"/>
            <w:tcBorders>
              <w:top w:val="nil"/>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lang w:val="en-US" w:eastAsia="zh-CN"/>
              </w:rPr>
              <w:t>投标报价</w:t>
            </w:r>
          </w:p>
        </w:tc>
        <w:tc>
          <w:tcPr>
            <w:tcW w:w="5085" w:type="dxa"/>
            <w:tcBorders>
              <w:top w:val="nil"/>
              <w:left w:val="nil"/>
              <w:bottom w:val="single" w:color="auto" w:sz="4" w:space="0"/>
              <w:right w:val="single" w:color="auto" w:sz="4" w:space="0"/>
            </w:tcBorders>
            <w:shd w:val="clear" w:color="auto" w:fill="auto"/>
            <w:vAlign w:val="center"/>
          </w:tcPr>
          <w:p>
            <w:pPr>
              <w:snapToGrid w:val="0"/>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满足招标文件要求且投标报价最低的投标价为评标基准价，其价格分为满分。投标报价得分=（评标基准价／投标报价）×价格权值×100。</w:t>
            </w:r>
          </w:p>
          <w:p>
            <w:pPr>
              <w:snapToGrid w:val="0"/>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符合招标文件规定的小微企业、监狱企业、残疾人福利性单位优惠条件的供应商，价格给予10%的扣除，用扣除后的价格参与评审。</w:t>
            </w:r>
          </w:p>
        </w:tc>
        <w:tc>
          <w:tcPr>
            <w:tcW w:w="915" w:type="dxa"/>
            <w:tcBorders>
              <w:top w:val="nil"/>
              <w:left w:val="nil"/>
              <w:bottom w:val="single" w:color="auto" w:sz="4" w:space="0"/>
              <w:right w:val="single" w:color="auto" w:sz="8" w:space="0"/>
            </w:tcBorders>
            <w:shd w:val="clear" w:color="auto" w:fill="auto"/>
            <w:vAlign w:val="center"/>
          </w:tcPr>
          <w:p>
            <w:pPr>
              <w:pStyle w:val="59"/>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highlight w:val="none"/>
                <w:lang w:val="en-US" w:eastAsia="zh-CN"/>
              </w:rPr>
              <w:t>10</w:t>
            </w:r>
            <w:r>
              <w:rPr>
                <w:rFonts w:hint="eastAsia" w:ascii="仿宋" w:hAnsi="仿宋" w:eastAsia="仿宋" w:cs="仿宋"/>
                <w:highlight w:val="none"/>
              </w:rPr>
              <w:t>分</w:t>
            </w:r>
          </w:p>
        </w:tc>
      </w:tr>
      <w:tr>
        <w:tblPrEx>
          <w:tblCellMar>
            <w:top w:w="0" w:type="dxa"/>
            <w:left w:w="108" w:type="dxa"/>
            <w:bottom w:w="0" w:type="dxa"/>
            <w:right w:w="108" w:type="dxa"/>
          </w:tblCellMar>
        </w:tblPrEx>
        <w:trPr>
          <w:trHeight w:val="2779" w:hRule="atLeast"/>
          <w:jc w:val="center"/>
        </w:trPr>
        <w:tc>
          <w:tcPr>
            <w:tcW w:w="747" w:type="dxa"/>
            <w:vMerge w:val="restart"/>
            <w:tcBorders>
              <w:top w:val="single" w:color="auto" w:sz="4" w:space="0"/>
              <w:left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2</w:t>
            </w:r>
          </w:p>
        </w:tc>
        <w:tc>
          <w:tcPr>
            <w:tcW w:w="810" w:type="dxa"/>
            <w:vMerge w:val="restart"/>
            <w:tcBorders>
              <w:top w:val="single" w:color="auto" w:sz="4" w:space="0"/>
              <w:left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lang w:val="zh-CN"/>
              </w:rPr>
              <w:t>技术部分</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rPr>
              <w:t>整体技术方案</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对本项目的理解、总体设计、建设方案等，详细阐述系统的体系架构、功能模块、实现思路、关键技术，提供完整的方案，包含设计方案、产品配置、功能设置、软件配置方案、安装调试方案、系统保障、售后服务等内容，内容全面详尽。</w:t>
            </w:r>
          </w:p>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1.根据方案内容完整度按响应程度赋0～5分，</w:t>
            </w:r>
          </w:p>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2.根据详细程度按响应程度赋0～5分，</w:t>
            </w:r>
          </w:p>
          <w:p>
            <w:pPr>
              <w:snapToGrid w:val="0"/>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3.根据方案合理性按响应程度赋0～5分。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15分</w:t>
            </w:r>
          </w:p>
        </w:tc>
      </w:tr>
      <w:tr>
        <w:tblPrEx>
          <w:tblCellMar>
            <w:top w:w="0" w:type="dxa"/>
            <w:left w:w="108" w:type="dxa"/>
            <w:bottom w:w="0" w:type="dxa"/>
            <w:right w:w="108" w:type="dxa"/>
          </w:tblCellMar>
        </w:tblPrEx>
        <w:trPr>
          <w:trHeight w:val="2779" w:hRule="atLeast"/>
          <w:jc w:val="center"/>
        </w:trPr>
        <w:tc>
          <w:tcPr>
            <w:tcW w:w="747" w:type="dxa"/>
            <w:vMerge w:val="continue"/>
            <w:tcBorders>
              <w:left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lang w:eastAsia="zh-CN"/>
              </w:rPr>
            </w:pPr>
          </w:p>
        </w:tc>
        <w:tc>
          <w:tcPr>
            <w:tcW w:w="810" w:type="dxa"/>
            <w:vMerge w:val="continue"/>
            <w:tcBorders>
              <w:left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rPr>
              <w:t>技术要求响应指标</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根据投标人的投标文件技术条款对技术要求的响应情况进行评审，技术条款完全满足采购要求的得30 分，若不满足带“▲”重要技术条款要求的，每项扣2分，不满足其他一般技术条款要求的，每项扣1 分，扣完为止。</w:t>
            </w:r>
          </w:p>
          <w:p>
            <w:pPr>
              <w:snapToGrid w:val="0"/>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备注：技术参数</w:t>
            </w:r>
            <w:r>
              <w:rPr>
                <w:rFonts w:hint="eastAsia" w:ascii="仿宋" w:hAnsi="仿宋" w:eastAsia="仿宋" w:cs="仿宋"/>
                <w:color w:val="000000"/>
                <w:kern w:val="0"/>
                <w:sz w:val="24"/>
                <w:szCs w:val="24"/>
                <w:highlight w:val="none"/>
                <w:lang w:val="en-US" w:eastAsia="zh-CN"/>
              </w:rPr>
              <w:t>中要求</w:t>
            </w:r>
            <w:r>
              <w:rPr>
                <w:rFonts w:hint="eastAsia" w:ascii="仿宋" w:hAnsi="仿宋" w:eastAsia="仿宋" w:cs="仿宋"/>
                <w:color w:val="000000"/>
                <w:kern w:val="0"/>
                <w:sz w:val="24"/>
                <w:szCs w:val="24"/>
                <w:highlight w:val="none"/>
              </w:rPr>
              <w:t>提供证明材料</w:t>
            </w:r>
            <w:r>
              <w:rPr>
                <w:rFonts w:hint="eastAsia" w:ascii="仿宋" w:hAnsi="仿宋" w:eastAsia="仿宋" w:cs="仿宋"/>
                <w:color w:val="000000"/>
                <w:kern w:val="0"/>
                <w:sz w:val="24"/>
                <w:szCs w:val="24"/>
                <w:highlight w:val="none"/>
                <w:lang w:eastAsia="zh-CN"/>
              </w:rPr>
              <w:t>的参数</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证明材料包括但不限于软件或官网功能截图等</w:t>
            </w:r>
            <w:r>
              <w:rPr>
                <w:rFonts w:hint="eastAsia" w:ascii="仿宋" w:hAnsi="仿宋" w:eastAsia="仿宋" w:cs="仿宋"/>
                <w:color w:val="000000"/>
                <w:kern w:val="0"/>
                <w:sz w:val="24"/>
                <w:szCs w:val="24"/>
                <w:highlight w:val="none"/>
              </w:rPr>
              <w:t>）。</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highlight w:val="none"/>
              </w:rPr>
              <w:t>30分</w:t>
            </w:r>
          </w:p>
        </w:tc>
      </w:tr>
      <w:tr>
        <w:tblPrEx>
          <w:tblCellMar>
            <w:top w:w="0" w:type="dxa"/>
            <w:left w:w="108" w:type="dxa"/>
            <w:bottom w:w="0" w:type="dxa"/>
            <w:right w:w="108" w:type="dxa"/>
          </w:tblCellMar>
        </w:tblPrEx>
        <w:trPr>
          <w:trHeight w:val="2911" w:hRule="atLeast"/>
          <w:jc w:val="center"/>
        </w:trPr>
        <w:tc>
          <w:tcPr>
            <w:tcW w:w="747" w:type="dxa"/>
            <w:vMerge w:val="continue"/>
            <w:tcBorders>
              <w:left w:val="single" w:color="auto" w:sz="4" w:space="0"/>
              <w:right w:val="single" w:color="auto" w:sz="4" w:space="0"/>
            </w:tcBorders>
            <w:vAlign w:val="center"/>
          </w:tcPr>
          <w:p>
            <w:pPr>
              <w:pStyle w:val="59"/>
              <w:jc w:val="center"/>
              <w:rPr>
                <w:rFonts w:hint="eastAsia" w:ascii="仿宋" w:hAnsi="仿宋" w:eastAsia="仿宋" w:cs="仿宋"/>
                <w:highlight w:val="none"/>
              </w:rPr>
            </w:pPr>
          </w:p>
        </w:tc>
        <w:tc>
          <w:tcPr>
            <w:tcW w:w="810" w:type="dxa"/>
            <w:vMerge w:val="continue"/>
            <w:tcBorders>
              <w:left w:val="single" w:color="auto" w:sz="4" w:space="0"/>
              <w:right w:val="single" w:color="auto" w:sz="4" w:space="0"/>
            </w:tcBorders>
            <w:vAlign w:val="center"/>
          </w:tcPr>
          <w:p>
            <w:pPr>
              <w:pStyle w:val="59"/>
              <w:rPr>
                <w:rFonts w:hint="eastAsia" w:ascii="仿宋" w:hAnsi="仿宋" w:eastAsia="仿宋" w:cs="仿宋"/>
                <w:highlight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rPr>
              <w:t>项目实施方案</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投标人所提供的项目实施方案进行评审，包括方案的合理性、实施总体规划、实施步骤、项目实施进度计划、实施方法、项目管理制度、质量保证体制、风险预见与控制能力等，工作方法是否科学、合理、高效，管理流程是否规范等。</w:t>
            </w:r>
          </w:p>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项目实施方案内容具体、完整、详细、全面的经横向比较计(7-10]分；</w:t>
            </w:r>
          </w:p>
          <w:p>
            <w:pPr>
              <w:snapToGrid w:val="0"/>
              <w:spacing w:line="360" w:lineRule="auto"/>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项目实施方案内容欠缺、薄弱的经横向比较计(3-7]分；</w:t>
            </w:r>
          </w:p>
          <w:p>
            <w:pPr>
              <w:snapToGrid w:val="0"/>
              <w:spacing w:line="360" w:lineRule="auto"/>
              <w:ind w:firstLine="480" w:firstLineChars="200"/>
              <w:rPr>
                <w:rFonts w:hint="eastAsia"/>
                <w:highlight w:val="none"/>
              </w:rPr>
            </w:pPr>
            <w:r>
              <w:rPr>
                <w:rFonts w:hint="eastAsia" w:ascii="仿宋" w:hAnsi="仿宋" w:eastAsia="仿宋" w:cs="仿宋"/>
                <w:color w:val="000000"/>
                <w:kern w:val="0"/>
                <w:sz w:val="24"/>
                <w:szCs w:val="24"/>
                <w:highlight w:val="none"/>
                <w:lang w:val="en-US" w:eastAsia="zh-CN"/>
              </w:rPr>
              <w:t>方案欠缺、不利于实施计（0-3]分。</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59"/>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highlight w:val="none"/>
                <w:lang w:val="en-US" w:eastAsia="zh-CN"/>
              </w:rPr>
              <w:t>10</w:t>
            </w:r>
            <w:r>
              <w:rPr>
                <w:rFonts w:hint="eastAsia" w:ascii="仿宋" w:hAnsi="仿宋" w:eastAsia="仿宋" w:cs="仿宋"/>
                <w:highlight w:val="none"/>
              </w:rPr>
              <w:t>分</w:t>
            </w:r>
          </w:p>
        </w:tc>
      </w:tr>
      <w:tr>
        <w:tblPrEx>
          <w:tblCellMar>
            <w:top w:w="0" w:type="dxa"/>
            <w:left w:w="108" w:type="dxa"/>
            <w:bottom w:w="0" w:type="dxa"/>
            <w:right w:w="108" w:type="dxa"/>
          </w:tblCellMar>
        </w:tblPrEx>
        <w:trPr>
          <w:trHeight w:val="533" w:hRule="atLeast"/>
          <w:jc w:val="center"/>
        </w:trPr>
        <w:tc>
          <w:tcPr>
            <w:tcW w:w="747" w:type="dxa"/>
            <w:vMerge w:val="continue"/>
            <w:tcBorders>
              <w:left w:val="single" w:color="auto" w:sz="4" w:space="0"/>
              <w:bottom w:val="single" w:color="auto" w:sz="4" w:space="0"/>
              <w:right w:val="single" w:color="auto" w:sz="4" w:space="0"/>
            </w:tcBorders>
            <w:vAlign w:val="center"/>
          </w:tcPr>
          <w:p>
            <w:pPr>
              <w:pStyle w:val="59"/>
              <w:jc w:val="center"/>
              <w:rPr>
                <w:rFonts w:hint="eastAsia" w:ascii="仿宋" w:hAnsi="仿宋" w:eastAsia="仿宋" w:cs="仿宋"/>
                <w:highlight w:val="none"/>
              </w:rPr>
            </w:pPr>
          </w:p>
        </w:tc>
        <w:tc>
          <w:tcPr>
            <w:tcW w:w="810" w:type="dxa"/>
            <w:vMerge w:val="continue"/>
            <w:tcBorders>
              <w:left w:val="single" w:color="auto" w:sz="4" w:space="0"/>
              <w:bottom w:val="single" w:color="auto" w:sz="4" w:space="0"/>
              <w:right w:val="single" w:color="auto" w:sz="4" w:space="0"/>
            </w:tcBorders>
            <w:vAlign w:val="center"/>
          </w:tcPr>
          <w:p>
            <w:pPr>
              <w:pStyle w:val="59"/>
              <w:rPr>
                <w:rFonts w:hint="eastAsia" w:ascii="仿宋" w:hAnsi="仿宋" w:eastAsia="仿宋" w:cs="仿宋"/>
                <w:highlight w:val="none"/>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rPr>
            </w:pPr>
            <w:r>
              <w:rPr>
                <w:rFonts w:hint="eastAsia" w:ascii="仿宋" w:hAnsi="仿宋" w:eastAsia="仿宋" w:cs="仿宋"/>
                <w:highlight w:val="none"/>
              </w:rPr>
              <w:t>拟投入本项目的人员</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项目经理需具备系统集成项目管理工程师证书</w:t>
            </w:r>
            <w:r>
              <w:rPr>
                <w:rFonts w:hint="eastAsia" w:ascii="仿宋" w:hAnsi="仿宋" w:eastAsia="仿宋" w:cs="仿宋"/>
                <w:sz w:val="24"/>
                <w:szCs w:val="24"/>
                <w:highlight w:val="none"/>
                <w:lang w:eastAsia="zh-CN"/>
              </w:rPr>
              <w:t>得</w:t>
            </w:r>
            <w:r>
              <w:rPr>
                <w:rFonts w:hint="eastAsia" w:ascii="仿宋" w:hAnsi="仿宋" w:eastAsia="仿宋" w:cs="仿宋"/>
                <w:sz w:val="24"/>
                <w:szCs w:val="24"/>
                <w:highlight w:val="none"/>
                <w:lang w:val="en-US" w:eastAsia="zh-CN"/>
              </w:rPr>
              <w:t>2分</w:t>
            </w:r>
            <w:r>
              <w:rPr>
                <w:rFonts w:hint="eastAsia" w:ascii="仿宋" w:hAnsi="仿宋" w:eastAsia="仿宋" w:cs="仿宋"/>
                <w:sz w:val="24"/>
                <w:szCs w:val="24"/>
                <w:highlight w:val="none"/>
              </w:rPr>
              <w:t>；</w:t>
            </w:r>
          </w:p>
          <w:p>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项目团队（不含项目经理）有完善的项目及服务的实施组织机构、人员安排有具体方案（包括工程师、项目经理等人员），人员组织结构分工合理、责任明确，能够在承诺的时间内按质按量完工</w:t>
            </w:r>
            <w:r>
              <w:rPr>
                <w:rFonts w:hint="eastAsia" w:ascii="仿宋" w:hAnsi="仿宋" w:eastAsia="仿宋" w:cs="仿宋"/>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w:t>
            </w:r>
            <w:r>
              <w:rPr>
                <w:rFonts w:hint="eastAsia" w:ascii="仿宋" w:hAnsi="仿宋" w:eastAsia="仿宋" w:cs="仿宋"/>
                <w:sz w:val="24"/>
                <w:szCs w:val="24"/>
                <w:highlight w:val="none"/>
                <w:lang w:eastAsia="zh-CN"/>
              </w:rPr>
              <w:t>人员</w:t>
            </w:r>
            <w:r>
              <w:rPr>
                <w:rFonts w:hint="eastAsia" w:ascii="仿宋" w:hAnsi="仿宋" w:eastAsia="仿宋" w:cs="仿宋"/>
                <w:sz w:val="24"/>
                <w:szCs w:val="24"/>
                <w:highlight w:val="none"/>
              </w:rPr>
              <w:t>分工合理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责任明确详细、全面的经横向比较计(</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项目团队</w:t>
            </w:r>
            <w:r>
              <w:rPr>
                <w:rFonts w:hint="eastAsia" w:ascii="仿宋" w:hAnsi="仿宋" w:eastAsia="仿宋" w:cs="仿宋"/>
                <w:sz w:val="24"/>
                <w:szCs w:val="24"/>
                <w:highlight w:val="none"/>
                <w:lang w:eastAsia="zh-CN"/>
              </w:rPr>
              <w:t>人员</w:t>
            </w:r>
            <w:r>
              <w:rPr>
                <w:rFonts w:hint="eastAsia" w:ascii="仿宋" w:hAnsi="仿宋" w:eastAsia="仿宋" w:cs="仿宋"/>
                <w:sz w:val="24"/>
                <w:szCs w:val="24"/>
                <w:highlight w:val="none"/>
              </w:rPr>
              <w:t>分工</w:t>
            </w:r>
            <w:r>
              <w:rPr>
                <w:rFonts w:hint="eastAsia" w:ascii="仿宋" w:hAnsi="仿宋" w:eastAsia="仿宋" w:cs="仿宋"/>
                <w:sz w:val="24"/>
                <w:szCs w:val="24"/>
                <w:highlight w:val="none"/>
                <w:lang w:eastAsia="zh-CN"/>
              </w:rPr>
              <w:t>较</w:t>
            </w:r>
            <w:r>
              <w:rPr>
                <w:rFonts w:hint="eastAsia" w:ascii="仿宋" w:hAnsi="仿宋" w:eastAsia="仿宋" w:cs="仿宋"/>
                <w:sz w:val="24"/>
                <w:szCs w:val="24"/>
                <w:highlight w:val="none"/>
              </w:rPr>
              <w:t>合理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责任明确</w:t>
            </w:r>
            <w:r>
              <w:rPr>
                <w:rFonts w:hint="eastAsia" w:ascii="仿宋" w:hAnsi="仿宋" w:eastAsia="仿宋" w:cs="仿宋"/>
                <w:sz w:val="24"/>
                <w:szCs w:val="24"/>
                <w:highlight w:val="none"/>
                <w:lang w:eastAsia="zh-CN"/>
              </w:rPr>
              <w:t>一般</w:t>
            </w:r>
            <w:r>
              <w:rPr>
                <w:rFonts w:hint="eastAsia" w:ascii="仿宋" w:hAnsi="仿宋" w:eastAsia="仿宋" w:cs="仿宋"/>
                <w:sz w:val="24"/>
                <w:szCs w:val="24"/>
                <w:highlight w:val="none"/>
              </w:rPr>
              <w:t>的经横向比较计(</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p>
            <w:pPr>
              <w:adjustRightInd w:val="0"/>
              <w:snapToGrid w:val="0"/>
              <w:spacing w:line="360" w:lineRule="auto"/>
              <w:ind w:firstLine="480" w:firstLineChars="200"/>
              <w:rPr>
                <w:rFonts w:hint="eastAsia"/>
                <w:highlight w:val="none"/>
              </w:rPr>
            </w:pPr>
            <w:r>
              <w:rPr>
                <w:rFonts w:hint="eastAsia" w:ascii="仿宋" w:hAnsi="仿宋" w:eastAsia="仿宋" w:cs="仿宋"/>
                <w:sz w:val="24"/>
                <w:szCs w:val="24"/>
                <w:highlight w:val="none"/>
              </w:rPr>
              <w:t>项目团队</w:t>
            </w:r>
            <w:r>
              <w:rPr>
                <w:rFonts w:hint="eastAsia" w:ascii="仿宋" w:hAnsi="仿宋" w:eastAsia="仿宋" w:cs="仿宋"/>
                <w:sz w:val="24"/>
                <w:szCs w:val="24"/>
                <w:highlight w:val="none"/>
                <w:lang w:eastAsia="zh-CN"/>
              </w:rPr>
              <w:t>人员</w:t>
            </w:r>
            <w:r>
              <w:rPr>
                <w:rFonts w:hint="eastAsia" w:ascii="仿宋" w:hAnsi="仿宋" w:eastAsia="仿宋" w:cs="仿宋"/>
                <w:sz w:val="24"/>
                <w:szCs w:val="24"/>
                <w:highlight w:val="none"/>
              </w:rPr>
              <w:t>分工</w:t>
            </w:r>
            <w:r>
              <w:rPr>
                <w:rFonts w:hint="eastAsia" w:ascii="仿宋" w:hAnsi="仿宋" w:eastAsia="仿宋" w:cs="仿宋"/>
                <w:sz w:val="24"/>
                <w:szCs w:val="24"/>
                <w:highlight w:val="none"/>
                <w:lang w:eastAsia="zh-CN"/>
              </w:rPr>
              <w:t>欠缺、</w:t>
            </w:r>
            <w:r>
              <w:rPr>
                <w:rFonts w:hint="eastAsia" w:ascii="仿宋" w:hAnsi="仿宋" w:eastAsia="仿宋" w:cs="仿宋"/>
                <w:sz w:val="24"/>
                <w:szCs w:val="24"/>
                <w:highlight w:val="none"/>
              </w:rPr>
              <w:t>责任明确</w:t>
            </w:r>
            <w:r>
              <w:rPr>
                <w:rFonts w:hint="eastAsia" w:ascii="仿宋" w:hAnsi="仿宋" w:eastAsia="仿宋" w:cs="仿宋"/>
                <w:sz w:val="24"/>
                <w:szCs w:val="24"/>
                <w:highlight w:val="none"/>
                <w:lang w:eastAsia="zh-CN"/>
              </w:rPr>
              <w:t>欠缺</w:t>
            </w:r>
            <w:r>
              <w:rPr>
                <w:rFonts w:hint="eastAsia" w:ascii="仿宋" w:hAnsi="仿宋" w:eastAsia="仿宋" w:cs="仿宋"/>
                <w:sz w:val="24"/>
                <w:szCs w:val="24"/>
                <w:highlight w:val="none"/>
              </w:rPr>
              <w:t>的经横向比较计(</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59"/>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highlight w:val="none"/>
                <w:lang w:val="en-US" w:eastAsia="zh-CN"/>
              </w:rPr>
              <w:t>10</w:t>
            </w:r>
            <w:r>
              <w:rPr>
                <w:rFonts w:hint="eastAsia" w:ascii="仿宋" w:hAnsi="仿宋" w:eastAsia="仿宋" w:cs="仿宋"/>
                <w:highlight w:val="none"/>
              </w:rPr>
              <w:t>分</w:t>
            </w:r>
          </w:p>
        </w:tc>
      </w:tr>
      <w:tr>
        <w:tblPrEx>
          <w:tblCellMar>
            <w:top w:w="0" w:type="dxa"/>
            <w:left w:w="108" w:type="dxa"/>
            <w:bottom w:w="0" w:type="dxa"/>
            <w:right w:w="108" w:type="dxa"/>
          </w:tblCellMar>
        </w:tblPrEx>
        <w:trPr>
          <w:trHeight w:val="1478"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59"/>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3</w:t>
            </w:r>
          </w:p>
        </w:tc>
        <w:tc>
          <w:tcPr>
            <w:tcW w:w="202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59"/>
              <w:jc w:val="center"/>
              <w:rPr>
                <w:rFonts w:hint="eastAsia" w:ascii="仿宋" w:hAnsi="仿宋" w:eastAsia="仿宋" w:cs="仿宋"/>
                <w:highlight w:val="none"/>
                <w:lang w:eastAsia="zh-CN"/>
              </w:rPr>
            </w:pPr>
            <w:r>
              <w:rPr>
                <w:rFonts w:hint="eastAsia" w:ascii="仿宋" w:hAnsi="仿宋" w:eastAsia="仿宋" w:cs="仿宋"/>
                <w:sz w:val="24"/>
                <w:szCs w:val="24"/>
                <w:highlight w:val="none"/>
                <w:lang w:val="zh-CN"/>
              </w:rPr>
              <w:t>售后服务及培训方案</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售后服务：</w:t>
            </w:r>
          </w:p>
          <w:p>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供应商针对本项目提供售后服务方案，包括但不限于售后服务网点的设定、实施组织机构、拟投入售后服务人员配置情况、日常维护、项目交付用户后出现故障响应时间及措施、备品备件计划，质量保证范围。</w:t>
            </w:r>
          </w:p>
          <w:p>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售后服务方案内容具体、完整、详细、全面的经横向比较计(7-10]分；</w:t>
            </w:r>
          </w:p>
          <w:p>
            <w:pPr>
              <w:adjustRightInd w:val="0"/>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售后服务方案内容欠缺、薄弱的经横向比较计(3-7]分；</w:t>
            </w:r>
          </w:p>
          <w:p>
            <w:pPr>
              <w:spacing w:line="360" w:lineRule="auto"/>
              <w:ind w:firstLine="480"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sz w:val="24"/>
                <w:szCs w:val="24"/>
                <w:highlight w:val="none"/>
                <w:lang w:val="zh-CN"/>
              </w:rPr>
              <w:t>方案欠缺、不利于实施计</w:t>
            </w:r>
            <w:r>
              <w:rPr>
                <w:rFonts w:hint="eastAsia" w:ascii="仿宋" w:hAnsi="仿宋" w:eastAsia="仿宋" w:cs="仿宋"/>
                <w:bCs/>
                <w:sz w:val="24"/>
                <w:szCs w:val="24"/>
                <w:highlight w:val="none"/>
              </w:rPr>
              <w:t>（0</w:t>
            </w:r>
            <w:r>
              <w:rPr>
                <w:rFonts w:hint="eastAsia" w:ascii="仿宋" w:hAnsi="仿宋" w:eastAsia="仿宋" w:cs="仿宋"/>
                <w:bCs/>
                <w:sz w:val="24"/>
                <w:szCs w:val="24"/>
                <w:highlight w:val="none"/>
                <w:lang w:val="zh-CN"/>
              </w:rPr>
              <w:t>-</w:t>
            </w:r>
            <w:r>
              <w:rPr>
                <w:rFonts w:hint="eastAsia" w:ascii="仿宋" w:hAnsi="仿宋" w:eastAsia="仿宋" w:cs="仿宋"/>
                <w:bCs/>
                <w:sz w:val="24"/>
                <w:szCs w:val="24"/>
                <w:highlight w:val="none"/>
              </w:rPr>
              <w:t>3]</w:t>
            </w:r>
            <w:r>
              <w:rPr>
                <w:rFonts w:hint="eastAsia" w:ascii="仿宋" w:hAnsi="仿宋" w:eastAsia="仿宋" w:cs="仿宋"/>
                <w:bCs/>
                <w:sz w:val="24"/>
                <w:szCs w:val="24"/>
                <w:highlight w:val="none"/>
                <w:lang w:val="zh-CN"/>
              </w:rPr>
              <w:t>分</w:t>
            </w:r>
            <w:r>
              <w:rPr>
                <w:rFonts w:hint="eastAsia" w:ascii="仿宋" w:hAnsi="仿宋" w:eastAsia="仿宋" w:cs="仿宋"/>
                <w:sz w:val="24"/>
                <w:szCs w:val="24"/>
                <w:highlight w:val="none"/>
                <w:lang w:val="zh-CN"/>
              </w:rPr>
              <w:t>。</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59"/>
              <w:jc w:val="center"/>
              <w:rPr>
                <w:rFonts w:hint="eastAsia" w:ascii="仿宋" w:hAnsi="仿宋" w:eastAsia="仿宋" w:cs="仿宋"/>
                <w:kern w:val="0"/>
                <w:sz w:val="24"/>
                <w:szCs w:val="22"/>
                <w:highlight w:val="none"/>
                <w:lang w:val="en-US" w:eastAsia="zh-CN" w:bidi="ar-SA"/>
              </w:rPr>
            </w:pPr>
            <w:r>
              <w:rPr>
                <w:rFonts w:hint="eastAsia" w:ascii="仿宋" w:hAnsi="仿宋" w:eastAsia="仿宋" w:cs="仿宋"/>
                <w:highlight w:val="none"/>
                <w:lang w:val="en-US" w:eastAsia="zh-CN"/>
              </w:rPr>
              <w:t>10</w:t>
            </w:r>
            <w:r>
              <w:rPr>
                <w:rFonts w:hint="eastAsia" w:ascii="仿宋" w:hAnsi="仿宋" w:eastAsia="仿宋" w:cs="仿宋"/>
                <w:highlight w:val="none"/>
              </w:rPr>
              <w:t>分</w:t>
            </w:r>
          </w:p>
        </w:tc>
      </w:tr>
      <w:tr>
        <w:tblPrEx>
          <w:tblCellMar>
            <w:top w:w="0" w:type="dxa"/>
            <w:left w:w="108" w:type="dxa"/>
            <w:bottom w:w="0" w:type="dxa"/>
            <w:right w:w="108" w:type="dxa"/>
          </w:tblCellMar>
        </w:tblPrEx>
        <w:trPr>
          <w:trHeight w:val="1478"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pStyle w:val="59"/>
              <w:jc w:val="center"/>
              <w:rPr>
                <w:rFonts w:hint="eastAsia" w:ascii="仿宋" w:hAnsi="仿宋" w:eastAsia="仿宋" w:cs="仿宋"/>
                <w:highlight w:val="none"/>
                <w:lang w:val="en-US" w:eastAsia="zh-CN"/>
              </w:rPr>
            </w:pPr>
          </w:p>
        </w:tc>
        <w:tc>
          <w:tcPr>
            <w:tcW w:w="202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9"/>
              <w:jc w:val="center"/>
              <w:rPr>
                <w:rFonts w:hint="eastAsia" w:ascii="仿宋" w:hAnsi="仿宋" w:eastAsia="仿宋" w:cs="仿宋"/>
                <w:sz w:val="24"/>
                <w:szCs w:val="24"/>
                <w:highlight w:val="none"/>
                <w:lang w:val="zh-CN"/>
              </w:rPr>
            </w:pP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bCs/>
                <w:color w:val="000000"/>
                <w:kern w:val="0"/>
                <w:sz w:val="24"/>
                <w:szCs w:val="24"/>
                <w:highlight w:val="none"/>
              </w:rPr>
              <w:t>培训方案</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b w:val="0"/>
                <w:bCs w:val="0"/>
                <w:color w:val="000000"/>
                <w:kern w:val="0"/>
                <w:sz w:val="24"/>
                <w:szCs w:val="24"/>
                <w:highlight w:val="none"/>
                <w:lang w:eastAsia="zh-CN"/>
              </w:rPr>
              <w:t>培训方式、时间、地点、人员、培训内容。培训方案内容具体、完整、详细、全面、可行的经横向比较计0-5分；</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59"/>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5分</w:t>
            </w:r>
          </w:p>
        </w:tc>
      </w:tr>
      <w:tr>
        <w:tblPrEx>
          <w:tblCellMar>
            <w:top w:w="0" w:type="dxa"/>
            <w:left w:w="108" w:type="dxa"/>
            <w:bottom w:w="0" w:type="dxa"/>
            <w:right w:w="108" w:type="dxa"/>
          </w:tblCellMar>
        </w:tblPrEx>
        <w:trPr>
          <w:trHeight w:val="126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c>
          <w:tcPr>
            <w:tcW w:w="2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业绩</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类似业绩指近三年（2020年</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月至今，以合同签订时间为准）的类似项目业绩，提供合同复印件（加盖供应商公章）原件备查，每提供一个类似业绩得2分，满分10分。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color w:val="000000" w:themeColor="text1"/>
                <w:kern w:val="0"/>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10</w:t>
            </w:r>
            <w:r>
              <w:rPr>
                <w:rFonts w:hint="eastAsia" w:ascii="仿宋" w:hAnsi="仿宋" w:eastAsia="仿宋" w:cs="仿宋"/>
                <w:color w:val="000000" w:themeColor="text1"/>
                <w:highlight w:val="none"/>
                <w14:textFill>
                  <w14:solidFill>
                    <w14:schemeClr w14:val="tx1"/>
                  </w14:solidFill>
                </w14:textFill>
              </w:rPr>
              <w:t>分</w:t>
            </w:r>
          </w:p>
        </w:tc>
      </w:tr>
    </w:tbl>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3、其他事项说明</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因落实政府采购政策进行价格调整的，以调整后的价格计算评标基准价和投标报价。</w:t>
      </w:r>
    </w:p>
    <w:p>
      <w:pPr>
        <w:tabs>
          <w:tab w:val="left" w:pos="9030"/>
        </w:tabs>
        <w:snapToGrid w:val="0"/>
        <w:spacing w:line="360" w:lineRule="auto"/>
        <w:ind w:right="-65"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评标时，评标委员会根据以上内容进行综合比较，自主打分，分数四舍五入保留两位小数，独立对每个投标人的投标文件进行评价，并汇总每个投标人的得分。</w:t>
      </w:r>
    </w:p>
    <w:bookmarkEnd w:id="230"/>
    <w:bookmarkEnd w:id="231"/>
    <w:bookmarkEnd w:id="232"/>
    <w:bookmarkEnd w:id="233"/>
    <w:p>
      <w:pPr>
        <w:tabs>
          <w:tab w:val="left" w:pos="9030"/>
        </w:tabs>
        <w:snapToGrid w:val="0"/>
        <w:spacing w:line="360" w:lineRule="auto"/>
        <w:ind w:right="-65" w:firstLine="480" w:firstLineChars="200"/>
        <w:outlineLvl w:val="2"/>
        <w:rPr>
          <w:rFonts w:hint="eastAsia" w:ascii="仿宋" w:hAnsi="仿宋" w:eastAsia="仿宋" w:cs="仿宋"/>
          <w:color w:val="auto"/>
          <w:sz w:val="24"/>
          <w:szCs w:val="24"/>
          <w:highlight w:val="none"/>
          <w:lang w:val="zh-CN"/>
        </w:rPr>
      </w:pPr>
      <w:bookmarkStart w:id="234" w:name="_Toc4837"/>
      <w:bookmarkStart w:id="235" w:name="_Toc29598"/>
      <w:bookmarkStart w:id="236" w:name="_Toc30211"/>
      <w:bookmarkStart w:id="237" w:name="_Toc10499"/>
      <w:bookmarkStart w:id="238" w:name="_Toc9209"/>
      <w:bookmarkStart w:id="239" w:name="_Toc17114"/>
      <w:bookmarkStart w:id="240" w:name="_Toc15871"/>
      <w:bookmarkStart w:id="241" w:name="_Toc17060"/>
      <w:bookmarkStart w:id="242" w:name="_Toc16649"/>
      <w:r>
        <w:rPr>
          <w:rFonts w:hint="eastAsia" w:ascii="仿宋" w:hAnsi="仿宋" w:eastAsia="仿宋" w:cs="仿宋"/>
          <w:color w:val="auto"/>
          <w:sz w:val="24"/>
          <w:szCs w:val="24"/>
          <w:highlight w:val="none"/>
          <w:lang w:val="zh-CN"/>
        </w:rPr>
        <w:t>（四）推荐中标候选人名单</w:t>
      </w:r>
      <w:bookmarkEnd w:id="234"/>
      <w:bookmarkEnd w:id="235"/>
      <w:bookmarkEnd w:id="236"/>
      <w:bookmarkEnd w:id="237"/>
      <w:bookmarkEnd w:id="238"/>
      <w:bookmarkEnd w:id="239"/>
      <w:bookmarkEnd w:id="240"/>
      <w:bookmarkEnd w:id="241"/>
      <w:bookmarkEnd w:id="242"/>
    </w:p>
    <w:p>
      <w:pPr>
        <w:tabs>
          <w:tab w:val="left" w:pos="9030"/>
        </w:tabs>
        <w:snapToGrid w:val="0"/>
        <w:spacing w:line="360" w:lineRule="auto"/>
        <w:ind w:right="-65" w:firstLine="480" w:firstLineChars="200"/>
        <w:rPr>
          <w:rFonts w:hint="eastAsia"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评标结果按评审后得分由高到低顺序排列，推荐三名以上中标候选人。投标文件满足招标文件全部实质性要求，且按照评审因素的量化指标评审得分。按照排序推荐入围候选人</w:t>
      </w:r>
      <w:r>
        <w:rPr>
          <w:rFonts w:hint="eastAsia" w:ascii="仿宋" w:hAnsi="仿宋" w:eastAsia="仿宋" w:cs="仿宋"/>
          <w:b/>
          <w:bCs/>
          <w:color w:val="auto"/>
          <w:sz w:val="24"/>
          <w:szCs w:val="24"/>
          <w:highlight w:val="none"/>
          <w:lang w:val="en-US" w:eastAsia="zh-CN"/>
        </w:rPr>
        <w:t>。</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243" w:name="_Toc22251"/>
      <w:bookmarkStart w:id="244" w:name="_Toc18731"/>
      <w:bookmarkStart w:id="245" w:name="_Toc11082"/>
      <w:bookmarkStart w:id="246" w:name="_Toc13328"/>
      <w:bookmarkStart w:id="247" w:name="_Toc561"/>
      <w:bookmarkStart w:id="248" w:name="_Toc2662"/>
      <w:bookmarkStart w:id="249" w:name="_Toc5432"/>
      <w:bookmarkStart w:id="250" w:name="_Toc14182"/>
      <w:r>
        <w:rPr>
          <w:rFonts w:hint="eastAsia" w:ascii="仿宋" w:hAnsi="仿宋" w:eastAsia="仿宋" w:cs="仿宋"/>
          <w:b/>
          <w:color w:val="auto"/>
          <w:sz w:val="24"/>
          <w:szCs w:val="24"/>
          <w:highlight w:val="none"/>
          <w:lang w:val="zh-CN"/>
        </w:rPr>
        <w:t>七、确定</w:t>
      </w:r>
      <w:bookmarkEnd w:id="243"/>
      <w:bookmarkEnd w:id="244"/>
      <w:r>
        <w:rPr>
          <w:rFonts w:hint="eastAsia" w:ascii="仿宋" w:hAnsi="仿宋" w:eastAsia="仿宋" w:cs="仿宋"/>
          <w:b/>
          <w:color w:val="auto"/>
          <w:sz w:val="24"/>
          <w:szCs w:val="24"/>
          <w:highlight w:val="none"/>
          <w:lang w:val="zh-CN"/>
        </w:rPr>
        <w:t>中标</w:t>
      </w:r>
      <w:bookmarkEnd w:id="245"/>
      <w:bookmarkEnd w:id="246"/>
      <w:bookmarkEnd w:id="247"/>
      <w:bookmarkEnd w:id="248"/>
      <w:bookmarkEnd w:id="249"/>
      <w:r>
        <w:rPr>
          <w:rFonts w:hint="eastAsia" w:ascii="仿宋" w:hAnsi="仿宋" w:eastAsia="仿宋" w:cs="仿宋"/>
          <w:b/>
          <w:color w:val="auto"/>
          <w:sz w:val="24"/>
          <w:szCs w:val="24"/>
          <w:highlight w:val="none"/>
          <w:lang w:val="zh-CN"/>
        </w:rPr>
        <w:t>投标人</w:t>
      </w:r>
      <w:bookmarkEnd w:id="250"/>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（一）采购代理机构应当在评标结束后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个工作日内将评标报告送采购人。</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（二）采购人应当自收到评标报告之日起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个工作日内，在评标报告确定的中标候选人名单中按顺序确定中标人，复函采购代理机构。采购人在收到评标报告</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zh-CN"/>
        </w:rPr>
        <w:t>个工作日内未按评标报告推荐的中标候选人顺序确定中标人，又不能说明合法理由的，视同按评标报告推荐的顺序确定排名第一的中标候选人为中标人。</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（三）采购代理机构当自中标人确定之日起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个工作日内，在省级以上财政部门指定的媒体上公告中标结果，公告期限为1个工作日，并向中标人发“中标通知书”。</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四）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251" w:name="_Toc27317"/>
      <w:bookmarkStart w:id="252" w:name="_Toc19571"/>
      <w:bookmarkStart w:id="253" w:name="_Toc7972"/>
      <w:bookmarkStart w:id="254" w:name="_Toc15275"/>
      <w:bookmarkStart w:id="255" w:name="_Toc7578"/>
      <w:bookmarkStart w:id="256" w:name="_Toc15441"/>
      <w:bookmarkStart w:id="257" w:name="_Toc19938"/>
      <w:bookmarkStart w:id="258" w:name="_Toc21655"/>
      <w:r>
        <w:rPr>
          <w:rFonts w:hint="eastAsia" w:ascii="仿宋" w:hAnsi="仿宋" w:eastAsia="仿宋" w:cs="仿宋"/>
          <w:b/>
          <w:color w:val="auto"/>
          <w:sz w:val="24"/>
          <w:szCs w:val="24"/>
          <w:highlight w:val="none"/>
          <w:lang w:val="zh-CN"/>
        </w:rPr>
        <w:t>八、合同</w:t>
      </w:r>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（一）采购人在自中标通知书发出之日起三十日内，按照招标文件和中标投标人投标文件的约定，采购人与中标投标人洽谈合同条款，并签订合同。招标文件及中标投标人的投标文件均作为合同的组成部分。</w:t>
      </w:r>
    </w:p>
    <w:p>
      <w:pPr>
        <w:tabs>
          <w:tab w:val="left" w:pos="0"/>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（二）定标后，中标投标人无正当理由拖延或拒签合同，监督机构有权取消其中标资格，并按评标结果顺序重新确定中标投标人。同时报请监督机构通报，取消其进入政府采购市场的资格，按规定予以处罚。</w:t>
      </w:r>
    </w:p>
    <w:p>
      <w:pPr>
        <w:tabs>
          <w:tab w:val="left" w:pos="0"/>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（三）政府采购合同的履行、违约责任和解决争议的方法等适用《中华人民共和国合同法》，采购人按照政府采购合同规定的技术、服务、安全标准组织对投标人履约情况进行验收，并出具验收书。</w:t>
      </w:r>
    </w:p>
    <w:p>
      <w:pPr>
        <w:autoSpaceDE w:val="0"/>
        <w:autoSpaceDN w:val="0"/>
        <w:adjustRightInd w:val="0"/>
        <w:snapToGrid w:val="0"/>
        <w:spacing w:line="360" w:lineRule="auto"/>
        <w:ind w:firstLine="482" w:firstLineChars="200"/>
        <w:outlineLvl w:val="1"/>
        <w:rPr>
          <w:rFonts w:hint="eastAsia" w:ascii="仿宋" w:hAnsi="仿宋" w:eastAsia="仿宋" w:cs="仿宋"/>
          <w:b/>
          <w:color w:val="auto"/>
          <w:sz w:val="24"/>
          <w:szCs w:val="24"/>
          <w:highlight w:val="none"/>
          <w:lang w:val="zh-CN"/>
        </w:rPr>
      </w:pPr>
      <w:bookmarkStart w:id="259" w:name="_Toc28649"/>
      <w:bookmarkStart w:id="260" w:name="_Toc29049"/>
      <w:bookmarkStart w:id="261" w:name="_Toc21976"/>
      <w:bookmarkStart w:id="262" w:name="_Toc15593"/>
      <w:bookmarkStart w:id="263" w:name="_Toc27949"/>
      <w:bookmarkStart w:id="264" w:name="_Toc1946"/>
      <w:bookmarkStart w:id="265" w:name="_Toc5062"/>
      <w:bookmarkStart w:id="266" w:name="_Toc29523"/>
      <w:r>
        <w:rPr>
          <w:rFonts w:hint="eastAsia" w:ascii="仿宋" w:hAnsi="仿宋" w:eastAsia="仿宋" w:cs="仿宋"/>
          <w:b/>
          <w:color w:val="auto"/>
          <w:sz w:val="24"/>
          <w:szCs w:val="24"/>
          <w:highlight w:val="none"/>
          <w:lang w:val="zh-CN"/>
        </w:rPr>
        <w:t>九、中标服务费</w:t>
      </w:r>
      <w:bookmarkEnd w:id="259"/>
      <w:bookmarkEnd w:id="260"/>
      <w:bookmarkEnd w:id="261"/>
      <w:bookmarkEnd w:id="262"/>
      <w:bookmarkEnd w:id="263"/>
      <w:bookmarkEnd w:id="264"/>
      <w:bookmarkEnd w:id="265"/>
      <w:bookmarkEnd w:id="266"/>
    </w:p>
    <w:p>
      <w:pPr>
        <w:snapToGrid w:val="0"/>
        <w:spacing w:line="360" w:lineRule="auto"/>
        <w:ind w:firstLine="480" w:firstLineChars="200"/>
        <w:rPr>
          <w:rFonts w:ascii="仿宋_GB2312" w:hAnsi="仿宋_GB2312" w:eastAsia="仿宋_GB2312" w:cs="仿宋_GB2312"/>
          <w:sz w:val="24"/>
          <w:szCs w:val="24"/>
          <w:highlight w:val="none"/>
        </w:rPr>
      </w:pPr>
      <w:bookmarkStart w:id="267" w:name="_Toc29526"/>
      <w:bookmarkStart w:id="268" w:name="_Toc495671245"/>
      <w:r>
        <w:rPr>
          <w:rFonts w:hint="eastAsia" w:ascii="仿宋" w:hAnsi="仿宋" w:eastAsia="仿宋" w:cs="仿宋"/>
          <w:sz w:val="24"/>
          <w:szCs w:val="24"/>
          <w:highlight w:val="none"/>
        </w:rPr>
        <w:t>（一）本项目招标代理服务费由成交供应商在成交结果公示期满后三个工作日内按照标准支付给招标代理机构。</w:t>
      </w:r>
    </w:p>
    <w:p>
      <w:pPr>
        <w:tabs>
          <w:tab w:val="left" w:pos="0"/>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sz w:val="24"/>
          <w:szCs w:val="24"/>
          <w:highlight w:val="none"/>
        </w:rPr>
        <w:t>（二）采购代理服务费依据《国家计委关于印发招标代理服务收费管理暂行办法的通知》（计价格【2002】1980号）和国家发改委办公厅颁发的《关于招标代理服务收费有关问题的通知》（发改办价格【2003】857号）文件规定标准收取。</w:t>
      </w:r>
    </w:p>
    <w:p>
      <w:pPr>
        <w:jc w:val="righ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单位：万元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noWrap w:val="0"/>
            <w:vAlign w:val="top"/>
          </w:tcPr>
          <w:p>
            <w:pPr>
              <w:spacing w:line="360" w:lineRule="auto"/>
              <w:ind w:firstLine="960" w:firstLineChars="4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1" name="直接箭头连接符 11"/>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5pt;margin-top:0.25pt;height:45.45pt;width:123.7pt;z-index:251659264;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2zID9UAAAAHAQAADwAAAAAAAAABACAAAAAiAAAAZHJzL2Rvd25y&#10;ZXYueG1sUEsBAhQAFAAAAAgAh07iQLVyauABAgAA8wMAAA4AAAAAAAAAAQAgAAAAJAEAAGRycy9l&#10;Mm9Eb2MueG1sUEsFBgAAAAAGAAYAWQEAAJcFA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highlight w:val="none"/>
              </w:rPr>
              <w:t>采购类型</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中标金额</w:t>
            </w:r>
          </w:p>
        </w:tc>
        <w:tc>
          <w:tcPr>
            <w:tcW w:w="198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货物招标</w:t>
            </w:r>
          </w:p>
        </w:tc>
        <w:tc>
          <w:tcPr>
            <w:tcW w:w="198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服务招标</w:t>
            </w:r>
          </w:p>
        </w:tc>
        <w:tc>
          <w:tcPr>
            <w:tcW w:w="1980" w:type="dxa"/>
            <w:noWrap w:val="0"/>
            <w:vAlign w:val="center"/>
          </w:tcPr>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1000-5000</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5000-10000</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0.1%</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10000-100000</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1000000以上</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c>
          <w:tcPr>
            <w:tcW w:w="1980"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0.01%</w:t>
            </w:r>
          </w:p>
        </w:tc>
      </w:tr>
    </w:tbl>
    <w:p>
      <w:pPr>
        <w:tabs>
          <w:tab w:val="left" w:pos="0"/>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（三）中标投标人服务费交纳信息：</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采购代理机构开户名称：陕西笃信招标有限公司</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开户银行：中国建设银行股份有限公司西安劳动北路支行</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   号：61050174390000000193</w:t>
      </w:r>
    </w:p>
    <w:p>
      <w:pPr>
        <w:autoSpaceDE w:val="0"/>
        <w:autoSpaceDN w:val="0"/>
        <w:adjustRightInd w:val="0"/>
        <w:spacing w:line="360" w:lineRule="auto"/>
        <w:ind w:firstLine="482" w:firstLineChars="200"/>
        <w:jc w:val="left"/>
        <w:outlineLvl w:val="1"/>
        <w:rPr>
          <w:rFonts w:hint="eastAsia" w:ascii="仿宋" w:hAnsi="仿宋" w:eastAsia="仿宋" w:cs="仿宋"/>
          <w:b/>
          <w:color w:val="auto"/>
          <w:sz w:val="24"/>
          <w:szCs w:val="24"/>
          <w:highlight w:val="none"/>
          <w:lang w:val="zh-CN"/>
        </w:rPr>
      </w:pPr>
      <w:bookmarkStart w:id="269" w:name="_Toc32450"/>
      <w:bookmarkStart w:id="270" w:name="_Toc11240"/>
      <w:bookmarkStart w:id="271" w:name="_Toc29877"/>
      <w:bookmarkStart w:id="272" w:name="_Toc6650"/>
      <w:bookmarkStart w:id="273" w:name="_Toc2882"/>
      <w:bookmarkStart w:id="274" w:name="_Toc21712"/>
      <w:bookmarkStart w:id="275" w:name="_Toc22638"/>
      <w:r>
        <w:rPr>
          <w:rFonts w:hint="eastAsia" w:ascii="仿宋" w:hAnsi="仿宋" w:eastAsia="仿宋" w:cs="仿宋"/>
          <w:b/>
          <w:color w:val="auto"/>
          <w:sz w:val="24"/>
          <w:szCs w:val="24"/>
          <w:highlight w:val="none"/>
          <w:lang w:val="zh-CN"/>
        </w:rPr>
        <w:t>十、废标或者采购方式的变更</w:t>
      </w:r>
      <w:bookmarkEnd w:id="267"/>
      <w:bookmarkEnd w:id="268"/>
      <w:bookmarkEnd w:id="269"/>
      <w:bookmarkEnd w:id="270"/>
      <w:bookmarkEnd w:id="271"/>
      <w:bookmarkEnd w:id="272"/>
      <w:bookmarkEnd w:id="273"/>
      <w:bookmarkEnd w:id="274"/>
      <w:bookmarkEnd w:id="275"/>
    </w:p>
    <w:p>
      <w:pPr>
        <w:autoSpaceDE w:val="0"/>
        <w:autoSpaceDN w:val="0"/>
        <w:adjustRightInd w:val="0"/>
        <w:spacing w:line="360" w:lineRule="auto"/>
        <w:ind w:firstLine="645"/>
        <w:outlineLvl w:val="2"/>
        <w:rPr>
          <w:rFonts w:hint="eastAsia" w:ascii="仿宋" w:hAnsi="仿宋" w:eastAsia="仿宋" w:cs="仿宋"/>
          <w:color w:val="auto"/>
          <w:sz w:val="24"/>
          <w:szCs w:val="24"/>
          <w:highlight w:val="none"/>
          <w:lang w:val="zh-CN"/>
        </w:rPr>
      </w:pPr>
      <w:bookmarkStart w:id="276" w:name="_Toc30609"/>
      <w:bookmarkStart w:id="277" w:name="_Toc16112"/>
      <w:bookmarkStart w:id="278" w:name="_Toc12765"/>
      <w:bookmarkStart w:id="279" w:name="_Toc18276"/>
      <w:bookmarkStart w:id="280" w:name="_Toc19867"/>
      <w:bookmarkStart w:id="281" w:name="_Toc19552"/>
      <w:r>
        <w:rPr>
          <w:rFonts w:hint="eastAsia" w:ascii="仿宋" w:hAnsi="仿宋" w:eastAsia="仿宋" w:cs="仿宋"/>
          <w:color w:val="auto"/>
          <w:sz w:val="24"/>
          <w:szCs w:val="24"/>
          <w:highlight w:val="none"/>
          <w:lang w:val="zh-CN"/>
        </w:rPr>
        <w:t>（一）废标</w:t>
      </w:r>
      <w:bookmarkEnd w:id="276"/>
      <w:bookmarkEnd w:id="277"/>
      <w:bookmarkEnd w:id="278"/>
      <w:bookmarkEnd w:id="279"/>
      <w:bookmarkEnd w:id="280"/>
      <w:bookmarkEnd w:id="281"/>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在招标过程中，提交投标文件或者通过资格审查或符合性审查的投标人只有1家时，按废标处理，重新开展采购活动。</w:t>
      </w:r>
    </w:p>
    <w:p>
      <w:pPr>
        <w:autoSpaceDE w:val="0"/>
        <w:autoSpaceDN w:val="0"/>
        <w:adjustRightInd w:val="0"/>
        <w:spacing w:line="360" w:lineRule="auto"/>
        <w:ind w:firstLine="645"/>
        <w:outlineLvl w:val="2"/>
        <w:rPr>
          <w:rFonts w:hint="eastAsia" w:ascii="仿宋" w:hAnsi="仿宋" w:eastAsia="仿宋" w:cs="仿宋"/>
          <w:color w:val="auto"/>
          <w:sz w:val="24"/>
          <w:szCs w:val="24"/>
          <w:highlight w:val="none"/>
          <w:lang w:val="zh-CN"/>
        </w:rPr>
      </w:pPr>
      <w:bookmarkStart w:id="282" w:name="_Toc27818"/>
      <w:bookmarkStart w:id="283" w:name="_Toc20612"/>
      <w:bookmarkStart w:id="284" w:name="_Toc25928"/>
      <w:bookmarkStart w:id="285" w:name="_Toc10147"/>
      <w:bookmarkStart w:id="286" w:name="_Toc11071"/>
      <w:bookmarkStart w:id="287" w:name="_Toc4528"/>
      <w:r>
        <w:rPr>
          <w:rFonts w:hint="eastAsia" w:ascii="仿宋" w:hAnsi="仿宋" w:eastAsia="仿宋" w:cs="仿宋"/>
          <w:color w:val="auto"/>
          <w:sz w:val="24"/>
          <w:szCs w:val="24"/>
          <w:highlight w:val="none"/>
          <w:lang w:val="zh-CN"/>
        </w:rPr>
        <w:t>（二）采购方式的变更</w:t>
      </w:r>
      <w:bookmarkEnd w:id="282"/>
      <w:bookmarkEnd w:id="283"/>
      <w:bookmarkEnd w:id="284"/>
      <w:bookmarkEnd w:id="285"/>
      <w:bookmarkEnd w:id="286"/>
      <w:bookmarkEnd w:id="287"/>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政府采购货物和服务招标投标管理办法》第四十三条，公开招标的货物、服务类项目，投标截止后投标人不足三家或者通过资格审查或符合性审查的投标人不足三家的，除采购任务取消情形外，按照以下方式处理：</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1.招标文件存在不合理条款或者招标程序不符合规定的，采购人、采购代理机构改正后依法重新招标；</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2.招标文件没有不合理条款、招标程序符合规定，需要采用其他采购方式采购的，采购人应当依法报财政部门批准：</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①在招标过程中，提交投标文件或者通过资格审查或符合性审查的投标人只有2家时，根据2013年第74号部长令--《政府采购非招标采购方式管理办法》第二十七条和陕西省财政厅陕财办采资（2016）53号文件第七条的规定，经采购人书面请示政府采购管理机构同意后，可以现场转为竞争性谈判继续采购。</w:t>
      </w:r>
    </w:p>
    <w:p>
      <w:pPr>
        <w:autoSpaceDE w:val="0"/>
        <w:autoSpaceDN w:val="0"/>
        <w:adjustRightInd w:val="0"/>
        <w:spacing w:line="360" w:lineRule="auto"/>
        <w:ind w:firstLine="645"/>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②如果转为竞争性谈判方式，则原招标文件转为竞争性谈判文件，原投标人即为报价人，原投标文件报价作为竞争性谈判的第一次报价，评审方法按照竞争性谈判的评审原则，在质量和服务均能满足招标文件实质性要求的基础上，按照最后报价由低到高的顺序，确定成交候选人。</w:t>
      </w:r>
    </w:p>
    <w:p>
      <w:pPr>
        <w:autoSpaceDE w:val="0"/>
        <w:autoSpaceDN w:val="0"/>
        <w:adjustRightInd w:val="0"/>
        <w:snapToGrid w:val="0"/>
        <w:spacing w:line="360" w:lineRule="auto"/>
        <w:ind w:firstLine="482" w:firstLineChars="200"/>
        <w:outlineLvl w:val="1"/>
        <w:rPr>
          <w:rFonts w:hint="eastAsia" w:ascii="仿宋" w:hAnsi="仿宋" w:eastAsia="仿宋" w:cs="仿宋"/>
          <w:b/>
          <w:sz w:val="24"/>
          <w:szCs w:val="24"/>
          <w:highlight w:val="none"/>
          <w:lang w:val="zh-CN"/>
        </w:rPr>
      </w:pPr>
      <w:bookmarkStart w:id="288" w:name="_Toc495671239"/>
      <w:bookmarkStart w:id="289" w:name="_Toc16329"/>
      <w:bookmarkStart w:id="290" w:name="_Toc29960"/>
      <w:bookmarkStart w:id="291" w:name="_Toc206"/>
      <w:bookmarkStart w:id="292" w:name="_Toc12871"/>
      <w:bookmarkStart w:id="293" w:name="_Toc30115"/>
      <w:bookmarkStart w:id="294" w:name="_Toc21416"/>
      <w:bookmarkStart w:id="295" w:name="_Toc19640"/>
      <w:bookmarkStart w:id="296" w:name="_Toc22403"/>
      <w:bookmarkStart w:id="297" w:name="_Toc5653"/>
      <w:r>
        <w:rPr>
          <w:rFonts w:hint="eastAsia" w:ascii="仿宋" w:hAnsi="仿宋" w:eastAsia="仿宋" w:cs="仿宋"/>
          <w:b/>
          <w:sz w:val="24"/>
          <w:szCs w:val="24"/>
          <w:highlight w:val="none"/>
          <w:lang w:val="zh-CN"/>
        </w:rPr>
        <w:t>十一、需要落实的政府采购政策</w:t>
      </w:r>
      <w:bookmarkEnd w:id="288"/>
      <w:bookmarkEnd w:id="289"/>
      <w:bookmarkEnd w:id="290"/>
      <w:bookmarkEnd w:id="291"/>
      <w:bookmarkEnd w:id="292"/>
      <w:bookmarkEnd w:id="293"/>
      <w:bookmarkEnd w:id="294"/>
      <w:bookmarkEnd w:id="295"/>
      <w:bookmarkEnd w:id="296"/>
      <w:bookmarkEnd w:id="297"/>
    </w:p>
    <w:p>
      <w:pPr>
        <w:snapToGrid w:val="0"/>
        <w:spacing w:line="360" w:lineRule="auto"/>
        <w:ind w:firstLine="480" w:firstLineChars="200"/>
        <w:rPr>
          <w:rFonts w:hint="eastAsia" w:ascii="仿宋" w:hAnsi="仿宋" w:eastAsia="仿宋" w:cs="仿宋"/>
          <w:sz w:val="24"/>
          <w:szCs w:val="24"/>
          <w:highlight w:val="none"/>
        </w:rPr>
      </w:pPr>
      <w:bookmarkStart w:id="298" w:name="_Toc19879"/>
      <w:bookmarkStart w:id="299" w:name="_Toc26022"/>
      <w:bookmarkStart w:id="300" w:name="_Toc13861"/>
      <w:bookmarkStart w:id="301" w:name="_Toc31691"/>
      <w:bookmarkStart w:id="302" w:name="_Toc19661"/>
      <w:bookmarkStart w:id="303" w:name="_Toc6204"/>
      <w:bookmarkStart w:id="304" w:name="_Toc5903"/>
      <w:r>
        <w:rPr>
          <w:rFonts w:hint="eastAsia" w:ascii="仿宋" w:hAnsi="仿宋" w:eastAsia="仿宋" w:cs="仿宋"/>
          <w:sz w:val="24"/>
          <w:szCs w:val="24"/>
          <w:highlight w:val="none"/>
        </w:rPr>
        <w:t>（一）落实促进支持中小企业、监狱企业、残疾人福利性单位发展、脱贫攻坚工作的政策(如为专门面向中小企业的采购项目（或采购包），不执行1、2、3条款。)</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1、《政府采购促进中小企业发展管理办法》（财库〔2020〕46号）及《关于进一步加大政府采购支持中小企业力度的通知》（财库〔2022〕19号）</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在政府采购活动中，供应商提供的货物、工程或者服务符合下列情形的，享受《办法》规定的中小企业扶持政策:</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(1)在货物采购项目中，货物由中小企业制造，即货物由中小企业生产且使用该中小企业商号或者注册商标；</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(2)在工程采购项目中，工程由中小企业承建，即工程施工单位为中小企业；</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(3)在服务采购项目中，服务由中小企业承接，即提供服务的人员为中小企业依照《中华人民共和国劳动合同法》订立劳动合同的从业人员。</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在货物采购项目中，供应商提供的货物既有中小企业制造货物，也有大型企业制造货物的，不享受《办法》规定的中小企业扶持政策。</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依据《办法》规定享受扶持政策获得政府采购合同的，小微企业不得将合同分包给大中型企业，中型企业不得将合同分包给大型企业。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的通知（财库〔2020〕46号）规定，参加政府采购活动的中小企业应当提供《中小企业声明函》。供应商提供的《中小企业声明函》原件必须真实，否则，按照有关规定予以处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政府采购促进中小企业发展管理办法》及《西安市财政局关于进一步加大政府采购支持中小企业力度的通知》市财函〔2022〕867号的相关规定，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2、《财政部 司法部关于政府采购支持监狱企业发展有关问题的通知》（财库〔2014〕68号）</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3、《三部门联合发布关于促进残疾人就业政府采购政策的通知》（财库〔2017〕141号）；</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（二）落实优先采购节能、环保产品的政策</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、《财政部 司法部关于政府采购支持监狱企业发展有关问题的通知》（财库〔2014〕68号）</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、《三部门联合发布关于促进残疾人就业政府采购政策的通知》（财库〔2017〕141号）；</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所有投标产品进入“节能产品政府采购品目清单”的，应提供相关证书复印件，相关证书的颁发机构应来自《参与实施政府采购节能产品认证机构名录》。</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所有投标产品进入“环境标志产品政府采购品目清单”的，应提供相关证书复印件，相关证书的颁发机构应来自《参与实施政府采购环境标志产品认证机构名录》。</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（三）政府采购信用融资政策</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（四）陕西省中小企业政府采购信用担保政策</w:t>
      </w:r>
    </w:p>
    <w:p>
      <w:pPr>
        <w:snapToGrid w:val="0"/>
        <w:spacing w:line="360" w:lineRule="auto"/>
        <w:ind w:firstLine="480" w:firstLineChars="200"/>
        <w:rPr>
          <w:rFonts w:hint="eastAsia"/>
          <w:highlight w:val="none"/>
        </w:rPr>
      </w:pPr>
      <w:r>
        <w:rPr>
          <w:rFonts w:hint="eastAsia" w:ascii="仿宋" w:hAnsi="仿宋" w:eastAsia="仿宋" w:cs="仿宋"/>
          <w:sz w:val="24"/>
          <w:szCs w:val="24"/>
          <w:highlight w:val="none"/>
        </w:rPr>
        <w:t>如属于政府采购信用担保范围内，中小型企业供应商可以自由按照财政部门的规定，采用履约担保和融资担保。</w:t>
      </w:r>
    </w:p>
    <w:p>
      <w:pPr>
        <w:autoSpaceDE w:val="0"/>
        <w:autoSpaceDN w:val="0"/>
        <w:adjustRightInd w:val="0"/>
        <w:snapToGrid w:val="0"/>
        <w:spacing w:line="360" w:lineRule="auto"/>
        <w:ind w:firstLine="482" w:firstLineChars="200"/>
        <w:outlineLvl w:val="1"/>
        <w:rPr>
          <w:rFonts w:hint="eastAsia" w:ascii="仿宋" w:hAnsi="仿宋" w:eastAsia="仿宋" w:cs="仿宋"/>
          <w:b/>
          <w:sz w:val="24"/>
          <w:szCs w:val="24"/>
          <w:highlight w:val="none"/>
          <w:lang w:val="zh-CN"/>
        </w:rPr>
      </w:pPr>
      <w:bookmarkStart w:id="305" w:name="_Toc3946"/>
      <w:bookmarkStart w:id="306" w:name="_Toc22430"/>
      <w:bookmarkStart w:id="307" w:name="_Toc31587"/>
      <w:r>
        <w:rPr>
          <w:rFonts w:hint="eastAsia" w:ascii="仿宋" w:hAnsi="仿宋" w:eastAsia="仿宋" w:cs="仿宋"/>
          <w:b/>
          <w:sz w:val="24"/>
          <w:szCs w:val="24"/>
          <w:highlight w:val="none"/>
          <w:lang w:val="zh-CN"/>
        </w:rPr>
        <w:t>十二、质疑与投诉</w:t>
      </w:r>
      <w:bookmarkEnd w:id="298"/>
      <w:bookmarkEnd w:id="299"/>
      <w:bookmarkEnd w:id="300"/>
      <w:bookmarkEnd w:id="301"/>
      <w:bookmarkEnd w:id="302"/>
      <w:bookmarkEnd w:id="303"/>
      <w:bookmarkEnd w:id="304"/>
      <w:bookmarkEnd w:id="305"/>
      <w:bookmarkEnd w:id="306"/>
      <w:bookmarkEnd w:id="307"/>
    </w:p>
    <w:p>
      <w:pPr>
        <w:autoSpaceDE w:val="0"/>
        <w:autoSpaceDN w:val="0"/>
        <w:adjustRightInd w:val="0"/>
        <w:snapToGrid w:val="0"/>
        <w:spacing w:line="360" w:lineRule="auto"/>
        <w:ind w:firstLine="480" w:firstLineChars="200"/>
        <w:outlineLvl w:val="2"/>
        <w:rPr>
          <w:rFonts w:hint="eastAsia" w:ascii="仿宋" w:hAnsi="仿宋" w:eastAsia="仿宋" w:cs="仿宋"/>
          <w:bCs/>
          <w:sz w:val="24"/>
          <w:szCs w:val="24"/>
          <w:highlight w:val="none"/>
          <w:lang w:val="zh-CN"/>
        </w:rPr>
      </w:pPr>
      <w:bookmarkStart w:id="308" w:name="_Toc5806"/>
      <w:bookmarkStart w:id="309" w:name="_Toc6521"/>
      <w:bookmarkStart w:id="310" w:name="_Toc31018"/>
      <w:bookmarkStart w:id="311" w:name="_Toc8990"/>
      <w:bookmarkStart w:id="312" w:name="_Toc18238"/>
      <w:bookmarkStart w:id="313" w:name="_Toc23015"/>
      <w:bookmarkStart w:id="314" w:name="_Toc6295"/>
      <w:bookmarkStart w:id="315" w:name="_Toc23643"/>
      <w:r>
        <w:rPr>
          <w:rFonts w:hint="eastAsia" w:ascii="仿宋" w:hAnsi="仿宋" w:eastAsia="仿宋" w:cs="仿宋"/>
          <w:bCs/>
          <w:sz w:val="24"/>
          <w:szCs w:val="24"/>
          <w:highlight w:val="none"/>
          <w:lang w:val="zh-CN"/>
        </w:rPr>
        <w:t>（一）质疑</w:t>
      </w:r>
      <w:bookmarkEnd w:id="308"/>
      <w:bookmarkEnd w:id="309"/>
      <w:bookmarkEnd w:id="310"/>
      <w:bookmarkEnd w:id="311"/>
      <w:bookmarkEnd w:id="312"/>
      <w:bookmarkEnd w:id="313"/>
      <w:bookmarkEnd w:id="314"/>
      <w:bookmarkEnd w:id="315"/>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1、供应商认为招标文件、招标过程或中标结果使自身的合法权益受到损害，可以在法定期限内，以书面形式向采购代理机构或采购人提出质疑。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（2）质疑函应当由法定代表人签字并加盖公章，公章不得以合同章或其他印章代替。</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（3）质疑人可以委托代理人办理质疑事项，代理人办理质疑事项时，除提交质疑函外，还应当提交法人授权委托书及代理人的有效身份证明，授权委托书应当载明委托代理的具体权限和事项。</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（4）有下列情形之一的，属于无效质疑：</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①质疑人不是参与本次政府采购项目的供应商或潜在供应商；</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②质疑人与质疑事项不存在利害关系的；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③未在法定期限内提出质疑的；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④质疑未以书面形式提出，或质疑函主要内容构成不完整的；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⑤质疑函没有合法有效的签字、盖章或授权的；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⑥以非法手段取得证据、材料的；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⑦质疑答复后，同一质疑人就同一事项再次提出质疑的；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⑧不符合法律、法规、规章和政府采购监管机构规定的其他条件的。</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2、符合要求的质疑，采购代理机构将予以受理并答复，具体联系方式如下：</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zh-CN"/>
        </w:rPr>
        <w:t>联系人：李纪旋、张亚娜、</w:t>
      </w:r>
      <w:r>
        <w:rPr>
          <w:rFonts w:hint="eastAsia" w:ascii="仿宋" w:hAnsi="仿宋" w:eastAsia="仿宋" w:cs="仿宋"/>
          <w:bCs/>
          <w:sz w:val="24"/>
          <w:szCs w:val="24"/>
          <w:highlight w:val="none"/>
          <w:lang w:eastAsia="zh-CN"/>
        </w:rPr>
        <w:t>贺培文</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联系电话</w:t>
      </w:r>
      <w:r>
        <w:rPr>
          <w:rFonts w:hint="eastAsia" w:ascii="仿宋" w:hAnsi="仿宋" w:eastAsia="仿宋" w:cs="仿宋"/>
          <w:bCs/>
          <w:sz w:val="24"/>
          <w:szCs w:val="24"/>
          <w:highlight w:val="none"/>
        </w:rPr>
        <w:t>：029-86253389</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邮箱：2059407584@qq.com</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zh-CN"/>
        </w:rPr>
        <w:t>地址</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zh-CN"/>
        </w:rPr>
        <w:t>西安市经济技术开发区凤城十一路与文景路十字文景商务广场</w:t>
      </w:r>
      <w:r>
        <w:rPr>
          <w:rFonts w:hint="eastAsia" w:ascii="仿宋" w:hAnsi="仿宋" w:eastAsia="仿宋" w:cs="仿宋"/>
          <w:bCs/>
          <w:sz w:val="24"/>
          <w:szCs w:val="24"/>
          <w:highlight w:val="none"/>
        </w:rPr>
        <w:t>B</w:t>
      </w:r>
      <w:r>
        <w:rPr>
          <w:rFonts w:hint="eastAsia" w:ascii="仿宋" w:hAnsi="仿宋" w:eastAsia="仿宋" w:cs="仿宋"/>
          <w:bCs/>
          <w:sz w:val="24"/>
          <w:szCs w:val="24"/>
          <w:highlight w:val="none"/>
          <w:lang w:val="zh-CN"/>
        </w:rPr>
        <w:t>座</w:t>
      </w:r>
      <w:r>
        <w:rPr>
          <w:rFonts w:hint="eastAsia" w:ascii="仿宋" w:hAnsi="仿宋" w:eastAsia="仿宋" w:cs="仿宋"/>
          <w:bCs/>
          <w:sz w:val="24"/>
          <w:szCs w:val="24"/>
          <w:highlight w:val="none"/>
        </w:rPr>
        <w:t>8</w:t>
      </w:r>
      <w:r>
        <w:rPr>
          <w:rFonts w:hint="eastAsia" w:ascii="仿宋" w:hAnsi="仿宋" w:eastAsia="仿宋" w:cs="仿宋"/>
          <w:bCs/>
          <w:sz w:val="24"/>
          <w:szCs w:val="24"/>
          <w:highlight w:val="none"/>
          <w:lang w:val="zh-CN"/>
        </w:rPr>
        <w:t>层陕西笃信招标有限公司</w:t>
      </w:r>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0" w:firstLineChars="200"/>
        <w:outlineLvl w:val="2"/>
        <w:rPr>
          <w:rFonts w:hint="eastAsia" w:ascii="仿宋" w:hAnsi="仿宋" w:eastAsia="仿宋" w:cs="仿宋"/>
          <w:bCs/>
          <w:sz w:val="24"/>
          <w:szCs w:val="24"/>
          <w:highlight w:val="none"/>
          <w:lang w:val="zh-CN"/>
        </w:rPr>
      </w:pPr>
      <w:bookmarkStart w:id="316" w:name="_Toc27095"/>
      <w:bookmarkStart w:id="317" w:name="_Toc17782"/>
      <w:bookmarkStart w:id="318" w:name="_Toc26510"/>
      <w:bookmarkStart w:id="319" w:name="_Toc11431"/>
      <w:bookmarkStart w:id="320" w:name="_Toc22351"/>
      <w:bookmarkStart w:id="321" w:name="_Toc3468"/>
      <w:bookmarkStart w:id="322" w:name="_Toc32713"/>
      <w:bookmarkStart w:id="323" w:name="_Toc5958"/>
      <w:r>
        <w:rPr>
          <w:rFonts w:hint="eastAsia" w:ascii="仿宋" w:hAnsi="仿宋" w:eastAsia="仿宋" w:cs="仿宋"/>
          <w:bCs/>
          <w:sz w:val="24"/>
          <w:szCs w:val="24"/>
          <w:highlight w:val="none"/>
          <w:lang w:val="zh-CN"/>
        </w:rPr>
        <w:t>（二）投诉</w:t>
      </w:r>
      <w:bookmarkEnd w:id="316"/>
      <w:bookmarkEnd w:id="317"/>
      <w:bookmarkEnd w:id="318"/>
      <w:bookmarkEnd w:id="319"/>
      <w:bookmarkEnd w:id="320"/>
      <w:bookmarkEnd w:id="321"/>
      <w:bookmarkEnd w:id="322"/>
      <w:bookmarkEnd w:id="323"/>
    </w:p>
    <w:p>
      <w:pPr>
        <w:autoSpaceDE w:val="0"/>
        <w:autoSpaceDN w:val="0"/>
        <w:adjustRightInd w:val="0"/>
        <w:snapToGrid w:val="0"/>
        <w:spacing w:line="360" w:lineRule="auto"/>
        <w:ind w:firstLine="480" w:firstLineChars="200"/>
        <w:rPr>
          <w:rFonts w:hint="eastAsia" w:ascii="仿宋" w:hAnsi="仿宋" w:eastAsia="仿宋" w:cs="仿宋"/>
          <w:bCs/>
          <w:sz w:val="24"/>
          <w:szCs w:val="24"/>
          <w:highlight w:val="none"/>
          <w:lang w:val="zh-CN"/>
        </w:rPr>
      </w:pPr>
      <w:r>
        <w:rPr>
          <w:rFonts w:hint="eastAsia" w:ascii="仿宋" w:hAnsi="仿宋" w:eastAsia="仿宋" w:cs="仿宋"/>
          <w:bCs/>
          <w:sz w:val="24"/>
          <w:szCs w:val="24"/>
          <w:highlight w:val="none"/>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rPr>
          <w:rFonts w:hint="eastAsia" w:ascii="仿宋" w:hAnsi="仿宋" w:eastAsia="仿宋" w:cs="仿宋"/>
          <w:color w:val="auto"/>
          <w:highlight w:val="none"/>
          <w:lang w:val="zh-CN"/>
        </w:rPr>
      </w:pPr>
      <w:r>
        <w:rPr>
          <w:rFonts w:hint="eastAsia" w:ascii="仿宋" w:hAnsi="仿宋" w:eastAsia="仿宋" w:cs="仿宋"/>
          <w:bCs/>
          <w:sz w:val="24"/>
          <w:szCs w:val="24"/>
          <w:highlight w:val="none"/>
          <w:lang w:val="zh-CN"/>
        </w:rPr>
        <w:t>2、投诉的事项不得超出已质疑事项的范围。</w:t>
      </w:r>
    </w:p>
    <w:p>
      <w:pPr>
        <w:pStyle w:val="3"/>
        <w:keepNext w:val="0"/>
        <w:keepLines w:val="0"/>
        <w:pageBreakBefore/>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highlight w:val="none"/>
          <w:lang w:val="zh-CN"/>
        </w:rPr>
      </w:pPr>
      <w:bookmarkStart w:id="324" w:name="_Toc21287"/>
      <w:bookmarkStart w:id="325" w:name="_Toc7044"/>
      <w:bookmarkStart w:id="326" w:name="_Toc2506"/>
      <w:bookmarkStart w:id="327" w:name="_Toc19653"/>
      <w:bookmarkStart w:id="328" w:name="_Toc16390"/>
      <w:bookmarkStart w:id="329" w:name="_Toc92"/>
      <w:bookmarkStart w:id="330" w:name="_Toc32356"/>
      <w:bookmarkStart w:id="331" w:name="_Toc10487"/>
      <w:bookmarkStart w:id="332" w:name="_Toc475451545"/>
      <w:r>
        <w:rPr>
          <w:rFonts w:hint="eastAsia" w:ascii="仿宋" w:hAnsi="仿宋" w:eastAsia="仿宋" w:cs="仿宋"/>
          <w:color w:val="auto"/>
          <w:sz w:val="32"/>
          <w:szCs w:val="32"/>
          <w:highlight w:val="none"/>
        </w:rPr>
        <w:t xml:space="preserve">第三部分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rPr>
        <w:t>招标内容及要求</w:t>
      </w:r>
      <w:bookmarkEnd w:id="324"/>
      <w:bookmarkEnd w:id="325"/>
      <w:bookmarkEnd w:id="326"/>
      <w:bookmarkEnd w:id="327"/>
      <w:bookmarkEnd w:id="328"/>
      <w:bookmarkEnd w:id="329"/>
      <w:bookmarkEnd w:id="330"/>
      <w:bookmarkEnd w:id="331"/>
      <w:bookmarkEnd w:id="332"/>
      <w:bookmarkStart w:id="333" w:name="_Toc475451546"/>
      <w:bookmarkStart w:id="334" w:name="_Toc1259"/>
      <w:bookmarkStart w:id="335" w:name="_Toc19419"/>
      <w:bookmarkStart w:id="336" w:name="_Toc11943"/>
      <w:bookmarkStart w:id="337" w:name="_Toc9677"/>
      <w:bookmarkStart w:id="338" w:name="_Toc26503"/>
      <w:bookmarkStart w:id="339" w:name="_Toc20520"/>
      <w:bookmarkStart w:id="340" w:name="_Toc17704"/>
    </w:p>
    <w:p>
      <w:pPr>
        <w:pStyle w:val="4"/>
        <w:jc w:val="both"/>
        <w:rPr>
          <w:rFonts w:hint="eastAsia" w:ascii="仿宋" w:hAnsi="仿宋" w:eastAsia="仿宋" w:cs="仿宋"/>
          <w:sz w:val="24"/>
          <w:szCs w:val="24"/>
          <w:highlight w:val="none"/>
        </w:rPr>
      </w:pPr>
      <w:bookmarkStart w:id="341" w:name="_Toc132710026"/>
      <w:bookmarkStart w:id="342" w:name="_Toc32264"/>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建设内容</w:t>
      </w:r>
      <w:bookmarkEnd w:id="341"/>
      <w:bookmarkEnd w:id="342"/>
    </w:p>
    <w:tbl>
      <w:tblPr>
        <w:tblStyle w:val="23"/>
        <w:tblW w:w="8773" w:type="dxa"/>
        <w:jc w:val="center"/>
        <w:tblLayout w:type="autofit"/>
        <w:tblCellMar>
          <w:top w:w="0" w:type="dxa"/>
          <w:left w:w="108" w:type="dxa"/>
          <w:bottom w:w="0" w:type="dxa"/>
          <w:right w:w="108" w:type="dxa"/>
        </w:tblCellMar>
      </w:tblPr>
      <w:tblGrid>
        <w:gridCol w:w="5807"/>
        <w:gridCol w:w="1407"/>
        <w:gridCol w:w="1553"/>
        <w:gridCol w:w="6"/>
      </w:tblGrid>
      <w:tr>
        <w:tblPrEx>
          <w:tblCellMar>
            <w:top w:w="0" w:type="dxa"/>
            <w:left w:w="108" w:type="dxa"/>
            <w:bottom w:w="0" w:type="dxa"/>
            <w:right w:w="108" w:type="dxa"/>
          </w:tblCellMar>
        </w:tblPrEx>
        <w:trPr>
          <w:trHeight w:val="567" w:hRule="atLeast"/>
          <w:jc w:val="center"/>
        </w:trPr>
        <w:tc>
          <w:tcPr>
            <w:tcW w:w="580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采购项目名称</w:t>
            </w:r>
          </w:p>
        </w:tc>
        <w:tc>
          <w:tcPr>
            <w:tcW w:w="1407" w:type="dxa"/>
            <w:tcBorders>
              <w:top w:val="single" w:color="auto" w:sz="4" w:space="0"/>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单位</w:t>
            </w:r>
          </w:p>
        </w:tc>
      </w:tr>
      <w:tr>
        <w:tblPrEx>
          <w:tblCellMar>
            <w:top w:w="0" w:type="dxa"/>
            <w:left w:w="108" w:type="dxa"/>
            <w:bottom w:w="0" w:type="dxa"/>
            <w:right w:w="108" w:type="dxa"/>
          </w:tblCellMar>
        </w:tblPrEx>
        <w:trPr>
          <w:gridAfter w:val="1"/>
          <w:wAfter w:w="6" w:type="dxa"/>
          <w:trHeight w:val="567" w:hRule="atLeast"/>
          <w:jc w:val="center"/>
        </w:trPr>
        <w:tc>
          <w:tcPr>
            <w:tcW w:w="5807" w:type="dxa"/>
            <w:tcBorders>
              <w:top w:val="nil"/>
              <w:left w:val="single" w:color="auto" w:sz="4" w:space="0"/>
              <w:bottom w:val="single" w:color="auto" w:sz="4" w:space="0"/>
              <w:right w:val="single" w:color="auto" w:sz="4" w:space="0"/>
            </w:tcBorders>
            <w:shd w:val="clear" w:color="auto" w:fill="auto"/>
            <w:vAlign w:val="center"/>
          </w:tcPr>
          <w:p>
            <w:pPr>
              <w:pStyle w:val="3"/>
              <w:keepNext w:val="0"/>
              <w:widowControl w:val="0"/>
              <w:numPr>
                <w:ilvl w:val="0"/>
                <w:numId w:val="0"/>
              </w:numPr>
              <w:jc w:val="center"/>
              <w:rPr>
                <w:rFonts w:hint="eastAsia" w:ascii="仿宋" w:hAnsi="仿宋" w:eastAsia="仿宋" w:cs="仿宋"/>
                <w:color w:val="000000" w:themeColor="text1"/>
                <w:sz w:val="24"/>
                <w:szCs w:val="24"/>
                <w:highlight w:val="none"/>
                <w14:textFill>
                  <w14:solidFill>
                    <w14:schemeClr w14:val="tx1"/>
                  </w14:solidFill>
                </w14:textFill>
              </w:rPr>
            </w:pPr>
            <w:bookmarkStart w:id="343" w:name="_Toc23487"/>
            <w:r>
              <w:rPr>
                <w:rFonts w:hint="eastAsia" w:ascii="仿宋" w:hAnsi="仿宋" w:eastAsia="仿宋" w:cs="仿宋"/>
                <w:sz w:val="24"/>
                <w:szCs w:val="24"/>
                <w:highlight w:val="none"/>
                <w:lang w:eastAsia="zh-CN"/>
              </w:rPr>
              <w:t>肺小结节智能诊断系统</w:t>
            </w:r>
            <w:bookmarkEnd w:id="343"/>
          </w:p>
        </w:tc>
        <w:tc>
          <w:tcPr>
            <w:tcW w:w="1407" w:type="dxa"/>
            <w:tcBorders>
              <w:top w:val="nil"/>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553" w:type="dxa"/>
            <w:tcBorders>
              <w:top w:val="nil"/>
              <w:left w:val="nil"/>
              <w:bottom w:val="single" w:color="auto" w:sz="4" w:space="0"/>
              <w:right w:val="single" w:color="auto" w:sz="4" w:space="0"/>
            </w:tcBorders>
            <w:shd w:val="clear" w:color="auto" w:fill="auto"/>
            <w:vAlign w:val="center"/>
          </w:tcPr>
          <w:p>
            <w:pPr>
              <w:pStyle w:val="59"/>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套</w:t>
            </w:r>
          </w:p>
        </w:tc>
      </w:tr>
    </w:tbl>
    <w:p>
      <w:pPr>
        <w:pStyle w:val="4"/>
        <w:jc w:val="both"/>
        <w:rPr>
          <w:rFonts w:hint="eastAsia" w:ascii="仿宋" w:hAnsi="仿宋" w:eastAsia="仿宋" w:cs="仿宋"/>
          <w:sz w:val="24"/>
          <w:szCs w:val="24"/>
          <w:highlight w:val="none"/>
        </w:rPr>
      </w:pPr>
      <w:bookmarkStart w:id="344" w:name="_Toc132710027"/>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采购需求</w:t>
      </w:r>
    </w:p>
    <w:p>
      <w:pPr>
        <w:pStyle w:val="59"/>
        <w:widowControl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1、软件具有自动显示医学图像中的肺结节，并用图框标注出来。具备增强查看工具、图像长度、角度测量工具等功能。</w:t>
      </w:r>
    </w:p>
    <w:p>
      <w:pPr>
        <w:pStyle w:val="59"/>
        <w:widowControl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2、所投产品的接口免费开放，免费对接医院、县局及县区域平台等系统。</w:t>
      </w:r>
    </w:p>
    <w:p>
      <w:pPr>
        <w:pStyle w:val="59"/>
        <w:widowControl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3、所投产品的版本必须为公司现有最新及最高版本。（提供印证资料）</w:t>
      </w:r>
    </w:p>
    <w:p>
      <w:pPr>
        <w:pStyle w:val="59"/>
        <w:widowControl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4、所投产品要求与院内系统高度集成、互联互通，数据统一共享。</w:t>
      </w:r>
    </w:p>
    <w:p>
      <w:pPr>
        <w:pStyle w:val="59"/>
        <w:widowControl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5、项目验收应满足三级医院评审、电子病历4级，互联互通测试3级相关要求。</w:t>
      </w:r>
    </w:p>
    <w:p>
      <w:pPr>
        <w:pStyle w:val="59"/>
        <w:widowControl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6、软硬件质保</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年。质保期内公司有新版本免费升级。</w:t>
      </w:r>
      <w:bookmarkStart w:id="345" w:name="_Toc15047"/>
    </w:p>
    <w:p>
      <w:pPr>
        <w:pStyle w:val="4"/>
        <w:keepNext/>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三、项目要求</w:t>
      </w:r>
    </w:p>
    <w:p>
      <w:pPr>
        <w:pStyle w:val="4"/>
        <w:keepNext/>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技术要求</w:t>
      </w:r>
      <w:bookmarkEnd w:id="344"/>
      <w:bookmarkEnd w:id="345"/>
      <w:bookmarkStart w:id="346" w:name="_Toc132710028"/>
    </w:p>
    <w:bookmarkEnd w:id="346"/>
    <w:tbl>
      <w:tblPr>
        <w:tblStyle w:val="24"/>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519"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技术规格和服务要求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服务器数量一台，硬件配置不低于以下配置：</w:t>
            </w:r>
          </w:p>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CPU：英特尔（Intel）i9-10900X及以上</w:t>
            </w:r>
          </w:p>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内存：≥64GB及以上，DDR4或DDR5</w:t>
            </w:r>
          </w:p>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GPU： ≥A4000及以上</w:t>
            </w:r>
          </w:p>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系统存储单元：SATA SSD固态盘，容量≥500G</w:t>
            </w:r>
          </w:p>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影像存储单元：≥24TB</w:t>
            </w:r>
          </w:p>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网卡：≥千兆有线网卡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支持常见医疗影像设备直接连接，在统一网络环境中可以支持影像设备的主动推送DICOM影像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支持医院PACS/RIS系统对接，传输DICOM图像信息及RIS跳转整合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具有影像过滤功能，可以快速且有效地筛选需要的影像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支持常见的NFS协议，支持虚拟硬盘远程挂载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1.6</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支持将AI预测结果归档回传PACS，将带AI预测结果的影像长期存储在PACS，并可应用PACS所有功能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产品方案厂商：具备ITSS 信息技术服务标准符合性证书，评估等级至少为三级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8</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有过</w:t>
            </w:r>
            <w:r>
              <w:rPr>
                <w:rFonts w:hint="eastAsia" w:ascii="仿宋" w:hAnsi="仿宋" w:eastAsia="仿宋" w:cs="仿宋"/>
                <w:sz w:val="24"/>
                <w:szCs w:val="24"/>
                <w:highlight w:val="none"/>
              </w:rPr>
              <w:t>肺结节EGFR突变预测研究，在至少三个验证集的大小亚组分析中，2到3cm的表现AUC&gt;0.82；同时对应的病理分类表现 AUC&gt;0.92，且准确性&gt;0.89</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9</w:t>
            </w:r>
          </w:p>
        </w:tc>
        <w:tc>
          <w:tcPr>
            <w:tcW w:w="7519" w:type="dxa"/>
            <w:vAlign w:val="center"/>
          </w:tcPr>
          <w:p>
            <w:pPr>
              <w:pStyle w:val="59"/>
              <w:widowControl w:val="0"/>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产品方案胸肺AI产品具备中华人民共和国医疗器械注册证（三类证）</w:t>
            </w:r>
            <w:r>
              <w:rPr>
                <w:rFonts w:hint="eastAsia" w:ascii="仿宋" w:hAnsi="仿宋" w:eastAsia="仿宋" w:cs="仿宋"/>
                <w:sz w:val="24"/>
                <w:szCs w:val="24"/>
                <w:highlight w:val="none"/>
                <w:lang w:eastAsia="zh-CN"/>
              </w:rPr>
              <w:t>；</w:t>
            </w:r>
          </w:p>
        </w:tc>
      </w:tr>
    </w:tbl>
    <w:p>
      <w:pPr>
        <w:pStyle w:val="5"/>
        <w:numPr>
          <w:ilvl w:val="2"/>
          <w:numId w:val="0"/>
        </w:numPr>
        <w:ind w:leftChars="0"/>
        <w:rPr>
          <w:rFonts w:hint="eastAsia" w:ascii="仿宋" w:hAnsi="仿宋" w:eastAsia="仿宋" w:cs="仿宋"/>
          <w:sz w:val="24"/>
          <w:szCs w:val="24"/>
          <w:highlight w:val="none"/>
        </w:rPr>
      </w:pPr>
      <w:bookmarkStart w:id="347" w:name="_Toc23897"/>
      <w:bookmarkStart w:id="348" w:name="_Toc132710029"/>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系统显示功能</w:t>
      </w:r>
      <w:bookmarkEnd w:id="347"/>
      <w:bookmarkEnd w:id="348"/>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479"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技术规格和服务要求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7479" w:type="dxa"/>
            <w:vAlign w:val="center"/>
          </w:tcPr>
          <w:p>
            <w:pPr>
              <w:pStyle w:val="59"/>
              <w:widowControl w:val="0"/>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系统显示功能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具备图像长度测量工具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具备图像角度测量工具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w:t>
            </w:r>
          </w:p>
        </w:tc>
        <w:tc>
          <w:tcPr>
            <w:tcW w:w="7479" w:type="dxa"/>
            <w:vAlign w:val="center"/>
          </w:tcPr>
          <w:p>
            <w:pPr>
              <w:pStyle w:val="59"/>
              <w:widowControl w:val="0"/>
              <w:spacing w:line="360" w:lineRule="auto"/>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肺结节影像增强查看工具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1.3.1</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具备结节标记框的显示与隐藏功能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1.3.2</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支持序列电影播放功能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1.3.3</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具备位置探针，点击即时实现像素CT值测量</w:t>
            </w:r>
          </w:p>
        </w:tc>
      </w:tr>
    </w:tbl>
    <w:p>
      <w:pPr>
        <w:ind w:firstLine="480"/>
        <w:rPr>
          <w:rFonts w:hint="eastAsia" w:ascii="仿宋" w:hAnsi="仿宋" w:eastAsia="仿宋" w:cs="仿宋"/>
          <w:sz w:val="24"/>
          <w:szCs w:val="24"/>
          <w:highlight w:val="none"/>
        </w:rPr>
      </w:pPr>
    </w:p>
    <w:p>
      <w:pPr>
        <w:pStyle w:val="5"/>
        <w:numPr>
          <w:ilvl w:val="2"/>
          <w:numId w:val="0"/>
        </w:numPr>
        <w:ind w:leftChars="0"/>
        <w:rPr>
          <w:rFonts w:hint="eastAsia" w:ascii="仿宋" w:hAnsi="仿宋" w:eastAsia="仿宋" w:cs="仿宋"/>
          <w:sz w:val="24"/>
          <w:szCs w:val="24"/>
          <w:highlight w:val="none"/>
        </w:rPr>
      </w:pPr>
      <w:bookmarkStart w:id="349" w:name="_Toc32274"/>
      <w:bookmarkStart w:id="350" w:name="_Toc132710030"/>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处理系统</w:t>
      </w:r>
      <w:bookmarkEnd w:id="349"/>
      <w:bookmarkEnd w:id="350"/>
    </w:p>
    <w:tbl>
      <w:tblPr>
        <w:tblStyle w:val="23"/>
        <w:tblpPr w:leftFromText="180" w:rightFromText="180" w:vertAnchor="text" w:tblpXSpec="center" w:tblpY="1"/>
        <w:tblOverlap w:val="never"/>
        <w:tblW w:w="8495" w:type="dxa"/>
        <w:tblInd w:w="0" w:type="dxa"/>
        <w:tblLayout w:type="autofit"/>
        <w:tblCellMar>
          <w:top w:w="0" w:type="dxa"/>
          <w:left w:w="108" w:type="dxa"/>
          <w:bottom w:w="0" w:type="dxa"/>
          <w:right w:w="108" w:type="dxa"/>
        </w:tblCellMar>
      </w:tblPr>
      <w:tblGrid>
        <w:gridCol w:w="1124"/>
        <w:gridCol w:w="7371"/>
      </w:tblGrid>
      <w:tr>
        <w:tblPrEx>
          <w:tblCellMar>
            <w:top w:w="0" w:type="dxa"/>
            <w:left w:w="108" w:type="dxa"/>
            <w:bottom w:w="0" w:type="dxa"/>
            <w:right w:w="108" w:type="dxa"/>
          </w:tblCellMar>
        </w:tblPrEx>
        <w:trPr>
          <w:trHeight w:val="540" w:hRule="atLeast"/>
        </w:trPr>
        <w:tc>
          <w:tcPr>
            <w:tcW w:w="112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7371" w:type="dxa"/>
            <w:tcBorders>
              <w:top w:val="single" w:color="auto" w:sz="8" w:space="0"/>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病灶增强显示功能</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自动显示医学图像中的肺结节，并用图框标注出来</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将所有检测出的结节/影像学异常表现以列表形式展现在界面上</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1.3</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系统自动给出结节性质信息，</w:t>
            </w:r>
            <w:r>
              <w:rPr>
                <w:rFonts w:hint="eastAsia" w:ascii="仿宋" w:hAnsi="仿宋" w:eastAsia="仿宋" w:cs="仿宋"/>
                <w:sz w:val="24"/>
                <w:szCs w:val="24"/>
                <w:highlight w:val="none"/>
                <w:lang w:eastAsia="zh-CN"/>
              </w:rPr>
              <w:t>包括但不限于</w:t>
            </w:r>
            <w:r>
              <w:rPr>
                <w:rFonts w:hint="eastAsia" w:ascii="仿宋" w:hAnsi="仿宋" w:eastAsia="仿宋" w:cs="仿宋"/>
                <w:sz w:val="24"/>
                <w:szCs w:val="24"/>
                <w:highlight w:val="none"/>
              </w:rPr>
              <w:t>磨玻璃结节、混合磨玻璃结节、疑似肿块、实性结节、叶间裂结节、钙化结节等</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1.4</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自动给出结节长径数据和平均径、结节体积、结节密度数据</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1.5</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自动给出结节位置信息（肺叶/肺段位置）</w:t>
            </w:r>
          </w:p>
        </w:tc>
      </w:tr>
      <w:tr>
        <w:tblPrEx>
          <w:tblCellMar>
            <w:top w:w="0" w:type="dxa"/>
            <w:left w:w="108" w:type="dxa"/>
            <w:bottom w:w="0" w:type="dxa"/>
            <w:right w:w="108" w:type="dxa"/>
          </w:tblCellMar>
        </w:tblPrEx>
        <w:trPr>
          <w:trHeight w:val="777"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1.6</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自动调取病人历史影像数据，无需手动输入，实现前后片联动，对比分析结节历史影像表现，直观显示结节变化等信息，提供功能截图</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支持MPR功能显示结节，多角度观察结节</w:t>
            </w:r>
          </w:p>
        </w:tc>
      </w:tr>
      <w:tr>
        <w:tblPrEx>
          <w:tblCellMar>
            <w:top w:w="0" w:type="dxa"/>
            <w:left w:w="108" w:type="dxa"/>
            <w:bottom w:w="0" w:type="dxa"/>
            <w:right w:w="108" w:type="dxa"/>
          </w:tblCellMar>
        </w:tblPrEx>
        <w:trPr>
          <w:trHeight w:val="897"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1.8</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支持最大/最小密度（MIP/MinIP）投影重建功能，并支持轴位，矢状位，冠状位保持同步</w:t>
            </w:r>
          </w:p>
        </w:tc>
      </w:tr>
      <w:tr>
        <w:tblPrEx>
          <w:tblCellMar>
            <w:top w:w="0" w:type="dxa"/>
            <w:left w:w="108" w:type="dxa"/>
            <w:bottom w:w="0" w:type="dxa"/>
            <w:right w:w="108" w:type="dxa"/>
          </w:tblCellMar>
        </w:tblPrEx>
        <w:trPr>
          <w:trHeight w:val="897"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1.9</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支持轴位、矢状位、冠状位的MIP/MinIP，支持投射层数同步调节</w:t>
            </w:r>
          </w:p>
        </w:tc>
      </w:tr>
      <w:tr>
        <w:tblPrEx>
          <w:tblCellMar>
            <w:top w:w="0" w:type="dxa"/>
            <w:left w:w="108" w:type="dxa"/>
            <w:bottom w:w="0" w:type="dxa"/>
            <w:right w:w="108" w:type="dxa"/>
          </w:tblCellMar>
        </w:tblPrEx>
        <w:trPr>
          <w:trHeight w:val="852"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1.10</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结节排序功能，应包括按层面数，结节类型，长径大小，不同排序方式</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结节筛选功能，应包括结节类型，长径大小；应具备多条件组合筛选，以满足特殊筛选需求</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按照结节大小，有选择地隐藏和显示感兴趣的结节</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1.13</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快速点击实现检出结节病灶的放大，移动及测量的功能，提高工作效率</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1.14</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不同层厚间的适配功能，实现用于诊断的序列结节所在位置快速映射打印序列结节的所在位置。</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1.15</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层厚适配功能的映射序列的层厚可自定义修改</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1.16</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提供用户反馈功能</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系统标准科研功能</w:t>
            </w:r>
          </w:p>
        </w:tc>
      </w:tr>
      <w:tr>
        <w:tblPrEx>
          <w:tblCellMar>
            <w:top w:w="0" w:type="dxa"/>
            <w:left w:w="108" w:type="dxa"/>
            <w:bottom w:w="0" w:type="dxa"/>
            <w:right w:w="108" w:type="dxa"/>
          </w:tblCellMar>
        </w:tblPrEx>
        <w:trPr>
          <w:trHeight w:val="793"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自动给出结节密度数据与影像组学特征数据，并提供密度直方图</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831"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应提供结节的CT最大值、最小值、平均值、中位数、标准值、实性占比等信息</w:t>
            </w:r>
          </w:p>
        </w:tc>
      </w:tr>
      <w:tr>
        <w:tblPrEx>
          <w:tblCellMar>
            <w:top w:w="0" w:type="dxa"/>
            <w:left w:w="108" w:type="dxa"/>
            <w:bottom w:w="0" w:type="dxa"/>
            <w:right w:w="108" w:type="dxa"/>
          </w:tblCellMar>
        </w:tblPrEx>
        <w:trPr>
          <w:trHeight w:val="745"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应提供结节的紧凑度、偏度、峰度、球形度、能量以及结节的熵等结节的影像组学信息</w:t>
            </w:r>
          </w:p>
        </w:tc>
      </w:tr>
      <w:tr>
        <w:tblPrEx>
          <w:tblCellMar>
            <w:top w:w="0" w:type="dxa"/>
            <w:left w:w="108" w:type="dxa"/>
            <w:bottom w:w="0" w:type="dxa"/>
            <w:right w:w="108" w:type="dxa"/>
          </w:tblCellMar>
        </w:tblPrEx>
        <w:trPr>
          <w:trHeight w:val="797"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2.2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为满足临床工作需要，系统支持自动给出结节表征信息，包括</w:t>
            </w:r>
            <w:r>
              <w:rPr>
                <w:rFonts w:hint="eastAsia" w:ascii="仿宋" w:hAnsi="仿宋" w:eastAsia="仿宋" w:cs="仿宋"/>
                <w:sz w:val="24"/>
                <w:szCs w:val="24"/>
                <w:highlight w:val="none"/>
                <w:lang w:eastAsia="zh-CN"/>
              </w:rPr>
              <w:t>但不限于</w:t>
            </w:r>
            <w:r>
              <w:rPr>
                <w:rFonts w:hint="eastAsia" w:ascii="仿宋" w:hAnsi="仿宋" w:eastAsia="仿宋" w:cs="仿宋"/>
                <w:sz w:val="24"/>
                <w:szCs w:val="24"/>
                <w:highlight w:val="none"/>
              </w:rPr>
              <w:t>毛刺、分叶、光滑、空泡、囊状结构、卫星灶、胸膜凹陷、混杂密度、牛眼征、空气新月征等，至少支持29种，提供证明材料（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支持对所选病例设置最高优先级，加速优先处理</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支持任意两次随访图像结果进行对比</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支持本地上传患者历史数据，并与患者当前影像对比</w:t>
            </w:r>
          </w:p>
        </w:tc>
      </w:tr>
      <w:tr>
        <w:tblPrEx>
          <w:tblCellMar>
            <w:top w:w="0" w:type="dxa"/>
            <w:left w:w="108" w:type="dxa"/>
            <w:bottom w:w="0" w:type="dxa"/>
            <w:right w:w="108" w:type="dxa"/>
          </w:tblCellMar>
        </w:tblPrEx>
        <w:trPr>
          <w:trHeight w:val="1074"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当前后片功能开启时，点击任一结节，提供前后片的长短径、体积，CT值（最大、最小值）的数值变化，体积趋势预估图和显示倍增时间</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82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2.4.3</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当前后片功能开启时，点击任一结节，提供前后片的实性部分占比变化</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744"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2.4.4</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当前后片功能开启时，点击任一结节，提供前后片的结节表征变化</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▲2.5</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内置AI智能数据库，根据当前浏览影像，AI自动提供类似影像特征的图像，至少可提供5例相似病例。相似病例具备病灶相似度百分比、结节实性占比和病理信息描述，用于辅助当前病例诊断与教学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sz w:val="24"/>
                <w:szCs w:val="24"/>
                <w:highlight w:val="none"/>
              </w:rPr>
              <w:t>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2.6</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同时具备Brock、Mayo两种肺癌风险评估模型，结合患者年龄、性别，合并肺癌家族史与肺气肿史，评估结节的恶性概率，提供证明材料（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2.7</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支持危急值报警功能，至少支持肿块、肺炎、骨折、COPD、肺动脉高压、淋巴结肿大的检出自动预警，提供证明材料（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sz w:val="24"/>
                <w:szCs w:val="24"/>
                <w:highlight w:val="none"/>
              </w:rPr>
              <w:t>2.8</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sz w:val="24"/>
                <w:szCs w:val="24"/>
                <w:highlight w:val="none"/>
              </w:rPr>
              <w:t>结节风险等级评估：可对检出的肺结节按照恶性概率进行风险评估（低风险、中风险、高风险），基于深度学习神经网络预测结节恶性程度的AUC&gt;0.84</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2.9</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为满足临床科研类需求，系统支持配置科研模块，可配置的疾病至少包括肺栓塞分割、气胸分割、胸腔积液分割、纵膈多病种、心包积液分割、主动脉瓣钙化分割等，提供证明材料（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患者随访管理科研模块</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具备加入随访功能</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3.2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具备将随访结果一键加入患者随访管理系统中，提供证明材料（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3.3</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在随访系统中可查询、添加、删除、归档患者任意一次随访记录</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3.4</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sz w:val="24"/>
                <w:szCs w:val="24"/>
                <w:highlight w:val="none"/>
                <w:lang w:eastAsia="zh-CN"/>
              </w:rPr>
            </w:pPr>
            <w:r>
              <w:rPr>
                <w:rFonts w:hint="eastAsia" w:ascii="仿宋" w:hAnsi="仿宋" w:eastAsia="仿宋" w:cs="仿宋"/>
                <w:color w:val="000000" w:themeColor="text1"/>
                <w:sz w:val="24"/>
                <w:szCs w:val="24"/>
                <w:highlight w:val="none"/>
                <w14:textFill>
                  <w14:solidFill>
                    <w14:schemeClr w14:val="tx1"/>
                  </w14:solidFill>
                </w14:textFill>
              </w:rPr>
              <w:t>在随访系统中基于Recist疗效评估方法，提供给医生评估建议作为参考</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3.5</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sz w:val="24"/>
                <w:szCs w:val="24"/>
                <w:highlight w:val="none"/>
              </w:rPr>
              <w:t>具备病例收藏功能，且收藏列表支持批量修改和批量删除，并有单独控件</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▲3.6</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为方便医生工作，系统至少提供9种随访指南，例如：NCCN指南、RADS指南、Fleischner指南、肺结节中国专家共识指南、肺结节亚洲共识指南、中国肺癌筛查标准、中国县域肺癌筛查共识、亚太指南、ACCP指南等</w:t>
            </w:r>
            <w:r>
              <w:rPr>
                <w:rFonts w:hint="eastAsia" w:ascii="仿宋" w:hAnsi="仿宋" w:eastAsia="仿宋" w:cs="仿宋"/>
                <w:sz w:val="24"/>
                <w:szCs w:val="24"/>
                <w:highlight w:val="none"/>
              </w:rPr>
              <w:t>，提供证明材料（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结构化报告</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4.1</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提供不少于20种结构化报告模板</w:t>
            </w:r>
            <w:r>
              <w:rPr>
                <w:rFonts w:hint="eastAsia" w:ascii="仿宋" w:hAnsi="仿宋" w:eastAsia="仿宋" w:cs="仿宋"/>
                <w:sz w:val="24"/>
                <w:szCs w:val="24"/>
                <w:highlight w:val="none"/>
                <w:lang w:eastAsia="zh-CN"/>
              </w:rPr>
              <w:t>；</w:t>
            </w:r>
          </w:p>
        </w:tc>
      </w:tr>
      <w:tr>
        <w:tblPrEx>
          <w:tblCellMar>
            <w:top w:w="0" w:type="dxa"/>
            <w:left w:w="108" w:type="dxa"/>
            <w:bottom w:w="0" w:type="dxa"/>
            <w:right w:w="108" w:type="dxa"/>
          </w:tblCellMar>
        </w:tblPrEx>
        <w:trPr>
          <w:trHeight w:val="540" w:hRule="atLeast"/>
        </w:trPr>
        <w:tc>
          <w:tcPr>
            <w:tcW w:w="1124" w:type="dxa"/>
            <w:tcBorders>
              <w:top w:val="nil"/>
              <w:left w:val="single" w:color="auto" w:sz="8" w:space="0"/>
              <w:bottom w:val="single" w:color="auto" w:sz="8" w:space="0"/>
              <w:right w:val="single" w:color="auto" w:sz="8" w:space="0"/>
            </w:tcBorders>
            <w:shd w:val="clear" w:color="auto" w:fill="auto"/>
            <w:vAlign w:val="center"/>
          </w:tcPr>
          <w:p>
            <w:pPr>
              <w:pStyle w:val="59"/>
              <w:jc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▲4.2</w:t>
            </w:r>
          </w:p>
        </w:tc>
        <w:tc>
          <w:tcPr>
            <w:tcW w:w="7371" w:type="dxa"/>
            <w:tcBorders>
              <w:top w:val="nil"/>
              <w:left w:val="nil"/>
              <w:bottom w:val="single" w:color="auto" w:sz="8" w:space="0"/>
              <w:right w:val="single" w:color="auto" w:sz="8" w:space="0"/>
            </w:tcBorders>
            <w:shd w:val="clear" w:color="auto" w:fill="auto"/>
            <w:vAlign w:val="center"/>
          </w:tcPr>
          <w:p>
            <w:pPr>
              <w:pStyle w:val="59"/>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支持图文报告作为Dicom序列回传至PACS，支持保存、下载、归档，提供证明材料（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bl>
    <w:p>
      <w:pPr>
        <w:ind w:firstLine="480"/>
        <w:rPr>
          <w:rFonts w:hint="eastAsia" w:ascii="仿宋" w:hAnsi="仿宋" w:eastAsia="仿宋" w:cs="仿宋"/>
          <w:sz w:val="24"/>
          <w:szCs w:val="24"/>
          <w:highlight w:val="none"/>
        </w:rPr>
      </w:pPr>
    </w:p>
    <w:p>
      <w:pPr>
        <w:pStyle w:val="5"/>
        <w:numPr>
          <w:ilvl w:val="2"/>
          <w:numId w:val="0"/>
        </w:numPr>
        <w:ind w:leftChars="0"/>
        <w:rPr>
          <w:rFonts w:hint="eastAsia" w:ascii="仿宋" w:hAnsi="仿宋" w:eastAsia="仿宋" w:cs="仿宋"/>
          <w:sz w:val="24"/>
          <w:szCs w:val="24"/>
          <w:highlight w:val="none"/>
        </w:rPr>
      </w:pPr>
      <w:bookmarkStart w:id="351" w:name="_Toc27724"/>
      <w:bookmarkStart w:id="352" w:name="_Toc132710031"/>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其他要求</w:t>
      </w:r>
      <w:bookmarkEnd w:id="351"/>
      <w:bookmarkEnd w:id="352"/>
    </w:p>
    <w:tbl>
      <w:tblPr>
        <w:tblStyle w:val="2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7479"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w:t>
            </w:r>
          </w:p>
        </w:tc>
        <w:tc>
          <w:tcPr>
            <w:tcW w:w="7479" w:type="dxa"/>
            <w:vAlign w:val="center"/>
          </w:tcPr>
          <w:p>
            <w:pPr>
              <w:pStyle w:val="59"/>
              <w:widowControl w:val="0"/>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投标产品对超高分辨率（1024*1024）重建图像具有很好的兼容性（提供</w:t>
            </w:r>
            <w:r>
              <w:rPr>
                <w:rFonts w:hint="eastAsia" w:ascii="仿宋" w:hAnsi="仿宋" w:eastAsia="仿宋" w:cs="仿宋"/>
                <w:b/>
                <w:bCs/>
                <w:sz w:val="24"/>
                <w:szCs w:val="24"/>
                <w:highlight w:val="none"/>
                <w:lang w:val="en-US" w:eastAsia="zh-CN"/>
              </w:rPr>
              <w:t>第三方</w:t>
            </w:r>
            <w:r>
              <w:rPr>
                <w:rFonts w:hint="eastAsia" w:ascii="仿宋" w:hAnsi="仿宋" w:eastAsia="仿宋" w:cs="仿宋"/>
                <w:b/>
                <w:bCs/>
                <w:sz w:val="24"/>
                <w:szCs w:val="24"/>
                <w:highlight w:val="none"/>
              </w:rPr>
              <w:t>文献证明</w:t>
            </w:r>
            <w:r>
              <w:rPr>
                <w:rFonts w:hint="eastAsia" w:ascii="仿宋" w:hAnsi="仿宋" w:eastAsia="仿宋" w:cs="仿宋"/>
                <w:b/>
                <w:bCs/>
                <w:sz w:val="24"/>
                <w:szCs w:val="24"/>
                <w:highlight w:val="none"/>
                <w:lang w:val="en-US" w:eastAsia="zh-CN"/>
              </w:rPr>
              <w:t>或报告证明</w:t>
            </w: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1.1</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具备较高成熟度：产品对超高分辨率图像中＞4mm结节的敏感性＞97%，软件无版权纠纷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sz w:val="24"/>
                <w:szCs w:val="24"/>
                <w:highlight w:val="none"/>
              </w:rPr>
              <w:t>1.2</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对小结节具备高敏感性：产品对超高分辨率图像中≤4mm结节的敏感性＞96%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提供证明材料（</w:t>
            </w:r>
            <w:r>
              <w:rPr>
                <w:rFonts w:hint="eastAsia" w:ascii="仿宋" w:hAnsi="仿宋" w:eastAsia="仿宋" w:cs="仿宋"/>
                <w:sz w:val="24"/>
                <w:szCs w:val="24"/>
                <w:highlight w:val="none"/>
                <w:lang w:eastAsia="zh-CN"/>
              </w:rPr>
              <w:t>证明材料包括但不限于软件或官网功能截图等</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1.3</w:t>
            </w:r>
          </w:p>
        </w:tc>
        <w:tc>
          <w:tcPr>
            <w:tcW w:w="7479" w:type="dxa"/>
            <w:vAlign w:val="center"/>
          </w:tcPr>
          <w:p>
            <w:pPr>
              <w:pStyle w:val="59"/>
              <w:widowControl w:val="0"/>
              <w:spacing w:line="360" w:lineRule="auto"/>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对于超高分辨率图像中肺结节的总体敏感性≥97%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w:t>
            </w:r>
          </w:p>
        </w:tc>
        <w:tc>
          <w:tcPr>
            <w:tcW w:w="7479" w:type="dxa"/>
            <w:vAlign w:val="center"/>
          </w:tcPr>
          <w:p>
            <w:pPr>
              <w:pStyle w:val="59"/>
              <w:widowControl w:val="0"/>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投标产品对恶性亚实性结节的敏感度达到100%</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提供</w:t>
            </w:r>
            <w:r>
              <w:rPr>
                <w:rFonts w:hint="eastAsia" w:ascii="仿宋" w:hAnsi="仿宋" w:eastAsia="仿宋" w:cs="仿宋"/>
                <w:b/>
                <w:bCs/>
                <w:sz w:val="24"/>
                <w:szCs w:val="24"/>
                <w:highlight w:val="none"/>
                <w:lang w:val="en-US" w:eastAsia="zh-CN"/>
              </w:rPr>
              <w:t>第三方</w:t>
            </w:r>
            <w:r>
              <w:rPr>
                <w:rFonts w:hint="eastAsia" w:ascii="仿宋" w:hAnsi="仿宋" w:eastAsia="仿宋" w:cs="仿宋"/>
                <w:b/>
                <w:bCs/>
                <w:sz w:val="24"/>
                <w:szCs w:val="24"/>
                <w:highlight w:val="none"/>
              </w:rPr>
              <w:t>文献证明</w:t>
            </w:r>
            <w:r>
              <w:rPr>
                <w:rFonts w:hint="eastAsia" w:ascii="仿宋" w:hAnsi="仿宋" w:eastAsia="仿宋" w:cs="仿宋"/>
                <w:b/>
                <w:bCs/>
                <w:sz w:val="24"/>
                <w:szCs w:val="24"/>
                <w:highlight w:val="none"/>
                <w:lang w:val="en-US" w:eastAsia="zh-CN"/>
              </w:rPr>
              <w:t>或报告证明</w:t>
            </w:r>
            <w:r>
              <w:rPr>
                <w:rFonts w:hint="eastAsia" w:ascii="仿宋" w:hAnsi="仿宋" w:eastAsia="仿宋" w:cs="仿宋"/>
                <w:b/>
                <w:bCs/>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2.1</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投标产品对能谱平扫（TNC）图像和虚拟平扫（VNC）图像兼容性好，能有效检出病灶。对TNC和VNC中的恶性亚实性结节的敏感度达到100%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投标产品对恶性亚实性结节的敏感性高，在平扫和增强双期图像中均能实现100%的检出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pStyle w:val="59"/>
              <w:widowControl w:val="0"/>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color w:val="000000" w:themeColor="text1"/>
                <w:sz w:val="24"/>
                <w:szCs w:val="24"/>
                <w:highlight w:val="none"/>
                <w14:textFill>
                  <w14:solidFill>
                    <w14:schemeClr w14:val="tx1"/>
                  </w14:solidFill>
                </w14:textFill>
              </w:rPr>
              <w:t>▲3</w:t>
            </w:r>
          </w:p>
        </w:tc>
        <w:tc>
          <w:tcPr>
            <w:tcW w:w="7479" w:type="dxa"/>
            <w:vAlign w:val="center"/>
          </w:tcPr>
          <w:p>
            <w:pPr>
              <w:pStyle w:val="59"/>
              <w:widowControl w:val="0"/>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投标产品的版本必须为公司现有最新及最高版本</w:t>
            </w:r>
          </w:p>
        </w:tc>
      </w:tr>
    </w:tbl>
    <w:p>
      <w:pPr>
        <w:ind w:firstLine="480"/>
        <w:rPr>
          <w:rFonts w:hint="eastAsia" w:ascii="仿宋" w:hAnsi="仿宋" w:eastAsia="仿宋" w:cs="仿宋"/>
          <w:sz w:val="24"/>
          <w:szCs w:val="24"/>
          <w:highlight w:val="none"/>
        </w:rPr>
      </w:pPr>
    </w:p>
    <w:p>
      <w:pPr>
        <w:pageBreakBefore w:val="0"/>
        <w:kinsoku/>
        <w:wordWrap/>
        <w:overflowPunct/>
        <w:topLinePunct w:val="0"/>
        <w:autoSpaceDE/>
        <w:autoSpaceDN/>
        <w:bidi w:val="0"/>
        <w:adjustRightInd/>
        <w:snapToGrid w:val="0"/>
        <w:spacing w:line="360" w:lineRule="auto"/>
        <w:ind w:left="0"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p>
      <w:pPr>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szCs w:val="24"/>
          <w:highlight w:val="none"/>
        </w:rPr>
      </w:pPr>
      <w:bookmarkStart w:id="353" w:name="_Toc132710032"/>
      <w:r>
        <w:rPr>
          <w:rFonts w:hint="eastAsia" w:ascii="仿宋" w:hAnsi="仿宋" w:eastAsia="仿宋" w:cs="仿宋"/>
          <w:sz w:val="24"/>
          <w:szCs w:val="24"/>
          <w:highlight w:val="none"/>
        </w:rPr>
        <w:t>1、本技术要求所提供的技术指标是最低限度的要求，供应商应保证提供符合本技术要求和相关标准的优质产品。对国家有关安全、环保等强制性标准，必须满足其要求。除本技术要求特殊规定外，招标文件中列出的标准和规程，如果已更新，供应商所提供的产品应按国家规定的标准和规程的最新版本进行供货。</w:t>
      </w:r>
    </w:p>
    <w:p>
      <w:pPr>
        <w:pStyle w:val="4"/>
        <w:pageBreakBefore w:val="0"/>
        <w:kinsoku/>
        <w:wordWrap/>
        <w:overflowPunct/>
        <w:topLinePunct w:val="0"/>
        <w:autoSpaceDE/>
        <w:autoSpaceDN/>
        <w:bidi w:val="0"/>
        <w:adjustRightInd/>
        <w:spacing w:line="360" w:lineRule="auto"/>
        <w:ind w:left="0" w:firstLine="482" w:firstLineChars="200"/>
        <w:jc w:val="both"/>
        <w:textAlignment w:val="auto"/>
        <w:rPr>
          <w:rFonts w:hint="eastAsia" w:ascii="仿宋" w:hAnsi="仿宋" w:eastAsia="仿宋" w:cs="仿宋"/>
          <w:sz w:val="24"/>
          <w:szCs w:val="24"/>
          <w:highlight w:val="none"/>
        </w:rPr>
      </w:pPr>
      <w:bookmarkStart w:id="354" w:name="_Toc13152"/>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信息系统互联互通要求</w:t>
      </w:r>
      <w:bookmarkEnd w:id="353"/>
      <w:bookmarkEnd w:id="354"/>
    </w:p>
    <w:p>
      <w:pPr>
        <w:pStyle w:val="5"/>
        <w:pageBreakBefore w:val="0"/>
        <w:numPr>
          <w:ilvl w:val="2"/>
          <w:numId w:val="0"/>
        </w:numPr>
        <w:kinsoku/>
        <w:wordWrap/>
        <w:overflowPunct/>
        <w:topLinePunct w:val="0"/>
        <w:autoSpaceDE/>
        <w:autoSpaceDN/>
        <w:bidi w:val="0"/>
        <w:adjustRightInd/>
        <w:spacing w:before="0" w:after="0" w:line="360" w:lineRule="auto"/>
        <w:ind w:left="0" w:leftChars="0" w:firstLine="482" w:firstLineChars="200"/>
        <w:textAlignment w:val="auto"/>
        <w:rPr>
          <w:rFonts w:hint="eastAsia" w:ascii="仿宋" w:hAnsi="仿宋" w:eastAsia="仿宋" w:cs="仿宋"/>
          <w:sz w:val="24"/>
          <w:szCs w:val="24"/>
          <w:highlight w:val="none"/>
        </w:rPr>
      </w:pPr>
      <w:bookmarkStart w:id="355" w:name="_Toc132710033"/>
      <w:bookmarkStart w:id="356" w:name="_Toc24584"/>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总体要求</w:t>
      </w:r>
      <w:bookmarkEnd w:id="355"/>
      <w:bookmarkEnd w:id="356"/>
    </w:p>
    <w:p>
      <w:pPr>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本项目以深度学习技术为核心构建的系统是智慧医院在智慧</w:t>
      </w:r>
      <w:r>
        <w:rPr>
          <w:rFonts w:hint="eastAsia" w:ascii="仿宋" w:hAnsi="仿宋" w:eastAsia="仿宋" w:cs="仿宋"/>
          <w:sz w:val="24"/>
          <w:szCs w:val="24"/>
          <w:highlight w:val="none"/>
          <w:lang w:eastAsia="zh-CN"/>
        </w:rPr>
        <w:t>医疗</w:t>
      </w:r>
      <w:r>
        <w:rPr>
          <w:rFonts w:hint="eastAsia" w:ascii="仿宋" w:hAnsi="仿宋" w:eastAsia="仿宋" w:cs="仿宋"/>
          <w:sz w:val="24"/>
          <w:szCs w:val="24"/>
          <w:highlight w:val="none"/>
        </w:rPr>
        <w:t>方面的重要</w:t>
      </w:r>
      <w:bookmarkStart w:id="357" w:name="_Toc3409149"/>
      <w:r>
        <w:rPr>
          <w:rFonts w:hint="eastAsia" w:ascii="仿宋" w:hAnsi="仿宋" w:eastAsia="仿宋" w:cs="仿宋"/>
          <w:sz w:val="24"/>
          <w:szCs w:val="24"/>
          <w:highlight w:val="none"/>
        </w:rPr>
        <w:t>应用，项目的建设必须结合医院信息化系统的总体规划</w:t>
      </w:r>
      <w:bookmarkEnd w:id="357"/>
      <w:r>
        <w:rPr>
          <w:rFonts w:hint="eastAsia" w:ascii="仿宋" w:hAnsi="仿宋" w:eastAsia="仿宋" w:cs="仿宋"/>
          <w:sz w:val="24"/>
          <w:szCs w:val="24"/>
          <w:highlight w:val="none"/>
        </w:rPr>
        <w:t>，确保系统设计能有效支撑业务应用的可靠、稳定运行与可持续发展，系统架构设计应遵循以下基本原则：</w:t>
      </w:r>
    </w:p>
    <w:p>
      <w:pPr>
        <w:pStyle w:val="37"/>
        <w:pageBreakBefore w:val="0"/>
        <w:numPr>
          <w:ilvl w:val="0"/>
          <w:numId w:val="2"/>
        </w:numPr>
        <w:kinsoku/>
        <w:wordWrap/>
        <w:overflowPunct/>
        <w:topLinePunct w:val="0"/>
        <w:autoSpaceDE/>
        <w:autoSpaceDN/>
        <w:bidi w:val="0"/>
        <w:adjustRightInd/>
        <w:spacing w:line="360" w:lineRule="auto"/>
        <w:ind w:left="0" w:firstLine="482" w:firstLineChars="200"/>
        <w:contextualSpacing/>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先进性</w:t>
      </w:r>
      <w:r>
        <w:rPr>
          <w:rFonts w:hint="eastAsia" w:ascii="仿宋" w:hAnsi="仿宋" w:eastAsia="仿宋" w:cs="仿宋"/>
          <w:sz w:val="24"/>
          <w:szCs w:val="24"/>
          <w:highlight w:val="none"/>
        </w:rPr>
        <w:t>：在系统设计和设备选型方面，在考虑系统的实用性前提下，应采用国际上先进的医疗影像识别算法与网络通讯技术。确保系统在国内的领先地位，使系统具有完备的功能，并且易于升级换代，在保证其先进性的前提下具有较长的生命周期。</w:t>
      </w:r>
    </w:p>
    <w:p>
      <w:pPr>
        <w:pStyle w:val="37"/>
        <w:pageBreakBefore w:val="0"/>
        <w:numPr>
          <w:ilvl w:val="0"/>
          <w:numId w:val="2"/>
        </w:numPr>
        <w:kinsoku/>
        <w:wordWrap/>
        <w:overflowPunct/>
        <w:topLinePunct w:val="0"/>
        <w:autoSpaceDE/>
        <w:autoSpaceDN/>
        <w:bidi w:val="0"/>
        <w:adjustRightInd/>
        <w:spacing w:line="360" w:lineRule="auto"/>
        <w:ind w:left="0" w:firstLine="482" w:firstLineChars="200"/>
        <w:contextualSpacing/>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实用性：</w:t>
      </w:r>
      <w:r>
        <w:rPr>
          <w:rFonts w:hint="eastAsia" w:ascii="仿宋" w:hAnsi="仿宋" w:eastAsia="仿宋" w:cs="仿宋"/>
          <w:sz w:val="24"/>
          <w:szCs w:val="24"/>
          <w:highlight w:val="none"/>
        </w:rPr>
        <w:t>平台建设要以服务医生高效诊断应用为目标，切合业务需求，与医院信息系统相结合，保证平台的各项功能能够满足医疗影像分析、医疗诊断、报告输出、临床应用等需要。</w:t>
      </w:r>
    </w:p>
    <w:p>
      <w:pPr>
        <w:pStyle w:val="37"/>
        <w:pageBreakBefore w:val="0"/>
        <w:numPr>
          <w:ilvl w:val="0"/>
          <w:numId w:val="2"/>
        </w:numPr>
        <w:kinsoku/>
        <w:wordWrap/>
        <w:overflowPunct/>
        <w:topLinePunct w:val="0"/>
        <w:autoSpaceDE/>
        <w:autoSpaceDN/>
        <w:bidi w:val="0"/>
        <w:adjustRightInd/>
        <w:spacing w:line="360" w:lineRule="auto"/>
        <w:ind w:left="0" w:firstLine="482" w:firstLineChars="200"/>
        <w:contextualSpacing/>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通用性</w:t>
      </w:r>
      <w:r>
        <w:rPr>
          <w:rFonts w:hint="eastAsia" w:ascii="仿宋" w:hAnsi="仿宋" w:eastAsia="仿宋" w:cs="仿宋"/>
          <w:sz w:val="24"/>
          <w:szCs w:val="24"/>
          <w:highlight w:val="none"/>
        </w:rPr>
        <w:t>：需要保障基础架构可以适配不同硬件环境，充分保障用户现有投资，降低总体建设成本，支持适配不同前端影像采集设备。</w:t>
      </w:r>
    </w:p>
    <w:p>
      <w:pPr>
        <w:pStyle w:val="37"/>
        <w:pageBreakBefore w:val="0"/>
        <w:numPr>
          <w:ilvl w:val="0"/>
          <w:numId w:val="2"/>
        </w:numPr>
        <w:kinsoku/>
        <w:wordWrap/>
        <w:overflowPunct/>
        <w:topLinePunct w:val="0"/>
        <w:autoSpaceDE/>
        <w:autoSpaceDN/>
        <w:bidi w:val="0"/>
        <w:adjustRightInd/>
        <w:spacing w:line="360" w:lineRule="auto"/>
        <w:ind w:left="0" w:firstLine="482" w:firstLineChars="200"/>
        <w:contextualSpacing/>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灵活性</w:t>
      </w:r>
      <w:r>
        <w:rPr>
          <w:rFonts w:hint="eastAsia" w:ascii="仿宋" w:hAnsi="仿宋" w:eastAsia="仿宋" w:cs="仿宋"/>
          <w:sz w:val="24"/>
          <w:szCs w:val="24"/>
          <w:highlight w:val="none"/>
        </w:rPr>
        <w:t>：由于医疗影像需要占用大量的网络带宽和计算资源，为了缓解资源压力，系统需要支持灵活的部署方式，根据医院网络资源与每日医疗影像数据量情况采取灵活的数据读取与数据传送方案。</w:t>
      </w:r>
    </w:p>
    <w:p>
      <w:pPr>
        <w:pStyle w:val="37"/>
        <w:pageBreakBefore w:val="0"/>
        <w:numPr>
          <w:ilvl w:val="0"/>
          <w:numId w:val="2"/>
        </w:numPr>
        <w:kinsoku/>
        <w:wordWrap/>
        <w:overflowPunct/>
        <w:topLinePunct w:val="0"/>
        <w:autoSpaceDE/>
        <w:autoSpaceDN/>
        <w:bidi w:val="0"/>
        <w:adjustRightInd/>
        <w:spacing w:line="360" w:lineRule="auto"/>
        <w:ind w:left="0" w:firstLine="482" w:firstLineChars="200"/>
        <w:contextualSpacing/>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可扩展性</w:t>
      </w:r>
      <w:r>
        <w:rPr>
          <w:rFonts w:hint="eastAsia" w:ascii="仿宋" w:hAnsi="仿宋" w:eastAsia="仿宋" w:cs="仿宋"/>
          <w:sz w:val="24"/>
          <w:szCs w:val="24"/>
          <w:highlight w:val="none"/>
        </w:rPr>
        <w:t>：系统的架构设计具有良好的兼容性和可扩展性，在以后的系统中方便与第三方系统集成，或扩充与其他设备产品的对接。</w:t>
      </w:r>
    </w:p>
    <w:p>
      <w:pPr>
        <w:pageBreakBefore w:val="0"/>
        <w:kinsoku/>
        <w:wordWrap/>
        <w:overflowPunct/>
        <w:topLinePunct w:val="0"/>
        <w:autoSpaceDE/>
        <w:autoSpaceDN/>
        <w:bidi w:val="0"/>
        <w:adjustRightInd/>
        <w:spacing w:line="360" w:lineRule="auto"/>
        <w:ind w:left="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安全性</w:t>
      </w:r>
      <w:r>
        <w:rPr>
          <w:rFonts w:hint="eastAsia" w:ascii="仿宋" w:hAnsi="仿宋" w:eastAsia="仿宋" w:cs="仿宋"/>
          <w:sz w:val="24"/>
          <w:szCs w:val="24"/>
          <w:highlight w:val="none"/>
        </w:rPr>
        <w:t>：医院病人的数据安全至关重要，其病历相关信息只能保存于后端服务器。系统需对读取到的病人基本信息进行脱敏或加密处理，在前端解析中心只保留具有对应关系的脱敏代码信息与影像数据，以确保病人数据安全。</w:t>
      </w:r>
    </w:p>
    <w:p>
      <w:pPr>
        <w:pStyle w:val="5"/>
        <w:pageBreakBefore w:val="0"/>
        <w:numPr>
          <w:ilvl w:val="2"/>
          <w:numId w:val="0"/>
        </w:numPr>
        <w:kinsoku/>
        <w:wordWrap/>
        <w:overflowPunct/>
        <w:topLinePunct w:val="0"/>
        <w:autoSpaceDE/>
        <w:autoSpaceDN/>
        <w:bidi w:val="0"/>
        <w:adjustRightInd/>
        <w:spacing w:before="0" w:after="0" w:line="360" w:lineRule="auto"/>
        <w:ind w:left="0" w:leftChars="0" w:firstLine="482" w:firstLineChars="200"/>
        <w:textAlignment w:val="auto"/>
        <w:rPr>
          <w:rFonts w:hint="eastAsia" w:ascii="仿宋" w:hAnsi="仿宋" w:eastAsia="仿宋" w:cs="仿宋"/>
          <w:sz w:val="24"/>
          <w:szCs w:val="24"/>
          <w:highlight w:val="none"/>
        </w:rPr>
      </w:pPr>
      <w:bookmarkStart w:id="358" w:name="_Toc28373"/>
      <w:bookmarkStart w:id="359" w:name="_Toc132710034"/>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系统对接要求</w:t>
      </w:r>
      <w:bookmarkEnd w:id="358"/>
      <w:bookmarkEnd w:id="359"/>
    </w:p>
    <w:p>
      <w:pPr>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系统免费与医院网络环境、PACS系统、CT设备在网络与应用层面通过TCP/IP协议与DICOM 3.0标准进行信息互通、数据共享。系统应免费与医院CT设备、PACS/RIS系统提供无缝对接</w:t>
      </w:r>
      <w:r>
        <w:rPr>
          <w:rFonts w:hint="eastAsia" w:ascii="仿宋" w:hAnsi="仿宋" w:eastAsia="仿宋" w:cs="仿宋"/>
          <w:color w:val="000000" w:themeColor="text1"/>
          <w:sz w:val="24"/>
          <w:szCs w:val="24"/>
          <w:highlight w:val="none"/>
          <w14:textFill>
            <w14:solidFill>
              <w14:schemeClr w14:val="tx1"/>
            </w14:solidFill>
          </w14:textFill>
        </w:rPr>
        <w:t>。系统供应商需提供系统服务器与医院信息系统互联互通的网络拓扑图。根据医院网络情况各不相同，应可提供三种连接方式，以适应医院的管理习惯和网络状况。</w:t>
      </w:r>
    </w:p>
    <w:p>
      <w:pPr>
        <w:pStyle w:val="6"/>
        <w:pageBreakBefore w:val="0"/>
        <w:kinsoku/>
        <w:wordWrap/>
        <w:overflowPunct/>
        <w:topLinePunct w:val="0"/>
        <w:autoSpaceDE/>
        <w:autoSpaceDN/>
        <w:bidi w:val="0"/>
        <w:adjustRightInd/>
        <w:spacing w:line="360" w:lineRule="auto"/>
        <w:ind w:left="0" w:firstLine="480" w:firstLineChars="200"/>
        <w:jc w:val="both"/>
        <w:textAlignment w:val="auto"/>
        <w:rPr>
          <w:rFonts w:hint="eastAsia" w:ascii="仿宋" w:hAnsi="仿宋" w:eastAsia="仿宋" w:cs="仿宋"/>
          <w:sz w:val="24"/>
          <w:szCs w:val="24"/>
          <w:highlight w:val="none"/>
        </w:rPr>
      </w:pPr>
      <w:bookmarkStart w:id="360" w:name="_Toc523748396"/>
      <w:bookmarkStart w:id="361" w:name="_Toc132710035"/>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RIS/PACS数据库直连方式</w:t>
      </w:r>
      <w:bookmarkEnd w:id="360"/>
      <w:bookmarkEnd w:id="361"/>
    </w:p>
    <w:p>
      <w:pPr>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支持主动在RIS/PACS数据库中通过数据库的定时查询功能检索当日产生的数据（对于前后片数据，</w:t>
      </w:r>
      <w:r>
        <w:rPr>
          <w:rFonts w:hint="eastAsia" w:ascii="仿宋" w:hAnsi="仿宋" w:eastAsia="仿宋" w:cs="仿宋"/>
          <w:color w:val="000000" w:themeColor="text1"/>
          <w:sz w:val="24"/>
          <w:szCs w:val="24"/>
          <w:highlight w:val="none"/>
          <w:lang w:eastAsia="zh-CN"/>
          <w14:textFill>
            <w14:solidFill>
              <w14:schemeClr w14:val="tx1"/>
            </w14:solidFill>
          </w14:textFill>
        </w:rPr>
        <w:t>具备</w:t>
      </w:r>
      <w:r>
        <w:rPr>
          <w:rFonts w:hint="eastAsia" w:ascii="仿宋" w:hAnsi="仿宋" w:eastAsia="仿宋" w:cs="仿宋"/>
          <w:color w:val="000000" w:themeColor="text1"/>
          <w:sz w:val="24"/>
          <w:szCs w:val="24"/>
          <w:highlight w:val="none"/>
          <w14:textFill>
            <w14:solidFill>
              <w14:schemeClr w14:val="tx1"/>
            </w14:solidFill>
          </w14:textFill>
        </w:rPr>
        <w:t>历史数据查询），并根据查到的相关病人基本信息，通过数据库中该病人关联影像的存储路径读取DICOM影像到服务器进行智能分析、报告。系统厂商需提供需要查询、读取的RIS/PACS数据库视图信息表。</w:t>
      </w:r>
    </w:p>
    <w:p>
      <w:pPr>
        <w:pStyle w:val="6"/>
        <w:pageBreakBefore w:val="0"/>
        <w:kinsoku/>
        <w:wordWrap/>
        <w:overflowPunct/>
        <w:topLinePunct w:val="0"/>
        <w:autoSpaceDE/>
        <w:autoSpaceDN/>
        <w:bidi w:val="0"/>
        <w:adjustRightInd/>
        <w:spacing w:line="360" w:lineRule="auto"/>
        <w:ind w:left="0" w:firstLine="480" w:firstLineChars="200"/>
        <w:jc w:val="both"/>
        <w:textAlignment w:val="auto"/>
        <w:rPr>
          <w:rFonts w:hint="eastAsia" w:ascii="仿宋" w:hAnsi="仿宋" w:eastAsia="仿宋" w:cs="仿宋"/>
          <w:sz w:val="24"/>
          <w:szCs w:val="24"/>
          <w:highlight w:val="none"/>
        </w:rPr>
      </w:pPr>
      <w:bookmarkStart w:id="362" w:name="_Toc132710036"/>
      <w:bookmarkStart w:id="363" w:name="_Toc523748397"/>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RIS/PACS转发</w:t>
      </w:r>
      <w:bookmarkEnd w:id="362"/>
      <w:bookmarkEnd w:id="363"/>
    </w:p>
    <w:p>
      <w:pPr>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由PACS服务器接收到影像采集设备发送的影像数据包后，可根据系统设置将指定影像数据（胸部CT等）转发给系统服务器。系统厂商需提供需要RIS/PACS系统厂商配合提供的工作站端口号、IP地址等设置方案。</w:t>
      </w:r>
    </w:p>
    <w:p>
      <w:pPr>
        <w:pStyle w:val="6"/>
        <w:pageBreakBefore w:val="0"/>
        <w:kinsoku/>
        <w:wordWrap/>
        <w:overflowPunct/>
        <w:topLinePunct w:val="0"/>
        <w:autoSpaceDE/>
        <w:autoSpaceDN/>
        <w:bidi w:val="0"/>
        <w:adjustRightInd/>
        <w:spacing w:line="360" w:lineRule="auto"/>
        <w:ind w:left="0" w:firstLine="480" w:firstLineChars="200"/>
        <w:jc w:val="both"/>
        <w:textAlignment w:val="auto"/>
        <w:rPr>
          <w:rFonts w:hint="eastAsia" w:ascii="仿宋" w:hAnsi="仿宋" w:eastAsia="仿宋" w:cs="仿宋"/>
          <w:sz w:val="24"/>
          <w:szCs w:val="24"/>
          <w:highlight w:val="none"/>
        </w:rPr>
      </w:pPr>
      <w:bookmarkStart w:id="364" w:name="_Toc523748398"/>
      <w:bookmarkStart w:id="365" w:name="_Toc132710037"/>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CT主控台直接发送数据到服务器</w:t>
      </w:r>
      <w:bookmarkEnd w:id="364"/>
      <w:bookmarkEnd w:id="365"/>
    </w:p>
    <w:p>
      <w:pPr>
        <w:pageBreakBefore w:val="0"/>
        <w:kinsoku/>
        <w:wordWrap/>
        <w:overflowPunct/>
        <w:topLinePunct w:val="0"/>
        <w:autoSpaceDE/>
        <w:autoSpaceDN/>
        <w:bidi w:val="0"/>
        <w:adjustRightInd/>
        <w:snapToGrid w:val="0"/>
        <w:spacing w:line="360" w:lineRule="auto"/>
        <w:ind w:left="0"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支持系统服务器与PACS系统并行接收CT DICOM影像数据，通过配置院方的CT机，CT机增加系统服务器节点，拍摄完CT后，CT机自动转发影像到系统服务器。</w:t>
      </w:r>
    </w:p>
    <w:p>
      <w:pPr>
        <w:pStyle w:val="5"/>
        <w:pageBreakBefore w:val="0"/>
        <w:numPr>
          <w:ilvl w:val="2"/>
          <w:numId w:val="0"/>
        </w:numPr>
        <w:kinsoku/>
        <w:wordWrap/>
        <w:overflowPunct/>
        <w:topLinePunct w:val="0"/>
        <w:autoSpaceDE/>
        <w:autoSpaceDN/>
        <w:bidi w:val="0"/>
        <w:adjustRightInd/>
        <w:spacing w:before="0" w:after="0" w:line="360" w:lineRule="auto"/>
        <w:ind w:left="0" w:leftChars="0" w:firstLine="482" w:firstLineChars="200"/>
        <w:textAlignment w:val="auto"/>
        <w:rPr>
          <w:rFonts w:hint="eastAsia" w:ascii="仿宋" w:hAnsi="仿宋" w:eastAsia="仿宋" w:cs="仿宋"/>
          <w:sz w:val="24"/>
          <w:szCs w:val="24"/>
          <w:highlight w:val="none"/>
        </w:rPr>
      </w:pPr>
      <w:bookmarkStart w:id="366" w:name="_Toc132710038"/>
      <w:bookmarkStart w:id="367" w:name="_Toc29904"/>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数据安全要求</w:t>
      </w:r>
      <w:bookmarkEnd w:id="366"/>
      <w:bookmarkEnd w:id="367"/>
    </w:p>
    <w:p>
      <w:pPr>
        <w:pageBreakBefore w:val="0"/>
        <w:kinsoku/>
        <w:wordWrap/>
        <w:overflowPunct/>
        <w:topLinePunct w:val="0"/>
        <w:autoSpaceDE/>
        <w:autoSpaceDN/>
        <w:bidi w:val="0"/>
        <w:adjustRightInd/>
        <w:spacing w:line="360" w:lineRule="auto"/>
        <w:ind w:left="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了确保系统内部数据的完整性、安全性和可靠性，系统必须提供有效的安全保密措施，确保整个系统的安全运行。病人数据的安全性是信息系统互联互通、对接过程中最关注的问题。对此，系统厂家需具备以下几点安全措施：</w:t>
      </w:r>
    </w:p>
    <w:p>
      <w:pPr>
        <w:pStyle w:val="58"/>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内网环境：</w:t>
      </w:r>
      <w:r>
        <w:rPr>
          <w:rFonts w:hint="eastAsia" w:ascii="仿宋" w:hAnsi="仿宋" w:eastAsia="仿宋" w:cs="仿宋"/>
          <w:sz w:val="24"/>
          <w:szCs w:val="24"/>
          <w:highlight w:val="none"/>
        </w:rPr>
        <w:t>系统服务器应用在医院内网中，和外界不接触。</w:t>
      </w:r>
    </w:p>
    <w:p>
      <w:pPr>
        <w:pStyle w:val="58"/>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选择性发送数据：</w:t>
      </w:r>
      <w:r>
        <w:rPr>
          <w:rFonts w:hint="eastAsia" w:ascii="仿宋" w:hAnsi="仿宋" w:eastAsia="仿宋" w:cs="仿宋"/>
          <w:sz w:val="24"/>
          <w:szCs w:val="24"/>
          <w:highlight w:val="none"/>
        </w:rPr>
        <w:t>发送到系统的DICOM数据可以有选择性，在系统上线前和医院对接人员协商敲定，比如，只发送胸部CT影像，其余类型的影像不会发送。</w:t>
      </w:r>
    </w:p>
    <w:p>
      <w:pPr>
        <w:pStyle w:val="58"/>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选择性接收数据：</w:t>
      </w:r>
      <w:r>
        <w:rPr>
          <w:rFonts w:hint="eastAsia" w:ascii="仿宋" w:hAnsi="仿宋" w:eastAsia="仿宋" w:cs="仿宋"/>
          <w:sz w:val="24"/>
          <w:szCs w:val="24"/>
          <w:highlight w:val="none"/>
        </w:rPr>
        <w:t>系统服务器接收数据应有选择性，如非胸部数据，非CT数据，非特定层厚，系统都不会接收。</w:t>
      </w:r>
    </w:p>
    <w:p>
      <w:pPr>
        <w:pStyle w:val="58"/>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rPr>
        <w:t>数据脱敏：</w:t>
      </w:r>
      <w:r>
        <w:rPr>
          <w:rFonts w:hint="eastAsia" w:ascii="仿宋" w:hAnsi="仿宋" w:eastAsia="仿宋" w:cs="仿宋"/>
          <w:sz w:val="24"/>
          <w:szCs w:val="24"/>
          <w:highlight w:val="none"/>
        </w:rPr>
        <w:t>系统接收数据的过程中，应对数据进行脱敏操作，DICOM文件中的敏感信息（如病人姓名等）应被清理，保存在系统本地服务器的是无敏感信息的数据。</w:t>
      </w:r>
    </w:p>
    <w:p>
      <w:pPr>
        <w:pStyle w:val="58"/>
        <w:pageBreakBefore w:val="0"/>
        <w:numPr>
          <w:ilvl w:val="0"/>
          <w:numId w:val="0"/>
        </w:numPr>
        <w:kinsoku/>
        <w:wordWrap/>
        <w:overflowPunct/>
        <w:topLinePunct w:val="0"/>
        <w:autoSpaceDE/>
        <w:autoSpaceDN/>
        <w:bidi w:val="0"/>
        <w:adjustRightInd/>
        <w:spacing w:line="360" w:lineRule="auto"/>
        <w:ind w:left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数据定时清理：</w:t>
      </w:r>
      <w:r>
        <w:rPr>
          <w:rFonts w:hint="eastAsia" w:ascii="仿宋" w:hAnsi="仿宋" w:eastAsia="仿宋" w:cs="仿宋"/>
          <w:sz w:val="24"/>
          <w:szCs w:val="24"/>
          <w:highlight w:val="none"/>
        </w:rPr>
        <w:t>系统服务器中的数据在本地保存时间应可以指定，例如：可以设置为1到2月，过期应自动删除。</w:t>
      </w:r>
    </w:p>
    <w:p>
      <w:pPr>
        <w:pageBreakBefore w:val="0"/>
        <w:kinsoku/>
        <w:wordWrap/>
        <w:overflowPunct/>
        <w:topLinePunct w:val="0"/>
        <w:autoSpaceDE/>
        <w:autoSpaceDN/>
        <w:bidi w:val="0"/>
        <w:adjustRightInd/>
        <w:spacing w:line="360" w:lineRule="auto"/>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系统应免费对接医院、上级主管单位相关平台等系统，并做到数据共享。</w:t>
      </w:r>
    </w:p>
    <w:p>
      <w:pPr>
        <w:rPr>
          <w:rFonts w:hint="eastAsia"/>
          <w:highlight w:val="none"/>
          <w:lang w:val="zh-CN"/>
        </w:rPr>
      </w:pPr>
    </w:p>
    <w:bookmarkEnd w:id="333"/>
    <w:bookmarkEnd w:id="334"/>
    <w:bookmarkEnd w:id="335"/>
    <w:bookmarkEnd w:id="336"/>
    <w:bookmarkEnd w:id="337"/>
    <w:bookmarkEnd w:id="338"/>
    <w:bookmarkEnd w:id="339"/>
    <w:bookmarkEnd w:id="340"/>
    <w:p>
      <w:pPr>
        <w:pageBreakBefore/>
        <w:numPr>
          <w:ilvl w:val="0"/>
          <w:numId w:val="3"/>
        </w:numPr>
        <w:adjustRightInd w:val="0"/>
        <w:snapToGrid w:val="0"/>
        <w:spacing w:line="360" w:lineRule="auto"/>
        <w:jc w:val="center"/>
        <w:outlineLvl w:val="0"/>
        <w:rPr>
          <w:rFonts w:hint="eastAsia" w:ascii="仿宋" w:hAnsi="仿宋" w:eastAsia="仿宋" w:cs="仿宋"/>
          <w:b/>
          <w:color w:val="auto"/>
          <w:sz w:val="32"/>
          <w:szCs w:val="32"/>
          <w:highlight w:val="none"/>
          <w:lang w:val="zh-CN"/>
        </w:rPr>
      </w:pPr>
      <w:bookmarkStart w:id="368" w:name="_Toc25524"/>
      <w:bookmarkStart w:id="369" w:name="_Toc8548"/>
      <w:bookmarkStart w:id="370" w:name="_Toc6869"/>
      <w:bookmarkStart w:id="371" w:name="_Toc23736"/>
      <w:bookmarkStart w:id="372" w:name="_Toc30412"/>
      <w:bookmarkStart w:id="373" w:name="_Toc15680"/>
      <w:bookmarkStart w:id="374" w:name="_Toc20745"/>
      <w:bookmarkStart w:id="375" w:name="_Toc14093"/>
      <w:bookmarkStart w:id="376" w:name="_Toc475451547"/>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val="zh-CN"/>
        </w:rPr>
        <w:t xml:space="preserve"> </w:t>
      </w:r>
      <w:bookmarkStart w:id="377" w:name="_Toc5583"/>
      <w:bookmarkStart w:id="378" w:name="_Toc14760"/>
      <w:r>
        <w:rPr>
          <w:rFonts w:hint="eastAsia" w:ascii="仿宋" w:hAnsi="仿宋" w:eastAsia="仿宋" w:cs="仿宋"/>
          <w:b/>
          <w:color w:val="auto"/>
          <w:sz w:val="32"/>
          <w:szCs w:val="32"/>
          <w:highlight w:val="none"/>
          <w:lang w:val="zh-CN"/>
        </w:rPr>
        <w:t>合同条款及格式</w:t>
      </w:r>
      <w:bookmarkEnd w:id="377"/>
      <w:bookmarkEnd w:id="378"/>
    </w:p>
    <w:p>
      <w:pPr>
        <w:tabs>
          <w:tab w:val="left" w:pos="5670"/>
        </w:tabs>
        <w:autoSpaceDE w:val="0"/>
        <w:autoSpaceDN w:val="0"/>
        <w:adjustRightInd w:val="0"/>
        <w:snapToGrid w:val="0"/>
        <w:spacing w:line="360" w:lineRule="auto"/>
        <w:jc w:val="center"/>
        <w:rPr>
          <w:rFonts w:hint="eastAsia" w:ascii="仿宋" w:hAnsi="仿宋" w:eastAsia="仿宋" w:cs="仿宋"/>
          <w:b/>
          <w:bCs/>
          <w:sz w:val="44"/>
          <w:szCs w:val="44"/>
          <w:highlight w:val="none"/>
        </w:rPr>
      </w:pPr>
    </w:p>
    <w:p>
      <w:pPr>
        <w:tabs>
          <w:tab w:val="left" w:pos="5670"/>
        </w:tabs>
        <w:autoSpaceDE w:val="0"/>
        <w:autoSpaceDN w:val="0"/>
        <w:adjustRightInd w:val="0"/>
        <w:snapToGrid w:val="0"/>
        <w:spacing w:line="360" w:lineRule="auto"/>
        <w:jc w:val="center"/>
        <w:rPr>
          <w:rFonts w:hint="eastAsia" w:ascii="仿宋" w:hAnsi="仿宋" w:eastAsia="仿宋" w:cs="仿宋"/>
          <w:b/>
          <w:bCs/>
          <w:sz w:val="44"/>
          <w:szCs w:val="44"/>
          <w:highlight w:val="none"/>
        </w:rPr>
      </w:pPr>
    </w:p>
    <w:p>
      <w:pPr>
        <w:tabs>
          <w:tab w:val="left" w:pos="5670"/>
        </w:tabs>
        <w:autoSpaceDE w:val="0"/>
        <w:autoSpaceDN w:val="0"/>
        <w:adjustRightInd w:val="0"/>
        <w:snapToGrid w:val="0"/>
        <w:spacing w:line="36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镇巴县人民医院PACS及肺小结节智能诊断系统采购项目</w:t>
      </w:r>
    </w:p>
    <w:p>
      <w:pPr>
        <w:tabs>
          <w:tab w:val="left" w:pos="5670"/>
        </w:tabs>
        <w:autoSpaceDE w:val="0"/>
        <w:autoSpaceDN w:val="0"/>
        <w:adjustRightInd w:val="0"/>
        <w:snapToGrid w:val="0"/>
        <w:spacing w:line="360" w:lineRule="auto"/>
        <w:jc w:val="center"/>
        <w:rPr>
          <w:rFonts w:hint="eastAsia" w:ascii="宋体" w:hAnsi="宋体" w:cs="宋体"/>
          <w:b/>
          <w:bCs/>
          <w:sz w:val="44"/>
          <w:szCs w:val="44"/>
          <w:highlight w:val="none"/>
          <w:lang w:val="en-US" w:eastAsia="zh-CN"/>
        </w:rPr>
      </w:pPr>
    </w:p>
    <w:p>
      <w:pPr>
        <w:tabs>
          <w:tab w:val="left" w:pos="5670"/>
        </w:tabs>
        <w:autoSpaceDE w:val="0"/>
        <w:autoSpaceDN w:val="0"/>
        <w:adjustRightInd w:val="0"/>
        <w:snapToGrid w:val="0"/>
        <w:spacing w:line="360" w:lineRule="auto"/>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val="en-US" w:eastAsia="zh-CN"/>
        </w:rPr>
        <w:t>第</w:t>
      </w:r>
      <w:r>
        <w:rPr>
          <w:rFonts w:hint="eastAsia" w:ascii="宋体" w:hAnsi="宋体" w:cs="宋体"/>
          <w:b/>
          <w:bCs/>
          <w:sz w:val="44"/>
          <w:szCs w:val="44"/>
          <w:highlight w:val="none"/>
          <w:u w:val="single"/>
          <w:lang w:val="en-US" w:eastAsia="zh-CN"/>
        </w:rPr>
        <w:t xml:space="preserve">   </w:t>
      </w:r>
      <w:r>
        <w:rPr>
          <w:rFonts w:hint="eastAsia" w:ascii="宋体" w:hAnsi="宋体" w:cs="宋体"/>
          <w:b/>
          <w:bCs/>
          <w:sz w:val="44"/>
          <w:szCs w:val="44"/>
          <w:highlight w:val="none"/>
          <w:lang w:val="en-US" w:eastAsia="zh-CN"/>
        </w:rPr>
        <w:t xml:space="preserve">包 </w:t>
      </w:r>
    </w:p>
    <w:p>
      <w:pPr>
        <w:spacing w:line="800" w:lineRule="exact"/>
        <w:jc w:val="both"/>
        <w:rPr>
          <w:rFonts w:hint="eastAsia" w:ascii="宋体" w:hAnsi="宋体" w:eastAsia="宋体" w:cs="宋体"/>
          <w:b/>
          <w:sz w:val="36"/>
          <w:szCs w:val="36"/>
          <w:highlight w:val="none"/>
        </w:rPr>
      </w:pPr>
    </w:p>
    <w:p>
      <w:pPr>
        <w:spacing w:line="80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服</w:t>
      </w:r>
      <w:r>
        <w:rPr>
          <w:rFonts w:hint="eastAsia" w:ascii="宋体" w:hAnsi="宋体" w:cs="宋体"/>
          <w:b/>
          <w:sz w:val="36"/>
          <w:szCs w:val="36"/>
          <w:highlight w:val="none"/>
          <w:lang w:val="en-US" w:eastAsia="zh-CN"/>
        </w:rPr>
        <w:t xml:space="preserve"> </w:t>
      </w:r>
      <w:r>
        <w:rPr>
          <w:rFonts w:hint="eastAsia" w:ascii="宋体" w:hAnsi="宋体" w:cs="宋体"/>
          <w:b/>
          <w:sz w:val="36"/>
          <w:szCs w:val="36"/>
          <w:highlight w:val="none"/>
          <w:lang w:eastAsia="zh-CN"/>
        </w:rPr>
        <w:t>务</w:t>
      </w:r>
      <w:r>
        <w:rPr>
          <w:rFonts w:hint="eastAsia" w:ascii="宋体" w:hAnsi="宋体" w:eastAsia="宋体" w:cs="宋体"/>
          <w:b/>
          <w:sz w:val="36"/>
          <w:szCs w:val="36"/>
          <w:highlight w:val="none"/>
        </w:rPr>
        <w:t xml:space="preserve"> 合 同</w:t>
      </w:r>
    </w:p>
    <w:p>
      <w:pPr>
        <w:spacing w:line="440" w:lineRule="exact"/>
        <w:ind w:firstLine="480" w:firstLineChars="200"/>
        <w:rPr>
          <w:rFonts w:hint="eastAsia" w:ascii="宋体" w:hAnsi="宋体" w:eastAsia="宋体" w:cs="宋体"/>
          <w:sz w:val="24"/>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ind w:firstLine="2080" w:firstLineChars="65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甲  方：</w:t>
      </w:r>
      <w:r>
        <w:rPr>
          <w:rFonts w:hint="eastAsia" w:ascii="宋体" w:hAnsi="宋体" w:cs="宋体"/>
          <w:sz w:val="32"/>
          <w:szCs w:val="32"/>
          <w:highlight w:val="none"/>
          <w:lang w:eastAsia="zh-CN"/>
        </w:rPr>
        <w:t>镇巴县人民医院</w:t>
      </w:r>
    </w:p>
    <w:p>
      <w:pPr>
        <w:tabs>
          <w:tab w:val="left" w:pos="480"/>
        </w:tabs>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方：xxxx</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w:t>
      </w:r>
      <w:r>
        <w:rPr>
          <w:rFonts w:hint="eastAsia" w:ascii="宋体" w:hAnsi="宋体" w:cs="宋体"/>
          <w:sz w:val="32"/>
          <w:szCs w:val="32"/>
          <w:highlight w:val="none"/>
          <w:lang w:eastAsia="zh-CN"/>
        </w:rPr>
        <w:t>鉴证方</w:t>
      </w:r>
      <w:r>
        <w:rPr>
          <w:rFonts w:hint="eastAsia" w:ascii="宋体" w:hAnsi="宋体" w:eastAsia="宋体" w:cs="宋体"/>
          <w:sz w:val="32"/>
          <w:szCs w:val="32"/>
          <w:highlight w:val="none"/>
        </w:rPr>
        <w:t xml:space="preserve">： </w:t>
      </w:r>
    </w:p>
    <w:p>
      <w:pPr>
        <w:jc w:val="center"/>
        <w:rPr>
          <w:rFonts w:hint="eastAsia" w:ascii="宋体" w:hAnsi="宋体" w:eastAsia="宋体" w:cs="宋体"/>
          <w:sz w:val="30"/>
          <w:szCs w:val="30"/>
          <w:highlight w:val="none"/>
        </w:rPr>
      </w:pPr>
    </w:p>
    <w:p>
      <w:pPr>
        <w:jc w:val="center"/>
        <w:rPr>
          <w:rFonts w:hint="eastAsia" w:ascii="宋体" w:hAnsi="宋体" w:eastAsia="宋体" w:cs="宋体"/>
          <w:sz w:val="32"/>
          <w:szCs w:val="32"/>
          <w:highlight w:val="none"/>
        </w:rPr>
      </w:pPr>
    </w:p>
    <w:p>
      <w:pPr>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202</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t>年 月</w:t>
      </w:r>
    </w:p>
    <w:p>
      <w:pPr>
        <w:spacing w:line="360" w:lineRule="auto"/>
        <w:ind w:firstLine="480" w:firstLineChars="200"/>
        <w:rPr>
          <w:rFonts w:hint="eastAsia" w:ascii="仿宋" w:hAnsi="仿宋" w:eastAsia="仿宋" w:cs="仿宋"/>
          <w:sz w:val="24"/>
          <w:highlight w:val="none"/>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0" w:num="1"/>
          <w:docGrid w:linePitch="312" w:charSpace="0"/>
        </w:sectPr>
      </w:pP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供 货 合 同</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甲方（采购人）：</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乙方（</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 xml:space="preserve">供应商）： </w:t>
      </w:r>
    </w:p>
    <w:p>
      <w:pPr>
        <w:autoSpaceDE w:val="0"/>
        <w:autoSpaceDN w:val="0"/>
        <w:adjustRightIn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镇巴县人民医院PACS及肺小结节智能诊断系统采购项目</w:t>
      </w:r>
      <w:r>
        <w:rPr>
          <w:rFonts w:hint="eastAsia" w:ascii="仿宋" w:hAnsi="仿宋" w:eastAsia="仿宋" w:cs="仿宋"/>
          <w:bCs/>
          <w:color w:val="auto"/>
          <w:sz w:val="24"/>
          <w:szCs w:val="24"/>
          <w:highlight w:val="none"/>
        </w:rPr>
        <w:t>(项</w:t>
      </w:r>
      <w:r>
        <w:rPr>
          <w:rFonts w:hint="eastAsia" w:ascii="仿宋" w:hAnsi="仿宋" w:eastAsia="仿宋" w:cs="仿宋"/>
          <w:bCs/>
          <w:color w:val="auto"/>
          <w:sz w:val="24"/>
          <w:szCs w:val="24"/>
          <w:highlight w:val="none"/>
          <w:u w:val="none"/>
        </w:rPr>
        <w:t>目编号：</w:t>
      </w:r>
      <w:r>
        <w:rPr>
          <w:rFonts w:hint="eastAsia" w:ascii="仿宋" w:hAnsi="仿宋" w:eastAsia="仿宋" w:cs="仿宋"/>
          <w:bCs/>
          <w:color w:val="auto"/>
          <w:sz w:val="24"/>
          <w:szCs w:val="24"/>
          <w:highlight w:val="none"/>
          <w:u w:val="none"/>
          <w:lang w:val="en-US" w:eastAsia="zh-CN"/>
        </w:rPr>
        <w:t>DX2023-166）</w:t>
      </w:r>
      <w:r>
        <w:rPr>
          <w:rFonts w:hint="eastAsia" w:ascii="仿宋" w:hAnsi="仿宋" w:eastAsia="仿宋" w:cs="仿宋"/>
          <w:bCs/>
          <w:color w:val="auto"/>
          <w:sz w:val="24"/>
          <w:szCs w:val="24"/>
          <w:highlight w:val="none"/>
        </w:rPr>
        <w:t>在由陕西笃信招标有限公司组织</w:t>
      </w:r>
      <w:r>
        <w:rPr>
          <w:rFonts w:hint="eastAsia" w:ascii="仿宋" w:hAnsi="仿宋" w:eastAsia="仿宋" w:cs="仿宋"/>
          <w:bCs/>
          <w:color w:val="auto"/>
          <w:sz w:val="24"/>
          <w:szCs w:val="24"/>
          <w:highlight w:val="none"/>
          <w:lang w:val="en-US" w:eastAsia="zh-CN"/>
        </w:rPr>
        <w:t>公开招标</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(以下简称“甲方”)确定</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（以下简称“乙方”）为</w:t>
      </w:r>
      <w:r>
        <w:rPr>
          <w:rFonts w:hint="eastAsia" w:ascii="仿宋" w:hAnsi="仿宋" w:eastAsia="仿宋" w:cs="仿宋"/>
          <w:bCs/>
          <w:color w:val="auto"/>
          <w:sz w:val="24"/>
          <w:szCs w:val="24"/>
          <w:highlight w:val="none"/>
          <w:lang w:val="en-US" w:eastAsia="zh-CN"/>
        </w:rPr>
        <w:t>本项目第</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包的中标</w:t>
      </w:r>
      <w:r>
        <w:rPr>
          <w:rFonts w:hint="eastAsia" w:ascii="仿宋" w:hAnsi="仿宋" w:eastAsia="仿宋" w:cs="仿宋"/>
          <w:bCs/>
          <w:color w:val="auto"/>
          <w:sz w:val="24"/>
          <w:szCs w:val="24"/>
          <w:highlight w:val="none"/>
        </w:rPr>
        <w:t>供应商。</w:t>
      </w:r>
    </w:p>
    <w:p>
      <w:pPr>
        <w:spacing w:line="360" w:lineRule="auto"/>
        <w:ind w:firstLine="480" w:firstLineChars="200"/>
        <w:jc w:val="left"/>
        <w:outlineLvl w:val="9"/>
        <w:rPr>
          <w:rFonts w:hint="default" w:eastAsia="仿宋"/>
          <w:b w:val="0"/>
          <w:bCs/>
          <w:color w:val="auto"/>
          <w:highlight w:val="none"/>
          <w:lang w:val="en-US" w:eastAsia="zh-CN"/>
        </w:rPr>
      </w:pPr>
      <w:r>
        <w:rPr>
          <w:rFonts w:hint="eastAsia" w:ascii="仿宋" w:hAnsi="仿宋" w:eastAsia="仿宋" w:cs="仿宋"/>
          <w:bCs/>
          <w:color w:val="auto"/>
          <w:sz w:val="24"/>
          <w:szCs w:val="24"/>
          <w:highlight w:val="none"/>
        </w:rPr>
        <w:t>依据《中华人民共和国</w:t>
      </w:r>
      <w:r>
        <w:rPr>
          <w:rFonts w:hint="eastAsia" w:ascii="仿宋" w:hAnsi="仿宋" w:eastAsia="仿宋" w:cs="仿宋"/>
          <w:bCs/>
          <w:color w:val="auto"/>
          <w:sz w:val="24"/>
          <w:szCs w:val="24"/>
          <w:highlight w:val="none"/>
          <w:lang w:val="en-US"/>
        </w:rPr>
        <w:t>民法典</w:t>
      </w:r>
      <w:r>
        <w:rPr>
          <w:rFonts w:hint="eastAsia" w:ascii="仿宋" w:hAnsi="仿宋" w:eastAsia="仿宋" w:cs="仿宋"/>
          <w:bCs/>
          <w:color w:val="auto"/>
          <w:sz w:val="24"/>
          <w:szCs w:val="24"/>
          <w:highlight w:val="none"/>
        </w:rPr>
        <w:t>》和《中华人民共和国政府采购法》及相关法律法规的规定，经双方协商，就甲方</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lang w:val="en-US" w:eastAsia="zh-CN"/>
        </w:rPr>
        <w:t>项目由</w:t>
      </w:r>
      <w:r>
        <w:rPr>
          <w:rFonts w:hint="eastAsia" w:ascii="仿宋" w:hAnsi="仿宋" w:eastAsia="仿宋" w:cs="仿宋"/>
          <w:bCs/>
          <w:color w:val="auto"/>
          <w:sz w:val="24"/>
          <w:szCs w:val="24"/>
          <w:highlight w:val="none"/>
        </w:rPr>
        <w:t>乙方负责提供相关服务，按下述条</w:t>
      </w:r>
      <w:r>
        <w:rPr>
          <w:rFonts w:hint="eastAsia" w:ascii="仿宋" w:hAnsi="仿宋" w:eastAsia="仿宋" w:cs="仿宋"/>
          <w:b w:val="0"/>
          <w:bCs/>
          <w:color w:val="auto"/>
          <w:sz w:val="24"/>
          <w:szCs w:val="24"/>
          <w:highlight w:val="none"/>
        </w:rPr>
        <w:t>款和条件签署本合同。</w:t>
      </w:r>
    </w:p>
    <w:p>
      <w:pPr>
        <w:spacing w:before="0" w:beforeLines="0" w:after="0" w:afterLines="0" w:line="360" w:lineRule="auto"/>
        <w:ind w:firstLine="482" w:firstLineChars="200"/>
        <w:jc w:val="left"/>
        <w:outlineLvl w:val="9"/>
        <w:rPr>
          <w:rFonts w:hint="eastAsia" w:ascii="仿宋" w:hAnsi="仿宋" w:eastAsia="仿宋" w:cs="仿宋"/>
          <w:b/>
          <w:bCs w:val="0"/>
          <w:sz w:val="24"/>
          <w:szCs w:val="24"/>
          <w:highlight w:val="none"/>
          <w:u w:val="none"/>
        </w:rPr>
      </w:pPr>
      <w:r>
        <w:rPr>
          <w:rFonts w:hint="eastAsia" w:ascii="仿宋" w:hAnsi="仿宋" w:eastAsia="仿宋" w:cs="仿宋"/>
          <w:b/>
          <w:bCs w:val="0"/>
          <w:sz w:val="24"/>
          <w:szCs w:val="24"/>
          <w:highlight w:val="none"/>
          <w:u w:val="none"/>
        </w:rPr>
        <w:t>第一条：项目内容</w:t>
      </w:r>
    </w:p>
    <w:p>
      <w:pPr>
        <w:spacing w:beforeLines="0" w:afterLines="0" w:line="360" w:lineRule="auto"/>
        <w:ind w:firstLine="480" w:firstLineChars="200"/>
        <w:jc w:val="left"/>
        <w:outlineLvl w:val="9"/>
        <w:rPr>
          <w:rFonts w:hint="eastAsia" w:ascii="仿宋" w:hAnsi="仿宋" w:eastAsia="仿宋" w:cs="仿宋"/>
          <w:b w:val="0"/>
          <w:bCs/>
          <w:sz w:val="24"/>
          <w:szCs w:val="24"/>
          <w:highlight w:val="none"/>
          <w:u w:val="none"/>
        </w:rPr>
      </w:pPr>
      <w:r>
        <w:rPr>
          <w:rFonts w:hint="eastAsia" w:ascii="仿宋" w:hAnsi="仿宋" w:eastAsia="仿宋" w:cs="仿宋"/>
          <w:b w:val="0"/>
          <w:bCs/>
          <w:sz w:val="24"/>
          <w:szCs w:val="24"/>
          <w:highlight w:val="none"/>
          <w:u w:val="none"/>
          <w:lang w:eastAsia="zh-CN"/>
        </w:rPr>
        <w:t>（一）</w:t>
      </w:r>
      <w:r>
        <w:rPr>
          <w:rFonts w:hint="eastAsia" w:ascii="仿宋" w:hAnsi="仿宋" w:eastAsia="仿宋" w:cs="仿宋"/>
          <w:b w:val="0"/>
          <w:bCs/>
          <w:sz w:val="24"/>
          <w:szCs w:val="24"/>
          <w:highlight w:val="none"/>
          <w:u w:val="none"/>
        </w:rPr>
        <w:t>项目名称：</w:t>
      </w:r>
    </w:p>
    <w:p>
      <w:pPr>
        <w:spacing w:beforeLines="0" w:afterLines="0" w:line="360" w:lineRule="auto"/>
        <w:ind w:firstLine="480" w:firstLineChars="200"/>
        <w:jc w:val="left"/>
        <w:outlineLvl w:val="9"/>
        <w:rPr>
          <w:rFonts w:hint="eastAsia" w:ascii="仿宋" w:hAnsi="仿宋" w:eastAsia="仿宋" w:cs="仿宋"/>
          <w:b w:val="0"/>
          <w:bCs/>
          <w:sz w:val="24"/>
          <w:szCs w:val="24"/>
          <w:highlight w:val="none"/>
          <w:u w:val="none"/>
        </w:rPr>
      </w:pPr>
      <w:r>
        <w:rPr>
          <w:rFonts w:hint="eastAsia" w:ascii="仿宋" w:hAnsi="仿宋" w:eastAsia="仿宋" w:cs="仿宋"/>
          <w:b w:val="0"/>
          <w:bCs/>
          <w:sz w:val="24"/>
          <w:szCs w:val="24"/>
          <w:highlight w:val="none"/>
          <w:u w:val="none"/>
        </w:rPr>
        <w:t>（</w:t>
      </w:r>
      <w:r>
        <w:rPr>
          <w:rFonts w:hint="eastAsia" w:ascii="仿宋" w:hAnsi="仿宋" w:eastAsia="仿宋" w:cs="仿宋"/>
          <w:b w:val="0"/>
          <w:bCs/>
          <w:sz w:val="24"/>
          <w:szCs w:val="24"/>
          <w:highlight w:val="none"/>
          <w:u w:val="none"/>
          <w:lang w:val="en-US" w:eastAsia="zh-CN"/>
        </w:rPr>
        <w:t>二</w:t>
      </w:r>
      <w:r>
        <w:rPr>
          <w:rFonts w:hint="eastAsia" w:ascii="仿宋" w:hAnsi="仿宋" w:eastAsia="仿宋" w:cs="仿宋"/>
          <w:b w:val="0"/>
          <w:bCs/>
          <w:sz w:val="24"/>
          <w:szCs w:val="24"/>
          <w:highlight w:val="none"/>
          <w:u w:val="none"/>
        </w:rPr>
        <w:t>）具体事项：</w:t>
      </w:r>
    </w:p>
    <w:p>
      <w:pPr>
        <w:autoSpaceDE/>
        <w:autoSpaceDN/>
        <w:adjustRightInd/>
        <w:spacing w:beforeLines="0" w:afterLines="0" w:line="360" w:lineRule="auto"/>
        <w:ind w:firstLine="482" w:firstLineChars="200"/>
        <w:jc w:val="left"/>
        <w:outlineLvl w:val="9"/>
        <w:rPr>
          <w:rFonts w:hint="eastAsia" w:ascii="仿宋" w:hAnsi="仿宋" w:eastAsia="仿宋" w:cs="仿宋"/>
          <w:b/>
          <w:bCs w:val="0"/>
          <w:sz w:val="24"/>
          <w:szCs w:val="24"/>
          <w:highlight w:val="none"/>
        </w:rPr>
      </w:pPr>
      <w:r>
        <w:rPr>
          <w:rFonts w:hint="eastAsia" w:ascii="仿宋" w:hAnsi="仿宋" w:eastAsia="仿宋" w:cs="仿宋"/>
          <w:b/>
          <w:bCs w:val="0"/>
          <w:sz w:val="24"/>
          <w:szCs w:val="24"/>
          <w:highlight w:val="none"/>
          <w:lang w:eastAsia="zh-CN"/>
        </w:rPr>
        <w:t>第二条：</w:t>
      </w:r>
      <w:r>
        <w:rPr>
          <w:rFonts w:hint="eastAsia" w:ascii="仿宋" w:hAnsi="仿宋" w:eastAsia="仿宋" w:cs="仿宋"/>
          <w:b/>
          <w:bCs w:val="0"/>
          <w:sz w:val="24"/>
          <w:szCs w:val="24"/>
          <w:highlight w:val="none"/>
          <w:lang w:val="en-US" w:eastAsia="zh-CN"/>
        </w:rPr>
        <w:t>服务期</w:t>
      </w:r>
      <w:r>
        <w:rPr>
          <w:rFonts w:hint="eastAsia" w:ascii="仿宋" w:hAnsi="仿宋" w:eastAsia="仿宋" w:cs="仿宋"/>
          <w:b/>
          <w:bCs w:val="0"/>
          <w:sz w:val="24"/>
          <w:szCs w:val="24"/>
          <w:highlight w:val="none"/>
        </w:rPr>
        <w:t>、地点</w:t>
      </w:r>
    </w:p>
    <w:p>
      <w:pPr>
        <w:autoSpaceDE/>
        <w:autoSpaceDN/>
        <w:adjustRightInd/>
        <w:spacing w:beforeLines="0" w:afterLines="0" w:line="360" w:lineRule="auto"/>
        <w:ind w:firstLine="480" w:firstLineChars="200"/>
        <w:jc w:val="left"/>
        <w:outlineLvl w:val="9"/>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val="en-US" w:eastAsia="zh-CN"/>
        </w:rPr>
        <w:t>服务</w:t>
      </w:r>
      <w:r>
        <w:rPr>
          <w:rFonts w:hint="eastAsia" w:ascii="仿宋" w:hAnsi="仿宋" w:eastAsia="仿宋" w:cs="仿宋"/>
          <w:b w:val="0"/>
          <w:bCs/>
          <w:sz w:val="24"/>
          <w:szCs w:val="24"/>
          <w:highlight w:val="none"/>
        </w:rPr>
        <w:t>期：</w:t>
      </w:r>
      <w:r>
        <w:rPr>
          <w:rFonts w:hint="default" w:ascii="仿宋" w:hAnsi="仿宋" w:eastAsia="仿宋" w:cs="仿宋"/>
          <w:color w:val="auto"/>
          <w:sz w:val="24"/>
          <w:szCs w:val="24"/>
          <w:highlight w:val="none"/>
          <w:lang w:val="en-US" w:eastAsia="zh-CN"/>
        </w:rPr>
        <w:t>30天</w:t>
      </w:r>
    </w:p>
    <w:p>
      <w:pPr>
        <w:autoSpaceDE/>
        <w:autoSpaceDN/>
        <w:adjustRightInd/>
        <w:spacing w:beforeLines="0" w:afterLines="0" w:line="360" w:lineRule="auto"/>
        <w:ind w:firstLine="480" w:firstLineChars="200"/>
        <w:jc w:val="left"/>
        <w:outlineLvl w:val="9"/>
        <w:rPr>
          <w:rFonts w:hint="eastAsia" w:ascii="仿宋" w:hAnsi="仿宋" w:eastAsia="仿宋" w:cs="仿宋"/>
          <w:b/>
          <w:bCs w:val="0"/>
          <w:sz w:val="24"/>
          <w:szCs w:val="24"/>
          <w:highlight w:val="none"/>
          <w:u w:val="none"/>
        </w:rPr>
      </w:pPr>
      <w:r>
        <w:rPr>
          <w:rFonts w:hint="eastAsia" w:ascii="仿宋" w:hAnsi="仿宋" w:eastAsia="仿宋" w:cs="仿宋"/>
          <w:b w:val="0"/>
          <w:bCs/>
          <w:sz w:val="24"/>
          <w:szCs w:val="24"/>
          <w:highlight w:val="none"/>
        </w:rPr>
        <w:t>2、服务地点：采购人指定要求。</w:t>
      </w:r>
    </w:p>
    <w:p>
      <w:pPr>
        <w:spacing w:before="0" w:beforeLines="0" w:after="0" w:afterLines="0" w:line="360" w:lineRule="auto"/>
        <w:ind w:firstLine="482" w:firstLineChars="200"/>
        <w:jc w:val="left"/>
        <w:outlineLvl w:val="9"/>
        <w:rPr>
          <w:rFonts w:hint="eastAsia" w:ascii="仿宋" w:hAnsi="仿宋" w:eastAsia="仿宋" w:cs="仿宋"/>
          <w:b/>
          <w:bCs w:val="0"/>
          <w:sz w:val="24"/>
          <w:szCs w:val="24"/>
          <w:highlight w:val="none"/>
          <w:lang w:eastAsia="zh-CN"/>
        </w:rPr>
      </w:pPr>
      <w:r>
        <w:rPr>
          <w:rFonts w:hint="eastAsia" w:ascii="仿宋" w:hAnsi="仿宋" w:eastAsia="仿宋" w:cs="仿宋"/>
          <w:b/>
          <w:bCs w:val="0"/>
          <w:sz w:val="24"/>
          <w:szCs w:val="24"/>
          <w:highlight w:val="none"/>
          <w:u w:val="none"/>
        </w:rPr>
        <w:t>第三条：</w:t>
      </w:r>
      <w:r>
        <w:rPr>
          <w:rFonts w:hint="eastAsia" w:ascii="仿宋" w:hAnsi="仿宋" w:eastAsia="仿宋" w:cs="仿宋"/>
          <w:b/>
          <w:bCs w:val="0"/>
          <w:sz w:val="24"/>
          <w:szCs w:val="24"/>
          <w:highlight w:val="none"/>
          <w:u w:val="none"/>
          <w:lang w:eastAsia="zh-CN"/>
        </w:rPr>
        <w:t>合同价款及付款安排</w:t>
      </w:r>
    </w:p>
    <w:p>
      <w:pPr>
        <w:spacing w:beforeLines="0" w:afterLines="0" w:line="360" w:lineRule="auto"/>
        <w:ind w:firstLine="480" w:firstLineChars="200"/>
        <w:jc w:val="left"/>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1.验收合格后支付95%，余款一年后付清。</w:t>
      </w:r>
    </w:p>
    <w:p>
      <w:pPr>
        <w:pStyle w:val="65"/>
        <w:keepNext w:val="0"/>
        <w:keepLines w:val="0"/>
        <w:pageBreakBefore w:val="0"/>
        <w:widowControl w:val="0"/>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2、支付方式：甲方直接将货款通过银行转账的方式转入乙方指定的专用账号。乙方专用账户名为：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pStyle w:val="65"/>
        <w:keepNext w:val="0"/>
        <w:keepLines w:val="0"/>
        <w:pageBreakBefore w:val="0"/>
        <w:widowControl w:val="0"/>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账号为：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p>
    <w:p>
      <w:pPr>
        <w:pStyle w:val="65"/>
        <w:keepNext w:val="0"/>
        <w:keepLines w:val="0"/>
        <w:pageBreakBefore w:val="0"/>
        <w:widowControl w:val="0"/>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0" w:firstLineChars="20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开户行为：</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3、甲方付款之前，乙方应提供等额的增值税发票。乙方逾期提供发票导致甲方逾期付款的，不视为甲方违约。</w:t>
      </w:r>
    </w:p>
    <w:p>
      <w:pPr>
        <w:spacing w:before="0" w:beforeLines="0" w:after="0" w:afterLines="0" w:line="360" w:lineRule="auto"/>
        <w:ind w:firstLine="482" w:firstLineChars="200"/>
        <w:jc w:val="left"/>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第四条：双方的权利和义务</w:t>
      </w:r>
    </w:p>
    <w:p>
      <w:pPr>
        <w:spacing w:beforeLines="0" w:afterLines="0" w:line="360" w:lineRule="auto"/>
        <w:ind w:left="0" w:leftChars="0" w:firstLine="480" w:firstLineChars="200"/>
        <w:jc w:val="left"/>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w:t>
      </w:r>
      <w:r>
        <w:rPr>
          <w:rFonts w:hint="eastAsia" w:ascii="仿宋" w:hAnsi="仿宋" w:eastAsia="仿宋" w:cs="仿宋"/>
          <w:b w:val="0"/>
          <w:bCs/>
          <w:color w:val="auto"/>
          <w:sz w:val="24"/>
          <w:szCs w:val="24"/>
          <w:highlight w:val="none"/>
          <w:lang w:val="en-US" w:eastAsia="zh-CN"/>
        </w:rPr>
        <w:t>甲方的权利和义务</w:t>
      </w:r>
    </w:p>
    <w:p>
      <w:pPr>
        <w:spacing w:line="360" w:lineRule="auto"/>
        <w:ind w:firstLine="480" w:firstLineChars="200"/>
        <w:jc w:val="left"/>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rPr>
        <w:t>1、甲方有权享有乙方按照约定提供的服务。</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2、甲方有权要求乙方按合同约定时间交付产品。</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甲方负责配合乙方提供进场实施所需要的本项目相关的软硬件环境、系统基础设施，积极配合乙方提出的配合请求，提供必须的工具软件，提供乙方提出的其他合理的工作、生活条件，及时按照合同约定方式对乙方提供的执行文档进行确认。</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4、甲方有责任配合乙方协调院内接口的研发工作和联调等工作。</w:t>
      </w:r>
    </w:p>
    <w:p>
      <w:pPr>
        <w:keepNext w:val="0"/>
        <w:keepLines w:val="0"/>
        <w:pageBreakBefore w:val="0"/>
        <w:widowControl w:val="0"/>
        <w:tabs>
          <w:tab w:val="left" w:pos="5250"/>
        </w:tabs>
        <w:kinsoku/>
        <w:wordWrap/>
        <w:overflowPunct/>
        <w:topLinePunct w:val="0"/>
        <w:bidi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5、保存所有的当前程序并完成数据的备份，约束其员工正确使用和应用产品。</w:t>
      </w:r>
      <w:r>
        <w:rPr>
          <w:rFonts w:hint="eastAsia" w:ascii="仿宋" w:hAnsi="仿宋" w:eastAsia="仿宋" w:cs="仿宋"/>
          <w:kern w:val="2"/>
          <w:sz w:val="24"/>
          <w:szCs w:val="24"/>
          <w:highlight w:val="none"/>
          <w:lang w:val="en-US" w:eastAsia="zh-CN" w:bidi="ar-SA"/>
        </w:rPr>
        <w:tab/>
      </w:r>
    </w:p>
    <w:p>
      <w:pPr>
        <w:keepNext w:val="0"/>
        <w:keepLines w:val="0"/>
        <w:pageBreakBefore w:val="0"/>
        <w:widowControl w:val="0"/>
        <w:tabs>
          <w:tab w:val="left" w:pos="5250"/>
        </w:tabs>
        <w:kinsoku/>
        <w:wordWrap/>
        <w:overflowPunct/>
        <w:topLinePunct w:val="0"/>
        <w:bidi w:val="0"/>
        <w:spacing w:line="360" w:lineRule="auto"/>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6、负责提供培训场地，组织参加培训的人员按时出席。</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kern w:val="2"/>
          <w:sz w:val="24"/>
          <w:szCs w:val="24"/>
          <w:highlight w:val="none"/>
          <w:lang w:val="en-US" w:eastAsia="zh-CN" w:bidi="ar-SA"/>
        </w:rPr>
        <w:t>7、依据合同协助乙方完成验收等相关事宜并按照合同要求支付费用。</w:t>
      </w:r>
    </w:p>
    <w:p>
      <w:pPr>
        <w:spacing w:beforeLines="0" w:afterLines="0" w:line="360" w:lineRule="auto"/>
        <w:ind w:left="0" w:leftChars="0"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（二） </w:t>
      </w:r>
      <w:r>
        <w:rPr>
          <w:rFonts w:hint="eastAsia" w:ascii="仿宋" w:hAnsi="仿宋" w:eastAsia="仿宋" w:cs="仿宋"/>
          <w:b w:val="0"/>
          <w:bCs/>
          <w:color w:val="auto"/>
          <w:sz w:val="24"/>
          <w:szCs w:val="24"/>
          <w:highlight w:val="none"/>
          <w:lang w:val="en-US" w:eastAsia="zh-CN"/>
        </w:rPr>
        <w:t>乙方的权利和义务</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1、乙方有权要求甲方为乙方履行本合同提供便利，要求甲方提供必须的相关资料。</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2、乙方有权要求甲方按本合同约定支付费用。</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3、乙方保证其所交付的产品没有侵犯任何第三人的知识产权和商业秘密。</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4、乙方应按合同约定提供项目相关的技术文档材料，及时交付产品。</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5、对双方共同确认的甲方受训人员提供集中培训服务。</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6、按照双方确认的期限负责产品的安装、测试、调试工作及后续的维护工作。</w:t>
      </w:r>
    </w:p>
    <w:p>
      <w:pPr>
        <w:spacing w:before="0" w:beforeLines="0" w:after="0" w:afterLines="0" w:line="360" w:lineRule="auto"/>
        <w:ind w:firstLine="482" w:firstLineChars="200"/>
        <w:jc w:val="left"/>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第五条：验收</w:t>
      </w:r>
    </w:p>
    <w:p>
      <w:pPr>
        <w:spacing w:beforeLines="0" w:afterLines="0"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（一）由采购人实施验收</w:t>
      </w:r>
    </w:p>
    <w:p>
      <w:pPr>
        <w:spacing w:beforeLines="0" w:afterLines="0"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（二）验收依据：系统运行、数据上报、业务对接正常</w:t>
      </w:r>
    </w:p>
    <w:p>
      <w:pPr>
        <w:keepNext w:val="0"/>
        <w:keepLines w:val="0"/>
        <w:pageBreakBefore w:val="0"/>
        <w:widowControl w:val="0"/>
        <w:numPr>
          <w:ilvl w:val="0"/>
          <w:numId w:val="0"/>
        </w:numPr>
        <w:kinsoku/>
        <w:wordWrap/>
        <w:overflowPunct/>
        <w:topLinePunct w:val="0"/>
        <w:bidi w:val="0"/>
        <w:spacing w:line="360" w:lineRule="auto"/>
        <w:ind w:firstLine="480" w:firstLineChars="200"/>
        <w:rPr>
          <w:rFonts w:hint="eastAsia" w:ascii="仿宋" w:hAnsi="仿宋" w:eastAsia="仿宋" w:cs="仿宋"/>
          <w:highlight w:val="none"/>
        </w:rPr>
      </w:pPr>
      <w:r>
        <w:rPr>
          <w:rFonts w:hint="eastAsia" w:ascii="仿宋" w:hAnsi="仿宋" w:eastAsia="仿宋" w:cs="仿宋"/>
          <w:color w:val="000000"/>
          <w:sz w:val="24"/>
          <w:highlight w:val="none"/>
          <w:lang w:val="en-US" w:eastAsia="zh-CN"/>
        </w:rPr>
        <w:t>（三）如项目未通过验收的，乙方应排除故障，进行整改，承担相关费用。如甲方未在约定时间内完成验收工作、未提出书面异议，则视为项目验收合格。若甲方认为乙方交付的产品存在不符合合同约定情形的，甲方应在收到乙方验收申请后20日内提出书面异议，双方友好协商解决。乙方应在双方确认的期限内用符合本合同约定的产品更换或整改产品，乙方承担更换或整改产品产生的所有费用，乙方更换或整改产品后再次申请验收，直至验收通过。</w:t>
      </w:r>
    </w:p>
    <w:p>
      <w:pPr>
        <w:keepNext w:val="0"/>
        <w:keepLines w:val="0"/>
        <w:pageBreakBefore w:val="0"/>
        <w:widowControl w:val="0"/>
        <w:numPr>
          <w:ilvl w:val="0"/>
          <w:numId w:val="0"/>
        </w:numPr>
        <w:kinsoku/>
        <w:wordWrap/>
        <w:overflowPunct/>
        <w:topLinePunct w:val="0"/>
        <w:bidi w:val="0"/>
        <w:spacing w:line="360" w:lineRule="auto"/>
        <w:ind w:firstLine="480" w:firstLineChars="200"/>
        <w:rPr>
          <w:rFonts w:hint="eastAsia"/>
          <w:highlight w:val="none"/>
          <w:lang w:eastAsia="zh-CN"/>
        </w:rPr>
      </w:pPr>
      <w:r>
        <w:rPr>
          <w:rFonts w:hint="eastAsia" w:ascii="仿宋" w:hAnsi="仿宋" w:eastAsia="仿宋" w:cs="仿宋"/>
          <w:color w:val="000000"/>
          <w:sz w:val="24"/>
          <w:highlight w:val="none"/>
          <w:lang w:val="en-US" w:eastAsia="zh-CN"/>
        </w:rPr>
        <w:t>（四）本项目实施过程中，项目的内容、要求、验收、使用标准以采购文件要求为依据，若甲方中途变更方案或产品以及由此引起的相应费用的变化，双方另行协商达成一致意见后以书面形式确定。</w:t>
      </w:r>
    </w:p>
    <w:p>
      <w:pPr>
        <w:pStyle w:val="65"/>
        <w:keepNext w:val="0"/>
        <w:keepLines w:val="0"/>
        <w:pageBreakBefore w:val="0"/>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第</w:t>
      </w:r>
      <w:r>
        <w:rPr>
          <w:rFonts w:hint="eastAsia" w:ascii="仿宋" w:hAnsi="仿宋" w:eastAsia="仿宋" w:cs="仿宋"/>
          <w:b/>
          <w:sz w:val="24"/>
          <w:szCs w:val="24"/>
          <w:highlight w:val="none"/>
          <w:lang w:val="en-US" w:eastAsia="zh-CN"/>
        </w:rPr>
        <w:t>六条</w:t>
      </w:r>
      <w:r>
        <w:rPr>
          <w:rFonts w:hint="eastAsia" w:ascii="仿宋" w:hAnsi="仿宋" w:eastAsia="仿宋" w:cs="仿宋"/>
          <w:b/>
          <w:sz w:val="24"/>
          <w:szCs w:val="24"/>
          <w:highlight w:val="none"/>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乙方承诺经销商上门服务时间不得低于24小时。</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乙方承诺保证不影响甲方正常业务和保证数据完整的前提下进行实施工作。并承担由此工作带来的所有责任和造成的经济损失。</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3、乙方承诺，整体项目验收合格后</w:t>
      </w:r>
      <w:r>
        <w:rPr>
          <w:rFonts w:hint="eastAsia" w:ascii="仿宋" w:hAnsi="仿宋" w:eastAsia="仿宋" w:cs="仿宋"/>
          <w:color w:val="000000"/>
          <w:sz w:val="24"/>
          <w:highlight w:val="none"/>
          <w:lang w:val="en-US" w:eastAsia="zh-CN"/>
        </w:rPr>
        <w:t>进入质保期</w:t>
      </w:r>
      <w:r>
        <w:rPr>
          <w:rFonts w:hint="eastAsia" w:ascii="仿宋" w:hAnsi="仿宋" w:eastAsia="仿宋" w:cs="仿宋"/>
          <w:color w:val="000000"/>
          <w:sz w:val="24"/>
          <w:highlight w:val="none"/>
        </w:rPr>
        <w:t>，质保期为</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年。</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、乙方承诺，指定专业项目经理专职负责整</w:t>
      </w:r>
      <w:r>
        <w:rPr>
          <w:rFonts w:hint="eastAsia" w:ascii="仿宋" w:hAnsi="仿宋" w:eastAsia="仿宋" w:cs="仿宋"/>
          <w:color w:val="000000"/>
          <w:sz w:val="24"/>
          <w:highlight w:val="none"/>
          <w:lang w:val="en-US" w:eastAsia="zh-CN"/>
        </w:rPr>
        <w:t>体</w:t>
      </w:r>
      <w:r>
        <w:rPr>
          <w:rFonts w:hint="eastAsia" w:ascii="仿宋" w:hAnsi="仿宋" w:eastAsia="仿宋" w:cs="仿宋"/>
          <w:color w:val="000000"/>
          <w:sz w:val="24"/>
          <w:highlight w:val="none"/>
        </w:rPr>
        <w:t>项目实施。甲方有权要求乙方更换项目专职经理。</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、乙方承诺，当产品不能正常运行时，应在接到甲方通知后1小时内响应，提供电话、网络远程等技术支持，如果通过以上方式仍不能正常运行的，乙方必须在</w:t>
      </w:r>
      <w:r>
        <w:rPr>
          <w:rFonts w:hint="eastAsia" w:ascii="仿宋" w:hAnsi="仿宋" w:eastAsia="仿宋" w:cs="仿宋"/>
          <w:color w:val="000000"/>
          <w:sz w:val="24"/>
          <w:highlight w:val="none"/>
          <w:lang w:val="en-US" w:eastAsia="zh-CN"/>
        </w:rPr>
        <w:t>24</w:t>
      </w:r>
      <w:r>
        <w:rPr>
          <w:rFonts w:hint="eastAsia" w:ascii="仿宋" w:hAnsi="仿宋" w:eastAsia="仿宋" w:cs="仿宋"/>
          <w:color w:val="000000"/>
          <w:sz w:val="24"/>
          <w:highlight w:val="none"/>
        </w:rPr>
        <w:t>小时内到达现场进行维护。</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乙方承诺，在系统投入使用前，必须对各应用系统相关人员进行免费业务技术培训，对甲方信息科管理人员免费提供具有针对性的系统培训，以保证系统各项功能让甲方完全掌握，培训期限至甲方受训人员完全掌握产品各项功能为止。培训方式由双方商定，若需异地培训，因异地培训产生的所有费用由乙方承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、保修、质保期内，维修费用、乙方维修人员的差旅费及其它相关费用均由乙方承担。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、乙方提供产品应无任何瑕疵，如在使用过程中本产品存在隐蔽瑕疵造成医疗事故而引发的纠纷，由乙方全额负责赔偿，并免费为甲方修复瑕疵或更新换代，期间产生的费用均由乙方承担。</w:t>
      </w:r>
    </w:p>
    <w:p>
      <w:pPr>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rPr>
        <w:t>、保修、质保期后为有偿服务，甲乙双方可另行签订服务协议，原则上不超过合同总额的</w:t>
      </w:r>
      <w:r>
        <w:rPr>
          <w:rFonts w:hint="eastAsia" w:ascii="仿宋" w:hAnsi="仿宋" w:eastAsia="仿宋" w:cs="仿宋"/>
          <w:color w:val="000000"/>
          <w:sz w:val="24"/>
          <w:highlight w:val="none"/>
          <w:lang w:val="en-US" w:eastAsia="zh-CN"/>
        </w:rPr>
        <w:t>10</w:t>
      </w:r>
      <w:r>
        <w:rPr>
          <w:rFonts w:hint="eastAsia" w:ascii="仿宋" w:hAnsi="仿宋" w:eastAsia="仿宋" w:cs="仿宋"/>
          <w:color w:val="000000"/>
          <w:sz w:val="24"/>
          <w:highlight w:val="none"/>
        </w:rPr>
        <w:t>%。</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kern w:val="0"/>
          <w:sz w:val="24"/>
          <w:szCs w:val="24"/>
          <w:highlight w:val="none"/>
          <w:lang w:val="en-US" w:eastAsia="zh-CN" w:bidi="ar-SA"/>
        </w:rPr>
      </w:pPr>
      <w:r>
        <w:rPr>
          <w:rFonts w:hint="eastAsia" w:ascii="仿宋" w:hAnsi="仿宋" w:eastAsia="仿宋" w:cs="仿宋"/>
          <w:b/>
          <w:kern w:val="0"/>
          <w:sz w:val="24"/>
          <w:szCs w:val="24"/>
          <w:highlight w:val="none"/>
          <w:lang w:val="en-US" w:eastAsia="zh-CN" w:bidi="ar-SA"/>
        </w:rPr>
        <w:t>第七条：知识产权及保密条款：</w:t>
      </w:r>
    </w:p>
    <w:p>
      <w:pPr>
        <w:keepNext w:val="0"/>
        <w:keepLines w:val="0"/>
        <w:pageBreakBefore w:val="0"/>
        <w:widowControl w:val="0"/>
        <w:numPr>
          <w:ilvl w:val="0"/>
          <w:numId w:val="4"/>
        </w:numPr>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乙方保证其提供本合同项下的产品具备相应资质，为履行本合同而使用的</w:t>
      </w:r>
      <w:r>
        <w:rPr>
          <w:rFonts w:hint="eastAsia" w:ascii="仿宋" w:hAnsi="仿宋" w:eastAsia="仿宋" w:cs="仿宋"/>
          <w:color w:val="000000"/>
          <w:sz w:val="24"/>
          <w:highlight w:val="none"/>
          <w:lang w:val="en-US" w:eastAsia="zh-CN"/>
        </w:rPr>
        <w:t>产品</w:t>
      </w:r>
      <w:r>
        <w:rPr>
          <w:rFonts w:hint="eastAsia" w:ascii="仿宋" w:hAnsi="仿宋" w:eastAsia="仿宋" w:cs="仿宋"/>
          <w:color w:val="000000"/>
          <w:sz w:val="24"/>
          <w:highlight w:val="none"/>
        </w:rPr>
        <w:t>不存在权利瑕疵或侵害第三人利益的情形。</w:t>
      </w:r>
    </w:p>
    <w:p>
      <w:pPr>
        <w:pStyle w:val="22"/>
        <w:keepNext w:val="0"/>
        <w:keepLines w:val="0"/>
        <w:pageBreakBefore w:val="0"/>
        <w:widowControl w:val="0"/>
        <w:tabs>
          <w:tab w:val="left" w:pos="6240"/>
        </w:tabs>
        <w:kinsoku/>
        <w:wordWrap/>
        <w:overflowPunct/>
        <w:topLinePunct w:val="0"/>
        <w:bidi w:val="0"/>
        <w:spacing w:line="360" w:lineRule="auto"/>
        <w:ind w:left="0" w:leftChars="0"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kern w:val="2"/>
          <w:sz w:val="24"/>
          <w:szCs w:val="24"/>
          <w:highlight w:val="none"/>
          <w:lang w:val="en-US" w:eastAsia="zh-CN" w:bidi="ar-SA"/>
        </w:rPr>
        <w:t>本项目涉及的保密内容包括技术信息、经营信息等，双方都有责任对对方提供的技术情报、资料数据及商业秘密保密，不得向第三方泄露。</w:t>
      </w:r>
    </w:p>
    <w:p>
      <w:pPr>
        <w:pStyle w:val="18"/>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未经对方同意，任何一方不得以任何形式公开本合同及附件内容。双方在未征得对方同意的情况下，不得向第三方泄露在项目中接触到的需要保密的信息和资料。不得为任何本合同之外的其他目的而自行使用或允许他人使用从对方获得的信息（包括但不限于所有的报告、摘录、纪要、文件、计划、报表、复印件等）。</w:t>
      </w:r>
    </w:p>
    <w:p>
      <w:pPr>
        <w:pStyle w:val="18"/>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4、负有保密义务的人员范围为甲乙双方参与及知悉项目的所有人员，双方负有永久保密义务。</w:t>
      </w:r>
      <w:r>
        <w:rPr>
          <w:rFonts w:hint="eastAsia" w:ascii="仿宋" w:hAnsi="仿宋" w:eastAsia="仿宋" w:cs="仿宋"/>
          <w:color w:val="000000"/>
          <w:kern w:val="2"/>
          <w:sz w:val="24"/>
          <w:szCs w:val="24"/>
          <w:highlight w:val="none"/>
          <w:lang w:val="en-US" w:eastAsia="zh-CN" w:bidi="ar-SA"/>
        </w:rPr>
        <w:tab/>
      </w:r>
    </w:p>
    <w:p>
      <w:pPr>
        <w:pStyle w:val="18"/>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5、本项目项下产生数据资料、统计资料等电子信息所有权属于甲方，未经甲方书面同意，乙方不得以任何方式使用或变相使用，不得以任何方式向第三方披露，否则，乙方应当向甲方赔偿损失。</w:t>
      </w:r>
    </w:p>
    <w:p>
      <w:pPr>
        <w:pStyle w:val="65"/>
        <w:keepNext w:val="0"/>
        <w:keepLines w:val="0"/>
        <w:pageBreakBefore w:val="0"/>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kinsoku/>
        <w:wordWrap/>
        <w:overflowPunct/>
        <w:topLinePunct w:val="0"/>
        <w:bidi w:val="0"/>
        <w:snapToGrid w:val="0"/>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color w:val="000000"/>
          <w:kern w:val="2"/>
          <w:sz w:val="24"/>
          <w:szCs w:val="24"/>
          <w:highlight w:val="none"/>
        </w:rPr>
        <w:t>第</w:t>
      </w:r>
      <w:r>
        <w:rPr>
          <w:rFonts w:hint="eastAsia" w:ascii="仿宋" w:hAnsi="仿宋" w:eastAsia="仿宋" w:cs="仿宋"/>
          <w:b/>
          <w:color w:val="000000"/>
          <w:kern w:val="2"/>
          <w:sz w:val="24"/>
          <w:szCs w:val="24"/>
          <w:highlight w:val="none"/>
          <w:lang w:val="en-US" w:eastAsia="zh-CN"/>
        </w:rPr>
        <w:t>八</w:t>
      </w:r>
      <w:r>
        <w:rPr>
          <w:rFonts w:hint="eastAsia" w:ascii="仿宋" w:hAnsi="仿宋" w:eastAsia="仿宋" w:cs="仿宋"/>
          <w:b/>
          <w:color w:val="000000"/>
          <w:kern w:val="2"/>
          <w:sz w:val="24"/>
          <w:szCs w:val="24"/>
          <w:highlight w:val="none"/>
        </w:rPr>
        <w:t>条：</w:t>
      </w:r>
      <w:r>
        <w:rPr>
          <w:rFonts w:hint="eastAsia" w:ascii="仿宋" w:hAnsi="仿宋" w:eastAsia="仿宋" w:cs="仿宋"/>
          <w:b/>
          <w:sz w:val="24"/>
          <w:szCs w:val="24"/>
          <w:highlight w:val="none"/>
        </w:rPr>
        <w:t>违约责任：</w:t>
      </w:r>
    </w:p>
    <w:p>
      <w:pPr>
        <w:keepNext w:val="0"/>
        <w:keepLines w:val="0"/>
        <w:pageBreakBefore w:val="0"/>
        <w:widowControl w:val="0"/>
        <w:numPr>
          <w:ilvl w:val="-1"/>
          <w:numId w:val="0"/>
        </w:numPr>
        <w:kinsoku/>
        <w:wordWrap/>
        <w:overflowPunct/>
        <w:topLinePunct w:val="0"/>
        <w:bidi w:val="0"/>
        <w:spacing w:line="360" w:lineRule="auto"/>
        <w:ind w:leftChars="0"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 xml:space="preserve"> 乙方如不能按时交货</w:t>
      </w:r>
      <w:r>
        <w:rPr>
          <w:rFonts w:hint="eastAsia" w:ascii="仿宋" w:hAnsi="仿宋" w:eastAsia="仿宋" w:cs="仿宋"/>
          <w:sz w:val="24"/>
          <w:highlight w:val="none"/>
          <w:lang w:eastAsia="zh-CN"/>
        </w:rPr>
        <w:t>，</w:t>
      </w:r>
      <w:r>
        <w:rPr>
          <w:rFonts w:hint="eastAsia" w:ascii="仿宋" w:hAnsi="仿宋" w:eastAsia="仿宋" w:cs="仿宋"/>
          <w:sz w:val="24"/>
          <w:highlight w:val="none"/>
        </w:rPr>
        <w:t>应向甲方支付迟延履行的违约金，</w:t>
      </w:r>
      <w:r>
        <w:rPr>
          <w:rFonts w:hint="eastAsia" w:ascii="仿宋" w:hAnsi="仿宋" w:eastAsia="仿宋" w:cs="仿宋"/>
          <w:sz w:val="24"/>
          <w:highlight w:val="none"/>
          <w:lang w:val="en-US" w:eastAsia="zh-CN"/>
        </w:rPr>
        <w:t>每逾期一天以</w:t>
      </w:r>
      <w:r>
        <w:rPr>
          <w:rFonts w:hint="eastAsia" w:ascii="仿宋" w:hAnsi="仿宋" w:eastAsia="仿宋" w:cs="仿宋"/>
          <w:sz w:val="24"/>
          <w:highlight w:val="none"/>
        </w:rPr>
        <w:t>逾期交货货款金额</w:t>
      </w:r>
      <w:r>
        <w:rPr>
          <w:rFonts w:hint="eastAsia" w:ascii="仿宋" w:hAnsi="仿宋" w:eastAsia="仿宋" w:cs="仿宋"/>
          <w:sz w:val="24"/>
          <w:highlight w:val="none"/>
          <w:lang w:val="en-US" w:eastAsia="zh-CN"/>
        </w:rPr>
        <w:t>为基数按照日</w:t>
      </w:r>
      <w:r>
        <w:rPr>
          <w:rFonts w:hint="eastAsia" w:ascii="仿宋" w:hAnsi="仿宋" w:eastAsia="仿宋" w:cs="仿宋"/>
          <w:sz w:val="24"/>
          <w:highlight w:val="none"/>
          <w:u w:val="single"/>
          <w:lang w:val="en-US" w:eastAsia="zh-CN"/>
        </w:rPr>
        <w:t xml:space="preserve"> 0.2 </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计算</w:t>
      </w:r>
      <w:r>
        <w:rPr>
          <w:rFonts w:hint="eastAsia" w:ascii="仿宋" w:hAnsi="仿宋" w:eastAsia="仿宋" w:cs="仿宋"/>
          <w:sz w:val="24"/>
          <w:highlight w:val="none"/>
          <w:lang w:val="en-US" w:eastAsia="zh-CN"/>
        </w:rPr>
        <w:t>违约金</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乙方如</w:t>
      </w:r>
      <w:r>
        <w:rPr>
          <w:rFonts w:hint="eastAsia" w:ascii="仿宋" w:hAnsi="仿宋" w:eastAsia="仿宋" w:cs="仿宋"/>
          <w:sz w:val="24"/>
          <w:highlight w:val="none"/>
        </w:rPr>
        <w:t>未按照本合同约定</w:t>
      </w:r>
      <w:r>
        <w:rPr>
          <w:rFonts w:hint="eastAsia" w:ascii="仿宋" w:hAnsi="仿宋" w:eastAsia="仿宋" w:cs="仿宋"/>
          <w:sz w:val="24"/>
          <w:highlight w:val="none"/>
          <w:lang w:val="en-US" w:eastAsia="zh-CN"/>
        </w:rPr>
        <w:t>时间完成</w:t>
      </w:r>
      <w:r>
        <w:rPr>
          <w:rFonts w:hint="eastAsia" w:ascii="仿宋" w:hAnsi="仿宋" w:eastAsia="仿宋" w:cs="仿宋"/>
          <w:sz w:val="24"/>
          <w:highlight w:val="none"/>
        </w:rPr>
        <w:t>安装、调试</w:t>
      </w:r>
      <w:r>
        <w:rPr>
          <w:rFonts w:hint="eastAsia" w:ascii="仿宋" w:hAnsi="仿宋" w:eastAsia="仿宋" w:cs="仿宋"/>
          <w:sz w:val="24"/>
          <w:highlight w:val="none"/>
          <w:lang w:val="en-US" w:eastAsia="zh-CN"/>
        </w:rPr>
        <w:t>等义务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每逾期一天</w:t>
      </w:r>
      <w:r>
        <w:rPr>
          <w:rFonts w:hint="eastAsia" w:ascii="仿宋" w:hAnsi="仿宋" w:eastAsia="仿宋" w:cs="仿宋"/>
          <w:sz w:val="24"/>
          <w:highlight w:val="none"/>
        </w:rPr>
        <w:t>应向甲方支付本合同总价款</w:t>
      </w:r>
      <w:r>
        <w:rPr>
          <w:rFonts w:hint="eastAsia" w:ascii="仿宋" w:hAnsi="仿宋" w:eastAsia="仿宋" w:cs="仿宋"/>
          <w:sz w:val="24"/>
          <w:highlight w:val="none"/>
          <w:u w:val="single"/>
          <w:lang w:val="en-US" w:eastAsia="zh-CN"/>
        </w:rPr>
        <w:t xml:space="preserve">  0.2  </w:t>
      </w:r>
      <w:r>
        <w:rPr>
          <w:rFonts w:hint="eastAsia" w:ascii="仿宋" w:hAnsi="仿宋" w:eastAsia="仿宋" w:cs="仿宋"/>
          <w:sz w:val="24"/>
          <w:highlight w:val="none"/>
          <w:lang w:val="en-US" w:eastAsia="zh-CN"/>
        </w:rPr>
        <w:t>‰</w:t>
      </w:r>
      <w:r>
        <w:rPr>
          <w:rFonts w:hint="eastAsia" w:ascii="仿宋" w:hAnsi="仿宋" w:eastAsia="仿宋" w:cs="仿宋"/>
          <w:sz w:val="24"/>
          <w:highlight w:val="none"/>
        </w:rPr>
        <w:t>的违约金。</w:t>
      </w:r>
      <w:r>
        <w:rPr>
          <w:rFonts w:hint="eastAsia" w:ascii="仿宋" w:hAnsi="仿宋" w:eastAsia="仿宋" w:cs="仿宋"/>
          <w:sz w:val="24"/>
          <w:highlight w:val="none"/>
          <w:lang w:val="en-US" w:eastAsia="zh-CN"/>
        </w:rPr>
        <w:t>乙方逾期超过</w:t>
      </w:r>
      <w:r>
        <w:rPr>
          <w:rFonts w:hint="eastAsia" w:ascii="仿宋" w:hAnsi="仿宋" w:eastAsia="仿宋" w:cs="仿宋"/>
          <w:sz w:val="24"/>
          <w:highlight w:val="none"/>
          <w:u w:val="single"/>
          <w:lang w:val="en-US" w:eastAsia="zh-CN"/>
        </w:rPr>
        <w:t xml:space="preserve"> 60 </w:t>
      </w:r>
      <w:r>
        <w:rPr>
          <w:rFonts w:hint="eastAsia" w:ascii="仿宋" w:hAnsi="仿宋" w:eastAsia="仿宋" w:cs="仿宋"/>
          <w:sz w:val="24"/>
          <w:highlight w:val="none"/>
          <w:lang w:val="en-US" w:eastAsia="zh-CN"/>
        </w:rPr>
        <w:t>天的，甲方有权解除合同。</w:t>
      </w:r>
    </w:p>
    <w:p>
      <w:pPr>
        <w:keepNext w:val="0"/>
        <w:keepLines w:val="0"/>
        <w:pageBreakBefore w:val="0"/>
        <w:widowControl w:val="0"/>
        <w:numPr>
          <w:ilvl w:val="-1"/>
          <w:numId w:val="0"/>
        </w:numPr>
        <w:kinsoku/>
        <w:wordWrap/>
        <w:overflowPunct/>
        <w:topLinePunct w:val="0"/>
        <w:bidi w:val="0"/>
        <w:spacing w:line="360" w:lineRule="auto"/>
        <w:ind w:leftChars="0" w:firstLine="480" w:firstLineChars="200"/>
        <w:rPr>
          <w:rFonts w:hint="eastAsia" w:ascii="仿宋" w:hAnsi="仿宋" w:eastAsia="仿宋" w:cs="仿宋"/>
          <w:sz w:val="24"/>
          <w:highlight w:val="none"/>
        </w:rPr>
      </w:pPr>
      <w:r>
        <w:rPr>
          <w:rFonts w:hint="eastAsia" w:ascii="仿宋" w:hAnsi="仿宋" w:eastAsia="仿宋" w:cs="仿宋"/>
          <w:sz w:val="24"/>
          <w:highlight w:val="none"/>
        </w:rPr>
        <w:t>如</w:t>
      </w:r>
      <w:r>
        <w:rPr>
          <w:rFonts w:hint="eastAsia" w:ascii="仿宋" w:hAnsi="仿宋" w:eastAsia="仿宋" w:cs="仿宋"/>
          <w:sz w:val="24"/>
          <w:highlight w:val="none"/>
          <w:lang w:val="en-US" w:eastAsia="zh-CN"/>
        </w:rPr>
        <w:t>乙方</w:t>
      </w:r>
      <w:r>
        <w:rPr>
          <w:rFonts w:hint="eastAsia" w:ascii="仿宋" w:hAnsi="仿宋" w:eastAsia="仿宋" w:cs="仿宋"/>
          <w:sz w:val="24"/>
          <w:highlight w:val="none"/>
        </w:rPr>
        <w:t>交付的产品数量、品种、规格、质量不符合国家标准和合同约定的</w:t>
      </w:r>
      <w:r>
        <w:rPr>
          <w:rFonts w:hint="eastAsia" w:ascii="仿宋" w:hAnsi="仿宋" w:eastAsia="仿宋" w:cs="仿宋"/>
          <w:sz w:val="24"/>
          <w:highlight w:val="none"/>
          <w:lang w:eastAsia="zh-CN"/>
        </w:rPr>
        <w:t>，</w:t>
      </w:r>
      <w:r>
        <w:rPr>
          <w:rFonts w:hint="eastAsia" w:ascii="仿宋" w:hAnsi="仿宋" w:eastAsia="仿宋" w:cs="仿宋"/>
          <w:sz w:val="24"/>
          <w:highlight w:val="none"/>
        </w:rPr>
        <w:t>由乙方负责包换、退货，并承担由此给甲方造成的所有经济损失。</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 xml:space="preserve"> 除前款约定外，乙方未按合同要求提供产品或提供虚假材料，且质量不能满足技术要求的，甲方</w:t>
      </w:r>
      <w:r>
        <w:rPr>
          <w:rFonts w:hint="eastAsia" w:ascii="仿宋" w:hAnsi="仿宋" w:eastAsia="仿宋" w:cs="仿宋"/>
          <w:color w:val="000000"/>
          <w:sz w:val="24"/>
          <w:highlight w:val="none"/>
          <w:lang w:val="en-US" w:eastAsia="zh-CN"/>
        </w:rPr>
        <w:t>有权解除</w:t>
      </w:r>
      <w:r>
        <w:rPr>
          <w:rFonts w:hint="eastAsia" w:ascii="仿宋" w:hAnsi="仿宋" w:eastAsia="仿宋" w:cs="仿宋"/>
          <w:color w:val="000000"/>
          <w:sz w:val="24"/>
          <w:highlight w:val="none"/>
        </w:rPr>
        <w:t>合同，并对乙方的违法、违约行为进行追究。</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乙方确保甲方购买的产品拥有合法的知识产权（即为正版软件），如因甲方购买、使用该软件引起与其它第三方发生法律、经济纠纷的，乙方应主动承担全部责任，积极参与处理因软件引起的与其他第三方发生法律、经济责任，承担甲方因此造成的全部损失（包括但不限于赔偿费、律师费、交通费</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诉讼费</w:t>
      </w:r>
      <w:r>
        <w:rPr>
          <w:rFonts w:hint="eastAsia" w:ascii="仿宋" w:hAnsi="仿宋" w:eastAsia="仿宋" w:cs="仿宋"/>
          <w:sz w:val="24"/>
          <w:highlight w:val="none"/>
        </w:rPr>
        <w:t>等），并且乙方应退还甲方支付的所有款项，以及支付合同价款总额的</w:t>
      </w:r>
      <w:r>
        <w:rPr>
          <w:rFonts w:hint="eastAsia" w:ascii="仿宋" w:hAnsi="仿宋" w:eastAsia="仿宋" w:cs="仿宋"/>
          <w:sz w:val="24"/>
          <w:highlight w:val="none"/>
          <w:u w:val="single"/>
        </w:rPr>
        <w:t>20%</w:t>
      </w:r>
      <w:r>
        <w:rPr>
          <w:rFonts w:hint="eastAsia" w:ascii="仿宋" w:hAnsi="仿宋" w:eastAsia="仿宋" w:cs="仿宋"/>
          <w:sz w:val="24"/>
          <w:highlight w:val="none"/>
        </w:rPr>
        <w:t>违约金。</w:t>
      </w:r>
    </w:p>
    <w:p>
      <w:pPr>
        <w:pStyle w:val="64"/>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highlight w:val="none"/>
        </w:rPr>
      </w:pPr>
      <w:r>
        <w:rPr>
          <w:rFonts w:hint="eastAsia" w:ascii="仿宋" w:hAnsi="仿宋" w:eastAsia="仿宋" w:cs="仿宋"/>
          <w:kern w:val="2"/>
          <w:sz w:val="24"/>
          <w:szCs w:val="24"/>
          <w:highlight w:val="none"/>
          <w:lang w:val="en-US" w:eastAsia="zh-CN" w:bidi="ar-SA"/>
        </w:rPr>
        <w:t>4、甲方未按合同约定提供工作条件或完成配合事项，或者提供工作条件、完成配合事项不符合合同约定影响项目进度和质量的，项目交付期限相应顺延。</w:t>
      </w:r>
    </w:p>
    <w:p>
      <w:pPr>
        <w:pStyle w:val="18"/>
        <w:keepNext w:val="0"/>
        <w:keepLines w:val="0"/>
        <w:pageBreakBefore w:val="0"/>
        <w:widowControl w:val="0"/>
        <w:kinsoku/>
        <w:wordWrap/>
        <w:overflowPunct/>
        <w:topLinePunct w:val="0"/>
        <w:bidi w:val="0"/>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kern w:val="2"/>
          <w:sz w:val="24"/>
          <w:szCs w:val="24"/>
          <w:highlight w:val="none"/>
          <w:lang w:val="en-US" w:eastAsia="zh-CN" w:bidi="ar-SA"/>
        </w:rPr>
        <w:t>5、因甲方违约导致本合同解除的，乙方有权按已履行完毕的服务内容向甲方收取对应合同价款。</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6、因乙方违约导致合同解除的，乙方应向甲方退还已收的所有款项，并向甲方支付</w:t>
      </w:r>
      <w:r>
        <w:rPr>
          <w:rFonts w:hint="eastAsia" w:ascii="仿宋" w:hAnsi="仿宋" w:eastAsia="仿宋" w:cs="仿宋"/>
          <w:sz w:val="24"/>
          <w:highlight w:val="none"/>
        </w:rPr>
        <w:t>合同价款总额的</w:t>
      </w:r>
      <w:r>
        <w:rPr>
          <w:rFonts w:hint="eastAsia" w:ascii="仿宋" w:hAnsi="仿宋" w:eastAsia="仿宋" w:cs="仿宋"/>
          <w:sz w:val="24"/>
          <w:highlight w:val="none"/>
          <w:u w:val="single"/>
        </w:rPr>
        <w:t>20%</w:t>
      </w:r>
      <w:r>
        <w:rPr>
          <w:rFonts w:hint="eastAsia" w:ascii="仿宋" w:hAnsi="仿宋" w:eastAsia="仿宋" w:cs="仿宋"/>
          <w:sz w:val="24"/>
          <w:highlight w:val="none"/>
        </w:rPr>
        <w:t>违约金。</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第</w:t>
      </w:r>
      <w:r>
        <w:rPr>
          <w:rFonts w:hint="eastAsia" w:ascii="仿宋" w:hAnsi="仿宋" w:eastAsia="仿宋" w:cs="仿宋"/>
          <w:b/>
          <w:color w:val="000000"/>
          <w:sz w:val="24"/>
          <w:highlight w:val="none"/>
          <w:lang w:val="en-US" w:eastAsia="zh-CN"/>
        </w:rPr>
        <w:t>九</w:t>
      </w:r>
      <w:r>
        <w:rPr>
          <w:rFonts w:hint="eastAsia" w:ascii="仿宋" w:hAnsi="仿宋" w:eastAsia="仿宋" w:cs="仿宋"/>
          <w:b/>
          <w:color w:val="000000"/>
          <w:sz w:val="24"/>
          <w:highlight w:val="none"/>
        </w:rPr>
        <w:t>条：不可抗力：</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如果由于无法预见并且对其发生和后果无法防止或避免的事件，如地震、水灾、火灾和其他自然灾害、战争、暴动、和类似的军事行动，民间骚动以及政府的禁运令、禁止令或其他政府限制和行动，或者其他阻止一方履行本合同义务的任何事件或原因（统称：不可抗力事件）。直接致使遇到上述事件的一方（即受阻方）不能履行本合同约定的全部或部分义务的，受阻方应立即书面通知另一方，并在不可抗力事件发生后十五个工作日内提供有关该事件的权威机关的书面材料，包括陈述迟延履行、部分履行或无法履行本合同义务的理由的说明书，方可免责。</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第十条：纠纷的解决：</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本合同在履行过程中发生的与本合同有关的任何争议，由甲、乙双方先行友好协商解决，协商不成的，任何一方有权向甲方所在地人民法院起诉。</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第十</w:t>
      </w:r>
      <w:r>
        <w:rPr>
          <w:rFonts w:hint="eastAsia" w:ascii="仿宋" w:hAnsi="仿宋" w:eastAsia="仿宋" w:cs="仿宋"/>
          <w:b/>
          <w:color w:val="000000"/>
          <w:sz w:val="24"/>
          <w:highlight w:val="none"/>
          <w:lang w:val="en-US" w:eastAsia="zh-CN"/>
        </w:rPr>
        <w:t>一</w:t>
      </w:r>
      <w:r>
        <w:rPr>
          <w:rFonts w:hint="eastAsia" w:ascii="仿宋" w:hAnsi="仿宋" w:eastAsia="仿宋" w:cs="仿宋"/>
          <w:b/>
          <w:color w:val="000000"/>
          <w:sz w:val="24"/>
          <w:highlight w:val="none"/>
        </w:rPr>
        <w:t>条</w:t>
      </w:r>
      <w:r>
        <w:rPr>
          <w:rFonts w:hint="eastAsia" w:ascii="仿宋" w:hAnsi="仿宋" w:eastAsia="仿宋" w:cs="仿宋"/>
          <w:color w:val="000000"/>
          <w:sz w:val="24"/>
          <w:highlight w:val="none"/>
        </w:rPr>
        <w:t>：本合同一式肆份，甲乙双方各执贰份，均具有同等法律效力。</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第十</w:t>
      </w:r>
      <w:r>
        <w:rPr>
          <w:rFonts w:hint="eastAsia" w:ascii="仿宋" w:hAnsi="仿宋" w:eastAsia="仿宋" w:cs="仿宋"/>
          <w:b/>
          <w:color w:val="000000"/>
          <w:sz w:val="24"/>
          <w:highlight w:val="none"/>
          <w:lang w:val="en-US" w:eastAsia="zh-CN"/>
        </w:rPr>
        <w:t>二</w:t>
      </w:r>
      <w:r>
        <w:rPr>
          <w:rFonts w:hint="eastAsia" w:ascii="仿宋" w:hAnsi="仿宋" w:eastAsia="仿宋" w:cs="仿宋"/>
          <w:b/>
          <w:color w:val="000000"/>
          <w:sz w:val="24"/>
          <w:highlight w:val="none"/>
        </w:rPr>
        <w:t>条</w:t>
      </w:r>
      <w:r>
        <w:rPr>
          <w:rFonts w:hint="eastAsia" w:ascii="仿宋" w:hAnsi="仿宋" w:eastAsia="仿宋" w:cs="仿宋"/>
          <w:color w:val="000000"/>
          <w:sz w:val="24"/>
          <w:highlight w:val="none"/>
        </w:rPr>
        <w:t>：本合同未尽事宜，由甲、乙双方另行签订补充协议，补充协议作为合同附件与本合同具有同等法律效力。</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第十</w:t>
      </w:r>
      <w:r>
        <w:rPr>
          <w:rFonts w:hint="eastAsia" w:ascii="仿宋" w:hAnsi="仿宋" w:eastAsia="仿宋" w:cs="仿宋"/>
          <w:b/>
          <w:color w:val="000000"/>
          <w:sz w:val="24"/>
          <w:highlight w:val="none"/>
          <w:lang w:val="en-US" w:eastAsia="zh-CN"/>
        </w:rPr>
        <w:t>三</w:t>
      </w:r>
      <w:r>
        <w:rPr>
          <w:rFonts w:hint="eastAsia" w:ascii="仿宋" w:hAnsi="仿宋" w:eastAsia="仿宋" w:cs="仿宋"/>
          <w:b/>
          <w:color w:val="000000"/>
          <w:sz w:val="24"/>
          <w:highlight w:val="none"/>
        </w:rPr>
        <w:t>条</w:t>
      </w:r>
      <w:r>
        <w:rPr>
          <w:rFonts w:hint="eastAsia" w:ascii="仿宋" w:hAnsi="仿宋" w:eastAsia="仿宋" w:cs="仿宋"/>
          <w:color w:val="000000"/>
          <w:sz w:val="24"/>
          <w:highlight w:val="none"/>
        </w:rPr>
        <w:t>：本合同自甲、乙双方正式授权代表签字并加盖公章之日生效。</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第十</w:t>
      </w:r>
      <w:r>
        <w:rPr>
          <w:rFonts w:hint="eastAsia" w:ascii="仿宋" w:hAnsi="仿宋" w:eastAsia="仿宋" w:cs="仿宋"/>
          <w:b/>
          <w:color w:val="000000"/>
          <w:sz w:val="24"/>
          <w:highlight w:val="none"/>
          <w:lang w:val="en-US" w:eastAsia="zh-CN"/>
        </w:rPr>
        <w:t>四</w:t>
      </w:r>
      <w:r>
        <w:rPr>
          <w:rFonts w:hint="eastAsia" w:ascii="仿宋" w:hAnsi="仿宋" w:eastAsia="仿宋" w:cs="仿宋"/>
          <w:b/>
          <w:color w:val="000000"/>
          <w:sz w:val="24"/>
          <w:highlight w:val="none"/>
        </w:rPr>
        <w:t>条</w:t>
      </w:r>
      <w:r>
        <w:rPr>
          <w:rFonts w:hint="eastAsia" w:ascii="仿宋" w:hAnsi="仿宋" w:eastAsia="仿宋" w:cs="仿宋"/>
          <w:color w:val="000000"/>
          <w:sz w:val="24"/>
          <w:highlight w:val="none"/>
        </w:rPr>
        <w:t>：本合同有效期自生效之日起至合同执行完毕时止。</w:t>
      </w:r>
    </w:p>
    <w:p>
      <w:pPr>
        <w:keepNext w:val="0"/>
        <w:keepLines w:val="0"/>
        <w:pageBreakBefore w:val="0"/>
        <w:widowControl w:val="0"/>
        <w:kinsoku/>
        <w:wordWrap/>
        <w:overflowPunct/>
        <w:topLinePunct w:val="0"/>
        <w:bidi w:val="0"/>
        <w:spacing w:line="360" w:lineRule="auto"/>
        <w:ind w:firstLine="482" w:firstLineChars="200"/>
        <w:rPr>
          <w:rFonts w:hint="eastAsia"/>
          <w:highlight w:val="none"/>
        </w:rPr>
      </w:pPr>
      <w:r>
        <w:rPr>
          <w:rFonts w:hint="eastAsia" w:ascii="仿宋" w:hAnsi="仿宋" w:eastAsia="仿宋" w:cs="仿宋"/>
          <w:b/>
          <w:color w:val="000000"/>
          <w:sz w:val="24"/>
          <w:highlight w:val="none"/>
        </w:rPr>
        <w:t>第十</w:t>
      </w:r>
      <w:r>
        <w:rPr>
          <w:rFonts w:hint="eastAsia" w:ascii="仿宋" w:hAnsi="仿宋" w:eastAsia="仿宋" w:cs="仿宋"/>
          <w:b/>
          <w:color w:val="000000"/>
          <w:sz w:val="24"/>
          <w:highlight w:val="none"/>
          <w:lang w:val="en-US" w:eastAsia="zh-CN"/>
        </w:rPr>
        <w:t>五</w:t>
      </w:r>
      <w:r>
        <w:rPr>
          <w:rFonts w:hint="eastAsia" w:ascii="仿宋" w:hAnsi="仿宋" w:eastAsia="仿宋" w:cs="仿宋"/>
          <w:b/>
          <w:color w:val="000000"/>
          <w:sz w:val="24"/>
          <w:highlight w:val="none"/>
        </w:rPr>
        <w:t>条：</w:t>
      </w:r>
      <w:r>
        <w:rPr>
          <w:rFonts w:hint="eastAsia" w:ascii="仿宋" w:hAnsi="仿宋" w:eastAsia="仿宋" w:cs="仿宋"/>
          <w:color w:val="000000"/>
          <w:sz w:val="24"/>
          <w:highlight w:val="none"/>
        </w:rPr>
        <w:t>本合同应当按照中华人民共和国的现行法律、法规进行解释。</w:t>
      </w:r>
    </w:p>
    <w:p>
      <w:pPr>
        <w:pStyle w:val="22"/>
        <w:rPr>
          <w:rFonts w:hint="eastAsia"/>
          <w:highlight w:val="none"/>
        </w:rPr>
      </w:pPr>
    </w:p>
    <w:tbl>
      <w:tblPr>
        <w:tblStyle w:val="23"/>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3102"/>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102" w:type="dxa"/>
            <w:shd w:val="clear" w:color="auto" w:fill="D8D8D8"/>
            <w:noWrap w:val="0"/>
            <w:vAlign w:val="center"/>
          </w:tcPr>
          <w:p>
            <w:pPr>
              <w:spacing w:line="240" w:lineRule="auto"/>
              <w:jc w:val="center"/>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  方</w:t>
            </w:r>
          </w:p>
        </w:tc>
        <w:tc>
          <w:tcPr>
            <w:tcW w:w="3102" w:type="dxa"/>
            <w:shd w:val="clear" w:color="auto" w:fill="D8D8D8"/>
            <w:noWrap w:val="0"/>
            <w:vAlign w:val="center"/>
          </w:tcPr>
          <w:p>
            <w:pPr>
              <w:spacing w:line="240" w:lineRule="auto"/>
              <w:jc w:val="center"/>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乙  方</w:t>
            </w:r>
          </w:p>
        </w:tc>
        <w:tc>
          <w:tcPr>
            <w:tcW w:w="3104" w:type="dxa"/>
            <w:shd w:val="clear" w:color="auto" w:fill="D8D8D8"/>
            <w:noWrap w:val="0"/>
            <w:vAlign w:val="center"/>
          </w:tcPr>
          <w:p>
            <w:pPr>
              <w:spacing w:line="240" w:lineRule="auto"/>
              <w:jc w:val="center"/>
              <w:outlineLvl w:val="9"/>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w:t>
            </w:r>
          </w:p>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3102" w:type="dxa"/>
            <w:noWrap w:val="0"/>
            <w:vAlign w:val="center"/>
          </w:tcPr>
          <w:p>
            <w:pPr>
              <w:spacing w:line="360" w:lineRule="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成交供应商</w:t>
            </w:r>
          </w:p>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采购代理机构</w:t>
            </w:r>
          </w:p>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法定代表人</w:t>
            </w:r>
            <w:r>
              <w:rPr>
                <w:rFonts w:hint="eastAsia" w:ascii="仿宋" w:hAnsi="仿宋" w:eastAsia="仿宋" w:cs="仿宋"/>
                <w:color w:val="auto"/>
                <w:sz w:val="24"/>
                <w:szCs w:val="24"/>
                <w:highlight w:val="none"/>
                <w:u w:val="none"/>
                <w:lang w:val="en-US" w:eastAsia="zh-CN"/>
              </w:rPr>
              <w:t>或代理人</w:t>
            </w:r>
            <w:r>
              <w:rPr>
                <w:rFonts w:hint="eastAsia" w:ascii="仿宋" w:hAnsi="仿宋" w:eastAsia="仿宋" w:cs="仿宋"/>
                <w:color w:val="auto"/>
                <w:sz w:val="24"/>
                <w:szCs w:val="24"/>
                <w:highlight w:val="none"/>
                <w:u w:val="none"/>
              </w:rPr>
              <w:t>：</w:t>
            </w:r>
          </w:p>
        </w:tc>
        <w:tc>
          <w:tcPr>
            <w:tcW w:w="3102" w:type="dxa"/>
            <w:noWrap w:val="0"/>
            <w:vAlign w:val="center"/>
          </w:tcPr>
          <w:p>
            <w:pPr>
              <w:spacing w:line="360" w:lineRule="auto"/>
              <w:outlineLvl w:val="9"/>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法定代表人</w:t>
            </w:r>
            <w:r>
              <w:rPr>
                <w:rFonts w:hint="eastAsia" w:ascii="仿宋" w:hAnsi="仿宋" w:eastAsia="仿宋" w:cs="仿宋"/>
                <w:color w:val="auto"/>
                <w:sz w:val="24"/>
                <w:szCs w:val="24"/>
                <w:highlight w:val="none"/>
                <w:u w:val="none"/>
                <w:lang w:val="en-US" w:eastAsia="zh-CN"/>
              </w:rPr>
              <w:t>或代理人</w:t>
            </w:r>
            <w:r>
              <w:rPr>
                <w:rFonts w:hint="eastAsia" w:ascii="仿宋" w:hAnsi="仿宋" w:eastAsia="仿宋" w:cs="仿宋"/>
                <w:color w:val="auto"/>
                <w:sz w:val="24"/>
                <w:szCs w:val="24"/>
                <w:highlight w:val="none"/>
                <w:u w:val="none"/>
              </w:rPr>
              <w:t>：</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3102"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3104" w:type="dxa"/>
            <w:noWrap w:val="0"/>
            <w:vAlign w:val="center"/>
          </w:tcPr>
          <w:p>
            <w:pPr>
              <w:spacing w:line="360" w:lineRule="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r>
    </w:tbl>
    <w:p>
      <w:pPr>
        <w:pStyle w:val="63"/>
        <w:rPr>
          <w:rFonts w:hint="eastAsia" w:ascii="仿宋" w:hAnsi="仿宋" w:eastAsia="仿宋" w:cs="仿宋"/>
          <w:b w:val="0"/>
          <w:bCs/>
          <w:color w:val="auto"/>
          <w:sz w:val="24"/>
          <w:szCs w:val="24"/>
          <w:highlight w:val="none"/>
          <w:u w:val="none"/>
          <w:lang w:eastAsia="zh-CN"/>
        </w:rPr>
      </w:pPr>
    </w:p>
    <w:p>
      <w:pPr>
        <w:pStyle w:val="12"/>
        <w:rPr>
          <w:rFonts w:hint="eastAsia" w:ascii="仿宋" w:hAnsi="仿宋" w:eastAsia="仿宋" w:cs="仿宋"/>
          <w:color w:val="auto"/>
          <w:sz w:val="24"/>
          <w:szCs w:val="24"/>
          <w:highlight w:val="none"/>
        </w:rPr>
      </w:pPr>
    </w:p>
    <w:p>
      <w:pPr>
        <w:pStyle w:val="12"/>
        <w:rPr>
          <w:rFonts w:hint="eastAsia" w:ascii="仿宋" w:hAnsi="仿宋" w:eastAsia="仿宋" w:cs="仿宋"/>
          <w:color w:val="auto"/>
          <w:sz w:val="24"/>
          <w:szCs w:val="24"/>
          <w:highlight w:val="none"/>
        </w:rPr>
      </w:pPr>
    </w:p>
    <w:p>
      <w:pPr>
        <w:pStyle w:val="12"/>
        <w:rPr>
          <w:rFonts w:hint="eastAsia" w:ascii="仿宋" w:hAnsi="仿宋" w:eastAsia="仿宋" w:cs="仿宋"/>
          <w:color w:val="auto"/>
          <w:sz w:val="24"/>
          <w:szCs w:val="24"/>
          <w:highlight w:val="none"/>
        </w:rPr>
      </w:pPr>
    </w:p>
    <w:p>
      <w:pPr>
        <w:pageBreakBefore/>
        <w:autoSpaceDE w:val="0"/>
        <w:autoSpaceDN w:val="0"/>
        <w:adjustRightInd w:val="0"/>
        <w:snapToGrid w:val="0"/>
        <w:spacing w:line="360" w:lineRule="auto"/>
        <w:jc w:val="center"/>
        <w:outlineLvl w:val="0"/>
        <w:rPr>
          <w:rFonts w:hint="eastAsia" w:ascii="仿宋" w:hAnsi="仿宋" w:eastAsia="仿宋" w:cs="仿宋"/>
          <w:b/>
          <w:bCs/>
          <w:color w:val="auto"/>
          <w:sz w:val="32"/>
          <w:szCs w:val="32"/>
          <w:highlight w:val="none"/>
        </w:rPr>
      </w:pPr>
      <w:bookmarkStart w:id="379" w:name="_Toc23800"/>
      <w:r>
        <w:rPr>
          <w:rFonts w:hint="eastAsia" w:ascii="仿宋" w:hAnsi="仿宋" w:eastAsia="仿宋" w:cs="仿宋"/>
          <w:b/>
          <w:bCs/>
          <w:color w:val="auto"/>
          <w:sz w:val="32"/>
          <w:szCs w:val="32"/>
          <w:highlight w:val="none"/>
          <w:lang w:val="zh-CN"/>
        </w:rPr>
        <w:t>第五部分</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投标文件格式</w:t>
      </w:r>
      <w:bookmarkEnd w:id="379"/>
    </w:p>
    <w:p>
      <w:pPr>
        <w:autoSpaceDE w:val="0"/>
        <w:autoSpaceDN w:val="0"/>
        <w:adjustRightInd w:val="0"/>
        <w:snapToGrid w:val="0"/>
        <w:spacing w:line="360" w:lineRule="auto"/>
        <w:jc w:val="right"/>
        <w:rPr>
          <w:rFonts w:hint="eastAsia" w:ascii="仿宋" w:hAnsi="仿宋" w:eastAsia="仿宋" w:cs="仿宋"/>
          <w:b/>
          <w:bCs/>
          <w:color w:val="auto"/>
          <w:sz w:val="32"/>
          <w:szCs w:val="32"/>
          <w:highlight w:val="none"/>
          <w:lang w:val="zh-CN"/>
        </w:rPr>
      </w:pPr>
    </w:p>
    <w:p>
      <w:pPr>
        <w:autoSpaceDE w:val="0"/>
        <w:autoSpaceDN w:val="0"/>
        <w:adjustRightInd w:val="0"/>
        <w:snapToGrid w:val="0"/>
        <w:spacing w:line="360" w:lineRule="auto"/>
        <w:jc w:val="right"/>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正本/副本</w:t>
      </w:r>
    </w:p>
    <w:p>
      <w:pPr>
        <w:autoSpaceDE w:val="0"/>
        <w:autoSpaceDN w:val="0"/>
        <w:adjustRightInd w:val="0"/>
        <w:spacing w:line="360" w:lineRule="auto"/>
        <w:jc w:val="left"/>
        <w:rPr>
          <w:rFonts w:hint="eastAsia" w:ascii="仿宋" w:hAnsi="仿宋" w:eastAsia="仿宋" w:cs="仿宋"/>
          <w:b/>
          <w:bCs/>
          <w:color w:val="auto"/>
          <w:sz w:val="32"/>
          <w:szCs w:val="32"/>
          <w:highlight w:val="none"/>
          <w:lang w:val="zh-CN"/>
        </w:rPr>
      </w:pPr>
    </w:p>
    <w:p>
      <w:pPr>
        <w:tabs>
          <w:tab w:val="left" w:pos="5670"/>
        </w:tabs>
        <w:autoSpaceDE w:val="0"/>
        <w:autoSpaceDN w:val="0"/>
        <w:adjustRightInd w:val="0"/>
        <w:spacing w:line="360" w:lineRule="auto"/>
        <w:rPr>
          <w:rFonts w:hint="default" w:ascii="仿宋" w:hAnsi="仿宋" w:eastAsia="仿宋" w:cs="仿宋"/>
          <w:b/>
          <w:bCs/>
          <w:color w:val="auto"/>
          <w:sz w:val="32"/>
          <w:szCs w:val="32"/>
          <w:highlight w:val="none"/>
          <w:lang w:val="en-US" w:eastAsia="zh-CN"/>
        </w:rPr>
      </w:pPr>
      <w:r>
        <w:rPr>
          <w:rFonts w:hint="default" w:ascii="仿宋" w:hAnsi="仿宋" w:eastAsia="仿宋" w:cs="仿宋"/>
          <w:b/>
          <w:bCs/>
          <w:color w:val="auto"/>
          <w:sz w:val="32"/>
          <w:szCs w:val="32"/>
          <w:highlight w:val="none"/>
          <w:lang w:val="en-US" w:eastAsia="zh-CN"/>
        </w:rPr>
        <w:t>政府采购项目</w:t>
      </w:r>
    </w:p>
    <w:p>
      <w:pPr>
        <w:autoSpaceDE w:val="0"/>
        <w:autoSpaceDN w:val="0"/>
        <w:adjustRightInd w:val="0"/>
        <w:snapToGrid w:val="0"/>
        <w:spacing w:line="360" w:lineRule="auto"/>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 xml:space="preserve">政采编号：ZCSP-镇巴县-2023-00069                          </w:t>
      </w:r>
    </w:p>
    <w:p>
      <w:pPr>
        <w:tabs>
          <w:tab w:val="left" w:pos="5670"/>
        </w:tabs>
        <w:autoSpaceDE w:val="0"/>
        <w:autoSpaceDN w:val="0"/>
        <w:adjustRightInd w:val="0"/>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zh-CN"/>
        </w:rPr>
        <w:t>项目编号：</w:t>
      </w:r>
      <w:r>
        <w:rPr>
          <w:rFonts w:hint="eastAsia" w:ascii="仿宋" w:hAnsi="仿宋" w:eastAsia="仿宋" w:cs="仿宋"/>
          <w:b/>
          <w:bCs/>
          <w:color w:val="auto"/>
          <w:sz w:val="32"/>
          <w:szCs w:val="32"/>
          <w:highlight w:val="none"/>
          <w:lang w:eastAsia="zh-CN"/>
        </w:rPr>
        <w:t>DX2023-166</w:t>
      </w:r>
    </w:p>
    <w:p>
      <w:pPr>
        <w:tabs>
          <w:tab w:val="left" w:pos="5670"/>
        </w:tabs>
        <w:autoSpaceDE w:val="0"/>
        <w:autoSpaceDN w:val="0"/>
        <w:adjustRightInd w:val="0"/>
        <w:spacing w:line="360" w:lineRule="auto"/>
        <w:jc w:val="both"/>
        <w:rPr>
          <w:rFonts w:hint="eastAsia" w:ascii="宋体" w:hAnsi="宋体" w:cs="宋体"/>
          <w:b/>
          <w:bCs/>
          <w:color w:val="auto"/>
          <w:sz w:val="44"/>
          <w:szCs w:val="44"/>
          <w:highlight w:val="none"/>
          <w:lang w:eastAsia="zh-CN"/>
        </w:rPr>
      </w:pPr>
    </w:p>
    <w:p>
      <w:pPr>
        <w:tabs>
          <w:tab w:val="left" w:pos="5670"/>
        </w:tabs>
        <w:autoSpaceDE w:val="0"/>
        <w:autoSpaceDN w:val="0"/>
        <w:adjustRightInd w:val="0"/>
        <w:spacing w:line="360" w:lineRule="auto"/>
        <w:jc w:val="center"/>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lang w:eastAsia="zh-CN"/>
        </w:rPr>
        <w:t>镇巴县人民医院PACS及肺小结节智能诊断系统</w:t>
      </w:r>
    </w:p>
    <w:p>
      <w:pPr>
        <w:tabs>
          <w:tab w:val="left" w:pos="5670"/>
        </w:tabs>
        <w:autoSpaceDE w:val="0"/>
        <w:autoSpaceDN w:val="0"/>
        <w:adjustRightInd w:val="0"/>
        <w:spacing w:line="360" w:lineRule="auto"/>
        <w:jc w:val="center"/>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lang w:eastAsia="zh-CN"/>
        </w:rPr>
        <w:t>采购项目</w:t>
      </w:r>
    </w:p>
    <w:p>
      <w:pPr>
        <w:tabs>
          <w:tab w:val="left" w:pos="5670"/>
        </w:tabs>
        <w:autoSpaceDE w:val="0"/>
        <w:autoSpaceDN w:val="0"/>
        <w:adjustRightInd w:val="0"/>
        <w:spacing w:line="360" w:lineRule="auto"/>
        <w:jc w:val="center"/>
        <w:rPr>
          <w:rFonts w:hint="eastAsia" w:ascii="宋体" w:hAnsi="宋体" w:cs="宋体"/>
          <w:b/>
          <w:bCs/>
          <w:color w:val="auto"/>
          <w:sz w:val="40"/>
          <w:szCs w:val="40"/>
          <w:highlight w:val="none"/>
          <w:lang w:eastAsia="zh-CN"/>
        </w:rPr>
      </w:pPr>
      <w:r>
        <w:rPr>
          <w:rFonts w:hint="eastAsia" w:ascii="宋体" w:hAnsi="宋体" w:cs="宋体"/>
          <w:b/>
          <w:bCs/>
          <w:color w:val="auto"/>
          <w:sz w:val="40"/>
          <w:szCs w:val="40"/>
          <w:highlight w:val="none"/>
          <w:lang w:val="en-US" w:eastAsia="zh-CN"/>
        </w:rPr>
        <w:t>（包2：肺小结节智能诊断系统）</w:t>
      </w:r>
    </w:p>
    <w:p>
      <w:pPr>
        <w:pStyle w:val="21"/>
        <w:ind w:firstLine="210"/>
        <w:rPr>
          <w:rFonts w:hint="eastAsia" w:ascii="仿宋" w:hAnsi="仿宋" w:eastAsia="仿宋" w:cs="仿宋"/>
          <w:color w:val="auto"/>
          <w:highlight w:val="none"/>
        </w:rPr>
      </w:pPr>
    </w:p>
    <w:p>
      <w:pPr>
        <w:tabs>
          <w:tab w:val="left" w:pos="5670"/>
        </w:tabs>
        <w:autoSpaceDE w:val="0"/>
        <w:autoSpaceDN w:val="0"/>
        <w:adjustRightInd w:val="0"/>
        <w:spacing w:line="360" w:lineRule="auto"/>
        <w:jc w:val="center"/>
        <w:rPr>
          <w:rFonts w:hint="eastAsia" w:ascii="仿宋" w:hAnsi="仿宋" w:eastAsia="仿宋" w:cs="仿宋"/>
          <w:b/>
          <w:color w:val="auto"/>
          <w:sz w:val="44"/>
          <w:szCs w:val="44"/>
          <w:highlight w:val="none"/>
        </w:rPr>
      </w:pPr>
    </w:p>
    <w:p>
      <w:pPr>
        <w:tabs>
          <w:tab w:val="left" w:pos="5670"/>
        </w:tabs>
        <w:autoSpaceDE w:val="0"/>
        <w:autoSpaceDN w:val="0"/>
        <w:adjustRightInd w:val="0"/>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投 标 文 件</w:t>
      </w:r>
    </w:p>
    <w:p>
      <w:pPr>
        <w:autoSpaceDE w:val="0"/>
        <w:autoSpaceDN w:val="0"/>
        <w:adjustRightInd w:val="0"/>
        <w:spacing w:line="360" w:lineRule="auto"/>
        <w:jc w:val="center"/>
        <w:rPr>
          <w:rFonts w:hint="eastAsia" w:ascii="仿宋" w:hAnsi="仿宋" w:eastAsia="仿宋" w:cs="仿宋"/>
          <w:color w:val="auto"/>
          <w:sz w:val="32"/>
          <w:szCs w:val="32"/>
          <w:highlight w:val="none"/>
        </w:rPr>
      </w:pPr>
    </w:p>
    <w:p>
      <w:pPr>
        <w:autoSpaceDE w:val="0"/>
        <w:autoSpaceDN w:val="0"/>
        <w:adjustRightInd w:val="0"/>
        <w:spacing w:line="360" w:lineRule="auto"/>
        <w:jc w:val="center"/>
        <w:rPr>
          <w:rFonts w:hint="eastAsia" w:ascii="仿宋" w:hAnsi="仿宋" w:eastAsia="仿宋" w:cs="仿宋"/>
          <w:color w:val="auto"/>
          <w:sz w:val="32"/>
          <w:szCs w:val="32"/>
          <w:highlight w:val="none"/>
        </w:rPr>
      </w:pPr>
    </w:p>
    <w:p>
      <w:pPr>
        <w:pStyle w:val="37"/>
        <w:rPr>
          <w:rFonts w:hint="eastAsia" w:ascii="仿宋" w:hAnsi="仿宋" w:eastAsia="仿宋" w:cs="仿宋"/>
          <w:color w:val="auto"/>
          <w:highlight w:val="none"/>
        </w:rPr>
      </w:pPr>
    </w:p>
    <w:p>
      <w:pPr>
        <w:pStyle w:val="37"/>
        <w:ind w:left="0" w:leftChars="0" w:firstLine="420" w:firstLineChars="200"/>
        <w:rPr>
          <w:rFonts w:hint="eastAsia" w:ascii="仿宋" w:hAnsi="仿宋" w:eastAsia="仿宋" w:cs="仿宋"/>
          <w:color w:val="auto"/>
          <w:highlight w:val="none"/>
        </w:rPr>
      </w:pPr>
    </w:p>
    <w:p>
      <w:pPr>
        <w:spacing w:line="360" w:lineRule="auto"/>
        <w:ind w:left="0" w:leftChars="0"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  标 人：</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（盖章）</w:t>
      </w:r>
    </w:p>
    <w:p>
      <w:pPr>
        <w:spacing w:line="360" w:lineRule="auto"/>
        <w:ind w:left="0" w:leftChars="0" w:firstLine="643" w:firstLineChars="200"/>
        <w:rPr>
          <w:rFonts w:hint="eastAsia" w:ascii="仿宋" w:hAnsi="仿宋" w:eastAsia="仿宋" w:cs="仿宋"/>
          <w:b/>
          <w:bCs/>
          <w:color w:val="auto"/>
          <w:sz w:val="32"/>
          <w:szCs w:val="32"/>
          <w:highlight w:val="none"/>
        </w:rPr>
      </w:pPr>
      <w:r>
        <w:rPr>
          <w:rFonts w:hint="eastAsia" w:ascii="仿宋" w:hAnsi="仿宋" w:eastAsia="仿宋" w:cs="仿宋"/>
          <w:b/>
          <w:color w:val="auto"/>
          <w:sz w:val="32"/>
          <w:highlight w:val="none"/>
        </w:rPr>
        <w:t>法定代表人或授权代表：</w:t>
      </w:r>
      <w:r>
        <w:rPr>
          <w:rFonts w:hint="eastAsia" w:ascii="仿宋" w:hAnsi="仿宋" w:eastAsia="仿宋" w:cs="仿宋"/>
          <w:b/>
          <w:color w:val="auto"/>
          <w:sz w:val="32"/>
          <w:highlight w:val="none"/>
          <w:u w:val="single"/>
        </w:rPr>
        <w:t xml:space="preserve">             </w:t>
      </w:r>
      <w:r>
        <w:rPr>
          <w:rFonts w:hint="eastAsia" w:ascii="仿宋" w:hAnsi="仿宋" w:eastAsia="仿宋" w:cs="仿宋"/>
          <w:b/>
          <w:bCs/>
          <w:color w:val="auto"/>
          <w:sz w:val="32"/>
          <w:szCs w:val="32"/>
          <w:highlight w:val="none"/>
        </w:rPr>
        <w:t>（签字）</w:t>
      </w:r>
    </w:p>
    <w:p>
      <w:pPr>
        <w:spacing w:line="360" w:lineRule="auto"/>
        <w:ind w:left="0" w:leftChars="0"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日    期：</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b/>
          <w:bCs/>
          <w:color w:val="auto"/>
          <w:sz w:val="32"/>
          <w:szCs w:val="32"/>
          <w:highlight w:val="none"/>
        </w:rPr>
        <w:t>日</w:t>
      </w:r>
    </w:p>
    <w:p>
      <w:pPr>
        <w:pageBreakBefore/>
        <w:spacing w:line="360" w:lineRule="auto"/>
        <w:jc w:val="center"/>
        <w:rPr>
          <w:rFonts w:hint="eastAsia" w:ascii="仿宋" w:hAnsi="仿宋" w:eastAsia="仿宋" w:cs="仿宋"/>
          <w:b/>
          <w:bCs/>
          <w:color w:val="auto"/>
          <w:sz w:val="32"/>
          <w:szCs w:val="15"/>
          <w:highlight w:val="none"/>
          <w:lang w:val="zh-CN"/>
        </w:rPr>
      </w:pPr>
      <w:r>
        <w:rPr>
          <w:rFonts w:hint="eastAsia" w:ascii="仿宋" w:hAnsi="仿宋" w:eastAsia="仿宋" w:cs="仿宋"/>
          <w:b/>
          <w:bCs/>
          <w:color w:val="auto"/>
          <w:sz w:val="32"/>
          <w:szCs w:val="15"/>
          <w:highlight w:val="none"/>
          <w:lang w:val="zh-CN"/>
        </w:rPr>
        <w:t>目</w:t>
      </w:r>
      <w:r>
        <w:rPr>
          <w:rFonts w:hint="eastAsia" w:ascii="仿宋" w:hAnsi="仿宋" w:eastAsia="仿宋" w:cs="仿宋"/>
          <w:b/>
          <w:bCs/>
          <w:color w:val="auto"/>
          <w:sz w:val="32"/>
          <w:szCs w:val="15"/>
          <w:highlight w:val="none"/>
        </w:rPr>
        <w:t xml:space="preserve">  </w:t>
      </w:r>
      <w:r>
        <w:rPr>
          <w:rFonts w:hint="eastAsia" w:ascii="仿宋" w:hAnsi="仿宋" w:eastAsia="仿宋" w:cs="仿宋"/>
          <w:b/>
          <w:bCs/>
          <w:color w:val="auto"/>
          <w:sz w:val="32"/>
          <w:szCs w:val="15"/>
          <w:highlight w:val="none"/>
          <w:lang w:val="zh-CN"/>
        </w:rPr>
        <w:t>录</w:t>
      </w:r>
    </w:p>
    <w:p>
      <w:pPr>
        <w:jc w:val="center"/>
        <w:rPr>
          <w:rFonts w:hint="eastAsia" w:ascii="仿宋" w:hAnsi="仿宋" w:eastAsia="仿宋" w:cs="仿宋"/>
          <w:color w:val="auto"/>
          <w:highlight w:val="none"/>
          <w:lang w:val="zh-CN"/>
        </w:rPr>
      </w:pPr>
      <w:r>
        <w:rPr>
          <w:rFonts w:hint="eastAsia" w:ascii="仿宋" w:hAnsi="仿宋" w:eastAsia="仿宋" w:cs="仿宋"/>
          <w:color w:val="auto"/>
          <w:sz w:val="24"/>
          <w:szCs w:val="16"/>
          <w:highlight w:val="none"/>
          <w:lang w:val="zh-CN"/>
        </w:rPr>
        <w:t>请根据投标文件内容自动生成目录</w:t>
      </w:r>
    </w:p>
    <w:p>
      <w:pPr>
        <w:pageBreakBefore/>
        <w:spacing w:line="360" w:lineRule="auto"/>
        <w:jc w:val="center"/>
        <w:outlineLvl w:val="1"/>
        <w:rPr>
          <w:rFonts w:hint="eastAsia" w:ascii="仿宋" w:hAnsi="仿宋" w:eastAsia="仿宋" w:cs="仿宋"/>
          <w:color w:val="auto"/>
          <w:highlight w:val="none"/>
          <w:lang w:val="zh-CN"/>
        </w:rPr>
      </w:pPr>
      <w:bookmarkStart w:id="380" w:name="_Toc3821"/>
      <w:bookmarkStart w:id="381" w:name="_Toc14636"/>
      <w:bookmarkStart w:id="382" w:name="_Toc31469"/>
      <w:bookmarkStart w:id="383" w:name="_Toc27884"/>
      <w:bookmarkStart w:id="384" w:name="_Toc20494"/>
      <w:bookmarkStart w:id="385" w:name="_Toc32314"/>
      <w:r>
        <w:rPr>
          <w:rFonts w:hint="eastAsia" w:ascii="仿宋" w:hAnsi="仿宋" w:eastAsia="仿宋" w:cs="仿宋"/>
          <w:b/>
          <w:bCs/>
          <w:color w:val="auto"/>
          <w:sz w:val="32"/>
          <w:szCs w:val="15"/>
          <w:highlight w:val="none"/>
          <w:lang w:val="zh-CN"/>
        </w:rPr>
        <w:t>一、投标函</w:t>
      </w:r>
      <w:bookmarkEnd w:id="380"/>
      <w:bookmarkEnd w:id="381"/>
      <w:bookmarkEnd w:id="382"/>
      <w:bookmarkEnd w:id="383"/>
      <w:bookmarkEnd w:id="384"/>
      <w:bookmarkEnd w:id="385"/>
    </w:p>
    <w:p>
      <w:pPr>
        <w:autoSpaceDE w:val="0"/>
        <w:autoSpaceDN w:val="0"/>
        <w:adjustRightIn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zh-CN"/>
        </w:rPr>
        <w:t>陕西笃信招标有限公司：</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我单位收到贵公司关于</w:t>
      </w:r>
      <w:r>
        <w:rPr>
          <w:rFonts w:hint="eastAsia" w:ascii="仿宋" w:hAnsi="仿宋" w:eastAsia="仿宋" w:cs="仿宋"/>
          <w:color w:val="auto"/>
          <w:sz w:val="24"/>
          <w:szCs w:val="24"/>
          <w:highlight w:val="none"/>
          <w:u w:val="single"/>
          <w:lang w:eastAsia="zh-CN"/>
        </w:rPr>
        <w:t>镇巴县人民医院PACS及肺小结节智能诊断系统采购项目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DX2023-166</w:t>
      </w:r>
      <w:r>
        <w:rPr>
          <w:rFonts w:hint="eastAsia" w:ascii="仿宋" w:hAnsi="仿宋" w:eastAsia="仿宋" w:cs="仿宋"/>
          <w:color w:val="auto"/>
          <w:sz w:val="24"/>
          <w:szCs w:val="24"/>
          <w:highlight w:val="none"/>
        </w:rPr>
        <w:t>）的招标文件，经详细研究，我们决定参加本次项目</w:t>
      </w:r>
      <w:r>
        <w:rPr>
          <w:rFonts w:hint="eastAsia" w:ascii="仿宋" w:hAnsi="仿宋" w:eastAsia="仿宋" w:cs="仿宋"/>
          <w:color w:val="auto"/>
          <w:sz w:val="24"/>
          <w:szCs w:val="24"/>
          <w:highlight w:val="none"/>
          <w:lang w:val="en-US" w:eastAsia="zh-CN"/>
        </w:rPr>
        <w:t>第</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lang w:val="en-US" w:eastAsia="zh-CN"/>
        </w:rPr>
        <w:t>包</w:t>
      </w:r>
      <w:r>
        <w:rPr>
          <w:rFonts w:hint="eastAsia" w:ascii="仿宋" w:hAnsi="仿宋" w:eastAsia="仿宋" w:cs="仿宋"/>
          <w:color w:val="auto"/>
          <w:sz w:val="24"/>
          <w:szCs w:val="24"/>
          <w:highlight w:val="none"/>
        </w:rPr>
        <w:t>招标活动并投标。为此，我方郑重声明以下诸点，并负法律责任。</w:t>
      </w:r>
    </w:p>
    <w:p>
      <w:pPr>
        <w:numPr>
          <w:ilvl w:val="0"/>
          <w:numId w:val="5"/>
        </w:num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愿意按照招标文件中的一切要求，向采购人提供所需所有货物。</w:t>
      </w:r>
    </w:p>
    <w:p>
      <w:pPr>
        <w:pStyle w:val="14"/>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二、按招标文件的规定，我公司的投标总报价大写：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三、我方提交的投标文件正本一份、副本</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、第五部分</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四、投标人资格证明文件一份</w:t>
      </w:r>
      <w:r>
        <w:rPr>
          <w:rFonts w:hint="eastAsia" w:ascii="仿宋" w:hAnsi="仿宋" w:eastAsia="仿宋" w:cs="仿宋"/>
          <w:color w:val="auto"/>
          <w:sz w:val="24"/>
          <w:szCs w:val="24"/>
          <w:highlight w:val="none"/>
        </w:rPr>
        <w:t>及有效电子版一份，并保证投标文件提供的数据和材料真实、准确。否则，愿承担相关的法律责任。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四、我方已详细阅读了招标文件，完全理解并放弃提出含糊不清或易形成歧义的表述和资料。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五、我方愿意向贵方提供任何与本次招标有关的数据、情况、样品和技术资料，若贵方需要，我方愿意提供我方作出的一切承诺的证明材料。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六、开标后在规定的投标有效期内撤回投标，我们愿接受政府采购的有关处罚决定。</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七、我方承诺遵守《中华人民共和国政府采购法》及其实施条例的有关规定，保证在获得中标资格后：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1、按照招标文件确定的事项签订合同，履行双方所签订的合同，并承担合同规定的责任和义务；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2、我方保证按规定和标准向贵方缴纳中标服务费；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3、投标文件有效期延长至合同履行完毕，且有效期自开标之日起不少于90天。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八、我方完全理解最低报价不是中标的唯一条件，并尊重评标委员会的评标结论和定标结果。</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九、一旦我方中标,我方同意与使用单位签订保密协议；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十、有关于本投标文件的函电，请按下列地址联系。</w:t>
      </w:r>
    </w:p>
    <w:p>
      <w:pPr>
        <w:autoSpaceDE w:val="0"/>
        <w:autoSpaceDN w:val="0"/>
        <w:adjustRightInd w:val="0"/>
        <w:spacing w:line="360" w:lineRule="auto"/>
        <w:ind w:firstLine="480" w:firstLineChars="200"/>
        <w:rPr>
          <w:rFonts w:hint="eastAsia" w:ascii="仿宋" w:hAnsi="仿宋" w:eastAsia="仿宋" w:cs="仿宋"/>
          <w:b/>
          <w:color w:val="auto"/>
          <w:sz w:val="24"/>
          <w:szCs w:val="24"/>
          <w:highlight w:val="none"/>
          <w:u w:val="singl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全称（印章）：</w:t>
      </w:r>
      <w:r>
        <w:rPr>
          <w:rFonts w:hint="eastAsia" w:ascii="仿宋" w:hAnsi="仿宋" w:eastAsia="仿宋" w:cs="仿宋"/>
          <w:b/>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b/>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b/>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b/>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r>
        <w:rPr>
          <w:rFonts w:hint="eastAsia" w:ascii="仿宋" w:hAnsi="仿宋" w:eastAsia="仿宋" w:cs="仿宋"/>
          <w:b/>
          <w:color w:val="auto"/>
          <w:sz w:val="24"/>
          <w:szCs w:val="24"/>
          <w:highlight w:val="none"/>
          <w:u w:val="single"/>
        </w:rPr>
        <w:t xml:space="preserve">                                          </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编：</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autoSpaceDE w:val="0"/>
        <w:autoSpaceDN w:val="0"/>
        <w:adjustRightIn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autoSpaceDE w:val="0"/>
        <w:autoSpaceDN w:val="0"/>
        <w:adjustRightInd w:val="0"/>
        <w:snapToGrid w:val="0"/>
        <w:spacing w:line="360" w:lineRule="auto"/>
        <w:jc w:val="right"/>
        <w:rPr>
          <w:rFonts w:hint="eastAsia" w:ascii="仿宋" w:hAnsi="仿宋" w:eastAsia="仿宋" w:cs="仿宋"/>
          <w:color w:val="auto"/>
          <w:sz w:val="24"/>
          <w:szCs w:val="24"/>
          <w:highlight w:val="none"/>
          <w:lang w:val="zh-CN"/>
        </w:rPr>
        <w:sectPr>
          <w:headerReference r:id="rId5" w:type="default"/>
          <w:footerReference r:id="rId6" w:type="default"/>
          <w:pgSz w:w="11906" w:h="16838"/>
          <w:pgMar w:top="1417" w:right="1701" w:bottom="1417" w:left="1701" w:header="851" w:footer="992" w:gutter="0"/>
          <w:pgNumType w:fmt="decimal"/>
          <w:cols w:space="720" w:num="1"/>
          <w:docGrid w:linePitch="312" w:charSpace="0"/>
        </w:sect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4"/>
        <w:spacing w:line="360" w:lineRule="auto"/>
        <w:rPr>
          <w:rFonts w:hint="eastAsia" w:ascii="仿宋" w:hAnsi="仿宋" w:eastAsia="仿宋" w:cs="仿宋"/>
          <w:color w:val="auto"/>
          <w:sz w:val="32"/>
          <w:szCs w:val="15"/>
          <w:highlight w:val="none"/>
          <w:lang w:val="zh-CN"/>
        </w:rPr>
      </w:pPr>
      <w:bookmarkStart w:id="386" w:name="_Toc30144"/>
      <w:bookmarkStart w:id="387" w:name="_Toc19367"/>
      <w:bookmarkStart w:id="388" w:name="_Toc3436"/>
      <w:bookmarkStart w:id="389" w:name="_Toc22952"/>
      <w:bookmarkStart w:id="390" w:name="_Toc12557"/>
      <w:bookmarkStart w:id="391" w:name="_Toc15900"/>
      <w:bookmarkStart w:id="392" w:name="_Toc4521"/>
      <w:bookmarkStart w:id="393" w:name="_Toc12108"/>
      <w:bookmarkStart w:id="394" w:name="_Toc7809"/>
      <w:bookmarkStart w:id="395" w:name="_Toc20056"/>
      <w:bookmarkStart w:id="396" w:name="_Toc22013"/>
      <w:bookmarkStart w:id="397" w:name="_Toc18879"/>
      <w:bookmarkStart w:id="398" w:name="_Toc24304"/>
      <w:bookmarkStart w:id="399" w:name="_Toc13002"/>
      <w:bookmarkStart w:id="400" w:name="_Toc16389"/>
      <w:bookmarkStart w:id="401" w:name="_Toc18565"/>
      <w:bookmarkStart w:id="402" w:name="_Toc473056004"/>
      <w:bookmarkStart w:id="403" w:name="_Toc17040"/>
      <w:bookmarkStart w:id="404" w:name="_Toc475451801"/>
      <w:bookmarkStart w:id="405" w:name="_Toc475451554"/>
      <w:r>
        <w:rPr>
          <w:rFonts w:hint="eastAsia" w:ascii="仿宋" w:hAnsi="仿宋" w:eastAsia="仿宋" w:cs="仿宋"/>
          <w:color w:val="auto"/>
          <w:sz w:val="32"/>
          <w:szCs w:val="15"/>
          <w:highlight w:val="none"/>
          <w:lang w:val="zh-CN"/>
        </w:rPr>
        <w:t>二、开标一览表（唱标报告）</w:t>
      </w:r>
      <w:bookmarkEnd w:id="386"/>
      <w:bookmarkEnd w:id="387"/>
      <w:bookmarkEnd w:id="388"/>
      <w:bookmarkEnd w:id="389"/>
      <w:bookmarkEnd w:id="390"/>
      <w:bookmarkEnd w:id="391"/>
      <w:bookmarkEnd w:id="392"/>
      <w:bookmarkEnd w:id="393"/>
      <w:bookmarkEnd w:id="394"/>
    </w:p>
    <w:tbl>
      <w:tblPr>
        <w:tblStyle w:val="2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08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6488" w:type="dxa"/>
            <w:noWrap w:val="0"/>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镇巴县人民医院PACS及肺小结节智能诊断系统采购项目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087"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包号及名称</w:t>
            </w:r>
          </w:p>
        </w:tc>
        <w:tc>
          <w:tcPr>
            <w:tcW w:w="6488" w:type="dxa"/>
            <w:noWrap w:val="0"/>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 xml:space="preserve">第 2 包：肺小结节智能诊断系统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087"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tc>
        <w:tc>
          <w:tcPr>
            <w:tcW w:w="6488" w:type="dxa"/>
            <w:noWrap w:val="0"/>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DX2023-166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087" w:type="dxa"/>
            <w:noWrap w:val="0"/>
            <w:vAlign w:val="center"/>
          </w:tcPr>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投标总报价</w:t>
            </w:r>
          </w:p>
          <w:p>
            <w:pPr>
              <w:widowControl/>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w:t>
            </w:r>
          </w:p>
        </w:tc>
        <w:tc>
          <w:tcPr>
            <w:tcW w:w="6488" w:type="dxa"/>
            <w:noWrap w:val="0"/>
            <w:vAlign w:val="center"/>
          </w:tcPr>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大写：</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小写：</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87" w:type="dxa"/>
            <w:noWrap w:val="0"/>
            <w:vAlign w:val="center"/>
          </w:tcPr>
          <w:p>
            <w:pPr>
              <w:widowControl/>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服务期</w:t>
            </w:r>
          </w:p>
        </w:tc>
        <w:tc>
          <w:tcPr>
            <w:tcW w:w="6488" w:type="dxa"/>
            <w:noWrap w:val="0"/>
            <w:vAlign w:val="center"/>
          </w:tcPr>
          <w:p>
            <w:pPr>
              <w:widowControl/>
              <w:spacing w:line="360" w:lineRule="auto"/>
              <w:jc w:val="left"/>
              <w:rPr>
                <w:rFonts w:hint="eastAsia" w:ascii="仿宋" w:hAnsi="仿宋" w:eastAsia="仿宋" w:cs="仿宋"/>
                <w:color w:val="auto"/>
                <w:kern w:val="0"/>
                <w:sz w:val="24"/>
                <w:szCs w:val="24"/>
                <w:highlight w:val="none"/>
              </w:rPr>
            </w:pPr>
          </w:p>
        </w:tc>
      </w:tr>
    </w:tbl>
    <w:p>
      <w:pPr>
        <w:widowControl/>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说明：</w:t>
      </w:r>
    </w:p>
    <w:p>
      <w:pPr>
        <w:widowControl/>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1.本表所列各项数据与招标文件其它地方表述不一致时，以本表为准。</w:t>
      </w:r>
    </w:p>
    <w:p>
      <w:pPr>
        <w:widowControl/>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2.投标总报价以元为单位，四舍五入精确到小数点后两位。</w:t>
      </w:r>
    </w:p>
    <w:p>
      <w:pPr>
        <w:widowControl/>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3.投标总报价应与分项报价表中合计金额一致。</w:t>
      </w:r>
    </w:p>
    <w:p>
      <w:pPr>
        <w:widowControl/>
        <w:spacing w:line="360" w:lineRule="auto"/>
        <w:rPr>
          <w:rFonts w:hint="eastAsia" w:ascii="仿宋" w:hAnsi="仿宋" w:eastAsia="仿宋" w:cs="仿宋"/>
          <w:bCs/>
          <w:color w:val="auto"/>
          <w:kern w:val="0"/>
          <w:sz w:val="24"/>
          <w:szCs w:val="24"/>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Style w:val="4"/>
        <w:keepNext w:val="0"/>
        <w:pageBreakBefore/>
        <w:spacing w:line="360" w:lineRule="auto"/>
        <w:ind w:left="420" w:leftChars="200"/>
        <w:rPr>
          <w:rFonts w:hint="eastAsia" w:ascii="仿宋" w:hAnsi="仿宋" w:eastAsia="仿宋" w:cs="仿宋"/>
          <w:color w:val="auto"/>
          <w:sz w:val="32"/>
          <w:szCs w:val="32"/>
          <w:highlight w:val="none"/>
        </w:rPr>
      </w:pPr>
      <w:bookmarkStart w:id="406" w:name="_Toc10149"/>
      <w:r>
        <w:rPr>
          <w:rFonts w:hint="eastAsia" w:ascii="仿宋" w:hAnsi="仿宋" w:eastAsia="仿宋" w:cs="仿宋"/>
          <w:color w:val="auto"/>
          <w:sz w:val="32"/>
          <w:szCs w:val="32"/>
          <w:highlight w:val="none"/>
        </w:rPr>
        <w:t>三、</w:t>
      </w:r>
      <w:bookmarkEnd w:id="395"/>
      <w:bookmarkEnd w:id="396"/>
      <w:bookmarkEnd w:id="397"/>
      <w:r>
        <w:rPr>
          <w:rFonts w:hint="eastAsia" w:ascii="仿宋" w:hAnsi="仿宋" w:eastAsia="仿宋" w:cs="仿宋"/>
          <w:color w:val="auto"/>
          <w:sz w:val="32"/>
          <w:szCs w:val="32"/>
          <w:highlight w:val="none"/>
          <w:lang w:val="en-US" w:eastAsia="zh-CN"/>
        </w:rPr>
        <w:t>分项报价</w:t>
      </w:r>
      <w:r>
        <w:rPr>
          <w:rFonts w:hint="eastAsia" w:ascii="仿宋" w:hAnsi="仿宋" w:eastAsia="仿宋" w:cs="仿宋"/>
          <w:color w:val="auto"/>
          <w:sz w:val="32"/>
          <w:szCs w:val="32"/>
          <w:highlight w:val="none"/>
        </w:rPr>
        <w:t>表</w:t>
      </w:r>
      <w:bookmarkEnd w:id="398"/>
      <w:bookmarkEnd w:id="399"/>
      <w:bookmarkEnd w:id="400"/>
      <w:bookmarkEnd w:id="401"/>
      <w:bookmarkEnd w:id="406"/>
    </w:p>
    <w:p>
      <w:pPr>
        <w:ind w:left="420" w:leftChars="200"/>
        <w:jc w:val="center"/>
        <w:rPr>
          <w:rFonts w:hint="eastAsia" w:ascii="仿宋" w:hAnsi="仿宋" w:eastAsia="仿宋" w:cs="仿宋"/>
          <w:color w:val="auto"/>
          <w:sz w:val="24"/>
          <w:szCs w:val="24"/>
          <w:highlight w:val="none"/>
          <w:lang w:val="en-US" w:eastAsia="zh-CN"/>
        </w:rPr>
      </w:pPr>
    </w:p>
    <w:p>
      <w:pPr>
        <w:ind w:left="420" w:leftChars="20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投标人自行编制</w:t>
      </w:r>
    </w:p>
    <w:p>
      <w:pPr>
        <w:pStyle w:val="14"/>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pStyle w:val="14"/>
        <w:rPr>
          <w:rFonts w:hint="eastAsia" w:ascii="仿宋" w:hAnsi="仿宋" w:eastAsia="仿宋" w:cs="仿宋"/>
          <w:color w:val="auto"/>
          <w:sz w:val="24"/>
          <w:szCs w:val="24"/>
          <w:highlight w:val="none"/>
          <w:lang w:val="en-US" w:eastAsia="zh-CN"/>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pStyle w:val="14"/>
        <w:ind w:firstLine="4080" w:firstLineChars="17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Style w:val="4"/>
        <w:keepNext w:val="0"/>
        <w:pageBreakBefore/>
        <w:spacing w:line="360" w:lineRule="auto"/>
        <w:ind w:left="420" w:leftChars="200"/>
        <w:rPr>
          <w:rFonts w:hint="eastAsia" w:ascii="仿宋" w:hAnsi="仿宋" w:eastAsia="仿宋" w:cs="仿宋"/>
          <w:color w:val="auto"/>
          <w:sz w:val="32"/>
          <w:szCs w:val="32"/>
          <w:highlight w:val="none"/>
          <w:lang w:val="zh-CN" w:eastAsia="zh-CN"/>
        </w:rPr>
      </w:pPr>
      <w:bookmarkStart w:id="407" w:name="_Toc24102"/>
      <w:bookmarkStart w:id="408" w:name="_Toc27212"/>
      <w:bookmarkStart w:id="409" w:name="_Toc10639"/>
      <w:bookmarkStart w:id="410" w:name="_Toc2318"/>
      <w:bookmarkStart w:id="411" w:name="_Toc27541"/>
      <w:bookmarkStart w:id="412" w:name="_Toc5122"/>
      <w:bookmarkStart w:id="413" w:name="_Toc28835"/>
      <w:bookmarkStart w:id="414" w:name="_Toc5607"/>
      <w:r>
        <w:rPr>
          <w:rFonts w:hint="eastAsia" w:ascii="仿宋" w:hAnsi="仿宋" w:eastAsia="仿宋" w:cs="仿宋"/>
          <w:color w:val="auto"/>
          <w:sz w:val="32"/>
          <w:szCs w:val="32"/>
          <w:highlight w:val="none"/>
          <w:lang w:val="zh-CN" w:eastAsia="zh-CN"/>
        </w:rPr>
        <w:t>四、投标人资格证明文件</w:t>
      </w:r>
      <w:bookmarkEnd w:id="40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（1）基本资格条件：符合《中华人民共和国政府采购法》第二十二条的规定；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1、提供统一社会信用代码的营业执照或其他组织经营的合法凭证或自然人的提供身份证明文件；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2、财务状况报告：提供具有财务审计资质单位出具的2021</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或</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2022</w:t>
      </w:r>
      <w:r>
        <w:rPr>
          <w:rFonts w:hint="eastAsia" w:ascii="仿宋" w:hAnsi="仿宋" w:eastAsia="仿宋" w:cs="仿宋"/>
          <w:i w:val="0"/>
          <w:iCs w:val="0"/>
          <w:caps w:val="0"/>
          <w:color w:val="auto"/>
          <w:spacing w:val="0"/>
          <w:sz w:val="24"/>
          <w:szCs w:val="24"/>
          <w:highlight w:val="none"/>
          <w:shd w:val="clear" w:color="auto" w:fill="FFFFFF"/>
          <w:vertAlign w:val="baseline"/>
        </w:rPr>
        <w:t>年度财务报告或开标前六个月内其基本账户银行出具的资信证明或财政部门认可的政府采购专业担保机构出具的担保函，以上形式的证明资料提供任何一种即可；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3、税收缴纳证明：提供已缴纳的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年1月1日以来至少一个月的纳税证明或完税证明，纳税证明或完税证明上应有代收机构或税务机关的公章或业务专用章。依法免税的投标人应提供相关文件证明；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4、社会保障资金缴纳证明：提供已缴存的 202</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w:t>
      </w:r>
      <w:r>
        <w:rPr>
          <w:rFonts w:hint="eastAsia" w:ascii="仿宋" w:hAnsi="仿宋" w:eastAsia="仿宋" w:cs="仿宋"/>
          <w:i w:val="0"/>
          <w:iCs w:val="0"/>
          <w:caps w:val="0"/>
          <w:color w:val="auto"/>
          <w:spacing w:val="0"/>
          <w:sz w:val="24"/>
          <w:szCs w:val="24"/>
          <w:highlight w:val="none"/>
          <w:shd w:val="clear" w:color="auto" w:fill="FFFFFF"/>
          <w:vertAlign w:val="baseline"/>
        </w:rPr>
        <w:t>年1月1日以来至少一个月的社会保障资金缴存单据或社保机构开具的社会保险参保缴费情况证明。成立时间至提交投标文件截止时间不足一个月或依法不需要缴纳社会保障资金的投标人应提供相关文件证明；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5、出具履行合同所必需的设备和专业技术能力的书面声明；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6、出具参加本次政府采购活动的书面声明；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仿宋" w:hAnsi="仿宋" w:eastAsia="仿宋" w:cs="仿宋"/>
          <w:b/>
          <w:bCs/>
          <w:i w:val="0"/>
          <w:iCs w:val="0"/>
          <w:caps w:val="0"/>
          <w:color w:val="auto"/>
          <w:spacing w:val="0"/>
          <w:sz w:val="24"/>
          <w:szCs w:val="24"/>
          <w:highlight w:val="none"/>
          <w:shd w:val="clear" w:color="auto" w:fill="FFFFFF"/>
          <w:vertAlign w:val="baseline"/>
        </w:rPr>
      </w:pPr>
      <w:r>
        <w:rPr>
          <w:rFonts w:hint="eastAsia" w:ascii="仿宋" w:hAnsi="仿宋" w:eastAsia="仿宋" w:cs="仿宋"/>
          <w:b/>
          <w:bCs/>
          <w:i w:val="0"/>
          <w:iCs w:val="0"/>
          <w:caps w:val="0"/>
          <w:color w:val="auto"/>
          <w:spacing w:val="0"/>
          <w:sz w:val="24"/>
          <w:szCs w:val="24"/>
          <w:highlight w:val="none"/>
          <w:shd w:val="clear" w:color="auto" w:fill="FFFFFF"/>
          <w:vertAlign w:val="baseline"/>
        </w:rPr>
        <w:t>（2）特定资格条件：</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1、法定代表人授权书及被授权人身份证，并且提供有效的劳动合同或投标截止前六个月内任意一个月养老保险缴纳证明（法人参加只需提供法定代表人身份证明）；</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rPr>
      </w:pPr>
      <w:r>
        <w:rPr>
          <w:rFonts w:hint="eastAsia" w:ascii="仿宋" w:hAnsi="仿宋" w:eastAsia="仿宋" w:cs="仿宋"/>
          <w:i w:val="0"/>
          <w:iCs w:val="0"/>
          <w:caps w:val="0"/>
          <w:color w:val="auto"/>
          <w:spacing w:val="0"/>
          <w:sz w:val="24"/>
          <w:szCs w:val="24"/>
          <w:highlight w:val="none"/>
          <w:shd w:val="clear" w:color="auto" w:fill="FFFFFF"/>
          <w:vertAlign w:val="baseline"/>
        </w:rPr>
        <w:t>2、符合《财政部关于在政府采购活动中查询及使用信用记录有关问题的通知》（财库【2016】125号）文件中信用查询的要求；（此项由采购人与采购代理单位在开标时查询，以现场查询为准）；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2" w:firstLineChars="200"/>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w:t>
      </w:r>
      <w:r>
        <w:rPr>
          <w:rFonts w:hint="eastAsia" w:ascii="仿宋" w:hAnsi="仿宋" w:eastAsia="仿宋" w:cs="仿宋"/>
          <w:b/>
          <w:bCs/>
          <w:color w:val="auto"/>
          <w:sz w:val="24"/>
          <w:szCs w:val="24"/>
          <w:highlight w:val="none"/>
          <w:lang w:val="zh-CN" w:eastAsia="zh-CN"/>
        </w:rPr>
        <w:t>四、投标人资格证明文件</w:t>
      </w:r>
      <w:r>
        <w:rPr>
          <w:rFonts w:hint="eastAsia" w:ascii="仿宋" w:hAnsi="仿宋" w:eastAsia="仿宋" w:cs="仿宋"/>
          <w:b/>
          <w:bCs/>
          <w:color w:val="auto"/>
          <w:sz w:val="24"/>
          <w:szCs w:val="24"/>
          <w:highlight w:val="none"/>
          <w:lang w:eastAsia="zh-CN"/>
        </w:rPr>
        <w:t>”单独胶装成册</w:t>
      </w:r>
      <w:r>
        <w:rPr>
          <w:rFonts w:hint="eastAsia" w:ascii="仿宋" w:hAnsi="仿宋" w:eastAsia="仿宋" w:cs="仿宋"/>
          <w:b/>
          <w:bCs/>
          <w:color w:val="auto"/>
          <w:sz w:val="24"/>
          <w:szCs w:val="24"/>
          <w:highlight w:val="none"/>
          <w:lang w:val="en-US" w:eastAsia="zh-CN"/>
        </w:rPr>
        <w:t>1本</w:t>
      </w:r>
      <w:r>
        <w:rPr>
          <w:rFonts w:hint="eastAsia" w:ascii="仿宋" w:hAnsi="仿宋" w:eastAsia="仿宋" w:cs="仿宋"/>
          <w:b/>
          <w:bCs/>
          <w:color w:val="auto"/>
          <w:sz w:val="24"/>
          <w:szCs w:val="24"/>
          <w:highlight w:val="none"/>
          <w:lang w:eastAsia="zh-CN"/>
        </w:rPr>
        <w:t>，与投标文件正本一同密封。</w:t>
      </w:r>
    </w:p>
    <w:p>
      <w:pPr>
        <w:pStyle w:val="14"/>
        <w:rPr>
          <w:rFonts w:hint="eastAsia" w:ascii="仿宋" w:hAnsi="仿宋" w:eastAsia="仿宋" w:cs="仿宋"/>
          <w:color w:val="auto"/>
          <w:highlight w:val="none"/>
          <w:lang w:val="zh-CN" w:eastAsia="zh-CN"/>
        </w:rPr>
      </w:pPr>
    </w:p>
    <w:p>
      <w:pPr>
        <w:pageBreakBefore/>
        <w:spacing w:line="360" w:lineRule="auto"/>
        <w:jc w:val="center"/>
        <w:outlineLvl w:val="9"/>
        <w:rPr>
          <w:rFonts w:hint="eastAsia" w:ascii="仿宋" w:hAnsi="仿宋" w:eastAsia="仿宋" w:cs="仿宋"/>
          <w:b/>
          <w:bCs/>
          <w:color w:val="auto"/>
          <w:sz w:val="24"/>
          <w:szCs w:val="24"/>
          <w:highlight w:val="none"/>
        </w:rPr>
      </w:pPr>
      <w:bookmarkStart w:id="415" w:name="_Toc10643"/>
      <w:bookmarkStart w:id="416" w:name="_Toc10845"/>
      <w:bookmarkStart w:id="417" w:name="_Toc25082"/>
      <w:bookmarkStart w:id="418" w:name="_Toc5216"/>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p>
        </w:tc>
        <w:tc>
          <w:tcPr>
            <w:tcW w:w="363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620"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1657"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363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620"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657"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上年营业收入</w:t>
            </w:r>
          </w:p>
        </w:tc>
        <w:tc>
          <w:tcPr>
            <w:tcW w:w="363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620"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员工总人数</w:t>
            </w:r>
          </w:p>
        </w:tc>
        <w:tc>
          <w:tcPr>
            <w:tcW w:w="1657"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restart"/>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1592"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注册号码</w:t>
            </w:r>
          </w:p>
        </w:tc>
        <w:tc>
          <w:tcPr>
            <w:tcW w:w="2205"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425"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3277"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592"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2205"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425"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发证日期</w:t>
            </w:r>
          </w:p>
        </w:tc>
        <w:tc>
          <w:tcPr>
            <w:tcW w:w="3277"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592"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w:t>
            </w:r>
          </w:p>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（主营）</w:t>
            </w:r>
          </w:p>
        </w:tc>
        <w:tc>
          <w:tcPr>
            <w:tcW w:w="6907" w:type="dxa"/>
            <w:gridSpan w:val="5"/>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592"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营业范围</w:t>
            </w:r>
          </w:p>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（兼营）</w:t>
            </w:r>
          </w:p>
        </w:tc>
        <w:tc>
          <w:tcPr>
            <w:tcW w:w="6907" w:type="dxa"/>
            <w:gridSpan w:val="5"/>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基本账户开户行及账号</w:t>
            </w:r>
          </w:p>
        </w:tc>
        <w:tc>
          <w:tcPr>
            <w:tcW w:w="6907" w:type="dxa"/>
            <w:gridSpan w:val="5"/>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资产总额（万元）</w:t>
            </w:r>
          </w:p>
        </w:tc>
        <w:tc>
          <w:tcPr>
            <w:tcW w:w="6907" w:type="dxa"/>
            <w:gridSpan w:val="5"/>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资质名称</w:t>
            </w:r>
          </w:p>
        </w:tc>
        <w:tc>
          <w:tcPr>
            <w:tcW w:w="2403"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等级</w:t>
            </w:r>
          </w:p>
        </w:tc>
        <w:tc>
          <w:tcPr>
            <w:tcW w:w="1227"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发证机关</w:t>
            </w:r>
          </w:p>
        </w:tc>
        <w:tc>
          <w:tcPr>
            <w:tcW w:w="3277"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2403"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227"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3277"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2310" w:type="dxa"/>
            <w:gridSpan w:val="3"/>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2403"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1227" w:type="dxa"/>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c>
          <w:tcPr>
            <w:tcW w:w="3277"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57" w:type="dxa"/>
            <w:gridSpan w:val="2"/>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960" w:type="dxa"/>
            <w:gridSpan w:val="6"/>
            <w:noWrap w:val="0"/>
            <w:vAlign w:val="center"/>
          </w:tcPr>
          <w:p>
            <w:pPr>
              <w:keepNext w:val="0"/>
              <w:keepLines w:val="0"/>
              <w:pageBreakBefore w:val="0"/>
              <w:widowControl w:val="0"/>
              <w:kinsoku/>
              <w:wordWrap/>
              <w:overflowPunct/>
              <w:topLinePunct/>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24"/>
                <w:szCs w:val="24"/>
                <w:highlight w:val="none"/>
              </w:rPr>
            </w:pPr>
          </w:p>
        </w:tc>
      </w:tr>
    </w:tbl>
    <w:p>
      <w:pPr>
        <w:autoSpaceDE w:val="0"/>
        <w:autoSpaceDN w:val="0"/>
        <w:adjustRightInd w:val="0"/>
        <w:snapToGrid w:val="0"/>
        <w:spacing w:before="120" w:beforeLines="50"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说明：企业类型指大型、中型、小型、微型；</w:t>
      </w:r>
    </w:p>
    <w:p>
      <w:pPr>
        <w:spacing w:line="360" w:lineRule="auto"/>
        <w:ind w:firstLine="3840" w:firstLineChars="1600"/>
        <w:outlineLvl w:val="9"/>
        <w:rPr>
          <w:rFonts w:hint="eastAsia" w:ascii="仿宋" w:hAnsi="仿宋" w:eastAsia="仿宋" w:cs="仿宋"/>
          <w:color w:val="auto"/>
          <w:sz w:val="24"/>
          <w:szCs w:val="24"/>
          <w:highlight w:val="none"/>
        </w:rPr>
      </w:pPr>
    </w:p>
    <w:p>
      <w:pPr>
        <w:spacing w:line="360" w:lineRule="auto"/>
        <w:ind w:firstLine="3840" w:firstLineChars="16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3840" w:firstLineChars="16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firstLine="3840" w:firstLineChars="16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14"/>
        <w:keepNext w:val="0"/>
        <w:keepLines w:val="0"/>
        <w:pageBreakBefore/>
        <w:widowControl w:val="0"/>
        <w:numPr>
          <w:ilvl w:val="0"/>
          <w:numId w:val="0"/>
        </w:numPr>
        <w:kinsoku/>
        <w:wordWrap/>
        <w:overflowPunct/>
        <w:topLinePunct w:val="0"/>
        <w:autoSpaceDE/>
        <w:autoSpaceDN/>
        <w:bidi w:val="0"/>
        <w:adjustRightInd/>
        <w:snapToGrid w:val="0"/>
        <w:jc w:val="center"/>
        <w:textAlignment w:val="auto"/>
        <w:outlineLvl w:val="9"/>
        <w:rPr>
          <w:rFonts w:hint="eastAsia" w:ascii="仿宋" w:hAnsi="仿宋" w:eastAsia="仿宋" w:cs="仿宋"/>
          <w:b/>
          <w:bCs/>
          <w:color w:val="auto"/>
          <w:sz w:val="28"/>
          <w:szCs w:val="28"/>
          <w:highlight w:val="none"/>
        </w:rPr>
      </w:pPr>
      <w:bookmarkStart w:id="419" w:name="_Toc22457"/>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提供统一社会信用代码的营业执照或其他组织经营的合法凭证或自然人的提供身份证明文件</w:t>
      </w:r>
      <w:bookmarkEnd w:id="419"/>
      <w:bookmarkStart w:id="420" w:name="_Toc21445"/>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二</w:t>
      </w:r>
      <w:r>
        <w:rPr>
          <w:rFonts w:hint="eastAsia" w:ascii="仿宋" w:hAnsi="仿宋" w:eastAsia="仿宋" w:cs="仿宋"/>
          <w:b/>
          <w:bCs/>
          <w:color w:val="auto"/>
          <w:sz w:val="28"/>
          <w:szCs w:val="28"/>
          <w:highlight w:val="none"/>
        </w:rPr>
        <w:t>）财务状况报告</w:t>
      </w:r>
      <w:bookmarkEnd w:id="420"/>
      <w:bookmarkStart w:id="421" w:name="_Toc17757"/>
    </w:p>
    <w:p>
      <w:pPr>
        <w:pStyle w:val="14"/>
        <w:jc w:val="center"/>
        <w:rPr>
          <w:rFonts w:eastAsia="仿宋"/>
          <w:sz w:val="24"/>
          <w:szCs w:val="24"/>
          <w:highlight w:val="none"/>
        </w:rPr>
      </w:pPr>
      <w:r>
        <w:rPr>
          <w:rFonts w:hint="eastAsia" w:ascii="仿宋" w:hAnsi="仿宋" w:eastAsia="仿宋" w:cs="仿宋"/>
          <w:sz w:val="24"/>
          <w:szCs w:val="24"/>
          <w:highlight w:val="none"/>
        </w:rPr>
        <w:t>提供扫描件或复印件加盖单位公章</w:t>
      </w:r>
    </w:p>
    <w:p>
      <w:pPr>
        <w:pageBreakBefore/>
        <w:spacing w:line="360" w:lineRule="auto"/>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）税收缴纳证明</w:t>
      </w:r>
      <w:bookmarkEnd w:id="421"/>
    </w:p>
    <w:p>
      <w:pPr>
        <w:pStyle w:val="14"/>
        <w:spacing w:line="360" w:lineRule="auto"/>
        <w:outlineLvl w:val="9"/>
        <w:rPr>
          <w:rFonts w:hint="eastAsia" w:ascii="仿宋" w:hAnsi="仿宋" w:eastAsia="仿宋" w:cs="仿宋"/>
          <w:color w:val="auto"/>
          <w:highlight w:val="none"/>
          <w:lang w:eastAsia="zh-CN"/>
        </w:rPr>
      </w:pPr>
    </w:p>
    <w:p>
      <w:pPr>
        <w:rPr>
          <w:rFonts w:hint="eastAsia" w:ascii="仿宋" w:hAnsi="仿宋" w:eastAsia="仿宋" w:cs="仿宋"/>
          <w:b/>
          <w:color w:val="auto"/>
          <w:sz w:val="28"/>
          <w:szCs w:val="28"/>
          <w:highlight w:val="none"/>
          <w:lang w:eastAsia="zh-CN"/>
        </w:rPr>
      </w:pPr>
      <w:bookmarkStart w:id="422" w:name="_Toc8139"/>
      <w:r>
        <w:rPr>
          <w:rFonts w:hint="eastAsia" w:ascii="仿宋" w:hAnsi="仿宋" w:eastAsia="仿宋" w:cs="仿宋"/>
          <w:b/>
          <w:color w:val="auto"/>
          <w:sz w:val="28"/>
          <w:szCs w:val="28"/>
          <w:highlight w:val="none"/>
          <w:lang w:eastAsia="zh-CN"/>
        </w:rPr>
        <w:br w:type="page"/>
      </w:r>
    </w:p>
    <w:p>
      <w:pPr>
        <w:numPr>
          <w:ilvl w:val="0"/>
          <w:numId w:val="0"/>
        </w:numPr>
        <w:spacing w:line="360" w:lineRule="auto"/>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（四）社会保障资金缴纳证明</w:t>
      </w:r>
      <w:bookmarkEnd w:id="422"/>
    </w:p>
    <w:p>
      <w:pPr>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color w:val="auto"/>
          <w:sz w:val="28"/>
          <w:szCs w:val="28"/>
          <w:highlight w:val="none"/>
          <w:lang w:eastAsia="zh-CN"/>
        </w:rPr>
      </w:pPr>
      <w:bookmarkStart w:id="423" w:name="_Toc8586"/>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出具履行合同所必需的设备和专业技术能力的书面</w:t>
      </w:r>
      <w:r>
        <w:rPr>
          <w:rFonts w:hint="eastAsia" w:ascii="仿宋" w:hAnsi="仿宋" w:eastAsia="仿宋" w:cs="仿宋"/>
          <w:b/>
          <w:bCs/>
          <w:color w:val="auto"/>
          <w:sz w:val="28"/>
          <w:szCs w:val="28"/>
          <w:highlight w:val="none"/>
          <w:lang w:val="en-US" w:eastAsia="zh-CN"/>
        </w:rPr>
        <w:t>声</w:t>
      </w:r>
      <w:r>
        <w:rPr>
          <w:rFonts w:hint="eastAsia" w:ascii="仿宋" w:hAnsi="仿宋" w:eastAsia="仿宋" w:cs="仿宋"/>
          <w:b/>
          <w:bCs/>
          <w:color w:val="auto"/>
          <w:sz w:val="28"/>
          <w:szCs w:val="28"/>
          <w:highlight w:val="none"/>
          <w:lang w:eastAsia="zh-CN"/>
        </w:rPr>
        <w:t>明</w:t>
      </w:r>
      <w:bookmarkEnd w:id="423"/>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pacing w:val="4"/>
          <w:sz w:val="24"/>
          <w:szCs w:val="24"/>
          <w:highlight w:val="none"/>
          <w:u w:val="single"/>
        </w:rPr>
      </w:pPr>
      <w:r>
        <w:rPr>
          <w:rFonts w:hint="eastAsia" w:ascii="仿宋" w:hAnsi="仿宋" w:eastAsia="仿宋" w:cs="仿宋"/>
          <w:color w:val="auto"/>
          <w:kern w:val="0"/>
          <w:sz w:val="24"/>
          <w:szCs w:val="24"/>
          <w:highlight w:val="none"/>
          <w:lang w:val="en-US" w:eastAsia="zh-CN" w:bidi="ar"/>
        </w:rPr>
        <w:t>我方作为</w:t>
      </w:r>
      <w:r>
        <w:rPr>
          <w:rFonts w:hint="eastAsia" w:ascii="仿宋" w:hAnsi="仿宋" w:eastAsia="仿宋" w:cs="仿宋"/>
          <w:color w:val="auto"/>
          <w:kern w:val="0"/>
          <w:sz w:val="24"/>
          <w:szCs w:val="24"/>
          <w:highlight w:val="none"/>
          <w:u w:val="single"/>
          <w:lang w:val="en-US" w:eastAsia="zh-CN" w:bidi="ar"/>
        </w:rPr>
        <w:t xml:space="preserve">         （项目名称）         </w:t>
      </w:r>
      <w:r>
        <w:rPr>
          <w:rFonts w:hint="eastAsia" w:ascii="仿宋" w:hAnsi="仿宋" w:eastAsia="仿宋" w:cs="仿宋"/>
          <w:color w:val="auto"/>
          <w:kern w:val="0"/>
          <w:sz w:val="24"/>
          <w:szCs w:val="24"/>
          <w:highlight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none"/>
          <w:lang w:val="en-US" w:eastAsia="zh-CN" w:bidi="ar"/>
        </w:rPr>
        <w:t>第</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包</w:t>
      </w:r>
      <w:r>
        <w:rPr>
          <w:rFonts w:hint="eastAsia" w:ascii="仿宋" w:hAnsi="仿宋" w:eastAsia="仿宋" w:cs="仿宋"/>
          <w:color w:val="auto"/>
          <w:kern w:val="0"/>
          <w:sz w:val="24"/>
          <w:szCs w:val="24"/>
          <w:highlight w:val="none"/>
          <w:lang w:val="en-US" w:eastAsia="zh-CN" w:bidi="ar"/>
        </w:rPr>
        <w:t>的投标人，在此郑重声明：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我方具备履行合同所必须的设备和专业技术能力。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特此声明。</w:t>
      </w:r>
    </w:p>
    <w:p>
      <w:pPr>
        <w:spacing w:before="240" w:beforeLines="100" w:after="120" w:afterLines="50" w:line="360" w:lineRule="auto"/>
        <w:ind w:firstLine="620" w:firstLineChars="250"/>
        <w:outlineLvl w:val="9"/>
        <w:rPr>
          <w:rFonts w:hint="eastAsia" w:ascii="仿宋" w:hAnsi="仿宋" w:eastAsia="仿宋" w:cs="仿宋"/>
          <w:color w:val="auto"/>
          <w:spacing w:val="4"/>
          <w:sz w:val="24"/>
          <w:szCs w:val="24"/>
          <w:highlight w:val="none"/>
        </w:rPr>
      </w:pPr>
    </w:p>
    <w:p>
      <w:pPr>
        <w:spacing w:before="240" w:beforeLines="100" w:after="120" w:afterLines="50" w:line="360" w:lineRule="auto"/>
        <w:ind w:firstLine="170"/>
        <w:outlineLvl w:val="9"/>
        <w:rPr>
          <w:rFonts w:hint="eastAsia" w:ascii="仿宋" w:hAnsi="仿宋" w:eastAsia="仿宋" w:cs="仿宋"/>
          <w:color w:val="auto"/>
          <w:spacing w:val="4"/>
          <w:sz w:val="24"/>
          <w:szCs w:val="24"/>
          <w:highlight w:val="none"/>
        </w:rPr>
      </w:pPr>
    </w:p>
    <w:p>
      <w:pPr>
        <w:spacing w:before="240" w:beforeLines="100" w:after="120" w:afterLines="50" w:line="360" w:lineRule="auto"/>
        <w:ind w:firstLine="170"/>
        <w:outlineLvl w:val="9"/>
        <w:rPr>
          <w:rFonts w:hint="eastAsia" w:ascii="仿宋" w:hAnsi="仿宋" w:eastAsia="仿宋" w:cs="仿宋"/>
          <w:color w:val="auto"/>
          <w:spacing w:val="4"/>
          <w:sz w:val="24"/>
          <w:szCs w:val="24"/>
          <w:highlight w:val="none"/>
        </w:rPr>
      </w:pPr>
    </w:p>
    <w:p>
      <w:pPr>
        <w:spacing w:line="360" w:lineRule="auto"/>
        <w:ind w:left="0" w:leftChars="0" w:firstLine="3998" w:firstLineChars="1666"/>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left="0" w:leftChars="0" w:firstLine="3998" w:firstLineChars="1666"/>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spacing w:line="360" w:lineRule="auto"/>
        <w:ind w:left="0" w:leftChars="0" w:firstLine="3998" w:firstLineChars="1666"/>
        <w:jc w:val="both"/>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spacing w:line="360" w:lineRule="auto"/>
        <w:outlineLvl w:val="9"/>
        <w:rPr>
          <w:rFonts w:hint="eastAsia" w:ascii="仿宋" w:hAnsi="仿宋" w:eastAsia="仿宋" w:cs="仿宋"/>
          <w:bCs/>
          <w:color w:val="auto"/>
          <w:sz w:val="24"/>
          <w:szCs w:val="24"/>
          <w:highlight w:val="none"/>
        </w:rPr>
      </w:pPr>
    </w:p>
    <w:p>
      <w:pPr>
        <w:spacing w:line="360" w:lineRule="auto"/>
        <w:outlineLvl w:val="9"/>
        <w:rPr>
          <w:rFonts w:hint="eastAsia" w:ascii="仿宋" w:hAnsi="仿宋" w:eastAsia="仿宋" w:cs="仿宋"/>
          <w:bCs/>
          <w:color w:val="auto"/>
          <w:sz w:val="24"/>
          <w:szCs w:val="24"/>
          <w:highlight w:val="none"/>
        </w:rPr>
      </w:pPr>
    </w:p>
    <w:p>
      <w:pPr>
        <w:spacing w:line="360" w:lineRule="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line="360" w:lineRule="auto"/>
        <w:jc w:val="center"/>
        <w:outlineLvl w:val="9"/>
        <w:rPr>
          <w:rFonts w:hint="eastAsia" w:ascii="仿宋" w:hAnsi="仿宋" w:eastAsia="仿宋" w:cs="仿宋"/>
          <w:b/>
          <w:color w:val="auto"/>
          <w:sz w:val="28"/>
          <w:szCs w:val="28"/>
          <w:highlight w:val="none"/>
        </w:rPr>
      </w:pPr>
      <w:bookmarkStart w:id="424" w:name="_Toc19749"/>
      <w:bookmarkStart w:id="425" w:name="_Toc1093"/>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）参加政府采购活动的书面声明</w:t>
      </w:r>
      <w:bookmarkEnd w:id="424"/>
      <w:bookmarkEnd w:id="425"/>
    </w:p>
    <w:p>
      <w:pPr>
        <w:spacing w:line="360" w:lineRule="auto"/>
        <w:outlineLvl w:val="9"/>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rPr>
        <w:t xml:space="preserve">     （采购人名称）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我方作为</w:t>
      </w:r>
      <w:r>
        <w:rPr>
          <w:rFonts w:hint="eastAsia" w:ascii="仿宋" w:hAnsi="仿宋" w:eastAsia="仿宋" w:cs="仿宋"/>
          <w:color w:val="auto"/>
          <w:kern w:val="0"/>
          <w:sz w:val="24"/>
          <w:szCs w:val="24"/>
          <w:highlight w:val="none"/>
          <w:u w:val="single"/>
          <w:lang w:val="en-US" w:eastAsia="zh-CN" w:bidi="ar"/>
        </w:rPr>
        <w:t xml:space="preserve">         （项目名称）         </w:t>
      </w:r>
      <w:r>
        <w:rPr>
          <w:rFonts w:hint="eastAsia" w:ascii="仿宋" w:hAnsi="仿宋" w:eastAsia="仿宋" w:cs="仿宋"/>
          <w:color w:val="auto"/>
          <w:kern w:val="0"/>
          <w:sz w:val="24"/>
          <w:szCs w:val="24"/>
          <w:highlight w:val="none"/>
          <w:lang w:val="en-US" w:eastAsia="zh-CN" w:bidi="ar"/>
        </w:rPr>
        <w:t>（项目编号：</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none"/>
          <w:lang w:val="en-US" w:eastAsia="zh-CN" w:bidi="ar"/>
        </w:rPr>
        <w:t>第</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包</w:t>
      </w:r>
      <w:r>
        <w:rPr>
          <w:rFonts w:hint="eastAsia" w:ascii="仿宋" w:hAnsi="仿宋" w:eastAsia="仿宋" w:cs="仿宋"/>
          <w:color w:val="auto"/>
          <w:kern w:val="0"/>
          <w:sz w:val="24"/>
          <w:szCs w:val="24"/>
          <w:highlight w:val="none"/>
          <w:lang w:val="en-US" w:eastAsia="zh-CN" w:bidi="ar"/>
        </w:rPr>
        <w:t>的投标人，在此郑重声明：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1、在参加本次政府采购活动前 3 年内的经营活动中</w:t>
      </w:r>
      <w:r>
        <w:rPr>
          <w:rFonts w:hint="eastAsia" w:ascii="仿宋" w:hAnsi="仿宋" w:eastAsia="仿宋" w:cs="仿宋"/>
          <w:color w:val="auto"/>
          <w:kern w:val="0"/>
          <w:sz w:val="24"/>
          <w:szCs w:val="24"/>
          <w:highlight w:val="none"/>
          <w:u w:val="single"/>
          <w:lang w:val="en-US" w:eastAsia="zh-CN" w:bidi="ar"/>
        </w:rPr>
        <w:t>____</w:t>
      </w:r>
      <w:r>
        <w:rPr>
          <w:rFonts w:hint="eastAsia" w:ascii="仿宋" w:hAnsi="仿宋" w:eastAsia="仿宋" w:cs="仿宋"/>
          <w:color w:val="auto"/>
          <w:kern w:val="0"/>
          <w:sz w:val="24"/>
          <w:szCs w:val="24"/>
          <w:highlight w:val="none"/>
          <w:lang w:val="en-US" w:eastAsia="zh-CN" w:bidi="ar"/>
        </w:rPr>
        <w:t>（填“没有”或“有”）重大违法记录。投标人</w:t>
      </w:r>
      <w:r>
        <w:rPr>
          <w:rFonts w:hint="eastAsia" w:ascii="仿宋" w:hAnsi="仿宋" w:eastAsia="仿宋" w:cs="仿宋"/>
          <w:b/>
          <w:bCs/>
          <w:color w:val="auto"/>
          <w:kern w:val="0"/>
          <w:sz w:val="24"/>
          <w:szCs w:val="24"/>
          <w:highlight w:val="none"/>
          <w:lang w:val="en-US" w:eastAsia="zh-CN" w:bidi="ar"/>
        </w:rPr>
        <w:t xml:space="preserve">在参加政府采购活动前 3 年内因违法经营被禁止在一定期限内参加政府采购活动，期限届满的，可以参加政府采购活动，但应提供期限届满的证明材料。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2、我方______（填“未被列入”或“被列入”）失信被执行人名单。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3、我方______（填“未被列入”或“被列入”）重大税收违法案件当事人名单。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4、我方______（填“未被列入”或“被列入”）政府采购严重违法失信行为记录名单。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如有不实，我方将无条件地退出本项目的采购活动，并遵照《政府采购法》有关“提供虚假材料的规定”接受处罚。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特此声明。</w:t>
      </w:r>
    </w:p>
    <w:p>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p>
    <w:p>
      <w:pPr>
        <w:autoSpaceDE w:val="0"/>
        <w:autoSpaceDN w:val="0"/>
        <w:adjustRightInd w:val="0"/>
        <w:spacing w:line="360" w:lineRule="auto"/>
        <w:ind w:firstLine="480" w:firstLineChars="200"/>
        <w:outlineLvl w:val="9"/>
        <w:rPr>
          <w:rFonts w:hint="eastAsia" w:ascii="仿宋" w:hAnsi="仿宋" w:eastAsia="仿宋" w:cs="仿宋"/>
          <w:color w:val="auto"/>
          <w:sz w:val="24"/>
          <w:szCs w:val="24"/>
          <w:highlight w:val="none"/>
        </w:rPr>
      </w:pPr>
    </w:p>
    <w:p>
      <w:pPr>
        <w:spacing w:line="360" w:lineRule="auto"/>
        <w:ind w:firstLine="3840" w:firstLineChars="16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3840" w:firstLineChars="16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spacing w:line="360" w:lineRule="auto"/>
        <w:ind w:firstLine="3840" w:firstLineChars="1600"/>
        <w:outlineLvl w:val="9"/>
        <w:rPr>
          <w:rFonts w:hint="eastAsia" w:ascii="仿宋" w:hAnsi="仿宋" w:eastAsia="仿宋" w:cs="仿宋"/>
          <w:color w:val="auto"/>
          <w:highlight w:val="none"/>
          <w:lang w:val="zh-CN"/>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keepNext w:val="0"/>
        <w:keepLines w:val="0"/>
        <w:pageBreakBefore/>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val="0"/>
          <w:color w:val="auto"/>
          <w:kern w:val="2"/>
          <w:sz w:val="28"/>
          <w:szCs w:val="28"/>
          <w:highlight w:val="none"/>
          <w:u w:val="none"/>
          <w:lang w:val="zh-CN" w:eastAsia="zh-CN" w:bidi="ar-SA"/>
        </w:rPr>
      </w:pPr>
      <w:bookmarkStart w:id="426" w:name="_Toc19939"/>
      <w:r>
        <w:rPr>
          <w:rFonts w:hint="eastAsia" w:ascii="仿宋" w:hAnsi="仿宋" w:eastAsia="仿宋" w:cs="仿宋"/>
          <w:b/>
          <w:bCs w:val="0"/>
          <w:color w:val="auto"/>
          <w:kern w:val="2"/>
          <w:sz w:val="28"/>
          <w:szCs w:val="28"/>
          <w:highlight w:val="none"/>
          <w:u w:val="none"/>
          <w:lang w:val="zh-CN" w:eastAsia="zh-CN" w:bidi="ar-SA"/>
        </w:rPr>
        <w:t>（七）特定资格要求</w:t>
      </w:r>
      <w:bookmarkEnd w:id="426"/>
    </w:p>
    <w:p>
      <w:pPr>
        <w:adjustRightInd w:val="0"/>
        <w:snapToGrid w:val="0"/>
        <w:spacing w:line="360" w:lineRule="auto"/>
        <w:jc w:val="center"/>
        <w:outlineLvl w:val="9"/>
        <w:rPr>
          <w:rFonts w:hint="eastAsia" w:ascii="仿宋" w:hAnsi="仿宋" w:eastAsia="仿宋" w:cs="仿宋"/>
          <w:b/>
          <w:color w:val="auto"/>
          <w:sz w:val="24"/>
          <w:szCs w:val="24"/>
          <w:highlight w:val="none"/>
        </w:rPr>
      </w:pPr>
      <w:bookmarkStart w:id="427" w:name="_Toc495681252"/>
      <w:bookmarkStart w:id="428" w:name="_Toc1610"/>
      <w:bookmarkStart w:id="429" w:name="_Toc495681406"/>
      <w:bookmarkStart w:id="430" w:name="_Toc495908048"/>
      <w:bookmarkStart w:id="431" w:name="_Toc495671263"/>
      <w:bookmarkStart w:id="432" w:name="_Toc495681533"/>
      <w:r>
        <w:rPr>
          <w:rFonts w:hint="eastAsia" w:ascii="仿宋" w:hAnsi="仿宋" w:eastAsia="仿宋" w:cs="仿宋"/>
          <w:b/>
          <w:color w:val="auto"/>
          <w:sz w:val="24"/>
          <w:szCs w:val="24"/>
          <w:highlight w:val="none"/>
        </w:rPr>
        <w:t>1、法定代表人身份证明</w:t>
      </w:r>
      <w:bookmarkEnd w:id="427"/>
      <w:bookmarkEnd w:id="428"/>
      <w:bookmarkEnd w:id="429"/>
      <w:bookmarkEnd w:id="430"/>
      <w:bookmarkEnd w:id="431"/>
      <w:bookmarkEnd w:id="432"/>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统一社会信用代码：</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注册地址：</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成立时间：</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年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日；经营期限：</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经营范围：主营：</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；兼营：</w:t>
      </w:r>
      <w:r>
        <w:rPr>
          <w:rFonts w:hint="eastAsia" w:ascii="仿宋" w:hAnsi="仿宋" w:eastAsia="仿宋" w:cs="仿宋"/>
          <w:color w:val="auto"/>
          <w:kern w:val="0"/>
          <w:sz w:val="24"/>
          <w:szCs w:val="24"/>
          <w:highlight w:val="none"/>
          <w:u w:val="single"/>
        </w:rPr>
        <w:t xml:space="preserve">              </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姓名：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性别：</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年龄：</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 xml:space="preserve"> 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kern w:val="0"/>
          <w:sz w:val="24"/>
          <w:szCs w:val="24"/>
          <w:highlight w:val="none"/>
        </w:rPr>
        <w:t>名称）的法定代表人。</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特此证明。</w:t>
      </w:r>
    </w:p>
    <w:p>
      <w:pPr>
        <w:autoSpaceDE w:val="0"/>
        <w:autoSpaceDN w:val="0"/>
        <w:adjustRightInd w:val="0"/>
        <w:snapToGrid w:val="0"/>
        <w:spacing w:before="120" w:line="36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附：法定代表人身份证复印件</w:t>
      </w:r>
    </w:p>
    <w:tbl>
      <w:tblPr>
        <w:tblStyle w:val="23"/>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法定代表人身份证</w:t>
            </w:r>
          </w:p>
          <w:p>
            <w:pPr>
              <w:spacing w:line="360" w:lineRule="auto"/>
              <w:jc w:val="center"/>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outlineLvl w:val="9"/>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法定代表人身份证</w:t>
            </w:r>
          </w:p>
          <w:p>
            <w:pPr>
              <w:spacing w:line="360" w:lineRule="auto"/>
              <w:jc w:val="center"/>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zh-CN"/>
              </w:rPr>
              <w:t>复印件</w:t>
            </w:r>
          </w:p>
        </w:tc>
      </w:tr>
    </w:tbl>
    <w:p>
      <w:pPr>
        <w:spacing w:line="360" w:lineRule="auto"/>
        <w:ind w:firstLine="1920" w:firstLineChars="800"/>
        <w:outlineLvl w:val="9"/>
        <w:rPr>
          <w:rFonts w:hint="eastAsia" w:ascii="仿宋" w:hAnsi="仿宋" w:eastAsia="仿宋" w:cs="仿宋"/>
          <w:color w:val="auto"/>
          <w:sz w:val="24"/>
          <w:szCs w:val="24"/>
          <w:highlight w:val="none"/>
        </w:rPr>
      </w:pPr>
    </w:p>
    <w:p>
      <w:pPr>
        <w:spacing w:line="360" w:lineRule="auto"/>
        <w:ind w:firstLine="5280" w:firstLineChars="2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5280" w:firstLineChars="2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rPr>
        <w:t xml:space="preserve">                    </w:t>
      </w:r>
    </w:p>
    <w:p>
      <w:pPr>
        <w:adjustRightInd w:val="0"/>
        <w:snapToGrid w:val="0"/>
        <w:spacing w:line="360" w:lineRule="auto"/>
        <w:ind w:firstLine="5280" w:firstLineChars="2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adjustRightInd w:val="0"/>
        <w:snapToGrid w:val="0"/>
        <w:spacing w:line="360" w:lineRule="auto"/>
        <w:jc w:val="center"/>
        <w:outlineLvl w:val="9"/>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br w:type="page"/>
      </w:r>
      <w:bookmarkStart w:id="433" w:name="_Toc495681407"/>
      <w:bookmarkStart w:id="434" w:name="_Toc495681253"/>
      <w:bookmarkStart w:id="435" w:name="_Toc18921"/>
      <w:bookmarkStart w:id="436" w:name="_Toc495671264"/>
      <w:bookmarkStart w:id="437" w:name="_Toc495908049"/>
      <w:bookmarkStart w:id="438" w:name="_Toc495681534"/>
      <w:r>
        <w:rPr>
          <w:rFonts w:hint="eastAsia" w:ascii="仿宋" w:hAnsi="仿宋" w:eastAsia="仿宋" w:cs="仿宋"/>
          <w:b/>
          <w:color w:val="auto"/>
          <w:sz w:val="24"/>
          <w:szCs w:val="24"/>
          <w:highlight w:val="none"/>
        </w:rPr>
        <w:t>2、法定代表人授权书</w:t>
      </w:r>
      <w:bookmarkEnd w:id="433"/>
      <w:bookmarkEnd w:id="434"/>
      <w:bookmarkEnd w:id="435"/>
      <w:bookmarkEnd w:id="436"/>
      <w:bookmarkEnd w:id="437"/>
      <w:bookmarkEnd w:id="438"/>
    </w:p>
    <w:p>
      <w:pPr>
        <w:autoSpaceDE w:val="0"/>
        <w:autoSpaceDN w:val="0"/>
        <w:adjustRightInd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陕西笃信招标有限公司：</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注册于</w:t>
      </w:r>
      <w:r>
        <w:rPr>
          <w:rFonts w:hint="eastAsia" w:ascii="仿宋" w:hAnsi="仿宋" w:eastAsia="仿宋" w:cs="仿宋"/>
          <w:color w:val="auto"/>
          <w:sz w:val="24"/>
          <w:szCs w:val="24"/>
          <w:highlight w:val="none"/>
          <w:u w:val="single"/>
          <w:lang w:val="zh-CN"/>
        </w:rPr>
        <w:t xml:space="preserve">  （工商行政管理局名称）  </w:t>
      </w:r>
      <w:r>
        <w:rPr>
          <w:rFonts w:hint="eastAsia" w:ascii="仿宋" w:hAnsi="仿宋" w:eastAsia="仿宋" w:cs="仿宋"/>
          <w:color w:val="auto"/>
          <w:sz w:val="24"/>
          <w:szCs w:val="24"/>
          <w:highlight w:val="none"/>
          <w:lang w:val="zh-CN"/>
        </w:rPr>
        <w:t>之</w:t>
      </w:r>
      <w:r>
        <w:rPr>
          <w:rFonts w:hint="eastAsia" w:ascii="仿宋" w:hAnsi="仿宋" w:eastAsia="仿宋" w:cs="仿宋"/>
          <w:color w:val="auto"/>
          <w:sz w:val="24"/>
          <w:szCs w:val="24"/>
          <w:highlight w:val="none"/>
          <w:u w:val="single"/>
          <w:lang w:val="zh-CN"/>
        </w:rPr>
        <w:t xml:space="preserve">   （投标人全称）  </w:t>
      </w:r>
      <w:r>
        <w:rPr>
          <w:rFonts w:hint="eastAsia" w:ascii="仿宋" w:hAnsi="仿宋" w:eastAsia="仿宋" w:cs="仿宋"/>
          <w:color w:val="auto"/>
          <w:sz w:val="24"/>
          <w:szCs w:val="24"/>
          <w:highlight w:val="none"/>
          <w:lang w:val="zh-CN"/>
        </w:rPr>
        <w:t>的法定代表人</w:t>
      </w:r>
      <w:r>
        <w:rPr>
          <w:rFonts w:hint="eastAsia" w:ascii="仿宋" w:hAnsi="仿宋" w:eastAsia="仿宋" w:cs="仿宋"/>
          <w:color w:val="auto"/>
          <w:sz w:val="24"/>
          <w:szCs w:val="24"/>
          <w:highlight w:val="none"/>
          <w:u w:val="single"/>
          <w:lang w:val="zh-CN"/>
        </w:rPr>
        <w:t xml:space="preserve"> （姓名）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授权</w:t>
      </w:r>
      <w:r>
        <w:rPr>
          <w:rFonts w:hint="eastAsia" w:ascii="仿宋" w:hAnsi="仿宋" w:eastAsia="仿宋" w:cs="仿宋"/>
          <w:color w:val="auto"/>
          <w:sz w:val="24"/>
          <w:szCs w:val="24"/>
          <w:highlight w:val="none"/>
          <w:u w:val="single"/>
          <w:lang w:val="zh-CN"/>
        </w:rPr>
        <w:t xml:space="preserve"> （被授权人姓名）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为我方合法委托代理人。代理人根据授权，以我方名义签署、澄清、说明、递交、撤回、修改</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kern w:val="0"/>
          <w:sz w:val="24"/>
          <w:szCs w:val="24"/>
          <w:highlight w:val="none"/>
          <w:u w:val="none"/>
          <w:lang w:val="en-US" w:eastAsia="zh-CN" w:bidi="ar"/>
        </w:rPr>
        <w:t>第</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包</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文件、签订合同和处理有关事宜，其法律后果由我方承担。</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代理人无转委托权。</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（盖单位公章）</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签字或盖章</w:t>
      </w:r>
      <w:r>
        <w:rPr>
          <w:rFonts w:hint="eastAsia" w:ascii="仿宋" w:hAnsi="仿宋" w:eastAsia="仿宋" w:cs="仿宋"/>
          <w:color w:val="auto"/>
          <w:sz w:val="24"/>
          <w:szCs w:val="24"/>
          <w:highlight w:val="none"/>
        </w:rPr>
        <w:t>）</w:t>
      </w:r>
    </w:p>
    <w:p>
      <w:pPr>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p>
    <w:p>
      <w:pPr>
        <w:spacing w:line="360" w:lineRule="auto"/>
        <w:ind w:firstLine="5520" w:firstLineChars="2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本授权有效期：自开标之日起90日历日。</w:t>
      </w:r>
    </w:p>
    <w:p>
      <w:pPr>
        <w:pStyle w:val="14"/>
        <w:ind w:firstLine="480" w:firstLineChars="200"/>
        <w:rPr>
          <w:rFonts w:hint="eastAsia" w:eastAsia="仿宋"/>
          <w:highlight w:val="none"/>
          <w:lang w:eastAsia="zh-CN"/>
        </w:rPr>
      </w:pPr>
      <w:r>
        <w:rPr>
          <w:rFonts w:hint="eastAsia" w:ascii="仿宋" w:hAnsi="仿宋" w:eastAsia="仿宋" w:cs="仿宋"/>
          <w:color w:val="auto"/>
          <w:sz w:val="24"/>
          <w:szCs w:val="24"/>
          <w:highlight w:val="none"/>
          <w:lang w:val="en-US" w:eastAsia="zh-CN"/>
        </w:rPr>
        <w:t>附：</w:t>
      </w:r>
      <w:r>
        <w:rPr>
          <w:rFonts w:hint="eastAsia" w:ascii="仿宋" w:hAnsi="仿宋" w:eastAsia="仿宋" w:cs="仿宋"/>
          <w:color w:val="auto"/>
          <w:sz w:val="24"/>
          <w:szCs w:val="24"/>
          <w:highlight w:val="none"/>
        </w:rPr>
        <w:t>法定代表人和被授权委托代理人身份证复印件</w:t>
      </w:r>
      <w:r>
        <w:rPr>
          <w:rFonts w:hint="eastAsia" w:ascii="仿宋" w:hAnsi="仿宋" w:eastAsia="仿宋" w:cs="仿宋"/>
          <w:color w:val="auto"/>
          <w:sz w:val="24"/>
          <w:szCs w:val="24"/>
          <w:highlight w:val="none"/>
          <w:lang w:eastAsia="zh-CN"/>
        </w:rPr>
        <w:t>。</w:t>
      </w:r>
    </w:p>
    <w:p>
      <w:pPr>
        <w:pStyle w:val="14"/>
        <w:rPr>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3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003" w:type="dxa"/>
            <w:noWrap w:val="0"/>
            <w:vAlign w:val="center"/>
          </w:tcPr>
          <w:p>
            <w:pPr>
              <w:spacing w:line="360" w:lineRule="auto"/>
              <w:jc w:val="center"/>
              <w:outlineLvl w:val="9"/>
              <w:rPr>
                <w:rFonts w:ascii="仿宋" w:hAnsi="仿宋" w:eastAsia="仿宋" w:cs="仿宋"/>
                <w:bCs/>
                <w:color w:val="auto"/>
                <w:sz w:val="24"/>
                <w:szCs w:val="24"/>
                <w:highlight w:val="none"/>
                <w:vertAlign w:val="baseline"/>
              </w:rPr>
            </w:pPr>
            <w:r>
              <w:rPr>
                <w:rFonts w:hint="eastAsia" w:ascii="仿宋" w:hAnsi="仿宋" w:eastAsia="仿宋" w:cs="仿宋"/>
                <w:color w:val="auto"/>
                <w:sz w:val="24"/>
                <w:szCs w:val="24"/>
                <w:highlight w:val="none"/>
              </w:rPr>
              <w:t>法定代表人身份证复印件</w:t>
            </w:r>
          </w:p>
        </w:tc>
        <w:tc>
          <w:tcPr>
            <w:tcW w:w="3772" w:type="dxa"/>
            <w:noWrap w:val="0"/>
            <w:vAlign w:val="center"/>
          </w:tcPr>
          <w:p>
            <w:pPr>
              <w:spacing w:line="360" w:lineRule="auto"/>
              <w:jc w:val="center"/>
              <w:outlineLvl w:val="9"/>
              <w:rPr>
                <w:rFonts w:ascii="仿宋" w:hAnsi="仿宋" w:eastAsia="仿宋" w:cs="仿宋"/>
                <w:bCs/>
                <w:color w:val="auto"/>
                <w:sz w:val="24"/>
                <w:szCs w:val="24"/>
                <w:highlight w:val="none"/>
                <w:vertAlign w:val="baseline"/>
              </w:rPr>
            </w:pPr>
            <w:r>
              <w:rPr>
                <w:rFonts w:hint="eastAsia" w:ascii="仿宋" w:hAnsi="仿宋" w:eastAsia="仿宋" w:cs="仿宋"/>
                <w:color w:val="auto"/>
                <w:sz w:val="24"/>
                <w:szCs w:val="24"/>
                <w:highlight w:val="none"/>
              </w:rPr>
              <w:t>被授权委托代理人身份证复印件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003" w:type="dxa"/>
            <w:noWrap w:val="0"/>
            <w:vAlign w:val="center"/>
          </w:tcPr>
          <w:p>
            <w:pPr>
              <w:spacing w:line="360" w:lineRule="auto"/>
              <w:jc w:val="center"/>
              <w:outlineLvl w:val="9"/>
              <w:rPr>
                <w:rFonts w:ascii="仿宋" w:hAnsi="仿宋" w:eastAsia="仿宋" w:cs="仿宋"/>
                <w:bCs/>
                <w:color w:val="auto"/>
                <w:sz w:val="24"/>
                <w:szCs w:val="24"/>
                <w:highlight w:val="none"/>
                <w:vertAlign w:val="baseline"/>
              </w:rPr>
            </w:pPr>
            <w:r>
              <w:rPr>
                <w:rFonts w:hint="eastAsia" w:ascii="仿宋" w:hAnsi="仿宋" w:eastAsia="仿宋" w:cs="仿宋"/>
                <w:color w:val="auto"/>
                <w:sz w:val="24"/>
                <w:szCs w:val="24"/>
                <w:highlight w:val="none"/>
              </w:rPr>
              <w:t>法定代表人身份证复印件</w:t>
            </w:r>
          </w:p>
        </w:tc>
        <w:tc>
          <w:tcPr>
            <w:tcW w:w="3772" w:type="dxa"/>
            <w:noWrap w:val="0"/>
            <w:vAlign w:val="center"/>
          </w:tcPr>
          <w:p>
            <w:pPr>
              <w:spacing w:line="360" w:lineRule="auto"/>
              <w:jc w:val="center"/>
              <w:outlineLvl w:val="9"/>
              <w:rPr>
                <w:rFonts w:ascii="仿宋" w:hAnsi="仿宋" w:eastAsia="仿宋" w:cs="仿宋"/>
                <w:bCs/>
                <w:color w:val="auto"/>
                <w:sz w:val="24"/>
                <w:szCs w:val="24"/>
                <w:highlight w:val="none"/>
                <w:vertAlign w:val="baseline"/>
              </w:rPr>
            </w:pPr>
            <w:r>
              <w:rPr>
                <w:rFonts w:hint="eastAsia" w:ascii="仿宋" w:hAnsi="仿宋" w:eastAsia="仿宋" w:cs="仿宋"/>
                <w:color w:val="auto"/>
                <w:sz w:val="24"/>
                <w:szCs w:val="24"/>
                <w:highlight w:val="none"/>
              </w:rPr>
              <w:t>被授权委托代理人身份证复印件</w:t>
            </w:r>
          </w:p>
        </w:tc>
      </w:tr>
    </w:tbl>
    <w:p>
      <w:pPr>
        <w:spacing w:line="360" w:lineRule="auto"/>
        <w:outlineLvl w:val="9"/>
        <w:rPr>
          <w:rFonts w:hint="eastAsia" w:ascii="仿宋" w:hAnsi="仿宋" w:eastAsia="仿宋" w:cs="仿宋"/>
          <w:color w:val="auto"/>
          <w:sz w:val="24"/>
          <w:szCs w:val="24"/>
          <w:highlight w:val="none"/>
          <w:lang w:val="zh-CN"/>
        </w:rPr>
      </w:pPr>
    </w:p>
    <w:p>
      <w:pPr>
        <w:spacing w:line="360" w:lineRule="auto"/>
        <w:outlineLvl w:val="9"/>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说明：</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附被授权代表本单位证明：有效的劳动合同或</w:t>
      </w: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前</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个月</w:t>
      </w:r>
      <w:r>
        <w:rPr>
          <w:rFonts w:hint="eastAsia" w:ascii="仿宋" w:hAnsi="仿宋" w:eastAsia="仿宋" w:cs="仿宋"/>
          <w:color w:val="auto"/>
          <w:sz w:val="24"/>
          <w:szCs w:val="24"/>
          <w:highlight w:val="none"/>
          <w:lang w:val="en-US" w:eastAsia="zh-CN"/>
        </w:rPr>
        <w:t>任意一个月</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社会保险参保</w:t>
      </w:r>
      <w:r>
        <w:rPr>
          <w:rFonts w:hint="eastAsia" w:ascii="仿宋" w:hAnsi="仿宋" w:eastAsia="仿宋" w:cs="仿宋"/>
          <w:color w:val="auto"/>
          <w:sz w:val="24"/>
          <w:szCs w:val="24"/>
          <w:highlight w:val="none"/>
        </w:rPr>
        <w:t>缴纳证明。</w:t>
      </w:r>
    </w:p>
    <w:p>
      <w:pPr>
        <w:adjustRightInd w:val="0"/>
        <w:snapToGrid w:val="0"/>
        <w:spacing w:line="360" w:lineRule="auto"/>
        <w:jc w:val="center"/>
        <w:outlineLvl w:val="9"/>
        <w:rPr>
          <w:rFonts w:hint="eastAsia" w:ascii="仿宋" w:hAnsi="仿宋" w:eastAsia="仿宋" w:cs="仿宋"/>
          <w:b/>
          <w:sz w:val="28"/>
          <w:szCs w:val="28"/>
          <w:highlight w:val="none"/>
          <w:lang w:val="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p>
    <w:p>
      <w:pPr>
        <w:adjustRightInd w:val="0"/>
        <w:snapToGrid w:val="0"/>
        <w:spacing w:line="360" w:lineRule="auto"/>
        <w:jc w:val="center"/>
        <w:outlineLvl w:val="9"/>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（八）提供政府采购政策等证明材料</w:t>
      </w:r>
      <w:bookmarkEnd w:id="415"/>
      <w:bookmarkEnd w:id="416"/>
      <w:bookmarkEnd w:id="417"/>
      <w:bookmarkEnd w:id="418"/>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（1）中小企业声明函（如适用，请提供，格式见附件1，注：本项目属于</w:t>
      </w:r>
      <w:r>
        <w:rPr>
          <w:rFonts w:hint="eastAsia" w:ascii="仿宋" w:hAnsi="仿宋" w:eastAsia="仿宋" w:cs="仿宋"/>
          <w:b/>
          <w:bCs/>
          <w:sz w:val="24"/>
          <w:szCs w:val="24"/>
          <w:highlight w:val="none"/>
        </w:rPr>
        <w:t>软件和信息技术服务业</w:t>
      </w:r>
      <w:r>
        <w:rPr>
          <w:rFonts w:hint="eastAsia" w:ascii="仿宋" w:hAnsi="仿宋" w:eastAsia="仿宋" w:cs="仿宋"/>
          <w:sz w:val="24"/>
          <w:szCs w:val="24"/>
          <w:highlight w:val="none"/>
        </w:rPr>
        <w:t>）；</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（2）残疾人福利性单位声明函（如适用，请提供，格式见附件2）；</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（3）监狱企业、福利企业证明材料（如适用，请提供）；  </w:t>
      </w:r>
    </w:p>
    <w:p>
      <w:pPr>
        <w:spacing w:line="360" w:lineRule="auto"/>
        <w:ind w:firstLine="480" w:firstLineChars="200"/>
        <w:rPr>
          <w:rFonts w:hint="eastAsia" w:ascii="仿宋" w:hAnsi="仿宋" w:eastAsia="仿宋" w:cs="仿宋"/>
          <w:sz w:val="24"/>
          <w:szCs w:val="24"/>
          <w:highlight w:val="none"/>
        </w:rPr>
        <w:sectPr>
          <w:footerReference r:id="rId7" w:type="default"/>
          <w:pgSz w:w="11906" w:h="16838"/>
          <w:pgMar w:top="1417" w:right="1701" w:bottom="1417" w:left="1701" w:header="851" w:footer="992" w:gutter="0"/>
          <w:pgNumType w:fmt="decimal"/>
          <w:cols w:space="720" w:num="1"/>
          <w:docGrid w:linePitch="312" w:charSpace="0"/>
        </w:sectPr>
      </w:pPr>
      <w:r>
        <w:rPr>
          <w:rFonts w:hint="eastAsia" w:ascii="仿宋" w:hAnsi="仿宋" w:eastAsia="仿宋" w:cs="仿宋"/>
          <w:sz w:val="24"/>
          <w:szCs w:val="24"/>
          <w:highlight w:val="none"/>
        </w:rPr>
        <w:t>（4）节能环保产品、环境标志产品明细表（如适用，请按招标文件中采购项目需要落实的政府采购政策第2条相关规定提供相关证明材料）；</w:t>
      </w:r>
    </w:p>
    <w:p>
      <w:pPr>
        <w:keepNext w:val="0"/>
        <w:keepLines w:val="0"/>
        <w:pageBreakBefore/>
        <w:widowControl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附件</w:t>
      </w:r>
      <w:r>
        <w:rPr>
          <w:rFonts w:hint="eastAsia" w:ascii="仿宋" w:hAnsi="仿宋" w:eastAsia="仿宋" w:cs="仿宋"/>
          <w:b/>
          <w:bCs/>
          <w:color w:val="auto"/>
          <w:sz w:val="24"/>
          <w:szCs w:val="24"/>
          <w:highlight w:val="none"/>
          <w:lang w:val="en-US" w:eastAsia="zh-CN"/>
        </w:rPr>
        <w:t>1</w:t>
      </w:r>
    </w:p>
    <w:p>
      <w:pPr>
        <w:spacing w:line="360" w:lineRule="auto"/>
        <w:jc w:val="center"/>
        <w:rPr>
          <w:rFonts w:ascii="仿宋" w:hAnsi="仿宋" w:eastAsia="仿宋" w:cs="仿宋"/>
          <w:sz w:val="28"/>
          <w:szCs w:val="28"/>
          <w:highlight w:val="none"/>
        </w:rPr>
      </w:pPr>
      <w:r>
        <w:rPr>
          <w:rFonts w:hint="eastAsia" w:ascii="仿宋" w:hAnsi="仿宋" w:eastAsia="仿宋" w:cs="仿宋"/>
          <w:b/>
          <w:bCs/>
          <w:sz w:val="28"/>
          <w:szCs w:val="24"/>
          <w:highlight w:val="none"/>
        </w:rPr>
        <w:t>中小企业声明函（工程、服务）</w:t>
      </w:r>
    </w:p>
    <w:p>
      <w:pPr>
        <w:pStyle w:val="2"/>
        <w:shd w:val="clear" w:color="auto" w:fill="auto"/>
        <w:kinsoku w:val="0"/>
        <w:overflowPunct w:val="0"/>
        <w:spacing w:before="34"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pacing w:val="0"/>
          <w:w w:val="100"/>
          <w:sz w:val="24"/>
          <w:szCs w:val="24"/>
          <w:highlight w:val="none"/>
          <w:u w:val="single"/>
        </w:rPr>
        <w:t>（单位名称）</w:t>
      </w:r>
      <w:r>
        <w:rPr>
          <w:rFonts w:hint="eastAsia" w:ascii="仿宋" w:hAnsi="仿宋" w:eastAsia="仿宋" w:cs="仿宋"/>
          <w:color w:val="auto"/>
          <w:spacing w:val="0"/>
          <w:w w:val="100"/>
          <w:sz w:val="24"/>
          <w:szCs w:val="24"/>
          <w:highlight w:val="none"/>
        </w:rPr>
        <w:t>的</w:t>
      </w:r>
      <w:r>
        <w:rPr>
          <w:rFonts w:hint="eastAsia" w:ascii="仿宋" w:hAnsi="仿宋" w:eastAsia="仿宋" w:cs="仿宋"/>
          <w:color w:val="auto"/>
          <w:spacing w:val="0"/>
          <w:w w:val="100"/>
          <w:sz w:val="24"/>
          <w:szCs w:val="24"/>
          <w:highlight w:val="none"/>
          <w:u w:val="single"/>
        </w:rPr>
        <w:t>（项目名称）</w:t>
      </w:r>
      <w:r>
        <w:rPr>
          <w:rFonts w:hint="eastAsia" w:ascii="仿宋" w:hAnsi="仿宋" w:eastAsia="仿宋" w:cs="仿宋"/>
          <w:color w:val="auto"/>
          <w:spacing w:val="0"/>
          <w:w w:val="10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shd w:val="clear" w:color="auto" w:fill="auto"/>
        <w:kinsoku w:val="0"/>
        <w:overflowPunct w:val="0"/>
        <w:spacing w:before="34"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1.</w:t>
      </w:r>
      <w:r>
        <w:rPr>
          <w:rFonts w:hint="eastAsia" w:ascii="仿宋" w:hAnsi="仿宋" w:eastAsia="仿宋" w:cs="仿宋"/>
          <w:color w:val="auto"/>
          <w:spacing w:val="0"/>
          <w:w w:val="100"/>
          <w:sz w:val="24"/>
          <w:szCs w:val="24"/>
          <w:highlight w:val="none"/>
          <w:u w:val="single"/>
        </w:rPr>
        <w:t>（标的名称）</w:t>
      </w:r>
      <w:r>
        <w:rPr>
          <w:rFonts w:hint="eastAsia" w:ascii="仿宋" w:hAnsi="仿宋" w:eastAsia="仿宋" w:cs="仿宋"/>
          <w:color w:val="auto"/>
          <w:spacing w:val="0"/>
          <w:w w:val="100"/>
          <w:sz w:val="24"/>
          <w:szCs w:val="24"/>
          <w:highlight w:val="none"/>
        </w:rPr>
        <w:t>，属于</w:t>
      </w:r>
      <w:r>
        <w:rPr>
          <w:rFonts w:hint="eastAsia" w:ascii="仿宋" w:hAnsi="仿宋" w:eastAsia="仿宋" w:cs="仿宋"/>
          <w:color w:val="auto"/>
          <w:spacing w:val="0"/>
          <w:w w:val="100"/>
          <w:sz w:val="24"/>
          <w:szCs w:val="24"/>
          <w:highlight w:val="none"/>
          <w:u w:val="single"/>
        </w:rPr>
        <w:t>（采购文件中明确的所属行业）</w:t>
      </w:r>
      <w:r>
        <w:rPr>
          <w:rFonts w:hint="eastAsia" w:ascii="仿宋" w:hAnsi="仿宋" w:eastAsia="仿宋" w:cs="仿宋"/>
          <w:color w:val="auto"/>
          <w:spacing w:val="0"/>
          <w:w w:val="100"/>
          <w:sz w:val="24"/>
          <w:szCs w:val="24"/>
          <w:highlight w:val="none"/>
        </w:rPr>
        <w:t>；承建（承接）企业为</w:t>
      </w:r>
      <w:r>
        <w:rPr>
          <w:rFonts w:hint="eastAsia" w:ascii="仿宋" w:hAnsi="仿宋" w:eastAsia="仿宋" w:cs="仿宋"/>
          <w:color w:val="auto"/>
          <w:spacing w:val="0"/>
          <w:w w:val="100"/>
          <w:sz w:val="24"/>
          <w:szCs w:val="24"/>
          <w:highlight w:val="none"/>
          <w:u w:val="single"/>
        </w:rPr>
        <w:t>（企业名称）</w:t>
      </w:r>
      <w:r>
        <w:rPr>
          <w:rFonts w:hint="eastAsia" w:ascii="仿宋" w:hAnsi="仿宋" w:eastAsia="仿宋" w:cs="仿宋"/>
          <w:color w:val="auto"/>
          <w:spacing w:val="0"/>
          <w:w w:val="100"/>
          <w:sz w:val="24"/>
          <w:szCs w:val="24"/>
          <w:highlight w:val="none"/>
        </w:rPr>
        <w:t>，从业人员</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rPr>
        <w:tab/>
      </w:r>
      <w:r>
        <w:rPr>
          <w:rFonts w:hint="eastAsia" w:ascii="仿宋" w:hAnsi="仿宋" w:eastAsia="仿宋" w:cs="仿宋"/>
          <w:color w:val="auto"/>
          <w:spacing w:val="0"/>
          <w:w w:val="100"/>
          <w:sz w:val="24"/>
          <w:szCs w:val="24"/>
          <w:highlight w:val="none"/>
        </w:rPr>
        <w:t>人，营业收入为</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ab/>
      </w:r>
      <w:r>
        <w:rPr>
          <w:rFonts w:hint="eastAsia" w:ascii="仿宋" w:hAnsi="仿宋" w:eastAsia="仿宋" w:cs="仿宋"/>
          <w:color w:val="auto"/>
          <w:spacing w:val="0"/>
          <w:w w:val="100"/>
          <w:sz w:val="24"/>
          <w:szCs w:val="24"/>
          <w:highlight w:val="none"/>
        </w:rPr>
        <w:t>万元，资产总额为</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rPr>
        <w:t>万元，属于</w:t>
      </w:r>
      <w:r>
        <w:rPr>
          <w:rFonts w:hint="eastAsia" w:ascii="仿宋" w:hAnsi="仿宋" w:eastAsia="仿宋" w:cs="仿宋"/>
          <w:color w:val="auto"/>
          <w:spacing w:val="0"/>
          <w:w w:val="100"/>
          <w:sz w:val="24"/>
          <w:szCs w:val="24"/>
          <w:highlight w:val="none"/>
          <w:u w:val="single"/>
        </w:rPr>
        <w:t>（中型企业、小型企业、微型企业）</w:t>
      </w:r>
      <w:r>
        <w:rPr>
          <w:rFonts w:hint="eastAsia" w:ascii="仿宋" w:hAnsi="仿宋" w:eastAsia="仿宋" w:cs="仿宋"/>
          <w:color w:val="auto"/>
          <w:spacing w:val="0"/>
          <w:w w:val="100"/>
          <w:sz w:val="24"/>
          <w:szCs w:val="24"/>
          <w:highlight w:val="none"/>
        </w:rPr>
        <w:t>；</w:t>
      </w:r>
    </w:p>
    <w:p>
      <w:pPr>
        <w:pStyle w:val="2"/>
        <w:shd w:val="clear" w:color="auto" w:fill="auto"/>
        <w:kinsoku w:val="0"/>
        <w:overflowPunct w:val="0"/>
        <w:spacing w:before="34"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2.</w:t>
      </w:r>
      <w:r>
        <w:rPr>
          <w:rFonts w:hint="eastAsia" w:ascii="仿宋" w:hAnsi="仿宋" w:eastAsia="仿宋" w:cs="仿宋"/>
          <w:color w:val="auto"/>
          <w:spacing w:val="0"/>
          <w:w w:val="100"/>
          <w:sz w:val="24"/>
          <w:szCs w:val="24"/>
          <w:highlight w:val="none"/>
          <w:u w:val="single"/>
        </w:rPr>
        <w:t>（标的名称）</w:t>
      </w:r>
      <w:r>
        <w:rPr>
          <w:rFonts w:hint="eastAsia" w:ascii="仿宋" w:hAnsi="仿宋" w:eastAsia="仿宋" w:cs="仿宋"/>
          <w:color w:val="auto"/>
          <w:spacing w:val="0"/>
          <w:w w:val="100"/>
          <w:sz w:val="24"/>
          <w:szCs w:val="24"/>
          <w:highlight w:val="none"/>
        </w:rPr>
        <w:t>，属于</w:t>
      </w:r>
      <w:r>
        <w:rPr>
          <w:rFonts w:hint="eastAsia" w:ascii="仿宋" w:hAnsi="仿宋" w:eastAsia="仿宋" w:cs="仿宋"/>
          <w:color w:val="auto"/>
          <w:spacing w:val="0"/>
          <w:w w:val="100"/>
          <w:sz w:val="24"/>
          <w:szCs w:val="24"/>
          <w:highlight w:val="none"/>
          <w:u w:val="single"/>
        </w:rPr>
        <w:t>（采购文件中明确的所属行业）</w:t>
      </w:r>
      <w:r>
        <w:rPr>
          <w:rFonts w:hint="eastAsia" w:ascii="仿宋" w:hAnsi="仿宋" w:eastAsia="仿宋" w:cs="仿宋"/>
          <w:color w:val="auto"/>
          <w:spacing w:val="0"/>
          <w:w w:val="100"/>
          <w:sz w:val="24"/>
          <w:szCs w:val="24"/>
          <w:highlight w:val="none"/>
        </w:rPr>
        <w:t>；承建（承接）企业为</w:t>
      </w:r>
      <w:r>
        <w:rPr>
          <w:rFonts w:hint="eastAsia" w:ascii="仿宋" w:hAnsi="仿宋" w:eastAsia="仿宋" w:cs="仿宋"/>
          <w:color w:val="auto"/>
          <w:spacing w:val="0"/>
          <w:w w:val="100"/>
          <w:sz w:val="24"/>
          <w:szCs w:val="24"/>
          <w:highlight w:val="none"/>
          <w:u w:val="single"/>
        </w:rPr>
        <w:t>（企业名称）</w:t>
      </w:r>
      <w:r>
        <w:rPr>
          <w:rFonts w:hint="eastAsia" w:ascii="仿宋" w:hAnsi="仿宋" w:eastAsia="仿宋" w:cs="仿宋"/>
          <w:color w:val="auto"/>
          <w:spacing w:val="0"/>
          <w:w w:val="100"/>
          <w:sz w:val="24"/>
          <w:szCs w:val="24"/>
          <w:highlight w:val="none"/>
        </w:rPr>
        <w:t>，从业人员</w:t>
      </w:r>
      <w:r>
        <w:rPr>
          <w:rFonts w:hint="eastAsia" w:ascii="仿宋" w:hAnsi="仿宋" w:eastAsia="仿宋" w:cs="仿宋"/>
          <w:color w:val="auto"/>
          <w:spacing w:val="0"/>
          <w:w w:val="100"/>
          <w:sz w:val="24"/>
          <w:szCs w:val="24"/>
          <w:highlight w:val="none"/>
          <w:u w:val="single"/>
        </w:rPr>
        <w:tab/>
      </w:r>
      <w:r>
        <w:rPr>
          <w:rFonts w:hint="eastAsia" w:ascii="仿宋" w:hAnsi="仿宋" w:eastAsia="仿宋" w:cs="仿宋"/>
          <w:color w:val="auto"/>
          <w:spacing w:val="0"/>
          <w:w w:val="100"/>
          <w:sz w:val="24"/>
          <w:szCs w:val="24"/>
          <w:highlight w:val="none"/>
        </w:rPr>
        <w:t>人，营业收入为</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rPr>
        <w:t>万元，资产总额为</w:t>
      </w:r>
      <w:r>
        <w:rPr>
          <w:rFonts w:hint="eastAsia" w:ascii="仿宋" w:hAnsi="仿宋" w:eastAsia="仿宋" w:cs="仿宋"/>
          <w:color w:val="auto"/>
          <w:spacing w:val="0"/>
          <w:w w:val="100"/>
          <w:sz w:val="24"/>
          <w:szCs w:val="24"/>
          <w:highlight w:val="none"/>
          <w:u w:val="single"/>
        </w:rPr>
        <w:tab/>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rPr>
        <w:t>万元，属于</w:t>
      </w:r>
      <w:r>
        <w:rPr>
          <w:rFonts w:hint="eastAsia" w:ascii="仿宋" w:hAnsi="仿宋" w:eastAsia="仿宋" w:cs="仿宋"/>
          <w:color w:val="auto"/>
          <w:spacing w:val="0"/>
          <w:w w:val="100"/>
          <w:sz w:val="24"/>
          <w:szCs w:val="24"/>
          <w:highlight w:val="none"/>
          <w:u w:val="single"/>
        </w:rPr>
        <w:t>（中型企业、小型企业、微型企业）</w:t>
      </w:r>
      <w:r>
        <w:rPr>
          <w:rFonts w:hint="eastAsia" w:ascii="仿宋" w:hAnsi="仿宋" w:eastAsia="仿宋" w:cs="仿宋"/>
          <w:color w:val="auto"/>
          <w:spacing w:val="0"/>
          <w:w w:val="100"/>
          <w:sz w:val="24"/>
          <w:szCs w:val="24"/>
          <w:highlight w:val="none"/>
        </w:rPr>
        <w:t>；</w:t>
      </w:r>
    </w:p>
    <w:p>
      <w:pPr>
        <w:pStyle w:val="2"/>
        <w:shd w:val="clear" w:color="auto" w:fill="auto"/>
        <w:kinsoku w:val="0"/>
        <w:overflowPunct w:val="0"/>
        <w:spacing w:before="34" w:line="360" w:lineRule="auto"/>
        <w:ind w:left="765" w:right="138" w:hanging="5"/>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 xml:space="preserve">…… </w:t>
      </w:r>
    </w:p>
    <w:p>
      <w:pPr>
        <w:pStyle w:val="2"/>
        <w:shd w:val="clear" w:color="auto" w:fill="auto"/>
        <w:kinsoku w:val="0"/>
        <w:overflowPunct w:val="0"/>
        <w:spacing w:before="34"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以上企业，不属于大企业的分支机构，不存在控股股东为大企业的情形，也不存在与大企业的负责人为同一人的情形。</w:t>
      </w:r>
    </w:p>
    <w:p>
      <w:pPr>
        <w:pStyle w:val="2"/>
        <w:shd w:val="clear" w:color="auto" w:fill="auto"/>
        <w:kinsoku w:val="0"/>
        <w:overflowPunct w:val="0"/>
        <w:spacing w:before="34"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本企业对上述声明内容的真实性负责。如有虚假，将依法承担相应责任。</w:t>
      </w:r>
    </w:p>
    <w:p>
      <w:pPr>
        <w:pStyle w:val="2"/>
        <w:kinsoku w:val="0"/>
        <w:overflowPunct w:val="0"/>
        <w:spacing w:before="56" w:line="360" w:lineRule="auto"/>
        <w:ind w:left="3960" w:right="1748"/>
        <w:rPr>
          <w:rFonts w:ascii="仿宋" w:hAnsi="仿宋" w:eastAsia="仿宋" w:cs="仿宋"/>
          <w:color w:val="auto"/>
          <w:spacing w:val="-18"/>
          <w:sz w:val="24"/>
          <w:szCs w:val="24"/>
          <w:highlight w:val="none"/>
        </w:rPr>
      </w:pPr>
    </w:p>
    <w:p>
      <w:pPr>
        <w:spacing w:line="360" w:lineRule="auto"/>
        <w:ind w:firstLine="3024" w:firstLineChars="1200"/>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企业名称（盖章）：</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 xml:space="preserve"> </w:t>
      </w:r>
    </w:p>
    <w:p>
      <w:pPr>
        <w:spacing w:line="360" w:lineRule="auto"/>
        <w:ind w:firstLine="3024" w:firstLineChars="1200"/>
        <w:rPr>
          <w:rFonts w:ascii="仿宋" w:hAnsi="仿宋" w:eastAsia="仿宋" w:cs="仿宋"/>
          <w:spacing w:val="6"/>
          <w:sz w:val="24"/>
          <w:szCs w:val="24"/>
          <w:highlight w:val="none"/>
          <w:u w:val="single"/>
        </w:rPr>
      </w:pPr>
      <w:r>
        <w:rPr>
          <w:rFonts w:hint="eastAsia" w:ascii="仿宋" w:hAnsi="仿宋" w:eastAsia="仿宋" w:cs="仿宋"/>
          <w:spacing w:val="6"/>
          <w:sz w:val="24"/>
          <w:szCs w:val="24"/>
          <w:highlight w:val="none"/>
        </w:rPr>
        <w:t>日    期：</w:t>
      </w:r>
      <w:r>
        <w:rPr>
          <w:rFonts w:hint="eastAsia" w:ascii="仿宋" w:hAnsi="仿宋" w:eastAsia="仿宋" w:cs="仿宋"/>
          <w:spacing w:val="6"/>
          <w:sz w:val="24"/>
          <w:szCs w:val="24"/>
          <w:highlight w:val="none"/>
          <w:u w:val="single"/>
        </w:rPr>
        <w:t xml:space="preserve">                            </w:t>
      </w:r>
    </w:p>
    <w:p>
      <w:pPr>
        <w:spacing w:line="360" w:lineRule="auto"/>
        <w:rPr>
          <w:rFonts w:ascii="仿宋" w:hAnsi="仿宋" w:eastAsia="仿宋" w:cs="仿宋"/>
          <w:spacing w:val="6"/>
          <w:sz w:val="24"/>
          <w:szCs w:val="24"/>
          <w:highlight w:val="none"/>
        </w:rPr>
      </w:pPr>
    </w:p>
    <w:p>
      <w:pPr>
        <w:autoSpaceDE w:val="0"/>
        <w:autoSpaceDN w:val="0"/>
        <w:adjustRightIn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1、从业人员、营业收入、资产总额填报上一年度数据，无上一年度数据的新成立企业可不填报。</w:t>
      </w:r>
    </w:p>
    <w:p>
      <w:pPr>
        <w:autoSpaceDE w:val="0"/>
        <w:autoSpaceDN w:val="0"/>
        <w:adjustRightInd w:val="0"/>
        <w:spacing w:line="360" w:lineRule="auto"/>
        <w:ind w:firstLine="480" w:firstLineChars="200"/>
        <w:rPr>
          <w:rFonts w:hint="eastAsia" w:ascii="仿宋" w:hAnsi="仿宋" w:eastAsia="仿宋" w:cs="仿宋"/>
          <w:spacing w:val="0"/>
          <w:w w:val="100"/>
          <w:sz w:val="24"/>
          <w:szCs w:val="24"/>
          <w:highlight w:val="none"/>
        </w:rPr>
      </w:pPr>
    </w:p>
    <w:p>
      <w:pPr>
        <w:pageBreakBefore/>
        <w:spacing w:line="360" w:lineRule="auto"/>
        <w:rPr>
          <w:rFonts w:hint="eastAsia" w:ascii="仿宋" w:hAnsi="仿宋" w:eastAsia="仿宋" w:cs="仿宋"/>
          <w:b/>
          <w:spacing w:val="6"/>
          <w:sz w:val="24"/>
          <w:szCs w:val="24"/>
          <w:highlight w:val="none"/>
        </w:rPr>
      </w:pPr>
      <w:r>
        <w:rPr>
          <w:rFonts w:hint="eastAsia" w:ascii="仿宋" w:hAnsi="仿宋" w:eastAsia="仿宋" w:cs="仿宋"/>
          <w:b/>
          <w:sz w:val="24"/>
          <w:szCs w:val="24"/>
          <w:highlight w:val="none"/>
        </w:rPr>
        <w:t>附件2：</w:t>
      </w:r>
    </w:p>
    <w:p>
      <w:pPr>
        <w:spacing w:line="360" w:lineRule="auto"/>
        <w:jc w:val="center"/>
        <w:rPr>
          <w:rFonts w:hint="eastAsia" w:ascii="仿宋" w:hAnsi="仿宋" w:eastAsia="仿宋" w:cs="仿宋"/>
          <w:b/>
          <w:spacing w:val="6"/>
          <w:sz w:val="24"/>
          <w:szCs w:val="24"/>
          <w:highlight w:val="none"/>
        </w:rPr>
      </w:pPr>
      <w:r>
        <w:rPr>
          <w:rFonts w:hint="eastAsia" w:ascii="仿宋" w:hAnsi="仿宋" w:eastAsia="仿宋" w:cs="仿宋"/>
          <w:b/>
          <w:spacing w:val="6"/>
          <w:sz w:val="24"/>
          <w:szCs w:val="24"/>
          <w:highlight w:val="none"/>
        </w:rPr>
        <w:t>残疾人福利性单位声明函</w:t>
      </w:r>
    </w:p>
    <w:p>
      <w:pPr>
        <w:spacing w:line="360" w:lineRule="auto"/>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sz w:val="24"/>
          <w:szCs w:val="24"/>
          <w:highlight w:val="none"/>
        </w:rPr>
        <w:t>〔2017〕 141</w:t>
      </w:r>
      <w:r>
        <w:rPr>
          <w:rFonts w:hint="eastAsia" w:ascii="仿宋" w:hAnsi="仿宋" w:eastAsia="仿宋" w:cs="仿宋"/>
          <w:spacing w:val="6"/>
          <w:sz w:val="24"/>
          <w:szCs w:val="24"/>
          <w:highlight w:val="none"/>
        </w:rPr>
        <w:t>号）的规定，本单位为符合条件的残疾人福利性单位，且本单位参加</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单位的</w:t>
      </w:r>
      <w:r>
        <w:rPr>
          <w:rFonts w:hint="eastAsia"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本单位对上述声明的真实性负责。如有虚假，将依法承担相应责任。</w:t>
      </w:r>
    </w:p>
    <w:p>
      <w:pPr>
        <w:spacing w:line="360" w:lineRule="auto"/>
        <w:ind w:firstLine="504" w:firstLineChars="200"/>
        <w:rPr>
          <w:rFonts w:hint="eastAsia" w:ascii="仿宋" w:hAnsi="仿宋" w:eastAsia="仿宋" w:cs="仿宋"/>
          <w:spacing w:val="6"/>
          <w:sz w:val="24"/>
          <w:szCs w:val="24"/>
          <w:highlight w:val="none"/>
        </w:rPr>
      </w:pPr>
    </w:p>
    <w:p>
      <w:pPr>
        <w:spacing w:line="360" w:lineRule="auto"/>
        <w:ind w:firstLine="3360" w:firstLineChars="14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hint="eastAsia"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adjustRightInd w:val="0"/>
        <w:snapToGrid w:val="0"/>
        <w:spacing w:line="360" w:lineRule="auto"/>
        <w:rPr>
          <w:rFonts w:hint="eastAsia" w:ascii="仿宋" w:hAnsi="仿宋" w:eastAsia="仿宋" w:cs="仿宋"/>
          <w:sz w:val="24"/>
          <w:szCs w:val="24"/>
          <w:highlight w:val="none"/>
        </w:rPr>
      </w:pPr>
    </w:p>
    <w:p>
      <w:pPr>
        <w:autoSpaceDE w:val="0"/>
        <w:autoSpaceDN w:val="0"/>
        <w:adjustRightInd w:val="0"/>
        <w:snapToGrid w:val="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bCs/>
          <w:sz w:val="24"/>
          <w:szCs w:val="24"/>
          <w:highlight w:val="none"/>
        </w:rPr>
        <w:t>未按上述要求提供、</w:t>
      </w:r>
      <w:r>
        <w:rPr>
          <w:rFonts w:hint="eastAsia" w:ascii="仿宋" w:hAnsi="仿宋" w:eastAsia="仿宋" w:cs="仿宋"/>
          <w:sz w:val="24"/>
          <w:szCs w:val="24"/>
          <w:highlight w:val="none"/>
        </w:rPr>
        <w:t>填写</w:t>
      </w:r>
      <w:r>
        <w:rPr>
          <w:rFonts w:hint="eastAsia" w:ascii="仿宋" w:hAnsi="仿宋" w:eastAsia="仿宋" w:cs="仿宋"/>
          <w:bCs/>
          <w:sz w:val="24"/>
          <w:szCs w:val="24"/>
          <w:highlight w:val="none"/>
        </w:rPr>
        <w:t>的，评审时不予以考虑。</w:t>
      </w:r>
    </w:p>
    <w:p>
      <w:pPr>
        <w:pageBreakBefore/>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附件3：</w:t>
      </w:r>
    </w:p>
    <w:p>
      <w:pPr>
        <w:spacing w:line="360" w:lineRule="auto"/>
        <w:ind w:firstLine="506" w:firstLineChars="200"/>
        <w:jc w:val="center"/>
        <w:rPr>
          <w:rFonts w:hint="eastAsia" w:ascii="仿宋" w:hAnsi="仿宋" w:eastAsia="仿宋" w:cs="仿宋"/>
          <w:b/>
          <w:bCs/>
          <w:spacing w:val="6"/>
          <w:sz w:val="24"/>
          <w:szCs w:val="24"/>
          <w:highlight w:val="none"/>
        </w:rPr>
      </w:pPr>
      <w:r>
        <w:rPr>
          <w:rFonts w:hint="eastAsia" w:ascii="仿宋" w:hAnsi="仿宋" w:eastAsia="仿宋" w:cs="仿宋"/>
          <w:b/>
          <w:bCs/>
          <w:spacing w:val="6"/>
          <w:sz w:val="24"/>
          <w:szCs w:val="24"/>
          <w:highlight w:val="none"/>
        </w:rPr>
        <w:t>监狱企业证明函</w:t>
      </w:r>
    </w:p>
    <w:p>
      <w:pPr>
        <w:spacing w:line="360" w:lineRule="auto"/>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04" w:firstLineChars="200"/>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监狱企业参加政府采购活动时，应当提供由省级以上监狱管理局、戒毒管理局（含新疆生产建设兵团）出具的属于监狱企业的证明文件。</w:t>
      </w:r>
    </w:p>
    <w:p>
      <w:pPr>
        <w:spacing w:line="588" w:lineRule="exact"/>
        <w:ind w:firstLine="436" w:firstLineChars="200"/>
        <w:rPr>
          <w:rFonts w:hint="eastAsia" w:ascii="宋体" w:hAnsi="宋体" w:cs="宋体"/>
          <w:spacing w:val="4"/>
          <w:szCs w:val="21"/>
          <w:highlight w:val="none"/>
        </w:rPr>
      </w:pPr>
    </w:p>
    <w:p>
      <w:pPr>
        <w:spacing w:before="120" w:beforeLines="50" w:after="120" w:afterLines="50" w:line="480" w:lineRule="auto"/>
        <w:jc w:val="right"/>
        <w:rPr>
          <w:rFonts w:hint="eastAsia" w:ascii="宋体" w:hAnsi="宋体" w:cs="宋体"/>
          <w:spacing w:val="4"/>
          <w:szCs w:val="21"/>
          <w:highlight w:val="none"/>
        </w:rPr>
      </w:pPr>
    </w:p>
    <w:p>
      <w:pPr>
        <w:spacing w:line="360" w:lineRule="auto"/>
        <w:ind w:firstLine="3360" w:firstLineChars="140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sz w:val="24"/>
          <w:szCs w:val="24"/>
          <w:highlight w:val="none"/>
        </w:rPr>
        <w:t>（公章）：</w:t>
      </w:r>
      <w:r>
        <w:rPr>
          <w:rFonts w:hint="eastAsia" w:ascii="仿宋" w:hAnsi="仿宋" w:eastAsia="仿宋" w:cs="仿宋"/>
          <w:sz w:val="24"/>
          <w:szCs w:val="24"/>
          <w:highlight w:val="none"/>
          <w:u w:val="single"/>
        </w:rPr>
        <w:t xml:space="preserve">                           </w:t>
      </w:r>
    </w:p>
    <w:p>
      <w:pPr>
        <w:spacing w:line="360" w:lineRule="auto"/>
        <w:ind w:firstLine="3360" w:firstLineChars="14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法定代表人或授权代表（签字或盖章）：</w:t>
      </w:r>
      <w:r>
        <w:rPr>
          <w:rFonts w:hint="eastAsia" w:ascii="仿宋" w:hAnsi="仿宋" w:eastAsia="仿宋" w:cs="仿宋"/>
          <w:sz w:val="24"/>
          <w:szCs w:val="24"/>
          <w:highlight w:val="none"/>
          <w:u w:val="single"/>
        </w:rPr>
        <w:t xml:space="preserve">        </w:t>
      </w:r>
    </w:p>
    <w:p>
      <w:pPr>
        <w:autoSpaceDE w:val="0"/>
        <w:autoSpaceDN w:val="0"/>
        <w:adjustRightInd w:val="0"/>
        <w:snapToGrid w:val="0"/>
        <w:spacing w:line="360" w:lineRule="auto"/>
        <w:ind w:firstLine="3360" w:firstLineChars="1400"/>
        <w:rPr>
          <w:rFonts w:hint="eastAsia" w:ascii="仿宋_GB2312" w:hAnsi="仿宋_GB2312" w:eastAsia="仿宋_GB2312" w:cs="仿宋_GB2312"/>
          <w:sz w:val="24"/>
          <w:szCs w:val="24"/>
          <w:highlight w:val="none"/>
          <w:u w:val="singl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_GB2312" w:hAnsi="仿宋_GB2312" w:eastAsia="仿宋_GB2312" w:cs="仿宋_GB2312"/>
          <w:sz w:val="24"/>
          <w:szCs w:val="24"/>
          <w:highlight w:val="none"/>
          <w:u w:val="single"/>
        </w:rPr>
        <w:t xml:space="preserve">       </w:t>
      </w:r>
    </w:p>
    <w:p>
      <w:pPr>
        <w:adjustRightInd w:val="0"/>
        <w:snapToGrid w:val="0"/>
        <w:spacing w:line="360" w:lineRule="auto"/>
        <w:ind w:firstLine="240" w:firstLineChars="100"/>
        <w:rPr>
          <w:rFonts w:hint="eastAsia" w:ascii="仿宋" w:hAnsi="仿宋" w:eastAsia="仿宋" w:cs="仿宋"/>
          <w:sz w:val="24"/>
          <w:szCs w:val="24"/>
          <w:highlight w:val="none"/>
        </w:rPr>
      </w:pPr>
    </w:p>
    <w:p>
      <w:pPr>
        <w:pStyle w:val="22"/>
        <w:ind w:left="0" w:leftChars="0" w:firstLine="0" w:firstLineChars="0"/>
        <w:rPr>
          <w:rFonts w:hint="eastAsia"/>
          <w:highlight w:val="none"/>
        </w:rPr>
        <w:sectPr>
          <w:pgSz w:w="11906" w:h="16838"/>
          <w:pgMar w:top="1417" w:right="1701" w:bottom="1417" w:left="1701" w:header="851" w:footer="992" w:gutter="0"/>
          <w:pgNumType w:fmt="decimal"/>
          <w:cols w:space="720" w:num="1"/>
          <w:docGrid w:linePitch="312" w:charSpace="0"/>
        </w:sectPr>
      </w:pPr>
      <w:r>
        <w:rPr>
          <w:rFonts w:hint="eastAsia" w:ascii="仿宋" w:hAnsi="仿宋" w:eastAsia="仿宋" w:cs="仿宋"/>
          <w:sz w:val="24"/>
          <w:szCs w:val="24"/>
          <w:highlight w:val="none"/>
        </w:rPr>
        <w:t>说明：</w:t>
      </w:r>
      <w:r>
        <w:rPr>
          <w:rFonts w:hint="eastAsia" w:ascii="仿宋" w:hAnsi="仿宋" w:eastAsia="仿宋" w:cs="仿宋"/>
          <w:bCs/>
          <w:sz w:val="24"/>
          <w:szCs w:val="24"/>
          <w:highlight w:val="none"/>
        </w:rPr>
        <w:t>未按上述要求提供、</w:t>
      </w:r>
      <w:r>
        <w:rPr>
          <w:rFonts w:hint="eastAsia" w:ascii="仿宋" w:hAnsi="仿宋" w:eastAsia="仿宋" w:cs="仿宋"/>
          <w:sz w:val="24"/>
          <w:szCs w:val="24"/>
          <w:highlight w:val="none"/>
        </w:rPr>
        <w:t>填写</w:t>
      </w:r>
      <w:r>
        <w:rPr>
          <w:rFonts w:hint="eastAsia" w:ascii="仿宋" w:hAnsi="仿宋" w:eastAsia="仿宋" w:cs="仿宋"/>
          <w:bCs/>
          <w:sz w:val="24"/>
          <w:szCs w:val="24"/>
          <w:highlight w:val="none"/>
        </w:rPr>
        <w:t>的，评审时不予以考虑。</w:t>
      </w:r>
    </w:p>
    <w:p>
      <w:pPr>
        <w:pStyle w:val="4"/>
        <w:keepNext w:val="0"/>
        <w:pageBreakBefore/>
        <w:spacing w:line="360" w:lineRule="auto"/>
        <w:rPr>
          <w:rFonts w:hint="eastAsia" w:ascii="仿宋" w:hAnsi="仿宋" w:eastAsia="仿宋" w:cs="仿宋"/>
          <w:color w:val="auto"/>
          <w:szCs w:val="44"/>
          <w:highlight w:val="none"/>
          <w:lang w:val="zh-CN"/>
        </w:rPr>
      </w:pPr>
      <w:bookmarkStart w:id="439" w:name="_Toc31798"/>
      <w:r>
        <w:rPr>
          <w:rFonts w:hint="eastAsia" w:ascii="仿宋" w:hAnsi="仿宋" w:eastAsia="仿宋" w:cs="仿宋"/>
          <w:color w:val="auto"/>
          <w:sz w:val="32"/>
          <w:szCs w:val="32"/>
          <w:highlight w:val="none"/>
          <w:lang w:val="zh-CN"/>
        </w:rPr>
        <w:t>五、合同主要条款偏离表</w:t>
      </w:r>
      <w:bookmarkEnd w:id="402"/>
      <w:bookmarkEnd w:id="403"/>
      <w:bookmarkEnd w:id="404"/>
      <w:bookmarkEnd w:id="405"/>
      <w:bookmarkEnd w:id="408"/>
      <w:bookmarkEnd w:id="409"/>
      <w:bookmarkEnd w:id="410"/>
      <w:bookmarkEnd w:id="411"/>
      <w:bookmarkEnd w:id="412"/>
      <w:bookmarkEnd w:id="413"/>
      <w:bookmarkEnd w:id="414"/>
      <w:bookmarkEnd w:id="439"/>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0"/>
          <w:sz w:val="24"/>
          <w:szCs w:val="24"/>
          <w:highlight w:val="none"/>
        </w:rPr>
        <w:t xml:space="preserve">项目编号：                                           </w:t>
      </w:r>
      <w:r>
        <w:rPr>
          <w:rFonts w:hint="eastAsia" w:ascii="仿宋" w:hAnsi="仿宋" w:eastAsia="仿宋" w:cs="仿宋"/>
          <w:bCs/>
          <w:color w:val="auto"/>
          <w:kern w:val="0"/>
          <w:sz w:val="24"/>
          <w:szCs w:val="24"/>
          <w:highlight w:val="none"/>
          <w:lang w:val="en-US" w:eastAsia="zh-CN"/>
        </w:rPr>
        <w:t>包号：</w:t>
      </w:r>
      <w:r>
        <w:rPr>
          <w:rFonts w:hint="eastAsia" w:ascii="仿宋" w:hAnsi="仿宋" w:eastAsia="仿宋" w:cs="仿宋"/>
          <w:bCs/>
          <w:color w:val="auto"/>
          <w:kern w:val="0"/>
          <w:sz w:val="24"/>
          <w:szCs w:val="24"/>
          <w:highlight w:val="non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380"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文件</w:t>
            </w:r>
          </w:p>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条目号</w:t>
            </w:r>
          </w:p>
        </w:tc>
        <w:tc>
          <w:tcPr>
            <w:tcW w:w="2341"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w:t>
            </w:r>
          </w:p>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合同主要条款</w:t>
            </w:r>
          </w:p>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要求</w:t>
            </w:r>
          </w:p>
        </w:tc>
        <w:tc>
          <w:tcPr>
            <w:tcW w:w="2678"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w:t>
            </w:r>
          </w:p>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合同主要条款</w:t>
            </w:r>
          </w:p>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w:t>
            </w:r>
          </w:p>
        </w:tc>
        <w:tc>
          <w:tcPr>
            <w:tcW w:w="840"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w:t>
            </w:r>
          </w:p>
        </w:tc>
        <w:tc>
          <w:tcPr>
            <w:tcW w:w="1731" w:type="dxa"/>
            <w:noWrap w:val="0"/>
            <w:vAlign w:val="center"/>
          </w:tcPr>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w:t>
            </w:r>
          </w:p>
          <w:p>
            <w:pPr>
              <w:adjustRightInd w:val="0"/>
              <w:snapToGrid w:val="0"/>
              <w:spacing w:line="360" w:lineRule="auto"/>
              <w:ind w:right="23"/>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38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34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2678"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c>
          <w:tcPr>
            <w:tcW w:w="1731" w:type="dxa"/>
            <w:noWrap w:val="0"/>
            <w:vAlign w:val="top"/>
          </w:tcPr>
          <w:p>
            <w:pPr>
              <w:adjustRightInd w:val="0"/>
              <w:snapToGrid w:val="0"/>
              <w:spacing w:line="360" w:lineRule="auto"/>
              <w:ind w:right="24"/>
              <w:rPr>
                <w:rFonts w:hint="eastAsia" w:ascii="仿宋" w:hAnsi="仿宋" w:eastAsia="仿宋" w:cs="仿宋"/>
                <w:bCs/>
                <w:color w:val="auto"/>
                <w:sz w:val="24"/>
                <w:szCs w:val="24"/>
                <w:highlight w:val="none"/>
              </w:rPr>
            </w:pPr>
          </w:p>
        </w:tc>
      </w:tr>
    </w:tbl>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本表只填写投标文件中与招标文件有偏离（包括负偏离和正偏离）的内容，在投标文件中须一一列出，无偏离时须提供空白表。</w:t>
      </w:r>
    </w:p>
    <w:p>
      <w:pPr>
        <w:numPr>
          <w:ilvl w:val="0"/>
          <w:numId w:val="6"/>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必须据实填写，不得虚假响应，否则将取消其投标或中标资格，并按有关规定进处罚。</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autoSpaceDE w:val="0"/>
        <w:autoSpaceDN w:val="0"/>
        <w:adjustRightInd w:val="0"/>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bookmarkStart w:id="440" w:name="_Toc475451556"/>
      <w:bookmarkStart w:id="441" w:name="_Toc475451803"/>
      <w:bookmarkStart w:id="442" w:name="_Toc473056006"/>
    </w:p>
    <w:p>
      <w:pPr>
        <w:pStyle w:val="4"/>
        <w:keepNext w:val="0"/>
        <w:pageBreakBefore/>
        <w:adjustRightInd w:val="0"/>
        <w:spacing w:line="416" w:lineRule="atLeast"/>
        <w:textAlignment w:val="baseline"/>
        <w:rPr>
          <w:rFonts w:hint="eastAsia" w:ascii="仿宋" w:hAnsi="仿宋" w:eastAsia="仿宋" w:cs="仿宋"/>
          <w:color w:val="auto"/>
          <w:sz w:val="24"/>
          <w:szCs w:val="24"/>
          <w:highlight w:val="none"/>
          <w:lang w:val="zh-CN"/>
        </w:rPr>
        <w:sectPr>
          <w:pgSz w:w="11906" w:h="16838"/>
          <w:pgMar w:top="1417" w:right="1701" w:bottom="1417" w:left="1701" w:header="851" w:footer="992" w:gutter="0"/>
          <w:pgNumType w:fmt="decimal"/>
          <w:cols w:space="720" w:num="1"/>
          <w:docGrid w:linePitch="312" w:charSpace="0"/>
        </w:sectPr>
      </w:pPr>
      <w:bookmarkStart w:id="443" w:name="_Toc11930"/>
    </w:p>
    <w:bookmarkEnd w:id="443"/>
    <w:p>
      <w:pPr>
        <w:pStyle w:val="4"/>
        <w:keepNext w:val="0"/>
        <w:pageBreakBefore/>
        <w:spacing w:line="360" w:lineRule="auto"/>
        <w:rPr>
          <w:rFonts w:hint="eastAsia" w:ascii="仿宋" w:hAnsi="仿宋" w:eastAsia="仿宋" w:cs="仿宋"/>
          <w:b w:val="0"/>
          <w:color w:val="auto"/>
          <w:kern w:val="2"/>
          <w:sz w:val="24"/>
          <w:szCs w:val="24"/>
          <w:highlight w:val="none"/>
          <w:lang w:val="zh-CN"/>
        </w:rPr>
      </w:pPr>
      <w:bookmarkStart w:id="444" w:name="_Toc14308"/>
      <w:bookmarkStart w:id="445" w:name="_Toc26791"/>
      <w:bookmarkStart w:id="446" w:name="_Toc8297"/>
      <w:bookmarkStart w:id="447" w:name="_Toc13042"/>
      <w:bookmarkStart w:id="448" w:name="_Toc27644"/>
      <w:bookmarkStart w:id="449" w:name="_Toc4501"/>
      <w:bookmarkStart w:id="450" w:name="_Toc4404"/>
      <w:bookmarkStart w:id="451" w:name="_Toc518"/>
      <w:bookmarkStart w:id="452" w:name="_Toc31212"/>
      <w:bookmarkStart w:id="453" w:name="_Toc22966"/>
      <w:bookmarkStart w:id="454" w:name="_Toc370"/>
      <w:bookmarkStart w:id="455" w:name="_Toc4764"/>
      <w:bookmarkStart w:id="456" w:name="_Toc8261"/>
      <w:r>
        <w:rPr>
          <w:rStyle w:val="35"/>
          <w:rFonts w:hint="eastAsia" w:ascii="仿宋" w:hAnsi="仿宋" w:eastAsia="仿宋" w:cs="仿宋"/>
          <w:b/>
          <w:color w:val="auto"/>
          <w:sz w:val="32"/>
          <w:szCs w:val="21"/>
          <w:highlight w:val="none"/>
          <w:lang w:val="zh-CN"/>
        </w:rPr>
        <w:t>六、</w:t>
      </w:r>
      <w:bookmarkEnd w:id="444"/>
      <w:bookmarkEnd w:id="445"/>
      <w:bookmarkEnd w:id="446"/>
      <w:bookmarkEnd w:id="447"/>
      <w:bookmarkStart w:id="457" w:name="_Toc26734"/>
      <w:bookmarkStart w:id="458" w:name="_Toc18224"/>
      <w:bookmarkStart w:id="459" w:name="_Toc3056"/>
      <w:bookmarkStart w:id="460" w:name="_Toc21194"/>
      <w:bookmarkStart w:id="461" w:name="_Toc31326"/>
      <w:bookmarkStart w:id="462" w:name="_Toc3451"/>
      <w:bookmarkStart w:id="463" w:name="_Toc300"/>
      <w:bookmarkStart w:id="464" w:name="_Toc13495"/>
      <w:bookmarkStart w:id="465" w:name="_Toc31471"/>
      <w:r>
        <w:rPr>
          <w:rFonts w:hint="eastAsia" w:ascii="仿宋" w:hAnsi="仿宋" w:eastAsia="仿宋" w:cs="仿宋"/>
          <w:color w:val="auto"/>
          <w:sz w:val="32"/>
          <w:szCs w:val="21"/>
          <w:highlight w:val="none"/>
          <w:lang w:val="zh-CN"/>
        </w:rPr>
        <w:t>技术规格偏离表</w:t>
      </w:r>
      <w:bookmarkEnd w:id="448"/>
    </w:p>
    <w:p>
      <w:pPr>
        <w:spacing w:line="360" w:lineRule="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 xml:space="preserve">                                            包号：</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5"/>
        <w:gridCol w:w="2520"/>
        <w:gridCol w:w="2625"/>
        <w:gridCol w:w="840"/>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5" w:type="dxa"/>
            <w:noWrap w:val="0"/>
            <w:vAlign w:val="center"/>
          </w:tcPr>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365" w:type="dxa"/>
            <w:noWrap w:val="0"/>
            <w:vAlign w:val="center"/>
          </w:tcPr>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文件</w:t>
            </w:r>
          </w:p>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条目号</w:t>
            </w:r>
          </w:p>
        </w:tc>
        <w:tc>
          <w:tcPr>
            <w:tcW w:w="2520" w:type="dxa"/>
            <w:noWrap w:val="0"/>
            <w:vAlign w:val="center"/>
          </w:tcPr>
          <w:p>
            <w:pPr>
              <w:adjustRightInd w:val="0"/>
              <w:snapToGrid w:val="0"/>
              <w:ind w:right="23"/>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招标文件</w:t>
            </w:r>
          </w:p>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规格及技术需求</w:t>
            </w:r>
          </w:p>
        </w:tc>
        <w:tc>
          <w:tcPr>
            <w:tcW w:w="2625" w:type="dxa"/>
            <w:noWrap w:val="0"/>
            <w:vAlign w:val="center"/>
          </w:tcPr>
          <w:p>
            <w:pPr>
              <w:adjustRightInd w:val="0"/>
              <w:snapToGrid w:val="0"/>
              <w:ind w:right="23"/>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投标文件</w:t>
            </w:r>
          </w:p>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规格及技术参数</w:t>
            </w:r>
          </w:p>
        </w:tc>
        <w:tc>
          <w:tcPr>
            <w:tcW w:w="840" w:type="dxa"/>
            <w:noWrap w:val="0"/>
            <w:vAlign w:val="center"/>
          </w:tcPr>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偏离</w:t>
            </w:r>
          </w:p>
        </w:tc>
        <w:tc>
          <w:tcPr>
            <w:tcW w:w="1680" w:type="dxa"/>
            <w:noWrap w:val="0"/>
            <w:vAlign w:val="center"/>
          </w:tcPr>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偏离</w:t>
            </w:r>
          </w:p>
          <w:p>
            <w:pP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36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52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62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68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36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52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62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68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36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52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62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68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36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52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62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68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36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52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62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68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36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52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2625"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84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c>
          <w:tcPr>
            <w:tcW w:w="1680" w:type="dxa"/>
            <w:noWrap w:val="0"/>
            <w:vAlign w:val="top"/>
          </w:tcPr>
          <w:p>
            <w:pPr>
              <w:adjustRightInd w:val="0"/>
              <w:snapToGrid w:val="0"/>
              <w:spacing w:line="360" w:lineRule="auto"/>
              <w:ind w:right="24"/>
              <w:rPr>
                <w:rFonts w:hint="eastAsia" w:ascii="仿宋" w:hAnsi="仿宋" w:eastAsia="仿宋" w:cs="仿宋"/>
                <w:bCs/>
                <w:color w:val="auto"/>
                <w:szCs w:val="21"/>
                <w:highlight w:val="none"/>
              </w:rPr>
            </w:pPr>
          </w:p>
        </w:tc>
      </w:tr>
    </w:tbl>
    <w:p>
      <w:pPr>
        <w:spacing w:line="540" w:lineRule="exact"/>
        <w:ind w:right="-197" w:rightChars="-94"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w:t>
      </w:r>
      <w:r>
        <w:rPr>
          <w:rFonts w:hint="eastAsia" w:ascii="仿宋" w:hAnsi="仿宋" w:eastAsia="仿宋" w:cs="仿宋"/>
          <w:color w:val="auto"/>
          <w:sz w:val="24"/>
          <w:szCs w:val="24"/>
          <w:highlight w:val="none"/>
          <w:lang w:val="en-US" w:eastAsia="zh-CN"/>
        </w:rPr>
        <w:t>根据“第三部分 采购内容及要求”逐一响应</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2.投标人必须据实填写，不得虚假响应，否则将取消其投标或中标资格，并按有关规定进处罚。</w:t>
      </w:r>
    </w:p>
    <w:p>
      <w:pPr>
        <w:rPr>
          <w:rFonts w:hint="eastAsia" w:ascii="仿宋" w:hAnsi="仿宋" w:eastAsia="仿宋" w:cs="仿宋"/>
          <w:color w:val="auto"/>
          <w:highlight w:val="none"/>
        </w:rPr>
      </w:pPr>
    </w:p>
    <w:p>
      <w:pPr>
        <w:spacing w:line="360" w:lineRule="auto"/>
        <w:rPr>
          <w:rFonts w:hint="eastAsia" w:ascii="仿宋" w:hAnsi="仿宋" w:eastAsia="仿宋" w:cs="仿宋"/>
          <w:color w:val="auto"/>
          <w:sz w:val="24"/>
          <w:szCs w:val="24"/>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ind w:firstLine="4080" w:firstLineChars="1700"/>
        <w:rPr>
          <w:rFonts w:hint="eastAsia" w:ascii="仿宋" w:hAnsi="仿宋" w:eastAsia="仿宋" w:cs="仿宋"/>
          <w:color w:val="auto"/>
          <w:sz w:val="32"/>
          <w:szCs w:val="21"/>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p>
    <w:p>
      <w:pPr>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368"/>
    <w:bookmarkEnd w:id="369"/>
    <w:bookmarkEnd w:id="370"/>
    <w:bookmarkEnd w:id="371"/>
    <w:bookmarkEnd w:id="372"/>
    <w:bookmarkEnd w:id="373"/>
    <w:bookmarkEnd w:id="374"/>
    <w:bookmarkEnd w:id="375"/>
    <w:bookmarkEnd w:id="376"/>
    <w:bookmarkEnd w:id="440"/>
    <w:bookmarkEnd w:id="441"/>
    <w:bookmarkEnd w:id="44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Pr>
        <w:pageBreakBefore/>
        <w:spacing w:line="360" w:lineRule="auto"/>
        <w:jc w:val="center"/>
        <w:outlineLvl w:val="1"/>
        <w:rPr>
          <w:rFonts w:hint="eastAsia" w:ascii="仿宋" w:hAnsi="仿宋" w:eastAsia="仿宋" w:cs="仿宋"/>
          <w:b/>
          <w:bCs/>
          <w:color w:val="auto"/>
          <w:sz w:val="44"/>
          <w:szCs w:val="44"/>
          <w:highlight w:val="none"/>
        </w:rPr>
      </w:pPr>
      <w:bookmarkStart w:id="466" w:name="_Toc21179"/>
      <w:bookmarkStart w:id="467" w:name="_Toc16907"/>
      <w:r>
        <w:rPr>
          <w:rStyle w:val="35"/>
          <w:rFonts w:hint="eastAsia" w:ascii="仿宋" w:hAnsi="仿宋" w:eastAsia="仿宋" w:cs="仿宋"/>
          <w:color w:val="auto"/>
          <w:sz w:val="32"/>
          <w:szCs w:val="21"/>
          <w:highlight w:val="none"/>
          <w:lang w:eastAsia="zh-CN"/>
        </w:rPr>
        <w:t>七、</w:t>
      </w:r>
      <w:r>
        <w:rPr>
          <w:rFonts w:hint="eastAsia" w:ascii="仿宋" w:hAnsi="仿宋" w:eastAsia="仿宋" w:cs="仿宋"/>
          <w:b/>
          <w:color w:val="auto"/>
          <w:sz w:val="32"/>
          <w:szCs w:val="32"/>
          <w:highlight w:val="none"/>
        </w:rPr>
        <w:t>技术方案</w:t>
      </w:r>
      <w:bookmarkEnd w:id="466"/>
      <w:bookmarkEnd w:id="467"/>
    </w:p>
    <w:p>
      <w:pPr>
        <w:pStyle w:val="57"/>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kern w:val="2"/>
          <w:sz w:val="24"/>
          <w:szCs w:val="24"/>
          <w:highlight w:val="none"/>
          <w:lang w:val="en-US" w:eastAsia="zh-CN" w:bidi="ar-SA"/>
        </w:rPr>
      </w:pPr>
    </w:p>
    <w:p>
      <w:pPr>
        <w:pStyle w:val="57"/>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根据评分因素自行编制</w:t>
      </w:r>
    </w:p>
    <w:p>
      <w:pPr>
        <w:pStyle w:val="56"/>
        <w:keepNext/>
        <w:keepLines w:val="0"/>
        <w:pageBreakBefore/>
        <w:widowControl w:val="0"/>
        <w:kinsoku/>
        <w:wordWrap/>
        <w:overflowPunct/>
        <w:topLinePunct w:val="0"/>
        <w:autoSpaceDE/>
        <w:autoSpaceDN/>
        <w:bidi w:val="0"/>
        <w:adjustRightInd/>
        <w:snapToGrid/>
        <w:spacing w:line="360" w:lineRule="auto"/>
        <w:jc w:val="center"/>
        <w:textAlignment w:val="baseline"/>
        <w:outlineLvl w:val="1"/>
        <w:rPr>
          <w:rFonts w:hint="eastAsia" w:ascii="仿宋" w:hAnsi="仿宋" w:eastAsia="仿宋" w:cs="仿宋"/>
          <w:b/>
          <w:bCs w:val="0"/>
          <w:sz w:val="32"/>
          <w:szCs w:val="32"/>
          <w:highlight w:val="none"/>
          <w:lang w:val="zh-CN"/>
        </w:rPr>
        <w:sectPr>
          <w:footerReference r:id="rId8" w:type="default"/>
          <w:pgSz w:w="11906" w:h="16838"/>
          <w:pgMar w:top="1417" w:right="1701" w:bottom="1417" w:left="1701" w:header="851" w:footer="992" w:gutter="0"/>
          <w:pgNumType w:fmt="decimal"/>
          <w:cols w:space="720" w:num="1"/>
          <w:docGrid w:linePitch="312" w:charSpace="0"/>
        </w:sectPr>
      </w:pPr>
    </w:p>
    <w:p>
      <w:pPr>
        <w:pageBreakBefore/>
        <w:spacing w:line="360" w:lineRule="auto"/>
        <w:jc w:val="center"/>
        <w:outlineLvl w:val="1"/>
        <w:rPr>
          <w:rFonts w:hint="eastAsia" w:ascii="仿宋" w:hAnsi="仿宋" w:eastAsia="仿宋" w:cs="仿宋"/>
          <w:b/>
          <w:color w:val="auto"/>
          <w:sz w:val="32"/>
          <w:szCs w:val="32"/>
          <w:highlight w:val="none"/>
        </w:rPr>
      </w:pPr>
      <w:bookmarkStart w:id="468" w:name="_Toc15733"/>
      <w:bookmarkStart w:id="469" w:name="_Toc22956"/>
      <w:bookmarkStart w:id="470" w:name="_Toc25402"/>
      <w:bookmarkStart w:id="471" w:name="_Toc28055"/>
      <w:bookmarkStart w:id="472" w:name="_Toc27566"/>
      <w:bookmarkStart w:id="473" w:name="_Toc2686"/>
      <w:bookmarkStart w:id="474" w:name="_Toc23262"/>
      <w:bookmarkStart w:id="475" w:name="_Toc20544"/>
      <w:bookmarkStart w:id="476" w:name="_Toc24871"/>
      <w:bookmarkStart w:id="477" w:name="_Toc118"/>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rPr>
        <w:t>、</w:t>
      </w:r>
      <w:bookmarkEnd w:id="468"/>
      <w:bookmarkEnd w:id="469"/>
      <w:bookmarkEnd w:id="470"/>
      <w:bookmarkEnd w:id="471"/>
      <w:bookmarkEnd w:id="472"/>
      <w:bookmarkEnd w:id="473"/>
      <w:bookmarkEnd w:id="474"/>
      <w:bookmarkEnd w:id="475"/>
      <w:bookmarkEnd w:id="476"/>
      <w:bookmarkStart w:id="478" w:name="_Toc30152"/>
      <w:bookmarkStart w:id="479" w:name="_Toc15935"/>
      <w:bookmarkStart w:id="480" w:name="_Toc17895"/>
      <w:r>
        <w:rPr>
          <w:rFonts w:hint="eastAsia" w:ascii="仿宋" w:hAnsi="仿宋" w:eastAsia="仿宋" w:cs="仿宋"/>
          <w:b/>
          <w:color w:val="auto"/>
          <w:sz w:val="32"/>
          <w:szCs w:val="32"/>
          <w:highlight w:val="none"/>
        </w:rPr>
        <w:t>售后服务及培训方案</w:t>
      </w:r>
      <w:bookmarkEnd w:id="477"/>
    </w:p>
    <w:p>
      <w:pPr>
        <w:pStyle w:val="2"/>
        <w:jc w:val="center"/>
        <w:rPr>
          <w:rFonts w:hint="eastAsia" w:ascii="仿宋" w:hAnsi="仿宋" w:eastAsia="仿宋" w:cs="仿宋"/>
          <w:color w:val="auto"/>
          <w:sz w:val="24"/>
          <w:szCs w:val="24"/>
          <w:highlight w:val="none"/>
        </w:rPr>
      </w:pPr>
    </w:p>
    <w:bookmarkEnd w:id="478"/>
    <w:bookmarkEnd w:id="479"/>
    <w:bookmarkEnd w:id="480"/>
    <w:p>
      <w:pPr>
        <w:pStyle w:val="57"/>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kern w:val="2"/>
          <w:sz w:val="24"/>
          <w:szCs w:val="24"/>
          <w:highlight w:val="none"/>
          <w:lang w:val="en-US" w:eastAsia="zh-CN" w:bidi="ar-SA"/>
        </w:rPr>
      </w:pPr>
      <w:bookmarkStart w:id="481" w:name="_Toc10131"/>
      <w:bookmarkStart w:id="482" w:name="_Toc18031"/>
      <w:bookmarkStart w:id="483" w:name="_Toc473056008"/>
      <w:bookmarkStart w:id="484" w:name="_Toc6638"/>
      <w:bookmarkStart w:id="485" w:name="_Toc27139"/>
      <w:bookmarkStart w:id="486" w:name="_Toc19696"/>
      <w:bookmarkStart w:id="487" w:name="_Toc8020"/>
      <w:bookmarkStart w:id="488" w:name="_Toc8031"/>
      <w:bookmarkStart w:id="489" w:name="_Toc475451557"/>
      <w:bookmarkStart w:id="490" w:name="_Toc23271"/>
      <w:bookmarkStart w:id="491" w:name="_Toc475451804"/>
      <w:r>
        <w:rPr>
          <w:rFonts w:hint="eastAsia" w:ascii="仿宋" w:hAnsi="仿宋" w:eastAsia="仿宋" w:cs="仿宋"/>
          <w:kern w:val="2"/>
          <w:sz w:val="24"/>
          <w:szCs w:val="24"/>
          <w:highlight w:val="none"/>
          <w:lang w:val="en-US" w:eastAsia="zh-CN" w:bidi="ar-SA"/>
        </w:rPr>
        <w:t>根据评分因素自行编制</w:t>
      </w:r>
    </w:p>
    <w:p>
      <w:pPr>
        <w:pStyle w:val="56"/>
        <w:keepNext/>
        <w:keepLines w:val="0"/>
        <w:pageBreakBefore/>
        <w:widowControl w:val="0"/>
        <w:kinsoku/>
        <w:wordWrap/>
        <w:overflowPunct/>
        <w:topLinePunct w:val="0"/>
        <w:autoSpaceDE/>
        <w:autoSpaceDN/>
        <w:bidi w:val="0"/>
        <w:adjustRightInd/>
        <w:snapToGrid/>
        <w:spacing w:line="360" w:lineRule="auto"/>
        <w:jc w:val="center"/>
        <w:textAlignment w:val="baseline"/>
        <w:outlineLvl w:val="1"/>
        <w:rPr>
          <w:rFonts w:hint="eastAsia" w:ascii="仿宋" w:hAnsi="仿宋" w:eastAsia="仿宋" w:cs="仿宋"/>
          <w:b/>
          <w:bCs w:val="0"/>
          <w:sz w:val="32"/>
          <w:szCs w:val="32"/>
          <w:highlight w:val="none"/>
          <w:lang w:val="zh-CN"/>
        </w:rPr>
        <w:sectPr>
          <w:pgSz w:w="11906" w:h="16838"/>
          <w:pgMar w:top="1417" w:right="1701" w:bottom="1417" w:left="1701" w:header="851" w:footer="992" w:gutter="0"/>
          <w:pgNumType w:fmt="decimal"/>
          <w:cols w:space="720" w:num="1"/>
          <w:docGrid w:linePitch="312" w:charSpace="0"/>
        </w:sectPr>
      </w:pPr>
    </w:p>
    <w:p>
      <w:pPr>
        <w:pageBreakBefore/>
        <w:spacing w:line="360" w:lineRule="auto"/>
        <w:jc w:val="center"/>
        <w:outlineLvl w:val="1"/>
        <w:rPr>
          <w:rFonts w:hint="eastAsia" w:ascii="仿宋" w:hAnsi="仿宋" w:eastAsia="仿宋" w:cs="仿宋"/>
          <w:b/>
          <w:color w:val="auto"/>
          <w:sz w:val="44"/>
          <w:szCs w:val="44"/>
          <w:highlight w:val="none"/>
        </w:rPr>
      </w:pPr>
      <w:bookmarkStart w:id="492" w:name="_Toc649"/>
      <w:bookmarkStart w:id="493" w:name="_Toc1235"/>
      <w:r>
        <w:rPr>
          <w:rFonts w:hint="eastAsia" w:ascii="仿宋" w:hAnsi="仿宋" w:eastAsia="仿宋" w:cs="仿宋"/>
          <w:b/>
          <w:color w:val="auto"/>
          <w:sz w:val="32"/>
          <w:szCs w:val="32"/>
          <w:highlight w:val="none"/>
          <w:lang w:val="en-US" w:eastAsia="zh-CN"/>
        </w:rPr>
        <w:t>九</w:t>
      </w:r>
      <w:r>
        <w:rPr>
          <w:rFonts w:hint="eastAsia" w:ascii="仿宋" w:hAnsi="仿宋" w:eastAsia="仿宋" w:cs="仿宋"/>
          <w:b/>
          <w:color w:val="auto"/>
          <w:sz w:val="32"/>
          <w:szCs w:val="32"/>
          <w:highlight w:val="none"/>
        </w:rPr>
        <w:t>、近年业绩的有关证明材料</w:t>
      </w:r>
      <w:bookmarkEnd w:id="481"/>
      <w:bookmarkEnd w:id="482"/>
      <w:bookmarkEnd w:id="483"/>
      <w:bookmarkEnd w:id="484"/>
      <w:bookmarkEnd w:id="485"/>
      <w:bookmarkEnd w:id="486"/>
      <w:bookmarkEnd w:id="487"/>
      <w:bookmarkEnd w:id="488"/>
      <w:bookmarkEnd w:id="489"/>
      <w:bookmarkEnd w:id="490"/>
      <w:bookmarkEnd w:id="491"/>
      <w:bookmarkEnd w:id="492"/>
      <w:bookmarkEnd w:id="493"/>
    </w:p>
    <w:tbl>
      <w:tblPr>
        <w:tblStyle w:val="23"/>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62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用户名称</w:t>
            </w:r>
          </w:p>
        </w:tc>
        <w:tc>
          <w:tcPr>
            <w:tcW w:w="252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47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合同金额</w:t>
            </w:r>
          </w:p>
        </w:tc>
        <w:tc>
          <w:tcPr>
            <w:tcW w:w="1470"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签订时间</w:t>
            </w:r>
          </w:p>
        </w:tc>
        <w:tc>
          <w:tcPr>
            <w:tcW w:w="136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noWrap w:val="0"/>
            <w:vAlign w:val="top"/>
          </w:tcPr>
          <w:p>
            <w:pPr>
              <w:spacing w:line="360" w:lineRule="auto"/>
              <w:rPr>
                <w:rFonts w:hint="eastAsia" w:ascii="仿宋" w:hAnsi="仿宋" w:eastAsia="仿宋" w:cs="仿宋"/>
                <w:color w:val="auto"/>
                <w:sz w:val="24"/>
                <w:szCs w:val="24"/>
                <w:highlight w:val="none"/>
              </w:rPr>
            </w:pPr>
          </w:p>
        </w:tc>
        <w:tc>
          <w:tcPr>
            <w:tcW w:w="1620" w:type="dxa"/>
            <w:noWrap w:val="0"/>
            <w:vAlign w:val="top"/>
          </w:tcPr>
          <w:p>
            <w:pPr>
              <w:spacing w:line="360" w:lineRule="auto"/>
              <w:rPr>
                <w:rFonts w:hint="eastAsia" w:ascii="仿宋" w:hAnsi="仿宋" w:eastAsia="仿宋" w:cs="仿宋"/>
                <w:color w:val="auto"/>
                <w:sz w:val="24"/>
                <w:szCs w:val="24"/>
                <w:highlight w:val="none"/>
              </w:rPr>
            </w:pPr>
          </w:p>
        </w:tc>
        <w:tc>
          <w:tcPr>
            <w:tcW w:w="252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470" w:type="dxa"/>
            <w:noWrap w:val="0"/>
            <w:vAlign w:val="top"/>
          </w:tcPr>
          <w:p>
            <w:pPr>
              <w:spacing w:line="360" w:lineRule="auto"/>
              <w:rPr>
                <w:rFonts w:hint="eastAsia" w:ascii="仿宋" w:hAnsi="仿宋" w:eastAsia="仿宋" w:cs="仿宋"/>
                <w:color w:val="auto"/>
                <w:sz w:val="24"/>
                <w:szCs w:val="24"/>
                <w:highlight w:val="none"/>
              </w:rPr>
            </w:pPr>
          </w:p>
        </w:tc>
        <w:tc>
          <w:tcPr>
            <w:tcW w:w="1365" w:type="dxa"/>
            <w:noWrap w:val="0"/>
            <w:vAlign w:val="top"/>
          </w:tcPr>
          <w:p>
            <w:pPr>
              <w:spacing w:line="360" w:lineRule="auto"/>
              <w:rPr>
                <w:rFonts w:hint="eastAsia" w:ascii="仿宋" w:hAnsi="仿宋" w:eastAsia="仿宋" w:cs="仿宋"/>
                <w:color w:val="auto"/>
                <w:sz w:val="24"/>
                <w:szCs w:val="24"/>
                <w:highlight w:val="none"/>
              </w:rPr>
            </w:pPr>
          </w:p>
        </w:tc>
      </w:tr>
    </w:tbl>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1.相关业绩需提供合同复印件</w:t>
      </w:r>
      <w:r>
        <w:rPr>
          <w:rFonts w:hint="eastAsia" w:ascii="仿宋" w:hAnsi="仿宋" w:eastAsia="仿宋" w:cs="仿宋"/>
          <w:color w:val="auto"/>
          <w:sz w:val="24"/>
          <w:szCs w:val="24"/>
          <w:highlight w:val="none"/>
          <w:lang w:val="en-US" w:eastAsia="zh-CN"/>
        </w:rPr>
        <w:t>加盖单位公章</w:t>
      </w:r>
      <w:r>
        <w:rPr>
          <w:rFonts w:hint="eastAsia" w:ascii="仿宋" w:hAnsi="仿宋" w:eastAsia="仿宋" w:cs="仿宋"/>
          <w:color w:val="auto"/>
          <w:sz w:val="24"/>
          <w:szCs w:val="24"/>
          <w:highlight w:val="none"/>
          <w:lang w:val="zh-CN"/>
        </w:rPr>
        <w:t>。</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2.投标人应如实列出以上情况，如有隐瞒，一经查实将导致其投标文件被拒绝。</w:t>
      </w:r>
    </w:p>
    <w:p>
      <w:pPr>
        <w:autoSpaceDE w:val="0"/>
        <w:autoSpaceDN w:val="0"/>
        <w:adjustRightIn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3.未按上述要求提供、填写的，评审时不予以考虑。</w:t>
      </w:r>
    </w:p>
    <w:p>
      <w:pPr>
        <w:spacing w:line="360" w:lineRule="auto"/>
        <w:ind w:right="-197" w:rightChars="-94" w:firstLine="480" w:firstLineChars="200"/>
        <w:jc w:val="left"/>
        <w:rPr>
          <w:rFonts w:hint="eastAsia" w:ascii="仿宋" w:hAnsi="仿宋" w:eastAsia="仿宋" w:cs="仿宋"/>
          <w:color w:val="auto"/>
          <w:sz w:val="24"/>
          <w:szCs w:val="24"/>
          <w:highlight w:val="none"/>
        </w:rPr>
      </w:pPr>
    </w:p>
    <w:p>
      <w:pPr>
        <w:spacing w:line="360" w:lineRule="auto"/>
        <w:ind w:right="-197" w:rightChars="-94" w:firstLine="480" w:firstLineChars="200"/>
        <w:jc w:val="left"/>
        <w:rPr>
          <w:rFonts w:hint="eastAsia" w:ascii="仿宋" w:hAnsi="仿宋" w:eastAsia="仿宋" w:cs="仿宋"/>
          <w:color w:val="auto"/>
          <w:sz w:val="24"/>
          <w:szCs w:val="24"/>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autoSpaceDE w:val="0"/>
        <w:autoSpaceDN w:val="0"/>
        <w:adjustRightInd w:val="0"/>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494" w:name="_Toc4012"/>
      <w:bookmarkStart w:id="495" w:name="_Toc3523"/>
      <w:bookmarkStart w:id="496" w:name="_Toc28776"/>
      <w:bookmarkStart w:id="497" w:name="_Toc18036"/>
      <w:bookmarkStart w:id="498" w:name="_Toc11796"/>
      <w:bookmarkStart w:id="499" w:name="_Toc17302"/>
      <w:bookmarkStart w:id="500" w:name="_Toc23592"/>
      <w:bookmarkStart w:id="501" w:name="_Toc19495"/>
      <w:bookmarkStart w:id="502" w:name="_Toc32284"/>
      <w:bookmarkStart w:id="503" w:name="_Toc31387"/>
      <w:bookmarkStart w:id="504" w:name="_Toc8517"/>
      <w:bookmarkStart w:id="505" w:name="_Toc16096"/>
      <w:bookmarkStart w:id="506" w:name="_Toc24201"/>
      <w:bookmarkStart w:id="507" w:name="_Toc16864"/>
      <w:bookmarkStart w:id="508" w:name="_Toc14104"/>
      <w:bookmarkStart w:id="509" w:name="_Toc32626"/>
    </w:p>
    <w:bookmarkEnd w:id="494"/>
    <w:bookmarkEnd w:id="495"/>
    <w:bookmarkEnd w:id="496"/>
    <w:bookmarkEnd w:id="497"/>
    <w:bookmarkEnd w:id="498"/>
    <w:bookmarkEnd w:id="499"/>
    <w:bookmarkEnd w:id="500"/>
    <w:bookmarkEnd w:id="501"/>
    <w:p>
      <w:pPr>
        <w:pStyle w:val="4"/>
        <w:keepNext w:val="0"/>
        <w:keepLines w:val="0"/>
        <w:pageBreakBefore/>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auto"/>
          <w:szCs w:val="44"/>
          <w:highlight w:val="none"/>
        </w:rPr>
      </w:pPr>
      <w:bookmarkStart w:id="510" w:name="_Toc16454"/>
      <w:bookmarkStart w:id="511" w:name="_Toc29890"/>
      <w:r>
        <w:rPr>
          <w:rFonts w:hint="eastAsia" w:ascii="仿宋" w:hAnsi="仿宋" w:eastAsia="仿宋" w:cs="仿宋"/>
          <w:color w:val="auto"/>
          <w:sz w:val="36"/>
          <w:highlight w:val="none"/>
          <w:lang w:val="en-US" w:eastAsia="zh-CN"/>
        </w:rPr>
        <w:t>十</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投标人</w:t>
      </w:r>
      <w:r>
        <w:rPr>
          <w:rFonts w:hint="eastAsia" w:ascii="仿宋" w:hAnsi="仿宋" w:eastAsia="仿宋" w:cs="仿宋"/>
          <w:color w:val="auto"/>
          <w:sz w:val="32"/>
          <w:szCs w:val="32"/>
          <w:highlight w:val="none"/>
        </w:rPr>
        <w:t>企业关系关联承诺书</w:t>
      </w:r>
      <w:bookmarkEnd w:id="502"/>
      <w:bookmarkEnd w:id="503"/>
      <w:bookmarkEnd w:id="504"/>
      <w:bookmarkEnd w:id="505"/>
      <w:bookmarkEnd w:id="506"/>
      <w:bookmarkEnd w:id="507"/>
      <w:bookmarkEnd w:id="508"/>
      <w:bookmarkEnd w:id="509"/>
      <w:bookmarkEnd w:id="510"/>
      <w:bookmarkEnd w:id="511"/>
    </w:p>
    <w:p>
      <w:pPr>
        <w:spacing w:line="360" w:lineRule="auto"/>
        <w:rPr>
          <w:rFonts w:hint="eastAsia" w:ascii="仿宋" w:hAnsi="仿宋" w:eastAsia="仿宋" w:cs="仿宋"/>
          <w:color w:val="auto"/>
          <w:spacing w:val="4"/>
          <w:sz w:val="24"/>
          <w:szCs w:val="24"/>
          <w:highlight w:val="none"/>
        </w:rPr>
      </w:pPr>
    </w:p>
    <w:p>
      <w:pPr>
        <w:spacing w:line="360" w:lineRule="auto"/>
        <w:rPr>
          <w:rFonts w:hint="eastAsia"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rPr>
        <w:t>致：</w:t>
      </w:r>
      <w:r>
        <w:rPr>
          <w:rFonts w:hint="eastAsia" w:ascii="仿宋" w:hAnsi="仿宋" w:eastAsia="仿宋" w:cs="仿宋"/>
          <w:color w:val="auto"/>
          <w:spacing w:val="4"/>
          <w:sz w:val="24"/>
          <w:szCs w:val="24"/>
          <w:highlight w:val="none"/>
          <w:u w:val="single"/>
        </w:rPr>
        <w:t xml:space="preserve">     （采购人名称）   </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我方作为</w:t>
      </w:r>
      <w:r>
        <w:rPr>
          <w:rFonts w:hint="eastAsia" w:ascii="仿宋" w:hAnsi="仿宋" w:eastAsia="仿宋" w:cs="仿宋"/>
          <w:color w:val="auto"/>
          <w:kern w:val="0"/>
          <w:sz w:val="24"/>
          <w:szCs w:val="24"/>
          <w:highlight w:val="none"/>
          <w:u w:val="single"/>
        </w:rPr>
        <w:t xml:space="preserve">    （项目名称）</w:t>
      </w:r>
      <w:r>
        <w:rPr>
          <w:rFonts w:hint="eastAsia" w:ascii="仿宋" w:hAnsi="仿宋" w:eastAsia="仿宋" w:cs="仿宋"/>
          <w:snapToGrid w:val="0"/>
          <w:color w:val="auto"/>
          <w:sz w:val="24"/>
          <w:szCs w:val="24"/>
          <w:highlight w:val="none"/>
          <w:u w:val="single"/>
          <w:lang w:val="en-US" w:eastAsia="zh-CN"/>
        </w:rPr>
        <w:t>（包号）</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（项目编号：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none"/>
          <w:lang w:val="en-US" w:eastAsia="zh-CN" w:bidi="ar"/>
        </w:rPr>
        <w:t>第</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包</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，在此郑重声明：</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在本项目中，不存在与其它</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负责人为同一人，有控股、管理等关联关系承诺。</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2、我方未为本项目提供整体设计、规范编制或者项目管理、监理、检测等服务。</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特此声明。</w:t>
      </w:r>
    </w:p>
    <w:p>
      <w:pPr>
        <w:autoSpaceDE w:val="0"/>
        <w:autoSpaceDN w:val="0"/>
        <w:adjustRightInd w:val="0"/>
        <w:spacing w:line="360" w:lineRule="auto"/>
        <w:ind w:firstLine="480" w:firstLineChars="200"/>
        <w:rPr>
          <w:rFonts w:hint="eastAsia" w:ascii="仿宋" w:hAnsi="仿宋" w:eastAsia="仿宋" w:cs="仿宋"/>
          <w:color w:val="auto"/>
          <w:sz w:val="24"/>
          <w:szCs w:val="24"/>
          <w:highlight w:val="none"/>
        </w:rPr>
      </w:pPr>
    </w:p>
    <w:p>
      <w:pPr>
        <w:pStyle w:val="21"/>
        <w:ind w:firstLine="240"/>
        <w:rPr>
          <w:rFonts w:hint="eastAsia" w:ascii="仿宋" w:hAnsi="仿宋" w:eastAsia="仿宋" w:cs="仿宋"/>
          <w:color w:val="auto"/>
          <w:sz w:val="24"/>
          <w:highlight w:val="none"/>
        </w:rPr>
      </w:pPr>
    </w:p>
    <w:p>
      <w:pPr>
        <w:autoSpaceDE w:val="0"/>
        <w:autoSpaceDN w:val="0"/>
        <w:adjustRightInd w:val="0"/>
        <w:spacing w:line="360" w:lineRule="auto"/>
        <w:jc w:val="center"/>
        <w:rPr>
          <w:rFonts w:hint="eastAsia" w:ascii="仿宋" w:hAnsi="仿宋" w:eastAsia="仿宋" w:cs="仿宋"/>
          <w:b/>
          <w:color w:val="auto"/>
          <w:sz w:val="24"/>
          <w:szCs w:val="24"/>
          <w:highlight w:val="none"/>
        </w:rPr>
      </w:pPr>
    </w:p>
    <w:p>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pPr>
        <w:spacing w:line="360" w:lineRule="auto"/>
        <w:ind w:firstLine="4080" w:firstLineChars="1700"/>
        <w:rPr>
          <w:rFonts w:hint="eastAsia" w:ascii="仿宋" w:hAnsi="仿宋" w:eastAsia="仿宋" w:cs="仿宋"/>
          <w:color w:val="auto"/>
          <w:sz w:val="32"/>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pageBreakBefore/>
        <w:spacing w:line="360" w:lineRule="auto"/>
        <w:jc w:val="center"/>
        <w:outlineLvl w:val="1"/>
        <w:rPr>
          <w:rFonts w:hint="eastAsia" w:ascii="仿宋" w:hAnsi="仿宋" w:eastAsia="仿宋" w:cs="仿宋"/>
          <w:b/>
          <w:color w:val="auto"/>
          <w:kern w:val="0"/>
          <w:sz w:val="32"/>
          <w:szCs w:val="24"/>
          <w:highlight w:val="none"/>
          <w:lang w:val="zh-CN"/>
        </w:rPr>
      </w:pPr>
      <w:bookmarkStart w:id="512" w:name="_Toc2945"/>
      <w:bookmarkStart w:id="513" w:name="_Toc2681"/>
      <w:bookmarkStart w:id="514" w:name="_Toc19643"/>
      <w:bookmarkStart w:id="515" w:name="_Toc31951"/>
      <w:bookmarkStart w:id="516" w:name="_Toc2180"/>
      <w:bookmarkStart w:id="517" w:name="_Toc12844"/>
      <w:bookmarkStart w:id="518" w:name="_Toc31226"/>
      <w:bookmarkStart w:id="519" w:name="_Toc5082"/>
      <w:bookmarkStart w:id="520" w:name="_Toc19579"/>
      <w:bookmarkStart w:id="521" w:name="_Toc26328"/>
      <w:bookmarkStart w:id="522" w:name="_Toc28697"/>
      <w:bookmarkStart w:id="523" w:name="_Toc7489"/>
      <w:bookmarkStart w:id="524" w:name="_Toc14521"/>
      <w:r>
        <w:rPr>
          <w:rFonts w:hint="eastAsia" w:ascii="仿宋" w:hAnsi="仿宋" w:eastAsia="仿宋" w:cs="仿宋"/>
          <w:b/>
          <w:color w:val="auto"/>
          <w:kern w:val="0"/>
          <w:sz w:val="32"/>
          <w:szCs w:val="24"/>
          <w:highlight w:val="none"/>
          <w:lang w:val="zh-CN"/>
        </w:rPr>
        <w:t>十</w:t>
      </w:r>
      <w:r>
        <w:rPr>
          <w:rFonts w:hint="eastAsia" w:ascii="仿宋" w:hAnsi="仿宋" w:eastAsia="仿宋" w:cs="仿宋"/>
          <w:b/>
          <w:color w:val="auto"/>
          <w:kern w:val="0"/>
          <w:sz w:val="32"/>
          <w:szCs w:val="24"/>
          <w:highlight w:val="none"/>
          <w:lang w:val="en-US" w:eastAsia="zh-CN"/>
        </w:rPr>
        <w:t>一</w:t>
      </w:r>
      <w:r>
        <w:rPr>
          <w:rFonts w:hint="eastAsia" w:ascii="仿宋" w:hAnsi="仿宋" w:eastAsia="仿宋" w:cs="仿宋"/>
          <w:b/>
          <w:color w:val="auto"/>
          <w:kern w:val="0"/>
          <w:sz w:val="32"/>
          <w:szCs w:val="24"/>
          <w:highlight w:val="none"/>
          <w:lang w:val="zh-CN"/>
        </w:rPr>
        <w:t>、投标人廉洁自律承诺书</w:t>
      </w:r>
      <w:bookmarkEnd w:id="512"/>
      <w:bookmarkEnd w:id="513"/>
      <w:bookmarkEnd w:id="514"/>
      <w:bookmarkEnd w:id="515"/>
      <w:bookmarkEnd w:id="516"/>
      <w:bookmarkEnd w:id="517"/>
      <w:bookmarkEnd w:id="518"/>
      <w:bookmarkEnd w:id="519"/>
      <w:bookmarkEnd w:id="520"/>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为了积极配合</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u w:val="single"/>
          <w:lang w:val="en-US" w:eastAsia="zh-CN"/>
        </w:rPr>
        <w:t xml:space="preserve"> </w:t>
      </w:r>
      <w:r>
        <w:rPr>
          <w:rFonts w:hint="eastAsia" w:ascii="仿宋" w:hAnsi="仿宋" w:eastAsia="仿宋" w:cs="仿宋"/>
          <w:spacing w:val="4"/>
          <w:sz w:val="24"/>
          <w:szCs w:val="24"/>
          <w:highlight w:val="none"/>
          <w:u w:val="single"/>
        </w:rPr>
        <w:t>（采购人名称）</w:t>
      </w:r>
      <w:r>
        <w:rPr>
          <w:rFonts w:hint="eastAsia" w:ascii="仿宋" w:hAnsi="仿宋" w:eastAsia="仿宋" w:cs="仿宋"/>
          <w:snapToGrid w:val="0"/>
          <w:color w:val="auto"/>
          <w:sz w:val="24"/>
          <w:szCs w:val="24"/>
          <w:highlight w:val="none"/>
          <w:u w:val="single"/>
          <w:lang w:val="en-US" w:eastAsia="zh-CN"/>
        </w:rPr>
        <w:t xml:space="preserve">   </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进行的</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u w:val="single"/>
          <w:lang w:eastAsia="zh-CN"/>
        </w:rPr>
        <w:t>（</w:t>
      </w:r>
      <w:r>
        <w:rPr>
          <w:rFonts w:hint="eastAsia" w:ascii="仿宋" w:hAnsi="仿宋" w:eastAsia="仿宋" w:cs="仿宋"/>
          <w:snapToGrid w:val="0"/>
          <w:color w:val="auto"/>
          <w:sz w:val="24"/>
          <w:szCs w:val="24"/>
          <w:highlight w:val="none"/>
          <w:u w:val="single"/>
          <w:lang w:val="en-US" w:eastAsia="zh-CN"/>
        </w:rPr>
        <w:t>项目名称）</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color w:val="auto"/>
          <w:kern w:val="0"/>
          <w:sz w:val="24"/>
          <w:szCs w:val="24"/>
          <w:highlight w:val="none"/>
          <w:u w:val="none"/>
          <w:lang w:val="en-US" w:eastAsia="zh-CN" w:bidi="ar"/>
        </w:rPr>
        <w:t>第</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包</w:t>
      </w:r>
      <w:r>
        <w:rPr>
          <w:rFonts w:hint="eastAsia" w:ascii="仿宋" w:hAnsi="仿宋" w:eastAsia="仿宋" w:cs="仿宋"/>
          <w:snapToGrid w:val="0"/>
          <w:color w:val="auto"/>
          <w:sz w:val="24"/>
          <w:szCs w:val="24"/>
          <w:highlight w:val="none"/>
        </w:rPr>
        <w:t>招标</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"http://www.yjbys.com/" </w:instrText>
      </w:r>
      <w:r>
        <w:rPr>
          <w:rFonts w:hint="eastAsia" w:ascii="仿宋" w:hAnsi="仿宋" w:eastAsia="仿宋" w:cs="仿宋"/>
          <w:color w:val="auto"/>
          <w:sz w:val="24"/>
          <w:szCs w:val="24"/>
          <w:highlight w:val="none"/>
        </w:rPr>
        <w:fldChar w:fldCharType="separate"/>
      </w:r>
      <w:r>
        <w:rPr>
          <w:rFonts w:hint="eastAsia" w:ascii="仿宋" w:hAnsi="仿宋" w:eastAsia="仿宋" w:cs="仿宋"/>
          <w:snapToGrid w:val="0"/>
          <w:color w:val="auto"/>
          <w:sz w:val="24"/>
          <w:szCs w:val="24"/>
          <w:highlight w:val="none"/>
        </w:rPr>
        <w:t>工作</w:t>
      </w:r>
      <w:r>
        <w:rPr>
          <w:rFonts w:hint="eastAsia" w:ascii="仿宋" w:hAnsi="仿宋" w:eastAsia="仿宋" w:cs="仿宋"/>
          <w:snapToGrid w:val="0"/>
          <w:color w:val="auto"/>
          <w:sz w:val="24"/>
          <w:szCs w:val="24"/>
          <w:highlight w:val="none"/>
        </w:rPr>
        <w:fldChar w:fldCharType="end"/>
      </w:r>
      <w:r>
        <w:rPr>
          <w:rFonts w:hint="eastAsia" w:ascii="仿宋" w:hAnsi="仿宋" w:eastAsia="仿宋" w:cs="仿宋"/>
          <w:snapToGrid w:val="0"/>
          <w:color w:val="auto"/>
          <w:sz w:val="24"/>
          <w:szCs w:val="24"/>
          <w:highlight w:val="none"/>
        </w:rPr>
        <w:t>，有效遏制不公平竞争和违规违纪问题的发生，确保招标工作的公平、公正、公开，我们特向贵司郑重承诺，在政府采购过程中严格遵守下列行为准则：</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1、严格遵守国家有关法律法规及相关政策，以及廉洁从业的各项规定。</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2、不以围标、串标、陪标、挂靠、提供虚假信息、恶意干扰采购人、评标委员会评审等违规手段实现中标目的；</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3、不以任何理由、任何形式向采购人相关工作人员或其亲戚、朋友等利益相关人行贿或馈赠礼金、有价证券、贵重物品。</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4、不以任何名义为采购人相关工作人员或其亲戚、朋友等利益相关人支付、报销应由其个人支付的费用。</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5、不以任何理由安排采购人相关工作人员或其亲戚、朋友等利益相关人参加健身、娱乐和旅游等活动。</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6、不为采购人的业务部门、关联企业或人员，购置或提供通讯工具、交通工具、高档办公用品或装修住房等。</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7、不以贿赂之外的其他方式拉拢采购方相关工作人员，使其违背公平、公开、公正竞争原则，帮助实现中标目的。</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8、如果采购人相关工作人员以帮助实现成交目的为对价向</w:t>
      </w:r>
      <w:r>
        <w:rPr>
          <w:rFonts w:hint="eastAsia" w:ascii="仿宋" w:hAnsi="仿宋" w:eastAsia="仿宋" w:cs="仿宋"/>
          <w:snapToGrid w:val="0"/>
          <w:color w:val="auto"/>
          <w:sz w:val="24"/>
          <w:szCs w:val="24"/>
          <w:highlight w:val="none"/>
          <w:lang w:eastAsia="zh-CN"/>
        </w:rPr>
        <w:t>投标人</w:t>
      </w:r>
      <w:r>
        <w:rPr>
          <w:rFonts w:hint="eastAsia" w:ascii="仿宋" w:hAnsi="仿宋" w:eastAsia="仿宋" w:cs="仿宋"/>
          <w:snapToGrid w:val="0"/>
          <w:color w:val="auto"/>
          <w:sz w:val="24"/>
          <w:szCs w:val="24"/>
          <w:highlight w:val="none"/>
        </w:rPr>
        <w:t>索取贿赂或谋求其他个人利益，</w:t>
      </w:r>
      <w:r>
        <w:rPr>
          <w:rFonts w:hint="eastAsia" w:ascii="仿宋" w:hAnsi="仿宋" w:eastAsia="仿宋" w:cs="仿宋"/>
          <w:snapToGrid w:val="0"/>
          <w:color w:val="auto"/>
          <w:sz w:val="24"/>
          <w:szCs w:val="24"/>
          <w:highlight w:val="none"/>
          <w:lang w:eastAsia="zh-CN"/>
        </w:rPr>
        <w:t>投标人</w:t>
      </w:r>
      <w:r>
        <w:rPr>
          <w:rFonts w:hint="eastAsia" w:ascii="仿宋" w:hAnsi="仿宋" w:eastAsia="仿宋" w:cs="仿宋"/>
          <w:snapToGrid w:val="0"/>
          <w:color w:val="auto"/>
          <w:sz w:val="24"/>
          <w:szCs w:val="24"/>
          <w:highlight w:val="none"/>
        </w:rPr>
        <w:t>应拒绝采购人相关工作人员的要求，并向采购人监督部门举报。</w:t>
      </w:r>
    </w:p>
    <w:p>
      <w:pPr>
        <w:spacing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如果承诺人违背上述承诺并中标，承诺人自愿承担与贵司签订的合同无效、贵司有权拒绝支付合同款、承诺人自身损失自己承担并赔偿贵司因此产生的一切损失的民事法律责任及因此产生的刑事责任。</w:t>
      </w:r>
    </w:p>
    <w:p>
      <w:pPr>
        <w:spacing w:line="360" w:lineRule="auto"/>
        <w:ind w:firstLine="4080" w:firstLineChars="1700"/>
        <w:rPr>
          <w:rFonts w:hint="eastAsia" w:ascii="仿宋" w:hAnsi="仿宋" w:eastAsia="仿宋" w:cs="仿宋"/>
          <w:color w:val="auto"/>
          <w:sz w:val="24"/>
          <w:szCs w:val="24"/>
          <w:highlight w:val="none"/>
          <w:lang w:eastAsia="zh-CN"/>
        </w:rPr>
      </w:pPr>
      <w:bookmarkStart w:id="525" w:name="_Toc1644"/>
      <w:bookmarkStart w:id="526" w:name="_Toc4293"/>
      <w:bookmarkStart w:id="527" w:name="_Toc7233"/>
      <w:bookmarkStart w:id="528" w:name="_Toc25981"/>
    </w:p>
    <w:p>
      <w:pPr>
        <w:spacing w:line="360" w:lineRule="auto"/>
        <w:ind w:left="0" w:leftChars="0" w:firstLine="3158" w:firstLineChars="131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left="0" w:leftChars="0" w:firstLine="3158" w:firstLineChars="1316"/>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w:t>
      </w:r>
      <w:r>
        <w:rPr>
          <w:rFonts w:hint="eastAsia" w:ascii="仿宋" w:hAnsi="仿宋" w:eastAsia="仿宋" w:cs="仿宋"/>
          <w:color w:val="auto"/>
          <w:sz w:val="24"/>
          <w:szCs w:val="24"/>
          <w:highlight w:val="none"/>
          <w:lang w:eastAsia="zh-CN"/>
        </w:rPr>
        <w:t>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pacing w:line="360" w:lineRule="auto"/>
        <w:ind w:left="0" w:leftChars="0" w:firstLine="3158" w:firstLineChars="1316"/>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4"/>
        <w:keepNext w:val="0"/>
        <w:pageBreakBefore/>
        <w:spacing w:line="360" w:lineRule="auto"/>
        <w:rPr>
          <w:rFonts w:hint="eastAsia" w:ascii="仿宋" w:hAnsi="仿宋" w:eastAsia="仿宋" w:cs="仿宋"/>
          <w:color w:val="auto"/>
          <w:szCs w:val="22"/>
          <w:highlight w:val="none"/>
          <w:lang w:val="zh-CN"/>
        </w:rPr>
      </w:pPr>
      <w:bookmarkStart w:id="529" w:name="_Toc13032"/>
      <w:bookmarkStart w:id="530" w:name="_Toc12359"/>
      <w:bookmarkStart w:id="531" w:name="_Toc25138"/>
      <w:r>
        <w:rPr>
          <w:rFonts w:hint="eastAsia" w:ascii="仿宋" w:hAnsi="仿宋" w:eastAsia="仿宋" w:cs="仿宋"/>
          <w:color w:val="auto"/>
          <w:sz w:val="32"/>
          <w:szCs w:val="21"/>
          <w:highlight w:val="none"/>
        </w:rPr>
        <w:t>十</w:t>
      </w:r>
      <w:r>
        <w:rPr>
          <w:rFonts w:hint="eastAsia" w:ascii="仿宋" w:hAnsi="仿宋" w:eastAsia="仿宋" w:cs="仿宋"/>
          <w:color w:val="auto"/>
          <w:sz w:val="32"/>
          <w:szCs w:val="21"/>
          <w:highlight w:val="none"/>
          <w:lang w:val="en-US" w:eastAsia="zh-CN"/>
        </w:rPr>
        <w:t>二</w:t>
      </w:r>
      <w:r>
        <w:rPr>
          <w:rFonts w:hint="eastAsia" w:ascii="仿宋" w:hAnsi="仿宋" w:eastAsia="仿宋" w:cs="仿宋"/>
          <w:color w:val="auto"/>
          <w:sz w:val="32"/>
          <w:szCs w:val="24"/>
          <w:highlight w:val="none"/>
          <w:lang w:val="zh-CN"/>
        </w:rPr>
        <w:t>、投标人认为有必要补充说明的事项</w:t>
      </w:r>
      <w:bookmarkEnd w:id="521"/>
      <w:bookmarkEnd w:id="522"/>
      <w:bookmarkEnd w:id="523"/>
      <w:bookmarkEnd w:id="524"/>
      <w:bookmarkEnd w:id="525"/>
      <w:bookmarkEnd w:id="526"/>
      <w:bookmarkEnd w:id="527"/>
      <w:bookmarkEnd w:id="528"/>
      <w:bookmarkEnd w:id="529"/>
      <w:bookmarkEnd w:id="530"/>
      <w:bookmarkEnd w:id="531"/>
    </w:p>
    <w:p>
      <w:pPr>
        <w:rPr>
          <w:rFonts w:hint="eastAsia" w:ascii="仿宋" w:hAnsi="仿宋" w:eastAsia="仿宋" w:cs="仿宋"/>
          <w:color w:val="auto"/>
          <w:highlight w:val="none"/>
          <w:lang w:val="zh-CN"/>
        </w:rPr>
      </w:pPr>
    </w:p>
    <w:p>
      <w:pPr>
        <w:rPr>
          <w:rFonts w:hint="eastAsia" w:ascii="仿宋" w:hAnsi="仿宋" w:eastAsia="仿宋" w:cs="仿宋"/>
          <w:color w:val="auto"/>
          <w:highlight w:val="none"/>
          <w:lang w:val="zh-CN"/>
        </w:rPr>
      </w:pPr>
    </w:p>
    <w:sectPr>
      <w:footerReference r:id="rId9" w:type="default"/>
      <w:pgSz w:w="11906" w:h="16838"/>
      <w:pgMar w:top="1417" w:right="1701" w:bottom="1417" w:left="170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auto"/>
    <w:pitch w:val="default"/>
    <w:sig w:usb0="E1002EFF" w:usb1="C000605B" w:usb2="00000029" w:usb3="00000000" w:csb0="200101FF" w:csb1="20280000"/>
  </w:font>
  <w:font w:name="宋体, SimSun">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70</w:t>
                          </w:r>
                          <w:r>
                            <w:t xml:space="preserve"> 页</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70</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98</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4"/>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98</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142</w:t>
                    </w:r>
                    <w:r>
                      <w:rPr>
                        <w:rFonts w:hint="eastAsia"/>
                      </w:rP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hint="eastAsia"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144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right"/>
      <w:rPr>
        <w:rFonts w:ascii="仿宋" w:hAnsi="仿宋" w:eastAsia="仿宋" w:cs="仿宋"/>
        <w:b/>
        <w:bCs/>
      </w:rPr>
    </w:pPr>
    <w:r>
      <w:rPr>
        <w:rFonts w:hint="eastAsia" w:ascii="仿宋" w:hAnsi="仿宋" w:eastAsia="仿宋" w:cs="仿宋"/>
        <w:b/>
        <w:bCs/>
        <w:lang w:eastAsia="zh-CN"/>
      </w:rPr>
      <w:t>镇巴县人民医院PACS及肺小结节智能诊断系统采购项目招标文件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hint="eastAsia"/>
        <w:sz w:val="15"/>
        <w:szCs w:val="15"/>
        <w:lang w:val="en-US" w:eastAsia="zh-CN"/>
      </w:rPr>
    </w:pPr>
    <w:r>
      <w:rPr>
        <w:rFonts w:hint="eastAsia" w:ascii="仿宋" w:hAnsi="仿宋" w:eastAsia="仿宋" w:cs="仿宋"/>
        <w:b/>
        <w:bCs/>
        <w:color w:val="auto"/>
        <w:sz w:val="18"/>
        <w:szCs w:val="18"/>
        <w:lang w:val="en-US" w:eastAsia="zh-CN"/>
      </w:rPr>
      <w:t>镇巴县人民医院PACS及肺小结节智能诊断系统采购项目招标文件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29C5"/>
    <w:multiLevelType w:val="singleLevel"/>
    <w:tmpl w:val="94E229C5"/>
    <w:lvl w:ilvl="0" w:tentative="0">
      <w:start w:val="1"/>
      <w:numFmt w:val="chineseCounting"/>
      <w:suff w:val="nothing"/>
      <w:lvlText w:val="%1、"/>
      <w:lvlJc w:val="left"/>
      <w:rPr>
        <w:rFonts w:hint="eastAsia"/>
      </w:rPr>
    </w:lvl>
  </w:abstractNum>
  <w:abstractNum w:abstractNumId="1">
    <w:nsid w:val="BA8B1867"/>
    <w:multiLevelType w:val="singleLevel"/>
    <w:tmpl w:val="BA8B1867"/>
    <w:lvl w:ilvl="0" w:tentative="0">
      <w:start w:val="1"/>
      <w:numFmt w:val="decimal"/>
      <w:lvlText w:val="%1."/>
      <w:lvlJc w:val="left"/>
      <w:pPr>
        <w:tabs>
          <w:tab w:val="left" w:pos="312"/>
        </w:tabs>
      </w:pPr>
    </w:lvl>
  </w:abstractNum>
  <w:abstractNum w:abstractNumId="2">
    <w:nsid w:val="43B940C3"/>
    <w:multiLevelType w:val="multilevel"/>
    <w:tmpl w:val="43B940C3"/>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46273165"/>
    <w:multiLevelType w:val="singleLevel"/>
    <w:tmpl w:val="46273165"/>
    <w:lvl w:ilvl="0" w:tentative="0">
      <w:start w:val="1"/>
      <w:numFmt w:val="decimal"/>
      <w:suff w:val="nothing"/>
      <w:lvlText w:val="%1、"/>
      <w:lvlJc w:val="left"/>
    </w:lvl>
  </w:abstractNum>
  <w:abstractNum w:abstractNumId="4">
    <w:nsid w:val="77311624"/>
    <w:multiLevelType w:val="singleLevel"/>
    <w:tmpl w:val="77311624"/>
    <w:lvl w:ilvl="0" w:tentative="0">
      <w:start w:val="4"/>
      <w:numFmt w:val="chineseCounting"/>
      <w:suff w:val="space"/>
      <w:lvlText w:val="第%1部分"/>
      <w:lvlJc w:val="left"/>
      <w:rPr>
        <w:rFonts w:hint="eastAsia"/>
      </w:rPr>
    </w:lvl>
  </w:abstractNum>
  <w:abstractNum w:abstractNumId="5">
    <w:nsid w:val="7F8F566F"/>
    <w:multiLevelType w:val="multilevel"/>
    <w:tmpl w:val="7F8F566F"/>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YTIwNTRjYmJiMzcwOTU5NWY2NGMwNWE2NWZkZGMifQ=="/>
  </w:docVars>
  <w:rsids>
    <w:rsidRoot w:val="618052A3"/>
    <w:rsid w:val="01072ECF"/>
    <w:rsid w:val="01BF4CFA"/>
    <w:rsid w:val="02AC2878"/>
    <w:rsid w:val="033663E9"/>
    <w:rsid w:val="051F4BEE"/>
    <w:rsid w:val="054C4B68"/>
    <w:rsid w:val="0560491E"/>
    <w:rsid w:val="05CB26F0"/>
    <w:rsid w:val="063B0A55"/>
    <w:rsid w:val="064E2CB2"/>
    <w:rsid w:val="06AC1954"/>
    <w:rsid w:val="06DB123D"/>
    <w:rsid w:val="06E762C1"/>
    <w:rsid w:val="07030667"/>
    <w:rsid w:val="072064EB"/>
    <w:rsid w:val="07402317"/>
    <w:rsid w:val="083113C7"/>
    <w:rsid w:val="084163BB"/>
    <w:rsid w:val="08DA1CCC"/>
    <w:rsid w:val="092F2224"/>
    <w:rsid w:val="09461CD6"/>
    <w:rsid w:val="094E1B96"/>
    <w:rsid w:val="095D31BB"/>
    <w:rsid w:val="0A195CCB"/>
    <w:rsid w:val="0ABD0267"/>
    <w:rsid w:val="0AC83A82"/>
    <w:rsid w:val="0B0C46B6"/>
    <w:rsid w:val="0BC342A5"/>
    <w:rsid w:val="0C39505A"/>
    <w:rsid w:val="0D0A4BF1"/>
    <w:rsid w:val="0E0D3F34"/>
    <w:rsid w:val="0E1550A0"/>
    <w:rsid w:val="0E802CFD"/>
    <w:rsid w:val="0F987A35"/>
    <w:rsid w:val="0FEE4F26"/>
    <w:rsid w:val="103435D2"/>
    <w:rsid w:val="108A40C0"/>
    <w:rsid w:val="10953ECE"/>
    <w:rsid w:val="1178071A"/>
    <w:rsid w:val="11FA38F3"/>
    <w:rsid w:val="11FC3A4B"/>
    <w:rsid w:val="12365DE5"/>
    <w:rsid w:val="12927AEC"/>
    <w:rsid w:val="13FE1DA7"/>
    <w:rsid w:val="142B7B4A"/>
    <w:rsid w:val="143F67C8"/>
    <w:rsid w:val="14537958"/>
    <w:rsid w:val="14751E40"/>
    <w:rsid w:val="152C2ACA"/>
    <w:rsid w:val="153E1FEF"/>
    <w:rsid w:val="15DE2AC3"/>
    <w:rsid w:val="15E74E5F"/>
    <w:rsid w:val="16802AF3"/>
    <w:rsid w:val="16FE6533"/>
    <w:rsid w:val="17030848"/>
    <w:rsid w:val="170E6DF4"/>
    <w:rsid w:val="17276132"/>
    <w:rsid w:val="185D5709"/>
    <w:rsid w:val="186E28F7"/>
    <w:rsid w:val="18B90CA4"/>
    <w:rsid w:val="18EB42EB"/>
    <w:rsid w:val="19297178"/>
    <w:rsid w:val="194C152D"/>
    <w:rsid w:val="19740018"/>
    <w:rsid w:val="1983340D"/>
    <w:rsid w:val="1A0E3F19"/>
    <w:rsid w:val="1A121B15"/>
    <w:rsid w:val="1AF228FD"/>
    <w:rsid w:val="1B377F57"/>
    <w:rsid w:val="1B430CEF"/>
    <w:rsid w:val="1B8E5725"/>
    <w:rsid w:val="1C044E7D"/>
    <w:rsid w:val="1C1439B9"/>
    <w:rsid w:val="1C715771"/>
    <w:rsid w:val="1C760B0D"/>
    <w:rsid w:val="1D5B1219"/>
    <w:rsid w:val="1D631BA7"/>
    <w:rsid w:val="1D9B202C"/>
    <w:rsid w:val="1DD871C9"/>
    <w:rsid w:val="1E017374"/>
    <w:rsid w:val="1E4946EC"/>
    <w:rsid w:val="1EA64545"/>
    <w:rsid w:val="1FB42CDC"/>
    <w:rsid w:val="2030768E"/>
    <w:rsid w:val="20561977"/>
    <w:rsid w:val="2070384A"/>
    <w:rsid w:val="20804AA9"/>
    <w:rsid w:val="209C09BE"/>
    <w:rsid w:val="20EF433C"/>
    <w:rsid w:val="212E2BED"/>
    <w:rsid w:val="21B30412"/>
    <w:rsid w:val="22364F87"/>
    <w:rsid w:val="2267000F"/>
    <w:rsid w:val="22710E72"/>
    <w:rsid w:val="227B168C"/>
    <w:rsid w:val="23725C3B"/>
    <w:rsid w:val="23BD535D"/>
    <w:rsid w:val="243D57B7"/>
    <w:rsid w:val="24A51F64"/>
    <w:rsid w:val="24B347CF"/>
    <w:rsid w:val="25666B23"/>
    <w:rsid w:val="2578616C"/>
    <w:rsid w:val="25BE0250"/>
    <w:rsid w:val="25E95AE4"/>
    <w:rsid w:val="26640BBA"/>
    <w:rsid w:val="26B20955"/>
    <w:rsid w:val="276E06FD"/>
    <w:rsid w:val="27DA227F"/>
    <w:rsid w:val="28EF40E2"/>
    <w:rsid w:val="29103985"/>
    <w:rsid w:val="29313E7E"/>
    <w:rsid w:val="297A7FEE"/>
    <w:rsid w:val="29C24F53"/>
    <w:rsid w:val="2A220659"/>
    <w:rsid w:val="2BD221E1"/>
    <w:rsid w:val="2C140E32"/>
    <w:rsid w:val="2E027D31"/>
    <w:rsid w:val="2EB81439"/>
    <w:rsid w:val="2EEC419D"/>
    <w:rsid w:val="2F1A6C71"/>
    <w:rsid w:val="2F23488F"/>
    <w:rsid w:val="2F7964B4"/>
    <w:rsid w:val="2F9F0138"/>
    <w:rsid w:val="2FB93357"/>
    <w:rsid w:val="2FDB651F"/>
    <w:rsid w:val="30166359"/>
    <w:rsid w:val="30395CD2"/>
    <w:rsid w:val="30431C6F"/>
    <w:rsid w:val="30524A68"/>
    <w:rsid w:val="30AD27CA"/>
    <w:rsid w:val="31681718"/>
    <w:rsid w:val="31B06E61"/>
    <w:rsid w:val="31D04A2D"/>
    <w:rsid w:val="32965068"/>
    <w:rsid w:val="32A20235"/>
    <w:rsid w:val="32AC6125"/>
    <w:rsid w:val="32C93046"/>
    <w:rsid w:val="32E41054"/>
    <w:rsid w:val="33446DD8"/>
    <w:rsid w:val="33741B4D"/>
    <w:rsid w:val="339A2533"/>
    <w:rsid w:val="33AB4423"/>
    <w:rsid w:val="33AB6754"/>
    <w:rsid w:val="34157AB2"/>
    <w:rsid w:val="345F6CD7"/>
    <w:rsid w:val="34EC175F"/>
    <w:rsid w:val="350136B0"/>
    <w:rsid w:val="35014303"/>
    <w:rsid w:val="35AD6FFF"/>
    <w:rsid w:val="35BD41C8"/>
    <w:rsid w:val="35F17FFE"/>
    <w:rsid w:val="35FA112A"/>
    <w:rsid w:val="360953A3"/>
    <w:rsid w:val="365F178C"/>
    <w:rsid w:val="367403BC"/>
    <w:rsid w:val="371D7D99"/>
    <w:rsid w:val="37FC7836"/>
    <w:rsid w:val="3806579E"/>
    <w:rsid w:val="39377B01"/>
    <w:rsid w:val="395F3A3A"/>
    <w:rsid w:val="39A139DA"/>
    <w:rsid w:val="39F8254C"/>
    <w:rsid w:val="3B4073A0"/>
    <w:rsid w:val="3CF25686"/>
    <w:rsid w:val="3D3D5BAB"/>
    <w:rsid w:val="3D7F3B9F"/>
    <w:rsid w:val="3E601A5E"/>
    <w:rsid w:val="3E7D13AA"/>
    <w:rsid w:val="3EA65882"/>
    <w:rsid w:val="3F5E2A2C"/>
    <w:rsid w:val="40B569EF"/>
    <w:rsid w:val="40D565A8"/>
    <w:rsid w:val="40E63D94"/>
    <w:rsid w:val="412905E8"/>
    <w:rsid w:val="41EB2146"/>
    <w:rsid w:val="420E7E94"/>
    <w:rsid w:val="4286079A"/>
    <w:rsid w:val="43582ED4"/>
    <w:rsid w:val="436B5CCE"/>
    <w:rsid w:val="436E13CB"/>
    <w:rsid w:val="43D74E11"/>
    <w:rsid w:val="44047913"/>
    <w:rsid w:val="44B96C55"/>
    <w:rsid w:val="456D021B"/>
    <w:rsid w:val="45ED646D"/>
    <w:rsid w:val="46043E2E"/>
    <w:rsid w:val="46A95600"/>
    <w:rsid w:val="47081C4C"/>
    <w:rsid w:val="47E65B1D"/>
    <w:rsid w:val="484A1F91"/>
    <w:rsid w:val="48666E6E"/>
    <w:rsid w:val="486F645E"/>
    <w:rsid w:val="489D68C6"/>
    <w:rsid w:val="48C76ACB"/>
    <w:rsid w:val="48D4271A"/>
    <w:rsid w:val="49440499"/>
    <w:rsid w:val="4944510A"/>
    <w:rsid w:val="49536D89"/>
    <w:rsid w:val="49C76E01"/>
    <w:rsid w:val="4A043B24"/>
    <w:rsid w:val="4A3519DC"/>
    <w:rsid w:val="4A591181"/>
    <w:rsid w:val="4A91038C"/>
    <w:rsid w:val="4B665589"/>
    <w:rsid w:val="4CCF2FD7"/>
    <w:rsid w:val="4D6C6CA3"/>
    <w:rsid w:val="4D743BC1"/>
    <w:rsid w:val="4E064BD2"/>
    <w:rsid w:val="4E91125B"/>
    <w:rsid w:val="4EC60B02"/>
    <w:rsid w:val="4ED714F3"/>
    <w:rsid w:val="4FB85661"/>
    <w:rsid w:val="503F4646"/>
    <w:rsid w:val="507F7AAB"/>
    <w:rsid w:val="50F002FC"/>
    <w:rsid w:val="510E5765"/>
    <w:rsid w:val="51860B4A"/>
    <w:rsid w:val="51BD627C"/>
    <w:rsid w:val="52016BEB"/>
    <w:rsid w:val="52522CA0"/>
    <w:rsid w:val="52656E08"/>
    <w:rsid w:val="526A7F2E"/>
    <w:rsid w:val="52B020C9"/>
    <w:rsid w:val="52C24E98"/>
    <w:rsid w:val="52CD68BD"/>
    <w:rsid w:val="5459227D"/>
    <w:rsid w:val="566B2BB0"/>
    <w:rsid w:val="569641F3"/>
    <w:rsid w:val="5776135F"/>
    <w:rsid w:val="57E92A5F"/>
    <w:rsid w:val="5801517A"/>
    <w:rsid w:val="581035A9"/>
    <w:rsid w:val="58676F42"/>
    <w:rsid w:val="58710332"/>
    <w:rsid w:val="58A75040"/>
    <w:rsid w:val="58B06084"/>
    <w:rsid w:val="59520CDF"/>
    <w:rsid w:val="599E6D32"/>
    <w:rsid w:val="59CD17F4"/>
    <w:rsid w:val="5A0317C0"/>
    <w:rsid w:val="5A89045F"/>
    <w:rsid w:val="5AB36363"/>
    <w:rsid w:val="5ABD64B6"/>
    <w:rsid w:val="5B422FE5"/>
    <w:rsid w:val="5B710B94"/>
    <w:rsid w:val="5B8B6B3E"/>
    <w:rsid w:val="5BDE40AB"/>
    <w:rsid w:val="5C784EFF"/>
    <w:rsid w:val="5CA12F52"/>
    <w:rsid w:val="5CA20A34"/>
    <w:rsid w:val="5CCD06DA"/>
    <w:rsid w:val="5CD56263"/>
    <w:rsid w:val="5CE7781B"/>
    <w:rsid w:val="5D855C78"/>
    <w:rsid w:val="5DDE0FF4"/>
    <w:rsid w:val="5E005E6E"/>
    <w:rsid w:val="5E8D5FD6"/>
    <w:rsid w:val="5EE7689A"/>
    <w:rsid w:val="5F683E68"/>
    <w:rsid w:val="600B4430"/>
    <w:rsid w:val="60563B24"/>
    <w:rsid w:val="60AB52FB"/>
    <w:rsid w:val="612F0AAC"/>
    <w:rsid w:val="618052A3"/>
    <w:rsid w:val="61A05A41"/>
    <w:rsid w:val="62005091"/>
    <w:rsid w:val="62D973EC"/>
    <w:rsid w:val="636542F2"/>
    <w:rsid w:val="636769DF"/>
    <w:rsid w:val="638A29AA"/>
    <w:rsid w:val="644B5969"/>
    <w:rsid w:val="654B1A84"/>
    <w:rsid w:val="6639491E"/>
    <w:rsid w:val="663A635E"/>
    <w:rsid w:val="663B7C52"/>
    <w:rsid w:val="67314798"/>
    <w:rsid w:val="67A95BE8"/>
    <w:rsid w:val="68807FB0"/>
    <w:rsid w:val="68B353BC"/>
    <w:rsid w:val="690E3C70"/>
    <w:rsid w:val="69364C4E"/>
    <w:rsid w:val="6A3C0184"/>
    <w:rsid w:val="6A820CB5"/>
    <w:rsid w:val="6BA83A30"/>
    <w:rsid w:val="6C441E01"/>
    <w:rsid w:val="6CA11C93"/>
    <w:rsid w:val="6D2E3A81"/>
    <w:rsid w:val="6D7C1D5A"/>
    <w:rsid w:val="6E3F249C"/>
    <w:rsid w:val="6E515ED7"/>
    <w:rsid w:val="6E923519"/>
    <w:rsid w:val="6F21311C"/>
    <w:rsid w:val="6F961D52"/>
    <w:rsid w:val="6FA72ED5"/>
    <w:rsid w:val="70332F55"/>
    <w:rsid w:val="705661F5"/>
    <w:rsid w:val="715227D8"/>
    <w:rsid w:val="71D5145B"/>
    <w:rsid w:val="726A143F"/>
    <w:rsid w:val="731D6723"/>
    <w:rsid w:val="74013F78"/>
    <w:rsid w:val="74336640"/>
    <w:rsid w:val="76F70D77"/>
    <w:rsid w:val="77253808"/>
    <w:rsid w:val="77DF601B"/>
    <w:rsid w:val="77E02A90"/>
    <w:rsid w:val="784C1F84"/>
    <w:rsid w:val="79746AE6"/>
    <w:rsid w:val="79F235F5"/>
    <w:rsid w:val="7A172027"/>
    <w:rsid w:val="7A1E4046"/>
    <w:rsid w:val="7A210D18"/>
    <w:rsid w:val="7AF21885"/>
    <w:rsid w:val="7C043FDC"/>
    <w:rsid w:val="7C0959BF"/>
    <w:rsid w:val="7D4E4DE2"/>
    <w:rsid w:val="7D7D49E3"/>
    <w:rsid w:val="7DA470FA"/>
    <w:rsid w:val="7DC64810"/>
    <w:rsid w:val="7DCE01D9"/>
    <w:rsid w:val="7E080F10"/>
    <w:rsid w:val="7E164EE4"/>
    <w:rsid w:val="7E6F2759"/>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4"/>
    <w:qFormat/>
    <w:uiPriority w:val="0"/>
    <w:pPr>
      <w:keepNext/>
      <w:jc w:val="center"/>
      <w:outlineLvl w:val="0"/>
    </w:pPr>
    <w:rPr>
      <w:rFonts w:ascii="黑体" w:hAnsi="黑体"/>
      <w:b/>
      <w:kern w:val="0"/>
      <w:sz w:val="44"/>
    </w:rPr>
  </w:style>
  <w:style w:type="paragraph" w:styleId="4">
    <w:name w:val="heading 2"/>
    <w:basedOn w:val="1"/>
    <w:next w:val="1"/>
    <w:link w:val="35"/>
    <w:qFormat/>
    <w:uiPriority w:val="0"/>
    <w:pPr>
      <w:keepNext/>
      <w:spacing w:line="720" w:lineRule="exact"/>
      <w:jc w:val="center"/>
      <w:outlineLvl w:val="1"/>
    </w:pPr>
    <w:rPr>
      <w:rFonts w:ascii="黑体" w:hAnsi="黑体"/>
      <w:b/>
      <w:kern w:val="0"/>
      <w:sz w:val="44"/>
    </w:rPr>
  </w:style>
  <w:style w:type="paragraph" w:styleId="5">
    <w:name w:val="heading 3"/>
    <w:next w:val="1"/>
    <w:qFormat/>
    <w:uiPriority w:val="9"/>
    <w:pPr>
      <w:keepNext/>
      <w:keepLines/>
      <w:numPr>
        <w:ilvl w:val="2"/>
        <w:numId w:val="1"/>
      </w:numPr>
      <w:spacing w:before="120" w:after="120" w:line="360" w:lineRule="auto"/>
      <w:outlineLvl w:val="2"/>
    </w:pPr>
    <w:rPr>
      <w:rFonts w:asciiTheme="majorEastAsia" w:hAnsiTheme="minorHAnsi" w:eastAsiaTheme="majorEastAsia" w:cstheme="minorBidi"/>
      <w:b/>
      <w:bCs/>
      <w:kern w:val="2"/>
      <w:sz w:val="32"/>
      <w:szCs w:val="32"/>
      <w:lang w:val="en-US" w:eastAsia="zh-CN" w:bidi="ar-SA"/>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styleId="7">
    <w:name w:val="Normal Indent"/>
    <w:basedOn w:val="1"/>
    <w:qFormat/>
    <w:uiPriority w:val="0"/>
    <w:pPr>
      <w:ind w:firstLine="420" w:firstLineChars="200"/>
    </w:pPr>
  </w:style>
  <w:style w:type="paragraph" w:styleId="8">
    <w:name w:val="toa heading"/>
    <w:basedOn w:val="1"/>
    <w:next w:val="1"/>
    <w:unhideWhenUsed/>
    <w:qFormat/>
    <w:uiPriority w:val="99"/>
    <w:pPr>
      <w:spacing w:before="120" w:beforeLines="0" w:beforeAutospacing="0"/>
    </w:pPr>
    <w:rPr>
      <w:rFonts w:ascii="Arial" w:hAnsi="Arial"/>
      <w:sz w:val="24"/>
    </w:rPr>
  </w:style>
  <w:style w:type="paragraph" w:styleId="9">
    <w:name w:val="annotation text"/>
    <w:basedOn w:val="1"/>
    <w:qFormat/>
    <w:uiPriority w:val="0"/>
    <w:pPr>
      <w:jc w:val="left"/>
    </w:pPr>
  </w:style>
  <w:style w:type="paragraph" w:styleId="10">
    <w:name w:val="Body Text Indent"/>
    <w:basedOn w:val="1"/>
    <w:next w:val="1"/>
    <w:semiHidden/>
    <w:unhideWhenUsed/>
    <w:qFormat/>
    <w:uiPriority w:val="99"/>
    <w:pPr>
      <w:ind w:left="420" w:leftChars="200"/>
    </w:pPr>
  </w:style>
  <w:style w:type="paragraph" w:styleId="11">
    <w:name w:val="toc 3"/>
    <w:basedOn w:val="1"/>
    <w:next w:val="1"/>
    <w:semiHidden/>
    <w:qFormat/>
    <w:uiPriority w:val="0"/>
    <w:pPr>
      <w:ind w:left="840" w:leftChars="400"/>
    </w:p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eastAsia="宋体" w:cs="Arial"/>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9060"/>
      </w:tabs>
      <w:spacing w:line="360" w:lineRule="auto"/>
    </w:pPr>
  </w:style>
  <w:style w:type="paragraph" w:styleId="18">
    <w:name w:val="Body Text Indent 3"/>
    <w:basedOn w:val="1"/>
    <w:unhideWhenUsed/>
    <w:qFormat/>
    <w:uiPriority w:val="0"/>
    <w:pPr>
      <w:spacing w:line="380" w:lineRule="exact"/>
      <w:ind w:firstLine="480"/>
    </w:pPr>
    <w:rPr>
      <w:rFonts w:ascii="宋体" w:hAnsi="宋体" w:cs="宋体"/>
      <w:kern w:val="0"/>
      <w:sz w:val="20"/>
      <w:szCs w:val="20"/>
    </w:rPr>
  </w:style>
  <w:style w:type="paragraph" w:styleId="19">
    <w:name w:val="toc 2"/>
    <w:basedOn w:val="1"/>
    <w:next w:val="1"/>
    <w:semiHidden/>
    <w:qFormat/>
    <w:uiPriority w:val="0"/>
    <w:pPr>
      <w:tabs>
        <w:tab w:val="right" w:leader="dot" w:pos="9060"/>
      </w:tabs>
      <w:spacing w:line="360" w:lineRule="auto"/>
      <w:ind w:left="420" w:leftChars="200"/>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2"/>
    <w:next w:val="22"/>
    <w:unhideWhenUsed/>
    <w:qFormat/>
    <w:uiPriority w:val="99"/>
    <w:pPr>
      <w:ind w:firstLine="420" w:firstLineChars="100"/>
    </w:pPr>
    <w:rPr>
      <w:szCs w:val="24"/>
    </w:rPr>
  </w:style>
  <w:style w:type="paragraph" w:styleId="22">
    <w:name w:val="Body Text First Indent 2"/>
    <w:basedOn w:val="10"/>
    <w:next w:val="1"/>
    <w:semiHidden/>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FollowedHyperlink"/>
    <w:basedOn w:val="25"/>
    <w:qFormat/>
    <w:uiPriority w:val="0"/>
    <w:rPr>
      <w:color w:val="333333"/>
      <w:u w:val="none"/>
    </w:rPr>
  </w:style>
  <w:style w:type="character" w:styleId="28">
    <w:name w:val="Emphasis"/>
    <w:basedOn w:val="25"/>
    <w:qFormat/>
    <w:uiPriority w:val="0"/>
  </w:style>
  <w:style w:type="character" w:styleId="29">
    <w:name w:val="HTML Definition"/>
    <w:basedOn w:val="25"/>
    <w:qFormat/>
    <w:uiPriority w:val="0"/>
    <w:rPr>
      <w:i/>
      <w:iCs/>
    </w:rPr>
  </w:style>
  <w:style w:type="character" w:styleId="30">
    <w:name w:val="Hyperlink"/>
    <w:basedOn w:val="25"/>
    <w:qFormat/>
    <w:uiPriority w:val="0"/>
    <w:rPr>
      <w:color w:val="333333"/>
      <w:u w:val="none"/>
    </w:rPr>
  </w:style>
  <w:style w:type="character" w:styleId="31">
    <w:name w:val="HTML Code"/>
    <w:basedOn w:val="25"/>
    <w:qFormat/>
    <w:uiPriority w:val="0"/>
    <w:rPr>
      <w:rFonts w:hint="default" w:ascii="Consolas" w:hAnsi="Consolas" w:eastAsia="Consolas" w:cs="Consolas"/>
      <w:color w:val="C7254E"/>
      <w:sz w:val="21"/>
      <w:szCs w:val="21"/>
      <w:shd w:val="clear" w:fill="F9F2F4"/>
    </w:rPr>
  </w:style>
  <w:style w:type="character" w:styleId="32">
    <w:name w:val="HTML Keyboard"/>
    <w:basedOn w:val="25"/>
    <w:qFormat/>
    <w:uiPriority w:val="0"/>
    <w:rPr>
      <w:rFonts w:hint="default" w:ascii="Consolas" w:hAnsi="Consolas" w:eastAsia="Consolas" w:cs="Consolas"/>
      <w:color w:val="FFFFFF"/>
      <w:sz w:val="21"/>
      <w:szCs w:val="21"/>
      <w:shd w:val="clear" w:fill="333333"/>
    </w:rPr>
  </w:style>
  <w:style w:type="character" w:styleId="33">
    <w:name w:val="HTML Sample"/>
    <w:basedOn w:val="25"/>
    <w:qFormat/>
    <w:uiPriority w:val="0"/>
    <w:rPr>
      <w:rFonts w:ascii="Consolas" w:hAnsi="Consolas" w:eastAsia="Consolas" w:cs="Consolas"/>
      <w:sz w:val="21"/>
      <w:szCs w:val="21"/>
    </w:rPr>
  </w:style>
  <w:style w:type="character" w:customStyle="1" w:styleId="34">
    <w:name w:val="标题 1 Char"/>
    <w:link w:val="3"/>
    <w:qFormat/>
    <w:uiPriority w:val="0"/>
    <w:rPr>
      <w:rFonts w:ascii="黑体" w:hAnsi="黑体"/>
      <w:b/>
      <w:kern w:val="0"/>
      <w:sz w:val="44"/>
    </w:rPr>
  </w:style>
  <w:style w:type="character" w:customStyle="1" w:styleId="35">
    <w:name w:val="标题 2 Char"/>
    <w:link w:val="4"/>
    <w:qFormat/>
    <w:uiPriority w:val="0"/>
    <w:rPr>
      <w:rFonts w:ascii="黑体" w:hAnsi="黑体"/>
      <w:b/>
      <w:kern w:val="0"/>
      <w:sz w:val="44"/>
    </w:rPr>
  </w:style>
  <w:style w:type="paragraph" w:customStyle="1" w:styleId="36">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7">
    <w:name w:val="列出段落1"/>
    <w:basedOn w:val="1"/>
    <w:qFormat/>
    <w:uiPriority w:val="34"/>
    <w:pPr>
      <w:ind w:firstLine="420" w:firstLineChars="200"/>
    </w:pPr>
    <w:rPr>
      <w:rFonts w:ascii="Calibri" w:hAnsi="Calibri" w:cs="黑体"/>
      <w:szCs w:val="22"/>
    </w:rPr>
  </w:style>
  <w:style w:type="character" w:customStyle="1" w:styleId="38">
    <w:name w:val="font61"/>
    <w:basedOn w:val="25"/>
    <w:qFormat/>
    <w:uiPriority w:val="0"/>
    <w:rPr>
      <w:rFonts w:hint="eastAsia" w:ascii="宋体" w:hAnsi="宋体" w:eastAsia="宋体" w:cs="宋体"/>
      <w:b/>
      <w:color w:val="000000"/>
      <w:sz w:val="20"/>
      <w:szCs w:val="20"/>
      <w:u w:val="none"/>
    </w:rPr>
  </w:style>
  <w:style w:type="character" w:customStyle="1" w:styleId="39">
    <w:name w:val="font11"/>
    <w:basedOn w:val="25"/>
    <w:qFormat/>
    <w:uiPriority w:val="0"/>
    <w:rPr>
      <w:rFonts w:hint="eastAsia" w:ascii="宋体" w:hAnsi="宋体" w:eastAsia="宋体" w:cs="宋体"/>
      <w:color w:val="000000"/>
      <w:sz w:val="21"/>
      <w:szCs w:val="21"/>
      <w:u w:val="none"/>
    </w:rPr>
  </w:style>
  <w:style w:type="character" w:customStyle="1" w:styleId="40">
    <w:name w:val="font01"/>
    <w:basedOn w:val="25"/>
    <w:qFormat/>
    <w:uiPriority w:val="0"/>
    <w:rPr>
      <w:rFonts w:hint="eastAsia" w:ascii="宋体" w:hAnsi="宋体" w:eastAsia="宋体" w:cs="宋体"/>
      <w:color w:val="000000"/>
      <w:sz w:val="18"/>
      <w:szCs w:val="18"/>
      <w:u w:val="none"/>
    </w:rPr>
  </w:style>
  <w:style w:type="character" w:customStyle="1" w:styleId="41">
    <w:name w:val="font21"/>
    <w:basedOn w:val="25"/>
    <w:qFormat/>
    <w:uiPriority w:val="0"/>
    <w:rPr>
      <w:rFonts w:ascii="Calibri" w:hAnsi="Calibri" w:cs="Calibri"/>
      <w:color w:val="000000"/>
      <w:sz w:val="21"/>
      <w:szCs w:val="21"/>
      <w:u w:val="none"/>
    </w:rPr>
  </w:style>
  <w:style w:type="character" w:customStyle="1" w:styleId="42">
    <w:name w:val="font51"/>
    <w:basedOn w:val="25"/>
    <w:qFormat/>
    <w:uiPriority w:val="0"/>
    <w:rPr>
      <w:rFonts w:hint="default" w:ascii="Times New Roman" w:hAnsi="Times New Roman" w:cs="Times New Roman"/>
      <w:color w:val="000000"/>
      <w:sz w:val="20"/>
      <w:szCs w:val="20"/>
      <w:u w:val="none"/>
    </w:rPr>
  </w:style>
  <w:style w:type="character" w:customStyle="1" w:styleId="43">
    <w:name w:val="font41"/>
    <w:basedOn w:val="25"/>
    <w:qFormat/>
    <w:uiPriority w:val="0"/>
    <w:rPr>
      <w:rFonts w:hint="default" w:ascii="Times New Roman" w:hAnsi="Times New Roman" w:cs="Times New Roman"/>
      <w:color w:val="000000"/>
      <w:sz w:val="20"/>
      <w:szCs w:val="20"/>
      <w:u w:val="none"/>
    </w:rPr>
  </w:style>
  <w:style w:type="character" w:customStyle="1" w:styleId="44">
    <w:name w:val="font71"/>
    <w:basedOn w:val="25"/>
    <w:qFormat/>
    <w:uiPriority w:val="0"/>
    <w:rPr>
      <w:rFonts w:hint="eastAsia" w:ascii="宋体" w:hAnsi="宋体" w:eastAsia="宋体" w:cs="宋体"/>
      <w:color w:val="FF0000"/>
      <w:sz w:val="18"/>
      <w:szCs w:val="18"/>
      <w:u w:val="none"/>
    </w:rPr>
  </w:style>
  <w:style w:type="character" w:customStyle="1" w:styleId="45">
    <w:name w:val="font31"/>
    <w:basedOn w:val="25"/>
    <w:qFormat/>
    <w:uiPriority w:val="0"/>
    <w:rPr>
      <w:rFonts w:hint="eastAsia" w:ascii="宋体" w:hAnsi="宋体" w:eastAsia="宋体" w:cs="宋体"/>
      <w:color w:val="000000"/>
      <w:sz w:val="18"/>
      <w:szCs w:val="18"/>
      <w:u w:val="none"/>
    </w:rPr>
  </w:style>
  <w:style w:type="character" w:customStyle="1" w:styleId="46">
    <w:name w:val="font101"/>
    <w:basedOn w:val="25"/>
    <w:qFormat/>
    <w:uiPriority w:val="0"/>
    <w:rPr>
      <w:rFonts w:hint="eastAsia" w:ascii="宋体" w:hAnsi="宋体" w:eastAsia="宋体" w:cs="宋体"/>
      <w:color w:val="FF0000"/>
      <w:sz w:val="18"/>
      <w:szCs w:val="18"/>
      <w:u w:val="none"/>
    </w:rPr>
  </w:style>
  <w:style w:type="character" w:customStyle="1" w:styleId="47">
    <w:name w:val="button"/>
    <w:basedOn w:val="25"/>
    <w:qFormat/>
    <w:uiPriority w:val="0"/>
  </w:style>
  <w:style w:type="character" w:customStyle="1" w:styleId="48">
    <w:name w:val="hour_pm"/>
    <w:basedOn w:val="25"/>
    <w:qFormat/>
    <w:uiPriority w:val="0"/>
  </w:style>
  <w:style w:type="character" w:customStyle="1" w:styleId="49">
    <w:name w:val="hover3"/>
    <w:basedOn w:val="25"/>
    <w:qFormat/>
    <w:uiPriority w:val="0"/>
    <w:rPr>
      <w:shd w:val="clear" w:fill="EEEEEE"/>
    </w:rPr>
  </w:style>
  <w:style w:type="character" w:customStyle="1" w:styleId="50">
    <w:name w:val="tmpztreemove_arrow"/>
    <w:basedOn w:val="25"/>
    <w:qFormat/>
    <w:uiPriority w:val="0"/>
    <w:rPr>
      <w:shd w:val="clear" w:fill="FFFFFF"/>
    </w:rPr>
  </w:style>
  <w:style w:type="character" w:customStyle="1" w:styleId="51">
    <w:name w:val="hour_am"/>
    <w:basedOn w:val="25"/>
    <w:qFormat/>
    <w:uiPriority w:val="0"/>
  </w:style>
  <w:style w:type="character" w:customStyle="1" w:styleId="52">
    <w:name w:val="old"/>
    <w:basedOn w:val="25"/>
    <w:qFormat/>
    <w:uiPriority w:val="0"/>
    <w:rPr>
      <w:color w:val="999999"/>
    </w:rPr>
  </w:style>
  <w:style w:type="character" w:customStyle="1" w:styleId="53">
    <w:name w:val="glyphicon4"/>
    <w:basedOn w:val="25"/>
    <w:qFormat/>
    <w:uiPriority w:val="0"/>
  </w:style>
  <w:style w:type="character" w:customStyle="1" w:styleId="54">
    <w:name w:val="indent"/>
    <w:basedOn w:val="25"/>
    <w:qFormat/>
    <w:uiPriority w:val="0"/>
  </w:style>
  <w:style w:type="character" w:customStyle="1" w:styleId="55">
    <w:name w:val="NormalCharacter"/>
    <w:semiHidden/>
    <w:qFormat/>
    <w:uiPriority w:val="0"/>
  </w:style>
  <w:style w:type="paragraph" w:customStyle="1" w:styleId="56">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57">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styleId="58">
    <w:name w:val="List Paragraph"/>
    <w:basedOn w:val="1"/>
    <w:qFormat/>
    <w:uiPriority w:val="0"/>
    <w:pPr>
      <w:ind w:firstLine="420" w:firstLineChars="200"/>
    </w:pPr>
  </w:style>
  <w:style w:type="paragraph" w:styleId="59">
    <w:name w:val="No Spacing"/>
    <w:qFormat/>
    <w:uiPriority w:val="1"/>
    <w:rPr>
      <w:rFonts w:asciiTheme="minorHAnsi" w:hAnsiTheme="minorHAnsi" w:eastAsiaTheme="minorEastAsia" w:cstheme="minorBidi"/>
      <w:kern w:val="0"/>
      <w:sz w:val="24"/>
      <w:szCs w:val="22"/>
      <w:lang w:val="en-US" w:eastAsia="zh-CN" w:bidi="ar-SA"/>
    </w:rPr>
  </w:style>
  <w:style w:type="paragraph" w:customStyle="1" w:styleId="60">
    <w:name w:val="Char1 Char Char Char"/>
    <w:basedOn w:val="1"/>
    <w:qFormat/>
    <w:uiPriority w:val="0"/>
    <w:rPr>
      <w:rFonts w:ascii="Tahoma" w:hAnsi="Tahoma"/>
      <w:sz w:val="24"/>
      <w:szCs w:val="20"/>
    </w:rPr>
  </w:style>
  <w:style w:type="paragraph" w:customStyle="1" w:styleId="61">
    <w:name w:val="1 Char Char Char Char"/>
    <w:basedOn w:val="1"/>
    <w:qFormat/>
    <w:uiPriority w:val="0"/>
    <w:rPr>
      <w:rFonts w:ascii="Tahoma" w:hAnsi="Tahoma"/>
      <w:sz w:val="24"/>
      <w:szCs w:val="20"/>
    </w:rPr>
  </w:style>
  <w:style w:type="paragraph" w:customStyle="1" w:styleId="62">
    <w:name w:val="_Style 10"/>
    <w:basedOn w:val="1"/>
    <w:next w:val="58"/>
    <w:qFormat/>
    <w:uiPriority w:val="34"/>
    <w:pPr>
      <w:ind w:firstLine="420" w:firstLineChars="200"/>
    </w:pPr>
    <w:rPr>
      <w:szCs w:val="20"/>
    </w:rPr>
  </w:style>
  <w:style w:type="paragraph" w:customStyle="1" w:styleId="63">
    <w:name w:val="Normal Indent1"/>
    <w:basedOn w:val="1"/>
    <w:qFormat/>
    <w:uiPriority w:val="99"/>
    <w:pPr>
      <w:ind w:firstLine="880" w:firstLineChars="200"/>
    </w:pPr>
  </w:style>
  <w:style w:type="paragraph" w:customStyle="1" w:styleId="64">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paragraph" w:customStyle="1" w:styleId="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30703</Words>
  <Characters>32238</Characters>
  <Lines>0</Lines>
  <Paragraphs>0</Paragraphs>
  <TotalTime>1</TotalTime>
  <ScaleCrop>false</ScaleCrop>
  <LinksUpToDate>false</LinksUpToDate>
  <CharactersWithSpaces>34613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2020-09-11T01:34:00Z</dcterms:created>
  <dc:creator>Administrator</dc:creator>
  <cp:lastModifiedBy>张亚娜</cp:lastModifiedBy>
  <cp:lastPrinted>2023-05-10T09:20:01Z</cp:lastPrinted>
  <dcterms:modified xsi:type="dcterms:W3CDTF">2023-05-10T10:09:19Z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F9AA9936250844848A2E5BEEFCA0A6A9</vt:lpwstr>
  </property>
</Properties>
</file>