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823"/>
        <w:rPr>
          <w:sz w:val="20"/>
        </w:rPr>
      </w:pPr>
    </w:p>
    <w:p>
      <w:pPr>
        <w:pStyle w:val="6"/>
        <w:rPr>
          <w:sz w:val="20"/>
        </w:rPr>
      </w:pPr>
    </w:p>
    <w:p>
      <w:pPr>
        <w:pStyle w:val="6"/>
        <w:rPr>
          <w:sz w:val="20"/>
        </w:rPr>
      </w:pPr>
    </w:p>
    <w:p>
      <w:pPr>
        <w:spacing w:line="926" w:lineRule="exact"/>
        <w:ind w:left="299"/>
        <w:jc w:val="center"/>
        <w:rPr>
          <w:b/>
          <w:sz w:val="52"/>
        </w:rPr>
      </w:pPr>
    </w:p>
    <w:p>
      <w:pPr>
        <w:spacing w:line="936" w:lineRule="exact"/>
        <w:ind w:left="299"/>
        <w:jc w:val="center"/>
        <w:rPr>
          <w:b/>
          <w:sz w:val="52"/>
        </w:rPr>
      </w:pPr>
    </w:p>
    <w:p>
      <w:pPr>
        <w:spacing w:line="936" w:lineRule="exact"/>
        <w:ind w:left="1565" w:right="1265"/>
        <w:jc w:val="center"/>
        <w:rPr>
          <w:b/>
          <w:sz w:val="52"/>
        </w:rPr>
      </w:pPr>
      <w:r>
        <w:rPr>
          <w:rFonts w:hint="eastAsia"/>
          <w:b/>
          <w:sz w:val="52"/>
          <w:lang w:val="en-US"/>
        </w:rPr>
        <w:t>宜川县人民医院</w:t>
      </w:r>
    </w:p>
    <w:p>
      <w:pPr>
        <w:spacing w:line="936" w:lineRule="exact"/>
        <w:ind w:left="1565" w:right="1265"/>
        <w:jc w:val="center"/>
        <w:rPr>
          <w:b/>
          <w:sz w:val="52"/>
        </w:rPr>
      </w:pPr>
      <w:r>
        <w:rPr>
          <w:rFonts w:hint="eastAsia"/>
          <w:b/>
          <w:sz w:val="52"/>
        </w:rPr>
        <w:t>医疗票据电子管理系统</w:t>
      </w:r>
    </w:p>
    <w:p>
      <w:pPr>
        <w:spacing w:line="936" w:lineRule="exact"/>
        <w:ind w:left="1565" w:right="1265"/>
        <w:jc w:val="center"/>
        <w:rPr>
          <w:b/>
          <w:sz w:val="52"/>
        </w:rPr>
      </w:pPr>
      <w:r>
        <w:rPr>
          <w:rFonts w:hint="eastAsia"/>
          <w:b/>
          <w:sz w:val="52"/>
        </w:rPr>
        <w:t>建设方案</w:t>
      </w:r>
    </w:p>
    <w:p>
      <w:pPr>
        <w:spacing w:line="936" w:lineRule="exact"/>
        <w:ind w:left="299"/>
        <w:jc w:val="center"/>
        <w:rPr>
          <w:b/>
          <w:sz w:val="52"/>
        </w:rPr>
      </w:pPr>
    </w:p>
    <w:p>
      <w:pPr>
        <w:spacing w:line="936" w:lineRule="exact"/>
        <w:ind w:left="299"/>
        <w:jc w:val="center"/>
        <w:rPr>
          <w:b/>
          <w:sz w:val="52"/>
        </w:rPr>
      </w:pPr>
    </w:p>
    <w:p>
      <w:pPr>
        <w:spacing w:line="936" w:lineRule="exact"/>
        <w:ind w:left="299"/>
        <w:jc w:val="center"/>
        <w:rPr>
          <w:b/>
          <w:sz w:val="52"/>
        </w:rPr>
      </w:pPr>
    </w:p>
    <w:p>
      <w:pPr>
        <w:spacing w:line="946" w:lineRule="exact"/>
        <w:ind w:left="299"/>
        <w:jc w:val="center"/>
        <w:rPr>
          <w:b/>
          <w:sz w:val="52"/>
        </w:rPr>
      </w:pPr>
    </w:p>
    <w:p>
      <w:pPr>
        <w:spacing w:before="127" w:line="737" w:lineRule="exact"/>
        <w:ind w:left="1524" w:right="1265"/>
        <w:jc w:val="center"/>
        <w:rPr>
          <w:b/>
          <w:sz w:val="44"/>
        </w:rPr>
      </w:pPr>
      <w:r>
        <w:rPr>
          <w:rFonts w:hint="eastAsia"/>
          <w:b/>
          <w:sz w:val="44"/>
        </w:rPr>
        <w:t>202</w:t>
      </w:r>
      <w:r>
        <w:rPr>
          <w:rFonts w:hint="eastAsia"/>
          <w:b/>
          <w:sz w:val="44"/>
          <w:lang w:val="en-US"/>
        </w:rPr>
        <w:t xml:space="preserve">3 </w:t>
      </w:r>
      <w:r>
        <w:rPr>
          <w:rFonts w:hint="eastAsia"/>
          <w:b/>
          <w:sz w:val="44"/>
        </w:rPr>
        <w:t>年</w:t>
      </w:r>
      <w:r>
        <w:rPr>
          <w:rFonts w:hint="eastAsia"/>
          <w:b/>
          <w:sz w:val="44"/>
          <w:lang w:val="en-US"/>
        </w:rPr>
        <w:t xml:space="preserve"> 3 </w:t>
      </w:r>
      <w:r>
        <w:rPr>
          <w:rFonts w:hint="eastAsia"/>
          <w:b/>
          <w:sz w:val="44"/>
        </w:rPr>
        <w:t>月</w:t>
      </w:r>
    </w:p>
    <w:p>
      <w:pPr>
        <w:tabs>
          <w:tab w:val="left" w:pos="3560"/>
        </w:tabs>
        <w:spacing w:line="590" w:lineRule="exact"/>
        <w:ind w:left="680"/>
        <w:rPr>
          <w:b/>
          <w:sz w:val="36"/>
        </w:rPr>
      </w:pPr>
      <w:r>
        <w:rPr>
          <w:rFonts w:hint="eastAsia"/>
          <w:b/>
          <w:sz w:val="36"/>
        </w:rPr>
        <w:tab/>
      </w:r>
    </w:p>
    <w:p>
      <w:pPr>
        <w:spacing w:line="590" w:lineRule="exact"/>
        <w:rPr>
          <w:sz w:val="36"/>
        </w:rPr>
        <w:sectPr>
          <w:headerReference r:id="rId3" w:type="default"/>
          <w:footerReference r:id="rId4" w:type="default"/>
          <w:type w:val="continuous"/>
          <w:pgSz w:w="11910" w:h="16840"/>
          <w:pgMar w:top="1260" w:right="1160" w:bottom="1660" w:left="1120" w:header="875" w:footer="1467" w:gutter="0"/>
          <w:cols w:space="720" w:num="1"/>
        </w:sectPr>
      </w:pPr>
    </w:p>
    <w:p>
      <w:pPr>
        <w:pStyle w:val="6"/>
        <w:spacing w:before="17"/>
        <w:rPr>
          <w:b/>
          <w:sz w:val="12"/>
        </w:rPr>
      </w:pPr>
    </w:p>
    <w:p>
      <w:pPr>
        <w:jc w:val="center"/>
        <w:rPr>
          <w:b/>
          <w:bCs/>
          <w:sz w:val="30"/>
          <w:szCs w:val="30"/>
        </w:rPr>
      </w:pPr>
      <w:bookmarkStart w:id="0" w:name="_Toc98771760"/>
      <w:r>
        <w:rPr>
          <w:rFonts w:hint="eastAsia"/>
          <w:b/>
          <w:bCs/>
          <w:sz w:val="30"/>
          <w:szCs w:val="30"/>
        </w:rPr>
        <w:t>目录</w:t>
      </w:r>
      <w:bookmarkEnd w:id="0"/>
    </w:p>
    <w:p/>
    <w:p>
      <w:pPr>
        <w:pStyle w:val="11"/>
        <w:tabs>
          <w:tab w:val="right" w:leader="dot" w:pos="9630"/>
          <w:tab w:val="clear" w:pos="420"/>
          <w:tab w:val="clear" w:pos="9620"/>
        </w:tabs>
        <w:rPr>
          <w:rFonts w:ascii="宋体" w:hAnsi="宋体" w:eastAsia="宋体" w:cs="宋体"/>
          <w:b/>
          <w:bCs/>
          <w:sz w:val="24"/>
          <w:szCs w:val="24"/>
        </w:rPr>
      </w:pPr>
      <w:r>
        <w:rPr>
          <w:rFonts w:hint="eastAsia" w:ascii="宋体" w:hAnsi="宋体" w:eastAsia="宋体" w:cs="宋体"/>
          <w:sz w:val="21"/>
        </w:rPr>
        <w:fldChar w:fldCharType="begin"/>
      </w:r>
      <w:r>
        <w:rPr>
          <w:rFonts w:hint="eastAsia" w:ascii="宋体" w:hAnsi="宋体" w:eastAsia="宋体" w:cs="宋体"/>
          <w:sz w:val="21"/>
        </w:rPr>
        <w:instrText xml:space="preserve"> TOC \o "1-3" \h \z \u </w:instrText>
      </w:r>
      <w:r>
        <w:rPr>
          <w:rFonts w:hint="eastAsia" w:ascii="宋体" w:hAnsi="宋体" w:eastAsia="宋体" w:cs="宋体"/>
          <w:sz w:val="21"/>
        </w:rPr>
        <w:fldChar w:fldCharType="separate"/>
      </w:r>
      <w:r>
        <w:fldChar w:fldCharType="begin"/>
      </w:r>
      <w:r>
        <w:instrText xml:space="preserve"> HYPERLINK \l "_Toc3837" </w:instrText>
      </w:r>
      <w:r>
        <w:fldChar w:fldCharType="separate"/>
      </w:r>
      <w:r>
        <w:rPr>
          <w:rFonts w:hint="eastAsia" w:ascii="宋体" w:hAnsi="宋体" w:eastAsia="宋体" w:cs="宋体"/>
          <w:b/>
          <w:bCs/>
          <w:sz w:val="24"/>
          <w:szCs w:val="24"/>
        </w:rPr>
        <w:t>1项目概述</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_Toc3837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3</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12"/>
        <w:tabs>
          <w:tab w:val="right" w:leader="dot" w:pos="9630"/>
          <w:tab w:val="clear" w:pos="9620"/>
        </w:tabs>
        <w:rPr>
          <w:rFonts w:ascii="宋体" w:hAnsi="宋体" w:eastAsia="宋体" w:cs="宋体"/>
          <w:b/>
          <w:bCs/>
        </w:rPr>
      </w:pPr>
      <w:r>
        <w:fldChar w:fldCharType="begin"/>
      </w:r>
      <w:r>
        <w:instrText xml:space="preserve"> HYPERLINK \l "_Toc1711" </w:instrText>
      </w:r>
      <w:r>
        <w:fldChar w:fldCharType="separate"/>
      </w:r>
      <w:r>
        <w:rPr>
          <w:rFonts w:hint="eastAsia" w:ascii="宋体" w:hAnsi="宋体" w:eastAsia="宋体" w:cs="宋体"/>
          <w:b/>
          <w:bCs/>
        </w:rPr>
        <w:t>1.</w:t>
      </w:r>
      <w:r>
        <w:rPr>
          <w:rFonts w:hint="eastAsia" w:ascii="宋体" w:hAnsi="宋体" w:eastAsia="宋体" w:cs="宋体"/>
          <w:b/>
          <w:bCs/>
          <w:lang w:val="en-US"/>
        </w:rPr>
        <w:t>1</w:t>
      </w:r>
      <w:r>
        <w:rPr>
          <w:rFonts w:hint="eastAsia" w:ascii="宋体" w:hAnsi="宋体" w:eastAsia="宋体" w:cs="宋体"/>
          <w:b/>
          <w:bCs/>
        </w:rPr>
        <w:t>建设内容</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_Toc1711 \h </w:instrText>
      </w:r>
      <w:r>
        <w:rPr>
          <w:rFonts w:hint="eastAsia" w:ascii="宋体" w:hAnsi="宋体" w:eastAsia="宋体" w:cs="宋体"/>
          <w:b/>
          <w:bCs/>
        </w:rPr>
        <w:fldChar w:fldCharType="separate"/>
      </w:r>
      <w:r>
        <w:rPr>
          <w:rFonts w:hint="eastAsia" w:ascii="宋体" w:hAnsi="宋体" w:eastAsia="宋体" w:cs="宋体"/>
          <w:b/>
          <w:bCs/>
        </w:rPr>
        <w:t>3</w:t>
      </w:r>
      <w:r>
        <w:rPr>
          <w:rFonts w:hint="eastAsia" w:ascii="宋体" w:hAnsi="宋体" w:eastAsia="宋体" w:cs="宋体"/>
          <w:b/>
          <w:bCs/>
        </w:rPr>
        <w:fldChar w:fldCharType="end"/>
      </w:r>
      <w:r>
        <w:rPr>
          <w:rFonts w:hint="eastAsia" w:ascii="宋体" w:hAnsi="宋体" w:eastAsia="宋体" w:cs="宋体"/>
          <w:b/>
          <w:bCs/>
        </w:rPr>
        <w:fldChar w:fldCharType="end"/>
      </w:r>
    </w:p>
    <w:p>
      <w:pPr>
        <w:pStyle w:val="12"/>
        <w:tabs>
          <w:tab w:val="right" w:leader="dot" w:pos="9630"/>
          <w:tab w:val="clear" w:pos="9620"/>
        </w:tabs>
        <w:ind w:firstLine="240" w:firstLineChars="100"/>
        <w:rPr>
          <w:rFonts w:ascii="宋体" w:hAnsi="宋体" w:eastAsia="宋体" w:cs="宋体"/>
          <w:b/>
          <w:bCs/>
        </w:rPr>
      </w:pPr>
      <w:r>
        <w:fldChar w:fldCharType="begin"/>
      </w:r>
      <w:r>
        <w:instrText xml:space="preserve"> HYPERLINK \l "_Toc9990" </w:instrText>
      </w:r>
      <w:r>
        <w:fldChar w:fldCharType="separate"/>
      </w:r>
      <w:r>
        <w:rPr>
          <w:rFonts w:hint="eastAsia" w:ascii="宋体" w:hAnsi="宋体" w:eastAsia="宋体" w:cs="宋体"/>
          <w:b/>
          <w:bCs/>
        </w:rPr>
        <w:t>1.</w:t>
      </w:r>
      <w:r>
        <w:rPr>
          <w:rFonts w:hint="eastAsia" w:ascii="宋体" w:hAnsi="宋体" w:eastAsia="宋体" w:cs="宋体"/>
          <w:b/>
          <w:bCs/>
          <w:lang w:val="en-US"/>
        </w:rPr>
        <w:t>1</w:t>
      </w:r>
      <w:r>
        <w:rPr>
          <w:rFonts w:hint="eastAsia" w:ascii="宋体" w:hAnsi="宋体" w:eastAsia="宋体" w:cs="宋体"/>
          <w:b/>
          <w:bCs/>
        </w:rPr>
        <w:t>.1建设医疗收费电子票据管理系统</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_Toc9990 \h </w:instrText>
      </w:r>
      <w:r>
        <w:rPr>
          <w:rFonts w:hint="eastAsia" w:ascii="宋体" w:hAnsi="宋体" w:eastAsia="宋体" w:cs="宋体"/>
          <w:b/>
          <w:bCs/>
        </w:rPr>
        <w:fldChar w:fldCharType="separate"/>
      </w:r>
      <w:r>
        <w:rPr>
          <w:rFonts w:hint="eastAsia" w:ascii="宋体" w:hAnsi="宋体" w:eastAsia="宋体" w:cs="宋体"/>
          <w:b/>
          <w:bCs/>
        </w:rPr>
        <w:t>3</w:t>
      </w:r>
      <w:r>
        <w:rPr>
          <w:rFonts w:hint="eastAsia" w:ascii="宋体" w:hAnsi="宋体" w:eastAsia="宋体" w:cs="宋体"/>
          <w:b/>
          <w:bCs/>
        </w:rPr>
        <w:fldChar w:fldCharType="end"/>
      </w:r>
      <w:r>
        <w:rPr>
          <w:rFonts w:hint="eastAsia" w:ascii="宋体" w:hAnsi="宋体" w:eastAsia="宋体" w:cs="宋体"/>
          <w:b/>
          <w:bCs/>
        </w:rPr>
        <w:fldChar w:fldCharType="end"/>
      </w:r>
    </w:p>
    <w:p>
      <w:pPr>
        <w:pStyle w:val="12"/>
        <w:tabs>
          <w:tab w:val="right" w:leader="dot" w:pos="9630"/>
          <w:tab w:val="clear" w:pos="9620"/>
        </w:tabs>
        <w:ind w:firstLine="240" w:firstLineChars="100"/>
        <w:rPr>
          <w:rFonts w:ascii="宋体" w:hAnsi="宋体" w:eastAsia="宋体" w:cs="宋体"/>
          <w:b/>
          <w:bCs/>
        </w:rPr>
      </w:pPr>
      <w:r>
        <w:fldChar w:fldCharType="begin"/>
      </w:r>
      <w:r>
        <w:instrText xml:space="preserve"> HYPERLINK \l "_Toc15850" </w:instrText>
      </w:r>
      <w:r>
        <w:fldChar w:fldCharType="separate"/>
      </w:r>
      <w:r>
        <w:rPr>
          <w:rFonts w:hint="eastAsia" w:ascii="宋体" w:hAnsi="宋体" w:eastAsia="宋体" w:cs="宋体"/>
          <w:b/>
          <w:bCs/>
        </w:rPr>
        <w:t>1.</w:t>
      </w:r>
      <w:r>
        <w:rPr>
          <w:rFonts w:hint="eastAsia" w:ascii="宋体" w:hAnsi="宋体" w:eastAsia="宋体" w:cs="宋体"/>
          <w:b/>
          <w:bCs/>
          <w:lang w:val="en-US"/>
        </w:rPr>
        <w:t>1</w:t>
      </w:r>
      <w:r>
        <w:rPr>
          <w:rFonts w:hint="eastAsia" w:ascii="宋体" w:hAnsi="宋体" w:eastAsia="宋体" w:cs="宋体"/>
          <w:b/>
          <w:bCs/>
        </w:rPr>
        <w:t>.2实现与财政部电子票据管理系统对接</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_Toc15850 \h </w:instrText>
      </w:r>
      <w:r>
        <w:rPr>
          <w:rFonts w:hint="eastAsia" w:ascii="宋体" w:hAnsi="宋体" w:eastAsia="宋体" w:cs="宋体"/>
          <w:b/>
          <w:bCs/>
        </w:rPr>
        <w:fldChar w:fldCharType="separate"/>
      </w:r>
      <w:r>
        <w:rPr>
          <w:rFonts w:hint="eastAsia" w:ascii="宋体" w:hAnsi="宋体" w:eastAsia="宋体" w:cs="宋体"/>
          <w:b/>
          <w:bCs/>
        </w:rPr>
        <w:t>3</w:t>
      </w:r>
      <w:r>
        <w:rPr>
          <w:rFonts w:hint="eastAsia" w:ascii="宋体" w:hAnsi="宋体" w:eastAsia="宋体" w:cs="宋体"/>
          <w:b/>
          <w:bCs/>
        </w:rPr>
        <w:fldChar w:fldCharType="end"/>
      </w:r>
      <w:r>
        <w:rPr>
          <w:rFonts w:hint="eastAsia" w:ascii="宋体" w:hAnsi="宋体" w:eastAsia="宋体" w:cs="宋体"/>
          <w:b/>
          <w:bCs/>
        </w:rPr>
        <w:fldChar w:fldCharType="end"/>
      </w:r>
    </w:p>
    <w:p>
      <w:pPr>
        <w:pStyle w:val="12"/>
        <w:tabs>
          <w:tab w:val="right" w:leader="dot" w:pos="9630"/>
          <w:tab w:val="clear" w:pos="9620"/>
        </w:tabs>
        <w:ind w:firstLine="240" w:firstLineChars="100"/>
        <w:rPr>
          <w:rFonts w:ascii="宋体" w:hAnsi="宋体" w:eastAsia="宋体" w:cs="宋体"/>
          <w:b/>
          <w:bCs/>
        </w:rPr>
      </w:pPr>
      <w:r>
        <w:fldChar w:fldCharType="begin"/>
      </w:r>
      <w:r>
        <w:instrText xml:space="preserve"> HYPERLINK \l "_Toc9978" </w:instrText>
      </w:r>
      <w:r>
        <w:fldChar w:fldCharType="separate"/>
      </w:r>
      <w:r>
        <w:rPr>
          <w:rFonts w:hint="eastAsia" w:ascii="宋体" w:hAnsi="宋体" w:eastAsia="宋体" w:cs="宋体"/>
          <w:b/>
          <w:bCs/>
        </w:rPr>
        <w:t>1.</w:t>
      </w:r>
      <w:r>
        <w:rPr>
          <w:rFonts w:hint="eastAsia" w:ascii="宋体" w:hAnsi="宋体" w:eastAsia="宋体" w:cs="宋体"/>
          <w:b/>
          <w:bCs/>
          <w:lang w:val="en-US"/>
        </w:rPr>
        <w:t>1</w:t>
      </w:r>
      <w:r>
        <w:rPr>
          <w:rFonts w:hint="eastAsia" w:ascii="宋体" w:hAnsi="宋体" w:eastAsia="宋体" w:cs="宋体"/>
          <w:b/>
          <w:bCs/>
        </w:rPr>
        <w:t>.3实现与医院业务系统对接</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_Toc9978 \h </w:instrText>
      </w:r>
      <w:r>
        <w:rPr>
          <w:rFonts w:hint="eastAsia" w:ascii="宋体" w:hAnsi="宋体" w:eastAsia="宋体" w:cs="宋体"/>
          <w:b/>
          <w:bCs/>
        </w:rPr>
        <w:fldChar w:fldCharType="separate"/>
      </w:r>
      <w:r>
        <w:rPr>
          <w:rFonts w:hint="eastAsia" w:ascii="宋体" w:hAnsi="宋体" w:eastAsia="宋体" w:cs="宋体"/>
          <w:b/>
          <w:bCs/>
        </w:rPr>
        <w:t>3</w:t>
      </w:r>
      <w:r>
        <w:rPr>
          <w:rFonts w:hint="eastAsia" w:ascii="宋体" w:hAnsi="宋体" w:eastAsia="宋体" w:cs="宋体"/>
          <w:b/>
          <w:bCs/>
        </w:rPr>
        <w:fldChar w:fldCharType="end"/>
      </w:r>
      <w:r>
        <w:rPr>
          <w:rFonts w:hint="eastAsia" w:ascii="宋体" w:hAnsi="宋体" w:eastAsia="宋体" w:cs="宋体"/>
          <w:b/>
          <w:bCs/>
        </w:rPr>
        <w:fldChar w:fldCharType="end"/>
      </w:r>
    </w:p>
    <w:p>
      <w:pPr>
        <w:pStyle w:val="11"/>
        <w:tabs>
          <w:tab w:val="right" w:leader="dot" w:pos="9630"/>
          <w:tab w:val="clear" w:pos="420"/>
          <w:tab w:val="clear" w:pos="9620"/>
        </w:tabs>
        <w:rPr>
          <w:rFonts w:ascii="宋体" w:hAnsi="宋体" w:eastAsia="宋体" w:cs="宋体"/>
          <w:b/>
          <w:bCs/>
          <w:sz w:val="24"/>
          <w:szCs w:val="24"/>
        </w:rPr>
      </w:pPr>
      <w:r>
        <w:fldChar w:fldCharType="begin"/>
      </w:r>
      <w:r>
        <w:instrText xml:space="preserve"> HYPERLINK \l "_Toc25157" </w:instrText>
      </w:r>
      <w:r>
        <w:fldChar w:fldCharType="separate"/>
      </w:r>
      <w:r>
        <w:rPr>
          <w:rFonts w:hint="eastAsia" w:ascii="宋体" w:hAnsi="宋体" w:eastAsia="宋体" w:cs="宋体"/>
          <w:b/>
          <w:bCs/>
          <w:sz w:val="24"/>
          <w:szCs w:val="24"/>
          <w:lang w:val="en-US"/>
        </w:rPr>
        <w:t>2</w:t>
      </w:r>
      <w:r>
        <w:rPr>
          <w:rFonts w:hint="eastAsia" w:ascii="宋体" w:hAnsi="宋体" w:eastAsia="宋体" w:cs="宋体"/>
          <w:b/>
          <w:bCs/>
          <w:sz w:val="24"/>
          <w:szCs w:val="24"/>
        </w:rPr>
        <w:t>业务流程设计</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_Toc25157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5</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12"/>
        <w:tabs>
          <w:tab w:val="right" w:leader="dot" w:pos="9630"/>
          <w:tab w:val="clear" w:pos="9620"/>
        </w:tabs>
        <w:rPr>
          <w:rFonts w:ascii="宋体" w:hAnsi="宋体" w:eastAsia="宋体" w:cs="宋体"/>
          <w:b/>
          <w:bCs/>
        </w:rPr>
      </w:pPr>
      <w:r>
        <w:fldChar w:fldCharType="begin"/>
      </w:r>
      <w:r>
        <w:instrText xml:space="preserve"> HYPERLINK \l "_Toc3553" </w:instrText>
      </w:r>
      <w:r>
        <w:fldChar w:fldCharType="separate"/>
      </w:r>
      <w:r>
        <w:rPr>
          <w:rFonts w:hint="eastAsia" w:ascii="宋体" w:hAnsi="宋体" w:eastAsia="宋体" w:cs="宋体"/>
          <w:b/>
          <w:bCs/>
          <w:lang w:val="en-US"/>
        </w:rPr>
        <w:t>2</w:t>
      </w:r>
      <w:r>
        <w:rPr>
          <w:rFonts w:hint="eastAsia" w:ascii="宋体" w:hAnsi="宋体" w:eastAsia="宋体" w:cs="宋体"/>
          <w:b/>
          <w:bCs/>
        </w:rPr>
        <w:t>.1 挂号业务流程</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_Toc3553 \h </w:instrText>
      </w:r>
      <w:r>
        <w:rPr>
          <w:rFonts w:hint="eastAsia" w:ascii="宋体" w:hAnsi="宋体" w:eastAsia="宋体" w:cs="宋体"/>
          <w:b/>
          <w:bCs/>
        </w:rPr>
        <w:fldChar w:fldCharType="separate"/>
      </w:r>
      <w:r>
        <w:rPr>
          <w:rFonts w:hint="eastAsia" w:ascii="宋体" w:hAnsi="宋体" w:eastAsia="宋体" w:cs="宋体"/>
          <w:b/>
          <w:bCs/>
        </w:rPr>
        <w:t>5</w:t>
      </w:r>
      <w:r>
        <w:rPr>
          <w:rFonts w:hint="eastAsia" w:ascii="宋体" w:hAnsi="宋体" w:eastAsia="宋体" w:cs="宋体"/>
          <w:b/>
          <w:bCs/>
        </w:rPr>
        <w:fldChar w:fldCharType="end"/>
      </w:r>
      <w:r>
        <w:rPr>
          <w:rFonts w:hint="eastAsia" w:ascii="宋体" w:hAnsi="宋体" w:eastAsia="宋体" w:cs="宋体"/>
          <w:b/>
          <w:bCs/>
        </w:rPr>
        <w:fldChar w:fldCharType="end"/>
      </w:r>
    </w:p>
    <w:p>
      <w:pPr>
        <w:pStyle w:val="12"/>
        <w:tabs>
          <w:tab w:val="right" w:leader="dot" w:pos="9630"/>
          <w:tab w:val="clear" w:pos="9620"/>
        </w:tabs>
        <w:rPr>
          <w:rFonts w:ascii="宋体" w:hAnsi="宋体" w:eastAsia="宋体" w:cs="宋体"/>
          <w:b/>
          <w:bCs/>
        </w:rPr>
      </w:pPr>
      <w:r>
        <w:fldChar w:fldCharType="begin"/>
      </w:r>
      <w:r>
        <w:instrText xml:space="preserve"> HYPERLINK \l "_Toc28613" </w:instrText>
      </w:r>
      <w:r>
        <w:fldChar w:fldCharType="separate"/>
      </w:r>
      <w:r>
        <w:rPr>
          <w:rFonts w:hint="eastAsia" w:ascii="宋体" w:hAnsi="宋体" w:eastAsia="宋体" w:cs="宋体"/>
          <w:b/>
          <w:bCs/>
          <w:lang w:val="en-US"/>
        </w:rPr>
        <w:t>2</w:t>
      </w:r>
      <w:r>
        <w:rPr>
          <w:rFonts w:hint="eastAsia" w:ascii="宋体" w:hAnsi="宋体" w:eastAsia="宋体" w:cs="宋体"/>
          <w:b/>
          <w:bCs/>
        </w:rPr>
        <w:t>.2 门诊业务流程</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_Toc28613 \h </w:instrText>
      </w:r>
      <w:r>
        <w:rPr>
          <w:rFonts w:hint="eastAsia" w:ascii="宋体" w:hAnsi="宋体" w:eastAsia="宋体" w:cs="宋体"/>
          <w:b/>
          <w:bCs/>
        </w:rPr>
        <w:fldChar w:fldCharType="separate"/>
      </w:r>
      <w:r>
        <w:rPr>
          <w:rFonts w:hint="eastAsia" w:ascii="宋体" w:hAnsi="宋体" w:eastAsia="宋体" w:cs="宋体"/>
          <w:b/>
          <w:bCs/>
        </w:rPr>
        <w:t>8</w:t>
      </w:r>
      <w:r>
        <w:rPr>
          <w:rFonts w:hint="eastAsia" w:ascii="宋体" w:hAnsi="宋体" w:eastAsia="宋体" w:cs="宋体"/>
          <w:b/>
          <w:bCs/>
        </w:rPr>
        <w:fldChar w:fldCharType="end"/>
      </w:r>
      <w:r>
        <w:rPr>
          <w:rFonts w:hint="eastAsia" w:ascii="宋体" w:hAnsi="宋体" w:eastAsia="宋体" w:cs="宋体"/>
          <w:b/>
          <w:bCs/>
        </w:rPr>
        <w:fldChar w:fldCharType="end"/>
      </w:r>
    </w:p>
    <w:p>
      <w:pPr>
        <w:pStyle w:val="12"/>
        <w:tabs>
          <w:tab w:val="right" w:leader="dot" w:pos="9630"/>
          <w:tab w:val="clear" w:pos="9620"/>
        </w:tabs>
        <w:rPr>
          <w:rFonts w:ascii="宋体" w:hAnsi="宋体" w:eastAsia="宋体" w:cs="宋体"/>
          <w:b/>
          <w:bCs/>
        </w:rPr>
      </w:pPr>
      <w:r>
        <w:fldChar w:fldCharType="begin"/>
      </w:r>
      <w:r>
        <w:instrText xml:space="preserve"> HYPERLINK \l "_Toc25698" </w:instrText>
      </w:r>
      <w:r>
        <w:fldChar w:fldCharType="separate"/>
      </w:r>
      <w:r>
        <w:rPr>
          <w:rFonts w:hint="eastAsia" w:ascii="宋体" w:hAnsi="宋体" w:eastAsia="宋体" w:cs="宋体"/>
          <w:b/>
          <w:bCs/>
          <w:lang w:val="en-US"/>
        </w:rPr>
        <w:t>2</w:t>
      </w:r>
      <w:r>
        <w:rPr>
          <w:rFonts w:hint="eastAsia" w:ascii="宋体" w:hAnsi="宋体" w:eastAsia="宋体" w:cs="宋体"/>
          <w:b/>
          <w:bCs/>
        </w:rPr>
        <w:t>.3 门诊患者取票流程</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_Toc25698 \h </w:instrText>
      </w:r>
      <w:r>
        <w:rPr>
          <w:rFonts w:hint="eastAsia" w:ascii="宋体" w:hAnsi="宋体" w:eastAsia="宋体" w:cs="宋体"/>
          <w:b/>
          <w:bCs/>
        </w:rPr>
        <w:fldChar w:fldCharType="separate"/>
      </w:r>
      <w:r>
        <w:rPr>
          <w:rFonts w:hint="eastAsia" w:ascii="宋体" w:hAnsi="宋体" w:eastAsia="宋体" w:cs="宋体"/>
          <w:b/>
          <w:bCs/>
        </w:rPr>
        <w:t>9</w:t>
      </w:r>
      <w:r>
        <w:rPr>
          <w:rFonts w:hint="eastAsia" w:ascii="宋体" w:hAnsi="宋体" w:eastAsia="宋体" w:cs="宋体"/>
          <w:b/>
          <w:bCs/>
        </w:rPr>
        <w:fldChar w:fldCharType="end"/>
      </w:r>
      <w:r>
        <w:rPr>
          <w:rFonts w:hint="eastAsia" w:ascii="宋体" w:hAnsi="宋体" w:eastAsia="宋体" w:cs="宋体"/>
          <w:b/>
          <w:bCs/>
        </w:rPr>
        <w:fldChar w:fldCharType="end"/>
      </w:r>
    </w:p>
    <w:p>
      <w:pPr>
        <w:pStyle w:val="11"/>
        <w:tabs>
          <w:tab w:val="right" w:leader="dot" w:pos="9630"/>
          <w:tab w:val="clear" w:pos="420"/>
          <w:tab w:val="clear" w:pos="9620"/>
        </w:tabs>
        <w:rPr>
          <w:rFonts w:ascii="宋体" w:hAnsi="宋体" w:eastAsia="宋体" w:cs="宋体"/>
          <w:b/>
          <w:bCs/>
          <w:sz w:val="24"/>
          <w:szCs w:val="24"/>
        </w:rPr>
      </w:pPr>
      <w:r>
        <w:fldChar w:fldCharType="begin"/>
      </w:r>
      <w:r>
        <w:instrText xml:space="preserve"> HYPERLINK \l "_Toc7773" </w:instrText>
      </w:r>
      <w:r>
        <w:fldChar w:fldCharType="separate"/>
      </w:r>
      <w:r>
        <w:rPr>
          <w:rFonts w:hint="eastAsia" w:ascii="宋体" w:hAnsi="宋体" w:eastAsia="宋体" w:cs="宋体"/>
          <w:b/>
          <w:bCs/>
          <w:sz w:val="24"/>
          <w:szCs w:val="24"/>
          <w:lang w:val="en-US"/>
        </w:rPr>
        <w:t>3</w:t>
      </w:r>
      <w:r>
        <w:rPr>
          <w:rFonts w:hint="eastAsia" w:ascii="宋体" w:hAnsi="宋体" w:eastAsia="宋体" w:cs="宋体"/>
          <w:b/>
          <w:bCs/>
          <w:sz w:val="24"/>
          <w:szCs w:val="24"/>
        </w:rPr>
        <w:t>系统功能介绍</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_Toc7773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10</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11"/>
        <w:tabs>
          <w:tab w:val="right" w:leader="dot" w:pos="9630"/>
          <w:tab w:val="clear" w:pos="420"/>
          <w:tab w:val="clear" w:pos="9620"/>
        </w:tabs>
        <w:rPr>
          <w:rFonts w:ascii="宋体" w:hAnsi="宋体" w:eastAsia="宋体" w:cs="宋体"/>
          <w:b/>
          <w:bCs/>
          <w:sz w:val="24"/>
          <w:szCs w:val="24"/>
        </w:rPr>
      </w:pPr>
      <w:r>
        <w:fldChar w:fldCharType="begin"/>
      </w:r>
      <w:r>
        <w:instrText xml:space="preserve"> HYPERLINK \l "_Toc13541" </w:instrText>
      </w:r>
      <w:r>
        <w:fldChar w:fldCharType="separate"/>
      </w:r>
      <w:r>
        <w:rPr>
          <w:rFonts w:hint="eastAsia" w:ascii="宋体" w:hAnsi="宋体" w:eastAsia="宋体" w:cs="宋体"/>
          <w:b/>
          <w:bCs/>
          <w:sz w:val="24"/>
          <w:szCs w:val="24"/>
          <w:lang w:val="en-US"/>
        </w:rPr>
        <w:t>4</w:t>
      </w:r>
      <w:r>
        <w:rPr>
          <w:rFonts w:hint="eastAsia" w:ascii="宋体" w:hAnsi="宋体" w:eastAsia="宋体" w:cs="宋体"/>
          <w:b/>
          <w:bCs/>
          <w:sz w:val="24"/>
          <w:szCs w:val="24"/>
        </w:rPr>
        <w:t>部署及配置方案</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_Toc13541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13</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12"/>
        <w:tabs>
          <w:tab w:val="right" w:leader="dot" w:pos="9630"/>
          <w:tab w:val="clear" w:pos="9620"/>
        </w:tabs>
        <w:rPr>
          <w:rFonts w:ascii="宋体" w:hAnsi="宋体" w:eastAsia="宋体" w:cs="宋体"/>
          <w:b/>
          <w:bCs/>
        </w:rPr>
      </w:pPr>
      <w:r>
        <w:fldChar w:fldCharType="begin"/>
      </w:r>
      <w:r>
        <w:instrText xml:space="preserve"> HYPERLINK \l "_Toc16403" </w:instrText>
      </w:r>
      <w:r>
        <w:fldChar w:fldCharType="separate"/>
      </w:r>
      <w:r>
        <w:rPr>
          <w:rFonts w:hint="eastAsia" w:ascii="宋体" w:hAnsi="宋体" w:eastAsia="宋体" w:cs="宋体"/>
          <w:b/>
          <w:bCs/>
          <w:lang w:val="en-US" w:bidi="ar-SA"/>
        </w:rPr>
        <w:t>4.1</w:t>
      </w:r>
      <w:r>
        <w:rPr>
          <w:rFonts w:hint="eastAsia" w:ascii="宋体" w:hAnsi="宋体" w:eastAsia="宋体" w:cs="宋体"/>
          <w:b/>
          <w:bCs/>
        </w:rPr>
        <w:t>集成部署架构</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_Toc16403 \h </w:instrText>
      </w:r>
      <w:r>
        <w:rPr>
          <w:rFonts w:hint="eastAsia" w:ascii="宋体" w:hAnsi="宋体" w:eastAsia="宋体" w:cs="宋体"/>
          <w:b/>
          <w:bCs/>
        </w:rPr>
        <w:fldChar w:fldCharType="separate"/>
      </w:r>
      <w:r>
        <w:rPr>
          <w:rFonts w:hint="eastAsia" w:ascii="宋体" w:hAnsi="宋体" w:eastAsia="宋体" w:cs="宋体"/>
          <w:b/>
          <w:bCs/>
        </w:rPr>
        <w:t>13</w:t>
      </w:r>
      <w:r>
        <w:rPr>
          <w:rFonts w:hint="eastAsia" w:ascii="宋体" w:hAnsi="宋体" w:eastAsia="宋体" w:cs="宋体"/>
          <w:b/>
          <w:bCs/>
        </w:rPr>
        <w:fldChar w:fldCharType="end"/>
      </w:r>
      <w:r>
        <w:rPr>
          <w:rFonts w:hint="eastAsia" w:ascii="宋体" w:hAnsi="宋体" w:eastAsia="宋体" w:cs="宋体"/>
          <w:b/>
          <w:bCs/>
        </w:rPr>
        <w:fldChar w:fldCharType="end"/>
      </w:r>
    </w:p>
    <w:p>
      <w:pPr>
        <w:pStyle w:val="12"/>
        <w:tabs>
          <w:tab w:val="right" w:leader="dot" w:pos="9630"/>
          <w:tab w:val="clear" w:pos="9620"/>
        </w:tabs>
        <w:rPr>
          <w:rFonts w:ascii="宋体" w:hAnsi="宋体" w:eastAsia="宋体" w:cs="宋体"/>
          <w:b/>
          <w:bCs/>
        </w:rPr>
      </w:pPr>
      <w:r>
        <w:fldChar w:fldCharType="begin"/>
      </w:r>
      <w:r>
        <w:instrText xml:space="preserve"> HYPERLINK \l "_Toc7596" </w:instrText>
      </w:r>
      <w:r>
        <w:fldChar w:fldCharType="separate"/>
      </w:r>
      <w:r>
        <w:rPr>
          <w:rFonts w:hint="eastAsia" w:ascii="宋体" w:hAnsi="宋体" w:eastAsia="宋体" w:cs="宋体"/>
          <w:b/>
          <w:bCs/>
          <w:lang w:val="en-US"/>
        </w:rPr>
        <w:t>4</w:t>
      </w:r>
      <w:r>
        <w:rPr>
          <w:rFonts w:hint="eastAsia" w:ascii="宋体" w:hAnsi="宋体" w:eastAsia="宋体" w:cs="宋体"/>
          <w:b/>
          <w:bCs/>
        </w:rPr>
        <w:t>.2</w:t>
      </w:r>
      <w:r>
        <w:rPr>
          <w:rFonts w:hint="eastAsia" w:ascii="宋体" w:hAnsi="宋体" w:eastAsia="宋体" w:cs="宋体"/>
          <w:b/>
          <w:bCs/>
          <w:lang w:val="en-US"/>
        </w:rPr>
        <w:t>服务器及网络安全</w:t>
      </w:r>
      <w:r>
        <w:rPr>
          <w:rFonts w:hint="eastAsia" w:ascii="宋体" w:hAnsi="宋体" w:eastAsia="宋体" w:cs="宋体"/>
          <w:b/>
          <w:bCs/>
        </w:rPr>
        <w:t>配置建议</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_Toc7596 \h </w:instrText>
      </w:r>
      <w:r>
        <w:rPr>
          <w:rFonts w:hint="eastAsia" w:ascii="宋体" w:hAnsi="宋体" w:eastAsia="宋体" w:cs="宋体"/>
          <w:b/>
          <w:bCs/>
        </w:rPr>
        <w:fldChar w:fldCharType="separate"/>
      </w:r>
      <w:r>
        <w:rPr>
          <w:rFonts w:hint="eastAsia" w:ascii="宋体" w:hAnsi="宋体" w:eastAsia="宋体" w:cs="宋体"/>
          <w:b/>
          <w:bCs/>
        </w:rPr>
        <w:t>13</w:t>
      </w:r>
      <w:r>
        <w:rPr>
          <w:rFonts w:hint="eastAsia" w:ascii="宋体" w:hAnsi="宋体" w:eastAsia="宋体" w:cs="宋体"/>
          <w:b/>
          <w:bCs/>
        </w:rPr>
        <w:fldChar w:fldCharType="end"/>
      </w:r>
      <w:r>
        <w:rPr>
          <w:rFonts w:hint="eastAsia" w:ascii="宋体" w:hAnsi="宋体" w:eastAsia="宋体" w:cs="宋体"/>
          <w:b/>
          <w:bCs/>
        </w:rPr>
        <w:fldChar w:fldCharType="end"/>
      </w:r>
    </w:p>
    <w:p>
      <w:pPr>
        <w:pStyle w:val="12"/>
        <w:tabs>
          <w:tab w:val="right" w:leader="dot" w:pos="9630"/>
          <w:tab w:val="clear" w:pos="9620"/>
        </w:tabs>
        <w:rPr>
          <w:rFonts w:ascii="宋体" w:hAnsi="宋体" w:eastAsia="宋体" w:cs="宋体"/>
        </w:rPr>
      </w:pPr>
      <w:r>
        <w:fldChar w:fldCharType="begin"/>
      </w:r>
      <w:r>
        <w:instrText xml:space="preserve"> HYPERLINK \l "_Toc1318" </w:instrText>
      </w:r>
      <w:r>
        <w:fldChar w:fldCharType="separate"/>
      </w:r>
      <w:r>
        <w:rPr>
          <w:rFonts w:hint="eastAsia" w:ascii="宋体" w:hAnsi="宋体" w:eastAsia="宋体" w:cs="宋体"/>
          <w:b/>
          <w:bCs/>
          <w:lang w:val="en-US"/>
        </w:rPr>
        <w:t>4</w:t>
      </w:r>
      <w:r>
        <w:rPr>
          <w:rFonts w:hint="eastAsia" w:ascii="宋体" w:hAnsi="宋体" w:eastAsia="宋体" w:cs="宋体"/>
          <w:b/>
          <w:bCs/>
        </w:rPr>
        <w:t>.3</w:t>
      </w:r>
      <w:r>
        <w:rPr>
          <w:rFonts w:hint="eastAsia" w:ascii="宋体" w:hAnsi="宋体" w:eastAsia="宋体" w:cs="宋体"/>
          <w:b/>
          <w:bCs/>
          <w:lang w:val="en-US"/>
        </w:rPr>
        <w:t>服务质保期</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_Toc1318 \h </w:instrText>
      </w:r>
      <w:r>
        <w:rPr>
          <w:rFonts w:hint="eastAsia" w:ascii="宋体" w:hAnsi="宋体" w:eastAsia="宋体" w:cs="宋体"/>
          <w:b/>
          <w:bCs/>
        </w:rPr>
        <w:fldChar w:fldCharType="separate"/>
      </w:r>
      <w:r>
        <w:rPr>
          <w:rFonts w:hint="eastAsia" w:ascii="宋体" w:hAnsi="宋体" w:eastAsia="宋体" w:cs="宋体"/>
          <w:b/>
          <w:bCs/>
        </w:rPr>
        <w:t>16</w:t>
      </w:r>
      <w:r>
        <w:rPr>
          <w:rFonts w:hint="eastAsia" w:ascii="宋体" w:hAnsi="宋体" w:eastAsia="宋体" w:cs="宋体"/>
          <w:b/>
          <w:bCs/>
        </w:rPr>
        <w:fldChar w:fldCharType="end"/>
      </w:r>
      <w:r>
        <w:rPr>
          <w:rFonts w:hint="eastAsia" w:ascii="宋体" w:hAnsi="宋体" w:eastAsia="宋体" w:cs="宋体"/>
          <w:b/>
          <w:bCs/>
        </w:rPr>
        <w:fldChar w:fldCharType="end"/>
      </w:r>
    </w:p>
    <w:p>
      <w:pPr>
        <w:rPr>
          <w:sz w:val="21"/>
        </w:rPr>
        <w:sectPr>
          <w:pgSz w:w="11910" w:h="16840"/>
          <w:pgMar w:top="1260" w:right="1160" w:bottom="1660" w:left="1120" w:header="875" w:footer="1467" w:gutter="0"/>
          <w:cols w:space="720" w:num="1"/>
        </w:sectPr>
      </w:pPr>
      <w:r>
        <w:rPr>
          <w:rFonts w:hint="eastAsia"/>
        </w:rPr>
        <w:fldChar w:fldCharType="end"/>
      </w:r>
    </w:p>
    <w:p>
      <w:pPr>
        <w:pStyle w:val="6"/>
        <w:spacing w:before="2"/>
        <w:rPr>
          <w:sz w:val="13"/>
        </w:rPr>
      </w:pPr>
    </w:p>
    <w:p>
      <w:pPr>
        <w:pStyle w:val="3"/>
        <w:rPr>
          <w:rFonts w:ascii="宋体" w:hAnsi="宋体" w:eastAsia="宋体" w:cs="宋体"/>
        </w:rPr>
      </w:pPr>
      <w:bookmarkStart w:id="1" w:name="_bookmark0"/>
      <w:bookmarkEnd w:id="1"/>
      <w:bookmarkStart w:id="2" w:name="_Toc98944838"/>
      <w:bookmarkStart w:id="3" w:name="_Toc3837"/>
      <w:r>
        <w:rPr>
          <w:rFonts w:hint="eastAsia" w:ascii="宋体" w:hAnsi="宋体" w:eastAsia="宋体" w:cs="宋体"/>
        </w:rPr>
        <w:t>1项目概述</w:t>
      </w:r>
      <w:bookmarkEnd w:id="2"/>
      <w:bookmarkEnd w:id="3"/>
    </w:p>
    <w:p>
      <w:pPr>
        <w:pStyle w:val="6"/>
        <w:spacing w:before="6"/>
        <w:rPr>
          <w:b/>
          <w:sz w:val="18"/>
        </w:rPr>
      </w:pPr>
    </w:p>
    <w:p>
      <w:pPr>
        <w:pStyle w:val="4"/>
        <w:rPr>
          <w:rFonts w:ascii="宋体" w:hAnsi="宋体" w:eastAsia="宋体" w:cs="宋体"/>
        </w:rPr>
      </w:pPr>
      <w:bookmarkStart w:id="4" w:name="_Toc98944846"/>
      <w:bookmarkStart w:id="5" w:name="_Toc1711"/>
      <w:r>
        <w:rPr>
          <w:rFonts w:hint="eastAsia" w:ascii="宋体" w:hAnsi="宋体" w:eastAsia="宋体" w:cs="宋体"/>
        </w:rPr>
        <w:t>1.</w:t>
      </w:r>
      <w:bookmarkStart w:id="6" w:name="_bookmark8"/>
      <w:bookmarkEnd w:id="6"/>
      <w:r>
        <w:rPr>
          <w:rFonts w:hint="eastAsia" w:ascii="宋体" w:hAnsi="宋体" w:eastAsia="宋体" w:cs="宋体"/>
          <w:lang w:val="en-US"/>
        </w:rPr>
        <w:t>1</w:t>
      </w:r>
      <w:r>
        <w:rPr>
          <w:rFonts w:hint="eastAsia" w:ascii="宋体" w:hAnsi="宋体" w:eastAsia="宋体" w:cs="宋体"/>
        </w:rPr>
        <w:t>建设内容</w:t>
      </w:r>
      <w:bookmarkEnd w:id="4"/>
      <w:bookmarkEnd w:id="5"/>
    </w:p>
    <w:p>
      <w:pPr>
        <w:pStyle w:val="6"/>
        <w:spacing w:before="136"/>
        <w:ind w:left="1160"/>
      </w:pPr>
      <w:r>
        <w:rPr>
          <w:rFonts w:hint="eastAsia"/>
        </w:rPr>
        <w:t>满足财政部医疗电子票据改革的需要，严格遵循三部委的医疗电子票据管理</w:t>
      </w:r>
    </w:p>
    <w:p>
      <w:pPr>
        <w:pStyle w:val="6"/>
        <w:rPr>
          <w:sz w:val="9"/>
        </w:rPr>
      </w:pPr>
    </w:p>
    <w:p>
      <w:pPr>
        <w:pStyle w:val="6"/>
        <w:spacing w:before="67" w:line="381" w:lineRule="auto"/>
        <w:ind w:left="680" w:right="637"/>
      </w:pPr>
      <w:r>
        <w:rPr>
          <w:rFonts w:hint="eastAsia"/>
          <w:spacing w:val="-16"/>
        </w:rPr>
        <w:t>改革的标准规范和业务要求，实现对电子票据的赋码、开具、传输、查验、入账、</w:t>
      </w:r>
      <w:r>
        <w:rPr>
          <w:rFonts w:hint="eastAsia"/>
        </w:rPr>
        <w:t>归档等流程的管理，需要进行以下内容的建设：</w:t>
      </w:r>
    </w:p>
    <w:p>
      <w:pPr>
        <w:pStyle w:val="5"/>
        <w:rPr>
          <w:rFonts w:ascii="宋体" w:hAnsi="宋体" w:eastAsia="宋体" w:cs="宋体"/>
        </w:rPr>
      </w:pPr>
      <w:bookmarkStart w:id="7" w:name="_bookmark9"/>
      <w:bookmarkEnd w:id="7"/>
      <w:bookmarkStart w:id="8" w:name="_Toc98944847"/>
      <w:bookmarkStart w:id="9" w:name="_Toc9990"/>
      <w:r>
        <w:rPr>
          <w:rFonts w:hint="eastAsia" w:ascii="宋体" w:hAnsi="宋体" w:eastAsia="宋体" w:cs="宋体"/>
        </w:rPr>
        <w:t>1.</w:t>
      </w:r>
      <w:r>
        <w:rPr>
          <w:rFonts w:hint="eastAsia" w:ascii="宋体" w:hAnsi="宋体" w:eastAsia="宋体" w:cs="宋体"/>
          <w:lang w:val="en-US"/>
        </w:rPr>
        <w:t>1</w:t>
      </w:r>
      <w:r>
        <w:rPr>
          <w:rFonts w:hint="eastAsia" w:ascii="宋体" w:hAnsi="宋体" w:eastAsia="宋体" w:cs="宋体"/>
        </w:rPr>
        <w:t>.1建设医疗收费电子票据管理系统</w:t>
      </w:r>
      <w:bookmarkEnd w:id="8"/>
      <w:bookmarkEnd w:id="9"/>
    </w:p>
    <w:p>
      <w:pPr>
        <w:pStyle w:val="6"/>
        <w:spacing w:before="159" w:line="381" w:lineRule="auto"/>
        <w:ind w:left="680" w:right="636" w:firstLine="479"/>
        <w:jc w:val="both"/>
      </w:pPr>
      <w:r>
        <w:rPr>
          <w:rFonts w:hint="eastAsia"/>
          <w:spacing w:val="-5"/>
        </w:rPr>
        <w:t>遵循三部委的医疗电子票据管理改革的标准规范和业务要求，结合</w:t>
      </w:r>
      <w:r>
        <w:rPr>
          <w:rFonts w:hint="eastAsia"/>
          <w:spacing w:val="-5"/>
          <w:lang w:val="en-US"/>
        </w:rPr>
        <w:t>宜川县人民医院</w:t>
      </w:r>
      <w:r>
        <w:rPr>
          <w:rFonts w:hint="eastAsia"/>
          <w:spacing w:val="-6"/>
        </w:rPr>
        <w:t>业务需求建设医疗收费电子票据管理系统，实现医疗票据的在线申领、分</w:t>
      </w:r>
      <w:r>
        <w:rPr>
          <w:rFonts w:hint="eastAsia"/>
        </w:rPr>
        <w:t>发、开具、存档管理，满足医疗电子票据管理的基础需求。</w:t>
      </w:r>
    </w:p>
    <w:p>
      <w:pPr>
        <w:pStyle w:val="5"/>
        <w:rPr>
          <w:rFonts w:ascii="宋体" w:hAnsi="宋体" w:eastAsia="宋体" w:cs="宋体"/>
        </w:rPr>
      </w:pPr>
      <w:bookmarkStart w:id="10" w:name="_bookmark10"/>
      <w:bookmarkEnd w:id="10"/>
      <w:bookmarkStart w:id="11" w:name="_Toc98944848"/>
      <w:bookmarkStart w:id="12" w:name="_Toc15850"/>
      <w:r>
        <w:rPr>
          <w:rFonts w:hint="eastAsia" w:ascii="宋体" w:hAnsi="宋体" w:eastAsia="宋体" w:cs="宋体"/>
        </w:rPr>
        <w:t>1.</w:t>
      </w:r>
      <w:r>
        <w:rPr>
          <w:rFonts w:hint="eastAsia" w:ascii="宋体" w:hAnsi="宋体" w:eastAsia="宋体" w:cs="宋体"/>
          <w:lang w:val="en-US"/>
        </w:rPr>
        <w:t>1</w:t>
      </w:r>
      <w:r>
        <w:rPr>
          <w:rFonts w:hint="eastAsia" w:ascii="宋体" w:hAnsi="宋体" w:eastAsia="宋体" w:cs="宋体"/>
        </w:rPr>
        <w:t>.2实现与财政部电子票据管理系统对接</w:t>
      </w:r>
      <w:bookmarkEnd w:id="11"/>
      <w:bookmarkEnd w:id="12"/>
    </w:p>
    <w:p>
      <w:pPr>
        <w:pStyle w:val="6"/>
        <w:spacing w:before="159" w:line="381" w:lineRule="auto"/>
        <w:ind w:left="680" w:right="636" w:firstLine="479"/>
        <w:jc w:val="both"/>
      </w:pPr>
      <w:r>
        <w:rPr>
          <w:rFonts w:hint="eastAsia"/>
          <w:spacing w:val="-5"/>
        </w:rPr>
        <w:t>按照《财政电子票据数据规范》和《财政电子票据对接报文规范》，采用前</w:t>
      </w:r>
      <w:r>
        <w:rPr>
          <w:rFonts w:hint="eastAsia"/>
          <w:spacing w:val="-11"/>
        </w:rPr>
        <w:t>置接口模式与财政电子票据系统进行对接对接，满足财政电子票据业务的基础信</w:t>
      </w:r>
      <w:r>
        <w:rPr>
          <w:rFonts w:hint="eastAsia"/>
        </w:rPr>
        <w:t>息管理、开票业务和入账业务。</w:t>
      </w:r>
    </w:p>
    <w:p>
      <w:pPr>
        <w:pStyle w:val="5"/>
        <w:rPr>
          <w:rFonts w:ascii="宋体" w:hAnsi="宋体" w:eastAsia="宋体" w:cs="宋体"/>
        </w:rPr>
      </w:pPr>
      <w:bookmarkStart w:id="13" w:name="_bookmark11"/>
      <w:bookmarkEnd w:id="13"/>
      <w:bookmarkStart w:id="14" w:name="_Toc98944849"/>
      <w:bookmarkStart w:id="15" w:name="_Toc9978"/>
      <w:r>
        <w:rPr>
          <w:rFonts w:hint="eastAsia" w:ascii="宋体" w:hAnsi="宋体" w:eastAsia="宋体" w:cs="宋体"/>
        </w:rPr>
        <w:t>1.</w:t>
      </w:r>
      <w:r>
        <w:rPr>
          <w:rFonts w:hint="eastAsia" w:ascii="宋体" w:hAnsi="宋体" w:eastAsia="宋体" w:cs="宋体"/>
          <w:lang w:val="en-US"/>
        </w:rPr>
        <w:t>1</w:t>
      </w:r>
      <w:r>
        <w:rPr>
          <w:rFonts w:hint="eastAsia" w:ascii="宋体" w:hAnsi="宋体" w:eastAsia="宋体" w:cs="宋体"/>
        </w:rPr>
        <w:t>.3实现与医院业务系统对接</w:t>
      </w:r>
      <w:bookmarkEnd w:id="14"/>
      <w:bookmarkEnd w:id="15"/>
    </w:p>
    <w:p>
      <w:pPr>
        <w:pStyle w:val="6"/>
        <w:spacing w:before="159" w:line="381" w:lineRule="auto"/>
        <w:ind w:left="680" w:right="524" w:firstLine="479"/>
      </w:pPr>
      <w:r>
        <w:rPr>
          <w:rFonts w:hint="eastAsia"/>
          <w:spacing w:val="-8"/>
        </w:rPr>
        <w:t>统一简化与医院</w:t>
      </w:r>
      <w:r>
        <w:rPr>
          <w:rFonts w:hint="eastAsia"/>
        </w:rPr>
        <w:t>HIS</w:t>
      </w:r>
      <w:r>
        <w:rPr>
          <w:rFonts w:hint="eastAsia"/>
          <w:spacing w:val="-13"/>
        </w:rPr>
        <w:t>对接标准，</w:t>
      </w:r>
      <w:r>
        <w:rPr>
          <w:rFonts w:hint="eastAsia"/>
          <w:spacing w:val="-14"/>
        </w:rPr>
        <w:t>参照《财政票据管理办法》</w:t>
      </w:r>
      <w:r>
        <w:rPr>
          <w:rFonts w:hint="eastAsia"/>
        </w:rPr>
        <w:t>和电子票据的票面信息，优化传输数据和报文。</w:t>
      </w:r>
    </w:p>
    <w:p>
      <w:pPr>
        <w:pStyle w:val="6"/>
        <w:ind w:left="680"/>
      </w:pPr>
      <w:bookmarkStart w:id="16" w:name="_bookmark12"/>
      <w:bookmarkEnd w:id="16"/>
    </w:p>
    <w:p>
      <w:pPr>
        <w:pStyle w:val="6"/>
        <w:ind w:left="680"/>
      </w:pPr>
    </w:p>
    <w:p>
      <w:pPr>
        <w:pStyle w:val="6"/>
        <w:ind w:left="680"/>
      </w:pPr>
    </w:p>
    <w:p>
      <w:pPr>
        <w:pStyle w:val="6"/>
        <w:ind w:left="680"/>
      </w:pPr>
    </w:p>
    <w:p>
      <w:pPr>
        <w:pStyle w:val="6"/>
        <w:ind w:left="680"/>
      </w:pPr>
    </w:p>
    <w:p>
      <w:pPr>
        <w:pStyle w:val="6"/>
        <w:ind w:left="680"/>
      </w:pPr>
    </w:p>
    <w:p>
      <w:pPr>
        <w:pStyle w:val="6"/>
        <w:ind w:left="680"/>
      </w:pPr>
    </w:p>
    <w:p>
      <w:pPr>
        <w:pStyle w:val="6"/>
        <w:ind w:left="680"/>
      </w:pPr>
    </w:p>
    <w:p>
      <w:pPr>
        <w:pStyle w:val="6"/>
        <w:ind w:left="680"/>
      </w:pPr>
    </w:p>
    <w:p>
      <w:pPr>
        <w:pStyle w:val="6"/>
        <w:ind w:left="680"/>
      </w:pPr>
    </w:p>
    <w:p>
      <w:pPr>
        <w:pStyle w:val="6"/>
        <w:ind w:left="680"/>
      </w:pPr>
    </w:p>
    <w:p>
      <w:pPr>
        <w:pStyle w:val="6"/>
        <w:ind w:left="680"/>
      </w:pPr>
    </w:p>
    <w:p>
      <w:pPr>
        <w:pStyle w:val="6"/>
        <w:ind w:left="680"/>
      </w:pPr>
    </w:p>
    <w:p>
      <w:pPr>
        <w:pStyle w:val="6"/>
        <w:ind w:left="680"/>
      </w:pPr>
    </w:p>
    <w:p>
      <w:pPr>
        <w:pStyle w:val="6"/>
        <w:ind w:left="680"/>
      </w:pPr>
    </w:p>
    <w:p>
      <w:pPr>
        <w:pStyle w:val="6"/>
        <w:ind w:left="680"/>
      </w:pPr>
    </w:p>
    <w:p>
      <w:pPr>
        <w:pStyle w:val="6"/>
        <w:ind w:left="680"/>
      </w:pPr>
      <w:r>
        <w:rPr>
          <w:rFonts w:hint="eastAsia"/>
        </w:rPr>
        <w:t>按系统整体架构由左向右各业务主体的组成分析如下：</w:t>
      </w:r>
    </w:p>
    <w:p>
      <w:pPr>
        <w:pStyle w:val="6"/>
        <w:spacing w:before="1"/>
        <w:rPr>
          <w:sz w:val="7"/>
        </w:rPr>
      </w:pPr>
    </w:p>
    <w:tbl>
      <w:tblPr>
        <w:tblStyle w:val="17"/>
        <w:tblW w:w="0" w:type="auto"/>
        <w:tblInd w:w="6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1265"/>
        <w:gridCol w:w="64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715" w:type="dxa"/>
            <w:shd w:val="clear" w:color="auto" w:fill="BEBEBE"/>
          </w:tcPr>
          <w:p>
            <w:pPr>
              <w:pStyle w:val="19"/>
              <w:spacing w:before="42"/>
              <w:ind w:left="180" w:right="65"/>
              <w:jc w:val="center"/>
              <w:rPr>
                <w:b/>
                <w:sz w:val="21"/>
              </w:rPr>
            </w:pPr>
            <w:r>
              <w:rPr>
                <w:rFonts w:hint="eastAsia"/>
                <w:b/>
                <w:sz w:val="21"/>
              </w:rPr>
              <w:t>序号</w:t>
            </w:r>
          </w:p>
        </w:tc>
        <w:tc>
          <w:tcPr>
            <w:tcW w:w="1265" w:type="dxa"/>
            <w:shd w:val="clear" w:color="auto" w:fill="BEBEBE"/>
          </w:tcPr>
          <w:p>
            <w:pPr>
              <w:pStyle w:val="19"/>
              <w:spacing w:before="42"/>
              <w:ind w:left="211"/>
              <w:rPr>
                <w:b/>
                <w:sz w:val="21"/>
              </w:rPr>
            </w:pPr>
            <w:r>
              <w:rPr>
                <w:rFonts w:hint="eastAsia"/>
                <w:b/>
                <w:sz w:val="21"/>
              </w:rPr>
              <w:t>业务主体</w:t>
            </w:r>
          </w:p>
        </w:tc>
        <w:tc>
          <w:tcPr>
            <w:tcW w:w="6430" w:type="dxa"/>
            <w:shd w:val="clear" w:color="auto" w:fill="BEBEBE"/>
          </w:tcPr>
          <w:p>
            <w:pPr>
              <w:pStyle w:val="19"/>
              <w:spacing w:before="42"/>
              <w:ind w:left="3039" w:right="2920"/>
              <w:jc w:val="center"/>
              <w:rPr>
                <w:b/>
                <w:sz w:val="21"/>
              </w:rPr>
            </w:pPr>
            <w:r>
              <w:rPr>
                <w:rFonts w:hint="eastAsia"/>
                <w:b/>
                <w:sz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1" w:hRule="atLeast"/>
        </w:trPr>
        <w:tc>
          <w:tcPr>
            <w:tcW w:w="715" w:type="dxa"/>
          </w:tcPr>
          <w:p>
            <w:pPr>
              <w:pStyle w:val="19"/>
              <w:rPr>
                <w:sz w:val="20"/>
              </w:rPr>
            </w:pPr>
          </w:p>
          <w:p>
            <w:pPr>
              <w:pStyle w:val="19"/>
              <w:spacing w:before="4"/>
              <w:rPr>
                <w:sz w:val="17"/>
              </w:rPr>
            </w:pPr>
          </w:p>
          <w:p>
            <w:pPr>
              <w:pStyle w:val="19"/>
              <w:ind w:left="180" w:right="65"/>
              <w:jc w:val="center"/>
              <w:rPr>
                <w:sz w:val="21"/>
              </w:rPr>
            </w:pPr>
            <w:r>
              <w:rPr>
                <w:rFonts w:hint="eastAsia"/>
                <w:sz w:val="21"/>
              </w:rPr>
              <w:t xml:space="preserve">1 </w:t>
            </w:r>
          </w:p>
        </w:tc>
        <w:tc>
          <w:tcPr>
            <w:tcW w:w="1265" w:type="dxa"/>
          </w:tcPr>
          <w:p>
            <w:pPr>
              <w:pStyle w:val="19"/>
              <w:spacing w:before="13" w:line="490" w:lineRule="atLeast"/>
              <w:ind w:left="316" w:right="199"/>
              <w:rPr>
                <w:sz w:val="21"/>
              </w:rPr>
            </w:pPr>
            <w:r>
              <w:rPr>
                <w:rFonts w:hint="eastAsia"/>
                <w:sz w:val="21"/>
              </w:rPr>
              <w:t>财政系统对接</w:t>
            </w:r>
          </w:p>
        </w:tc>
        <w:tc>
          <w:tcPr>
            <w:tcW w:w="6430" w:type="dxa"/>
          </w:tcPr>
          <w:p>
            <w:pPr>
              <w:pStyle w:val="19"/>
              <w:spacing w:before="70"/>
              <w:ind w:left="110"/>
              <w:rPr>
                <w:sz w:val="21"/>
              </w:rPr>
            </w:pPr>
            <w:r>
              <w:rPr>
                <w:rFonts w:hint="eastAsia"/>
                <w:sz w:val="21"/>
              </w:rPr>
              <w:t>按照《财政电子票据数据规范》和《财政电子票据对接报文规范》，</w:t>
            </w:r>
          </w:p>
          <w:p>
            <w:pPr>
              <w:pStyle w:val="19"/>
              <w:spacing w:before="8" w:line="400" w:lineRule="atLeast"/>
              <w:ind w:left="110" w:right="90"/>
              <w:rPr>
                <w:sz w:val="21"/>
              </w:rPr>
            </w:pPr>
            <w:r>
              <w:rPr>
                <w:rFonts w:hint="eastAsia"/>
                <w:spacing w:val="-9"/>
                <w:sz w:val="21"/>
              </w:rPr>
              <w:t>与财政电子票据系统的对接，满足财政电子票据业务的基础管理、开</w:t>
            </w:r>
            <w:r>
              <w:rPr>
                <w:rFonts w:hint="eastAsia"/>
                <w:spacing w:val="-5"/>
                <w:sz w:val="21"/>
              </w:rPr>
              <w:t>票业务、入账业务。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15" w:type="dxa"/>
          </w:tcPr>
          <w:p>
            <w:pPr>
              <w:pStyle w:val="19"/>
              <w:rPr>
                <w:sz w:val="20"/>
              </w:rPr>
            </w:pPr>
          </w:p>
          <w:p>
            <w:pPr>
              <w:pStyle w:val="19"/>
              <w:rPr>
                <w:sz w:val="20"/>
              </w:rPr>
            </w:pPr>
          </w:p>
          <w:p>
            <w:pPr>
              <w:pStyle w:val="19"/>
              <w:spacing w:before="170"/>
              <w:ind w:left="180" w:right="65"/>
              <w:jc w:val="center"/>
              <w:rPr>
                <w:sz w:val="21"/>
              </w:rPr>
            </w:pPr>
            <w:r>
              <w:rPr>
                <w:rFonts w:hint="eastAsia"/>
                <w:sz w:val="21"/>
              </w:rPr>
              <w:t xml:space="preserve">2 </w:t>
            </w:r>
          </w:p>
        </w:tc>
        <w:tc>
          <w:tcPr>
            <w:tcW w:w="1265" w:type="dxa"/>
          </w:tcPr>
          <w:p>
            <w:pPr>
              <w:pStyle w:val="19"/>
              <w:rPr>
                <w:sz w:val="20"/>
              </w:rPr>
            </w:pPr>
          </w:p>
          <w:p>
            <w:pPr>
              <w:pStyle w:val="19"/>
              <w:rPr>
                <w:sz w:val="20"/>
              </w:rPr>
            </w:pPr>
          </w:p>
          <w:p>
            <w:pPr>
              <w:pStyle w:val="19"/>
              <w:spacing w:before="170"/>
              <w:ind w:left="245" w:right="130"/>
              <w:jc w:val="center"/>
              <w:rPr>
                <w:sz w:val="21"/>
              </w:rPr>
            </w:pPr>
            <w:r>
              <w:rPr>
                <w:rFonts w:hint="eastAsia"/>
                <w:sz w:val="21"/>
              </w:rPr>
              <w:t>门户层</w:t>
            </w:r>
          </w:p>
        </w:tc>
        <w:tc>
          <w:tcPr>
            <w:tcW w:w="6430" w:type="dxa"/>
          </w:tcPr>
          <w:p>
            <w:pPr>
              <w:pStyle w:val="19"/>
              <w:spacing w:before="70" w:line="364" w:lineRule="auto"/>
              <w:ind w:left="110" w:right="87"/>
              <w:jc w:val="both"/>
              <w:rPr>
                <w:sz w:val="21"/>
              </w:rPr>
            </w:pPr>
            <w:r>
              <w:rPr>
                <w:rFonts w:hint="eastAsia"/>
                <w:spacing w:val="-8"/>
                <w:sz w:val="21"/>
              </w:rPr>
              <w:t>面向</w:t>
            </w:r>
            <w:r>
              <w:rPr>
                <w:rFonts w:hint="eastAsia"/>
                <w:spacing w:val="-8"/>
                <w:sz w:val="21"/>
                <w:lang w:val="en-US"/>
              </w:rPr>
              <w:t>宜川县人民医院</w:t>
            </w:r>
            <w:r>
              <w:rPr>
                <w:rFonts w:hint="eastAsia"/>
                <w:spacing w:val="-8"/>
                <w:sz w:val="21"/>
              </w:rPr>
              <w:t>相关业务人员、财务人员、管理人员以及患者患</w:t>
            </w:r>
            <w:r>
              <w:rPr>
                <w:rFonts w:hint="eastAsia"/>
                <w:spacing w:val="-12"/>
                <w:sz w:val="21"/>
              </w:rPr>
              <w:t>者、社会公众展现并操作使用，满足医疗电子票据综合服务与管理的</w:t>
            </w:r>
            <w:r>
              <w:rPr>
                <w:rFonts w:hint="eastAsia"/>
                <w:spacing w:val="-11"/>
                <w:sz w:val="21"/>
              </w:rPr>
              <w:t>应用，并结合掌医应用、收费窗口、移动应用方式，进一步提高患者</w:t>
            </w:r>
          </w:p>
          <w:p>
            <w:pPr>
              <w:pStyle w:val="19"/>
              <w:spacing w:line="264" w:lineRule="exact"/>
              <w:ind w:left="110"/>
              <w:rPr>
                <w:sz w:val="21"/>
              </w:rPr>
            </w:pPr>
            <w:r>
              <w:rPr>
                <w:rFonts w:hint="eastAsia"/>
                <w:sz w:val="21"/>
              </w:rPr>
              <w:t>获票体验。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1" w:hRule="atLeast"/>
        </w:trPr>
        <w:tc>
          <w:tcPr>
            <w:tcW w:w="715" w:type="dxa"/>
          </w:tcPr>
          <w:p>
            <w:pPr>
              <w:pStyle w:val="19"/>
              <w:rPr>
                <w:sz w:val="20"/>
              </w:rPr>
            </w:pPr>
          </w:p>
          <w:p>
            <w:pPr>
              <w:pStyle w:val="19"/>
              <w:rPr>
                <w:sz w:val="20"/>
              </w:rPr>
            </w:pPr>
          </w:p>
          <w:p>
            <w:pPr>
              <w:pStyle w:val="19"/>
              <w:spacing w:before="170"/>
              <w:ind w:left="180" w:right="65"/>
              <w:jc w:val="center"/>
              <w:rPr>
                <w:sz w:val="21"/>
              </w:rPr>
            </w:pPr>
            <w:r>
              <w:rPr>
                <w:rFonts w:hint="eastAsia"/>
                <w:sz w:val="21"/>
              </w:rPr>
              <w:t xml:space="preserve">3 </w:t>
            </w:r>
          </w:p>
        </w:tc>
        <w:tc>
          <w:tcPr>
            <w:tcW w:w="1265" w:type="dxa"/>
          </w:tcPr>
          <w:p>
            <w:pPr>
              <w:pStyle w:val="19"/>
              <w:rPr>
                <w:sz w:val="20"/>
              </w:rPr>
            </w:pPr>
          </w:p>
          <w:p>
            <w:pPr>
              <w:pStyle w:val="19"/>
              <w:rPr>
                <w:sz w:val="20"/>
              </w:rPr>
            </w:pPr>
          </w:p>
          <w:p>
            <w:pPr>
              <w:pStyle w:val="19"/>
              <w:spacing w:before="170"/>
              <w:ind w:left="245" w:right="130"/>
              <w:jc w:val="center"/>
              <w:rPr>
                <w:sz w:val="21"/>
              </w:rPr>
            </w:pPr>
            <w:r>
              <w:rPr>
                <w:rFonts w:hint="eastAsia"/>
                <w:sz w:val="21"/>
              </w:rPr>
              <w:t>应用层</w:t>
            </w:r>
          </w:p>
        </w:tc>
        <w:tc>
          <w:tcPr>
            <w:tcW w:w="6430" w:type="dxa"/>
          </w:tcPr>
          <w:p>
            <w:pPr>
              <w:pStyle w:val="19"/>
              <w:spacing w:before="70" w:line="364" w:lineRule="auto"/>
              <w:ind w:left="110" w:right="1"/>
              <w:jc w:val="both"/>
              <w:rPr>
                <w:sz w:val="21"/>
              </w:rPr>
            </w:pPr>
            <w:r>
              <w:rPr>
                <w:rFonts w:hint="eastAsia"/>
                <w:sz w:val="21"/>
              </w:rPr>
              <w:t>主要由云管理平台、云业务平台、业务中心、开票服务中心等组成，实现电子票据开具相关的业务，包括组织机构管理、用户权限管理、签章管理、业务数据的后台维护、数据查询等功能、操作日志记录及</w:t>
            </w:r>
          </w:p>
          <w:p>
            <w:pPr>
              <w:pStyle w:val="19"/>
              <w:spacing w:line="266" w:lineRule="exact"/>
              <w:ind w:left="110"/>
              <w:rPr>
                <w:sz w:val="21"/>
              </w:rPr>
            </w:pPr>
            <w:r>
              <w:rPr>
                <w:rFonts w:hint="eastAsia"/>
                <w:sz w:val="21"/>
              </w:rPr>
              <w:t>显示、库存预警等功能。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1" w:hRule="atLeast"/>
        </w:trPr>
        <w:tc>
          <w:tcPr>
            <w:tcW w:w="715" w:type="dxa"/>
          </w:tcPr>
          <w:p>
            <w:pPr>
              <w:pStyle w:val="19"/>
              <w:rPr>
                <w:sz w:val="20"/>
              </w:rPr>
            </w:pPr>
          </w:p>
          <w:p>
            <w:pPr>
              <w:pStyle w:val="19"/>
              <w:spacing w:before="5"/>
              <w:rPr>
                <w:sz w:val="17"/>
              </w:rPr>
            </w:pPr>
          </w:p>
          <w:p>
            <w:pPr>
              <w:pStyle w:val="19"/>
              <w:ind w:left="180" w:right="65"/>
              <w:jc w:val="center"/>
              <w:rPr>
                <w:sz w:val="21"/>
              </w:rPr>
            </w:pPr>
            <w:r>
              <w:rPr>
                <w:rFonts w:hint="eastAsia"/>
                <w:sz w:val="21"/>
              </w:rPr>
              <w:t xml:space="preserve">4 </w:t>
            </w:r>
          </w:p>
        </w:tc>
        <w:tc>
          <w:tcPr>
            <w:tcW w:w="1265" w:type="dxa"/>
          </w:tcPr>
          <w:p>
            <w:pPr>
              <w:pStyle w:val="19"/>
              <w:spacing w:before="23" w:line="480" w:lineRule="atLeast"/>
              <w:ind w:left="422" w:right="199" w:hanging="106"/>
              <w:rPr>
                <w:sz w:val="21"/>
              </w:rPr>
            </w:pPr>
            <w:r>
              <w:rPr>
                <w:rFonts w:hint="eastAsia"/>
                <w:sz w:val="21"/>
              </w:rPr>
              <w:t>技术支撑层</w:t>
            </w:r>
          </w:p>
        </w:tc>
        <w:tc>
          <w:tcPr>
            <w:tcW w:w="6430" w:type="dxa"/>
          </w:tcPr>
          <w:p>
            <w:pPr>
              <w:pStyle w:val="19"/>
              <w:spacing w:before="71"/>
              <w:ind w:left="110"/>
              <w:rPr>
                <w:sz w:val="21"/>
              </w:rPr>
            </w:pPr>
            <w:r>
              <w:rPr>
                <w:rFonts w:hint="eastAsia"/>
                <w:sz w:val="21"/>
              </w:rPr>
              <w:t>基于前后端分离、微服务等技术，基本业务处理单元由构件来完成，</w:t>
            </w:r>
          </w:p>
          <w:p>
            <w:pPr>
              <w:pStyle w:val="19"/>
              <w:spacing w:before="8" w:line="400" w:lineRule="atLeast"/>
              <w:ind w:left="110" w:right="90"/>
              <w:rPr>
                <w:sz w:val="21"/>
              </w:rPr>
            </w:pPr>
            <w:r>
              <w:rPr>
                <w:rFonts w:hint="eastAsia"/>
                <w:spacing w:val="-8"/>
                <w:sz w:val="21"/>
              </w:rPr>
              <w:t>应用通过业务需求对构件进行编排，组装成各种各样的应用，再通过</w:t>
            </w:r>
            <w:r>
              <w:rPr>
                <w:rFonts w:hint="eastAsia"/>
                <w:spacing w:val="-5"/>
                <w:sz w:val="21"/>
              </w:rPr>
              <w:t>集成框架展示出来。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715" w:type="dxa"/>
          </w:tcPr>
          <w:p>
            <w:pPr>
              <w:pStyle w:val="19"/>
              <w:spacing w:before="5"/>
              <w:rPr>
                <w:sz w:val="21"/>
              </w:rPr>
            </w:pPr>
          </w:p>
          <w:p>
            <w:pPr>
              <w:pStyle w:val="19"/>
              <w:ind w:left="180" w:right="65"/>
              <w:jc w:val="center"/>
              <w:rPr>
                <w:sz w:val="21"/>
              </w:rPr>
            </w:pPr>
            <w:r>
              <w:rPr>
                <w:rFonts w:hint="eastAsia"/>
                <w:sz w:val="21"/>
              </w:rPr>
              <w:t xml:space="preserve">5 </w:t>
            </w:r>
          </w:p>
        </w:tc>
        <w:tc>
          <w:tcPr>
            <w:tcW w:w="1265" w:type="dxa"/>
          </w:tcPr>
          <w:p>
            <w:pPr>
              <w:pStyle w:val="19"/>
              <w:spacing w:before="5"/>
              <w:rPr>
                <w:sz w:val="21"/>
              </w:rPr>
            </w:pPr>
          </w:p>
          <w:p>
            <w:pPr>
              <w:pStyle w:val="19"/>
              <w:ind w:left="245" w:right="130"/>
              <w:jc w:val="center"/>
              <w:rPr>
                <w:sz w:val="21"/>
              </w:rPr>
            </w:pPr>
            <w:r>
              <w:rPr>
                <w:rFonts w:hint="eastAsia"/>
                <w:sz w:val="21"/>
              </w:rPr>
              <w:t>数据层</w:t>
            </w:r>
          </w:p>
        </w:tc>
        <w:tc>
          <w:tcPr>
            <w:tcW w:w="6430" w:type="dxa"/>
          </w:tcPr>
          <w:p>
            <w:pPr>
              <w:pStyle w:val="19"/>
              <w:spacing w:before="70"/>
              <w:ind w:left="110"/>
              <w:rPr>
                <w:sz w:val="21"/>
              </w:rPr>
            </w:pPr>
            <w:r>
              <w:rPr>
                <w:rFonts w:hint="eastAsia"/>
                <w:sz w:val="21"/>
              </w:rPr>
              <w:t>采用基础于大数据管理的发票数据管理设计，包括发票数据业务库、</w:t>
            </w:r>
          </w:p>
          <w:p>
            <w:pPr>
              <w:pStyle w:val="19"/>
              <w:spacing w:before="139"/>
              <w:ind w:left="110"/>
              <w:rPr>
                <w:sz w:val="21"/>
              </w:rPr>
            </w:pPr>
            <w:r>
              <w:rPr>
                <w:rFonts w:hint="eastAsia"/>
                <w:sz w:val="21"/>
              </w:rPr>
              <w:t>查询库、电子票据版式文件数据库、ELK 系统日志数据库。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9" w:hRule="atLeast"/>
        </w:trPr>
        <w:tc>
          <w:tcPr>
            <w:tcW w:w="715" w:type="dxa"/>
          </w:tcPr>
          <w:p>
            <w:pPr>
              <w:pStyle w:val="19"/>
              <w:rPr>
                <w:sz w:val="20"/>
              </w:rPr>
            </w:pPr>
          </w:p>
          <w:p>
            <w:pPr>
              <w:pStyle w:val="19"/>
              <w:rPr>
                <w:sz w:val="20"/>
              </w:rPr>
            </w:pPr>
          </w:p>
          <w:p>
            <w:pPr>
              <w:pStyle w:val="19"/>
              <w:rPr>
                <w:sz w:val="20"/>
              </w:rPr>
            </w:pPr>
          </w:p>
          <w:p>
            <w:pPr>
              <w:pStyle w:val="19"/>
              <w:rPr>
                <w:sz w:val="20"/>
              </w:rPr>
            </w:pPr>
          </w:p>
          <w:p>
            <w:pPr>
              <w:pStyle w:val="19"/>
              <w:rPr>
                <w:sz w:val="20"/>
              </w:rPr>
            </w:pPr>
          </w:p>
          <w:p>
            <w:pPr>
              <w:pStyle w:val="19"/>
              <w:spacing w:before="10"/>
              <w:rPr>
                <w:sz w:val="16"/>
              </w:rPr>
            </w:pPr>
          </w:p>
          <w:p>
            <w:pPr>
              <w:pStyle w:val="19"/>
              <w:ind w:left="180" w:right="65"/>
              <w:jc w:val="center"/>
              <w:rPr>
                <w:sz w:val="21"/>
              </w:rPr>
            </w:pPr>
            <w:r>
              <w:rPr>
                <w:rFonts w:hint="eastAsia"/>
                <w:sz w:val="21"/>
              </w:rPr>
              <w:t xml:space="preserve">6 </w:t>
            </w:r>
          </w:p>
        </w:tc>
        <w:tc>
          <w:tcPr>
            <w:tcW w:w="1265" w:type="dxa"/>
          </w:tcPr>
          <w:p>
            <w:pPr>
              <w:pStyle w:val="19"/>
              <w:rPr>
                <w:sz w:val="20"/>
              </w:rPr>
            </w:pPr>
          </w:p>
          <w:p>
            <w:pPr>
              <w:pStyle w:val="19"/>
              <w:rPr>
                <w:sz w:val="20"/>
              </w:rPr>
            </w:pPr>
          </w:p>
          <w:p>
            <w:pPr>
              <w:pStyle w:val="19"/>
              <w:rPr>
                <w:sz w:val="20"/>
              </w:rPr>
            </w:pPr>
          </w:p>
          <w:p>
            <w:pPr>
              <w:pStyle w:val="19"/>
              <w:rPr>
                <w:sz w:val="20"/>
              </w:rPr>
            </w:pPr>
          </w:p>
          <w:p>
            <w:pPr>
              <w:pStyle w:val="19"/>
              <w:spacing w:before="8"/>
              <w:rPr>
                <w:sz w:val="17"/>
              </w:rPr>
            </w:pPr>
          </w:p>
          <w:p>
            <w:pPr>
              <w:pStyle w:val="19"/>
              <w:spacing w:line="436" w:lineRule="auto"/>
              <w:ind w:left="422" w:right="305"/>
              <w:rPr>
                <w:sz w:val="21"/>
              </w:rPr>
            </w:pPr>
            <w:r>
              <w:rPr>
                <w:rFonts w:hint="eastAsia"/>
                <w:sz w:val="21"/>
              </w:rPr>
              <w:t>基础环境</w:t>
            </w:r>
          </w:p>
        </w:tc>
        <w:tc>
          <w:tcPr>
            <w:tcW w:w="6430" w:type="dxa"/>
          </w:tcPr>
          <w:p>
            <w:pPr>
              <w:pStyle w:val="19"/>
              <w:spacing w:before="70" w:line="364" w:lineRule="auto"/>
              <w:ind w:left="110" w:right="-15"/>
              <w:rPr>
                <w:sz w:val="21"/>
              </w:rPr>
            </w:pPr>
            <w:r>
              <w:rPr>
                <w:rFonts w:hint="eastAsia"/>
                <w:spacing w:val="-12"/>
                <w:sz w:val="21"/>
              </w:rPr>
              <w:t>基础设施层由计算设备、网络设备、存储设备、安全设备、</w:t>
            </w:r>
            <w:r>
              <w:rPr>
                <w:rFonts w:hint="eastAsia"/>
                <w:sz w:val="21"/>
              </w:rPr>
              <w:t>CA</w:t>
            </w:r>
            <w:r>
              <w:rPr>
                <w:rFonts w:hint="eastAsia"/>
                <w:spacing w:val="-12"/>
                <w:sz w:val="21"/>
              </w:rPr>
              <w:t>签名设</w:t>
            </w:r>
            <w:r>
              <w:rPr>
                <w:rFonts w:hint="eastAsia"/>
                <w:spacing w:val="-18"/>
                <w:sz w:val="21"/>
              </w:rPr>
              <w:t>备构成，计算设备主要是指服务器集群，为平台提供运算的硬件资源，</w:t>
            </w:r>
            <w:r>
              <w:rPr>
                <w:rFonts w:hint="eastAsia"/>
                <w:sz w:val="21"/>
              </w:rPr>
              <w:t>网络设备为平台提供网络拓扑资源，使平台能够通过链路与内部网</w:t>
            </w:r>
            <w:r>
              <w:rPr>
                <w:rFonts w:hint="eastAsia"/>
                <w:spacing w:val="-19"/>
                <w:sz w:val="21"/>
              </w:rPr>
              <w:t>络、互联网稳定的交互；存储设备为整个平台数据存储提供硬件支持。</w:t>
            </w:r>
            <w:r>
              <w:rPr>
                <w:rFonts w:hint="eastAsia"/>
                <w:spacing w:val="-8"/>
                <w:sz w:val="21"/>
              </w:rPr>
              <w:t>基础设施层硬件设备</w:t>
            </w:r>
            <w:r>
              <w:rPr>
                <w:rFonts w:hint="eastAsia"/>
                <w:spacing w:val="-3"/>
                <w:sz w:val="21"/>
              </w:rPr>
              <w:t>（除签名服务器设备外</w:t>
            </w:r>
            <w:r>
              <w:rPr>
                <w:rFonts w:hint="eastAsia"/>
                <w:spacing w:val="-44"/>
                <w:sz w:val="21"/>
              </w:rPr>
              <w:t>）</w:t>
            </w:r>
            <w:r>
              <w:rPr>
                <w:rFonts w:hint="eastAsia"/>
                <w:spacing w:val="-3"/>
                <w:sz w:val="21"/>
              </w:rPr>
              <w:t>可以通过云计算虚拟化</w:t>
            </w:r>
            <w:r>
              <w:rPr>
                <w:rFonts w:hint="eastAsia"/>
                <w:spacing w:val="-12"/>
                <w:sz w:val="21"/>
              </w:rPr>
              <w:t>等技术，形成若干虚拟服务器，通过监控管理和资源调度实现各服务</w:t>
            </w:r>
            <w:r>
              <w:rPr>
                <w:rFonts w:hint="eastAsia"/>
                <w:spacing w:val="-13"/>
                <w:sz w:val="21"/>
              </w:rPr>
              <w:t>器的资源动态监控、合理分配、灵活调度，使硬件的性能得到充分的</w:t>
            </w:r>
          </w:p>
          <w:p>
            <w:pPr>
              <w:pStyle w:val="19"/>
              <w:spacing w:line="260" w:lineRule="exact"/>
              <w:ind w:left="110"/>
              <w:rPr>
                <w:sz w:val="21"/>
              </w:rPr>
            </w:pPr>
            <w:r>
              <w:rPr>
                <w:rFonts w:hint="eastAsia"/>
                <w:sz w:val="21"/>
              </w:rPr>
              <w:t>发挥，提高平台的资源利用率。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715" w:type="dxa"/>
          </w:tcPr>
          <w:p>
            <w:pPr>
              <w:pStyle w:val="19"/>
              <w:spacing w:before="10"/>
              <w:rPr>
                <w:sz w:val="27"/>
              </w:rPr>
            </w:pPr>
          </w:p>
          <w:p>
            <w:pPr>
              <w:pStyle w:val="19"/>
              <w:ind w:left="180" w:right="65"/>
              <w:jc w:val="center"/>
              <w:rPr>
                <w:sz w:val="21"/>
              </w:rPr>
            </w:pPr>
            <w:r>
              <w:rPr>
                <w:rFonts w:hint="eastAsia"/>
                <w:sz w:val="21"/>
              </w:rPr>
              <w:t xml:space="preserve">7 </w:t>
            </w:r>
          </w:p>
        </w:tc>
        <w:tc>
          <w:tcPr>
            <w:tcW w:w="1265" w:type="dxa"/>
          </w:tcPr>
          <w:p>
            <w:pPr>
              <w:pStyle w:val="19"/>
              <w:spacing w:before="111"/>
              <w:ind w:left="316"/>
              <w:rPr>
                <w:sz w:val="21"/>
              </w:rPr>
            </w:pPr>
            <w:r>
              <w:rPr>
                <w:rFonts w:hint="eastAsia"/>
                <w:spacing w:val="-1"/>
                <w:sz w:val="21"/>
              </w:rPr>
              <w:t>内部系</w:t>
            </w:r>
          </w:p>
          <w:p>
            <w:pPr>
              <w:pStyle w:val="19"/>
              <w:spacing w:before="3"/>
              <w:rPr>
                <w:sz w:val="17"/>
              </w:rPr>
            </w:pPr>
          </w:p>
          <w:p>
            <w:pPr>
              <w:pStyle w:val="19"/>
              <w:ind w:left="316"/>
              <w:rPr>
                <w:sz w:val="21"/>
              </w:rPr>
            </w:pPr>
            <w:r>
              <w:rPr>
                <w:rFonts w:hint="eastAsia"/>
                <w:spacing w:val="-1"/>
                <w:sz w:val="21"/>
              </w:rPr>
              <w:t>统接入</w:t>
            </w:r>
          </w:p>
        </w:tc>
        <w:tc>
          <w:tcPr>
            <w:tcW w:w="6430" w:type="dxa"/>
          </w:tcPr>
          <w:p>
            <w:pPr>
              <w:pStyle w:val="19"/>
              <w:spacing w:before="21" w:line="400" w:lineRule="atLeast"/>
              <w:ind w:left="110" w:right="92"/>
              <w:rPr>
                <w:sz w:val="21"/>
              </w:rPr>
            </w:pPr>
            <w:r>
              <w:rPr>
                <w:rFonts w:hint="eastAsia"/>
                <w:spacing w:val="-11"/>
                <w:sz w:val="21"/>
              </w:rPr>
              <w:t>与医院HIS系统（项目费用包含院内信息系统对接开发、诊间支付对接开发、微信公众号对接开发）</w:t>
            </w:r>
            <w:bookmarkStart w:id="49" w:name="_GoBack"/>
            <w:bookmarkEnd w:id="49"/>
          </w:p>
        </w:tc>
      </w:tr>
    </w:tbl>
    <w:p>
      <w:pPr>
        <w:pStyle w:val="6"/>
        <w:tabs>
          <w:tab w:val="left" w:pos="4040"/>
        </w:tabs>
        <w:spacing w:before="91"/>
        <w:ind w:left="1160"/>
      </w:pPr>
      <w:r>
        <w:rPr>
          <w:rFonts w:hint="eastAsia"/>
        </w:rPr>
        <w:tab/>
      </w:r>
    </w:p>
    <w:p>
      <w:pPr>
        <w:sectPr>
          <w:footerReference r:id="rId5" w:type="default"/>
          <w:pgSz w:w="11910" w:h="16840"/>
          <w:pgMar w:top="1260" w:right="1160" w:bottom="1300" w:left="1120" w:header="875" w:footer="1117" w:gutter="0"/>
          <w:cols w:space="720" w:num="1"/>
        </w:sectPr>
      </w:pPr>
    </w:p>
    <w:p>
      <w:pPr>
        <w:pStyle w:val="6"/>
        <w:spacing w:before="2"/>
        <w:rPr>
          <w:sz w:val="13"/>
        </w:rPr>
      </w:pPr>
    </w:p>
    <w:p>
      <w:pPr>
        <w:pStyle w:val="3"/>
        <w:rPr>
          <w:rFonts w:ascii="宋体" w:hAnsi="宋体" w:eastAsia="宋体" w:cs="宋体"/>
        </w:rPr>
      </w:pPr>
      <w:bookmarkStart w:id="17" w:name="_bookmark13"/>
      <w:bookmarkEnd w:id="17"/>
      <w:bookmarkStart w:id="18" w:name="_Toc25157"/>
      <w:bookmarkStart w:id="19" w:name="_Toc98944851"/>
      <w:r>
        <w:rPr>
          <w:rFonts w:hint="eastAsia" w:ascii="宋体" w:hAnsi="宋体" w:eastAsia="宋体" w:cs="宋体"/>
          <w:lang w:val="en-US"/>
        </w:rPr>
        <w:t>2</w:t>
      </w:r>
      <w:r>
        <w:rPr>
          <w:rFonts w:hint="eastAsia" w:ascii="宋体" w:hAnsi="宋体" w:eastAsia="宋体" w:cs="宋体"/>
        </w:rPr>
        <w:t>业务流程设计</w:t>
      </w:r>
      <w:bookmarkEnd w:id="18"/>
      <w:bookmarkEnd w:id="19"/>
    </w:p>
    <w:p>
      <w:pPr>
        <w:pStyle w:val="6"/>
        <w:spacing w:before="6"/>
        <w:rPr>
          <w:b/>
          <w:sz w:val="18"/>
        </w:rPr>
      </w:pPr>
    </w:p>
    <w:p>
      <w:pPr>
        <w:pStyle w:val="4"/>
        <w:rPr>
          <w:rFonts w:ascii="宋体" w:hAnsi="宋体" w:eastAsia="宋体" w:cs="宋体"/>
        </w:rPr>
      </w:pPr>
      <w:bookmarkStart w:id="20" w:name="_bookmark14"/>
      <w:bookmarkEnd w:id="20"/>
      <w:bookmarkStart w:id="21" w:name="_Toc3553"/>
      <w:bookmarkStart w:id="22" w:name="_Toc98944852"/>
      <w:r>
        <w:rPr>
          <w:rFonts w:hint="eastAsia" w:ascii="宋体" w:hAnsi="宋体" w:eastAsia="宋体" w:cs="宋体"/>
          <w:lang w:val="en-US"/>
        </w:rPr>
        <w:t>2</w:t>
      </w:r>
      <w:r>
        <w:rPr>
          <w:rFonts w:hint="eastAsia" w:ascii="宋体" w:hAnsi="宋体" w:eastAsia="宋体" w:cs="宋体"/>
        </w:rPr>
        <w:t>.1 挂号业务流程</w:t>
      </w:r>
      <w:bookmarkEnd w:id="21"/>
      <w:bookmarkEnd w:id="22"/>
    </w:p>
    <w:p>
      <w:pPr>
        <w:spacing w:line="360" w:lineRule="auto"/>
        <w:ind w:left="266" w:firstLine="720"/>
        <w:rPr>
          <w:b/>
          <w:sz w:val="24"/>
          <w:szCs w:val="24"/>
        </w:rPr>
      </w:pPr>
      <w:r>
        <w:rPr>
          <w:rFonts w:hint="eastAsia"/>
          <w:b/>
          <w:sz w:val="24"/>
          <w:szCs w:val="24"/>
        </w:rPr>
        <w:t>1、线上挂号</w:t>
      </w:r>
    </w:p>
    <w:p>
      <w:r>
        <w:rPr>
          <w:rFonts w:hint="eastAsia"/>
          <w:lang w:val="en-US" w:bidi="ar-SA"/>
        </w:rPr>
        <w:drawing>
          <wp:inline distT="0" distB="0" distL="0" distR="0">
            <wp:extent cx="5401310" cy="3306445"/>
            <wp:effectExtent l="19050" t="0" r="8890" b="0"/>
            <wp:docPr id="14" name="图片 14" descr="16069829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606982990(1)"/>
                    <pic:cNvPicPr>
                      <a:picLocks noChangeAspect="1" noChangeArrowheads="1"/>
                    </pic:cNvPicPr>
                  </pic:nvPicPr>
                  <pic:blipFill>
                    <a:blip r:embed="rId7" cstate="print"/>
                    <a:srcRect/>
                    <a:stretch>
                      <a:fillRect/>
                    </a:stretch>
                  </pic:blipFill>
                  <pic:spPr>
                    <a:xfrm>
                      <a:off x="0" y="0"/>
                      <a:ext cx="5401310" cy="3306445"/>
                    </a:xfrm>
                    <a:prstGeom prst="rect">
                      <a:avLst/>
                    </a:prstGeom>
                    <a:noFill/>
                    <a:ln w="9525">
                      <a:noFill/>
                      <a:miter lim="800000"/>
                      <a:headEnd/>
                      <a:tailEnd/>
                    </a:ln>
                  </pic:spPr>
                </pic:pic>
              </a:graphicData>
            </a:graphic>
          </wp:inline>
        </w:drawing>
      </w:r>
    </w:p>
    <w:p>
      <w:pPr>
        <w:pStyle w:val="6"/>
        <w:spacing w:before="159" w:line="381" w:lineRule="auto"/>
        <w:ind w:left="680" w:right="636" w:firstLine="479"/>
        <w:jc w:val="both"/>
        <w:rPr>
          <w:spacing w:val="-6"/>
        </w:rPr>
      </w:pPr>
      <w:r>
        <w:rPr>
          <w:rFonts w:hint="eastAsia"/>
          <w:spacing w:val="-6"/>
        </w:rPr>
        <w:t>线上挂号及业务流程：</w:t>
      </w:r>
    </w:p>
    <w:p>
      <w:pPr>
        <w:pStyle w:val="6"/>
        <w:spacing w:before="159" w:line="381" w:lineRule="auto"/>
        <w:ind w:left="680" w:right="636" w:firstLine="479"/>
        <w:jc w:val="both"/>
        <w:rPr>
          <w:spacing w:val="-6"/>
        </w:rPr>
      </w:pPr>
      <w:r>
        <w:rPr>
          <w:rFonts w:hint="eastAsia"/>
          <w:spacing w:val="-6"/>
        </w:rPr>
        <w:t>（1）公众号挂号：患者关注公众号后，线上预约挂号，随后由医院HIS系统进行挂号处理；</w:t>
      </w:r>
    </w:p>
    <w:p>
      <w:pPr>
        <w:pStyle w:val="6"/>
        <w:spacing w:before="159" w:line="381" w:lineRule="auto"/>
        <w:ind w:left="680" w:right="636" w:firstLine="479"/>
        <w:jc w:val="both"/>
        <w:rPr>
          <w:spacing w:val="-6"/>
        </w:rPr>
      </w:pPr>
      <w:r>
        <w:rPr>
          <w:rFonts w:hint="eastAsia"/>
          <w:spacing w:val="-6"/>
        </w:rPr>
        <w:t>（2）缴费结算：患者完成挂号后，在线进行缴费，缴费结果进入医院HIS系统。</w:t>
      </w:r>
    </w:p>
    <w:p>
      <w:pPr>
        <w:pStyle w:val="6"/>
        <w:spacing w:before="159" w:line="381" w:lineRule="auto"/>
        <w:ind w:left="680" w:right="636" w:firstLine="479"/>
        <w:jc w:val="both"/>
        <w:rPr>
          <w:spacing w:val="-6"/>
        </w:rPr>
      </w:pPr>
      <w:r>
        <w:rPr>
          <w:rFonts w:hint="eastAsia"/>
          <w:spacing w:val="-6"/>
        </w:rPr>
        <w:t xml:space="preserve">（3）取号开票：患者到医院就诊时，签到后，HIS系统记录取号结果并调用电子票据系统的票据开具接口，完成开票后，电子票据系统将开票据信息回传医院HIS系统并存推送至公众号的应用，同时将开票信息通过公众号及打印告知单告知患者； </w:t>
      </w:r>
    </w:p>
    <w:p>
      <w:pPr>
        <w:pStyle w:val="6"/>
        <w:spacing w:before="159" w:line="381" w:lineRule="auto"/>
        <w:ind w:left="680" w:right="636" w:firstLine="479"/>
        <w:jc w:val="both"/>
        <w:rPr>
          <w:spacing w:val="-6"/>
        </w:rPr>
      </w:pPr>
      <w:r>
        <w:rPr>
          <w:rFonts w:hint="eastAsia"/>
          <w:spacing w:val="-6"/>
        </w:rPr>
        <w:t>（4）票据查看：患者通过公众号查看订单关联的电子票据，选择某一张票据时，查看具体票面信息，便于患者随时随地查看票据信息。</w:t>
      </w:r>
    </w:p>
    <w:p>
      <w:pPr>
        <w:spacing w:line="360" w:lineRule="auto"/>
        <w:ind w:firstLine="482" w:firstLineChars="200"/>
        <w:rPr>
          <w:b/>
          <w:sz w:val="24"/>
          <w:szCs w:val="24"/>
        </w:rPr>
      </w:pPr>
    </w:p>
    <w:p>
      <w:pPr>
        <w:spacing w:line="360" w:lineRule="auto"/>
        <w:ind w:firstLine="482" w:firstLineChars="200"/>
        <w:rPr>
          <w:b/>
          <w:sz w:val="24"/>
          <w:szCs w:val="24"/>
        </w:rPr>
      </w:pPr>
    </w:p>
    <w:p>
      <w:pPr>
        <w:spacing w:line="360" w:lineRule="auto"/>
        <w:ind w:firstLine="482" w:firstLineChars="200"/>
        <w:rPr>
          <w:sz w:val="24"/>
          <w:szCs w:val="24"/>
        </w:rPr>
      </w:pPr>
      <w:r>
        <w:rPr>
          <w:rFonts w:hint="eastAsia"/>
          <w:b/>
          <w:sz w:val="24"/>
          <w:szCs w:val="24"/>
        </w:rPr>
        <w:t>2、线上退号</w:t>
      </w:r>
    </w:p>
    <w:p>
      <w:r>
        <w:rPr>
          <w:rFonts w:hint="eastAsia"/>
          <w:lang w:val="en-US" w:bidi="ar-SA"/>
        </w:rPr>
        <w:drawing>
          <wp:inline distT="0" distB="0" distL="0" distR="0">
            <wp:extent cx="5401310" cy="4157345"/>
            <wp:effectExtent l="19050" t="0" r="8890" b="0"/>
            <wp:docPr id="4" name="图片 15" descr="16069829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5" descr="1606982968(1)"/>
                    <pic:cNvPicPr>
                      <a:picLocks noChangeAspect="1" noChangeArrowheads="1"/>
                    </pic:cNvPicPr>
                  </pic:nvPicPr>
                  <pic:blipFill>
                    <a:blip r:embed="rId8" cstate="print"/>
                    <a:srcRect/>
                    <a:stretch>
                      <a:fillRect/>
                    </a:stretch>
                  </pic:blipFill>
                  <pic:spPr>
                    <a:xfrm>
                      <a:off x="0" y="0"/>
                      <a:ext cx="5401310" cy="4157345"/>
                    </a:xfrm>
                    <a:prstGeom prst="rect">
                      <a:avLst/>
                    </a:prstGeom>
                    <a:noFill/>
                    <a:ln w="9525">
                      <a:noFill/>
                      <a:miter lim="800000"/>
                      <a:headEnd/>
                      <a:tailEnd/>
                    </a:ln>
                  </pic:spPr>
                </pic:pic>
              </a:graphicData>
            </a:graphic>
          </wp:inline>
        </w:drawing>
      </w:r>
    </w:p>
    <w:p>
      <w:pPr>
        <w:pStyle w:val="6"/>
        <w:spacing w:before="159" w:line="381" w:lineRule="auto"/>
        <w:ind w:left="680" w:right="636" w:firstLine="479"/>
        <w:jc w:val="both"/>
        <w:rPr>
          <w:spacing w:val="-6"/>
        </w:rPr>
      </w:pPr>
      <w:r>
        <w:rPr>
          <w:rFonts w:hint="eastAsia"/>
          <w:spacing w:val="-6"/>
        </w:rPr>
        <w:t>线上退号业务及流程：</w:t>
      </w:r>
    </w:p>
    <w:p>
      <w:pPr>
        <w:pStyle w:val="6"/>
        <w:spacing w:before="159" w:line="381" w:lineRule="auto"/>
        <w:ind w:left="680" w:right="636" w:firstLine="479"/>
        <w:jc w:val="both"/>
        <w:rPr>
          <w:spacing w:val="-6"/>
        </w:rPr>
      </w:pPr>
      <w:r>
        <w:rPr>
          <w:rFonts w:hint="eastAsia"/>
          <w:spacing w:val="-6"/>
        </w:rPr>
        <w:t>（1）退号申请：患者在公众号上挂号后，在就诊当日之前，可发起退号申请，由医院HIS系统进行退号处理；按实际业务而定。</w:t>
      </w:r>
    </w:p>
    <w:p>
      <w:pPr>
        <w:pStyle w:val="6"/>
        <w:spacing w:before="159" w:line="381" w:lineRule="auto"/>
        <w:ind w:left="680" w:right="636" w:firstLine="479"/>
        <w:jc w:val="both"/>
        <w:rPr>
          <w:spacing w:val="-6"/>
        </w:rPr>
      </w:pPr>
      <w:r>
        <w:rPr>
          <w:rFonts w:hint="eastAsia"/>
          <w:spacing w:val="-6"/>
        </w:rPr>
        <w:t>（2）电子票据状态查询及冲红办理（窗口特殊退号）：医院HIS系统在接收患者挂号退费申请时，调用电子票据系统接口，查询电子票据是否已换开，若已换开，则提示用户不允许线上退费；若电子票据未换开，则调用电子票据系统的冲红票据接口，冲红原电子票，并将冲红结果返回医院HIS系统，同时由HIS系统将退费信息（不含电子票据信息）通过原渠道告知患者。</w:t>
      </w:r>
    </w:p>
    <w:p>
      <w:pPr>
        <w:pStyle w:val="6"/>
        <w:spacing w:before="159" w:line="381" w:lineRule="auto"/>
        <w:ind w:left="680" w:right="636" w:firstLine="479"/>
        <w:jc w:val="both"/>
        <w:rPr>
          <w:spacing w:val="-6"/>
        </w:rPr>
      </w:pPr>
      <w:r>
        <w:rPr>
          <w:rFonts w:hint="eastAsia"/>
          <w:spacing w:val="-6"/>
        </w:rPr>
        <w:t>注意：如果票据状态查询时，未得到票据结果，则说明未取号开具电子票据，直接按退号处理。</w:t>
      </w: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40"/>
        <w:rPr>
          <w:sz w:val="24"/>
          <w:szCs w:val="24"/>
        </w:rPr>
      </w:pPr>
      <w:r>
        <w:rPr>
          <w:rFonts w:hint="eastAsia"/>
          <w:b/>
          <w:sz w:val="24"/>
          <w:szCs w:val="24"/>
        </w:rPr>
        <w:t>3、线下挂号</w:t>
      </w:r>
    </w:p>
    <w:p>
      <w:pPr>
        <w:spacing w:line="360" w:lineRule="auto"/>
        <w:ind w:firstLine="440" w:firstLineChars="200"/>
      </w:pPr>
      <w:r>
        <w:rPr>
          <w:rFonts w:hint="eastAsia"/>
          <w:lang w:val="en-US" w:bidi="ar-SA"/>
        </w:rPr>
        <w:drawing>
          <wp:inline distT="0" distB="0" distL="0" distR="0">
            <wp:extent cx="5401310" cy="2881630"/>
            <wp:effectExtent l="19050" t="0" r="8890" b="0"/>
            <wp:docPr id="16" name="图片 16" descr="16069830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606983050(1)"/>
                    <pic:cNvPicPr>
                      <a:picLocks noChangeAspect="1" noChangeArrowheads="1"/>
                    </pic:cNvPicPr>
                  </pic:nvPicPr>
                  <pic:blipFill>
                    <a:blip r:embed="rId9" cstate="print"/>
                    <a:srcRect/>
                    <a:stretch>
                      <a:fillRect/>
                    </a:stretch>
                  </pic:blipFill>
                  <pic:spPr>
                    <a:xfrm>
                      <a:off x="0" y="0"/>
                      <a:ext cx="5401310" cy="2881630"/>
                    </a:xfrm>
                    <a:prstGeom prst="rect">
                      <a:avLst/>
                    </a:prstGeom>
                    <a:noFill/>
                    <a:ln w="9525">
                      <a:noFill/>
                      <a:miter lim="800000"/>
                      <a:headEnd/>
                      <a:tailEnd/>
                    </a:ln>
                  </pic:spPr>
                </pic:pic>
              </a:graphicData>
            </a:graphic>
          </wp:inline>
        </w:drawing>
      </w:r>
    </w:p>
    <w:p>
      <w:pPr>
        <w:spacing w:line="360" w:lineRule="auto"/>
        <w:ind w:firstLine="480" w:firstLineChars="200"/>
        <w:rPr>
          <w:sz w:val="24"/>
          <w:szCs w:val="24"/>
        </w:rPr>
      </w:pPr>
      <w:r>
        <w:rPr>
          <w:rFonts w:hint="eastAsia"/>
          <w:sz w:val="24"/>
          <w:szCs w:val="24"/>
        </w:rPr>
        <w:t>线下挂号业务及流程：</w:t>
      </w:r>
    </w:p>
    <w:p>
      <w:pPr>
        <w:spacing w:line="360" w:lineRule="auto"/>
        <w:ind w:firstLine="480" w:firstLineChars="200"/>
        <w:rPr>
          <w:sz w:val="24"/>
          <w:szCs w:val="24"/>
        </w:rPr>
      </w:pPr>
      <w:r>
        <w:rPr>
          <w:rFonts w:hint="eastAsia"/>
          <w:sz w:val="24"/>
          <w:szCs w:val="24"/>
        </w:rPr>
        <w:t>（1）挂号缴费：患者通过医院收费窗口进行挂号；</w:t>
      </w:r>
    </w:p>
    <w:p>
      <w:pPr>
        <w:spacing w:line="360" w:lineRule="auto"/>
        <w:ind w:firstLine="480" w:firstLineChars="200"/>
        <w:rPr>
          <w:sz w:val="24"/>
          <w:szCs w:val="24"/>
        </w:rPr>
      </w:pPr>
      <w:r>
        <w:rPr>
          <w:rFonts w:hint="eastAsia"/>
          <w:sz w:val="24"/>
          <w:szCs w:val="24"/>
        </w:rPr>
        <w:t>（2）缴费结算：在挂号成功后，由医院HIS系统调用电子票据系统的电子票据开具接口，完成开票后，电子票据系统将票据信息回传医院HIS系统，同时将开票信息挂号单附加二维码的形式告知患者；</w:t>
      </w:r>
    </w:p>
    <w:p>
      <w:pPr>
        <w:pStyle w:val="6"/>
        <w:spacing w:before="5" w:line="360" w:lineRule="auto"/>
        <w:ind w:left="538"/>
      </w:pPr>
      <w:r>
        <w:rPr>
          <w:rFonts w:hint="eastAsia"/>
        </w:rPr>
        <w:t>（3）票据查看：票据开具完成后，患者可通过微信扫描二维码进入H5页面查看、获取、归集票据。</w:t>
      </w:r>
    </w:p>
    <w:p>
      <w:pPr>
        <w:sectPr>
          <w:pgSz w:w="11910" w:h="16840"/>
          <w:pgMar w:top="1260" w:right="1160" w:bottom="1300" w:left="1120" w:header="875" w:footer="1117" w:gutter="0"/>
          <w:cols w:space="720" w:num="1"/>
        </w:sectPr>
      </w:pPr>
    </w:p>
    <w:p>
      <w:pPr>
        <w:pStyle w:val="6"/>
        <w:spacing w:before="11"/>
        <w:rPr>
          <w:sz w:val="17"/>
        </w:rPr>
      </w:pPr>
    </w:p>
    <w:p>
      <w:pPr>
        <w:pStyle w:val="4"/>
        <w:rPr>
          <w:rFonts w:ascii="宋体" w:hAnsi="宋体" w:eastAsia="宋体" w:cs="宋体"/>
        </w:rPr>
      </w:pPr>
      <w:bookmarkStart w:id="23" w:name="_bookmark15"/>
      <w:bookmarkEnd w:id="23"/>
      <w:bookmarkStart w:id="24" w:name="_Toc98944853"/>
      <w:bookmarkStart w:id="25" w:name="_Toc28613"/>
      <w:r>
        <w:rPr>
          <w:rFonts w:hint="eastAsia" w:ascii="宋体" w:hAnsi="宋体" w:eastAsia="宋体" w:cs="宋体"/>
          <w:lang w:val="en-US"/>
        </w:rPr>
        <w:t>2</w:t>
      </w:r>
      <w:r>
        <w:rPr>
          <w:rFonts w:hint="eastAsia" w:ascii="宋体" w:hAnsi="宋体" w:eastAsia="宋体" w:cs="宋体"/>
        </w:rPr>
        <w:t>.2</w:t>
      </w:r>
      <w:bookmarkStart w:id="26" w:name="_Toc4679_WPSOffice_Level3"/>
      <w:r>
        <w:rPr>
          <w:rFonts w:hint="eastAsia" w:ascii="宋体" w:hAnsi="宋体" w:eastAsia="宋体" w:cs="宋体"/>
        </w:rPr>
        <w:t xml:space="preserve"> 门诊业务流程</w:t>
      </w:r>
      <w:bookmarkEnd w:id="24"/>
      <w:bookmarkEnd w:id="25"/>
      <w:bookmarkEnd w:id="26"/>
    </w:p>
    <w:p>
      <w:pPr>
        <w:spacing w:line="360" w:lineRule="auto"/>
        <w:ind w:firstLine="482" w:firstLineChars="200"/>
        <w:rPr>
          <w:b/>
          <w:sz w:val="24"/>
          <w:szCs w:val="24"/>
        </w:rPr>
      </w:pPr>
      <w:r>
        <w:rPr>
          <w:rFonts w:hint="eastAsia"/>
          <w:b/>
          <w:sz w:val="24"/>
          <w:szCs w:val="24"/>
        </w:rPr>
        <w:t>1、窗口缴费</w:t>
      </w:r>
    </w:p>
    <w:p>
      <w:pPr>
        <w:spacing w:line="360" w:lineRule="auto"/>
        <w:ind w:firstLine="440" w:firstLineChars="200"/>
        <w:rPr>
          <w:sz w:val="24"/>
          <w:szCs w:val="24"/>
        </w:rPr>
      </w:pPr>
      <w:r>
        <w:rPr>
          <w:rFonts w:hint="eastAsia"/>
          <w:lang w:val="en-US" w:bidi="ar-SA"/>
        </w:rPr>
        <w:drawing>
          <wp:inline distT="0" distB="0" distL="0" distR="0">
            <wp:extent cx="5400675" cy="3667125"/>
            <wp:effectExtent l="19050" t="0" r="9525" b="0"/>
            <wp:docPr id="24" name="图片 24" descr="16146622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1614662210(1)"/>
                    <pic:cNvPicPr>
                      <a:picLocks noChangeAspect="1" noChangeArrowheads="1"/>
                    </pic:cNvPicPr>
                  </pic:nvPicPr>
                  <pic:blipFill>
                    <a:blip r:embed="rId10" cstate="print"/>
                    <a:srcRect/>
                    <a:stretch>
                      <a:fillRect/>
                    </a:stretch>
                  </pic:blipFill>
                  <pic:spPr>
                    <a:xfrm>
                      <a:off x="0" y="0"/>
                      <a:ext cx="5400675" cy="3667125"/>
                    </a:xfrm>
                    <a:prstGeom prst="rect">
                      <a:avLst/>
                    </a:prstGeom>
                    <a:noFill/>
                    <a:ln w="9525">
                      <a:noFill/>
                      <a:miter lim="800000"/>
                      <a:headEnd/>
                      <a:tailEnd/>
                    </a:ln>
                  </pic:spPr>
                </pic:pic>
              </a:graphicData>
            </a:graphic>
          </wp:inline>
        </w:drawing>
      </w:r>
    </w:p>
    <w:p>
      <w:pPr>
        <w:spacing w:line="360" w:lineRule="auto"/>
        <w:ind w:firstLine="480" w:firstLineChars="200"/>
        <w:rPr>
          <w:sz w:val="24"/>
          <w:szCs w:val="24"/>
        </w:rPr>
      </w:pPr>
      <w:r>
        <w:rPr>
          <w:rFonts w:hint="eastAsia"/>
          <w:sz w:val="24"/>
          <w:szCs w:val="24"/>
        </w:rPr>
        <w:t>线下缴费业务及流程：</w:t>
      </w:r>
    </w:p>
    <w:p>
      <w:pPr>
        <w:spacing w:line="360" w:lineRule="auto"/>
        <w:ind w:firstLine="480" w:firstLineChars="200"/>
        <w:rPr>
          <w:sz w:val="24"/>
          <w:szCs w:val="24"/>
        </w:rPr>
      </w:pPr>
      <w:r>
        <w:rPr>
          <w:rFonts w:hint="eastAsia"/>
          <w:sz w:val="24"/>
          <w:szCs w:val="24"/>
        </w:rPr>
        <w:t>（1）患者就诊：患者到达医院前往对应科室就诊，由医生开具对应的处方；</w:t>
      </w:r>
    </w:p>
    <w:p>
      <w:pPr>
        <w:spacing w:line="360" w:lineRule="auto"/>
        <w:ind w:firstLine="480" w:firstLineChars="200"/>
        <w:rPr>
          <w:sz w:val="24"/>
          <w:szCs w:val="24"/>
        </w:rPr>
      </w:pPr>
      <w:r>
        <w:rPr>
          <w:rFonts w:hint="eastAsia"/>
          <w:sz w:val="24"/>
          <w:szCs w:val="24"/>
        </w:rPr>
        <w:t>（2）缴费结算并开票：患者在窗口缴费，医院HIS系统在缴费结算时，调用电子票据系统的票据开具接口，完成开票，窗口工作人员点击打印票据将电子票据信息打印到告知单，打印完成后提供给患者。同时窗口工作人员可根据患者要求进行打印电子票据。</w:t>
      </w:r>
    </w:p>
    <w:p>
      <w:pPr>
        <w:spacing w:line="360" w:lineRule="auto"/>
        <w:ind w:firstLine="482" w:firstLineChars="200"/>
        <w:rPr>
          <w:b/>
          <w:sz w:val="24"/>
          <w:szCs w:val="24"/>
        </w:rPr>
      </w:pPr>
    </w:p>
    <w:p>
      <w:pPr>
        <w:spacing w:line="360" w:lineRule="auto"/>
        <w:ind w:firstLine="482" w:firstLineChars="200"/>
        <w:rPr>
          <w:b/>
          <w:sz w:val="24"/>
          <w:szCs w:val="24"/>
        </w:rPr>
      </w:pPr>
    </w:p>
    <w:p>
      <w:pPr>
        <w:spacing w:line="360" w:lineRule="auto"/>
        <w:ind w:firstLine="482" w:firstLineChars="200"/>
        <w:rPr>
          <w:b/>
          <w:sz w:val="24"/>
          <w:szCs w:val="24"/>
        </w:rPr>
      </w:pPr>
    </w:p>
    <w:p>
      <w:pPr>
        <w:spacing w:line="360" w:lineRule="auto"/>
        <w:ind w:firstLine="482" w:firstLineChars="200"/>
        <w:rPr>
          <w:b/>
          <w:sz w:val="24"/>
          <w:szCs w:val="24"/>
        </w:rPr>
      </w:pPr>
    </w:p>
    <w:p>
      <w:pPr>
        <w:spacing w:line="360" w:lineRule="auto"/>
        <w:ind w:firstLine="482" w:firstLineChars="200"/>
        <w:rPr>
          <w:b/>
          <w:sz w:val="24"/>
          <w:szCs w:val="24"/>
        </w:rPr>
      </w:pPr>
    </w:p>
    <w:p>
      <w:pPr>
        <w:spacing w:line="360" w:lineRule="auto"/>
        <w:ind w:firstLine="482" w:firstLineChars="200"/>
        <w:rPr>
          <w:b/>
          <w:sz w:val="24"/>
          <w:szCs w:val="24"/>
        </w:rPr>
      </w:pPr>
    </w:p>
    <w:p>
      <w:pPr>
        <w:spacing w:line="360" w:lineRule="auto"/>
        <w:ind w:firstLine="482" w:firstLineChars="200"/>
        <w:rPr>
          <w:b/>
          <w:sz w:val="24"/>
          <w:szCs w:val="24"/>
        </w:rPr>
      </w:pPr>
    </w:p>
    <w:p>
      <w:pPr>
        <w:spacing w:line="360" w:lineRule="auto"/>
        <w:ind w:firstLine="482" w:firstLineChars="200"/>
        <w:rPr>
          <w:b/>
          <w:sz w:val="24"/>
          <w:szCs w:val="24"/>
        </w:rPr>
      </w:pPr>
    </w:p>
    <w:p>
      <w:pPr>
        <w:spacing w:line="360" w:lineRule="auto"/>
        <w:ind w:firstLine="482" w:firstLineChars="200"/>
        <w:rPr>
          <w:b/>
          <w:sz w:val="24"/>
          <w:szCs w:val="24"/>
        </w:rPr>
      </w:pPr>
    </w:p>
    <w:p>
      <w:pPr>
        <w:spacing w:line="360" w:lineRule="auto"/>
        <w:ind w:firstLine="482" w:firstLineChars="200"/>
        <w:rPr>
          <w:b/>
          <w:sz w:val="24"/>
          <w:szCs w:val="24"/>
        </w:rPr>
      </w:pPr>
    </w:p>
    <w:p>
      <w:pPr>
        <w:spacing w:line="360" w:lineRule="auto"/>
        <w:ind w:firstLine="482" w:firstLineChars="200"/>
        <w:rPr>
          <w:b/>
          <w:sz w:val="24"/>
          <w:szCs w:val="24"/>
        </w:rPr>
      </w:pPr>
    </w:p>
    <w:p>
      <w:pPr>
        <w:spacing w:line="360" w:lineRule="auto"/>
        <w:ind w:firstLine="482" w:firstLineChars="200"/>
        <w:rPr>
          <w:b/>
          <w:sz w:val="24"/>
          <w:szCs w:val="24"/>
        </w:rPr>
      </w:pPr>
      <w:r>
        <w:rPr>
          <w:rFonts w:hint="eastAsia"/>
          <w:b/>
          <w:sz w:val="24"/>
          <w:szCs w:val="24"/>
        </w:rPr>
        <w:t>2、门诊退费</w:t>
      </w:r>
    </w:p>
    <w:p>
      <w:pPr>
        <w:spacing w:line="360" w:lineRule="auto"/>
        <w:ind w:firstLine="440" w:firstLineChars="200"/>
        <w:jc w:val="center"/>
        <w:rPr>
          <w:sz w:val="24"/>
          <w:szCs w:val="24"/>
        </w:rPr>
      </w:pPr>
      <w:r>
        <w:rPr>
          <w:rFonts w:hint="eastAsia"/>
          <w:lang w:val="en-US" w:bidi="ar-SA"/>
        </w:rPr>
        <w:drawing>
          <wp:inline distT="0" distB="0" distL="0" distR="0">
            <wp:extent cx="5400675" cy="4305300"/>
            <wp:effectExtent l="19050" t="0" r="9525" b="0"/>
            <wp:docPr id="8" name="图片 27" descr="1614828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7" descr="1614828400(1)"/>
                    <pic:cNvPicPr>
                      <a:picLocks noChangeAspect="1" noChangeArrowheads="1"/>
                    </pic:cNvPicPr>
                  </pic:nvPicPr>
                  <pic:blipFill>
                    <a:blip r:embed="rId11" cstate="print"/>
                    <a:srcRect/>
                    <a:stretch>
                      <a:fillRect/>
                    </a:stretch>
                  </pic:blipFill>
                  <pic:spPr>
                    <a:xfrm>
                      <a:off x="0" y="0"/>
                      <a:ext cx="5400675" cy="4305300"/>
                    </a:xfrm>
                    <a:prstGeom prst="rect">
                      <a:avLst/>
                    </a:prstGeom>
                    <a:noFill/>
                    <a:ln w="9525">
                      <a:noFill/>
                      <a:miter lim="800000"/>
                      <a:headEnd/>
                      <a:tailEnd/>
                    </a:ln>
                  </pic:spPr>
                </pic:pic>
              </a:graphicData>
            </a:graphic>
          </wp:inline>
        </w:drawing>
      </w:r>
    </w:p>
    <w:p>
      <w:pPr>
        <w:spacing w:line="360" w:lineRule="auto"/>
        <w:ind w:firstLine="480" w:firstLineChars="200"/>
        <w:rPr>
          <w:sz w:val="24"/>
          <w:szCs w:val="24"/>
        </w:rPr>
      </w:pPr>
      <w:r>
        <w:rPr>
          <w:rFonts w:hint="eastAsia"/>
          <w:sz w:val="24"/>
          <w:szCs w:val="24"/>
        </w:rPr>
        <w:t>门诊退费业务及流程：</w:t>
      </w:r>
    </w:p>
    <w:p>
      <w:pPr>
        <w:spacing w:line="360" w:lineRule="auto"/>
        <w:ind w:firstLine="480" w:firstLineChars="200"/>
        <w:rPr>
          <w:sz w:val="24"/>
          <w:szCs w:val="24"/>
        </w:rPr>
      </w:pPr>
      <w:r>
        <w:rPr>
          <w:rFonts w:hint="eastAsia"/>
          <w:sz w:val="24"/>
          <w:szCs w:val="24"/>
        </w:rPr>
        <w:t>（1）退费结算：医院的HIS系统在退费结算时，请求查询电子票据状态，已约定HIS 系统已记录电子票据状态；</w:t>
      </w:r>
    </w:p>
    <w:p>
      <w:pPr>
        <w:spacing w:line="360" w:lineRule="auto"/>
        <w:ind w:firstLine="480" w:firstLineChars="200"/>
        <w:rPr>
          <w:sz w:val="24"/>
          <w:szCs w:val="24"/>
        </w:rPr>
      </w:pPr>
      <w:r>
        <w:rPr>
          <w:rFonts w:hint="eastAsia"/>
          <w:sz w:val="24"/>
          <w:szCs w:val="24"/>
        </w:rPr>
        <w:t xml:space="preserve">（2）票据冲红：若电子票据已换开，则需收费员回收并对纸质票据作物理标识；若电子票据未换开，可直接冲红原电子票； </w:t>
      </w:r>
    </w:p>
    <w:p>
      <w:pPr>
        <w:spacing w:line="360" w:lineRule="auto"/>
        <w:ind w:firstLine="480" w:firstLineChars="200"/>
        <w:rPr>
          <w:sz w:val="24"/>
          <w:szCs w:val="24"/>
        </w:rPr>
      </w:pPr>
      <w:r>
        <w:rPr>
          <w:rFonts w:hint="eastAsia"/>
          <w:sz w:val="24"/>
          <w:szCs w:val="24"/>
        </w:rPr>
        <w:t>（3）全额退费：若为全额退费，则直接冲红原电子票；若为非全额退费的情况，在冲红原电子票据后，开具一张新的电子票据。</w:t>
      </w:r>
    </w:p>
    <w:p>
      <w:pPr>
        <w:pStyle w:val="4"/>
        <w:rPr>
          <w:rFonts w:ascii="宋体" w:hAnsi="宋体" w:eastAsia="宋体" w:cs="宋体"/>
        </w:rPr>
      </w:pPr>
      <w:bookmarkStart w:id="27" w:name="_Toc25698"/>
      <w:bookmarkStart w:id="28" w:name="_Toc98944854"/>
      <w:r>
        <w:rPr>
          <w:rFonts w:hint="eastAsia" w:ascii="宋体" w:hAnsi="宋体" w:eastAsia="宋体" w:cs="宋体"/>
          <w:lang w:val="en-US"/>
        </w:rPr>
        <w:t>2</w:t>
      </w:r>
      <w:r>
        <w:rPr>
          <w:rFonts w:hint="eastAsia" w:ascii="宋体" w:hAnsi="宋体" w:eastAsia="宋体" w:cs="宋体"/>
        </w:rPr>
        <w:t>.3 门诊患者取票流程</w:t>
      </w:r>
      <w:bookmarkEnd w:id="27"/>
      <w:bookmarkEnd w:id="28"/>
    </w:p>
    <w:p>
      <w:pPr>
        <w:spacing w:line="360" w:lineRule="auto"/>
        <w:ind w:firstLine="677" w:firstLineChars="281"/>
        <w:rPr>
          <w:b/>
          <w:sz w:val="24"/>
          <w:szCs w:val="24"/>
        </w:rPr>
      </w:pPr>
      <w:r>
        <w:rPr>
          <w:rFonts w:hint="eastAsia"/>
          <w:b/>
          <w:sz w:val="24"/>
          <w:szCs w:val="24"/>
        </w:rPr>
        <w:t>1、取电子票据</w:t>
      </w:r>
    </w:p>
    <w:p>
      <w:pPr>
        <w:spacing w:line="360" w:lineRule="auto"/>
        <w:ind w:firstLine="480" w:firstLineChars="200"/>
        <w:rPr>
          <w:sz w:val="24"/>
          <w:szCs w:val="24"/>
          <w:lang w:val="en-US"/>
        </w:rPr>
      </w:pPr>
      <w:r>
        <w:rPr>
          <w:rFonts w:hint="eastAsia"/>
          <w:sz w:val="24"/>
          <w:szCs w:val="24"/>
        </w:rPr>
        <w:t>患者获取电子票据的方法根据医院开票通知方式：公众号取票、短信取票、邮箱取票，建议采用公众号取票。其中公众号取票：在医院开具电子票据后，电子票据系统将电子票据信息推送至公众号，患者通过扫描二维码访问公众号后自动取得、查看该电子票据。</w:t>
      </w:r>
      <w:r>
        <w:rPr>
          <w:rFonts w:hint="eastAsia"/>
          <w:sz w:val="24"/>
          <w:szCs w:val="24"/>
          <w:lang w:val="en-US"/>
        </w:rPr>
        <w:t xml:space="preserve"> </w:t>
      </w:r>
    </w:p>
    <w:p>
      <w:pPr>
        <w:spacing w:line="360" w:lineRule="auto"/>
        <w:ind w:firstLine="677" w:firstLineChars="281"/>
        <w:rPr>
          <w:b/>
          <w:sz w:val="24"/>
          <w:szCs w:val="24"/>
        </w:rPr>
      </w:pPr>
      <w:r>
        <w:rPr>
          <w:rFonts w:hint="eastAsia"/>
          <w:b/>
          <w:sz w:val="24"/>
          <w:szCs w:val="24"/>
        </w:rPr>
        <w:t>2、取纸质票据</w:t>
      </w:r>
    </w:p>
    <w:p>
      <w:pPr>
        <w:spacing w:line="360" w:lineRule="auto"/>
        <w:ind w:firstLine="480" w:firstLineChars="200"/>
        <w:rPr>
          <w:sz w:val="24"/>
          <w:szCs w:val="24"/>
        </w:rPr>
      </w:pPr>
      <w:r>
        <w:rPr>
          <w:rFonts w:hint="eastAsia"/>
          <w:sz w:val="24"/>
          <w:szCs w:val="24"/>
        </w:rPr>
        <w:t>患者如果需要使用纸质票据，1、可到补打窗口处将电子票据直接打印到A4纸上；2、可到纸票换开窗口处将电子票据换开处换开财政印发的纸质票据上（暂不支持）。</w:t>
      </w:r>
    </w:p>
    <w:p>
      <w:pPr>
        <w:spacing w:line="360" w:lineRule="auto"/>
        <w:ind w:firstLine="440" w:firstLineChars="200"/>
        <w:rPr>
          <w:sz w:val="24"/>
          <w:szCs w:val="24"/>
        </w:rPr>
      </w:pPr>
      <w:r>
        <w:rPr>
          <w:rFonts w:hint="eastAsia"/>
          <w:lang w:val="en-US" w:bidi="ar-SA"/>
        </w:rPr>
        <w:drawing>
          <wp:inline distT="0" distB="0" distL="0" distR="0">
            <wp:extent cx="5400675" cy="3190875"/>
            <wp:effectExtent l="19050" t="0" r="9525" b="0"/>
            <wp:docPr id="30" name="图片 30" descr="16148280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1614828028(1)"/>
                    <pic:cNvPicPr>
                      <a:picLocks noChangeAspect="1" noChangeArrowheads="1"/>
                    </pic:cNvPicPr>
                  </pic:nvPicPr>
                  <pic:blipFill>
                    <a:blip r:embed="rId12" cstate="print"/>
                    <a:srcRect/>
                    <a:stretch>
                      <a:fillRect/>
                    </a:stretch>
                  </pic:blipFill>
                  <pic:spPr>
                    <a:xfrm>
                      <a:off x="0" y="0"/>
                      <a:ext cx="5400675" cy="3190875"/>
                    </a:xfrm>
                    <a:prstGeom prst="rect">
                      <a:avLst/>
                    </a:prstGeom>
                    <a:noFill/>
                    <a:ln w="9525">
                      <a:noFill/>
                      <a:miter lim="800000"/>
                      <a:headEnd/>
                      <a:tailEnd/>
                    </a:ln>
                  </pic:spPr>
                </pic:pic>
              </a:graphicData>
            </a:graphic>
          </wp:inline>
        </w:drawing>
      </w:r>
    </w:p>
    <w:p>
      <w:pPr>
        <w:spacing w:line="360" w:lineRule="auto"/>
        <w:ind w:firstLine="480" w:firstLineChars="200"/>
        <w:rPr>
          <w:sz w:val="24"/>
          <w:szCs w:val="24"/>
        </w:rPr>
      </w:pPr>
      <w:r>
        <w:rPr>
          <w:rFonts w:hint="eastAsia"/>
          <w:sz w:val="24"/>
          <w:szCs w:val="24"/>
        </w:rPr>
        <w:t>1.就诊患者持相关证件（身份证）和结算小票到窗口换取纸质票据。</w:t>
      </w:r>
    </w:p>
    <w:p>
      <w:pPr>
        <w:spacing w:line="360" w:lineRule="auto"/>
        <w:ind w:firstLine="480" w:firstLineChars="200"/>
        <w:rPr>
          <w:sz w:val="24"/>
          <w:szCs w:val="24"/>
        </w:rPr>
      </w:pPr>
      <w:r>
        <w:rPr>
          <w:rFonts w:hint="eastAsia"/>
          <w:sz w:val="24"/>
          <w:szCs w:val="24"/>
        </w:rPr>
        <w:t>2.识别相关证件信息，系统检索并展示就诊卡对应的电子票据列表。</w:t>
      </w:r>
    </w:p>
    <w:p>
      <w:pPr>
        <w:spacing w:line="360" w:lineRule="auto"/>
        <w:ind w:firstLine="480" w:firstLineChars="200"/>
        <w:rPr>
          <w:sz w:val="24"/>
          <w:szCs w:val="24"/>
        </w:rPr>
      </w:pPr>
      <w:r>
        <w:rPr>
          <w:rFonts w:hint="eastAsia"/>
          <w:sz w:val="24"/>
          <w:szCs w:val="24"/>
        </w:rPr>
        <w:t>3.窗口人员根据患者要求选择对应电子票据，打印纸质票据。</w:t>
      </w:r>
    </w:p>
    <w:p>
      <w:pPr>
        <w:spacing w:line="360" w:lineRule="auto"/>
        <w:ind w:firstLine="480" w:firstLineChars="200"/>
        <w:rPr>
          <w:sz w:val="24"/>
          <w:szCs w:val="24"/>
        </w:rPr>
      </w:pPr>
      <w:r>
        <w:rPr>
          <w:rFonts w:hint="eastAsia"/>
          <w:sz w:val="24"/>
          <w:szCs w:val="24"/>
        </w:rPr>
        <w:t>4.患者取回相关证件和纸质票据。</w:t>
      </w:r>
    </w:p>
    <w:p>
      <w:pPr>
        <w:spacing w:line="360" w:lineRule="auto"/>
        <w:ind w:firstLine="480" w:firstLineChars="200"/>
        <w:rPr>
          <w:sz w:val="24"/>
          <w:szCs w:val="24"/>
        </w:rPr>
      </w:pPr>
      <w:r>
        <w:rPr>
          <w:rFonts w:hint="eastAsia"/>
          <w:sz w:val="24"/>
          <w:szCs w:val="24"/>
        </w:rPr>
        <w:t>*注：考虑到信息安全因素，目前认为身份证更有公信力。</w:t>
      </w:r>
    </w:p>
    <w:p>
      <w:bookmarkStart w:id="29" w:name="_bookmark16"/>
      <w:bookmarkEnd w:id="29"/>
      <w:bookmarkStart w:id="30" w:name="_Toc98944855"/>
    </w:p>
    <w:p>
      <w:pPr>
        <w:pStyle w:val="3"/>
        <w:rPr>
          <w:rFonts w:ascii="宋体" w:hAnsi="宋体" w:eastAsia="宋体" w:cs="宋体"/>
        </w:rPr>
      </w:pPr>
      <w:bookmarkStart w:id="31" w:name="_Toc7773"/>
      <w:r>
        <w:rPr>
          <w:rFonts w:hint="eastAsia" w:ascii="宋体" w:hAnsi="宋体" w:eastAsia="宋体" w:cs="宋体"/>
          <w:lang w:val="en-US"/>
        </w:rPr>
        <w:t>3</w:t>
      </w:r>
      <w:r>
        <w:rPr>
          <w:rFonts w:hint="eastAsia" w:ascii="宋体" w:hAnsi="宋体" w:eastAsia="宋体" w:cs="宋体"/>
        </w:rPr>
        <w:t>系统功能介绍</w:t>
      </w:r>
      <w:bookmarkEnd w:id="30"/>
      <w:bookmarkEnd w:id="31"/>
    </w:p>
    <w:p>
      <w:pPr>
        <w:spacing w:line="360" w:lineRule="auto"/>
        <w:ind w:firstLine="480" w:firstLineChars="200"/>
        <w:rPr>
          <w:sz w:val="24"/>
          <w:szCs w:val="24"/>
        </w:rPr>
      </w:pPr>
      <w:r>
        <w:rPr>
          <w:rFonts w:hint="eastAsia"/>
          <w:sz w:val="24"/>
          <w:szCs w:val="24"/>
        </w:rPr>
        <w:t>医疗收费电子票据管理系统指医院管理人员、医院财务人员以及相关业务人员登录的可视化电子票据管理系统，管理系统主要包含：系统管理中心、业务管理中心、业务受理中心、开票服务中心、消息推送中心、版式文件中心、签名服务中心、</w:t>
      </w:r>
      <w:r>
        <w:rPr>
          <w:rFonts w:hint="eastAsia"/>
          <w:sz w:val="24"/>
          <w:szCs w:val="24"/>
          <w:lang w:val="en-US"/>
        </w:rPr>
        <w:t>收费对账中心</w:t>
      </w:r>
      <w:r>
        <w:rPr>
          <w:rFonts w:hint="eastAsia"/>
          <w:sz w:val="24"/>
          <w:szCs w:val="24"/>
        </w:rPr>
        <w:t>等业务功能。</w:t>
      </w:r>
    </w:p>
    <w:tbl>
      <w:tblPr>
        <w:tblStyle w:val="13"/>
        <w:tblpPr w:leftFromText="180" w:rightFromText="180" w:vertAnchor="text" w:horzAnchor="page" w:tblpX="1435" w:tblpY="216"/>
        <w:tblOverlap w:val="never"/>
        <w:tblW w:w="4991" w:type="pct"/>
        <w:tblInd w:w="0" w:type="dxa"/>
        <w:tblLayout w:type="autofit"/>
        <w:tblCellMar>
          <w:top w:w="0" w:type="dxa"/>
          <w:left w:w="108" w:type="dxa"/>
          <w:bottom w:w="0" w:type="dxa"/>
          <w:right w:w="108" w:type="dxa"/>
        </w:tblCellMar>
      </w:tblPr>
      <w:tblGrid>
        <w:gridCol w:w="1300"/>
        <w:gridCol w:w="1384"/>
        <w:gridCol w:w="7144"/>
      </w:tblGrid>
      <w:tr>
        <w:tblPrEx>
          <w:tblCellMar>
            <w:top w:w="0" w:type="dxa"/>
            <w:left w:w="108" w:type="dxa"/>
            <w:bottom w:w="0" w:type="dxa"/>
            <w:right w:w="108" w:type="dxa"/>
          </w:tblCellMar>
        </w:tblPrEx>
        <w:trPr>
          <w:trHeight w:val="285" w:hRule="atLeast"/>
          <w:tblHeader/>
        </w:trPr>
        <w:tc>
          <w:tcPr>
            <w:tcW w:w="661" w:type="pct"/>
            <w:tcBorders>
              <w:top w:val="single" w:color="auto" w:sz="4" w:space="0"/>
              <w:left w:val="single" w:color="auto" w:sz="4" w:space="0"/>
              <w:bottom w:val="single" w:color="auto" w:sz="4" w:space="0"/>
              <w:right w:val="single" w:color="auto" w:sz="4" w:space="0"/>
            </w:tcBorders>
            <w:shd w:val="clear" w:color="000000" w:fill="F2F2F2"/>
            <w:vAlign w:val="center"/>
          </w:tcPr>
          <w:p>
            <w:pPr>
              <w:widowControl/>
              <w:jc w:val="center"/>
              <w:rPr>
                <w:b/>
                <w:bCs/>
                <w:color w:val="000000"/>
              </w:rPr>
            </w:pPr>
            <w:r>
              <w:rPr>
                <w:rFonts w:hint="eastAsia"/>
                <w:b/>
                <w:bCs/>
                <w:color w:val="000000"/>
              </w:rPr>
              <w:t>序号</w:t>
            </w:r>
          </w:p>
        </w:tc>
        <w:tc>
          <w:tcPr>
            <w:tcW w:w="704" w:type="pct"/>
            <w:tcBorders>
              <w:top w:val="single" w:color="auto" w:sz="4" w:space="0"/>
              <w:left w:val="nil"/>
              <w:bottom w:val="single" w:color="auto" w:sz="4" w:space="0"/>
              <w:right w:val="single" w:color="auto" w:sz="4" w:space="0"/>
            </w:tcBorders>
            <w:shd w:val="clear" w:color="000000" w:fill="F2F2F2"/>
            <w:vAlign w:val="center"/>
          </w:tcPr>
          <w:p>
            <w:pPr>
              <w:widowControl/>
              <w:jc w:val="center"/>
              <w:rPr>
                <w:b/>
                <w:bCs/>
                <w:color w:val="000000"/>
                <w:lang w:val="en-US"/>
              </w:rPr>
            </w:pPr>
            <w:r>
              <w:rPr>
                <w:rFonts w:hint="eastAsia"/>
                <w:b/>
                <w:bCs/>
                <w:color w:val="000000"/>
                <w:lang w:val="en-US"/>
              </w:rPr>
              <w:t>功能模块</w:t>
            </w:r>
          </w:p>
        </w:tc>
        <w:tc>
          <w:tcPr>
            <w:tcW w:w="3634" w:type="pct"/>
            <w:tcBorders>
              <w:top w:val="single" w:color="auto" w:sz="4" w:space="0"/>
              <w:left w:val="nil"/>
              <w:bottom w:val="single" w:color="auto" w:sz="4" w:space="0"/>
              <w:right w:val="single" w:color="auto" w:sz="4" w:space="0"/>
            </w:tcBorders>
            <w:shd w:val="clear" w:color="000000" w:fill="F2F2F2"/>
            <w:vAlign w:val="center"/>
          </w:tcPr>
          <w:p>
            <w:pPr>
              <w:widowControl/>
              <w:jc w:val="center"/>
              <w:rPr>
                <w:b/>
                <w:bCs/>
                <w:color w:val="000000"/>
              </w:rPr>
            </w:pPr>
            <w:r>
              <w:rPr>
                <w:rFonts w:hint="eastAsia"/>
                <w:b/>
                <w:bCs/>
                <w:color w:val="000000"/>
                <w:lang w:val="en-US"/>
              </w:rPr>
              <w:t>说明</w:t>
            </w:r>
          </w:p>
        </w:tc>
      </w:tr>
      <w:tr>
        <w:tblPrEx>
          <w:tblCellMar>
            <w:top w:w="0" w:type="dxa"/>
            <w:left w:w="108" w:type="dxa"/>
            <w:bottom w:w="0" w:type="dxa"/>
            <w:right w:w="108" w:type="dxa"/>
          </w:tblCellMar>
        </w:tblPrEx>
        <w:trPr>
          <w:trHeight w:val="952" w:hRule="atLeast"/>
        </w:trPr>
        <w:tc>
          <w:tcPr>
            <w:tcW w:w="661" w:type="pct"/>
            <w:tcBorders>
              <w:top w:val="nil"/>
              <w:left w:val="single" w:color="auto" w:sz="4" w:space="0"/>
              <w:bottom w:val="single" w:color="auto" w:sz="4" w:space="0"/>
              <w:right w:val="single" w:color="auto" w:sz="4" w:space="0"/>
            </w:tcBorders>
            <w:shd w:val="clear" w:color="auto" w:fill="auto"/>
            <w:vAlign w:val="center"/>
          </w:tcPr>
          <w:p>
            <w:pPr>
              <w:pStyle w:val="19"/>
              <w:spacing w:before="70" w:line="364" w:lineRule="auto"/>
              <w:ind w:left="110" w:right="-15"/>
              <w:rPr>
                <w:spacing w:val="-18"/>
                <w:sz w:val="21"/>
              </w:rPr>
            </w:pPr>
            <w:r>
              <w:rPr>
                <w:rFonts w:hint="eastAsia"/>
                <w:spacing w:val="-18"/>
                <w:sz w:val="21"/>
              </w:rPr>
              <w:t>1</w:t>
            </w:r>
          </w:p>
        </w:tc>
        <w:tc>
          <w:tcPr>
            <w:tcW w:w="704" w:type="pct"/>
            <w:tcBorders>
              <w:top w:val="nil"/>
              <w:left w:val="nil"/>
              <w:bottom w:val="single" w:color="auto" w:sz="4" w:space="0"/>
              <w:right w:val="single" w:color="auto" w:sz="4" w:space="0"/>
            </w:tcBorders>
            <w:shd w:val="clear" w:color="auto" w:fill="auto"/>
            <w:vAlign w:val="center"/>
          </w:tcPr>
          <w:p>
            <w:pPr>
              <w:pStyle w:val="19"/>
              <w:spacing w:before="70" w:line="364" w:lineRule="auto"/>
              <w:ind w:left="110" w:right="-15"/>
              <w:rPr>
                <w:spacing w:val="-18"/>
                <w:sz w:val="21"/>
              </w:rPr>
            </w:pPr>
            <w:r>
              <w:rPr>
                <w:rFonts w:hint="eastAsia"/>
                <w:spacing w:val="-18"/>
                <w:sz w:val="21"/>
              </w:rPr>
              <w:t>系统管理中心</w:t>
            </w:r>
          </w:p>
        </w:tc>
        <w:tc>
          <w:tcPr>
            <w:tcW w:w="3634" w:type="pct"/>
            <w:tcBorders>
              <w:top w:val="nil"/>
              <w:left w:val="nil"/>
              <w:bottom w:val="single" w:color="auto" w:sz="4" w:space="0"/>
              <w:right w:val="single" w:color="auto" w:sz="4" w:space="0"/>
            </w:tcBorders>
            <w:shd w:val="clear" w:color="auto" w:fill="auto"/>
            <w:vAlign w:val="center"/>
          </w:tcPr>
          <w:p>
            <w:pPr>
              <w:pStyle w:val="19"/>
              <w:spacing w:before="70" w:line="364" w:lineRule="auto"/>
              <w:ind w:left="110" w:right="-15"/>
              <w:rPr>
                <w:spacing w:val="-18"/>
                <w:sz w:val="21"/>
              </w:rPr>
            </w:pPr>
            <w:r>
              <w:rPr>
                <w:rFonts w:hint="eastAsia"/>
                <w:spacing w:val="-18"/>
                <w:sz w:val="21"/>
              </w:rPr>
              <w:t>使用者：</w:t>
            </w:r>
            <w:r>
              <w:rPr>
                <w:rFonts w:hint="eastAsia"/>
                <w:spacing w:val="-18"/>
                <w:sz w:val="21"/>
                <w:lang w:val="en-US"/>
              </w:rPr>
              <w:t>县</w:t>
            </w:r>
            <w:r>
              <w:rPr>
                <w:rFonts w:hint="eastAsia"/>
                <w:spacing w:val="-18"/>
                <w:sz w:val="21"/>
              </w:rPr>
              <w:t>医院的管理者，对医疗收费电子票据管理系统使用者、使用方式、权限、监控、维护进行管理。</w:t>
            </w:r>
          </w:p>
          <w:p>
            <w:pPr>
              <w:pStyle w:val="19"/>
              <w:spacing w:before="70" w:line="364" w:lineRule="auto"/>
              <w:ind w:left="110" w:right="-15"/>
              <w:rPr>
                <w:spacing w:val="-18"/>
                <w:sz w:val="21"/>
              </w:rPr>
            </w:pPr>
            <w:r>
              <w:rPr>
                <w:rFonts w:hint="eastAsia"/>
                <w:spacing w:val="-18"/>
                <w:sz w:val="21"/>
              </w:rPr>
              <w:t>用户管理：</w:t>
            </w:r>
            <w:r>
              <w:rPr>
                <w:rFonts w:hint="eastAsia"/>
                <w:spacing w:val="-18"/>
                <w:sz w:val="21"/>
                <w:lang w:val="en-US"/>
              </w:rPr>
              <w:t>县</w:t>
            </w:r>
            <w:r>
              <w:rPr>
                <w:rFonts w:hint="eastAsia"/>
                <w:spacing w:val="-18"/>
                <w:sz w:val="21"/>
              </w:rPr>
              <w:t>医院可根据单位实际业务情况，创建本单位的用户信息，对单位及单位下的开票点用户进行新增、修改等操作。</w:t>
            </w:r>
          </w:p>
          <w:p>
            <w:pPr>
              <w:pStyle w:val="19"/>
              <w:spacing w:before="70" w:line="364" w:lineRule="auto"/>
              <w:ind w:left="110" w:right="-15"/>
              <w:rPr>
                <w:spacing w:val="-18"/>
                <w:sz w:val="21"/>
              </w:rPr>
            </w:pPr>
            <w:r>
              <w:rPr>
                <w:rFonts w:hint="eastAsia"/>
                <w:spacing w:val="-18"/>
                <w:sz w:val="21"/>
              </w:rPr>
              <w:t>角色管理：为满足医疗机构实际业务中，多岗位多角色办理的情况，可在角色管理中按照不同的功能菜单分别创建对应的办理角色，且可对已创建的角色的进行功能授权。</w:t>
            </w:r>
          </w:p>
          <w:p>
            <w:pPr>
              <w:pStyle w:val="19"/>
              <w:spacing w:before="70" w:line="364" w:lineRule="auto"/>
              <w:ind w:left="110" w:right="-15"/>
              <w:rPr>
                <w:spacing w:val="-18"/>
                <w:sz w:val="21"/>
              </w:rPr>
            </w:pPr>
            <w:r>
              <w:rPr>
                <w:rFonts w:hint="eastAsia"/>
                <w:spacing w:val="-18"/>
                <w:sz w:val="21"/>
              </w:rPr>
              <w:t>权限管理：按照用户、岗位、机构的不同，可根据医疗机构的实际需求进行授权设置。通过对用户、岗位或机构的绑定，允许其办理或查看相应的事项或数据，严格把控数据权限。</w:t>
            </w:r>
          </w:p>
        </w:tc>
      </w:tr>
      <w:tr>
        <w:tblPrEx>
          <w:tblCellMar>
            <w:top w:w="0" w:type="dxa"/>
            <w:left w:w="108" w:type="dxa"/>
            <w:bottom w:w="0" w:type="dxa"/>
            <w:right w:w="108" w:type="dxa"/>
          </w:tblCellMar>
        </w:tblPrEx>
        <w:trPr>
          <w:trHeight w:val="980" w:hRule="atLeast"/>
        </w:trPr>
        <w:tc>
          <w:tcPr>
            <w:tcW w:w="661" w:type="pct"/>
            <w:tcBorders>
              <w:top w:val="nil"/>
              <w:left w:val="single" w:color="auto" w:sz="4" w:space="0"/>
              <w:bottom w:val="single" w:color="auto" w:sz="4" w:space="0"/>
              <w:right w:val="single" w:color="auto" w:sz="4" w:space="0"/>
            </w:tcBorders>
            <w:shd w:val="clear" w:color="auto" w:fill="auto"/>
            <w:vAlign w:val="center"/>
          </w:tcPr>
          <w:p>
            <w:pPr>
              <w:pStyle w:val="19"/>
              <w:spacing w:before="70" w:line="364" w:lineRule="auto"/>
              <w:ind w:left="110" w:right="-15"/>
              <w:rPr>
                <w:spacing w:val="-18"/>
                <w:sz w:val="21"/>
              </w:rPr>
            </w:pPr>
            <w:r>
              <w:rPr>
                <w:rFonts w:hint="eastAsia"/>
                <w:spacing w:val="-18"/>
                <w:sz w:val="21"/>
              </w:rPr>
              <w:t>2</w:t>
            </w:r>
          </w:p>
        </w:tc>
        <w:tc>
          <w:tcPr>
            <w:tcW w:w="704" w:type="pct"/>
            <w:tcBorders>
              <w:top w:val="nil"/>
              <w:left w:val="nil"/>
              <w:bottom w:val="single" w:color="auto" w:sz="4" w:space="0"/>
              <w:right w:val="single" w:color="auto" w:sz="4" w:space="0"/>
            </w:tcBorders>
            <w:shd w:val="clear" w:color="auto" w:fill="auto"/>
            <w:vAlign w:val="center"/>
          </w:tcPr>
          <w:p>
            <w:pPr>
              <w:pStyle w:val="19"/>
              <w:spacing w:before="70" w:line="364" w:lineRule="auto"/>
              <w:ind w:left="110" w:right="-15"/>
              <w:rPr>
                <w:spacing w:val="-18"/>
                <w:sz w:val="21"/>
              </w:rPr>
            </w:pPr>
            <w:r>
              <w:rPr>
                <w:rFonts w:hint="eastAsia"/>
                <w:spacing w:val="-18"/>
                <w:sz w:val="21"/>
              </w:rPr>
              <w:t>业务管理中心</w:t>
            </w:r>
          </w:p>
        </w:tc>
        <w:tc>
          <w:tcPr>
            <w:tcW w:w="3634" w:type="pct"/>
            <w:tcBorders>
              <w:top w:val="nil"/>
              <w:left w:val="nil"/>
              <w:bottom w:val="single" w:color="auto" w:sz="4" w:space="0"/>
              <w:right w:val="single" w:color="auto" w:sz="4" w:space="0"/>
            </w:tcBorders>
            <w:shd w:val="clear" w:color="auto" w:fill="auto"/>
            <w:vAlign w:val="center"/>
          </w:tcPr>
          <w:p>
            <w:pPr>
              <w:pStyle w:val="19"/>
              <w:spacing w:before="70" w:line="364" w:lineRule="auto"/>
              <w:ind w:left="110" w:right="-15"/>
              <w:rPr>
                <w:spacing w:val="-18"/>
                <w:sz w:val="21"/>
              </w:rPr>
            </w:pPr>
            <w:r>
              <w:rPr>
                <w:rFonts w:hint="eastAsia"/>
                <w:spacing w:val="-18"/>
                <w:sz w:val="21"/>
              </w:rPr>
              <w:t>该功能模块使用者主要是医院的财政人员和收费科室人员，为系统的核心功能，主要包含电子票据、票据档案等业务的管理和使用。</w:t>
            </w:r>
          </w:p>
          <w:p>
            <w:pPr>
              <w:pStyle w:val="19"/>
              <w:spacing w:before="70" w:line="364" w:lineRule="auto"/>
              <w:ind w:left="110" w:right="-15"/>
              <w:rPr>
                <w:spacing w:val="-18"/>
                <w:sz w:val="21"/>
              </w:rPr>
            </w:pPr>
            <w:r>
              <w:rPr>
                <w:rFonts w:hint="eastAsia"/>
                <w:spacing w:val="-18"/>
                <w:sz w:val="21"/>
              </w:rPr>
              <w:t>其中电子票据：在线开具，财务人员或收费处人员根据业务需要，可采用直接登录电子票据系统在线开具电子票据。票据冲红，当单位发生退费业务时，需要对已开具的电子票据进行冲红。具体存在以下两种情况：（1）电子票据未生成对应的纸质票据，只冲红对应电子票据。（2）电子票据已生成对应的纸质票据，应先作废对应的纸质票据，再冲红对应的电子票据。</w:t>
            </w:r>
          </w:p>
          <w:p>
            <w:pPr>
              <w:pStyle w:val="19"/>
              <w:spacing w:before="70" w:line="364" w:lineRule="auto"/>
              <w:ind w:left="110" w:right="-15"/>
              <w:rPr>
                <w:spacing w:val="-18"/>
                <w:sz w:val="21"/>
              </w:rPr>
            </w:pPr>
            <w:r>
              <w:rPr>
                <w:rFonts w:hint="eastAsia"/>
                <w:spacing w:val="-18"/>
                <w:sz w:val="21"/>
              </w:rPr>
              <w:t>票据档案：基础功能包括电子票据入账后的30年存储，分类归档备查；提供电子票据收集、整理、保管、统计、利用、销毁。</w:t>
            </w:r>
          </w:p>
        </w:tc>
      </w:tr>
      <w:tr>
        <w:tblPrEx>
          <w:tblCellMar>
            <w:top w:w="0" w:type="dxa"/>
            <w:left w:w="108" w:type="dxa"/>
            <w:bottom w:w="0" w:type="dxa"/>
            <w:right w:w="108" w:type="dxa"/>
          </w:tblCellMar>
        </w:tblPrEx>
        <w:trPr>
          <w:trHeight w:val="773" w:hRule="atLeast"/>
        </w:trPr>
        <w:tc>
          <w:tcPr>
            <w:tcW w:w="66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before="70" w:line="364" w:lineRule="auto"/>
              <w:ind w:left="110" w:right="-15"/>
              <w:rPr>
                <w:spacing w:val="-18"/>
                <w:sz w:val="21"/>
              </w:rPr>
            </w:pPr>
            <w:r>
              <w:rPr>
                <w:rFonts w:hint="eastAsia"/>
                <w:spacing w:val="-18"/>
                <w:sz w:val="21"/>
              </w:rPr>
              <w:t>3</w:t>
            </w:r>
          </w:p>
        </w:tc>
        <w:tc>
          <w:tcPr>
            <w:tcW w:w="70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before="70" w:line="364" w:lineRule="auto"/>
              <w:ind w:left="110" w:right="-15"/>
              <w:rPr>
                <w:spacing w:val="-18"/>
                <w:sz w:val="21"/>
                <w:lang w:val="en-US"/>
              </w:rPr>
            </w:pPr>
            <w:r>
              <w:rPr>
                <w:rFonts w:hint="eastAsia"/>
                <w:spacing w:val="-18"/>
                <w:sz w:val="21"/>
                <w:lang w:val="en-US"/>
              </w:rPr>
              <w:t>业务受理中心</w:t>
            </w:r>
          </w:p>
        </w:tc>
        <w:tc>
          <w:tcPr>
            <w:tcW w:w="363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before="70" w:line="364" w:lineRule="auto"/>
              <w:ind w:left="110" w:right="-15"/>
              <w:rPr>
                <w:spacing w:val="-18"/>
                <w:sz w:val="21"/>
              </w:rPr>
            </w:pPr>
            <w:r>
              <w:rPr>
                <w:rFonts w:hint="eastAsia"/>
                <w:spacing w:val="-18"/>
                <w:sz w:val="21"/>
              </w:rPr>
              <w:t>该功能模块用于处理医院对电子票据上线、使用、故障、个性化需求等业务，模块包含医院的业务提交、医院管理者的受理审核、信息部门的业务处理以及对业务处理情况的跟踪督办。</w:t>
            </w:r>
          </w:p>
          <w:p>
            <w:pPr>
              <w:pStyle w:val="19"/>
              <w:spacing w:before="70" w:line="364" w:lineRule="auto"/>
              <w:ind w:left="110" w:right="-15"/>
              <w:rPr>
                <w:spacing w:val="-18"/>
                <w:sz w:val="21"/>
              </w:rPr>
            </w:pPr>
            <w:r>
              <w:rPr>
                <w:rFonts w:hint="eastAsia"/>
                <w:spacing w:val="-18"/>
                <w:sz w:val="21"/>
              </w:rPr>
              <w:t>其中包含印章管理：医院开具的电子票据上，需加盖医院对应的电子印章。</w:t>
            </w:r>
          </w:p>
          <w:p>
            <w:pPr>
              <w:pStyle w:val="19"/>
              <w:spacing w:before="70" w:line="364" w:lineRule="auto"/>
              <w:ind w:left="110" w:right="-15"/>
              <w:rPr>
                <w:spacing w:val="-18"/>
                <w:sz w:val="21"/>
              </w:rPr>
            </w:pPr>
            <w:r>
              <w:rPr>
                <w:rFonts w:hint="eastAsia"/>
                <w:spacing w:val="-18"/>
                <w:sz w:val="21"/>
              </w:rPr>
              <w:t>医院的电子印章在电子票据系统中可由具体的管理人员进行维护对应的印章信息，并可预览印章样式。</w:t>
            </w:r>
          </w:p>
          <w:p>
            <w:pPr>
              <w:pStyle w:val="19"/>
              <w:spacing w:before="70" w:line="364" w:lineRule="auto"/>
              <w:ind w:left="110" w:right="-15"/>
              <w:rPr>
                <w:spacing w:val="-18"/>
                <w:sz w:val="21"/>
              </w:rPr>
            </w:pPr>
            <w:r>
              <w:rPr>
                <w:rFonts w:hint="eastAsia"/>
                <w:spacing w:val="-18"/>
                <w:sz w:val="21"/>
              </w:rPr>
              <w:t>开票点管理：医疗单位根据单位实际业务情况，在系统中进行开票点创建，并对开票的用户信息、可用项目信息、可用票据信息及印制应用信息进行管理。单位开票点可以只创建一级，也可以创建多级。已有业务数据发生的开票点不能删除，只能停用。</w:t>
            </w:r>
          </w:p>
          <w:p>
            <w:pPr>
              <w:pStyle w:val="19"/>
              <w:spacing w:before="70" w:line="364" w:lineRule="auto"/>
              <w:ind w:left="110" w:right="-15"/>
              <w:rPr>
                <w:spacing w:val="-18"/>
                <w:sz w:val="21"/>
              </w:rPr>
            </w:pPr>
            <w:r>
              <w:rPr>
                <w:rFonts w:hint="eastAsia"/>
                <w:spacing w:val="-18"/>
                <w:sz w:val="21"/>
              </w:rPr>
              <w:t>开票员管理：医疗单位根据单位实际业务情况，在电子票据系统中维护 HIS 系统中对应的收费员信息，并与电子票据系统中已维护的用户信息进行绑定。便于电子票据系统按照收费员信息统计查看电子票据系统相关报表数据。</w:t>
            </w:r>
          </w:p>
          <w:p>
            <w:pPr>
              <w:pStyle w:val="19"/>
              <w:spacing w:before="70" w:line="364" w:lineRule="auto"/>
              <w:ind w:left="110" w:right="-15"/>
              <w:rPr>
                <w:spacing w:val="-18"/>
                <w:sz w:val="21"/>
              </w:rPr>
            </w:pPr>
            <w:r>
              <w:rPr>
                <w:rFonts w:hint="eastAsia"/>
                <w:spacing w:val="-18"/>
                <w:sz w:val="21"/>
              </w:rPr>
              <w:t>项目分组：医疗单位根据业务需要，根据票据种类设定该票据的项目分组，项目分组是收费项目的组合。项目分组设置完毕后，在后续开票业务中，开具相同票据时相同收费项目时，票据种类选择完毕后，可直接选择对应的项目分组，系统自动按照分组内的收费项目及收费标准填充票面信息，实现快速开票。</w:t>
            </w:r>
          </w:p>
          <w:p>
            <w:pPr>
              <w:pStyle w:val="19"/>
              <w:spacing w:before="70" w:line="364" w:lineRule="auto"/>
              <w:ind w:left="110" w:right="-15"/>
              <w:rPr>
                <w:spacing w:val="-18"/>
                <w:sz w:val="21"/>
              </w:rPr>
            </w:pPr>
            <w:r>
              <w:rPr>
                <w:rFonts w:hint="eastAsia"/>
                <w:spacing w:val="-18"/>
                <w:sz w:val="21"/>
              </w:rPr>
              <w:t>编码对照管理：医疗单位的 HIS 系统或其他与电子票据系统对接的外部系统，所使用的编码规则未采用财政统一编码时，医疗单位需根据实际业务情况，将本电子票据系统的基础信息与外部系统转入的基础信息进行编码对照。</w:t>
            </w:r>
          </w:p>
          <w:p>
            <w:pPr>
              <w:pStyle w:val="19"/>
              <w:spacing w:before="70" w:line="364" w:lineRule="auto"/>
              <w:ind w:left="110" w:right="-15"/>
              <w:rPr>
                <w:spacing w:val="-18"/>
                <w:sz w:val="21"/>
              </w:rPr>
            </w:pPr>
            <w:r>
              <w:rPr>
                <w:rFonts w:hint="eastAsia"/>
                <w:spacing w:val="-18"/>
                <w:sz w:val="21"/>
              </w:rPr>
              <w:t>业务类别维护：医疗单位按照本单位的各业务类别分别维护相应业务发生时所需开具的票据种类信息。当HIS系统调用电子票据系统接口开具电子票据时，电子票据系统将根据 HIS 系统发送的业务标识来自动判断本次应开具的票据种类信息。</w:t>
            </w:r>
          </w:p>
          <w:p>
            <w:pPr>
              <w:pStyle w:val="19"/>
              <w:spacing w:before="70" w:line="364" w:lineRule="auto"/>
              <w:ind w:left="110" w:right="-15"/>
              <w:rPr>
                <w:spacing w:val="-18"/>
                <w:sz w:val="21"/>
              </w:rPr>
            </w:pPr>
            <w:r>
              <w:rPr>
                <w:rFonts w:hint="eastAsia"/>
                <w:spacing w:val="-18"/>
                <w:sz w:val="21"/>
              </w:rPr>
              <w:t>开票点库存管理：主要是对开票点发票库存进行管理，有手工票据领购，票据作废，财政端接口同步等功能。默认数据采用财政端接口同步。</w:t>
            </w:r>
          </w:p>
          <w:p>
            <w:pPr>
              <w:pStyle w:val="19"/>
              <w:spacing w:before="70" w:line="364" w:lineRule="auto"/>
              <w:ind w:left="110" w:right="-15"/>
              <w:rPr>
                <w:spacing w:val="-18"/>
                <w:sz w:val="21"/>
              </w:rPr>
            </w:pPr>
            <w:r>
              <w:rPr>
                <w:rFonts w:hint="eastAsia"/>
                <w:spacing w:val="-18"/>
                <w:sz w:val="21"/>
              </w:rPr>
              <w:t>票据领购查询：主要是查询票据领购的历史记录。票据作废查询：主要是查询票据作废记录。</w:t>
            </w:r>
          </w:p>
        </w:tc>
      </w:tr>
      <w:tr>
        <w:tblPrEx>
          <w:tblCellMar>
            <w:top w:w="0" w:type="dxa"/>
            <w:left w:w="108" w:type="dxa"/>
            <w:bottom w:w="0" w:type="dxa"/>
            <w:right w:w="108" w:type="dxa"/>
          </w:tblCellMar>
        </w:tblPrEx>
        <w:trPr>
          <w:trHeight w:val="533" w:hRule="atLeast"/>
        </w:trPr>
        <w:tc>
          <w:tcPr>
            <w:tcW w:w="66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before="70" w:line="364" w:lineRule="auto"/>
              <w:ind w:left="110" w:right="-15"/>
              <w:rPr>
                <w:spacing w:val="-18"/>
                <w:sz w:val="21"/>
                <w:lang w:val="en-US"/>
              </w:rPr>
            </w:pPr>
            <w:r>
              <w:rPr>
                <w:rFonts w:hint="eastAsia"/>
                <w:spacing w:val="-18"/>
                <w:sz w:val="21"/>
                <w:lang w:val="en-US"/>
              </w:rPr>
              <w:t>4</w:t>
            </w:r>
          </w:p>
        </w:tc>
        <w:tc>
          <w:tcPr>
            <w:tcW w:w="70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before="70" w:line="364" w:lineRule="auto"/>
              <w:ind w:left="110" w:right="-15"/>
              <w:rPr>
                <w:spacing w:val="-18"/>
                <w:sz w:val="21"/>
              </w:rPr>
            </w:pPr>
            <w:r>
              <w:rPr>
                <w:rFonts w:hint="eastAsia"/>
                <w:spacing w:val="-18"/>
                <w:sz w:val="21"/>
              </w:rPr>
              <w:t>开票服务中心</w:t>
            </w:r>
          </w:p>
        </w:tc>
        <w:tc>
          <w:tcPr>
            <w:tcW w:w="363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before="70" w:line="364" w:lineRule="auto"/>
              <w:ind w:left="110" w:right="-15"/>
              <w:rPr>
                <w:spacing w:val="-18"/>
                <w:sz w:val="21"/>
              </w:rPr>
            </w:pPr>
            <w:r>
              <w:rPr>
                <w:rFonts w:hint="eastAsia"/>
                <w:spacing w:val="-18"/>
                <w:sz w:val="21"/>
              </w:rPr>
              <w:t>该模块主要为技术口径，主要是完成医疗电子票据的开具、红冲、换开业务功能，该模块可以对任何的业务过程进行跟踪监控，异常问题的分析处理。主要使用者为信息科室。</w:t>
            </w:r>
          </w:p>
        </w:tc>
      </w:tr>
      <w:tr>
        <w:tblPrEx>
          <w:tblCellMar>
            <w:top w:w="0" w:type="dxa"/>
            <w:left w:w="108" w:type="dxa"/>
            <w:bottom w:w="0" w:type="dxa"/>
            <w:right w:w="108" w:type="dxa"/>
          </w:tblCellMar>
        </w:tblPrEx>
        <w:trPr>
          <w:trHeight w:val="773" w:hRule="atLeast"/>
        </w:trPr>
        <w:tc>
          <w:tcPr>
            <w:tcW w:w="66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before="70" w:line="364" w:lineRule="auto"/>
              <w:ind w:left="110" w:right="-15"/>
              <w:rPr>
                <w:spacing w:val="-18"/>
                <w:sz w:val="21"/>
                <w:lang w:val="en-US"/>
              </w:rPr>
            </w:pPr>
            <w:r>
              <w:rPr>
                <w:rFonts w:hint="eastAsia"/>
                <w:spacing w:val="-18"/>
                <w:sz w:val="21"/>
                <w:lang w:val="en-US"/>
              </w:rPr>
              <w:t>5</w:t>
            </w:r>
          </w:p>
        </w:tc>
        <w:tc>
          <w:tcPr>
            <w:tcW w:w="70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before="70" w:line="364" w:lineRule="auto"/>
              <w:ind w:left="110" w:right="-15"/>
              <w:rPr>
                <w:spacing w:val="-18"/>
                <w:sz w:val="21"/>
              </w:rPr>
            </w:pPr>
            <w:r>
              <w:rPr>
                <w:rFonts w:hint="eastAsia"/>
                <w:spacing w:val="-18"/>
                <w:sz w:val="21"/>
              </w:rPr>
              <w:t>消息推送中心</w:t>
            </w:r>
          </w:p>
        </w:tc>
        <w:tc>
          <w:tcPr>
            <w:tcW w:w="363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before="70" w:line="364" w:lineRule="auto"/>
              <w:ind w:left="110" w:right="-15"/>
              <w:rPr>
                <w:spacing w:val="-18"/>
                <w:sz w:val="21"/>
              </w:rPr>
            </w:pPr>
            <w:r>
              <w:rPr>
                <w:rFonts w:hint="eastAsia"/>
                <w:spacing w:val="-18"/>
                <w:sz w:val="21"/>
              </w:rPr>
              <w:t>该模块主要是面向患者或者社会公众，针对核心业务中的电子票据提供一个推送交付的平台，其中：</w:t>
            </w:r>
          </w:p>
          <w:p>
            <w:pPr>
              <w:pStyle w:val="19"/>
              <w:spacing w:before="70" w:line="364" w:lineRule="auto"/>
              <w:ind w:left="110" w:right="-15"/>
              <w:rPr>
                <w:spacing w:val="-18"/>
                <w:sz w:val="21"/>
              </w:rPr>
            </w:pPr>
            <w:r>
              <w:rPr>
                <w:rFonts w:hint="eastAsia"/>
                <w:spacing w:val="-18"/>
                <w:sz w:val="21"/>
              </w:rPr>
              <w:t>1、常规交付：患者获取电子票据的可根据医院开票后推送方式：掌医应用获票、短信取票、邮箱取票，建议采用掌医应用取票。</w:t>
            </w:r>
          </w:p>
          <w:p>
            <w:pPr>
              <w:pStyle w:val="19"/>
              <w:spacing w:before="70" w:line="364" w:lineRule="auto"/>
              <w:ind w:left="110" w:right="-15"/>
              <w:rPr>
                <w:spacing w:val="-18"/>
                <w:sz w:val="21"/>
              </w:rPr>
            </w:pPr>
            <w:r>
              <w:rPr>
                <w:rFonts w:hint="eastAsia"/>
                <w:spacing w:val="-18"/>
                <w:sz w:val="21"/>
              </w:rPr>
              <w:t>2、二维码交付：患者根据缴费凭证下方追加的获取电子票据二维码获取。患者拿到缴费凭证后微信扫一扫，完成电子票据的查看、获取、归集、插入微信卡包。</w:t>
            </w:r>
          </w:p>
          <w:p>
            <w:pPr>
              <w:pStyle w:val="19"/>
              <w:spacing w:before="70" w:line="364" w:lineRule="auto"/>
              <w:ind w:left="110" w:right="-15"/>
              <w:rPr>
                <w:spacing w:val="-18"/>
                <w:sz w:val="21"/>
              </w:rPr>
            </w:pPr>
            <w:r>
              <w:rPr>
                <w:rFonts w:hint="eastAsia"/>
                <w:spacing w:val="-18"/>
                <w:sz w:val="21"/>
              </w:rPr>
              <w:t>3、窗口交付：患者到补打窗口处将电子票据直接打印到A4纸上或者电子票据换开纸质票据。</w:t>
            </w:r>
          </w:p>
        </w:tc>
      </w:tr>
      <w:tr>
        <w:tblPrEx>
          <w:tblCellMar>
            <w:top w:w="0" w:type="dxa"/>
            <w:left w:w="108" w:type="dxa"/>
            <w:bottom w:w="0" w:type="dxa"/>
            <w:right w:w="108" w:type="dxa"/>
          </w:tblCellMar>
        </w:tblPrEx>
        <w:trPr>
          <w:trHeight w:val="773" w:hRule="atLeast"/>
        </w:trPr>
        <w:tc>
          <w:tcPr>
            <w:tcW w:w="66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before="70" w:line="364" w:lineRule="auto"/>
              <w:ind w:left="110" w:right="-15"/>
              <w:rPr>
                <w:spacing w:val="-18"/>
                <w:sz w:val="21"/>
                <w:lang w:val="en-US"/>
              </w:rPr>
            </w:pPr>
            <w:r>
              <w:rPr>
                <w:rFonts w:hint="eastAsia"/>
                <w:spacing w:val="-18"/>
                <w:sz w:val="21"/>
                <w:lang w:val="en-US"/>
              </w:rPr>
              <w:t>6</w:t>
            </w:r>
          </w:p>
        </w:tc>
        <w:tc>
          <w:tcPr>
            <w:tcW w:w="70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before="70" w:line="364" w:lineRule="auto"/>
              <w:ind w:left="110" w:right="-15"/>
              <w:rPr>
                <w:spacing w:val="-18"/>
                <w:sz w:val="21"/>
              </w:rPr>
            </w:pPr>
            <w:r>
              <w:rPr>
                <w:rFonts w:hint="eastAsia"/>
                <w:spacing w:val="-18"/>
                <w:sz w:val="21"/>
              </w:rPr>
              <w:t>版式文件中心</w:t>
            </w:r>
          </w:p>
        </w:tc>
        <w:tc>
          <w:tcPr>
            <w:tcW w:w="363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before="70" w:line="364" w:lineRule="auto"/>
              <w:ind w:left="110" w:right="-15"/>
              <w:rPr>
                <w:spacing w:val="-18"/>
                <w:sz w:val="21"/>
              </w:rPr>
            </w:pPr>
            <w:r>
              <w:rPr>
                <w:rFonts w:hint="eastAsia"/>
                <w:spacing w:val="-18"/>
                <w:sz w:val="21"/>
              </w:rPr>
              <w:t>该模块主要是针对电子票据的版式文件的管理，包含电子票据版式文件的获取，对版式文件的存储、管理、查询、调阅等功能。</w:t>
            </w:r>
          </w:p>
        </w:tc>
      </w:tr>
      <w:tr>
        <w:tblPrEx>
          <w:tblCellMar>
            <w:top w:w="0" w:type="dxa"/>
            <w:left w:w="108" w:type="dxa"/>
            <w:bottom w:w="0" w:type="dxa"/>
            <w:right w:w="108" w:type="dxa"/>
          </w:tblCellMar>
        </w:tblPrEx>
        <w:trPr>
          <w:trHeight w:val="773" w:hRule="atLeast"/>
        </w:trPr>
        <w:tc>
          <w:tcPr>
            <w:tcW w:w="66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before="70" w:line="364" w:lineRule="auto"/>
              <w:ind w:left="110" w:right="-15"/>
              <w:rPr>
                <w:spacing w:val="-18"/>
                <w:sz w:val="21"/>
                <w:lang w:val="en-US"/>
              </w:rPr>
            </w:pPr>
            <w:r>
              <w:rPr>
                <w:rFonts w:hint="eastAsia"/>
                <w:spacing w:val="-18"/>
                <w:sz w:val="21"/>
                <w:lang w:val="en-US"/>
              </w:rPr>
              <w:t>7</w:t>
            </w:r>
          </w:p>
        </w:tc>
        <w:tc>
          <w:tcPr>
            <w:tcW w:w="70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before="70" w:line="364" w:lineRule="auto"/>
              <w:ind w:left="110" w:right="-15"/>
              <w:rPr>
                <w:spacing w:val="-18"/>
                <w:sz w:val="21"/>
              </w:rPr>
            </w:pPr>
            <w:r>
              <w:rPr>
                <w:rFonts w:hint="eastAsia"/>
                <w:spacing w:val="-18"/>
                <w:sz w:val="21"/>
              </w:rPr>
              <w:t>签名服务中心</w:t>
            </w:r>
          </w:p>
        </w:tc>
        <w:tc>
          <w:tcPr>
            <w:tcW w:w="363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before="70" w:line="364" w:lineRule="auto"/>
              <w:ind w:left="110" w:right="-15"/>
              <w:rPr>
                <w:spacing w:val="-18"/>
                <w:sz w:val="21"/>
              </w:rPr>
            </w:pPr>
            <w:r>
              <w:rPr>
                <w:rFonts w:hint="eastAsia"/>
                <w:spacing w:val="-18"/>
                <w:sz w:val="21"/>
              </w:rPr>
              <w:t>该模块主要是针对医院电子票据数据中的单位签名提供支持。</w:t>
            </w:r>
          </w:p>
        </w:tc>
      </w:tr>
      <w:tr>
        <w:tblPrEx>
          <w:tblCellMar>
            <w:top w:w="0" w:type="dxa"/>
            <w:left w:w="108" w:type="dxa"/>
            <w:bottom w:w="0" w:type="dxa"/>
            <w:right w:w="108" w:type="dxa"/>
          </w:tblCellMar>
        </w:tblPrEx>
        <w:trPr>
          <w:trHeight w:val="773" w:hRule="atLeast"/>
        </w:trPr>
        <w:tc>
          <w:tcPr>
            <w:tcW w:w="66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before="70" w:line="364" w:lineRule="auto"/>
              <w:ind w:left="110" w:right="-15"/>
              <w:rPr>
                <w:spacing w:val="-18"/>
                <w:sz w:val="21"/>
                <w:lang w:val="en-US"/>
              </w:rPr>
            </w:pPr>
            <w:r>
              <w:rPr>
                <w:rFonts w:hint="eastAsia"/>
                <w:spacing w:val="-18"/>
                <w:sz w:val="21"/>
                <w:lang w:val="en-US"/>
              </w:rPr>
              <w:t>8</w:t>
            </w:r>
          </w:p>
        </w:tc>
        <w:tc>
          <w:tcPr>
            <w:tcW w:w="70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before="70" w:line="364" w:lineRule="auto"/>
              <w:ind w:left="110" w:right="-15"/>
              <w:rPr>
                <w:spacing w:val="-18"/>
                <w:sz w:val="21"/>
              </w:rPr>
            </w:pPr>
            <w:r>
              <w:rPr>
                <w:rFonts w:hint="eastAsia"/>
                <w:spacing w:val="-18"/>
                <w:sz w:val="21"/>
                <w:lang w:val="en-US"/>
              </w:rPr>
              <w:t>收费对账中心</w:t>
            </w:r>
          </w:p>
        </w:tc>
        <w:tc>
          <w:tcPr>
            <w:tcW w:w="363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before="70" w:line="364" w:lineRule="auto"/>
              <w:ind w:left="110" w:right="-15"/>
              <w:rPr>
                <w:spacing w:val="-18"/>
                <w:sz w:val="21"/>
              </w:rPr>
            </w:pPr>
            <w:r>
              <w:rPr>
                <w:rFonts w:hint="eastAsia"/>
                <w:spacing w:val="-18"/>
                <w:sz w:val="21"/>
              </w:rPr>
              <w:t>该模块针对医院的收费、开票业务进行数据对账和电子票据的查询汇总统计。</w:t>
            </w:r>
          </w:p>
          <w:p>
            <w:pPr>
              <w:pStyle w:val="19"/>
              <w:spacing w:before="70" w:line="364" w:lineRule="auto"/>
              <w:ind w:left="110" w:right="-15"/>
              <w:rPr>
                <w:spacing w:val="-18"/>
                <w:sz w:val="21"/>
              </w:rPr>
            </w:pPr>
            <w:r>
              <w:rPr>
                <w:rFonts w:hint="eastAsia"/>
                <w:spacing w:val="-18"/>
                <w:sz w:val="21"/>
              </w:rPr>
              <w:t>其中包含：</w:t>
            </w:r>
          </w:p>
          <w:p>
            <w:pPr>
              <w:pStyle w:val="19"/>
              <w:spacing w:before="70" w:line="364" w:lineRule="auto"/>
              <w:ind w:left="110" w:right="-15"/>
              <w:rPr>
                <w:spacing w:val="-18"/>
                <w:sz w:val="21"/>
              </w:rPr>
            </w:pPr>
            <w:r>
              <w:rPr>
                <w:rFonts w:hint="eastAsia"/>
                <w:spacing w:val="-18"/>
                <w:sz w:val="21"/>
              </w:rPr>
              <w:t>库存结余表：该表用于医疗单位或开票点用户查看本机构及下属机构的各票据种类库存情况。</w:t>
            </w:r>
          </w:p>
          <w:p>
            <w:pPr>
              <w:pStyle w:val="19"/>
              <w:spacing w:before="70" w:line="364" w:lineRule="auto"/>
              <w:ind w:left="110" w:right="-15"/>
              <w:rPr>
                <w:spacing w:val="-18"/>
                <w:sz w:val="21"/>
              </w:rPr>
            </w:pPr>
            <w:r>
              <w:rPr>
                <w:rFonts w:hint="eastAsia"/>
                <w:spacing w:val="-18"/>
                <w:sz w:val="21"/>
              </w:rPr>
              <w:t>医疗电子票据明细表：该表用于单位或开票点用户查看本机构的开票明细情</w:t>
            </w:r>
          </w:p>
          <w:p>
            <w:pPr>
              <w:pStyle w:val="19"/>
              <w:spacing w:before="70" w:line="364" w:lineRule="auto"/>
              <w:ind w:left="110" w:right="-15"/>
              <w:rPr>
                <w:spacing w:val="-18"/>
                <w:sz w:val="21"/>
              </w:rPr>
            </w:pPr>
            <w:r>
              <w:rPr>
                <w:rFonts w:hint="eastAsia"/>
                <w:spacing w:val="-18"/>
                <w:sz w:val="21"/>
              </w:rPr>
              <w:t>况，医疗单位可按照开票点或业务日期筛选查看开票明细信息，包含患者姓名、业务标识、科室、交费渠道等详细信息；开票点用户只能查看本开票点的开票明细信息。</w:t>
            </w:r>
          </w:p>
          <w:p>
            <w:pPr>
              <w:pStyle w:val="19"/>
              <w:spacing w:before="70" w:line="364" w:lineRule="auto"/>
              <w:ind w:left="110" w:right="-15"/>
              <w:rPr>
                <w:spacing w:val="-18"/>
                <w:sz w:val="21"/>
              </w:rPr>
            </w:pPr>
            <w:r>
              <w:rPr>
                <w:rFonts w:hint="eastAsia"/>
                <w:spacing w:val="-18"/>
                <w:sz w:val="21"/>
              </w:rPr>
              <w:t>医疗电子票据汇总表：该表按照收费员、业务类别统计汇总各票据种类收费情况（按照缴款渠道分别统计）和开票数量（开票份数和冲红份数）；医疗单位用户可按照业务类别或业务日期筛选查看本单位或本单位下各开票点的开票汇总信息；开票点用户只能查看本开票点的开票汇总信息。</w:t>
            </w:r>
          </w:p>
          <w:p>
            <w:pPr>
              <w:pStyle w:val="19"/>
              <w:spacing w:before="70" w:line="364" w:lineRule="auto"/>
              <w:ind w:left="110" w:right="-15"/>
              <w:rPr>
                <w:spacing w:val="-18"/>
                <w:sz w:val="21"/>
              </w:rPr>
            </w:pPr>
            <w:r>
              <w:rPr>
                <w:rFonts w:hint="eastAsia"/>
                <w:spacing w:val="-18"/>
                <w:sz w:val="21"/>
              </w:rPr>
              <w:t>交费渠道汇总表：该表按照患者交费渠道统计各单位或开票点具体时间段内各渠道的交费金额。</w:t>
            </w:r>
          </w:p>
          <w:p>
            <w:pPr>
              <w:pStyle w:val="19"/>
              <w:spacing w:before="70" w:line="364" w:lineRule="auto"/>
              <w:ind w:left="110" w:right="-15"/>
              <w:rPr>
                <w:spacing w:val="-18"/>
                <w:sz w:val="21"/>
              </w:rPr>
            </w:pPr>
            <w:r>
              <w:rPr>
                <w:rFonts w:hint="eastAsia"/>
                <w:spacing w:val="-18"/>
                <w:sz w:val="21"/>
              </w:rPr>
              <w:t>部门开票点汇总表：该表可按照部门开票点进行汇总查看该开票点具体开票情况，具体开票信息包含业务日期、开票日期、开票点名称、收费员、患者姓名、业务标识、科室、交费渠道、开票总金额、票据名称、票据代码、票据号码、关联红票号码、关联纸质票号码、状态。</w:t>
            </w:r>
          </w:p>
          <w:p>
            <w:pPr>
              <w:pStyle w:val="19"/>
              <w:spacing w:before="70" w:line="364" w:lineRule="auto"/>
              <w:ind w:left="110" w:right="-15"/>
              <w:rPr>
                <w:spacing w:val="-18"/>
                <w:sz w:val="21"/>
              </w:rPr>
            </w:pPr>
            <w:r>
              <w:rPr>
                <w:rFonts w:hint="eastAsia"/>
                <w:spacing w:val="-18"/>
                <w:sz w:val="21"/>
              </w:rPr>
              <w:t>部门收费员汇总表：该表可按照部门收费员进行汇总查看该收费员具体开票情况，具体开票信息包含业务日期、开票日期、开票点名称、收费员、患者姓名、业务标识、科室、交费渠道、开票总金额、票据名称、票据代码、票据号码、关联红票号码、关联纸质票号码、状态。</w:t>
            </w:r>
          </w:p>
          <w:p>
            <w:pPr>
              <w:pStyle w:val="19"/>
              <w:spacing w:before="70" w:line="364" w:lineRule="auto"/>
              <w:ind w:left="110" w:right="-15"/>
              <w:rPr>
                <w:spacing w:val="-18"/>
                <w:sz w:val="21"/>
              </w:rPr>
            </w:pPr>
          </w:p>
        </w:tc>
      </w:tr>
    </w:tbl>
    <w:p>
      <w:pPr>
        <w:spacing w:line="360" w:lineRule="auto"/>
        <w:ind w:firstLine="480" w:firstLineChars="200"/>
        <w:rPr>
          <w:sz w:val="24"/>
          <w:szCs w:val="24"/>
        </w:rPr>
      </w:pPr>
    </w:p>
    <w:p>
      <w:pPr>
        <w:spacing w:line="360" w:lineRule="auto"/>
        <w:ind w:firstLine="480" w:firstLineChars="200"/>
        <w:rPr>
          <w:sz w:val="24"/>
          <w:szCs w:val="24"/>
        </w:rPr>
      </w:pPr>
    </w:p>
    <w:p>
      <w:pPr>
        <w:pStyle w:val="3"/>
        <w:rPr>
          <w:rFonts w:ascii="宋体" w:hAnsi="宋体" w:eastAsia="宋体" w:cs="宋体"/>
        </w:rPr>
      </w:pPr>
      <w:bookmarkStart w:id="32" w:name="_bookmark27"/>
      <w:bookmarkEnd w:id="32"/>
      <w:bookmarkStart w:id="33" w:name="_bookmark25"/>
      <w:bookmarkEnd w:id="33"/>
      <w:bookmarkStart w:id="34" w:name="_bookmark28"/>
      <w:bookmarkEnd w:id="34"/>
      <w:bookmarkStart w:id="35" w:name="_Toc98944867"/>
      <w:bookmarkStart w:id="36" w:name="_Toc13541"/>
      <w:r>
        <w:rPr>
          <w:rFonts w:hint="eastAsia" w:ascii="宋体" w:hAnsi="宋体" w:eastAsia="宋体" w:cs="宋体"/>
          <w:lang w:val="en-US"/>
        </w:rPr>
        <w:t>4</w:t>
      </w:r>
      <w:r>
        <w:rPr>
          <w:rFonts w:hint="eastAsia" w:ascii="宋体" w:hAnsi="宋体" w:eastAsia="宋体" w:cs="宋体"/>
        </w:rPr>
        <w:t>部署及配置方案</w:t>
      </w:r>
      <w:bookmarkEnd w:id="35"/>
      <w:bookmarkEnd w:id="36"/>
    </w:p>
    <w:p>
      <w:pPr>
        <w:pStyle w:val="6"/>
        <w:spacing w:before="6"/>
        <w:rPr>
          <w:b/>
          <w:sz w:val="18"/>
        </w:rPr>
      </w:pPr>
    </w:p>
    <w:p>
      <w:pPr>
        <w:pStyle w:val="4"/>
        <w:rPr>
          <w:rFonts w:ascii="宋体" w:hAnsi="宋体" w:eastAsia="宋体" w:cs="宋体"/>
        </w:rPr>
      </w:pPr>
      <w:bookmarkStart w:id="37" w:name="_Toc98944868"/>
      <w:bookmarkStart w:id="38" w:name="_Toc16403"/>
      <w:r>
        <w:rPr>
          <w:rFonts w:hint="eastAsia" w:ascii="宋体" w:hAnsi="宋体" w:eastAsia="宋体" w:cs="宋体"/>
          <w:lang w:val="en-US" w:bidi="ar-SA"/>
        </w:rPr>
        <w:t>4.1</w:t>
      </w:r>
      <w:bookmarkStart w:id="39" w:name="_bookmark29"/>
      <w:bookmarkEnd w:id="39"/>
      <w:r>
        <w:rPr>
          <w:rFonts w:hint="eastAsia" w:ascii="宋体" w:hAnsi="宋体" w:eastAsia="宋体" w:cs="宋体"/>
        </w:rPr>
        <w:t>集成部署架构</w:t>
      </w:r>
      <w:bookmarkEnd w:id="37"/>
      <w:bookmarkEnd w:id="38"/>
    </w:p>
    <w:p>
      <w:pPr>
        <w:pStyle w:val="6"/>
        <w:spacing w:before="135"/>
        <w:ind w:left="1160"/>
      </w:pPr>
      <w:r>
        <w:rPr>
          <w:rFonts w:hint="eastAsia"/>
        </w:rPr>
        <w:t>本次新建的医疗收费电子票据管理系统通过互联网+白名单的形式与财政端</w:t>
      </w:r>
    </w:p>
    <w:p>
      <w:pPr>
        <w:pStyle w:val="6"/>
        <w:rPr>
          <w:sz w:val="9"/>
        </w:rPr>
      </w:pPr>
    </w:p>
    <w:p>
      <w:pPr>
        <w:pStyle w:val="6"/>
        <w:spacing w:before="67" w:line="381" w:lineRule="auto"/>
        <w:ind w:left="680" w:right="641"/>
      </w:pPr>
      <w:r>
        <w:rPr>
          <w:rFonts w:hint="eastAsia"/>
          <w:spacing w:val="-7"/>
        </w:rPr>
        <w:t>电子票据管理系统完成对接，实现医院基础信息及票号的自动同步，并按照财政</w:t>
      </w:r>
      <w:r>
        <w:rPr>
          <w:rFonts w:hint="eastAsia"/>
        </w:rPr>
        <w:t>管理要求，将完成电子票据的开具等。</w:t>
      </w:r>
    </w:p>
    <w:p>
      <w:pPr>
        <w:pStyle w:val="6"/>
        <w:spacing w:line="381" w:lineRule="auto"/>
        <w:ind w:left="680" w:right="638" w:firstLine="479"/>
      </w:pPr>
      <w:r>
        <w:rPr>
          <w:rFonts w:hint="eastAsia"/>
        </w:rPr>
        <w:t>本次新建的医疗收费电子票据管理系统</w:t>
      </w:r>
      <w:r>
        <w:rPr>
          <w:rFonts w:hint="eastAsia"/>
          <w:lang w:val="en-US"/>
        </w:rPr>
        <w:t>要求</w:t>
      </w:r>
      <w:r>
        <w:rPr>
          <w:rFonts w:hint="eastAsia"/>
        </w:rPr>
        <w:t>通过内网与医院的 HIS 系统完成对接，实现医疗电子票据的开具、对账、推送。</w:t>
      </w:r>
    </w:p>
    <w:p>
      <w:pPr>
        <w:pStyle w:val="6"/>
        <w:spacing w:line="381" w:lineRule="auto"/>
        <w:ind w:left="719" w:leftChars="327" w:right="638" w:firstLine="480" w:firstLineChars="200"/>
        <w:rPr>
          <w:lang w:val="en-US"/>
        </w:rPr>
      </w:pPr>
      <w:r>
        <w:rPr>
          <w:rFonts w:hint="eastAsia"/>
          <w:lang w:val="en-US"/>
        </w:rPr>
        <w:t>为保证系统的稳定高可用性，医疗收费电子票据管理系统所有功能模块及数据库支持双活模式进行部署。</w:t>
      </w:r>
    </w:p>
    <w:p>
      <w:pPr>
        <w:pStyle w:val="6"/>
        <w:rPr>
          <w:sz w:val="20"/>
        </w:rPr>
      </w:pPr>
    </w:p>
    <w:p>
      <w:pPr>
        <w:pStyle w:val="4"/>
        <w:rPr>
          <w:rFonts w:ascii="宋体" w:hAnsi="宋体" w:eastAsia="宋体" w:cs="宋体"/>
        </w:rPr>
      </w:pPr>
      <w:bookmarkStart w:id="40" w:name="_bookmark30"/>
      <w:bookmarkEnd w:id="40"/>
      <w:bookmarkStart w:id="41" w:name="_Toc98944869"/>
      <w:bookmarkStart w:id="42" w:name="_Toc7596"/>
      <w:r>
        <w:rPr>
          <w:rFonts w:hint="eastAsia" w:ascii="宋体" w:hAnsi="宋体" w:eastAsia="宋体" w:cs="宋体"/>
          <w:lang w:val="en-US"/>
        </w:rPr>
        <w:t>4</w:t>
      </w:r>
      <w:r>
        <w:rPr>
          <w:rFonts w:hint="eastAsia" w:ascii="宋体" w:hAnsi="宋体" w:eastAsia="宋体" w:cs="宋体"/>
        </w:rPr>
        <w:t>.2</w:t>
      </w:r>
      <w:r>
        <w:rPr>
          <w:rFonts w:hint="eastAsia" w:ascii="宋体" w:hAnsi="宋体" w:eastAsia="宋体" w:cs="宋体"/>
          <w:lang w:val="en-US"/>
        </w:rPr>
        <w:t>服务器及网络安全</w:t>
      </w:r>
      <w:r>
        <w:rPr>
          <w:rFonts w:hint="eastAsia" w:ascii="宋体" w:hAnsi="宋体" w:eastAsia="宋体" w:cs="宋体"/>
        </w:rPr>
        <w:t>配置建议</w:t>
      </w:r>
      <w:bookmarkEnd w:id="41"/>
      <w:bookmarkEnd w:id="42"/>
    </w:p>
    <w:p>
      <w:pPr>
        <w:pStyle w:val="6"/>
        <w:spacing w:before="142"/>
        <w:ind w:left="1160"/>
      </w:pPr>
      <w:r>
        <w:rPr>
          <w:rFonts w:hint="eastAsia"/>
          <w:spacing w:val="-8"/>
        </w:rPr>
        <w:t>电子票据管理系统，需要运行的软硬件设备主要有基础架构应用服务器、开</w:t>
      </w:r>
    </w:p>
    <w:p>
      <w:pPr>
        <w:pStyle w:val="6"/>
        <w:rPr>
          <w:sz w:val="9"/>
        </w:rPr>
      </w:pPr>
    </w:p>
    <w:p>
      <w:pPr>
        <w:pStyle w:val="6"/>
        <w:spacing w:before="66" w:line="381" w:lineRule="auto"/>
        <w:ind w:left="1160" w:right="516" w:hanging="480"/>
        <w:rPr>
          <w:spacing w:val="-4"/>
        </w:rPr>
      </w:pPr>
      <w:r>
        <w:rPr>
          <w:rFonts w:hint="eastAsia"/>
          <w:spacing w:val="-4"/>
        </w:rPr>
        <w:t>票应用服务器、管理系统应用服务器、数据库服务器以及数字签名验证服务器。</w:t>
      </w:r>
    </w:p>
    <w:p>
      <w:pPr>
        <w:pStyle w:val="6"/>
        <w:spacing w:before="66" w:line="382" w:lineRule="auto"/>
        <w:ind w:left="680" w:right="516" w:firstLine="448" w:firstLineChars="200"/>
        <w:rPr>
          <w:spacing w:val="-8"/>
          <w:lang w:val="en-US"/>
        </w:rPr>
      </w:pPr>
      <w:r>
        <w:rPr>
          <w:rFonts w:hint="eastAsia"/>
          <w:spacing w:val="-8"/>
          <w:lang w:val="en-US"/>
        </w:rPr>
        <w:t xml:space="preserve">根据需要的软硬件设备要求，以下配置表配置，院方可根据自身业务量选择单点或者主备以及负载均衡模式进行部署。 </w:t>
      </w:r>
    </w:p>
    <w:tbl>
      <w:tblPr>
        <w:tblStyle w:val="13"/>
        <w:tblW w:w="5000" w:type="pct"/>
        <w:tblInd w:w="0" w:type="dxa"/>
        <w:tblLayout w:type="autofit"/>
        <w:tblCellMar>
          <w:top w:w="0" w:type="dxa"/>
          <w:left w:w="108" w:type="dxa"/>
          <w:bottom w:w="0" w:type="dxa"/>
          <w:right w:w="108" w:type="dxa"/>
        </w:tblCellMar>
      </w:tblPr>
      <w:tblGrid>
        <w:gridCol w:w="753"/>
        <w:gridCol w:w="1657"/>
        <w:gridCol w:w="1897"/>
        <w:gridCol w:w="3030"/>
        <w:gridCol w:w="1511"/>
        <w:gridCol w:w="998"/>
      </w:tblGrid>
      <w:tr>
        <w:tblPrEx>
          <w:tblCellMar>
            <w:top w:w="0" w:type="dxa"/>
            <w:left w:w="108" w:type="dxa"/>
            <w:bottom w:w="0" w:type="dxa"/>
            <w:right w:w="108" w:type="dxa"/>
          </w:tblCellMar>
        </w:tblPrEx>
        <w:trPr>
          <w:trHeight w:val="285" w:hRule="atLeast"/>
          <w:tblHeader/>
        </w:trPr>
        <w:tc>
          <w:tcPr>
            <w:tcW w:w="382" w:type="pct"/>
            <w:tcBorders>
              <w:top w:val="single" w:color="auto" w:sz="4" w:space="0"/>
              <w:left w:val="single" w:color="auto" w:sz="4" w:space="0"/>
              <w:bottom w:val="single" w:color="auto" w:sz="4" w:space="0"/>
              <w:right w:val="single" w:color="auto" w:sz="4" w:space="0"/>
            </w:tcBorders>
            <w:shd w:val="clear" w:color="000000" w:fill="F2F2F2"/>
            <w:vAlign w:val="center"/>
          </w:tcPr>
          <w:p>
            <w:pPr>
              <w:widowControl/>
              <w:jc w:val="center"/>
              <w:rPr>
                <w:b/>
                <w:bCs/>
                <w:color w:val="000000"/>
              </w:rPr>
            </w:pPr>
            <w:r>
              <w:rPr>
                <w:rFonts w:hint="eastAsia"/>
                <w:b/>
                <w:bCs/>
                <w:color w:val="000000"/>
              </w:rPr>
              <w:t>序号</w:t>
            </w:r>
          </w:p>
        </w:tc>
        <w:tc>
          <w:tcPr>
            <w:tcW w:w="841" w:type="pct"/>
            <w:tcBorders>
              <w:top w:val="single" w:color="auto" w:sz="4" w:space="0"/>
              <w:left w:val="nil"/>
              <w:bottom w:val="single" w:color="auto" w:sz="4" w:space="0"/>
              <w:right w:val="single" w:color="auto" w:sz="4" w:space="0"/>
            </w:tcBorders>
            <w:shd w:val="clear" w:color="000000" w:fill="F2F2F2"/>
            <w:vAlign w:val="center"/>
          </w:tcPr>
          <w:p>
            <w:pPr>
              <w:widowControl/>
              <w:jc w:val="center"/>
              <w:rPr>
                <w:b/>
                <w:bCs/>
                <w:color w:val="000000"/>
              </w:rPr>
            </w:pPr>
            <w:r>
              <w:rPr>
                <w:rFonts w:hint="eastAsia"/>
                <w:b/>
                <w:bCs/>
                <w:color w:val="000000"/>
              </w:rPr>
              <w:t>类别</w:t>
            </w:r>
          </w:p>
        </w:tc>
        <w:tc>
          <w:tcPr>
            <w:tcW w:w="963" w:type="pct"/>
            <w:tcBorders>
              <w:top w:val="single" w:color="auto" w:sz="4" w:space="0"/>
              <w:left w:val="nil"/>
              <w:bottom w:val="single" w:color="auto" w:sz="4" w:space="0"/>
              <w:right w:val="single" w:color="auto" w:sz="4" w:space="0"/>
            </w:tcBorders>
            <w:shd w:val="clear" w:color="000000" w:fill="F2F2F2"/>
            <w:vAlign w:val="center"/>
          </w:tcPr>
          <w:p>
            <w:pPr>
              <w:widowControl/>
              <w:jc w:val="center"/>
              <w:rPr>
                <w:b/>
                <w:bCs/>
                <w:color w:val="000000"/>
              </w:rPr>
            </w:pPr>
            <w:r>
              <w:rPr>
                <w:rFonts w:hint="eastAsia"/>
                <w:b/>
                <w:bCs/>
                <w:color w:val="000000"/>
              </w:rPr>
              <w:t>配置要求</w:t>
            </w:r>
          </w:p>
        </w:tc>
        <w:tc>
          <w:tcPr>
            <w:tcW w:w="1538" w:type="pct"/>
            <w:tcBorders>
              <w:top w:val="single" w:color="auto" w:sz="4" w:space="0"/>
              <w:left w:val="nil"/>
              <w:bottom w:val="single" w:color="auto" w:sz="4" w:space="0"/>
              <w:right w:val="single" w:color="auto" w:sz="4" w:space="0"/>
            </w:tcBorders>
            <w:shd w:val="clear" w:color="000000" w:fill="F2F2F2"/>
            <w:vAlign w:val="center"/>
          </w:tcPr>
          <w:p>
            <w:pPr>
              <w:widowControl/>
              <w:jc w:val="center"/>
              <w:rPr>
                <w:b/>
                <w:bCs/>
                <w:color w:val="000000"/>
              </w:rPr>
            </w:pPr>
            <w:r>
              <w:rPr>
                <w:rFonts w:hint="eastAsia"/>
                <w:b/>
                <w:bCs/>
                <w:color w:val="000000"/>
              </w:rPr>
              <w:t>软件配置要求</w:t>
            </w:r>
          </w:p>
        </w:tc>
        <w:tc>
          <w:tcPr>
            <w:tcW w:w="767" w:type="pct"/>
            <w:tcBorders>
              <w:top w:val="single" w:color="auto" w:sz="4" w:space="0"/>
              <w:left w:val="nil"/>
              <w:bottom w:val="single" w:color="auto" w:sz="4" w:space="0"/>
              <w:right w:val="single" w:color="auto" w:sz="4" w:space="0"/>
            </w:tcBorders>
            <w:shd w:val="clear" w:color="000000" w:fill="F2F2F2"/>
            <w:vAlign w:val="center"/>
          </w:tcPr>
          <w:p>
            <w:pPr>
              <w:widowControl/>
              <w:jc w:val="center"/>
              <w:rPr>
                <w:b/>
                <w:bCs/>
                <w:color w:val="000000"/>
              </w:rPr>
            </w:pPr>
            <w:r>
              <w:rPr>
                <w:rFonts w:hint="eastAsia"/>
                <w:b/>
                <w:bCs/>
                <w:color w:val="000000"/>
              </w:rPr>
              <w:t>接入互联网</w:t>
            </w:r>
          </w:p>
        </w:tc>
        <w:tc>
          <w:tcPr>
            <w:tcW w:w="506" w:type="pct"/>
            <w:tcBorders>
              <w:top w:val="single" w:color="auto" w:sz="4" w:space="0"/>
              <w:left w:val="single" w:color="auto" w:sz="4" w:space="0"/>
              <w:bottom w:val="single" w:color="auto" w:sz="4" w:space="0"/>
              <w:right w:val="single" w:color="auto" w:sz="4" w:space="0"/>
            </w:tcBorders>
            <w:shd w:val="clear" w:color="000000" w:fill="F2F2F2"/>
            <w:vAlign w:val="center"/>
          </w:tcPr>
          <w:p>
            <w:pPr>
              <w:widowControl/>
              <w:jc w:val="center"/>
              <w:rPr>
                <w:b/>
                <w:bCs/>
                <w:color w:val="000000"/>
              </w:rPr>
            </w:pPr>
            <w:r>
              <w:rPr>
                <w:rFonts w:hint="eastAsia"/>
                <w:b/>
                <w:bCs/>
                <w:color w:val="000000"/>
              </w:rPr>
              <w:t>数量</w:t>
            </w:r>
          </w:p>
        </w:tc>
      </w:tr>
      <w:tr>
        <w:tblPrEx>
          <w:tblCellMar>
            <w:top w:w="0" w:type="dxa"/>
            <w:left w:w="108" w:type="dxa"/>
            <w:bottom w:w="0" w:type="dxa"/>
            <w:right w:w="108" w:type="dxa"/>
          </w:tblCellMar>
        </w:tblPrEx>
        <w:trPr>
          <w:trHeight w:val="952" w:hRule="atLeast"/>
        </w:trPr>
        <w:tc>
          <w:tcPr>
            <w:tcW w:w="382" w:type="pc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rPr>
            </w:pPr>
            <w:r>
              <w:rPr>
                <w:rFonts w:hint="eastAsia"/>
                <w:color w:val="000000"/>
              </w:rPr>
              <w:t>1</w:t>
            </w:r>
          </w:p>
        </w:tc>
        <w:tc>
          <w:tcPr>
            <w:tcW w:w="841" w:type="pct"/>
            <w:tcBorders>
              <w:top w:val="nil"/>
              <w:left w:val="nil"/>
              <w:bottom w:val="single" w:color="auto" w:sz="4" w:space="0"/>
              <w:right w:val="single" w:color="auto" w:sz="4" w:space="0"/>
            </w:tcBorders>
            <w:shd w:val="clear" w:color="auto" w:fill="auto"/>
            <w:vAlign w:val="center"/>
          </w:tcPr>
          <w:p>
            <w:pPr>
              <w:widowControl/>
              <w:jc w:val="center"/>
              <w:rPr>
                <w:color w:val="000000"/>
              </w:rPr>
            </w:pPr>
            <w:r>
              <w:rPr>
                <w:rFonts w:hint="eastAsia"/>
                <w:color w:val="000000"/>
              </w:rPr>
              <w:t>财政前置</w:t>
            </w:r>
          </w:p>
        </w:tc>
        <w:tc>
          <w:tcPr>
            <w:tcW w:w="963" w:type="pct"/>
            <w:tcBorders>
              <w:top w:val="nil"/>
              <w:left w:val="nil"/>
              <w:bottom w:val="single" w:color="auto" w:sz="4" w:space="0"/>
              <w:right w:val="single" w:color="auto" w:sz="4" w:space="0"/>
            </w:tcBorders>
            <w:shd w:val="clear" w:color="auto" w:fill="auto"/>
            <w:vAlign w:val="center"/>
          </w:tcPr>
          <w:p>
            <w:pPr>
              <w:widowControl/>
              <w:jc w:val="center"/>
              <w:rPr>
                <w:color w:val="000000"/>
              </w:rPr>
            </w:pPr>
            <w:r>
              <w:rPr>
                <w:rFonts w:hint="eastAsia"/>
                <w:color w:val="000000"/>
              </w:rPr>
              <w:t>CPU&gt;=16核</w:t>
            </w:r>
          </w:p>
          <w:p>
            <w:pPr>
              <w:widowControl/>
              <w:jc w:val="center"/>
              <w:rPr>
                <w:color w:val="000000"/>
              </w:rPr>
            </w:pPr>
            <w:r>
              <w:rPr>
                <w:rFonts w:hint="eastAsia"/>
                <w:color w:val="000000"/>
              </w:rPr>
              <w:t>内存&gt;=32G</w:t>
            </w:r>
          </w:p>
          <w:p>
            <w:pPr>
              <w:widowControl/>
              <w:jc w:val="center"/>
              <w:rPr>
                <w:color w:val="000000"/>
              </w:rPr>
            </w:pPr>
            <w:r>
              <w:rPr>
                <w:rFonts w:hint="eastAsia"/>
                <w:color w:val="000000"/>
              </w:rPr>
              <w:t>存储&gt;=1.8T</w:t>
            </w:r>
          </w:p>
        </w:tc>
        <w:tc>
          <w:tcPr>
            <w:tcW w:w="1538" w:type="pct"/>
            <w:tcBorders>
              <w:top w:val="nil"/>
              <w:left w:val="nil"/>
              <w:bottom w:val="single" w:color="auto" w:sz="4" w:space="0"/>
              <w:right w:val="single" w:color="auto" w:sz="4" w:space="0"/>
            </w:tcBorders>
            <w:shd w:val="clear" w:color="auto" w:fill="auto"/>
            <w:vAlign w:val="center"/>
          </w:tcPr>
          <w:p>
            <w:pPr>
              <w:widowControl/>
              <w:jc w:val="center"/>
              <w:rPr>
                <w:color w:val="000000"/>
              </w:rPr>
            </w:pPr>
            <w:r>
              <w:rPr>
                <w:rFonts w:hint="eastAsia"/>
                <w:color w:val="000000"/>
              </w:rPr>
              <w:t>Centos7操作系统</w:t>
            </w:r>
          </w:p>
        </w:tc>
        <w:tc>
          <w:tcPr>
            <w:tcW w:w="767" w:type="pct"/>
            <w:tcBorders>
              <w:top w:val="single" w:color="auto" w:sz="4" w:space="0"/>
              <w:left w:val="nil"/>
              <w:bottom w:val="single" w:color="auto" w:sz="4" w:space="0"/>
              <w:right w:val="single" w:color="auto" w:sz="4" w:space="0"/>
            </w:tcBorders>
            <w:vAlign w:val="center"/>
          </w:tcPr>
          <w:p>
            <w:pPr>
              <w:widowControl/>
              <w:jc w:val="center"/>
              <w:rPr>
                <w:color w:val="000000"/>
              </w:rPr>
            </w:pPr>
            <w:r>
              <w:rPr>
                <w:rFonts w:hint="eastAsia"/>
                <w:color w:val="000000"/>
              </w:rPr>
              <w:t>是</w:t>
            </w:r>
          </w:p>
        </w:tc>
        <w:tc>
          <w:tcPr>
            <w:tcW w:w="506" w:type="pc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lang w:val="en-US"/>
              </w:rPr>
            </w:pPr>
            <w:r>
              <w:rPr>
                <w:rFonts w:hint="eastAsia"/>
                <w:color w:val="000000"/>
              </w:rPr>
              <w:t>1</w:t>
            </w:r>
            <w:r>
              <w:rPr>
                <w:rFonts w:hint="eastAsia"/>
                <w:color w:val="000000"/>
                <w:lang w:val="en-US"/>
              </w:rPr>
              <w:t>台</w:t>
            </w:r>
          </w:p>
        </w:tc>
      </w:tr>
      <w:tr>
        <w:tblPrEx>
          <w:tblCellMar>
            <w:top w:w="0" w:type="dxa"/>
            <w:left w:w="108" w:type="dxa"/>
            <w:bottom w:w="0" w:type="dxa"/>
            <w:right w:w="108" w:type="dxa"/>
          </w:tblCellMar>
        </w:tblPrEx>
        <w:trPr>
          <w:trHeight w:val="980" w:hRule="atLeast"/>
        </w:trPr>
        <w:tc>
          <w:tcPr>
            <w:tcW w:w="382" w:type="pc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rPr>
            </w:pPr>
            <w:r>
              <w:rPr>
                <w:rFonts w:hint="eastAsia"/>
                <w:color w:val="000000"/>
              </w:rPr>
              <w:t>2</w:t>
            </w:r>
          </w:p>
        </w:tc>
        <w:tc>
          <w:tcPr>
            <w:tcW w:w="841" w:type="pct"/>
            <w:tcBorders>
              <w:top w:val="nil"/>
              <w:left w:val="nil"/>
              <w:bottom w:val="single" w:color="auto" w:sz="4" w:space="0"/>
              <w:right w:val="single" w:color="auto" w:sz="4" w:space="0"/>
            </w:tcBorders>
            <w:shd w:val="clear" w:color="auto" w:fill="auto"/>
            <w:vAlign w:val="center"/>
          </w:tcPr>
          <w:p>
            <w:pPr>
              <w:widowControl/>
              <w:jc w:val="center"/>
              <w:rPr>
                <w:color w:val="000000"/>
              </w:rPr>
            </w:pPr>
            <w:r>
              <w:rPr>
                <w:rFonts w:hint="eastAsia"/>
                <w:color w:val="000000"/>
              </w:rPr>
              <w:t>开票应用</w:t>
            </w:r>
          </w:p>
          <w:p>
            <w:pPr>
              <w:widowControl/>
              <w:jc w:val="center"/>
              <w:rPr>
                <w:color w:val="000000"/>
              </w:rPr>
            </w:pPr>
            <w:r>
              <w:rPr>
                <w:rFonts w:hint="eastAsia"/>
                <w:color w:val="000000"/>
              </w:rPr>
              <w:t>（综合接口）</w:t>
            </w:r>
          </w:p>
        </w:tc>
        <w:tc>
          <w:tcPr>
            <w:tcW w:w="963" w:type="pct"/>
            <w:tcBorders>
              <w:top w:val="nil"/>
              <w:left w:val="nil"/>
              <w:bottom w:val="single" w:color="auto" w:sz="4" w:space="0"/>
              <w:right w:val="single" w:color="auto" w:sz="4" w:space="0"/>
            </w:tcBorders>
            <w:shd w:val="clear" w:color="auto" w:fill="auto"/>
            <w:vAlign w:val="center"/>
          </w:tcPr>
          <w:p>
            <w:pPr>
              <w:widowControl/>
              <w:jc w:val="center"/>
              <w:rPr>
                <w:color w:val="000000"/>
              </w:rPr>
            </w:pPr>
            <w:r>
              <w:rPr>
                <w:rFonts w:hint="eastAsia"/>
                <w:color w:val="000000"/>
              </w:rPr>
              <w:t>CPU&gt;=16核</w:t>
            </w:r>
          </w:p>
          <w:p>
            <w:pPr>
              <w:widowControl/>
              <w:jc w:val="center"/>
              <w:rPr>
                <w:color w:val="000000"/>
              </w:rPr>
            </w:pPr>
            <w:r>
              <w:rPr>
                <w:rFonts w:hint="eastAsia"/>
                <w:color w:val="000000"/>
              </w:rPr>
              <w:t>内存&gt;=64G</w:t>
            </w:r>
          </w:p>
          <w:p>
            <w:pPr>
              <w:widowControl/>
              <w:jc w:val="center"/>
              <w:rPr>
                <w:color w:val="000000"/>
              </w:rPr>
            </w:pPr>
            <w:r>
              <w:rPr>
                <w:rFonts w:hint="eastAsia"/>
                <w:color w:val="000000"/>
              </w:rPr>
              <w:t>存储&gt;=3T</w:t>
            </w:r>
          </w:p>
        </w:tc>
        <w:tc>
          <w:tcPr>
            <w:tcW w:w="1538" w:type="pct"/>
            <w:tcBorders>
              <w:top w:val="nil"/>
              <w:left w:val="nil"/>
              <w:bottom w:val="single" w:color="auto" w:sz="4" w:space="0"/>
              <w:right w:val="single" w:color="auto" w:sz="4" w:space="0"/>
            </w:tcBorders>
            <w:shd w:val="clear" w:color="auto" w:fill="auto"/>
            <w:vAlign w:val="center"/>
          </w:tcPr>
          <w:p>
            <w:pPr>
              <w:widowControl/>
              <w:jc w:val="center"/>
              <w:rPr>
                <w:color w:val="000000"/>
              </w:rPr>
            </w:pPr>
            <w:r>
              <w:rPr>
                <w:rFonts w:hint="eastAsia"/>
                <w:color w:val="000000"/>
              </w:rPr>
              <w:t>Centos7操作系统、</w:t>
            </w:r>
            <w:r>
              <w:rPr>
                <w:rFonts w:hint="eastAsia"/>
                <w:color w:val="000000"/>
              </w:rPr>
              <w:br w:type="textWrapping"/>
            </w:r>
            <w:r>
              <w:rPr>
                <w:rFonts w:hint="eastAsia"/>
                <w:color w:val="000000"/>
              </w:rPr>
              <w:t>Tomcat7</w:t>
            </w:r>
            <w:r>
              <w:rPr>
                <w:rFonts w:hint="eastAsia"/>
                <w:color w:val="000000"/>
              </w:rPr>
              <w:br w:type="textWrapping"/>
            </w:r>
            <w:r>
              <w:rPr>
                <w:rFonts w:hint="eastAsia"/>
                <w:color w:val="000000"/>
              </w:rPr>
              <w:t>JDK1.7</w:t>
            </w:r>
          </w:p>
        </w:tc>
        <w:tc>
          <w:tcPr>
            <w:tcW w:w="767" w:type="pct"/>
            <w:tcBorders>
              <w:top w:val="single" w:color="auto" w:sz="4" w:space="0"/>
              <w:left w:val="nil"/>
              <w:bottom w:val="single" w:color="auto" w:sz="4" w:space="0"/>
              <w:right w:val="single" w:color="auto" w:sz="4" w:space="0"/>
            </w:tcBorders>
            <w:vAlign w:val="center"/>
          </w:tcPr>
          <w:p>
            <w:pPr>
              <w:widowControl/>
              <w:jc w:val="center"/>
              <w:rPr>
                <w:color w:val="000000"/>
              </w:rPr>
            </w:pPr>
            <w:r>
              <w:rPr>
                <w:rFonts w:hint="eastAsia"/>
                <w:color w:val="000000"/>
              </w:rPr>
              <w:t>是</w:t>
            </w:r>
          </w:p>
        </w:tc>
        <w:tc>
          <w:tcPr>
            <w:tcW w:w="506" w:type="pc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lang w:val="en-US"/>
              </w:rPr>
            </w:pPr>
            <w:r>
              <w:rPr>
                <w:rFonts w:hint="eastAsia"/>
                <w:color w:val="000000"/>
              </w:rPr>
              <w:t>1</w:t>
            </w:r>
            <w:r>
              <w:rPr>
                <w:rFonts w:hint="eastAsia"/>
                <w:color w:val="000000"/>
                <w:lang w:val="en-US"/>
              </w:rPr>
              <w:t>台</w:t>
            </w:r>
          </w:p>
        </w:tc>
      </w:tr>
      <w:tr>
        <w:tblPrEx>
          <w:tblCellMar>
            <w:top w:w="0" w:type="dxa"/>
            <w:left w:w="108" w:type="dxa"/>
            <w:bottom w:w="0" w:type="dxa"/>
            <w:right w:w="108" w:type="dxa"/>
          </w:tblCellMar>
        </w:tblPrEx>
        <w:trPr>
          <w:trHeight w:val="773" w:hRule="atLeast"/>
        </w:trPr>
        <w:tc>
          <w:tcPr>
            <w:tcW w:w="382" w:type="pc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lang w:val="en-US"/>
              </w:rPr>
            </w:pPr>
            <w:r>
              <w:rPr>
                <w:rFonts w:hint="eastAsia"/>
                <w:color w:val="000000"/>
                <w:lang w:val="en-US"/>
              </w:rPr>
              <w:t>3</w:t>
            </w:r>
          </w:p>
        </w:tc>
        <w:tc>
          <w:tcPr>
            <w:tcW w:w="841" w:type="pct"/>
            <w:tcBorders>
              <w:top w:val="nil"/>
              <w:left w:val="nil"/>
              <w:bottom w:val="single" w:color="auto" w:sz="4" w:space="0"/>
              <w:right w:val="single" w:color="auto" w:sz="4" w:space="0"/>
            </w:tcBorders>
            <w:shd w:val="clear" w:color="auto" w:fill="auto"/>
            <w:vAlign w:val="center"/>
          </w:tcPr>
          <w:p>
            <w:pPr>
              <w:widowControl/>
              <w:jc w:val="center"/>
              <w:rPr>
                <w:color w:val="000000"/>
                <w:lang w:val="en-US"/>
              </w:rPr>
            </w:pPr>
            <w:r>
              <w:rPr>
                <w:rFonts w:hint="eastAsia"/>
                <w:color w:val="000000"/>
                <w:lang w:val="en-US"/>
              </w:rPr>
              <w:t>共享云带宽</w:t>
            </w:r>
          </w:p>
        </w:tc>
        <w:tc>
          <w:tcPr>
            <w:tcW w:w="963" w:type="pct"/>
            <w:tcBorders>
              <w:top w:val="nil"/>
              <w:left w:val="nil"/>
              <w:bottom w:val="single" w:color="auto" w:sz="4" w:space="0"/>
              <w:right w:val="single" w:color="auto" w:sz="4" w:space="0"/>
            </w:tcBorders>
            <w:shd w:val="clear" w:color="auto" w:fill="auto"/>
            <w:vAlign w:val="center"/>
          </w:tcPr>
          <w:p>
            <w:pPr>
              <w:widowControl/>
              <w:jc w:val="center"/>
              <w:rPr>
                <w:color w:val="000000"/>
                <w:lang w:val="en-US"/>
              </w:rPr>
            </w:pPr>
            <w:r>
              <w:rPr>
                <w:rFonts w:hint="eastAsia"/>
                <w:color w:val="000000"/>
                <w:lang w:val="en-US"/>
              </w:rPr>
              <w:t>50M</w:t>
            </w:r>
          </w:p>
        </w:tc>
        <w:tc>
          <w:tcPr>
            <w:tcW w:w="1538" w:type="pct"/>
            <w:tcBorders>
              <w:top w:val="nil"/>
              <w:left w:val="nil"/>
              <w:bottom w:val="single" w:color="auto" w:sz="4" w:space="0"/>
              <w:right w:val="single" w:color="auto" w:sz="4" w:space="0"/>
            </w:tcBorders>
            <w:shd w:val="clear" w:color="auto" w:fill="auto"/>
            <w:vAlign w:val="center"/>
          </w:tcPr>
          <w:p>
            <w:pPr>
              <w:widowControl/>
              <w:jc w:val="center"/>
              <w:rPr>
                <w:color w:val="000000"/>
                <w:lang w:val="en-US"/>
              </w:rPr>
            </w:pPr>
            <w:r>
              <w:rPr>
                <w:rFonts w:hint="eastAsia"/>
                <w:color w:val="000000"/>
                <w:lang w:val="en-US"/>
              </w:rPr>
              <w:t>1个公网ip地址</w:t>
            </w:r>
          </w:p>
        </w:tc>
        <w:tc>
          <w:tcPr>
            <w:tcW w:w="767" w:type="pct"/>
            <w:tcBorders>
              <w:top w:val="single" w:color="auto" w:sz="4" w:space="0"/>
              <w:left w:val="nil"/>
              <w:bottom w:val="single" w:color="auto" w:sz="4" w:space="0"/>
              <w:right w:val="single" w:color="auto" w:sz="4" w:space="0"/>
            </w:tcBorders>
            <w:vAlign w:val="center"/>
          </w:tcPr>
          <w:p>
            <w:pPr>
              <w:widowControl/>
              <w:jc w:val="center"/>
              <w:rPr>
                <w:color w:val="000000"/>
              </w:rPr>
            </w:pPr>
            <w:r>
              <w:rPr>
                <w:rFonts w:hint="eastAsia"/>
                <w:color w:val="000000"/>
              </w:rPr>
              <w:t>/</w:t>
            </w:r>
          </w:p>
        </w:tc>
        <w:tc>
          <w:tcPr>
            <w:tcW w:w="506" w:type="pc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lang w:val="en-US"/>
              </w:rPr>
            </w:pPr>
            <w:r>
              <w:rPr>
                <w:rFonts w:hint="eastAsia"/>
                <w:color w:val="000000"/>
                <w:lang w:val="en-US"/>
              </w:rPr>
              <w:t>1条</w:t>
            </w:r>
          </w:p>
        </w:tc>
      </w:tr>
      <w:tr>
        <w:tblPrEx>
          <w:tblCellMar>
            <w:top w:w="0" w:type="dxa"/>
            <w:left w:w="108" w:type="dxa"/>
            <w:bottom w:w="0" w:type="dxa"/>
            <w:right w:w="108" w:type="dxa"/>
          </w:tblCellMar>
        </w:tblPrEx>
        <w:trPr>
          <w:trHeight w:val="773" w:hRule="atLeast"/>
        </w:trPr>
        <w:tc>
          <w:tcPr>
            <w:tcW w:w="382" w:type="pc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lang w:val="en-US"/>
              </w:rPr>
            </w:pPr>
            <w:r>
              <w:rPr>
                <w:rFonts w:hint="eastAsia"/>
                <w:color w:val="000000"/>
                <w:lang w:val="en-US"/>
              </w:rPr>
              <w:t>4</w:t>
            </w:r>
          </w:p>
        </w:tc>
        <w:tc>
          <w:tcPr>
            <w:tcW w:w="841" w:type="pct"/>
            <w:tcBorders>
              <w:top w:val="nil"/>
              <w:left w:val="nil"/>
              <w:bottom w:val="single" w:color="auto" w:sz="4" w:space="0"/>
              <w:right w:val="single" w:color="auto" w:sz="4" w:space="0"/>
            </w:tcBorders>
            <w:shd w:val="clear" w:color="auto" w:fill="auto"/>
            <w:vAlign w:val="center"/>
          </w:tcPr>
          <w:p>
            <w:pPr>
              <w:widowControl/>
              <w:jc w:val="center"/>
              <w:rPr>
                <w:color w:val="000000"/>
                <w:lang w:val="en-US"/>
              </w:rPr>
            </w:pPr>
            <w:r>
              <w:rPr>
                <w:rFonts w:hint="eastAsia"/>
                <w:color w:val="000000"/>
                <w:lang w:val="en-US"/>
              </w:rPr>
              <w:t>云防火墙</w:t>
            </w:r>
          </w:p>
        </w:tc>
        <w:tc>
          <w:tcPr>
            <w:tcW w:w="963" w:type="pct"/>
            <w:tcBorders>
              <w:top w:val="nil"/>
              <w:left w:val="nil"/>
              <w:bottom w:val="single" w:color="auto" w:sz="4" w:space="0"/>
              <w:right w:val="single" w:color="auto" w:sz="4" w:space="0"/>
            </w:tcBorders>
            <w:shd w:val="clear" w:color="auto" w:fill="auto"/>
            <w:vAlign w:val="center"/>
          </w:tcPr>
          <w:p>
            <w:pPr>
              <w:spacing w:line="360" w:lineRule="auto"/>
              <w:jc w:val="center"/>
              <w:rPr>
                <w:color w:val="000000" w:themeColor="text1"/>
                <w:sz w:val="24"/>
                <w:szCs w:val="24"/>
                <w:lang w:val="en-US"/>
              </w:rPr>
            </w:pPr>
            <w:r>
              <w:rPr>
                <w:rFonts w:hint="eastAsia"/>
                <w:color w:val="000000"/>
              </w:rPr>
              <w:t>/</w:t>
            </w:r>
          </w:p>
        </w:tc>
        <w:tc>
          <w:tcPr>
            <w:tcW w:w="1538" w:type="pct"/>
            <w:tcBorders>
              <w:top w:val="nil"/>
              <w:left w:val="nil"/>
              <w:bottom w:val="single" w:color="auto" w:sz="4" w:space="0"/>
              <w:right w:val="single" w:color="auto" w:sz="4" w:space="0"/>
            </w:tcBorders>
            <w:shd w:val="clear" w:color="auto" w:fill="auto"/>
            <w:vAlign w:val="center"/>
          </w:tcPr>
          <w:p>
            <w:pPr>
              <w:spacing w:line="360" w:lineRule="auto"/>
              <w:jc w:val="center"/>
              <w:rPr>
                <w:color w:val="000000" w:themeColor="text1"/>
                <w:sz w:val="24"/>
                <w:szCs w:val="24"/>
                <w:lang w:val="en-US"/>
              </w:rPr>
            </w:pPr>
            <w:r>
              <w:rPr>
                <w:rFonts w:hint="eastAsia"/>
                <w:color w:val="000000" w:themeColor="text1"/>
                <w:sz w:val="24"/>
                <w:szCs w:val="24"/>
                <w:lang w:val="en-US"/>
              </w:rPr>
              <w:t>应用访问控制、Web应用防御、网页防篡改、威胁情报、恶意代码检测</w:t>
            </w:r>
          </w:p>
        </w:tc>
        <w:tc>
          <w:tcPr>
            <w:tcW w:w="767" w:type="pct"/>
            <w:tcBorders>
              <w:top w:val="single" w:color="auto" w:sz="4" w:space="0"/>
              <w:left w:val="nil"/>
              <w:bottom w:val="single" w:color="auto" w:sz="4" w:space="0"/>
              <w:right w:val="single" w:color="auto" w:sz="4" w:space="0"/>
            </w:tcBorders>
            <w:vAlign w:val="center"/>
          </w:tcPr>
          <w:p>
            <w:pPr>
              <w:widowControl/>
              <w:jc w:val="center"/>
              <w:rPr>
                <w:color w:val="000000"/>
              </w:rPr>
            </w:pPr>
            <w:r>
              <w:rPr>
                <w:rFonts w:hint="eastAsia"/>
                <w:color w:val="000000"/>
              </w:rPr>
              <w:t>是</w:t>
            </w:r>
          </w:p>
        </w:tc>
        <w:tc>
          <w:tcPr>
            <w:tcW w:w="506" w:type="pc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lang w:val="en-US"/>
              </w:rPr>
            </w:pPr>
            <w:r>
              <w:rPr>
                <w:rFonts w:hint="eastAsia"/>
                <w:color w:val="000000"/>
                <w:lang w:val="en-US"/>
              </w:rPr>
              <w:t>1台</w:t>
            </w:r>
          </w:p>
        </w:tc>
      </w:tr>
      <w:tr>
        <w:tblPrEx>
          <w:tblCellMar>
            <w:top w:w="0" w:type="dxa"/>
            <w:left w:w="108" w:type="dxa"/>
            <w:bottom w:w="0" w:type="dxa"/>
            <w:right w:w="108" w:type="dxa"/>
          </w:tblCellMar>
        </w:tblPrEx>
        <w:trPr>
          <w:trHeight w:val="773" w:hRule="atLeast"/>
        </w:trPr>
        <w:tc>
          <w:tcPr>
            <w:tcW w:w="382" w:type="pc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lang w:val="en-US"/>
              </w:rPr>
            </w:pPr>
            <w:r>
              <w:rPr>
                <w:rFonts w:hint="eastAsia"/>
                <w:color w:val="000000"/>
                <w:lang w:val="en-US"/>
              </w:rPr>
              <w:t>5</w:t>
            </w:r>
          </w:p>
        </w:tc>
        <w:tc>
          <w:tcPr>
            <w:tcW w:w="841" w:type="pct"/>
            <w:tcBorders>
              <w:top w:val="nil"/>
              <w:left w:val="nil"/>
              <w:bottom w:val="single" w:color="auto" w:sz="4" w:space="0"/>
              <w:right w:val="single" w:color="auto" w:sz="4" w:space="0"/>
            </w:tcBorders>
            <w:shd w:val="clear" w:color="auto" w:fill="auto"/>
            <w:vAlign w:val="center"/>
          </w:tcPr>
          <w:p>
            <w:pPr>
              <w:widowControl/>
              <w:jc w:val="center"/>
              <w:rPr>
                <w:color w:val="000000"/>
                <w:lang w:val="en-US"/>
              </w:rPr>
            </w:pPr>
            <w:r>
              <w:rPr>
                <w:rFonts w:hint="eastAsia"/>
                <w:color w:val="000000"/>
                <w:lang w:val="en-US"/>
              </w:rPr>
              <w:t>NAT网关</w:t>
            </w:r>
          </w:p>
        </w:tc>
        <w:tc>
          <w:tcPr>
            <w:tcW w:w="963" w:type="pct"/>
            <w:tcBorders>
              <w:top w:val="nil"/>
              <w:left w:val="nil"/>
              <w:bottom w:val="single" w:color="auto" w:sz="4" w:space="0"/>
              <w:right w:val="single" w:color="auto" w:sz="4" w:space="0"/>
            </w:tcBorders>
            <w:shd w:val="clear" w:color="auto" w:fill="auto"/>
            <w:vAlign w:val="center"/>
          </w:tcPr>
          <w:p>
            <w:pPr>
              <w:spacing w:line="360" w:lineRule="auto"/>
              <w:jc w:val="center"/>
              <w:rPr>
                <w:color w:val="000000" w:themeColor="text1"/>
                <w:sz w:val="24"/>
                <w:szCs w:val="24"/>
                <w:lang w:val="en-US"/>
              </w:rPr>
            </w:pPr>
            <w:r>
              <w:rPr>
                <w:rFonts w:hint="eastAsia"/>
                <w:color w:val="000000"/>
              </w:rPr>
              <w:t>/</w:t>
            </w:r>
          </w:p>
        </w:tc>
        <w:tc>
          <w:tcPr>
            <w:tcW w:w="1538" w:type="pct"/>
            <w:tcBorders>
              <w:top w:val="nil"/>
              <w:left w:val="nil"/>
              <w:bottom w:val="single" w:color="auto" w:sz="4" w:space="0"/>
              <w:right w:val="single" w:color="auto" w:sz="4" w:space="0"/>
            </w:tcBorders>
            <w:shd w:val="clear" w:color="auto" w:fill="auto"/>
            <w:vAlign w:val="center"/>
          </w:tcPr>
          <w:p>
            <w:pPr>
              <w:spacing w:line="360" w:lineRule="auto"/>
              <w:jc w:val="center"/>
              <w:rPr>
                <w:color w:val="000000" w:themeColor="text1"/>
                <w:sz w:val="24"/>
                <w:szCs w:val="24"/>
                <w:lang w:val="en-US"/>
              </w:rPr>
            </w:pPr>
            <w:r>
              <w:rPr>
                <w:rFonts w:hint="eastAsia"/>
                <w:color w:val="000000" w:themeColor="text1"/>
                <w:sz w:val="24"/>
                <w:szCs w:val="24"/>
                <w:lang w:val="en-US"/>
              </w:rPr>
              <w:t>能够为虚拟私有云内的弹性云服务器提供网络地址转换服务，使多个弹性云服务器可以共享使用弹性IP访问Internet</w:t>
            </w:r>
          </w:p>
        </w:tc>
        <w:tc>
          <w:tcPr>
            <w:tcW w:w="767" w:type="pct"/>
            <w:tcBorders>
              <w:top w:val="single" w:color="auto" w:sz="4" w:space="0"/>
              <w:left w:val="nil"/>
              <w:bottom w:val="single" w:color="auto" w:sz="4" w:space="0"/>
              <w:right w:val="single" w:color="auto" w:sz="4" w:space="0"/>
            </w:tcBorders>
            <w:vAlign w:val="center"/>
          </w:tcPr>
          <w:p>
            <w:pPr>
              <w:widowControl/>
              <w:jc w:val="center"/>
              <w:rPr>
                <w:color w:val="000000"/>
              </w:rPr>
            </w:pPr>
            <w:r>
              <w:rPr>
                <w:rFonts w:hint="eastAsia"/>
                <w:color w:val="000000"/>
              </w:rPr>
              <w:t>是</w:t>
            </w:r>
          </w:p>
        </w:tc>
        <w:tc>
          <w:tcPr>
            <w:tcW w:w="506" w:type="pc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lang w:val="en-US"/>
              </w:rPr>
            </w:pPr>
            <w:r>
              <w:rPr>
                <w:rFonts w:hint="eastAsia"/>
                <w:color w:val="000000"/>
                <w:lang w:val="en-US"/>
              </w:rPr>
              <w:t>1个</w:t>
            </w:r>
          </w:p>
        </w:tc>
      </w:tr>
    </w:tbl>
    <w:p>
      <w:pPr>
        <w:pStyle w:val="6"/>
        <w:tabs>
          <w:tab w:val="left" w:pos="3560"/>
        </w:tabs>
        <w:spacing w:before="19"/>
        <w:ind w:left="680"/>
        <w:rPr>
          <w:sz w:val="8"/>
        </w:rPr>
      </w:pPr>
      <w:r>
        <w:rPr>
          <w:rFonts w:hint="eastAsia"/>
        </w:rPr>
        <w:tab/>
      </w:r>
    </w:p>
    <w:p>
      <w:pPr>
        <w:pStyle w:val="6"/>
        <w:spacing w:before="66" w:line="382" w:lineRule="auto"/>
        <w:ind w:left="680" w:right="516" w:firstLine="448" w:firstLineChars="200"/>
        <w:rPr>
          <w:spacing w:val="-8"/>
          <w:lang w:val="en-US"/>
        </w:rPr>
      </w:pPr>
      <w:r>
        <w:rPr>
          <w:rFonts w:hint="eastAsia"/>
          <w:spacing w:val="-8"/>
          <w:lang w:val="en-US"/>
        </w:rPr>
        <w:t xml:space="preserve"> 本次建设方案将财政前置服务器和开票应用服务器进行云化，将系统部署于云服务器之上，可以减少一次性成本投入，能够降低运维压力，后期可根据业务需要随时扩容升级。</w:t>
      </w:r>
    </w:p>
    <w:p>
      <w:pPr>
        <w:pStyle w:val="6"/>
        <w:spacing w:before="66" w:line="382" w:lineRule="auto"/>
        <w:ind w:left="680" w:right="516" w:firstLine="448" w:firstLineChars="200"/>
        <w:rPr>
          <w:spacing w:val="-8"/>
          <w:lang w:val="en-US"/>
        </w:rPr>
      </w:pPr>
      <w:r>
        <w:rPr>
          <w:rFonts w:hint="eastAsia"/>
          <w:spacing w:val="-8"/>
          <w:lang w:val="en-US"/>
        </w:rPr>
        <w:t>提供2台基于3.0GHz主频的Intel Xeon Gold 6248R处理器的云主机，分别用于应用服务器和数据库服务器各一台。CPU内存比为1：4；CPU资源独享，配置采用全SSD存储介质，公共镜像涵盖大部分主流操作系统：Windows、CentOS、Debian、OpenSUSE、SUSE Linux、Ubuntu等。</w:t>
      </w:r>
    </w:p>
    <w:p>
      <w:pPr>
        <w:pStyle w:val="6"/>
        <w:spacing w:before="66" w:line="382" w:lineRule="auto"/>
        <w:ind w:right="516" w:firstLine="719"/>
        <w:rPr>
          <w:color w:val="000000"/>
          <w:lang w:val="en-US"/>
        </w:rPr>
      </w:pPr>
      <w:r>
        <w:rPr>
          <w:rFonts w:hint="eastAsia"/>
          <w:color w:val="000000"/>
          <w:lang w:val="en-US"/>
        </w:rPr>
        <w:t>配套的云安全产品和网络产品：</w:t>
      </w:r>
    </w:p>
    <w:p>
      <w:pPr>
        <w:pStyle w:val="6"/>
        <w:spacing w:before="66" w:line="382" w:lineRule="auto"/>
        <w:ind w:left="680" w:right="516" w:firstLine="448" w:firstLineChars="200"/>
        <w:rPr>
          <w:spacing w:val="-8"/>
          <w:lang w:val="en-US"/>
        </w:rPr>
      </w:pPr>
      <w:r>
        <w:rPr>
          <w:rFonts w:hint="eastAsia"/>
          <w:spacing w:val="-8"/>
          <w:lang w:val="en-US"/>
        </w:rPr>
        <w:t>云下一代防火墙：支持静态路由，ECMP等价路由，支持RIPv1/v2，OSPFv2/v3，BGP等动态路由协议，支持多播路由协议，支持路由异常告警功能；提供基本的安全防御，包括但不限于4-7层访问控制、入侵防御、病毒过滤、网页防篡改等安全功能；对所有应用系统进行漏洞的攻击防护，包括防跨站、防SQL注入、防篡改、防木马、防黑客攻击等；支持Web漏洞扫描功能，可扫描检测网站是否存在SQL注入、XSS、跨站脚本、目录遍历、文件包含、命令执行等脚本漏洞；可提供最新的威胁情报信息，能够对新爆发的流行高危漏洞进行预警和自动检测，发现问题后支持一键生成防护规则；支持对终端已被种植了远控木马或者病毒等恶意软件进行检测，并且能够对检测到的恶意软件行为进行深入的分析，展示和外部命令控制服务器的交互行为和其他可疑行为。</w:t>
      </w:r>
    </w:p>
    <w:p>
      <w:bookmarkStart w:id="43" w:name="_bookmark31"/>
      <w:bookmarkEnd w:id="43"/>
      <w:bookmarkStart w:id="44" w:name="_Toc98944870"/>
    </w:p>
    <w:p>
      <w:pPr>
        <w:tabs>
          <w:tab w:val="left" w:pos="426"/>
          <w:tab w:val="left" w:pos="794"/>
        </w:tabs>
        <w:spacing w:line="360" w:lineRule="auto"/>
        <w:ind w:firstLine="723" w:firstLineChars="300"/>
        <w:rPr>
          <w:b/>
          <w:bCs/>
          <w:color w:val="000000"/>
          <w:sz w:val="24"/>
          <w:szCs w:val="24"/>
          <w:lang w:val="en-US"/>
        </w:rPr>
      </w:pPr>
      <w:r>
        <w:rPr>
          <w:rFonts w:hint="eastAsia"/>
          <w:b/>
          <w:bCs/>
          <w:color w:val="000000"/>
          <w:sz w:val="24"/>
          <w:szCs w:val="24"/>
          <w:lang w:val="en-US"/>
        </w:rPr>
        <w:t>财政签名服务器要求参数</w:t>
      </w:r>
    </w:p>
    <w:p>
      <w:pPr>
        <w:rPr>
          <w:b/>
          <w:bCs/>
        </w:rPr>
      </w:pP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870"/>
        <w:gridCol w:w="890"/>
        <w:gridCol w:w="7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77" w:type="pct"/>
            <w:vAlign w:val="center"/>
          </w:tcPr>
          <w:p>
            <w:pPr>
              <w:widowControl/>
              <w:jc w:val="center"/>
              <w:rPr>
                <w:b/>
                <w:bCs/>
                <w:color w:val="000000"/>
                <w:lang w:val="en-US"/>
              </w:rPr>
            </w:pPr>
            <w:r>
              <w:rPr>
                <w:rFonts w:hint="eastAsia"/>
                <w:b/>
                <w:bCs/>
                <w:color w:val="000000"/>
                <w:lang w:val="en-US"/>
              </w:rPr>
              <w:t>序号</w:t>
            </w:r>
          </w:p>
        </w:tc>
        <w:tc>
          <w:tcPr>
            <w:tcW w:w="442" w:type="pct"/>
            <w:vAlign w:val="center"/>
          </w:tcPr>
          <w:p>
            <w:pPr>
              <w:widowControl/>
              <w:jc w:val="center"/>
              <w:rPr>
                <w:b/>
                <w:bCs/>
                <w:color w:val="000000"/>
                <w:lang w:val="en-US"/>
              </w:rPr>
            </w:pPr>
            <w:r>
              <w:rPr>
                <w:rFonts w:hint="eastAsia"/>
                <w:b/>
                <w:bCs/>
                <w:color w:val="000000"/>
                <w:lang w:val="en-US"/>
              </w:rPr>
              <w:t>设备名称</w:t>
            </w:r>
          </w:p>
        </w:tc>
        <w:tc>
          <w:tcPr>
            <w:tcW w:w="452" w:type="pct"/>
            <w:vAlign w:val="center"/>
          </w:tcPr>
          <w:p>
            <w:pPr>
              <w:widowControl/>
              <w:jc w:val="center"/>
              <w:rPr>
                <w:b/>
                <w:bCs/>
                <w:color w:val="000000"/>
                <w:lang w:val="en-US"/>
              </w:rPr>
            </w:pPr>
            <w:r>
              <w:rPr>
                <w:rFonts w:hint="eastAsia"/>
                <w:b/>
                <w:bCs/>
                <w:color w:val="000000"/>
                <w:lang w:val="en-US"/>
              </w:rPr>
              <w:t>数量</w:t>
            </w:r>
          </w:p>
        </w:tc>
        <w:tc>
          <w:tcPr>
            <w:tcW w:w="3827" w:type="pct"/>
            <w:vAlign w:val="center"/>
          </w:tcPr>
          <w:p>
            <w:pPr>
              <w:widowControl/>
              <w:jc w:val="center"/>
              <w:rPr>
                <w:b/>
                <w:bCs/>
                <w:color w:val="000000"/>
                <w:lang w:val="en-US"/>
              </w:rPr>
            </w:pPr>
            <w:r>
              <w:rPr>
                <w:rFonts w:hint="eastAsia"/>
                <w:b/>
                <w:bCs/>
                <w:color w:val="000000"/>
                <w:lang w:val="en-US"/>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277" w:type="pct"/>
            <w:vAlign w:val="center"/>
          </w:tcPr>
          <w:p>
            <w:pPr>
              <w:spacing w:line="360" w:lineRule="auto"/>
              <w:jc w:val="center"/>
              <w:rPr>
                <w:szCs w:val="21"/>
              </w:rPr>
            </w:pPr>
            <w:r>
              <w:rPr>
                <w:rFonts w:hint="eastAsia"/>
                <w:szCs w:val="21"/>
              </w:rPr>
              <w:t>1</w:t>
            </w:r>
          </w:p>
        </w:tc>
        <w:tc>
          <w:tcPr>
            <w:tcW w:w="442" w:type="pct"/>
            <w:vAlign w:val="center"/>
          </w:tcPr>
          <w:p>
            <w:pPr>
              <w:spacing w:line="360" w:lineRule="auto"/>
              <w:jc w:val="center"/>
              <w:rPr>
                <w:szCs w:val="21"/>
              </w:rPr>
            </w:pPr>
            <w:r>
              <w:rPr>
                <w:rFonts w:hint="eastAsia"/>
                <w:szCs w:val="21"/>
              </w:rPr>
              <w:t>签名验签服务器</w:t>
            </w:r>
          </w:p>
        </w:tc>
        <w:tc>
          <w:tcPr>
            <w:tcW w:w="452" w:type="pct"/>
            <w:vAlign w:val="center"/>
          </w:tcPr>
          <w:p>
            <w:pPr>
              <w:pStyle w:val="18"/>
              <w:spacing w:line="360" w:lineRule="auto"/>
              <w:jc w:val="center"/>
              <w:rPr>
                <w:rFonts w:ascii="宋体" w:hAnsi="宋体" w:eastAsia="宋体" w:cs="宋体"/>
                <w:sz w:val="21"/>
                <w:szCs w:val="21"/>
                <w:lang w:val="en-US"/>
              </w:rPr>
            </w:pPr>
            <w:r>
              <w:rPr>
                <w:rFonts w:hint="eastAsia" w:ascii="宋体" w:hAnsi="宋体" w:eastAsia="宋体" w:cs="宋体"/>
                <w:sz w:val="21"/>
                <w:szCs w:val="21"/>
                <w:lang w:val="en-US"/>
              </w:rPr>
              <w:t xml:space="preserve">      1台</w:t>
            </w:r>
          </w:p>
        </w:tc>
        <w:tc>
          <w:tcPr>
            <w:tcW w:w="3827" w:type="pct"/>
            <w:vAlign w:val="center"/>
          </w:tcPr>
          <w:p>
            <w:pPr>
              <w:pStyle w:val="18"/>
              <w:spacing w:line="360" w:lineRule="auto"/>
              <w:rPr>
                <w:rFonts w:ascii="宋体" w:hAnsi="宋体" w:eastAsia="宋体" w:cs="宋体"/>
                <w:sz w:val="21"/>
                <w:szCs w:val="21"/>
              </w:rPr>
            </w:pPr>
            <w:r>
              <w:rPr>
                <w:rFonts w:hint="eastAsia" w:ascii="宋体" w:hAnsi="宋体" w:eastAsia="宋体" w:cs="宋体"/>
                <w:sz w:val="21"/>
                <w:szCs w:val="21"/>
              </w:rPr>
              <w:t>1、提</w:t>
            </w:r>
            <w:r>
              <w:rPr>
                <w:rFonts w:hint="eastAsia" w:ascii="宋体" w:hAnsi="宋体" w:eastAsia="宋体" w:cs="宋体"/>
                <w:sz w:val="21"/>
                <w:szCs w:val="21"/>
                <w:lang w:val="en-US"/>
              </w:rPr>
              <w:t xml:space="preserve"> 1、</w:t>
            </w:r>
            <w:r>
              <w:rPr>
                <w:rFonts w:hint="eastAsia" w:ascii="宋体" w:hAnsi="宋体" w:eastAsia="宋体" w:cs="宋体"/>
                <w:szCs w:val="21"/>
              </w:rPr>
              <w:t>供软硬一体机设备，双电源</w:t>
            </w:r>
          </w:p>
          <w:p>
            <w:pPr>
              <w:spacing w:line="360" w:lineRule="auto"/>
              <w:rPr>
                <w:szCs w:val="21"/>
              </w:rPr>
            </w:pPr>
            <w:r>
              <w:rPr>
                <w:rFonts w:hint="eastAsia"/>
                <w:szCs w:val="21"/>
              </w:rPr>
              <w:t>2、可同时配置多条证书链，验证不同 CA系统签发的数字证书</w:t>
            </w:r>
          </w:p>
          <w:p>
            <w:pPr>
              <w:spacing w:line="360" w:lineRule="auto"/>
              <w:rPr>
                <w:szCs w:val="21"/>
              </w:rPr>
            </w:pPr>
            <w:r>
              <w:rPr>
                <w:rFonts w:hint="eastAsia"/>
                <w:szCs w:val="21"/>
              </w:rPr>
              <w:t>3、配置网络时间同步服务器及同步策略，实现与时间源的时间同步校对</w:t>
            </w:r>
          </w:p>
          <w:p>
            <w:pPr>
              <w:spacing w:line="360" w:lineRule="auto"/>
              <w:rPr>
                <w:szCs w:val="21"/>
              </w:rPr>
            </w:pPr>
            <w:r>
              <w:rPr>
                <w:rFonts w:hint="eastAsia"/>
                <w:szCs w:val="21"/>
              </w:rPr>
              <w:t>4、支持服务端负载均衡功能</w:t>
            </w:r>
          </w:p>
          <w:p>
            <w:pPr>
              <w:spacing w:line="360" w:lineRule="auto"/>
              <w:rPr>
                <w:szCs w:val="21"/>
              </w:rPr>
            </w:pPr>
            <w:r>
              <w:rPr>
                <w:rFonts w:hint="eastAsia"/>
                <w:szCs w:val="21"/>
              </w:rPr>
              <w:t>5、可以开启和关闭对外提供webservice接口的功能6、实现基于数字证书的身份认证，支持不同CA的证书验证，提供CRL/OCSP等多种方式的证书有效性验证</w:t>
            </w:r>
          </w:p>
          <w:p>
            <w:pPr>
              <w:spacing w:line="360" w:lineRule="auto"/>
              <w:rPr>
                <w:szCs w:val="21"/>
              </w:rPr>
            </w:pPr>
            <w:r>
              <w:rPr>
                <w:rFonts w:hint="eastAsia"/>
                <w:szCs w:val="21"/>
              </w:rPr>
              <w:t>7、提供PKCS1/ PKCS7 attach/PKCS7 detach/XML Sign 等多种格式的数字签名和数字签名验证功能</w:t>
            </w:r>
          </w:p>
          <w:p>
            <w:pPr>
              <w:spacing w:line="360" w:lineRule="auto"/>
              <w:rPr>
                <w:szCs w:val="21"/>
              </w:rPr>
            </w:pPr>
            <w:r>
              <w:rPr>
                <w:rFonts w:hint="eastAsia"/>
                <w:szCs w:val="21"/>
              </w:rPr>
              <w:t>8、实现对客户端证书的存储，管理员可以通过页面进行证书导入和查找，业务系统可以通过接口获取已存储的证书</w:t>
            </w:r>
          </w:p>
          <w:p>
            <w:pPr>
              <w:spacing w:line="360" w:lineRule="auto"/>
              <w:rPr>
                <w:szCs w:val="21"/>
              </w:rPr>
            </w:pPr>
            <w:r>
              <w:rPr>
                <w:rFonts w:hint="eastAsia"/>
                <w:szCs w:val="21"/>
              </w:rPr>
              <w:t>9、可以自动更新黑名单，采用动态更新方式，无需重启服务</w:t>
            </w:r>
          </w:p>
          <w:p>
            <w:pPr>
              <w:spacing w:line="360" w:lineRule="auto"/>
              <w:rPr>
                <w:szCs w:val="21"/>
              </w:rPr>
            </w:pPr>
            <w:r>
              <w:rPr>
                <w:rFonts w:hint="eastAsia"/>
                <w:szCs w:val="21"/>
              </w:rPr>
              <w:t>10、提供应用系统访问策略配置，包括所使用服务器证书、所使用根证书链、验证CRL策略等配置</w:t>
            </w:r>
          </w:p>
          <w:p>
            <w:pPr>
              <w:spacing w:line="360" w:lineRule="auto"/>
              <w:rPr>
                <w:szCs w:val="21"/>
              </w:rPr>
            </w:pPr>
            <w:r>
              <w:rPr>
                <w:rFonts w:hint="eastAsia"/>
                <w:szCs w:val="21"/>
              </w:rPr>
              <w:t xml:space="preserve">11、可以开关时间源同步状态，配置时间源服务器地址，保证签名验签服务器时间的准确性 </w:t>
            </w:r>
          </w:p>
          <w:p>
            <w:pPr>
              <w:spacing w:line="360" w:lineRule="auto"/>
              <w:rPr>
                <w:szCs w:val="21"/>
              </w:rPr>
            </w:pPr>
            <w:r>
              <w:rPr>
                <w:rFonts w:hint="eastAsia"/>
                <w:szCs w:val="21"/>
              </w:rPr>
              <w:t xml:space="preserve">12、将服务器配置信息备份到PC端，且可以将PC端的备份文件恢复到系统 </w:t>
            </w:r>
          </w:p>
          <w:p>
            <w:pPr>
              <w:spacing w:line="360" w:lineRule="auto"/>
              <w:rPr>
                <w:szCs w:val="21"/>
              </w:rPr>
            </w:pPr>
            <w:r>
              <w:rPr>
                <w:rFonts w:hint="eastAsia"/>
                <w:szCs w:val="21"/>
              </w:rPr>
              <w:t>13、提供日志记录，可将日志以syslog的方式发送到指定服务器</w:t>
            </w:r>
          </w:p>
          <w:p>
            <w:pPr>
              <w:spacing w:line="360" w:lineRule="auto"/>
              <w:rPr>
                <w:szCs w:val="21"/>
              </w:rPr>
            </w:pPr>
            <w:r>
              <w:rPr>
                <w:rFonts w:hint="eastAsia"/>
                <w:szCs w:val="21"/>
              </w:rPr>
              <w:t xml:space="preserve">14、签名能力≥850次/秒 </w:t>
            </w:r>
          </w:p>
          <w:p>
            <w:pPr>
              <w:spacing w:line="360" w:lineRule="auto"/>
              <w:rPr>
                <w:szCs w:val="21"/>
              </w:rPr>
            </w:pPr>
            <w:r>
              <w:rPr>
                <w:rFonts w:hint="eastAsia"/>
                <w:szCs w:val="21"/>
              </w:rPr>
              <w:t>15、支持算法：SM1、SM2、SM3、SM4、3DES、AES、RSA、SHA256</w:t>
            </w:r>
          </w:p>
          <w:p>
            <w:pPr>
              <w:spacing w:line="360" w:lineRule="auto"/>
              <w:rPr>
                <w:szCs w:val="21"/>
              </w:rPr>
            </w:pPr>
            <w:r>
              <w:rPr>
                <w:rFonts w:hint="eastAsia"/>
                <w:szCs w:val="21"/>
              </w:rPr>
              <w:t>16、为避免产品存在漏洞风险，需要提供《信息技术产品安全测试证书》</w:t>
            </w:r>
          </w:p>
          <w:p>
            <w:pPr>
              <w:spacing w:line="360" w:lineRule="auto"/>
              <w:rPr>
                <w:szCs w:val="21"/>
              </w:rPr>
            </w:pPr>
            <w:r>
              <w:rPr>
                <w:rFonts w:hint="eastAsia"/>
                <w:szCs w:val="21"/>
              </w:rPr>
              <w:t>17、支持IPv6 Ready Logo认证，并提供相关资质证明</w:t>
            </w:r>
          </w:p>
          <w:p>
            <w:pPr>
              <w:pStyle w:val="2"/>
              <w:ind w:left="0" w:firstLine="0"/>
              <w:rPr>
                <w:sz w:val="21"/>
                <w:szCs w:val="21"/>
              </w:rPr>
            </w:pPr>
            <w:r>
              <w:rPr>
                <w:rFonts w:hint="eastAsia"/>
                <w:sz w:val="21"/>
                <w:szCs w:val="21"/>
              </w:rPr>
              <w:t>18、财政部网络中心测试函</w:t>
            </w:r>
          </w:p>
          <w:p>
            <w:pPr>
              <w:spacing w:line="360" w:lineRule="auto"/>
            </w:pPr>
            <w:r>
              <w:rPr>
                <w:rFonts w:hint="eastAsia"/>
                <w:szCs w:val="21"/>
              </w:rPr>
              <w:t>19、签名验签服务器具有公安部销售许可证、公安部检验检测报告、商用密码产品认证证书</w:t>
            </w:r>
          </w:p>
        </w:tc>
      </w:tr>
    </w:tbl>
    <w:p>
      <w:pPr>
        <w:pStyle w:val="2"/>
        <w:rPr>
          <w:b/>
          <w:bCs/>
        </w:rPr>
      </w:pPr>
    </w:p>
    <w:p>
      <w:pPr>
        <w:pStyle w:val="2"/>
        <w:rPr>
          <w:b/>
          <w:bCs/>
        </w:rPr>
      </w:pPr>
    </w:p>
    <w:p/>
    <w:p>
      <w:pPr>
        <w:tabs>
          <w:tab w:val="left" w:pos="426"/>
          <w:tab w:val="left" w:pos="794"/>
        </w:tabs>
        <w:spacing w:line="360" w:lineRule="auto"/>
        <w:ind w:firstLine="723" w:firstLineChars="300"/>
        <w:rPr>
          <w:b/>
          <w:bCs/>
          <w:color w:val="000000"/>
          <w:sz w:val="24"/>
          <w:szCs w:val="24"/>
          <w:lang w:val="en-US"/>
        </w:rPr>
      </w:pPr>
      <w:r>
        <w:rPr>
          <w:rFonts w:hint="eastAsia"/>
          <w:b/>
          <w:bCs/>
          <w:color w:val="000000"/>
          <w:sz w:val="24"/>
          <w:szCs w:val="24"/>
          <w:lang w:val="en-US"/>
        </w:rPr>
        <w:t>自助机打印机参数</w:t>
      </w:r>
    </w:p>
    <w:tbl>
      <w:tblPr>
        <w:tblStyle w:val="13"/>
        <w:tblW w:w="0" w:type="auto"/>
        <w:tblInd w:w="98" w:type="dxa"/>
        <w:tblLayout w:type="autofit"/>
        <w:tblCellMar>
          <w:top w:w="0" w:type="dxa"/>
          <w:left w:w="108" w:type="dxa"/>
          <w:bottom w:w="0" w:type="dxa"/>
          <w:right w:w="108" w:type="dxa"/>
        </w:tblCellMar>
      </w:tblPr>
      <w:tblGrid>
        <w:gridCol w:w="560"/>
        <w:gridCol w:w="1780"/>
        <w:gridCol w:w="7408"/>
      </w:tblGrid>
      <w:tr>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rPr>
            </w:pPr>
            <w:r>
              <w:rPr>
                <w:rFonts w:hint="eastAsia"/>
                <w:b/>
                <w:bCs/>
                <w:color w:val="000000"/>
                <w:lang w:val="en-US"/>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rPr>
            </w:pPr>
            <w:r>
              <w:rPr>
                <w:rFonts w:hint="eastAsia"/>
                <w:b/>
                <w:bCs/>
                <w:color w:val="000000"/>
                <w:lang w:val="en-US"/>
              </w:rPr>
              <w:t>物品名称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rPr>
            </w:pPr>
            <w:r>
              <w:rPr>
                <w:rFonts w:hint="eastAsia"/>
                <w:b/>
                <w:bCs/>
                <w:color w:val="000000"/>
                <w:lang w:val="en-US"/>
              </w:rPr>
              <w:t>规格</w:t>
            </w:r>
          </w:p>
        </w:tc>
      </w:tr>
      <w:tr>
        <w:tblPrEx>
          <w:tblCellMar>
            <w:top w:w="0" w:type="dxa"/>
            <w:left w:w="108" w:type="dxa"/>
            <w:bottom w:w="0" w:type="dxa"/>
            <w:right w:w="108" w:type="dxa"/>
          </w:tblCellMar>
        </w:tblPrEx>
        <w:trPr>
          <w:trHeight w:val="97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color w:val="000000"/>
              </w:rPr>
            </w:pPr>
            <w:r>
              <w:rPr>
                <w:rFonts w:hint="eastAsia"/>
                <w:color w:val="000000"/>
                <w:lang w:val="en-US"/>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szCs w:val="21"/>
                <w:lang w:val="en-US"/>
              </w:rPr>
            </w:pPr>
            <w:r>
              <w:rPr>
                <w:rFonts w:hint="eastAsia"/>
                <w:szCs w:val="21"/>
                <w:lang w:val="en-US"/>
              </w:rPr>
              <w:t>外观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szCs w:val="21"/>
                <w:lang w:val="en-US"/>
              </w:rPr>
            </w:pPr>
            <w:r>
              <w:rPr>
                <w:rFonts w:hint="eastAsia"/>
                <w:szCs w:val="21"/>
                <w:lang w:val="en-US"/>
              </w:rPr>
              <w:t>材质：国标 厚度≥1.5mm 冷轧钢板，使用精密工业级标准进行加工，金属拷漆，可多年色泽依旧，有质感、亮度，不生锈；</w:t>
            </w:r>
          </w:p>
          <w:p>
            <w:pPr>
              <w:spacing w:line="360" w:lineRule="auto"/>
              <w:rPr>
                <w:szCs w:val="21"/>
                <w:lang w:val="en-US"/>
              </w:rPr>
            </w:pPr>
            <w:r>
              <w:rPr>
                <w:rFonts w:hint="eastAsia"/>
                <w:szCs w:val="21"/>
                <w:lang w:val="en-US"/>
              </w:rPr>
              <w:t>功放喇叭：双声道</w:t>
            </w:r>
          </w:p>
          <w:p>
            <w:pPr>
              <w:spacing w:line="360" w:lineRule="auto"/>
              <w:rPr>
                <w:szCs w:val="21"/>
                <w:lang w:val="en-US"/>
              </w:rPr>
            </w:pPr>
            <w:r>
              <w:rPr>
                <w:rFonts w:hint="eastAsia"/>
                <w:szCs w:val="21"/>
                <w:lang w:val="en-US"/>
              </w:rPr>
              <w:t>频响范围: ≥80HZ  ≥16KIZ              信噪比: ≥80UB 失真度</w:t>
            </w:r>
          </w:p>
          <w:p>
            <w:pPr>
              <w:spacing w:line="360" w:lineRule="auto"/>
              <w:rPr>
                <w:szCs w:val="21"/>
                <w:lang w:val="en-US"/>
              </w:rPr>
            </w:pPr>
            <w:r>
              <w:rPr>
                <w:rFonts w:hint="eastAsia"/>
                <w:szCs w:val="21"/>
                <w:lang w:val="en-US"/>
              </w:rPr>
              <w:t>输出功率:≤10W，颜色机型机身LOGO可订制</w:t>
            </w:r>
          </w:p>
        </w:tc>
      </w:tr>
      <w:tr>
        <w:tblPrEx>
          <w:tblCellMar>
            <w:top w:w="0" w:type="dxa"/>
            <w:left w:w="108" w:type="dxa"/>
            <w:bottom w:w="0" w:type="dxa"/>
            <w:right w:w="108" w:type="dxa"/>
          </w:tblCellMar>
        </w:tblPrEx>
        <w:trPr>
          <w:trHeight w:val="97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color w:val="000000"/>
              </w:rPr>
            </w:pPr>
            <w:r>
              <w:rPr>
                <w:rFonts w:hint="eastAsia"/>
                <w:color w:val="000000"/>
                <w:lang w:val="en-US"/>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szCs w:val="21"/>
                <w:lang w:val="en-US"/>
              </w:rPr>
            </w:pPr>
            <w:r>
              <w:rPr>
                <w:rFonts w:hint="eastAsia"/>
                <w:szCs w:val="21"/>
                <w:lang w:val="en-US"/>
              </w:rPr>
              <w:t>触摸显示器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szCs w:val="21"/>
                <w:lang w:val="en-US"/>
              </w:rPr>
            </w:pPr>
            <w:r>
              <w:rPr>
                <w:rFonts w:hint="eastAsia"/>
                <w:szCs w:val="21"/>
                <w:lang w:val="en-US"/>
              </w:rPr>
              <w:t>屏幕：≥21.5寸 液晶显示、分辨率：≥1920x1080，电容触摸屏</w:t>
            </w:r>
          </w:p>
          <w:p>
            <w:pPr>
              <w:spacing w:line="360" w:lineRule="auto"/>
              <w:rPr>
                <w:szCs w:val="21"/>
                <w:lang w:val="en-US"/>
              </w:rPr>
            </w:pPr>
            <w:r>
              <w:rPr>
                <w:rFonts w:hint="eastAsia"/>
                <w:szCs w:val="21"/>
                <w:lang w:val="en-US"/>
              </w:rPr>
              <w:t xml:space="preserve">内核：Android  ≥四核  ≥1.8GHz </w:t>
            </w:r>
          </w:p>
          <w:p>
            <w:pPr>
              <w:spacing w:line="360" w:lineRule="auto"/>
              <w:rPr>
                <w:szCs w:val="21"/>
                <w:lang w:val="en-US"/>
              </w:rPr>
            </w:pPr>
            <w:r>
              <w:rPr>
                <w:rFonts w:hint="eastAsia"/>
                <w:szCs w:val="21"/>
                <w:lang w:val="en-US"/>
              </w:rPr>
              <w:t>运行内存：≥2G  内置存储器：≥16G</w:t>
            </w:r>
          </w:p>
        </w:tc>
      </w:tr>
      <w:tr>
        <w:tblPrEx>
          <w:tblCellMar>
            <w:top w:w="0" w:type="dxa"/>
            <w:left w:w="108" w:type="dxa"/>
            <w:bottom w:w="0" w:type="dxa"/>
            <w:right w:w="108" w:type="dxa"/>
          </w:tblCellMar>
        </w:tblPrEx>
        <w:trPr>
          <w:trHeight w:val="979"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color w:val="000000"/>
              </w:rPr>
            </w:pPr>
            <w:r>
              <w:rPr>
                <w:rFonts w:hint="eastAsia"/>
                <w:color w:val="000000"/>
                <w:lang w:val="en-US"/>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szCs w:val="21"/>
                <w:lang w:val="en-US"/>
              </w:rPr>
            </w:pPr>
            <w:r>
              <w:rPr>
                <w:rFonts w:hint="eastAsia"/>
                <w:szCs w:val="21"/>
                <w:lang w:val="en-US"/>
              </w:rPr>
              <w:t>热转印发票打印机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szCs w:val="21"/>
                <w:lang w:val="en-US"/>
              </w:rPr>
            </w:pPr>
            <w:r>
              <w:rPr>
                <w:rFonts w:hint="eastAsia"/>
                <w:szCs w:val="21"/>
                <w:lang w:val="en-US"/>
              </w:rPr>
              <w:t>可自动切纸，打印最高速度≥120mm/s，可驱动纸卷直径≥120mm(max)</w:t>
            </w:r>
          </w:p>
          <w:p>
            <w:pPr>
              <w:spacing w:line="360" w:lineRule="auto"/>
              <w:rPr>
                <w:szCs w:val="21"/>
                <w:lang w:val="en-US"/>
              </w:rPr>
            </w:pPr>
            <w:r>
              <w:rPr>
                <w:rFonts w:hint="eastAsia"/>
                <w:szCs w:val="21"/>
                <w:lang w:val="en-US"/>
              </w:rPr>
              <w:t>纸张类型：可连续纸、间距纸等(打印面外卷式)，支持二次开发</w:t>
            </w:r>
          </w:p>
        </w:tc>
      </w:tr>
      <w:tr>
        <w:tblPrEx>
          <w:tblCellMar>
            <w:top w:w="0" w:type="dxa"/>
            <w:left w:w="108" w:type="dxa"/>
            <w:bottom w:w="0" w:type="dxa"/>
            <w:right w:w="108" w:type="dxa"/>
          </w:tblCellMar>
        </w:tblPrEx>
        <w:trPr>
          <w:trHeight w:val="97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color w:val="000000"/>
              </w:rPr>
            </w:pPr>
            <w:r>
              <w:rPr>
                <w:rFonts w:hint="eastAsia"/>
                <w:color w:val="000000"/>
                <w:lang w:val="en-US"/>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szCs w:val="21"/>
                <w:lang w:val="en-US"/>
              </w:rPr>
            </w:pPr>
            <w:r>
              <w:rPr>
                <w:rFonts w:hint="eastAsia"/>
                <w:szCs w:val="21"/>
                <w:lang w:val="en-US"/>
              </w:rPr>
              <w:t>扫模读卡模块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szCs w:val="21"/>
                <w:lang w:val="en-US"/>
              </w:rPr>
            </w:pPr>
            <w:r>
              <w:rPr>
                <w:rFonts w:hint="eastAsia"/>
                <w:szCs w:val="21"/>
                <w:lang w:val="en-US"/>
              </w:rPr>
              <w:t>一维码/二维码扫描模块 （可读取电子健康卡）</w:t>
            </w:r>
          </w:p>
        </w:tc>
      </w:tr>
      <w:tr>
        <w:tblPrEx>
          <w:tblCellMar>
            <w:top w:w="0" w:type="dxa"/>
            <w:left w:w="108" w:type="dxa"/>
            <w:bottom w:w="0" w:type="dxa"/>
            <w:right w:w="108" w:type="dxa"/>
          </w:tblCellMar>
        </w:tblPrEx>
        <w:trPr>
          <w:trHeight w:val="97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color w:val="000000"/>
              </w:rPr>
            </w:pPr>
            <w:r>
              <w:rPr>
                <w:rFonts w:hint="eastAsia"/>
                <w:color w:val="000000"/>
                <w:lang w:val="en-US"/>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szCs w:val="21"/>
                <w:lang w:val="en-US"/>
              </w:rPr>
            </w:pPr>
            <w:r>
              <w:rPr>
                <w:rFonts w:hint="eastAsia"/>
                <w:szCs w:val="21"/>
                <w:lang w:val="en-US"/>
              </w:rPr>
              <w:t>身份证阅读器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szCs w:val="21"/>
                <w:lang w:val="en-US"/>
              </w:rPr>
            </w:pPr>
            <w:r>
              <w:rPr>
                <w:rFonts w:hint="eastAsia"/>
                <w:szCs w:val="21"/>
                <w:lang w:val="en-US"/>
              </w:rPr>
              <w:t>公安部认证模块,符合ISO/IEC 14443 TYPE B 标准的非接触卡</w:t>
            </w:r>
          </w:p>
        </w:tc>
      </w:tr>
    </w:tbl>
    <w:p>
      <w:pPr>
        <w:rPr>
          <w:lang w:val="en-US"/>
        </w:rPr>
      </w:pPr>
    </w:p>
    <w:bookmarkEnd w:id="44"/>
    <w:p>
      <w:pPr>
        <w:pStyle w:val="6"/>
        <w:spacing w:before="5"/>
        <w:rPr>
          <w:b/>
          <w:sz w:val="21"/>
        </w:rPr>
      </w:pPr>
    </w:p>
    <w:p>
      <w:pPr>
        <w:pStyle w:val="4"/>
        <w:rPr>
          <w:rFonts w:ascii="宋体" w:hAnsi="宋体" w:eastAsia="宋体" w:cs="宋体"/>
          <w:lang w:val="en-US"/>
        </w:rPr>
      </w:pPr>
      <w:bookmarkStart w:id="45" w:name="_bookmark33"/>
      <w:bookmarkEnd w:id="45"/>
      <w:bookmarkStart w:id="46" w:name="_bookmark34"/>
      <w:bookmarkEnd w:id="46"/>
      <w:bookmarkStart w:id="47" w:name="_Toc98944873"/>
      <w:bookmarkStart w:id="48" w:name="_Toc1318"/>
      <w:r>
        <w:rPr>
          <w:rFonts w:hint="eastAsia" w:ascii="宋体" w:hAnsi="宋体" w:eastAsia="宋体" w:cs="宋体"/>
          <w:lang w:val="en-US"/>
        </w:rPr>
        <w:t>4</w:t>
      </w:r>
      <w:r>
        <w:rPr>
          <w:rFonts w:hint="eastAsia" w:ascii="宋体" w:hAnsi="宋体" w:eastAsia="宋体" w:cs="宋体"/>
        </w:rPr>
        <w:t>.3</w:t>
      </w:r>
      <w:bookmarkEnd w:id="47"/>
      <w:r>
        <w:rPr>
          <w:rFonts w:hint="eastAsia" w:ascii="宋体" w:hAnsi="宋体" w:eastAsia="宋体" w:cs="宋体"/>
          <w:lang w:val="en-US"/>
        </w:rPr>
        <w:t>服务质保期</w:t>
      </w:r>
      <w:bookmarkEnd w:id="48"/>
    </w:p>
    <w:p>
      <w:pPr>
        <w:pStyle w:val="6"/>
        <w:spacing w:before="66" w:line="381" w:lineRule="auto"/>
        <w:ind w:left="680" w:right="636" w:firstLine="480" w:firstLineChars="200"/>
        <w:jc w:val="both"/>
      </w:pPr>
      <w:r>
        <w:rPr>
          <w:rFonts w:hint="eastAsia"/>
          <w:lang w:val="en-US"/>
        </w:rPr>
        <w:t>电子票据管理系统及发票打印机质保期1年，签名服务器质保期3年.</w:t>
      </w:r>
    </w:p>
    <w:sectPr>
      <w:pgSz w:w="11910" w:h="16840"/>
      <w:pgMar w:top="1260" w:right="1160" w:bottom="1300" w:left="1120" w:header="875" w:footer="111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Cambria">
    <w:panose1 w:val="02040503050406030204"/>
    <w:charset w:val="00"/>
    <w:family w:val="roman"/>
    <w:pitch w:val="default"/>
    <w:sig w:usb0="E00002FF" w:usb1="400004FF" w:usb2="00000000" w:usb3="00000000" w:csb0="2000019F" w:csb1="00000000"/>
  </w:font>
  <w:font w:name="Helvetica">
    <w:panose1 w:val="020B0504020202030204"/>
    <w:charset w:val="00"/>
    <w:family w:val="swiss"/>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文本框 3" o:spid="_x0000_s1029" o:spt="202" type="#_x0000_t202" style="position:absolute;left:0pt;margin-left:305.65pt;margin-top:757.55pt;height:11pt;width:6.5pt;mso-position-horizontal-relative:page;mso-position-vertical-relative:page;z-index:-251655168;mso-width-relative:page;mso-height-relative:page;" filled="f" stroked="f" coordsize="21600,21600" o:gfxdata="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FPdr22gAAAA0BAAAPAAAAAAAAAAEAIAAAACIAAABkcnMvZG93bnJldi54bWxQSwEC&#10;FAAUAAAACACHTuJAloJmvLkBAABxAwAADgAAAAAAAAABACAAAAApAQAAZHJzL2Uyb0RvYy54bWxQ&#10;SwUGAAAAAAYABgBZAQAAVAUAAAAA&#10;">
          <v:path/>
          <v:fill on="f" focussize="0,0"/>
          <v:stroke on="f" joinstyle="miter"/>
          <v:imagedata o:title=""/>
          <o:lock v:ext="edit"/>
          <v:textbox inset="0mm,0mm,0mm,0mm">
            <w:txbxContent>
              <w:p>
                <w:pPr>
                  <w:spacing w:line="220" w:lineRule="exact"/>
                  <w:ind w:left="20"/>
                  <w:rPr>
                    <w:sz w:val="18"/>
                  </w:rPr>
                </w:pPr>
              </w:p>
            </w:txbxContent>
          </v:textbox>
        </v:shape>
      </w:pict>
    </w:r>
    <w:r>
      <w:pict>
        <v:shape id="文本框 2" o:spid="_x0000_s1028" o:spt="202" type="#_x0000_t202" style="position:absolute;left:0pt;margin-left:107pt;margin-top:775.1pt;height:11pt;width:6.5pt;mso-position-horizontal-relative:page;mso-position-vertical-relative:page;z-index:-251654144;mso-width-relative:page;mso-height-relative:page;" filled="f" stroked="f" coordsize="21600,21600" o:gfxdata="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DUJydoAAAANAQAADwAAAAAAAAABACAAAAAiAAAAZHJzL2Rvd25yZXYueG1sUEsB&#10;AhQAFAAAAAgAh07iQFaw3Ye6AQAAcQMAAA4AAAAAAAAAAQAgAAAAKQEAAGRycy9lMm9Eb2MueG1s&#10;UEsFBgAAAAAGAAYAWQEAAFUFAAAAAA==&#10;">
          <v:path/>
          <v:fill on="f" focussize="0,0"/>
          <v:stroke on="f" joinstyle="miter"/>
          <v:imagedata o:title=""/>
          <o:lock v:ext="edit"/>
          <v:textbox inset="0mm,0mm,0mm,0mm">
            <w:txbxContent>
              <w:p>
                <w:pPr>
                  <w:spacing w:line="220"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文本框 1" o:spid="_x0000_s1027" o:spt="202" type="#_x0000_t202" style="position:absolute;left:0pt;margin-left:300.2pt;margin-top:775.1pt;height:11pt;width:16.55pt;mso-position-horizontal-relative:page;mso-position-vertical-relative:page;z-index:-251653120;mso-width-relative:page;mso-height-relative:page;" filled="f" stroked="f" coordsize="21600,21600" o:gfxdata="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ouks/aAAAADQEAAA8AAAAAAAAAAQAgAAAAIgAAAGRycy9kb3ducmV2LnhtbFBL&#10;AQIUABQAAAAIAIdO4kA6A5o8uwEAAHIDAAAOAAAAAAAAAAEAIAAAACkBAABkcnMvZTJvRG9jLnht&#10;bFBLBQYAAAAABgAGAFkBAABWBQAAAAA=&#10;">
          <v:path/>
          <v:fill on="f" focussize="0,0"/>
          <v:stroke on="f" joinstyle="miter"/>
          <v:imagedata o:title=""/>
          <o:lock v:ext="edit"/>
          <v:textbox inset="0mm,0mm,0mm,0mm">
            <w:txbxContent>
              <w:p>
                <w:pPr>
                  <w:spacing w:line="220" w:lineRule="exact"/>
                  <w:ind w:left="40"/>
                  <w:rPr>
                    <w:sz w:val="18"/>
                  </w:rPr>
                </w:pPr>
                <w:r>
                  <w:fldChar w:fldCharType="begin"/>
                </w:r>
                <w:r>
                  <w:rPr>
                    <w:sz w:val="18"/>
                  </w:rPr>
                  <w:instrText xml:space="preserve"> PAGE </w:instrText>
                </w:r>
                <w:r>
                  <w:fldChar w:fldCharType="separate"/>
                </w:r>
                <w:r>
                  <w:rPr>
                    <w:sz w:val="18"/>
                  </w:rPr>
                  <w:t>13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line id="直线 5" o:spid="_x0000_s1026" o:spt="20" style="position:absolute;left:0pt;margin-left:88.6pt;margin-top:61.4pt;height:0pt;width:418.25pt;mso-position-horizontal-relative:page;mso-position-vertical-relative:page;z-index:-251657216;mso-width-relative:page;mso-height-relative:page;" coordsize="21600,21600" o:gfxdata="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TtP6XWAAAADAEAAA8A&#10;AAAAAAAAAQAgAAAAIgAAAGRycy9kb3ducmV2LnhtbFBLAQIUABQAAAAIAIdO4kAT/mj74AEAAM8D&#10;AAAOAAAAAAAAAAEAIAAAACUBAABkcnMvZTJvRG9jLnhtbFBLBQYAAAAABgAGAFkBAAB3BQAAAAA=&#10;">
          <v:path arrowok="t"/>
          <v:fill focussize="0,0"/>
          <v:stroke weight="0.72pt"/>
          <v:imagedata o:title=""/>
          <o:lock v:ext="edit"/>
        </v:line>
      </w:pict>
    </w:r>
    <w:r>
      <w:pict>
        <v:shape id="文本框 4" o:spid="_x0000_s1030" o:spt="202" type="#_x0000_t202" style="position:absolute;left:0pt;margin-left:251.65pt;margin-top:42.75pt;height:11pt;width:114.55pt;mso-position-horizontal-relative:page;mso-position-vertical-relative:page;z-index:-251656192;mso-width-relative:page;mso-height-relative:page;" filled="f" stroked="f" coordsize="21600,21600" o:gfxdata="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OuV+TZAAAACgEAAA8AAAAAAAAAAQAgAAAAIgAAAGRycy9kb3ducmV2LnhtbFBL&#10;AQIUABQAAAAIAIdO4kDXW1TsvAEAAHMDAAAOAAAAAAAAAAEAIAAAACgBAABkcnMvZTJvRG9jLnht&#10;bFBLBQYAAAAABgAGAFkBAABWBQAAAAA=&#10;">
          <v:path/>
          <v:fill on="f" focussize="0,0"/>
          <v:stroke on="f" joinstyle="miter"/>
          <v:imagedata o:title=""/>
          <o:lock v:ext="edit"/>
          <v:textbox inset="0mm,0mm,0mm,0mm">
            <w:txbxContent>
              <w:p>
                <w:pPr>
                  <w:spacing w:line="220" w:lineRule="exact"/>
                  <w:ind w:left="20"/>
                  <w:rPr>
                    <w:sz w:val="18"/>
                  </w:rPr>
                </w:pPr>
                <w:r>
                  <w:rPr>
                    <w:sz w:val="18"/>
                  </w:rPr>
                  <w:t xml:space="preserve">医疗收费电子票据解决方案 </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19"/>
  <w:drawingGridHorizontalSpacing w:val="110"/>
  <w:noPunctuationKerning w:val="1"/>
  <w:characterSpacingControl w:val="doNotCompress"/>
  <w:hdrShapeDefaults>
    <o:shapelayout v:ext="edit">
      <o:idmap v:ext="edit" data="1"/>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2RhYzgyODJmNGQxZTFkN2M3YjMwMDU1Mzk5OTQzMjkifQ=="/>
  </w:docVars>
  <w:rsids>
    <w:rsidRoot w:val="006742B7"/>
    <w:rsid w:val="00011472"/>
    <w:rsid w:val="00051D24"/>
    <w:rsid w:val="000C73CF"/>
    <w:rsid w:val="000D2405"/>
    <w:rsid w:val="000E4AC9"/>
    <w:rsid w:val="00106CE2"/>
    <w:rsid w:val="0018447A"/>
    <w:rsid w:val="00185D77"/>
    <w:rsid w:val="001D1F2F"/>
    <w:rsid w:val="00221852"/>
    <w:rsid w:val="00253669"/>
    <w:rsid w:val="00272418"/>
    <w:rsid w:val="00272FC2"/>
    <w:rsid w:val="00296DB5"/>
    <w:rsid w:val="002B35DC"/>
    <w:rsid w:val="002E7209"/>
    <w:rsid w:val="00322D65"/>
    <w:rsid w:val="00341266"/>
    <w:rsid w:val="00390F8D"/>
    <w:rsid w:val="003A5C00"/>
    <w:rsid w:val="003B3C68"/>
    <w:rsid w:val="00437E5F"/>
    <w:rsid w:val="00480E9E"/>
    <w:rsid w:val="00482DA0"/>
    <w:rsid w:val="00492242"/>
    <w:rsid w:val="00494D9B"/>
    <w:rsid w:val="00494E26"/>
    <w:rsid w:val="004B636A"/>
    <w:rsid w:val="004C1C2A"/>
    <w:rsid w:val="004C5B7C"/>
    <w:rsid w:val="004D32E8"/>
    <w:rsid w:val="004E5A2F"/>
    <w:rsid w:val="00527627"/>
    <w:rsid w:val="005A1950"/>
    <w:rsid w:val="005A23C7"/>
    <w:rsid w:val="005A6998"/>
    <w:rsid w:val="005E2B9F"/>
    <w:rsid w:val="005F7ECF"/>
    <w:rsid w:val="00620F1F"/>
    <w:rsid w:val="006742B7"/>
    <w:rsid w:val="006838D8"/>
    <w:rsid w:val="006B0721"/>
    <w:rsid w:val="006B7841"/>
    <w:rsid w:val="006C6989"/>
    <w:rsid w:val="006E3E7F"/>
    <w:rsid w:val="00731389"/>
    <w:rsid w:val="00745E72"/>
    <w:rsid w:val="007829A5"/>
    <w:rsid w:val="007B4278"/>
    <w:rsid w:val="007B48EE"/>
    <w:rsid w:val="007C5EBA"/>
    <w:rsid w:val="00851CB4"/>
    <w:rsid w:val="0086543B"/>
    <w:rsid w:val="00886F27"/>
    <w:rsid w:val="00895FD6"/>
    <w:rsid w:val="008C2F24"/>
    <w:rsid w:val="00901343"/>
    <w:rsid w:val="009045AE"/>
    <w:rsid w:val="009168A5"/>
    <w:rsid w:val="009277AE"/>
    <w:rsid w:val="009839E2"/>
    <w:rsid w:val="00993AFE"/>
    <w:rsid w:val="00A72C36"/>
    <w:rsid w:val="00AB16D8"/>
    <w:rsid w:val="00AF1551"/>
    <w:rsid w:val="00B028DB"/>
    <w:rsid w:val="00B41A99"/>
    <w:rsid w:val="00B4498E"/>
    <w:rsid w:val="00B44C75"/>
    <w:rsid w:val="00B63CCE"/>
    <w:rsid w:val="00BB7ED0"/>
    <w:rsid w:val="00BE5F3C"/>
    <w:rsid w:val="00C003E1"/>
    <w:rsid w:val="00C522E3"/>
    <w:rsid w:val="00C53562"/>
    <w:rsid w:val="00CA013F"/>
    <w:rsid w:val="00CD7358"/>
    <w:rsid w:val="00CE3909"/>
    <w:rsid w:val="00CE7319"/>
    <w:rsid w:val="00D03E22"/>
    <w:rsid w:val="00D13F05"/>
    <w:rsid w:val="00D14FC5"/>
    <w:rsid w:val="00D22437"/>
    <w:rsid w:val="00D24637"/>
    <w:rsid w:val="00DB578C"/>
    <w:rsid w:val="00DE3D60"/>
    <w:rsid w:val="00DE6620"/>
    <w:rsid w:val="00DF12B6"/>
    <w:rsid w:val="00E15270"/>
    <w:rsid w:val="00E71946"/>
    <w:rsid w:val="00E75F5B"/>
    <w:rsid w:val="00EA10F2"/>
    <w:rsid w:val="00EC7E2C"/>
    <w:rsid w:val="00EE5A07"/>
    <w:rsid w:val="00F149BA"/>
    <w:rsid w:val="00F30A70"/>
    <w:rsid w:val="00F4570C"/>
    <w:rsid w:val="00F53388"/>
    <w:rsid w:val="00F67A55"/>
    <w:rsid w:val="00F70792"/>
    <w:rsid w:val="00FA5962"/>
    <w:rsid w:val="00FF33C3"/>
    <w:rsid w:val="0113389F"/>
    <w:rsid w:val="012A6DD4"/>
    <w:rsid w:val="029A0A11"/>
    <w:rsid w:val="02B323C7"/>
    <w:rsid w:val="03585AB3"/>
    <w:rsid w:val="05A01D56"/>
    <w:rsid w:val="068C5631"/>
    <w:rsid w:val="07762B7A"/>
    <w:rsid w:val="0B8438CA"/>
    <w:rsid w:val="0B8D2240"/>
    <w:rsid w:val="0F2661B7"/>
    <w:rsid w:val="13A04BF2"/>
    <w:rsid w:val="149F2FE4"/>
    <w:rsid w:val="156F0C08"/>
    <w:rsid w:val="15D02591"/>
    <w:rsid w:val="17EE4066"/>
    <w:rsid w:val="19037CA8"/>
    <w:rsid w:val="191A0E8B"/>
    <w:rsid w:val="1FAE057F"/>
    <w:rsid w:val="25DD571A"/>
    <w:rsid w:val="27220C11"/>
    <w:rsid w:val="27C47329"/>
    <w:rsid w:val="29385A89"/>
    <w:rsid w:val="2A0C211C"/>
    <w:rsid w:val="2AB00E6E"/>
    <w:rsid w:val="2AEB12C9"/>
    <w:rsid w:val="2DDD09AD"/>
    <w:rsid w:val="31857D8D"/>
    <w:rsid w:val="34D61544"/>
    <w:rsid w:val="370F4785"/>
    <w:rsid w:val="37A2553E"/>
    <w:rsid w:val="37A60D2D"/>
    <w:rsid w:val="397F2BD3"/>
    <w:rsid w:val="39BD13B3"/>
    <w:rsid w:val="3A2B484E"/>
    <w:rsid w:val="3CF14684"/>
    <w:rsid w:val="3D040916"/>
    <w:rsid w:val="3D400A77"/>
    <w:rsid w:val="3D7F1624"/>
    <w:rsid w:val="3E5D5E0F"/>
    <w:rsid w:val="3F9131F0"/>
    <w:rsid w:val="43300F01"/>
    <w:rsid w:val="44213A91"/>
    <w:rsid w:val="44A162E1"/>
    <w:rsid w:val="451A5BEB"/>
    <w:rsid w:val="457D55DD"/>
    <w:rsid w:val="466E63C1"/>
    <w:rsid w:val="46F778CC"/>
    <w:rsid w:val="478101A3"/>
    <w:rsid w:val="490046FC"/>
    <w:rsid w:val="4B7F0E9E"/>
    <w:rsid w:val="4C686F6E"/>
    <w:rsid w:val="4D815145"/>
    <w:rsid w:val="52345811"/>
    <w:rsid w:val="5269270A"/>
    <w:rsid w:val="542B571F"/>
    <w:rsid w:val="568C4549"/>
    <w:rsid w:val="56EB24D4"/>
    <w:rsid w:val="574F1FE9"/>
    <w:rsid w:val="581F3EB8"/>
    <w:rsid w:val="58CD149A"/>
    <w:rsid w:val="5BDE27BD"/>
    <w:rsid w:val="5C5D6889"/>
    <w:rsid w:val="6044183B"/>
    <w:rsid w:val="605E5D75"/>
    <w:rsid w:val="61A02D26"/>
    <w:rsid w:val="61C43AE4"/>
    <w:rsid w:val="61E737AA"/>
    <w:rsid w:val="65752B41"/>
    <w:rsid w:val="664F72DD"/>
    <w:rsid w:val="6706314B"/>
    <w:rsid w:val="6B2807B2"/>
    <w:rsid w:val="6B487378"/>
    <w:rsid w:val="6B4A0729"/>
    <w:rsid w:val="70994FB7"/>
    <w:rsid w:val="73282924"/>
    <w:rsid w:val="741713C4"/>
    <w:rsid w:val="75422471"/>
    <w:rsid w:val="79554E68"/>
    <w:rsid w:val="7A6B3A74"/>
    <w:rsid w:val="7A777A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9"/>
    <w:pPr>
      <w:spacing w:line="702" w:lineRule="exact"/>
      <w:ind w:left="1023" w:hanging="344"/>
      <w:outlineLvl w:val="0"/>
    </w:pPr>
    <w:rPr>
      <w:rFonts w:ascii="Microsoft JhengHei" w:hAnsi="Microsoft JhengHei" w:eastAsia="Microsoft JhengHei" w:cs="Microsoft JhengHei"/>
      <w:b/>
      <w:bCs/>
      <w:sz w:val="44"/>
      <w:szCs w:val="44"/>
    </w:rPr>
  </w:style>
  <w:style w:type="paragraph" w:styleId="4">
    <w:name w:val="heading 2"/>
    <w:basedOn w:val="1"/>
    <w:next w:val="1"/>
    <w:unhideWhenUsed/>
    <w:qFormat/>
    <w:uiPriority w:val="9"/>
    <w:pPr>
      <w:spacing w:line="538" w:lineRule="exact"/>
      <w:ind w:left="1249"/>
      <w:outlineLvl w:val="1"/>
    </w:pPr>
    <w:rPr>
      <w:rFonts w:ascii="Microsoft JhengHei" w:hAnsi="Microsoft JhengHei" w:eastAsia="Microsoft JhengHei" w:cs="Microsoft JhengHei"/>
      <w:b/>
      <w:bCs/>
      <w:sz w:val="32"/>
      <w:szCs w:val="32"/>
    </w:rPr>
  </w:style>
  <w:style w:type="paragraph" w:styleId="5">
    <w:name w:val="heading 3"/>
    <w:basedOn w:val="1"/>
    <w:next w:val="1"/>
    <w:unhideWhenUsed/>
    <w:qFormat/>
    <w:uiPriority w:val="9"/>
    <w:pPr>
      <w:spacing w:line="511" w:lineRule="exact"/>
      <w:ind w:left="1520" w:hanging="841"/>
      <w:outlineLvl w:val="2"/>
    </w:pPr>
    <w:rPr>
      <w:rFonts w:ascii="Microsoft JhengHei" w:hAnsi="Microsoft JhengHei" w:eastAsia="Microsoft JhengHei" w:cs="Microsoft JhengHei"/>
      <w:b/>
      <w:bCs/>
      <w:sz w:val="30"/>
      <w:szCs w:val="30"/>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left="181" w:firstLine="420"/>
    </w:pPr>
    <w:rPr>
      <w:sz w:val="24"/>
      <w:szCs w:val="20"/>
    </w:rPr>
  </w:style>
  <w:style w:type="paragraph" w:styleId="6">
    <w:name w:val="Body Text"/>
    <w:basedOn w:val="1"/>
    <w:qFormat/>
    <w:uiPriority w:val="1"/>
    <w:rPr>
      <w:sz w:val="24"/>
      <w:szCs w:val="24"/>
    </w:rPr>
  </w:style>
  <w:style w:type="paragraph" w:styleId="7">
    <w:name w:val="toc 3"/>
    <w:basedOn w:val="1"/>
    <w:next w:val="1"/>
    <w:unhideWhenUsed/>
    <w:qFormat/>
    <w:uiPriority w:val="39"/>
    <w:pPr>
      <w:ind w:left="840" w:leftChars="400"/>
    </w:pPr>
  </w:style>
  <w:style w:type="paragraph" w:styleId="8">
    <w:name w:val="Balloon Text"/>
    <w:basedOn w:val="1"/>
    <w:link w:val="22"/>
    <w:semiHidden/>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tabs>
        <w:tab w:val="left" w:pos="420"/>
        <w:tab w:val="right" w:leader="dot" w:pos="9620"/>
      </w:tabs>
    </w:pPr>
    <w:rPr>
      <w:rFonts w:ascii="Microsoft JhengHei" w:hAnsi="Microsoft JhengHei" w:eastAsia="Microsoft JhengHei" w:cs="Times New Roman"/>
      <w:w w:val="83"/>
      <w:sz w:val="28"/>
      <w:szCs w:val="28"/>
    </w:rPr>
  </w:style>
  <w:style w:type="paragraph" w:styleId="12">
    <w:name w:val="toc 2"/>
    <w:basedOn w:val="1"/>
    <w:next w:val="1"/>
    <w:unhideWhenUsed/>
    <w:qFormat/>
    <w:uiPriority w:val="39"/>
    <w:pPr>
      <w:tabs>
        <w:tab w:val="right" w:leader="dot" w:pos="9620"/>
      </w:tabs>
      <w:ind w:left="440" w:leftChars="200"/>
    </w:pPr>
    <w:rPr>
      <w:rFonts w:ascii="Times New Roman" w:hAnsi="Times New Roman" w:cs="Times New Roman" w:eastAsiaTheme="minorEastAsia"/>
      <w:sz w:val="24"/>
      <w:szCs w:val="24"/>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unhideWhenUsed/>
    <w:qFormat/>
    <w:uiPriority w:val="99"/>
    <w:rPr>
      <w:color w:val="0000FF" w:themeColor="hyperlink"/>
      <w:u w:val="single"/>
    </w:r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34"/>
    <w:pPr>
      <w:ind w:left="1520" w:hanging="2170"/>
    </w:pPr>
    <w:rPr>
      <w:rFonts w:ascii="Microsoft JhengHei" w:hAnsi="Microsoft JhengHei" w:eastAsia="Microsoft JhengHei" w:cs="Microsoft JhengHei"/>
    </w:rPr>
  </w:style>
  <w:style w:type="paragraph" w:customStyle="1" w:styleId="19">
    <w:name w:val="Table Paragraph"/>
    <w:basedOn w:val="1"/>
    <w:qFormat/>
    <w:uiPriority w:val="1"/>
  </w:style>
  <w:style w:type="character" w:customStyle="1" w:styleId="20">
    <w:name w:val="页眉 Char"/>
    <w:basedOn w:val="15"/>
    <w:link w:val="10"/>
    <w:qFormat/>
    <w:uiPriority w:val="99"/>
    <w:rPr>
      <w:rFonts w:ascii="宋体" w:hAnsi="宋体" w:eastAsia="宋体" w:cs="宋体"/>
      <w:sz w:val="18"/>
      <w:szCs w:val="18"/>
      <w:lang w:val="zh-CN" w:eastAsia="zh-CN" w:bidi="zh-CN"/>
    </w:rPr>
  </w:style>
  <w:style w:type="character" w:customStyle="1" w:styleId="21">
    <w:name w:val="页脚 Char"/>
    <w:basedOn w:val="15"/>
    <w:link w:val="9"/>
    <w:qFormat/>
    <w:uiPriority w:val="99"/>
    <w:rPr>
      <w:rFonts w:ascii="宋体" w:hAnsi="宋体" w:eastAsia="宋体" w:cs="宋体"/>
      <w:sz w:val="18"/>
      <w:szCs w:val="18"/>
      <w:lang w:val="zh-CN" w:eastAsia="zh-CN" w:bidi="zh-CN"/>
    </w:rPr>
  </w:style>
  <w:style w:type="character" w:customStyle="1" w:styleId="22">
    <w:name w:val="批注框文本 Char"/>
    <w:basedOn w:val="15"/>
    <w:link w:val="8"/>
    <w:semiHidden/>
    <w:qFormat/>
    <w:uiPriority w:val="99"/>
    <w:rPr>
      <w:rFonts w:ascii="宋体" w:hAnsi="宋体" w:eastAsia="宋体" w:cs="宋体"/>
      <w:sz w:val="18"/>
      <w:szCs w:val="18"/>
      <w:lang w:val="zh-CN" w:eastAsia="zh-CN" w:bidi="zh-CN"/>
    </w:rPr>
  </w:style>
  <w:style w:type="character" w:customStyle="1" w:styleId="23">
    <w:name w:val="high-light-bg"/>
    <w:basedOn w:val="15"/>
    <w:qFormat/>
    <w:uiPriority w:val="0"/>
  </w:style>
  <w:style w:type="paragraph" w:customStyle="1" w:styleId="24">
    <w:name w:val="TOC 标题1"/>
    <w:basedOn w:val="3"/>
    <w:next w:val="1"/>
    <w:unhideWhenUsed/>
    <w:qFormat/>
    <w:uiPriority w:val="39"/>
    <w:pPr>
      <w:keepNext/>
      <w:keepLines/>
      <w:widowControl/>
      <w:autoSpaceDE/>
      <w:autoSpaceDN/>
      <w:spacing w:before="480" w:line="276" w:lineRule="auto"/>
      <w:ind w:left="0" w:firstLine="0"/>
      <w:outlineLvl w:val="9"/>
    </w:pPr>
    <w:rPr>
      <w:rFonts w:asciiTheme="majorHAnsi" w:hAnsiTheme="majorHAnsi" w:eastAsiaTheme="majorEastAsia" w:cstheme="majorBidi"/>
      <w:color w:val="366091" w:themeColor="accent1" w:themeShade="BF"/>
      <w:sz w:val="28"/>
      <w:szCs w:val="28"/>
      <w:lang w:val="en-US" w:bidi="ar-SA"/>
    </w:rPr>
  </w:style>
  <w:style w:type="character" w:customStyle="1" w:styleId="25">
    <w:name w:val="font01"/>
    <w:basedOn w:val="15"/>
    <w:qFormat/>
    <w:uiPriority w:val="0"/>
    <w:rPr>
      <w:rFonts w:hint="eastAsia" w:ascii="宋体" w:hAnsi="宋体" w:eastAsia="宋体" w:cs="宋体"/>
      <w:color w:val="000000"/>
      <w:sz w:val="21"/>
      <w:szCs w:val="21"/>
      <w:u w:val="none"/>
    </w:rPr>
  </w:style>
  <w:style w:type="character" w:customStyle="1" w:styleId="26">
    <w:name w:val="font31"/>
    <w:basedOn w:val="15"/>
    <w:qFormat/>
    <w:uiPriority w:val="0"/>
    <w:rPr>
      <w:rFonts w:ascii="Helvetica" w:hAnsi="Helvetica" w:eastAsia="Helvetica" w:cs="Helvetica"/>
      <w:color w:val="333333"/>
      <w:sz w:val="21"/>
      <w:szCs w:val="21"/>
      <w:u w:val="none"/>
    </w:rPr>
  </w:style>
  <w:style w:type="character" w:customStyle="1" w:styleId="27">
    <w:name w:val="font21"/>
    <w:basedOn w:val="15"/>
    <w:qFormat/>
    <w:uiPriority w:val="0"/>
    <w:rPr>
      <w:rFonts w:hint="eastAsia" w:ascii="宋体" w:hAnsi="宋体" w:eastAsia="宋体" w:cs="宋体"/>
      <w:color w:val="333333"/>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ED298D-D9CD-4BFE-9EAD-E690B90FE7D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7068</Words>
  <Characters>7508</Characters>
  <Lines>62</Lines>
  <Paragraphs>17</Paragraphs>
  <TotalTime>14</TotalTime>
  <ScaleCrop>false</ScaleCrop>
  <LinksUpToDate>false</LinksUpToDate>
  <CharactersWithSpaces>7612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2022-11-03T08:11:00Z</dcterms:created>
  <dc:creator>陈 云龙</dc:creator>
  <cp:lastModifiedBy>NTKO</cp:lastModifiedBy>
  <dcterms:modified xsi:type="dcterms:W3CDTF">2023-04-14T06:48:42Z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2022-03-17T00:00:00Z</vt:filetime>
  </property>
  <property fmtid="{D5CDD505-2E9C-101B-9397-08002B2CF9AE}" pid="3" name="Creator">
    <vt:lpwstr>Microsoft® Word 2013</vt:lpwstr>
  </property>
  <property fmtid="{D5CDD505-2E9C-101B-9397-08002B2CF9AE}" pid="4" name="LastSaved">
    <vt:filetime>2022-03-18T00:00:00Z</vt:filetime>
  </property>
  <property fmtid="{D5CDD505-2E9C-101B-9397-08002B2CF9AE}" pid="5" name="KSOProductBuildVer">
    <vt:lpwstr>2052-11.1.0.14036</vt:lpwstr>
  </property>
  <property fmtid="{D5CDD505-2E9C-101B-9397-08002B2CF9AE}" pid="6" name="ICV">
    <vt:lpwstr>86F7F9585D6E401EBD1C21939B37DE65</vt:lpwstr>
  </property>
</Properties>
</file>