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960"/>
          <w:tab w:val="left" w:pos="8460"/>
        </w:tabs>
        <w:spacing w:line="360" w:lineRule="auto"/>
        <w:jc w:val="left"/>
        <w:rPr>
          <w:rFonts w:hint="eastAsia" w:ascii="宋体" w:hAnsi="宋体" w:cs="宋体"/>
          <w:b/>
          <w:bCs w:val="0"/>
          <w:color w:val="000000" w:themeColor="text1"/>
          <w:sz w:val="30"/>
          <w:szCs w:val="30"/>
          <w:lang w:val="en-US" w:eastAsia="zh-CN"/>
          <w14:textFill>
            <w14:solidFill>
              <w14:schemeClr w14:val="tx1"/>
            </w14:solidFill>
          </w14:textFill>
        </w:rPr>
      </w:pPr>
      <w:bookmarkStart w:id="325" w:name="_GoBack"/>
      <w:bookmarkEnd w:id="325"/>
      <w:r>
        <w:rPr>
          <w:rFonts w:hint="eastAsia" w:ascii="宋体" w:hAnsi="宋体" w:eastAsia="宋体" w:cs="宋体"/>
          <w:b/>
          <w:color w:val="000000" w:themeColor="text1"/>
          <w:sz w:val="30"/>
          <w:szCs w:val="30"/>
          <w14:textFill>
            <w14:solidFill>
              <w14:schemeClr w14:val="tx1"/>
            </w14:solidFill>
          </w14:textFill>
        </w:rPr>
        <w:t>项目编</w:t>
      </w:r>
      <w:r>
        <w:rPr>
          <w:rFonts w:hint="eastAsia" w:ascii="宋体" w:hAnsi="宋体" w:eastAsia="宋体" w:cs="宋体"/>
          <w:b/>
          <w:bCs w:val="0"/>
          <w:color w:val="000000" w:themeColor="text1"/>
          <w:sz w:val="30"/>
          <w:szCs w:val="30"/>
          <w14:textFill>
            <w14:solidFill>
              <w14:schemeClr w14:val="tx1"/>
            </w14:solidFill>
          </w14:textFill>
        </w:rPr>
        <w:t>号：</w:t>
      </w:r>
      <w:r>
        <w:rPr>
          <w:rFonts w:hint="eastAsia" w:ascii="宋体" w:hAnsi="宋体" w:cs="宋体"/>
          <w:b/>
          <w:bCs w:val="0"/>
          <w:color w:val="000000" w:themeColor="text1"/>
          <w:sz w:val="30"/>
          <w:szCs w:val="30"/>
          <w:lang w:val="en-US" w:eastAsia="zh-CN"/>
          <w14:textFill>
            <w14:solidFill>
              <w14:schemeClr w14:val="tx1"/>
            </w14:solidFill>
          </w14:textFill>
        </w:rPr>
        <w:t>SXCY2023-55</w:t>
      </w:r>
    </w:p>
    <w:p>
      <w:pPr>
        <w:pStyle w:val="31"/>
        <w:rPr>
          <w:rFonts w:hint="eastAsia" w:ascii="宋体" w:hAnsi="宋体" w:cs="宋体"/>
          <w:b/>
          <w:bCs w:val="0"/>
          <w:color w:val="000000" w:themeColor="text1"/>
          <w:sz w:val="30"/>
          <w:szCs w:val="30"/>
          <w:lang w:val="en-US" w:eastAsia="zh-CN"/>
          <w14:textFill>
            <w14:solidFill>
              <w14:schemeClr w14:val="tx1"/>
            </w14:solidFill>
          </w14:textFill>
        </w:rPr>
      </w:pPr>
    </w:p>
    <w:p>
      <w:pPr>
        <w:pStyle w:val="31"/>
        <w:rPr>
          <w:rFonts w:hint="eastAsia" w:ascii="宋体" w:hAnsi="宋体" w:cs="宋体"/>
          <w:b/>
          <w:bCs w:val="0"/>
          <w:color w:val="000000" w:themeColor="text1"/>
          <w:sz w:val="30"/>
          <w:szCs w:val="30"/>
          <w:lang w:val="en-US" w:eastAsia="zh-CN"/>
          <w14:textFill>
            <w14:solidFill>
              <w14:schemeClr w14:val="tx1"/>
            </w14:solidFill>
          </w14:textFill>
        </w:rPr>
      </w:pPr>
    </w:p>
    <w:p>
      <w:pPr>
        <w:spacing w:line="360" w:lineRule="auto"/>
        <w:rPr>
          <w:rFonts w:hint="eastAsia" w:ascii="宋体" w:hAnsi="宋体" w:eastAsia="宋体" w:cs="宋体"/>
          <w:b/>
          <w:color w:val="000000" w:themeColor="text1"/>
          <w:sz w:val="30"/>
          <w:szCs w:val="30"/>
          <w14:textFill>
            <w14:solidFill>
              <w14:schemeClr w14:val="tx1"/>
            </w14:solidFill>
          </w14:textFill>
        </w:rPr>
      </w:pPr>
    </w:p>
    <w:p>
      <w:pPr>
        <w:spacing w:line="360" w:lineRule="auto"/>
        <w:jc w:val="center"/>
        <w:rPr>
          <w:rFonts w:hint="eastAsia" w:ascii="宋体" w:hAnsi="宋体" w:cs="宋体"/>
          <w:b/>
          <w:color w:val="000000" w:themeColor="text1"/>
          <w:sz w:val="40"/>
          <w:szCs w:val="40"/>
          <w:lang w:val="en-US" w:eastAsia="zh-CN"/>
          <w14:textFill>
            <w14:solidFill>
              <w14:schemeClr w14:val="tx1"/>
            </w14:solidFill>
          </w14:textFill>
        </w:rPr>
      </w:pPr>
      <w:r>
        <w:rPr>
          <w:rFonts w:hint="eastAsia" w:ascii="宋体" w:hAnsi="宋体" w:cs="宋体"/>
          <w:b/>
          <w:color w:val="000000" w:themeColor="text1"/>
          <w:sz w:val="40"/>
          <w:szCs w:val="40"/>
          <w:lang w:val="en-US" w:eastAsia="zh-CN"/>
          <w14:textFill>
            <w14:solidFill>
              <w14:schemeClr w14:val="tx1"/>
            </w14:solidFill>
          </w14:textFill>
        </w:rPr>
        <w:t>宜川县2019-2020年临时使用林地恢复造林项目</w:t>
      </w:r>
    </w:p>
    <w:p>
      <w:pPr>
        <w:spacing w:line="360" w:lineRule="auto"/>
        <w:jc w:val="center"/>
        <w:rPr>
          <w:rFonts w:hint="eastAsia" w:ascii="宋体" w:hAnsi="宋体" w:cs="宋体"/>
          <w:b/>
          <w:color w:val="000000" w:themeColor="text1"/>
          <w:sz w:val="40"/>
          <w:szCs w:val="40"/>
          <w:lang w:val="en-US" w:eastAsia="zh-CN"/>
          <w14:textFill>
            <w14:solidFill>
              <w14:schemeClr w14:val="tx1"/>
            </w14:solidFill>
          </w14:textFill>
        </w:rPr>
      </w:pPr>
      <w:r>
        <w:rPr>
          <w:rFonts w:hint="eastAsia" w:ascii="宋体" w:hAnsi="宋体" w:cs="宋体"/>
          <w:b/>
          <w:color w:val="000000" w:themeColor="text1"/>
          <w:sz w:val="40"/>
          <w:szCs w:val="40"/>
          <w:lang w:val="en-US" w:eastAsia="zh-CN"/>
          <w14:textFill>
            <w14:solidFill>
              <w14:schemeClr w14:val="tx1"/>
            </w14:solidFill>
          </w14:textFill>
        </w:rPr>
        <w:t>施工二标段（二次）</w:t>
      </w:r>
    </w:p>
    <w:p>
      <w:pPr>
        <w:rPr>
          <w:rFonts w:hint="eastAsia" w:ascii="宋体" w:hAnsi="宋体" w:cs="宋体"/>
          <w:b/>
          <w:color w:val="000000" w:themeColor="text1"/>
          <w:sz w:val="48"/>
          <w:szCs w:val="48"/>
          <w:lang w:val="en-US" w:eastAsia="zh-CN"/>
          <w14:textFill>
            <w14:solidFill>
              <w14:schemeClr w14:val="tx1"/>
            </w14:solidFill>
          </w14:textFill>
        </w:rPr>
      </w:pPr>
    </w:p>
    <w:p>
      <w:pPr>
        <w:pStyle w:val="16"/>
        <w:rPr>
          <w:rFonts w:hint="eastAsia"/>
        </w:rPr>
      </w:pPr>
    </w:p>
    <w:p>
      <w:pPr>
        <w:pStyle w:val="16"/>
        <w:rPr>
          <w:rFonts w:hint="eastAsia"/>
        </w:rPr>
      </w:pPr>
    </w:p>
    <w:p>
      <w:pPr>
        <w:spacing w:line="360" w:lineRule="auto"/>
        <w:jc w:val="both"/>
        <w:rPr>
          <w:rFonts w:hint="eastAsia" w:ascii="宋体" w:hAnsi="宋体" w:eastAsia="宋体" w:cs="宋体"/>
          <w:b/>
          <w:color w:val="000000" w:themeColor="text1"/>
          <w:sz w:val="48"/>
          <w:szCs w:val="48"/>
          <w14:textFill>
            <w14:solidFill>
              <w14:schemeClr w14:val="tx1"/>
            </w14:solidFill>
          </w14:textFill>
        </w:rPr>
      </w:pPr>
    </w:p>
    <w:p>
      <w:pPr>
        <w:pStyle w:val="8"/>
        <w:rPr>
          <w:rFonts w:hint="eastAsia"/>
        </w:rPr>
      </w:pPr>
    </w:p>
    <w:p>
      <w:pPr>
        <w:spacing w:line="360" w:lineRule="auto"/>
        <w:jc w:val="center"/>
        <w:rPr>
          <w:rFonts w:hint="eastAsia" w:ascii="宋体" w:hAnsi="宋体" w:eastAsia="宋体" w:cs="宋体"/>
          <w:b/>
          <w:color w:val="000000" w:themeColor="text1"/>
          <w:sz w:val="48"/>
          <w:szCs w:val="48"/>
          <w14:textFill>
            <w14:solidFill>
              <w14:schemeClr w14:val="tx1"/>
            </w14:solidFill>
          </w14:textFill>
        </w:rPr>
      </w:pPr>
      <w:r>
        <w:rPr>
          <w:rFonts w:hint="eastAsia" w:ascii="宋体" w:hAnsi="宋体" w:eastAsia="宋体" w:cs="宋体"/>
          <w:b/>
          <w:color w:val="000000" w:themeColor="text1"/>
          <w:sz w:val="48"/>
          <w:szCs w:val="48"/>
          <w14:textFill>
            <w14:solidFill>
              <w14:schemeClr w14:val="tx1"/>
            </w14:solidFill>
          </w14:textFill>
        </w:rPr>
        <w:t>竞争性磋商文件</w:t>
      </w:r>
    </w:p>
    <w:p>
      <w:pPr>
        <w:spacing w:line="360" w:lineRule="auto"/>
        <w:jc w:val="center"/>
        <w:rPr>
          <w:rFonts w:hint="eastAsia" w:ascii="宋体" w:hAnsi="宋体" w:eastAsia="宋体" w:cs="宋体"/>
          <w:color w:val="000000" w:themeColor="text1"/>
          <w:sz w:val="30"/>
          <w:szCs w:val="30"/>
          <w:lang w:val="en-US" w:eastAsia="zh-CN"/>
          <w14:textFill>
            <w14:solidFill>
              <w14:schemeClr w14:val="tx1"/>
            </w14:solidFill>
          </w14:textFill>
        </w:rPr>
      </w:pPr>
      <w:bookmarkStart w:id="0" w:name="_Toc363463325"/>
    </w:p>
    <w:bookmarkEnd w:id="0"/>
    <w:p>
      <w:pPr>
        <w:spacing w:line="720" w:lineRule="auto"/>
        <w:ind w:firstLine="636" w:firstLineChars="198"/>
        <w:jc w:val="left"/>
        <w:rPr>
          <w:rFonts w:hint="eastAsia" w:ascii="宋体" w:hAnsi="宋体" w:eastAsia="宋体" w:cs="宋体"/>
          <w:b/>
          <w:color w:val="000000" w:themeColor="text1"/>
          <w:sz w:val="32"/>
          <w:szCs w:val="32"/>
          <w14:textFill>
            <w14:solidFill>
              <w14:schemeClr w14:val="tx1"/>
            </w14:solidFill>
          </w14:textFill>
        </w:rPr>
      </w:pPr>
    </w:p>
    <w:p>
      <w:pPr>
        <w:pStyle w:val="8"/>
        <w:ind w:left="0" w:leftChars="0" w:firstLine="0" w:firstLineChars="0"/>
        <w:rPr>
          <w:rFonts w:hint="eastAsia" w:ascii="宋体" w:hAnsi="宋体" w:eastAsia="宋体" w:cs="宋体"/>
          <w:b/>
          <w:color w:val="000000" w:themeColor="text1"/>
          <w:sz w:val="32"/>
          <w:szCs w:val="32"/>
          <w14:textFill>
            <w14:solidFill>
              <w14:schemeClr w14:val="tx1"/>
            </w14:solidFill>
          </w14:textFill>
        </w:rPr>
      </w:pPr>
    </w:p>
    <w:p>
      <w:pPr>
        <w:pStyle w:val="8"/>
        <w:rPr>
          <w:rFonts w:hint="eastAsia" w:ascii="宋体" w:hAnsi="宋体" w:eastAsia="宋体" w:cs="宋体"/>
          <w:b/>
          <w:color w:val="000000" w:themeColor="text1"/>
          <w:sz w:val="32"/>
          <w:szCs w:val="32"/>
          <w14:textFill>
            <w14:solidFill>
              <w14:schemeClr w14:val="tx1"/>
            </w14:solidFill>
          </w14:textFill>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964" w:firstLineChars="300"/>
        <w:jc w:val="both"/>
        <w:textAlignment w:val="auto"/>
        <w:rPr>
          <w:rFonts w:hint="eastAsia" w:ascii="宋体" w:hAnsi="宋体" w:eastAsia="宋体" w:cs="宋体"/>
          <w:b/>
          <w:color w:val="000000" w:themeColor="text1"/>
          <w:sz w:val="32"/>
          <w:szCs w:val="32"/>
          <w:lang w:val="en-US" w:eastAsia="zh-CN"/>
          <w14:textFill>
            <w14:solidFill>
              <w14:schemeClr w14:val="tx1"/>
            </w14:solidFill>
          </w14:textFill>
        </w:rPr>
      </w:pPr>
      <w:r>
        <w:rPr>
          <w:rFonts w:hint="eastAsia" w:ascii="宋体" w:hAnsi="宋体" w:eastAsia="宋体" w:cs="宋体"/>
          <w:b/>
          <w:color w:val="000000" w:themeColor="text1"/>
          <w:sz w:val="32"/>
          <w:szCs w:val="32"/>
          <w:lang w:val="en-US" w:eastAsia="zh-CN"/>
          <w14:textFill>
            <w14:solidFill>
              <w14:schemeClr w14:val="tx1"/>
            </w14:solidFill>
          </w14:textFill>
        </w:rPr>
        <w:t xml:space="preserve">采   购   人：  </w:t>
      </w:r>
      <w:r>
        <w:rPr>
          <w:rFonts w:hint="eastAsia" w:ascii="宋体" w:hAnsi="宋体" w:cs="宋体"/>
          <w:b/>
          <w:color w:val="000000" w:themeColor="text1"/>
          <w:sz w:val="32"/>
          <w:szCs w:val="32"/>
          <w:lang w:val="en-US" w:eastAsia="zh-CN"/>
          <w14:textFill>
            <w14:solidFill>
              <w14:schemeClr w14:val="tx1"/>
            </w14:solidFill>
          </w14:textFill>
        </w:rPr>
        <w:t>宜川县林业局</w:t>
      </w:r>
    </w:p>
    <w:p>
      <w:pPr>
        <w:keepNext w:val="0"/>
        <w:keepLines w:val="0"/>
        <w:pageBreakBefore w:val="0"/>
        <w:widowControl w:val="0"/>
        <w:kinsoku/>
        <w:wordWrap/>
        <w:overflowPunct/>
        <w:topLinePunct w:val="0"/>
        <w:autoSpaceDE/>
        <w:autoSpaceDN/>
        <w:bidi w:val="0"/>
        <w:adjustRightInd/>
        <w:snapToGrid/>
        <w:spacing w:line="480" w:lineRule="auto"/>
        <w:ind w:firstLine="964" w:firstLineChars="300"/>
        <w:jc w:val="both"/>
        <w:textAlignment w:val="auto"/>
        <w:rPr>
          <w:rFonts w:hint="eastAsia" w:ascii="宋体" w:hAnsi="宋体" w:eastAsia="宋体" w:cs="宋体"/>
          <w:b/>
          <w:color w:val="000000" w:themeColor="text1"/>
          <w:sz w:val="32"/>
          <w:szCs w:val="32"/>
          <w:lang w:val="en-US" w:eastAsia="zh-CN"/>
          <w14:textFill>
            <w14:solidFill>
              <w14:schemeClr w14:val="tx1"/>
            </w14:solidFill>
          </w14:textFill>
        </w:rPr>
      </w:pPr>
      <w:r>
        <w:rPr>
          <w:rFonts w:hint="eastAsia" w:ascii="宋体" w:hAnsi="宋体" w:eastAsia="宋体" w:cs="宋体"/>
          <w:b/>
          <w:color w:val="000000" w:themeColor="text1"/>
          <w:sz w:val="32"/>
          <w:szCs w:val="32"/>
          <w:lang w:val="en-US" w:eastAsia="zh-CN"/>
          <w14:textFill>
            <w14:solidFill>
              <w14:schemeClr w14:val="tx1"/>
            </w14:solidFill>
          </w14:textFill>
        </w:rPr>
        <w:t xml:space="preserve">采购代理机构：  </w:t>
      </w:r>
      <w:r>
        <w:rPr>
          <w:rFonts w:hint="eastAsia" w:ascii="宋体" w:hAnsi="宋体" w:cs="宋体"/>
          <w:b/>
          <w:color w:val="000000" w:themeColor="text1"/>
          <w:sz w:val="32"/>
          <w:szCs w:val="32"/>
          <w:lang w:val="en-US" w:eastAsia="zh-CN"/>
          <w14:textFill>
            <w14:solidFill>
              <w14:schemeClr w14:val="tx1"/>
            </w14:solidFill>
          </w14:textFill>
        </w:rPr>
        <w:t>陕西宸永项目管理有限公司</w:t>
      </w:r>
      <w:r>
        <w:rPr>
          <w:rFonts w:hint="eastAsia" w:ascii="宋体" w:hAnsi="宋体" w:eastAsia="宋体" w:cs="宋体"/>
          <w:b/>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964" w:firstLineChars="300"/>
        <w:jc w:val="both"/>
        <w:textAlignment w:val="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lang w:val="en-US" w:eastAsia="zh-CN"/>
          <w14:textFill>
            <w14:solidFill>
              <w14:schemeClr w14:val="tx1"/>
            </w14:solidFill>
          </w14:textFill>
        </w:rPr>
        <w:t>日        期：  二</w:t>
      </w:r>
      <w:r>
        <w:rPr>
          <w:rFonts w:hint="eastAsia" w:ascii="宋体" w:hAnsi="宋体" w:cs="宋体"/>
          <w:b/>
          <w:color w:val="000000" w:themeColor="text1"/>
          <w:sz w:val="32"/>
          <w:szCs w:val="32"/>
          <w:lang w:val="en-US" w:eastAsia="zh-CN"/>
          <w14:textFill>
            <w14:solidFill>
              <w14:schemeClr w14:val="tx1"/>
            </w14:solidFill>
          </w14:textFill>
        </w:rPr>
        <w:t>〇</w:t>
      </w:r>
      <w:r>
        <w:rPr>
          <w:rFonts w:hint="eastAsia" w:ascii="宋体" w:hAnsi="宋体" w:eastAsia="宋体" w:cs="宋体"/>
          <w:b/>
          <w:color w:val="000000" w:themeColor="text1"/>
          <w:sz w:val="32"/>
          <w:szCs w:val="32"/>
          <w:lang w:val="en-US" w:eastAsia="zh-CN"/>
          <w14:textFill>
            <w14:solidFill>
              <w14:schemeClr w14:val="tx1"/>
            </w14:solidFill>
          </w14:textFill>
        </w:rPr>
        <w:t>二</w:t>
      </w:r>
      <w:r>
        <w:rPr>
          <w:rFonts w:hint="eastAsia" w:ascii="宋体" w:hAnsi="宋体" w:cs="宋体"/>
          <w:b/>
          <w:color w:val="000000" w:themeColor="text1"/>
          <w:sz w:val="32"/>
          <w:szCs w:val="32"/>
          <w:lang w:val="en-US" w:eastAsia="zh-CN"/>
          <w14:textFill>
            <w14:solidFill>
              <w14:schemeClr w14:val="tx1"/>
            </w14:solidFill>
          </w14:textFill>
        </w:rPr>
        <w:t>三</w:t>
      </w:r>
      <w:r>
        <w:rPr>
          <w:rFonts w:hint="eastAsia" w:ascii="宋体" w:hAnsi="宋体" w:eastAsia="宋体" w:cs="宋体"/>
          <w:b/>
          <w:color w:val="000000" w:themeColor="text1"/>
          <w:sz w:val="32"/>
          <w:szCs w:val="32"/>
          <w:lang w:val="en-US" w:eastAsia="zh-CN"/>
          <w14:textFill>
            <w14:solidFill>
              <w14:schemeClr w14:val="tx1"/>
            </w14:solidFill>
          </w14:textFill>
        </w:rPr>
        <w:t>年</w:t>
      </w:r>
      <w:r>
        <w:rPr>
          <w:rFonts w:hint="eastAsia" w:ascii="宋体" w:hAnsi="宋体" w:cs="宋体"/>
          <w:b/>
          <w:color w:val="000000" w:themeColor="text1"/>
          <w:sz w:val="32"/>
          <w:szCs w:val="32"/>
          <w:lang w:val="en-US" w:eastAsia="zh-CN"/>
          <w14:textFill>
            <w14:solidFill>
              <w14:schemeClr w14:val="tx1"/>
            </w14:solidFill>
          </w14:textFill>
        </w:rPr>
        <w:t>十二</w:t>
      </w:r>
      <w:r>
        <w:rPr>
          <w:rFonts w:hint="eastAsia" w:ascii="宋体" w:hAnsi="宋体" w:eastAsia="宋体" w:cs="宋体"/>
          <w:b/>
          <w:color w:val="000000" w:themeColor="text1"/>
          <w:sz w:val="32"/>
          <w:szCs w:val="32"/>
          <w:lang w:val="en-US" w:eastAsia="zh-CN"/>
          <w14:textFill>
            <w14:solidFill>
              <w14:schemeClr w14:val="tx1"/>
            </w14:solidFill>
          </w14:textFill>
        </w:rPr>
        <w:t>月</w:t>
      </w: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sectPr>
          <w:headerReference r:id="rId4" w:type="first"/>
          <w:headerReference r:id="rId3" w:type="default"/>
          <w:pgSz w:w="11906" w:h="16838"/>
          <w:pgMar w:top="1440" w:right="1440" w:bottom="1440" w:left="1440" w:header="851" w:footer="992" w:gutter="0"/>
          <w:pgNumType w:fmt="decimal"/>
          <w:cols w:space="720" w:num="1"/>
          <w:titlePg/>
          <w:docGrid w:linePitch="312" w:charSpace="0"/>
        </w:sectPr>
      </w:pPr>
      <w:bookmarkStart w:id="1" w:name="_Toc438073527"/>
    </w:p>
    <w:p>
      <w:pPr>
        <w:spacing w:line="360" w:lineRule="auto"/>
        <w:jc w:val="center"/>
        <w:rPr>
          <w:rFonts w:hint="eastAsia" w:ascii="宋体" w:hAnsi="宋体" w:eastAsia="宋体" w:cs="宋体"/>
          <w:b/>
          <w:color w:val="000000" w:themeColor="text1"/>
          <w:sz w:val="40"/>
          <w:szCs w:val="40"/>
          <w14:textFill>
            <w14:solidFill>
              <w14:schemeClr w14:val="tx1"/>
            </w14:solidFill>
          </w14:textFill>
        </w:rPr>
      </w:pPr>
      <w:r>
        <w:rPr>
          <w:rFonts w:hint="eastAsia" w:ascii="宋体" w:hAnsi="宋体" w:eastAsia="宋体" w:cs="宋体"/>
          <w:b/>
          <w:color w:val="000000" w:themeColor="text1"/>
          <w:sz w:val="40"/>
          <w:szCs w:val="40"/>
          <w14:textFill>
            <w14:solidFill>
              <w14:schemeClr w14:val="tx1"/>
            </w14:solidFill>
          </w14:textFill>
        </w:rPr>
        <w:t>目    录</w:t>
      </w:r>
    </w:p>
    <w:p>
      <w:pPr>
        <w:pStyle w:val="8"/>
        <w:rPr>
          <w:rFonts w:hint="eastAsia"/>
        </w:rPr>
      </w:pP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b/>
          <w:bCs/>
          <w:sz w:val="28"/>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TOC \o "1-3" \h \z \u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_Toc115 </w:instrText>
      </w:r>
      <w:r>
        <w:rPr>
          <w:rFonts w:hint="eastAsia" w:ascii="宋体" w:hAnsi="宋体" w:eastAsia="宋体" w:cs="宋体"/>
          <w:b/>
          <w:bCs/>
          <w:sz w:val="28"/>
          <w:szCs w:val="24"/>
        </w:rPr>
        <w:fldChar w:fldCharType="separate"/>
      </w:r>
      <w:r>
        <w:rPr>
          <w:rFonts w:hint="eastAsia" w:ascii="宋体" w:hAnsi="宋体" w:eastAsia="宋体" w:cs="宋体"/>
          <w:b/>
          <w:bCs/>
          <w:sz w:val="28"/>
          <w:szCs w:val="44"/>
        </w:rPr>
        <w:t>第一章 竞争性磋商公告</w:t>
      </w:r>
      <w:r>
        <w:rPr>
          <w:b/>
          <w:bCs/>
          <w:sz w:val="28"/>
        </w:rPr>
        <w:tab/>
      </w:r>
      <w:r>
        <w:rPr>
          <w:b/>
          <w:bCs/>
          <w:sz w:val="28"/>
        </w:rPr>
        <w:fldChar w:fldCharType="begin"/>
      </w:r>
      <w:r>
        <w:rPr>
          <w:b/>
          <w:bCs/>
          <w:sz w:val="28"/>
        </w:rPr>
        <w:instrText xml:space="preserve"> PAGEREF _Toc115 </w:instrText>
      </w:r>
      <w:r>
        <w:rPr>
          <w:b/>
          <w:bCs/>
          <w:sz w:val="28"/>
        </w:rPr>
        <w:fldChar w:fldCharType="separate"/>
      </w:r>
      <w:r>
        <w:rPr>
          <w:b/>
          <w:bCs/>
          <w:sz w:val="28"/>
        </w:rPr>
        <w:t>1</w:t>
      </w:r>
      <w:r>
        <w:rPr>
          <w:b/>
          <w:bCs/>
          <w:sz w:val="28"/>
        </w:rPr>
        <w:fldChar w:fldCharType="end"/>
      </w:r>
      <w:r>
        <w:rPr>
          <w:rFonts w:hint="eastAsia" w:ascii="宋体" w:hAnsi="宋体" w:eastAsia="宋体" w:cs="宋体"/>
          <w:b/>
          <w:bCs/>
          <w:color w:val="000000" w:themeColor="text1"/>
          <w:sz w:val="28"/>
          <w:szCs w:val="24"/>
          <w14:textFill>
            <w14:solidFill>
              <w14:schemeClr w14:val="tx1"/>
            </w14:solidFill>
          </w14:textFill>
        </w:rPr>
        <w:fldChar w:fldCharType="end"/>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b/>
          <w:bCs/>
          <w:sz w:val="28"/>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_Toc10488 </w:instrText>
      </w:r>
      <w:r>
        <w:rPr>
          <w:rFonts w:hint="eastAsia" w:ascii="宋体" w:hAnsi="宋体" w:eastAsia="宋体" w:cs="宋体"/>
          <w:b/>
          <w:bCs/>
          <w:sz w:val="28"/>
          <w:szCs w:val="24"/>
        </w:rPr>
        <w:fldChar w:fldCharType="separate"/>
      </w:r>
      <w:r>
        <w:rPr>
          <w:rFonts w:hint="eastAsia" w:ascii="宋体" w:hAnsi="宋体" w:eastAsia="宋体" w:cs="宋体"/>
          <w:b/>
          <w:bCs/>
          <w:sz w:val="28"/>
          <w:szCs w:val="44"/>
        </w:rPr>
        <w:t>第二章 供应商须知</w:t>
      </w:r>
      <w:r>
        <w:rPr>
          <w:b/>
          <w:bCs/>
          <w:sz w:val="28"/>
        </w:rPr>
        <w:tab/>
      </w:r>
      <w:r>
        <w:rPr>
          <w:rFonts w:hint="eastAsia"/>
          <w:b/>
          <w:bCs/>
          <w:sz w:val="28"/>
          <w:lang w:val="en-US" w:eastAsia="zh-CN"/>
        </w:rPr>
        <w:t>6</w:t>
      </w:r>
      <w:r>
        <w:rPr>
          <w:rFonts w:hint="eastAsia" w:ascii="宋体" w:hAnsi="宋体" w:eastAsia="宋体" w:cs="宋体"/>
          <w:b/>
          <w:bCs/>
          <w:color w:val="000000" w:themeColor="text1"/>
          <w:sz w:val="28"/>
          <w:szCs w:val="24"/>
          <w14:textFill>
            <w14:solidFill>
              <w14:schemeClr w14:val="tx1"/>
            </w14:solidFill>
          </w14:textFill>
        </w:rPr>
        <w:fldChar w:fldCharType="end"/>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rFonts w:hint="eastAsia" w:eastAsia="宋体"/>
          <w:b/>
          <w:bCs/>
          <w:sz w:val="28"/>
          <w:lang w:val="en-US" w:eastAsia="zh-CN"/>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_Toc9686 </w:instrText>
      </w:r>
      <w:r>
        <w:rPr>
          <w:rFonts w:hint="eastAsia" w:ascii="宋体" w:hAnsi="宋体" w:eastAsia="宋体" w:cs="宋体"/>
          <w:b/>
          <w:bCs/>
          <w:sz w:val="28"/>
          <w:szCs w:val="24"/>
        </w:rPr>
        <w:fldChar w:fldCharType="separate"/>
      </w:r>
      <w:r>
        <w:rPr>
          <w:rFonts w:hint="eastAsia" w:ascii="宋体" w:hAnsi="宋体" w:eastAsia="宋体" w:cs="宋体"/>
          <w:b/>
          <w:bCs/>
          <w:sz w:val="28"/>
          <w:szCs w:val="44"/>
        </w:rPr>
        <w:t>第三章 评标办法</w:t>
      </w:r>
      <w:r>
        <w:rPr>
          <w:b/>
          <w:bCs/>
          <w:sz w:val="28"/>
        </w:rPr>
        <w:tab/>
      </w:r>
      <w:r>
        <w:rPr>
          <w:rFonts w:hint="eastAsia"/>
          <w:b/>
          <w:bCs/>
          <w:sz w:val="28"/>
          <w:lang w:val="en-US" w:eastAsia="zh-CN"/>
        </w:rPr>
        <w:t>5</w:t>
      </w:r>
      <w:r>
        <w:rPr>
          <w:rFonts w:hint="eastAsia" w:ascii="宋体" w:hAnsi="宋体" w:eastAsia="宋体" w:cs="宋体"/>
          <w:b/>
          <w:bCs/>
          <w:color w:val="000000" w:themeColor="text1"/>
          <w:sz w:val="28"/>
          <w:szCs w:val="24"/>
          <w14:textFill>
            <w14:solidFill>
              <w14:schemeClr w14:val="tx1"/>
            </w14:solidFill>
          </w14:textFill>
        </w:rPr>
        <w:fldChar w:fldCharType="end"/>
      </w:r>
      <w:r>
        <w:rPr>
          <w:rFonts w:hint="eastAsia" w:ascii="宋体" w:hAnsi="宋体" w:cs="宋体"/>
          <w:b/>
          <w:bCs/>
          <w:color w:val="000000" w:themeColor="text1"/>
          <w:sz w:val="28"/>
          <w:szCs w:val="24"/>
          <w:lang w:val="en-US" w:eastAsia="zh-CN"/>
          <w14:textFill>
            <w14:solidFill>
              <w14:schemeClr w14:val="tx1"/>
            </w14:solidFill>
          </w14:textFill>
        </w:rPr>
        <w:t>3</w:t>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rFonts w:hint="eastAsia" w:eastAsia="宋体"/>
          <w:b/>
          <w:bCs/>
          <w:sz w:val="28"/>
          <w:lang w:val="en-US" w:eastAsia="zh-CN"/>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_Toc30671 </w:instrText>
      </w:r>
      <w:r>
        <w:rPr>
          <w:rFonts w:hint="eastAsia" w:ascii="宋体" w:hAnsi="宋体" w:eastAsia="宋体" w:cs="宋体"/>
          <w:b/>
          <w:bCs/>
          <w:sz w:val="28"/>
          <w:szCs w:val="24"/>
        </w:rPr>
        <w:fldChar w:fldCharType="separate"/>
      </w:r>
      <w:r>
        <w:rPr>
          <w:rFonts w:hint="eastAsia"/>
          <w:b/>
          <w:bCs/>
          <w:sz w:val="28"/>
          <w:szCs w:val="44"/>
        </w:rPr>
        <w:t>第四章 合同</w:t>
      </w:r>
      <w:r>
        <w:rPr>
          <w:rFonts w:hint="eastAsia"/>
          <w:b/>
          <w:bCs/>
          <w:sz w:val="28"/>
          <w:szCs w:val="44"/>
          <w:lang w:eastAsia="zh-CN"/>
        </w:rPr>
        <w:t>（</w:t>
      </w:r>
      <w:r>
        <w:rPr>
          <w:rFonts w:hint="eastAsia"/>
          <w:b/>
          <w:bCs/>
          <w:sz w:val="28"/>
          <w:szCs w:val="44"/>
          <w:lang w:val="en-US" w:eastAsia="zh-CN"/>
        </w:rPr>
        <w:t>拟签订文本</w:t>
      </w:r>
      <w:r>
        <w:rPr>
          <w:rFonts w:hint="eastAsia"/>
          <w:b/>
          <w:bCs/>
          <w:sz w:val="28"/>
          <w:szCs w:val="44"/>
          <w:lang w:eastAsia="zh-CN"/>
        </w:rPr>
        <w:t>）</w:t>
      </w:r>
      <w:r>
        <w:rPr>
          <w:b/>
          <w:bCs/>
          <w:sz w:val="28"/>
        </w:rPr>
        <w:tab/>
      </w:r>
      <w:r>
        <w:rPr>
          <w:rFonts w:hint="eastAsia"/>
          <w:b/>
          <w:bCs/>
          <w:sz w:val="28"/>
          <w:lang w:val="en-US" w:eastAsia="zh-CN"/>
        </w:rPr>
        <w:t>6</w:t>
      </w:r>
      <w:r>
        <w:rPr>
          <w:rFonts w:hint="eastAsia" w:ascii="宋体" w:hAnsi="宋体" w:eastAsia="宋体" w:cs="宋体"/>
          <w:b/>
          <w:bCs/>
          <w:color w:val="000000" w:themeColor="text1"/>
          <w:sz w:val="28"/>
          <w:szCs w:val="24"/>
          <w14:textFill>
            <w14:solidFill>
              <w14:schemeClr w14:val="tx1"/>
            </w14:solidFill>
          </w14:textFill>
        </w:rPr>
        <w:fldChar w:fldCharType="end"/>
      </w:r>
      <w:r>
        <w:rPr>
          <w:rFonts w:hint="eastAsia" w:ascii="宋体" w:hAnsi="宋体" w:cs="宋体"/>
          <w:b/>
          <w:bCs/>
          <w:color w:val="000000" w:themeColor="text1"/>
          <w:sz w:val="28"/>
          <w:szCs w:val="24"/>
          <w:lang w:val="en-US" w:eastAsia="zh-CN"/>
          <w14:textFill>
            <w14:solidFill>
              <w14:schemeClr w14:val="tx1"/>
            </w14:solidFill>
          </w14:textFill>
        </w:rPr>
        <w:t>8</w:t>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rFonts w:hint="eastAsia" w:eastAsia="宋体"/>
          <w:b/>
          <w:bCs/>
          <w:sz w:val="28"/>
          <w:lang w:val="en-US" w:eastAsia="zh-CN"/>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_Toc22897 </w:instrText>
      </w:r>
      <w:r>
        <w:rPr>
          <w:rFonts w:hint="eastAsia" w:ascii="宋体" w:hAnsi="宋体" w:eastAsia="宋体" w:cs="宋体"/>
          <w:b/>
          <w:bCs/>
          <w:sz w:val="28"/>
          <w:szCs w:val="24"/>
        </w:rPr>
        <w:fldChar w:fldCharType="separate"/>
      </w:r>
      <w:r>
        <w:rPr>
          <w:rFonts w:hint="eastAsia" w:ascii="宋体" w:hAnsi="宋体" w:cs="宋体"/>
          <w:b/>
          <w:bCs/>
          <w:sz w:val="28"/>
          <w:szCs w:val="44"/>
          <w:lang w:eastAsia="zh-CN"/>
        </w:rPr>
        <w:t>第五章</w:t>
      </w:r>
      <w:r>
        <w:rPr>
          <w:rFonts w:hint="eastAsia" w:ascii="宋体" w:hAnsi="宋体" w:cs="宋体"/>
          <w:b/>
          <w:bCs/>
          <w:sz w:val="28"/>
          <w:szCs w:val="44"/>
          <w:lang w:val="en-US" w:eastAsia="zh-CN"/>
        </w:rPr>
        <w:t xml:space="preserve"> </w:t>
      </w:r>
      <w:r>
        <w:rPr>
          <w:rFonts w:hint="eastAsia" w:ascii="宋体" w:hAnsi="宋体" w:eastAsia="宋体" w:cs="宋体"/>
          <w:b/>
          <w:bCs/>
          <w:sz w:val="28"/>
          <w:szCs w:val="44"/>
        </w:rPr>
        <w:t>采购内容和</w:t>
      </w:r>
      <w:r>
        <w:rPr>
          <w:rFonts w:hint="eastAsia" w:ascii="宋体" w:hAnsi="宋体" w:eastAsia="宋体" w:cs="宋体"/>
          <w:b/>
          <w:bCs/>
          <w:sz w:val="28"/>
          <w:szCs w:val="48"/>
        </w:rPr>
        <w:t>技术</w:t>
      </w:r>
      <w:r>
        <w:rPr>
          <w:rFonts w:hint="eastAsia" w:ascii="宋体" w:hAnsi="宋体" w:eastAsia="宋体" w:cs="宋体"/>
          <w:b/>
          <w:bCs/>
          <w:sz w:val="28"/>
          <w:szCs w:val="44"/>
        </w:rPr>
        <w:t>要求</w:t>
      </w:r>
      <w:r>
        <w:rPr>
          <w:b/>
          <w:bCs/>
          <w:sz w:val="28"/>
        </w:rPr>
        <w:tab/>
      </w:r>
      <w:r>
        <w:rPr>
          <w:rFonts w:hint="eastAsia"/>
          <w:b/>
          <w:bCs/>
          <w:sz w:val="28"/>
          <w:lang w:val="en-US" w:eastAsia="zh-CN"/>
        </w:rPr>
        <w:t>7</w:t>
      </w:r>
      <w:r>
        <w:rPr>
          <w:rFonts w:hint="eastAsia" w:ascii="宋体" w:hAnsi="宋体" w:eastAsia="宋体" w:cs="宋体"/>
          <w:b/>
          <w:bCs/>
          <w:color w:val="000000" w:themeColor="text1"/>
          <w:sz w:val="28"/>
          <w:szCs w:val="24"/>
          <w14:textFill>
            <w14:solidFill>
              <w14:schemeClr w14:val="tx1"/>
            </w14:solidFill>
          </w14:textFill>
        </w:rPr>
        <w:fldChar w:fldCharType="end"/>
      </w:r>
      <w:r>
        <w:rPr>
          <w:rFonts w:hint="eastAsia" w:ascii="宋体" w:hAnsi="宋体" w:cs="宋体"/>
          <w:b/>
          <w:bCs/>
          <w:color w:val="000000" w:themeColor="text1"/>
          <w:sz w:val="28"/>
          <w:szCs w:val="24"/>
          <w:lang w:val="en-US" w:eastAsia="zh-CN"/>
          <w14:textFill>
            <w14:solidFill>
              <w14:schemeClr w14:val="tx1"/>
            </w14:solidFill>
          </w14:textFill>
        </w:rPr>
        <w:t>2</w:t>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rFonts w:hint="default" w:eastAsia="宋体"/>
          <w:b/>
          <w:bCs/>
          <w:sz w:val="28"/>
          <w:lang w:val="en-US" w:eastAsia="zh-CN"/>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_Toc3645 </w:instrText>
      </w:r>
      <w:r>
        <w:rPr>
          <w:rFonts w:hint="eastAsia" w:ascii="宋体" w:hAnsi="宋体" w:eastAsia="宋体" w:cs="宋体"/>
          <w:b/>
          <w:bCs/>
          <w:sz w:val="28"/>
          <w:szCs w:val="24"/>
        </w:rPr>
        <w:fldChar w:fldCharType="separate"/>
      </w:r>
      <w:r>
        <w:rPr>
          <w:rFonts w:hint="eastAsia" w:ascii="宋体" w:hAnsi="宋体" w:cs="宋体"/>
          <w:b/>
          <w:bCs/>
          <w:sz w:val="28"/>
          <w:szCs w:val="44"/>
          <w:lang w:eastAsia="zh-CN"/>
        </w:rPr>
        <w:t>第六章</w:t>
      </w:r>
      <w:r>
        <w:rPr>
          <w:rFonts w:hint="eastAsia" w:ascii="宋体" w:hAnsi="宋体" w:cs="宋体"/>
          <w:b/>
          <w:bCs/>
          <w:sz w:val="28"/>
          <w:szCs w:val="44"/>
          <w:lang w:val="en-US" w:eastAsia="zh-CN"/>
        </w:rPr>
        <w:t xml:space="preserve"> </w:t>
      </w:r>
      <w:r>
        <w:rPr>
          <w:rFonts w:hint="eastAsia" w:ascii="宋体" w:hAnsi="宋体" w:eastAsia="宋体" w:cs="宋体"/>
          <w:b/>
          <w:bCs/>
          <w:sz w:val="28"/>
          <w:szCs w:val="44"/>
        </w:rPr>
        <w:t>磋商响应文件格式</w:t>
      </w:r>
      <w:r>
        <w:rPr>
          <w:b/>
          <w:bCs/>
          <w:sz w:val="28"/>
        </w:rPr>
        <w:tab/>
      </w:r>
      <w:r>
        <w:rPr>
          <w:rFonts w:hint="eastAsia"/>
          <w:b/>
          <w:bCs/>
          <w:sz w:val="28"/>
          <w:lang w:val="en-US" w:eastAsia="zh-CN"/>
        </w:rPr>
        <w:t>7</w:t>
      </w:r>
      <w:r>
        <w:rPr>
          <w:rFonts w:hint="eastAsia" w:ascii="宋体" w:hAnsi="宋体" w:eastAsia="宋体" w:cs="宋体"/>
          <w:b/>
          <w:bCs/>
          <w:color w:val="000000" w:themeColor="text1"/>
          <w:sz w:val="28"/>
          <w:szCs w:val="24"/>
          <w14:textFill>
            <w14:solidFill>
              <w14:schemeClr w14:val="tx1"/>
            </w14:solidFill>
          </w14:textFill>
        </w:rPr>
        <w:fldChar w:fldCharType="end"/>
      </w:r>
      <w:r>
        <w:rPr>
          <w:rFonts w:hint="eastAsia" w:ascii="宋体" w:hAnsi="宋体" w:cs="宋体"/>
          <w:b/>
          <w:bCs/>
          <w:color w:val="000000" w:themeColor="text1"/>
          <w:sz w:val="28"/>
          <w:szCs w:val="24"/>
          <w:lang w:val="en-US" w:eastAsia="zh-CN"/>
          <w14:textFill>
            <w14:solidFill>
              <w14:schemeClr w14:val="tx1"/>
            </w14:solidFill>
          </w14:textFill>
        </w:rPr>
        <w:t>3</w:t>
      </w:r>
    </w:p>
    <w:p>
      <w:pPr>
        <w:pStyle w:val="28"/>
        <w:keepNext w:val="0"/>
        <w:keepLines w:val="0"/>
        <w:pageBreakBefore w:val="0"/>
        <w:widowControl w:val="0"/>
        <w:tabs>
          <w:tab w:val="right" w:leader="middleDot" w:pos="9026"/>
        </w:tabs>
        <w:kinsoku/>
        <w:wordWrap/>
        <w:overflowPunct/>
        <w:topLinePunct w:val="0"/>
        <w:autoSpaceDE/>
        <w:autoSpaceDN/>
        <w:bidi w:val="0"/>
        <w:adjustRightInd/>
        <w:snapToGrid/>
        <w:spacing w:line="480" w:lineRule="auto"/>
        <w:textAlignment w:val="auto"/>
      </w:pPr>
    </w:p>
    <w:p>
      <w:pPr>
        <w:pStyle w:val="66"/>
        <w:keepNext w:val="0"/>
        <w:keepLines w:val="0"/>
        <w:pageBreakBefore w:val="0"/>
        <w:widowControl w:val="0"/>
        <w:tabs>
          <w:tab w:val="right" w:leader="dot" w:pos="9016"/>
        </w:tabs>
        <w:kinsoku/>
        <w:wordWrap/>
        <w:overflowPunct/>
        <w:topLinePunct w:val="0"/>
        <w:autoSpaceDE/>
        <w:autoSpaceDN/>
        <w:bidi w:val="0"/>
        <w:adjustRightInd/>
        <w:snapToGrid/>
        <w:spacing w:line="480" w:lineRule="auto"/>
        <w:ind w:left="0"/>
        <w:jc w:val="both"/>
        <w:textAlignment w:val="auto"/>
        <w:rPr>
          <w:rFonts w:hint="eastAsia" w:ascii="宋体" w:hAnsi="宋体" w:eastAsia="宋体" w:cs="宋体"/>
          <w:b/>
          <w:color w:val="000000" w:themeColor="text1"/>
          <w:sz w:val="24"/>
          <w:szCs w:val="24"/>
          <w14:textFill>
            <w14:solidFill>
              <w14:schemeClr w14:val="tx1"/>
            </w14:solidFill>
          </w14:textFill>
        </w:rPr>
        <w:sectPr>
          <w:footerReference r:id="rId6" w:type="first"/>
          <w:footerReference r:id="rId5" w:type="default"/>
          <w:pgSz w:w="11906" w:h="16838"/>
          <w:pgMar w:top="1440" w:right="1440" w:bottom="1440" w:left="1440" w:header="851" w:footer="992" w:gutter="0"/>
          <w:pgNumType w:fmt="decimal" w:start="1"/>
          <w:cols w:space="720" w:num="1"/>
          <w:titlePg/>
          <w:docGrid w:linePitch="312" w:charSpace="0"/>
        </w:sectPr>
      </w:pPr>
      <w:r>
        <w:rPr>
          <w:rFonts w:hint="eastAsia" w:ascii="宋体" w:hAnsi="宋体" w:eastAsia="宋体" w:cs="宋体"/>
          <w:color w:val="000000" w:themeColor="text1"/>
          <w:szCs w:val="24"/>
          <w14:textFill>
            <w14:solidFill>
              <w14:schemeClr w14:val="tx1"/>
            </w14:solidFill>
          </w14:textFill>
        </w:rPr>
        <w:fldChar w:fldCharType="end"/>
      </w:r>
    </w:p>
    <w:p>
      <w:pPr>
        <w:pStyle w:val="2"/>
        <w:numPr>
          <w:ilvl w:val="0"/>
          <w:numId w:val="2"/>
        </w:numPr>
        <w:jc w:val="center"/>
        <w:rPr>
          <w:rFonts w:hint="eastAsia" w:ascii="宋体" w:hAnsi="宋体" w:eastAsia="宋体" w:cs="宋体"/>
          <w:color w:val="000000" w:themeColor="text1"/>
          <w:sz w:val="32"/>
          <w:szCs w:val="32"/>
          <w14:textFill>
            <w14:solidFill>
              <w14:schemeClr w14:val="tx1"/>
            </w14:solidFill>
          </w14:textFill>
        </w:rPr>
      </w:pPr>
      <w:bookmarkStart w:id="2" w:name="_Toc115"/>
      <w:r>
        <w:rPr>
          <w:rFonts w:hint="eastAsia" w:ascii="宋体" w:hAnsi="宋体" w:eastAsia="宋体" w:cs="宋体"/>
          <w:color w:val="000000" w:themeColor="text1"/>
          <w:sz w:val="32"/>
          <w:szCs w:val="32"/>
          <w14:textFill>
            <w14:solidFill>
              <w14:schemeClr w14:val="tx1"/>
            </w14:solidFill>
          </w14:textFill>
        </w:rPr>
        <w:t>竞争性磋商公告</w:t>
      </w:r>
      <w:bookmarkEnd w:id="1"/>
      <w:bookmarkEnd w:id="2"/>
    </w:p>
    <w:p>
      <w:pPr>
        <w:numPr>
          <w:ilvl w:val="0"/>
          <w:numId w:val="0"/>
        </w:numPr>
        <w:rPr>
          <w:rFonts w:hint="eastAsia"/>
        </w:rPr>
      </w:pPr>
    </w:p>
    <w:p>
      <w:pPr>
        <w:spacing w:line="360" w:lineRule="auto"/>
        <w:rPr>
          <w:rFonts w:hint="default"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项目概括</w:t>
      </w:r>
    </w:p>
    <w:p>
      <w:pPr>
        <w:spacing w:line="360" w:lineRule="auto"/>
        <w:ind w:firstLine="604" w:firstLineChars="200"/>
        <w:rPr>
          <w:rFonts w:hint="eastAsia" w:ascii="宋体" w:hAnsi="宋体" w:eastAsia="宋体" w:cs="宋体"/>
          <w:color w:val="FF0000"/>
          <w:spacing w:val="11"/>
          <w:sz w:val="28"/>
          <w:szCs w:val="28"/>
        </w:rPr>
      </w:pPr>
      <w:r>
        <w:rPr>
          <w:rFonts w:hint="eastAsia" w:ascii="宋体" w:hAnsi="宋体" w:cs="宋体"/>
          <w:color w:val="000000"/>
          <w:spacing w:val="11"/>
          <w:sz w:val="28"/>
          <w:szCs w:val="28"/>
          <w:lang w:eastAsia="zh-CN"/>
        </w:rPr>
        <w:t>宜川县2019-2020年临时使用林地恢复造林项目施工二标段（二次）</w:t>
      </w:r>
      <w:r>
        <w:rPr>
          <w:rFonts w:hint="eastAsia" w:ascii="宋体" w:hAnsi="宋体" w:eastAsia="宋体" w:cs="宋体"/>
          <w:color w:val="000000"/>
          <w:spacing w:val="11"/>
          <w:sz w:val="28"/>
          <w:szCs w:val="28"/>
        </w:rPr>
        <w:t>的潜在供应商应在延安市新区盛世花园北区12号楼一单元802室</w:t>
      </w:r>
      <w:r>
        <w:rPr>
          <w:rFonts w:hint="eastAsia" w:ascii="宋体" w:hAnsi="宋体" w:eastAsia="宋体" w:cs="宋体"/>
          <w:color w:val="000000"/>
          <w:spacing w:val="11"/>
          <w:sz w:val="28"/>
          <w:szCs w:val="28"/>
          <w:lang w:val="en-US" w:eastAsia="zh-CN"/>
        </w:rPr>
        <w:t>获取采购文件</w:t>
      </w:r>
      <w:r>
        <w:rPr>
          <w:rFonts w:hint="eastAsia" w:ascii="宋体" w:hAnsi="宋体" w:eastAsia="宋体" w:cs="宋体"/>
          <w:color w:val="000000" w:themeColor="text1"/>
          <w:spacing w:val="11"/>
          <w:sz w:val="28"/>
          <w:szCs w:val="28"/>
          <w:lang w:val="en-US" w:eastAsia="zh-CN"/>
          <w14:textFill>
            <w14:solidFill>
              <w14:schemeClr w14:val="tx1"/>
            </w14:solidFill>
          </w14:textFill>
        </w:rPr>
        <w:t>，</w:t>
      </w:r>
      <w:r>
        <w:rPr>
          <w:rFonts w:hint="eastAsia" w:ascii="宋体" w:hAnsi="宋体" w:eastAsia="宋体" w:cs="宋体"/>
          <w:color w:val="000000" w:themeColor="text1"/>
          <w:spacing w:val="11"/>
          <w:sz w:val="28"/>
          <w:szCs w:val="28"/>
          <w14:textFill>
            <w14:solidFill>
              <w14:schemeClr w14:val="tx1"/>
            </w14:solidFill>
          </w14:textFill>
        </w:rPr>
        <w:t>并于</w:t>
      </w:r>
      <w:r>
        <w:rPr>
          <w:rFonts w:hint="eastAsia" w:ascii="宋体" w:hAnsi="宋体" w:cs="宋体"/>
          <w:color w:val="000000" w:themeColor="text1"/>
          <w:spacing w:val="11"/>
          <w:sz w:val="28"/>
          <w:szCs w:val="28"/>
          <w:lang w:val="en-US" w:eastAsia="zh-CN"/>
          <w14:textFill>
            <w14:solidFill>
              <w14:schemeClr w14:val="tx1"/>
            </w14:solidFill>
          </w14:textFill>
        </w:rPr>
        <w:t xml:space="preserve"> 2023</w:t>
      </w:r>
      <w:r>
        <w:rPr>
          <w:rFonts w:hint="eastAsia" w:ascii="宋体" w:hAnsi="宋体" w:eastAsia="宋体" w:cs="宋体"/>
          <w:color w:val="000000" w:themeColor="text1"/>
          <w:spacing w:val="11"/>
          <w:sz w:val="28"/>
          <w:szCs w:val="28"/>
          <w14:textFill>
            <w14:solidFill>
              <w14:schemeClr w14:val="tx1"/>
            </w14:solidFill>
          </w14:textFill>
        </w:rPr>
        <w:t>年</w:t>
      </w:r>
      <w:r>
        <w:rPr>
          <w:rFonts w:hint="eastAsia" w:ascii="宋体" w:hAnsi="宋体" w:cs="宋体"/>
          <w:color w:val="000000" w:themeColor="text1"/>
          <w:spacing w:val="11"/>
          <w:sz w:val="28"/>
          <w:szCs w:val="28"/>
          <w:lang w:val="en-US" w:eastAsia="zh-CN"/>
          <w14:textFill>
            <w14:solidFill>
              <w14:schemeClr w14:val="tx1"/>
            </w14:solidFill>
          </w14:textFill>
        </w:rPr>
        <w:t>12</w:t>
      </w:r>
      <w:r>
        <w:rPr>
          <w:rFonts w:hint="eastAsia" w:ascii="宋体" w:hAnsi="宋体" w:eastAsia="宋体" w:cs="宋体"/>
          <w:color w:val="000000" w:themeColor="text1"/>
          <w:spacing w:val="11"/>
          <w:sz w:val="28"/>
          <w:szCs w:val="28"/>
          <w:lang w:val="en-US" w:eastAsia="zh-CN"/>
          <w14:textFill>
            <w14:solidFill>
              <w14:schemeClr w14:val="tx1"/>
            </w14:solidFill>
          </w14:textFill>
        </w:rPr>
        <w:t xml:space="preserve"> </w:t>
      </w:r>
      <w:r>
        <w:rPr>
          <w:rFonts w:hint="eastAsia" w:ascii="宋体" w:hAnsi="宋体" w:eastAsia="宋体" w:cs="宋体"/>
          <w:color w:val="000000" w:themeColor="text1"/>
          <w:spacing w:val="11"/>
          <w:sz w:val="28"/>
          <w:szCs w:val="28"/>
          <w14:textFill>
            <w14:solidFill>
              <w14:schemeClr w14:val="tx1"/>
            </w14:solidFill>
          </w14:textFill>
        </w:rPr>
        <w:t>月</w:t>
      </w:r>
      <w:r>
        <w:rPr>
          <w:rFonts w:hint="eastAsia" w:ascii="宋体" w:hAnsi="宋体" w:eastAsia="宋体" w:cs="宋体"/>
          <w:color w:val="000000" w:themeColor="text1"/>
          <w:spacing w:val="11"/>
          <w:sz w:val="28"/>
          <w:szCs w:val="28"/>
          <w:lang w:val="en-US" w:eastAsia="zh-CN"/>
          <w14:textFill>
            <w14:solidFill>
              <w14:schemeClr w14:val="tx1"/>
            </w14:solidFill>
          </w14:textFill>
        </w:rPr>
        <w:t xml:space="preserve"> </w:t>
      </w:r>
      <w:r>
        <w:rPr>
          <w:rFonts w:hint="eastAsia" w:ascii="宋体" w:hAnsi="宋体" w:cs="宋体"/>
          <w:color w:val="000000" w:themeColor="text1"/>
          <w:spacing w:val="11"/>
          <w:sz w:val="28"/>
          <w:szCs w:val="28"/>
          <w:lang w:val="en-US" w:eastAsia="zh-CN"/>
          <w14:textFill>
            <w14:solidFill>
              <w14:schemeClr w14:val="tx1"/>
            </w14:solidFill>
          </w14:textFill>
        </w:rPr>
        <w:t>29</w:t>
      </w:r>
      <w:r>
        <w:rPr>
          <w:rFonts w:hint="eastAsia" w:ascii="宋体" w:hAnsi="宋体" w:eastAsia="宋体" w:cs="宋体"/>
          <w:color w:val="000000" w:themeColor="text1"/>
          <w:spacing w:val="11"/>
          <w:sz w:val="28"/>
          <w:szCs w:val="28"/>
          <w14:textFill>
            <w14:solidFill>
              <w14:schemeClr w14:val="tx1"/>
            </w14:solidFill>
          </w14:textFill>
        </w:rPr>
        <w:t xml:space="preserve">日 </w:t>
      </w:r>
      <w:r>
        <w:rPr>
          <w:rFonts w:hint="eastAsia" w:ascii="宋体" w:hAnsi="宋体" w:cs="宋体"/>
          <w:color w:val="000000" w:themeColor="text1"/>
          <w:spacing w:val="11"/>
          <w:sz w:val="28"/>
          <w:szCs w:val="28"/>
          <w:lang w:val="en-US" w:eastAsia="zh-CN"/>
          <w14:textFill>
            <w14:solidFill>
              <w14:schemeClr w14:val="tx1"/>
            </w14:solidFill>
          </w14:textFill>
        </w:rPr>
        <w:t xml:space="preserve">14 </w:t>
      </w:r>
      <w:r>
        <w:rPr>
          <w:rFonts w:hint="eastAsia" w:ascii="宋体" w:hAnsi="宋体" w:eastAsia="宋体" w:cs="宋体"/>
          <w:color w:val="000000" w:themeColor="text1"/>
          <w:spacing w:val="11"/>
          <w:sz w:val="28"/>
          <w:szCs w:val="28"/>
          <w14:textFill>
            <w14:solidFill>
              <w14:schemeClr w14:val="tx1"/>
            </w14:solidFill>
          </w14:textFill>
        </w:rPr>
        <w:t>时</w:t>
      </w:r>
      <w:r>
        <w:rPr>
          <w:rFonts w:hint="eastAsia" w:ascii="宋体" w:hAnsi="宋体" w:eastAsia="宋体" w:cs="宋体"/>
          <w:color w:val="000000" w:themeColor="text1"/>
          <w:spacing w:val="11"/>
          <w:sz w:val="28"/>
          <w:szCs w:val="28"/>
          <w:lang w:val="en-US" w:eastAsia="zh-CN"/>
          <w14:textFill>
            <w14:solidFill>
              <w14:schemeClr w14:val="tx1"/>
            </w14:solidFill>
          </w14:textFill>
        </w:rPr>
        <w:t xml:space="preserve"> </w:t>
      </w:r>
      <w:r>
        <w:rPr>
          <w:rFonts w:hint="eastAsia" w:ascii="宋体" w:hAnsi="宋体" w:cs="宋体"/>
          <w:color w:val="000000" w:themeColor="text1"/>
          <w:spacing w:val="11"/>
          <w:sz w:val="28"/>
          <w:szCs w:val="28"/>
          <w:lang w:val="en-US" w:eastAsia="zh-CN"/>
          <w14:textFill>
            <w14:solidFill>
              <w14:schemeClr w14:val="tx1"/>
            </w14:solidFill>
          </w14:textFill>
        </w:rPr>
        <w:t xml:space="preserve">30 </w:t>
      </w:r>
      <w:r>
        <w:rPr>
          <w:rFonts w:hint="eastAsia" w:ascii="宋体" w:hAnsi="宋体" w:eastAsia="宋体" w:cs="宋体"/>
          <w:color w:val="000000" w:themeColor="text1"/>
          <w:spacing w:val="11"/>
          <w:sz w:val="28"/>
          <w:szCs w:val="28"/>
          <w14:textFill>
            <w14:solidFill>
              <w14:schemeClr w14:val="tx1"/>
            </w14:solidFill>
          </w14:textFill>
        </w:rPr>
        <w:t>分（北京时间）前提交响应文件。</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一、项目基本情况</w:t>
      </w:r>
    </w:p>
    <w:p>
      <w:pPr>
        <w:spacing w:line="360" w:lineRule="auto"/>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项目编号：</w:t>
      </w:r>
      <w:r>
        <w:rPr>
          <w:rFonts w:hint="eastAsia" w:ascii="宋体" w:hAnsi="宋体" w:cs="宋体"/>
          <w:color w:val="000000"/>
          <w:sz w:val="28"/>
          <w:szCs w:val="28"/>
          <w:lang w:eastAsia="zh-CN"/>
        </w:rPr>
        <w:t>SXCY2023-55</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项目名称：</w:t>
      </w:r>
      <w:r>
        <w:rPr>
          <w:rFonts w:hint="eastAsia" w:ascii="宋体" w:hAnsi="宋体" w:cs="宋体"/>
          <w:color w:val="000000"/>
          <w:sz w:val="28"/>
          <w:szCs w:val="28"/>
          <w:lang w:eastAsia="zh-CN"/>
        </w:rPr>
        <w:t>宜川县2019-2020年临时使用林地恢复造林项目施工二标段（二次）</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采购方式：竞争性磋商</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预算金额：</w:t>
      </w:r>
      <w:r>
        <w:rPr>
          <w:rFonts w:hint="eastAsia" w:ascii="宋体" w:hAnsi="宋体" w:cs="宋体"/>
          <w:color w:val="000000"/>
          <w:sz w:val="28"/>
          <w:szCs w:val="28"/>
          <w:lang w:eastAsia="zh-CN"/>
        </w:rPr>
        <w:t>1266558.03</w:t>
      </w:r>
      <w:r>
        <w:rPr>
          <w:rFonts w:hint="eastAsia" w:ascii="宋体" w:hAnsi="宋体" w:eastAsia="宋体" w:cs="宋体"/>
          <w:color w:val="000000"/>
          <w:sz w:val="28"/>
          <w:szCs w:val="28"/>
        </w:rPr>
        <w:t>元</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采购需求：</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合同包1(</w:t>
      </w:r>
      <w:r>
        <w:rPr>
          <w:rFonts w:hint="eastAsia" w:ascii="宋体" w:hAnsi="宋体" w:cs="宋体"/>
          <w:color w:val="000000"/>
          <w:sz w:val="28"/>
          <w:szCs w:val="28"/>
          <w:lang w:eastAsia="zh-CN"/>
        </w:rPr>
        <w:t>宜川县2019-2020年临时使用林地恢复造林项目施工二标段（二次）</w:t>
      </w:r>
      <w:r>
        <w:rPr>
          <w:rFonts w:hint="eastAsia" w:ascii="宋体" w:hAnsi="宋体" w:eastAsia="宋体" w:cs="宋体"/>
          <w:color w:val="000000"/>
          <w:sz w:val="28"/>
          <w:szCs w:val="28"/>
        </w:rPr>
        <w:t>):</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合同包预算金额：</w:t>
      </w:r>
      <w:r>
        <w:rPr>
          <w:rFonts w:hint="eastAsia" w:ascii="宋体" w:hAnsi="宋体" w:cs="宋体"/>
          <w:color w:val="000000"/>
          <w:sz w:val="28"/>
          <w:szCs w:val="28"/>
          <w:lang w:eastAsia="zh-CN"/>
        </w:rPr>
        <w:t>1266558.03</w:t>
      </w:r>
      <w:r>
        <w:rPr>
          <w:rFonts w:hint="eastAsia" w:ascii="宋体" w:hAnsi="宋体" w:eastAsia="宋体" w:cs="宋体"/>
          <w:color w:val="000000"/>
          <w:sz w:val="28"/>
          <w:szCs w:val="28"/>
        </w:rPr>
        <w:t>元</w:t>
      </w:r>
    </w:p>
    <w:tbl>
      <w:tblPr>
        <w:tblStyle w:val="33"/>
        <w:tblW w:w="10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3"/>
        <w:gridCol w:w="1633"/>
        <w:gridCol w:w="1817"/>
        <w:gridCol w:w="1133"/>
        <w:gridCol w:w="1467"/>
        <w:gridCol w:w="1667"/>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blHeader/>
        </w:trPr>
        <w:tc>
          <w:tcPr>
            <w:tcW w:w="10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品目号</w:t>
            </w:r>
          </w:p>
        </w:tc>
        <w:tc>
          <w:tcPr>
            <w:tcW w:w="16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品目名称</w:t>
            </w:r>
          </w:p>
        </w:tc>
        <w:tc>
          <w:tcPr>
            <w:tcW w:w="18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采购标的</w:t>
            </w:r>
          </w:p>
        </w:tc>
        <w:tc>
          <w:tcPr>
            <w:tcW w:w="11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ind w:firstLine="240" w:firstLineChars="10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数量</w:t>
            </w: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（单位）</w:t>
            </w:r>
          </w:p>
        </w:tc>
        <w:tc>
          <w:tcPr>
            <w:tcW w:w="14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技术规格、参数及要求</w:t>
            </w:r>
          </w:p>
        </w:tc>
        <w:tc>
          <w:tcPr>
            <w:tcW w:w="16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品目预算(元)</w:t>
            </w:r>
          </w:p>
        </w:tc>
        <w:tc>
          <w:tcPr>
            <w:tcW w:w="14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0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w:t>
            </w:r>
          </w:p>
        </w:tc>
        <w:tc>
          <w:tcPr>
            <w:tcW w:w="16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其他农林牧渔业工程施工</w:t>
            </w:r>
          </w:p>
        </w:tc>
        <w:tc>
          <w:tcPr>
            <w:tcW w:w="18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cs="宋体"/>
                <w:color w:val="000000"/>
                <w:sz w:val="24"/>
                <w:szCs w:val="24"/>
                <w:lang w:eastAsia="zh-CN"/>
              </w:rPr>
              <w:t>宜川县2019-2020年临时使用林地恢复造林项目施工二标段（二次）</w:t>
            </w:r>
          </w:p>
        </w:tc>
        <w:tc>
          <w:tcPr>
            <w:tcW w:w="11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1(项)</w:t>
            </w:r>
          </w:p>
        </w:tc>
        <w:tc>
          <w:tcPr>
            <w:tcW w:w="14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详见采购文件</w:t>
            </w:r>
          </w:p>
        </w:tc>
        <w:tc>
          <w:tcPr>
            <w:tcW w:w="16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default" w:ascii="宋体" w:hAnsi="宋体" w:eastAsia="宋体" w:cs="宋体"/>
                <w:color w:val="000000"/>
                <w:sz w:val="24"/>
                <w:szCs w:val="24"/>
                <w:lang w:val="en-US"/>
              </w:rPr>
            </w:pPr>
            <w:r>
              <w:rPr>
                <w:rFonts w:hint="eastAsia" w:ascii="宋体" w:hAnsi="宋体" w:cs="宋体"/>
                <w:color w:val="000000"/>
                <w:sz w:val="24"/>
                <w:szCs w:val="24"/>
                <w:lang w:val="en-US" w:eastAsia="zh-CN"/>
              </w:rPr>
              <w:t>1266558.03</w:t>
            </w:r>
          </w:p>
        </w:tc>
        <w:tc>
          <w:tcPr>
            <w:tcW w:w="14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both"/>
              <w:rPr>
                <w:rFonts w:hint="default" w:ascii="宋体" w:hAnsi="宋体" w:eastAsia="宋体" w:cs="宋体"/>
                <w:color w:val="000000"/>
                <w:sz w:val="24"/>
                <w:szCs w:val="24"/>
                <w:lang w:val="en-US"/>
              </w:rPr>
            </w:pPr>
            <w:r>
              <w:rPr>
                <w:rFonts w:hint="eastAsia" w:ascii="宋体" w:hAnsi="宋体" w:cs="宋体"/>
                <w:color w:val="000000" w:themeColor="text1"/>
                <w:sz w:val="24"/>
                <w:szCs w:val="24"/>
                <w:lang w:val="en-US" w:eastAsia="zh-CN"/>
                <w14:textFill>
                  <w14:solidFill>
                    <w14:schemeClr w14:val="tx1"/>
                  </w14:solidFill>
                </w14:textFill>
              </w:rPr>
              <w:t>/</w:t>
            </w:r>
          </w:p>
        </w:tc>
      </w:tr>
    </w:tbl>
    <w:p>
      <w:pPr>
        <w:spacing w:line="360" w:lineRule="auto"/>
        <w:ind w:firstLine="560" w:firstLineChars="200"/>
        <w:rPr>
          <w:rFonts w:hint="eastAsia" w:ascii="宋体" w:hAnsi="宋体" w:eastAsia="宋体" w:cs="宋体"/>
          <w:color w:val="000000"/>
          <w:sz w:val="28"/>
          <w:szCs w:val="28"/>
        </w:rPr>
      </w:pP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本合同包不接受联合体投标</w:t>
      </w:r>
    </w:p>
    <w:p>
      <w:pPr>
        <w:spacing w:line="360" w:lineRule="auto"/>
        <w:ind w:firstLine="560" w:firstLineChars="20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合同履行期限：</w:t>
      </w:r>
      <w:r>
        <w:rPr>
          <w:rFonts w:hint="eastAsia" w:ascii="宋体" w:hAnsi="宋体" w:cs="宋体"/>
          <w:color w:val="000000" w:themeColor="text1"/>
          <w:sz w:val="28"/>
          <w:szCs w:val="28"/>
          <w:lang w:val="en-US" w:eastAsia="zh-CN"/>
          <w14:textFill>
            <w14:solidFill>
              <w14:schemeClr w14:val="tx1"/>
            </w14:solidFill>
          </w14:textFill>
        </w:rPr>
        <w:t>合同签订之日起一个月。</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二、申请人的资格要求</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1.满足《中华人民共和国政府采购法》第二十二条规定</w:t>
      </w:r>
      <w:r>
        <w:rPr>
          <w:rFonts w:hint="eastAsia" w:ascii="宋体" w:hAnsi="宋体" w:eastAsia="宋体" w:cs="宋体"/>
          <w:color w:val="000000"/>
          <w:sz w:val="28"/>
          <w:szCs w:val="28"/>
          <w:lang w:eastAsia="zh-CN"/>
        </w:rPr>
        <w:t>；</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2.落实政府采购政策需满足的资格要求：</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合同包1(</w:t>
      </w:r>
      <w:r>
        <w:rPr>
          <w:rFonts w:hint="eastAsia" w:ascii="宋体" w:hAnsi="宋体" w:cs="宋体"/>
          <w:color w:val="000000"/>
          <w:sz w:val="28"/>
          <w:szCs w:val="28"/>
          <w:lang w:eastAsia="zh-CN"/>
        </w:rPr>
        <w:t>宜川县2019-2020年临时使用林地恢复造林项目施工二标段（二次）</w:t>
      </w:r>
      <w:r>
        <w:rPr>
          <w:rFonts w:hint="eastAsia" w:ascii="宋体" w:hAnsi="宋体" w:eastAsia="宋体" w:cs="宋体"/>
          <w:color w:val="000000"/>
          <w:sz w:val="28"/>
          <w:szCs w:val="28"/>
        </w:rPr>
        <w:t>)落实政府采购政策需满足的资格要求如下:</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依据《中华人民共和国政府采购法》和《中华人民共和国政府采购法实施条例》的有关规定，落实政府采购政策</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2.1《政府采购促进中小企业发展管理办法》的通知（财库〔2020〕46号）；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2.2财政部司法部关于政府采购支持监狱企业发展有关问题的通知--财库〔2014〕68号；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2.3《国务院办公厅关于建立政府强制采购节能产品制度的通知》--国办发〔2007〕51号。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2.4《环境标志产品政府采购实施意见》--财库[2006]90号；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2.5《节能产品政府采购实施意见》--（财库[2004]185号）；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 xml:space="preserve">2.6 </w:t>
      </w:r>
      <w:r>
        <w:rPr>
          <w:rFonts w:hint="eastAsia" w:ascii="宋体" w:hAnsi="宋体" w:eastAsia="宋体" w:cs="宋体"/>
          <w:color w:val="000000"/>
          <w:sz w:val="28"/>
          <w:szCs w:val="28"/>
        </w:rPr>
        <w:t>《关于促进残疾人就业政府采购政策的通知》财库〔2017〕141号；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2.7陕西省财政厅关于印发《陕西省中小企业政府采购信用融资办法》（陕财办采〔2018〕23号）。</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3.本项目的特定资格要求：</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合同包1(</w:t>
      </w:r>
      <w:r>
        <w:rPr>
          <w:rFonts w:hint="eastAsia" w:ascii="宋体" w:hAnsi="宋体" w:cs="宋体"/>
          <w:color w:val="000000"/>
          <w:sz w:val="28"/>
          <w:szCs w:val="28"/>
          <w:lang w:eastAsia="zh-CN"/>
        </w:rPr>
        <w:t>宜川县2019-2020年临时使用林地恢复造林项目施工二标段（二次）</w:t>
      </w:r>
      <w:r>
        <w:rPr>
          <w:rFonts w:hint="eastAsia" w:ascii="宋体" w:hAnsi="宋体" w:eastAsia="宋体" w:cs="宋体"/>
          <w:color w:val="000000"/>
          <w:sz w:val="28"/>
          <w:szCs w:val="28"/>
        </w:rPr>
        <w:t>)特定资格要求如下:</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具有独立承担民事责任能力的法人、其他组织或自然人，法人或其他组织提供营业执照（事业单位法人证书），自然人提供身份证明。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3.1提供营业执照、税务登记证、组织机构代码证或三证合一的营业执照（供应商无需提供营业执照年检报告，在资格审查时通过互联网或者相关信息系统查询）；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3.2银行开户许可证或开户行基本信息；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3.3法定代表人授权委托书及被授权人身份证（法定代表人直接参加时，只须出示法定代表人身份证）；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3.4提供参加政府采购活动前3年内经营活动中没有重大违法记录声明；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3.5税收缴纳证明：</w:t>
      </w:r>
      <w:r>
        <w:rPr>
          <w:rFonts w:hint="eastAsia" w:ascii="宋体" w:hAnsi="宋体" w:eastAsia="宋体" w:cs="宋体"/>
          <w:color w:val="auto"/>
          <w:sz w:val="28"/>
          <w:szCs w:val="28"/>
        </w:rPr>
        <w:t>自202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月1日以来已缴纳的至少一个月的纳税证明或完税证明，纳税证明或完税证明上应有代收机构或税务机关的公章。依法免税的供应商应提供相关文件证明；</w:t>
      </w:r>
      <w:r>
        <w:rPr>
          <w:rFonts w:hint="eastAsia" w:ascii="宋体" w:hAnsi="宋体" w:eastAsia="宋体" w:cs="宋体"/>
          <w:color w:val="000000"/>
          <w:sz w:val="28"/>
          <w:szCs w:val="28"/>
        </w:rPr>
        <w:t> </w:t>
      </w:r>
    </w:p>
    <w:p>
      <w:pPr>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000000"/>
          <w:sz w:val="28"/>
          <w:szCs w:val="28"/>
        </w:rPr>
        <w:t>3</w:t>
      </w:r>
      <w:r>
        <w:rPr>
          <w:rFonts w:hint="eastAsia" w:ascii="宋体" w:hAnsi="宋体" w:eastAsia="宋体" w:cs="宋体"/>
          <w:color w:val="auto"/>
          <w:sz w:val="28"/>
          <w:szCs w:val="28"/>
        </w:rPr>
        <w:t>.6</w:t>
      </w:r>
      <w:r>
        <w:rPr>
          <w:rFonts w:hint="eastAsia" w:ascii="宋体" w:hAnsi="宋体" w:eastAsia="宋体" w:cs="宋体"/>
          <w:color w:val="auto"/>
          <w:sz w:val="28"/>
          <w:szCs w:val="28"/>
          <w:lang w:val="en-US" w:eastAsia="zh-CN"/>
        </w:rPr>
        <w:t>社会保障资金缴纳证明：自202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年</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月1日以来已缴存的至少一个月的社会保障资金缴存单据或社保机构开具的社会保险参保缴费情况证明，依法不需要缴纳社会保障资金的供应商应提供相关文件证明</w:t>
      </w:r>
      <w:r>
        <w:rPr>
          <w:rFonts w:hint="eastAsia" w:ascii="宋体" w:hAnsi="宋体" w:eastAsia="宋体" w:cs="宋体"/>
          <w:color w:val="auto"/>
          <w:sz w:val="28"/>
          <w:szCs w:val="28"/>
        </w:rPr>
        <w:t>；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3.7财务状况报告：提供202</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或202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3.9提供磋商保证金的银行转账或电汇凭证并确保响应文件递交截止时间前到达采购文件指定账户；</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本项目不接受联合体磋商。</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三、获取</w:t>
      </w:r>
      <w:r>
        <w:rPr>
          <w:rFonts w:hint="eastAsia" w:ascii="宋体" w:hAnsi="宋体" w:cs="宋体"/>
          <w:b/>
          <w:bCs/>
          <w:color w:val="000000"/>
          <w:sz w:val="28"/>
          <w:szCs w:val="28"/>
          <w:lang w:val="en-US" w:eastAsia="zh-CN"/>
        </w:rPr>
        <w:t>招标</w:t>
      </w:r>
      <w:r>
        <w:rPr>
          <w:rFonts w:hint="eastAsia" w:ascii="宋体" w:hAnsi="宋体" w:eastAsia="宋体" w:cs="宋体"/>
          <w:b/>
          <w:bCs/>
          <w:color w:val="000000"/>
          <w:sz w:val="28"/>
          <w:szCs w:val="28"/>
        </w:rPr>
        <w:t>文件</w:t>
      </w:r>
    </w:p>
    <w:p>
      <w:pPr>
        <w:spacing w:line="360" w:lineRule="auto"/>
        <w:ind w:firstLine="560" w:firstLineChars="200"/>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时间：202</w:t>
      </w:r>
      <w:r>
        <w:rPr>
          <w:rFonts w:hint="eastAsia" w:ascii="宋体" w:hAnsi="宋体" w:cs="宋体"/>
          <w:b w:val="0"/>
          <w:bCs w:val="0"/>
          <w:color w:val="000000" w:themeColor="text1"/>
          <w:sz w:val="28"/>
          <w:szCs w:val="28"/>
          <w:lang w:val="en-US" w:eastAsia="zh-CN"/>
          <w14:textFill>
            <w14:solidFill>
              <w14:schemeClr w14:val="tx1"/>
            </w14:solidFill>
          </w14:textFill>
        </w:rPr>
        <w:t>3</w:t>
      </w:r>
      <w:r>
        <w:rPr>
          <w:rFonts w:hint="eastAsia" w:ascii="宋体" w:hAnsi="宋体" w:eastAsia="宋体" w:cs="宋体"/>
          <w:b w:val="0"/>
          <w:bCs w:val="0"/>
          <w:color w:val="000000" w:themeColor="text1"/>
          <w:sz w:val="28"/>
          <w:szCs w:val="28"/>
          <w14:textFill>
            <w14:solidFill>
              <w14:schemeClr w14:val="tx1"/>
            </w14:solidFill>
          </w14:textFill>
        </w:rPr>
        <w:t>年</w:t>
      </w:r>
      <w:r>
        <w:rPr>
          <w:rFonts w:hint="eastAsia" w:ascii="宋体" w:hAnsi="宋体" w:cs="宋体"/>
          <w:b w:val="0"/>
          <w:bCs w:val="0"/>
          <w:color w:val="000000" w:themeColor="text1"/>
          <w:sz w:val="28"/>
          <w:szCs w:val="28"/>
          <w:lang w:val="en-US" w:eastAsia="zh-CN"/>
          <w14:textFill>
            <w14:solidFill>
              <w14:schemeClr w14:val="tx1"/>
            </w14:solidFill>
          </w14:textFill>
        </w:rPr>
        <w:t>12</w:t>
      </w:r>
      <w:r>
        <w:rPr>
          <w:rFonts w:hint="eastAsia" w:ascii="宋体" w:hAnsi="宋体" w:eastAsia="宋体" w:cs="宋体"/>
          <w:b w:val="0"/>
          <w:bCs w:val="0"/>
          <w:color w:val="000000" w:themeColor="text1"/>
          <w:sz w:val="28"/>
          <w:szCs w:val="28"/>
          <w14:textFill>
            <w14:solidFill>
              <w14:schemeClr w14:val="tx1"/>
            </w14:solidFill>
          </w14:textFill>
        </w:rPr>
        <w:t>月</w:t>
      </w:r>
      <w:r>
        <w:rPr>
          <w:rFonts w:hint="eastAsia" w:ascii="宋体" w:hAnsi="宋体" w:cs="宋体"/>
          <w:b w:val="0"/>
          <w:bCs w:val="0"/>
          <w:color w:val="000000" w:themeColor="text1"/>
          <w:sz w:val="28"/>
          <w:szCs w:val="28"/>
          <w:lang w:val="en-US" w:eastAsia="zh-CN"/>
          <w14:textFill>
            <w14:solidFill>
              <w14:schemeClr w14:val="tx1"/>
            </w14:solidFill>
          </w14:textFill>
        </w:rPr>
        <w:t xml:space="preserve"> 19</w:t>
      </w:r>
      <w:r>
        <w:rPr>
          <w:rFonts w:hint="eastAsia" w:ascii="宋体" w:hAnsi="宋体" w:eastAsia="宋体" w:cs="宋体"/>
          <w:b w:val="0"/>
          <w:bCs w:val="0"/>
          <w:color w:val="000000" w:themeColor="text1"/>
          <w:sz w:val="28"/>
          <w:szCs w:val="28"/>
          <w14:textFill>
            <w14:solidFill>
              <w14:schemeClr w14:val="tx1"/>
            </w14:solidFill>
          </w14:textFill>
        </w:rPr>
        <w:t>日至202</w:t>
      </w:r>
      <w:r>
        <w:rPr>
          <w:rFonts w:hint="eastAsia" w:ascii="宋体" w:hAnsi="宋体" w:cs="宋体"/>
          <w:b w:val="0"/>
          <w:bCs w:val="0"/>
          <w:color w:val="000000" w:themeColor="text1"/>
          <w:sz w:val="28"/>
          <w:szCs w:val="28"/>
          <w:lang w:val="en-US" w:eastAsia="zh-CN"/>
          <w14:textFill>
            <w14:solidFill>
              <w14:schemeClr w14:val="tx1"/>
            </w14:solidFill>
          </w14:textFill>
        </w:rPr>
        <w:t>3</w:t>
      </w:r>
      <w:r>
        <w:rPr>
          <w:rFonts w:hint="eastAsia" w:ascii="宋体" w:hAnsi="宋体" w:eastAsia="宋体" w:cs="宋体"/>
          <w:b w:val="0"/>
          <w:bCs w:val="0"/>
          <w:color w:val="000000" w:themeColor="text1"/>
          <w:sz w:val="28"/>
          <w:szCs w:val="28"/>
          <w14:textFill>
            <w14:solidFill>
              <w14:schemeClr w14:val="tx1"/>
            </w14:solidFill>
          </w14:textFill>
        </w:rPr>
        <w:t>年</w:t>
      </w:r>
      <w:r>
        <w:rPr>
          <w:rFonts w:hint="eastAsia" w:ascii="宋体" w:hAnsi="宋体" w:cs="宋体"/>
          <w:b w:val="0"/>
          <w:bCs w:val="0"/>
          <w:color w:val="000000" w:themeColor="text1"/>
          <w:sz w:val="28"/>
          <w:szCs w:val="28"/>
          <w:lang w:val="en-US" w:eastAsia="zh-CN"/>
          <w14:textFill>
            <w14:solidFill>
              <w14:schemeClr w14:val="tx1"/>
            </w14:solidFill>
          </w14:textFill>
        </w:rPr>
        <w:t xml:space="preserve"> 12</w:t>
      </w:r>
      <w:r>
        <w:rPr>
          <w:rFonts w:hint="eastAsia" w:ascii="宋体" w:hAnsi="宋体" w:eastAsia="宋体" w:cs="宋体"/>
          <w:b w:val="0"/>
          <w:bCs w:val="0"/>
          <w:color w:val="000000" w:themeColor="text1"/>
          <w:sz w:val="28"/>
          <w:szCs w:val="28"/>
          <w14:textFill>
            <w14:solidFill>
              <w14:schemeClr w14:val="tx1"/>
            </w14:solidFill>
          </w14:textFill>
        </w:rPr>
        <w:t>月</w:t>
      </w:r>
      <w:r>
        <w:rPr>
          <w:rFonts w:hint="eastAsia" w:ascii="宋体" w:hAnsi="宋体" w:cs="宋体"/>
          <w:b w:val="0"/>
          <w:bCs w:val="0"/>
          <w:color w:val="000000" w:themeColor="text1"/>
          <w:sz w:val="28"/>
          <w:szCs w:val="28"/>
          <w:lang w:val="en-US" w:eastAsia="zh-CN"/>
          <w14:textFill>
            <w14:solidFill>
              <w14:schemeClr w14:val="tx1"/>
            </w14:solidFill>
          </w14:textFill>
        </w:rPr>
        <w:t xml:space="preserve"> 25</w:t>
      </w:r>
      <w:r>
        <w:rPr>
          <w:rFonts w:hint="eastAsia" w:ascii="宋体" w:hAnsi="宋体" w:eastAsia="宋体" w:cs="宋体"/>
          <w:b w:val="0"/>
          <w:bCs w:val="0"/>
          <w:color w:val="000000" w:themeColor="text1"/>
          <w:sz w:val="28"/>
          <w:szCs w:val="28"/>
          <w14:textFill>
            <w14:solidFill>
              <w14:schemeClr w14:val="tx1"/>
            </w14:solidFill>
          </w14:textFill>
        </w:rPr>
        <w:t>日</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每天上午09:00:00至12:00:00，下午14:00:00至1</w:t>
      </w:r>
      <w:r>
        <w:rPr>
          <w:rFonts w:hint="eastAsia" w:ascii="宋体" w:hAnsi="宋体" w:cs="宋体"/>
          <w:b w:val="0"/>
          <w:bCs w:val="0"/>
          <w:color w:val="000000" w:themeColor="text1"/>
          <w:sz w:val="28"/>
          <w:szCs w:val="28"/>
          <w:lang w:val="en-US" w:eastAsia="zh-CN"/>
          <w14:textFill>
            <w14:solidFill>
              <w14:schemeClr w14:val="tx1"/>
            </w14:solidFill>
          </w14:textFill>
        </w:rPr>
        <w:t>7</w:t>
      </w:r>
      <w:r>
        <w:rPr>
          <w:rFonts w:hint="eastAsia" w:ascii="宋体" w:hAnsi="宋体" w:eastAsia="宋体" w:cs="宋体"/>
          <w:b w:val="0"/>
          <w:bCs w:val="0"/>
          <w:color w:val="000000" w:themeColor="text1"/>
          <w:sz w:val="28"/>
          <w:szCs w:val="28"/>
          <w14:textFill>
            <w14:solidFill>
              <w14:schemeClr w14:val="tx1"/>
            </w14:solidFill>
          </w14:textFill>
        </w:rPr>
        <w:t>:00:00（北京时间,法定节假日除外）</w:t>
      </w:r>
    </w:p>
    <w:p>
      <w:pPr>
        <w:spacing w:line="360" w:lineRule="auto"/>
        <w:ind w:firstLine="560" w:firstLineChars="200"/>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地点：延安市新区盛世花园北区12号楼一单元802室</w:t>
      </w:r>
    </w:p>
    <w:p>
      <w:pPr>
        <w:spacing w:line="360" w:lineRule="auto"/>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方式：</w:t>
      </w:r>
      <w:r>
        <w:rPr>
          <w:rFonts w:hint="eastAsia" w:ascii="宋体" w:hAnsi="宋体" w:cs="宋体"/>
          <w:b w:val="0"/>
          <w:bCs w:val="0"/>
          <w:color w:val="000000"/>
          <w:sz w:val="28"/>
          <w:szCs w:val="28"/>
          <w:lang w:val="en-US" w:eastAsia="zh-CN"/>
        </w:rPr>
        <w:t>现场</w:t>
      </w:r>
      <w:r>
        <w:rPr>
          <w:rFonts w:hint="eastAsia" w:ascii="宋体" w:hAnsi="宋体" w:eastAsia="宋体" w:cs="宋体"/>
          <w:b w:val="0"/>
          <w:bCs w:val="0"/>
          <w:color w:val="000000"/>
          <w:sz w:val="28"/>
          <w:szCs w:val="28"/>
        </w:rPr>
        <w:t>获取</w:t>
      </w:r>
    </w:p>
    <w:p>
      <w:pPr>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rPr>
        <w:t>售价：</w:t>
      </w:r>
      <w:r>
        <w:rPr>
          <w:rFonts w:hint="eastAsia" w:ascii="宋体" w:hAnsi="宋体" w:cs="宋体"/>
          <w:b w:val="0"/>
          <w:bCs w:val="0"/>
          <w:color w:val="000000"/>
          <w:sz w:val="28"/>
          <w:szCs w:val="28"/>
          <w:lang w:val="en-US" w:eastAsia="zh-CN"/>
        </w:rPr>
        <w:t>300元/套，售后不退。</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截止时间：2023年 </w:t>
      </w: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lang w:val="en-US" w:eastAsia="zh-CN"/>
          <w14:textFill>
            <w14:solidFill>
              <w14:schemeClr w14:val="tx1"/>
            </w14:solidFill>
          </w14:textFill>
        </w:rPr>
        <w:t xml:space="preserve"> 月 </w:t>
      </w:r>
      <w:r>
        <w:rPr>
          <w:rFonts w:hint="eastAsia" w:ascii="宋体" w:hAnsi="宋体" w:cs="宋体"/>
          <w:color w:val="000000" w:themeColor="text1"/>
          <w:sz w:val="28"/>
          <w:szCs w:val="28"/>
          <w:lang w:val="en-US" w:eastAsia="zh-CN"/>
          <w14:textFill>
            <w14:solidFill>
              <w14:schemeClr w14:val="tx1"/>
            </w14:solidFill>
          </w14:textFill>
        </w:rPr>
        <w:t>29</w:t>
      </w:r>
      <w:r>
        <w:rPr>
          <w:rFonts w:hint="eastAsia" w:ascii="宋体" w:hAnsi="宋体" w:eastAsia="宋体" w:cs="宋体"/>
          <w:color w:val="000000" w:themeColor="text1"/>
          <w:sz w:val="28"/>
          <w:szCs w:val="28"/>
          <w:lang w:val="en-US" w:eastAsia="zh-CN"/>
          <w14:textFill>
            <w14:solidFill>
              <w14:schemeClr w14:val="tx1"/>
            </w14:solidFill>
          </w14:textFill>
        </w:rPr>
        <w:t xml:space="preserve"> 日  </w:t>
      </w:r>
      <w:r>
        <w:rPr>
          <w:rFonts w:hint="eastAsia" w:ascii="宋体" w:hAnsi="宋体" w:cs="宋体"/>
          <w:color w:val="000000" w:themeColor="text1"/>
          <w:sz w:val="28"/>
          <w:szCs w:val="28"/>
          <w:lang w:val="en-US" w:eastAsia="zh-CN"/>
          <w14:textFill>
            <w14:solidFill>
              <w14:schemeClr w14:val="tx1"/>
            </w14:solidFill>
          </w14:textFill>
        </w:rPr>
        <w:t>14</w:t>
      </w:r>
      <w:r>
        <w:rPr>
          <w:rFonts w:hint="eastAsia" w:ascii="宋体" w:hAnsi="宋体" w:eastAsia="宋体" w:cs="宋体"/>
          <w:color w:val="000000" w:themeColor="text1"/>
          <w:sz w:val="28"/>
          <w:szCs w:val="28"/>
          <w:lang w:val="en-US" w:eastAsia="zh-CN"/>
          <w14:textFill>
            <w14:solidFill>
              <w14:schemeClr w14:val="tx1"/>
            </w14:solidFill>
          </w14:textFill>
        </w:rPr>
        <w:t xml:space="preserve"> 时 </w:t>
      </w:r>
      <w:r>
        <w:rPr>
          <w:rFonts w:hint="eastAsia" w:ascii="宋体" w:hAnsi="宋体" w:cs="宋体"/>
          <w:color w:val="000000" w:themeColor="text1"/>
          <w:sz w:val="28"/>
          <w:szCs w:val="28"/>
          <w:lang w:val="en-US" w:eastAsia="zh-CN"/>
          <w14:textFill>
            <w14:solidFill>
              <w14:schemeClr w14:val="tx1"/>
            </w14:solidFill>
          </w14:textFill>
        </w:rPr>
        <w:t>30</w:t>
      </w:r>
      <w:r>
        <w:rPr>
          <w:rFonts w:hint="eastAsia" w:ascii="宋体" w:hAnsi="宋体" w:eastAsia="宋体" w:cs="宋体"/>
          <w:color w:val="000000" w:themeColor="text1"/>
          <w:sz w:val="28"/>
          <w:szCs w:val="28"/>
          <w:lang w:val="en-US" w:eastAsia="zh-CN"/>
          <w14:textFill>
            <w14:solidFill>
              <w14:schemeClr w14:val="tx1"/>
            </w14:solidFill>
          </w14:textFill>
        </w:rPr>
        <w:t xml:space="preserve"> 分 </w:t>
      </w:r>
      <w:r>
        <w:rPr>
          <w:rFonts w:hint="eastAsia" w:ascii="宋体" w:hAnsi="宋体" w:cs="宋体"/>
          <w:color w:val="000000" w:themeColor="text1"/>
          <w:sz w:val="28"/>
          <w:szCs w:val="28"/>
          <w:lang w:val="en-US" w:eastAsia="zh-CN"/>
          <w14:textFill>
            <w14:solidFill>
              <w14:schemeClr w14:val="tx1"/>
            </w14:solidFill>
          </w14:textFill>
        </w:rPr>
        <w:t>00</w:t>
      </w:r>
      <w:r>
        <w:rPr>
          <w:rFonts w:hint="eastAsia" w:ascii="宋体" w:hAnsi="宋体" w:eastAsia="宋体" w:cs="宋体"/>
          <w:color w:val="000000" w:themeColor="text1"/>
          <w:sz w:val="28"/>
          <w:szCs w:val="28"/>
          <w:lang w:val="en-US" w:eastAsia="zh-CN"/>
          <w14:textFill>
            <w14:solidFill>
              <w14:schemeClr w14:val="tx1"/>
            </w14:solidFill>
          </w14:textFill>
        </w:rPr>
        <w:t xml:space="preserve">  秒（北京时间）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地点：延安市公共资源交易中心交易  </w:t>
      </w:r>
      <w:r>
        <w:rPr>
          <w:rFonts w:hint="eastAsia" w:ascii="宋体" w:hAnsi="宋体" w:cs="宋体"/>
          <w:color w:val="000000" w:themeColor="text1"/>
          <w:sz w:val="28"/>
          <w:szCs w:val="28"/>
          <w:lang w:val="en-US" w:eastAsia="zh-CN"/>
          <w14:textFill>
            <w14:solidFill>
              <w14:schemeClr w14:val="tx1"/>
            </w14:solidFill>
          </w14:textFill>
        </w:rPr>
        <w:t xml:space="preserve">一 </w:t>
      </w:r>
      <w:r>
        <w:rPr>
          <w:rFonts w:hint="eastAsia" w:ascii="宋体" w:hAnsi="宋体" w:eastAsia="宋体" w:cs="宋体"/>
          <w:color w:val="000000" w:themeColor="text1"/>
          <w:sz w:val="28"/>
          <w:szCs w:val="28"/>
          <w:lang w:val="en-US" w:eastAsia="zh-CN"/>
          <w14:textFill>
            <w14:solidFill>
              <w14:schemeClr w14:val="tx1"/>
            </w14:solidFill>
          </w14:textFill>
        </w:rPr>
        <w:t xml:space="preserve">  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五、开启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时间：2023年 </w:t>
      </w: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eastAsia="宋体" w:cs="宋体"/>
          <w:color w:val="000000" w:themeColor="text1"/>
          <w:sz w:val="28"/>
          <w:szCs w:val="28"/>
          <w:lang w:val="en-US" w:eastAsia="zh-CN"/>
          <w14:textFill>
            <w14:solidFill>
              <w14:schemeClr w14:val="tx1"/>
            </w14:solidFill>
          </w14:textFill>
        </w:rPr>
        <w:t xml:space="preserve"> 月</w:t>
      </w:r>
      <w:r>
        <w:rPr>
          <w:rFonts w:hint="eastAsia" w:ascii="宋体" w:hAnsi="宋体" w:cs="宋体"/>
          <w:color w:val="000000" w:themeColor="text1"/>
          <w:sz w:val="28"/>
          <w:szCs w:val="28"/>
          <w:lang w:val="en-US" w:eastAsia="zh-CN"/>
          <w14:textFill>
            <w14:solidFill>
              <w14:schemeClr w14:val="tx1"/>
            </w14:solidFill>
          </w14:textFill>
        </w:rPr>
        <w:t>29</w:t>
      </w:r>
      <w:r>
        <w:rPr>
          <w:rFonts w:hint="eastAsia" w:ascii="宋体" w:hAnsi="宋体" w:eastAsia="宋体" w:cs="宋体"/>
          <w:color w:val="000000" w:themeColor="text1"/>
          <w:sz w:val="28"/>
          <w:szCs w:val="28"/>
          <w:lang w:val="en-US" w:eastAsia="zh-CN"/>
          <w14:textFill>
            <w14:solidFill>
              <w14:schemeClr w14:val="tx1"/>
            </w14:solidFill>
          </w14:textFill>
        </w:rPr>
        <w:t xml:space="preserve"> 日  </w:t>
      </w:r>
      <w:r>
        <w:rPr>
          <w:rFonts w:hint="eastAsia" w:ascii="宋体" w:hAnsi="宋体" w:cs="宋体"/>
          <w:color w:val="000000" w:themeColor="text1"/>
          <w:sz w:val="28"/>
          <w:szCs w:val="28"/>
          <w:lang w:val="en-US" w:eastAsia="zh-CN"/>
          <w14:textFill>
            <w14:solidFill>
              <w14:schemeClr w14:val="tx1"/>
            </w14:solidFill>
          </w14:textFill>
        </w:rPr>
        <w:t>14</w:t>
      </w:r>
      <w:r>
        <w:rPr>
          <w:rFonts w:hint="eastAsia" w:ascii="宋体" w:hAnsi="宋体" w:eastAsia="宋体" w:cs="宋体"/>
          <w:color w:val="000000" w:themeColor="text1"/>
          <w:sz w:val="28"/>
          <w:szCs w:val="28"/>
          <w:lang w:val="en-US" w:eastAsia="zh-CN"/>
          <w14:textFill>
            <w14:solidFill>
              <w14:schemeClr w14:val="tx1"/>
            </w14:solidFill>
          </w14:textFill>
        </w:rPr>
        <w:t xml:space="preserve"> 时 </w:t>
      </w:r>
      <w:r>
        <w:rPr>
          <w:rFonts w:hint="eastAsia" w:ascii="宋体" w:hAnsi="宋体" w:cs="宋体"/>
          <w:color w:val="000000" w:themeColor="text1"/>
          <w:sz w:val="28"/>
          <w:szCs w:val="28"/>
          <w:lang w:val="en-US" w:eastAsia="zh-CN"/>
          <w14:textFill>
            <w14:solidFill>
              <w14:schemeClr w14:val="tx1"/>
            </w14:solidFill>
          </w14:textFill>
        </w:rPr>
        <w:t>30</w:t>
      </w:r>
      <w:r>
        <w:rPr>
          <w:rFonts w:hint="eastAsia" w:ascii="宋体" w:hAnsi="宋体" w:eastAsia="宋体" w:cs="宋体"/>
          <w:color w:val="000000" w:themeColor="text1"/>
          <w:sz w:val="28"/>
          <w:szCs w:val="28"/>
          <w:lang w:val="en-US" w:eastAsia="zh-CN"/>
          <w14:textFill>
            <w14:solidFill>
              <w14:schemeClr w14:val="tx1"/>
            </w14:solidFill>
          </w14:textFill>
        </w:rPr>
        <w:t xml:space="preserve"> 分 </w:t>
      </w:r>
      <w:r>
        <w:rPr>
          <w:rFonts w:hint="eastAsia" w:ascii="宋体" w:hAnsi="宋体" w:cs="宋体"/>
          <w:color w:val="000000" w:themeColor="text1"/>
          <w:sz w:val="28"/>
          <w:szCs w:val="28"/>
          <w:lang w:val="en-US" w:eastAsia="zh-CN"/>
          <w14:textFill>
            <w14:solidFill>
              <w14:schemeClr w14:val="tx1"/>
            </w14:solidFill>
          </w14:textFill>
        </w:rPr>
        <w:t>00</w:t>
      </w:r>
      <w:r>
        <w:rPr>
          <w:rFonts w:hint="eastAsia" w:ascii="宋体" w:hAnsi="宋体" w:eastAsia="宋体" w:cs="宋体"/>
          <w:color w:val="000000" w:themeColor="text1"/>
          <w:sz w:val="28"/>
          <w:szCs w:val="28"/>
          <w:lang w:val="en-US" w:eastAsia="zh-CN"/>
          <w14:textFill>
            <w14:solidFill>
              <w14:schemeClr w14:val="tx1"/>
            </w14:solidFill>
          </w14:textFill>
        </w:rPr>
        <w:t xml:space="preserve">  秒（北京时间）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地点：延安市公共资源交易中心交易  </w:t>
      </w:r>
      <w:r>
        <w:rPr>
          <w:rFonts w:hint="eastAsia" w:ascii="宋体" w:hAnsi="宋体" w:cs="宋体"/>
          <w:color w:val="000000" w:themeColor="text1"/>
          <w:sz w:val="28"/>
          <w:szCs w:val="28"/>
          <w:lang w:val="en-US" w:eastAsia="zh-CN"/>
          <w14:textFill>
            <w14:solidFill>
              <w14:schemeClr w14:val="tx1"/>
            </w14:solidFill>
          </w14:textFill>
        </w:rPr>
        <w:t>一</w:t>
      </w:r>
      <w:r>
        <w:rPr>
          <w:rFonts w:hint="eastAsia" w:ascii="宋体" w:hAnsi="宋体" w:eastAsia="宋体" w:cs="宋体"/>
          <w:color w:val="000000" w:themeColor="text1"/>
          <w:sz w:val="28"/>
          <w:szCs w:val="28"/>
          <w:lang w:val="en-US" w:eastAsia="zh-CN"/>
          <w14:textFill>
            <w14:solidFill>
              <w14:schemeClr w14:val="tx1"/>
            </w14:solidFill>
          </w14:textFill>
        </w:rPr>
        <w:t xml:space="preserve"> 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（1）供应商购买磋商文件时需携带本单位介绍信及本人身份证原件或复印件（加盖公章（鲜章））；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（2）请投标人按照陕西省财政厅关于政府采购供应商注册登记有关事项的通知中的要求，通过陕西省政府采购网（http://www.ccgp-shaanxi.gov.cn/）注册登记加入陕西省政府采购供应商库。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（3）本项目专门面向小微企业采购。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（4）发布公告的媒介：本次招标公告在《陕西省政府采购网》、《全国公共资源交易平台（陕西省·延安市）》上同时发布。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八、凡对本次采购提出询问，请按以下方式联系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名称：宜川县林业局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地址：宜川县南关街55号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联系方式：0911-4628750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名称：陕西宸永项目管理有限公司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地址：延安市新区盛世花园北区12号楼一单元802室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联系方式：0911-8688810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项目联系人：杨工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电话：0911-8688810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p>
    <w:p>
      <w:pPr>
        <w:pStyle w:val="16"/>
        <w:rPr>
          <w:rFonts w:hint="eastAsia" w:ascii="宋体" w:hAnsi="宋体" w:eastAsia="宋体" w:cs="宋体"/>
          <w:color w:val="000000" w:themeColor="text1"/>
          <w:sz w:val="28"/>
          <w:szCs w:val="28"/>
          <w14:textFill>
            <w14:solidFill>
              <w14:schemeClr w14:val="tx1"/>
            </w14:solidFill>
          </w14:textFill>
        </w:rPr>
      </w:pPr>
    </w:p>
    <w:p>
      <w:pPr>
        <w:rPr>
          <w:rFonts w:hint="eastAsia"/>
        </w:rPr>
        <w:sectPr>
          <w:footerReference r:id="rId8" w:type="first"/>
          <w:footerReference r:id="rId7" w:type="default"/>
          <w:pgSz w:w="11906" w:h="16838"/>
          <w:pgMar w:top="1440" w:right="1440" w:bottom="1440" w:left="1440" w:header="851" w:footer="992" w:gutter="0"/>
          <w:pgNumType w:fmt="decimal" w:start="1"/>
          <w:cols w:space="720" w:num="1"/>
          <w:docGrid w:linePitch="312" w:charSpace="0"/>
        </w:sectPr>
      </w:pPr>
    </w:p>
    <w:p>
      <w:pPr>
        <w:pStyle w:val="2"/>
        <w:numPr>
          <w:ilvl w:val="0"/>
          <w:numId w:val="2"/>
        </w:numPr>
        <w:ind w:left="0" w:leftChars="0" w:firstLine="0" w:firstLineChars="0"/>
        <w:jc w:val="center"/>
        <w:rPr>
          <w:rFonts w:hint="eastAsia" w:ascii="宋体" w:hAnsi="宋体" w:eastAsia="宋体" w:cs="宋体"/>
          <w:color w:val="000000" w:themeColor="text1"/>
          <w:sz w:val="32"/>
          <w:szCs w:val="32"/>
          <w14:textFill>
            <w14:solidFill>
              <w14:schemeClr w14:val="tx1"/>
            </w14:solidFill>
          </w14:textFill>
        </w:rPr>
      </w:pPr>
      <w:bookmarkStart w:id="3" w:name="_Toc10488"/>
      <w:bookmarkStart w:id="4" w:name="_Toc421778363"/>
      <w:r>
        <w:rPr>
          <w:rFonts w:hint="eastAsia" w:ascii="宋体" w:hAnsi="宋体" w:eastAsia="宋体" w:cs="宋体"/>
          <w:color w:val="000000" w:themeColor="text1"/>
          <w:sz w:val="32"/>
          <w:szCs w:val="32"/>
          <w14:textFill>
            <w14:solidFill>
              <w14:schemeClr w14:val="tx1"/>
            </w14:solidFill>
          </w14:textFill>
        </w:rPr>
        <w:t>供应商须知</w:t>
      </w:r>
      <w:bookmarkEnd w:id="3"/>
      <w:bookmarkEnd w:id="4"/>
    </w:p>
    <w:p>
      <w:pPr>
        <w:numPr>
          <w:ilvl w:val="0"/>
          <w:numId w:val="0"/>
        </w:numPr>
        <w:ind w:leftChars="0"/>
        <w:rPr>
          <w:rFonts w:hint="eastAsia"/>
        </w:rPr>
      </w:pPr>
    </w:p>
    <w:p>
      <w:pPr>
        <w:spacing w:line="360" w:lineRule="auto"/>
        <w:jc w:val="center"/>
        <w:outlineLvl w:val="1"/>
        <w:rPr>
          <w:rFonts w:hint="eastAsia" w:ascii="宋体" w:hAnsi="宋体" w:eastAsia="宋体" w:cs="宋体"/>
          <w:b/>
          <w:color w:val="000000" w:themeColor="text1"/>
          <w:sz w:val="28"/>
          <w14:textFill>
            <w14:solidFill>
              <w14:schemeClr w14:val="tx1"/>
            </w14:solidFill>
          </w14:textFill>
        </w:rPr>
      </w:pPr>
      <w:bookmarkStart w:id="5" w:name="_Toc421778364"/>
      <w:bookmarkStart w:id="6" w:name="_Toc500323094"/>
      <w:bookmarkStart w:id="7" w:name="_Toc15103"/>
      <w:bookmarkStart w:id="8" w:name="_Toc526842682"/>
      <w:bookmarkStart w:id="9" w:name="_Toc420591642"/>
      <w:r>
        <w:rPr>
          <w:rFonts w:hint="eastAsia" w:ascii="宋体" w:hAnsi="宋体" w:eastAsia="宋体" w:cs="宋体"/>
          <w:b/>
          <w:color w:val="000000" w:themeColor="text1"/>
          <w:sz w:val="28"/>
          <w14:textFill>
            <w14:solidFill>
              <w14:schemeClr w14:val="tx1"/>
            </w14:solidFill>
          </w14:textFill>
        </w:rPr>
        <w:t>供应商须知前附表</w:t>
      </w:r>
      <w:bookmarkEnd w:id="5"/>
      <w:bookmarkEnd w:id="6"/>
      <w:bookmarkEnd w:id="7"/>
      <w:bookmarkEnd w:id="8"/>
      <w:bookmarkEnd w:id="9"/>
    </w:p>
    <w:tbl>
      <w:tblPr>
        <w:tblStyle w:val="33"/>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077"/>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条款号</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条款名称</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采购人名称：</w:t>
            </w:r>
            <w:r>
              <w:rPr>
                <w:rFonts w:hint="eastAsia" w:ascii="宋体" w:hAnsi="宋体" w:cs="宋体"/>
                <w:color w:val="000000" w:themeColor="text1"/>
                <w:sz w:val="24"/>
                <w:szCs w:val="24"/>
                <w:lang w:val="en-US" w:eastAsia="zh-CN"/>
                <w14:textFill>
                  <w14:solidFill>
                    <w14:schemeClr w14:val="tx1"/>
                  </w14:solidFill>
                </w14:textFill>
              </w:rPr>
              <w:t>宜川县林业局</w:t>
            </w:r>
          </w:p>
          <w:p>
            <w:pPr>
              <w:spacing w:line="360" w:lineRule="auto"/>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地址：宜川县南关街55号</w:t>
            </w:r>
          </w:p>
          <w:p>
            <w:p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联系人：马彦鹏</w:t>
            </w:r>
          </w:p>
          <w:p>
            <w:pPr>
              <w:spacing w:line="360" w:lineRule="auto"/>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联系方式：</w:t>
            </w:r>
            <w:r>
              <w:rPr>
                <w:rFonts w:hint="eastAsia" w:ascii="宋体" w:hAnsi="宋体" w:eastAsia="宋体" w:cs="宋体"/>
                <w:color w:val="000000" w:themeColor="text1"/>
                <w:sz w:val="24"/>
                <w:szCs w:val="24"/>
                <w:lang w:val="en-US" w:eastAsia="zh-CN"/>
                <w14:textFill>
                  <w14:solidFill>
                    <w14:schemeClr w14:val="tx1"/>
                  </w14:solidFill>
                </w14:textFill>
              </w:rPr>
              <w:t>0911-4628750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采购代理机构</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采购代理机构</w:t>
            </w:r>
            <w:r>
              <w:rPr>
                <w:rFonts w:hint="eastAsia" w:ascii="宋体" w:hAnsi="宋体" w:eastAsia="宋体" w:cs="宋体"/>
                <w:color w:val="000000"/>
                <w:sz w:val="24"/>
                <w:szCs w:val="24"/>
              </w:rPr>
              <w:t>：</w:t>
            </w:r>
            <w:r>
              <w:rPr>
                <w:rFonts w:hint="eastAsia" w:ascii="宋体" w:hAnsi="宋体" w:cs="宋体"/>
                <w:color w:val="000000"/>
                <w:sz w:val="24"/>
                <w:szCs w:val="24"/>
                <w:lang w:eastAsia="zh-CN"/>
              </w:rPr>
              <w:t>陕西宸永项目管理有限公司</w:t>
            </w:r>
            <w:r>
              <w:rPr>
                <w:rFonts w:hint="eastAsia" w:ascii="宋体" w:hAnsi="宋体" w:eastAsia="宋体" w:cs="宋体"/>
                <w:color w:val="000000"/>
                <w:sz w:val="24"/>
                <w:szCs w:val="24"/>
              </w:rPr>
              <w:t xml:space="preserve"> </w:t>
            </w:r>
          </w:p>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地址：</w:t>
            </w:r>
            <w:r>
              <w:rPr>
                <w:rFonts w:hint="eastAsia" w:ascii="宋体" w:hAnsi="宋体" w:cs="宋体"/>
                <w:color w:val="000000"/>
                <w:sz w:val="24"/>
                <w:szCs w:val="24"/>
                <w:lang w:eastAsia="zh-CN"/>
              </w:rPr>
              <w:t>延安市新区盛世花园北区12号楼一单元802室</w:t>
            </w:r>
          </w:p>
          <w:p>
            <w:pPr>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sz w:val="24"/>
                <w:szCs w:val="24"/>
              </w:rPr>
              <w:t>联系人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杨工</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p>
          <w:p>
            <w:pPr>
              <w:spacing w:line="360" w:lineRule="auto"/>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联系方式</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 xml:space="preserve">0911-8688810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1.1.4</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sz w:val="24"/>
                <w:szCs w:val="24"/>
                <w:lang w:eastAsia="zh-CN"/>
              </w:rPr>
              <w:t>宜川县2019-2020年临时使用林地恢复造林项目施工二标段（二次）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资金来源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auto"/>
                <w:sz w:val="24"/>
                <w:szCs w:val="24"/>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出资比例</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项目预算</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1266558.03</w:t>
            </w:r>
            <w:r>
              <w:rPr>
                <w:rFonts w:hint="eastAsia" w:ascii="宋体" w:hAnsi="宋体" w:eastAsia="宋体" w:cs="宋体"/>
                <w:color w:val="000000"/>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1.2.4</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最高限价</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sz w:val="24"/>
                <w:szCs w:val="24"/>
                <w:lang w:eastAsia="zh-CN"/>
              </w:rPr>
            </w:pPr>
            <w:r>
              <w:rPr>
                <w:rFonts w:hint="eastAsia" w:ascii="宋体" w:hAnsi="宋体" w:cs="宋体"/>
                <w:color w:val="000000"/>
                <w:sz w:val="24"/>
                <w:szCs w:val="24"/>
                <w:lang w:eastAsia="zh-CN"/>
              </w:rPr>
              <w:t>磋商内容</w:t>
            </w:r>
          </w:p>
        </w:tc>
        <w:tc>
          <w:tcPr>
            <w:tcW w:w="7371" w:type="dxa"/>
            <w:tcBorders>
              <w:top w:val="single" w:color="auto" w:sz="4" w:space="0"/>
              <w:left w:val="single" w:color="auto" w:sz="4" w:space="0"/>
              <w:bottom w:val="single" w:color="auto" w:sz="4" w:space="0"/>
              <w:right w:val="single" w:color="auto" w:sz="4" w:space="0"/>
            </w:tcBorders>
            <w:vAlign w:val="bottom"/>
          </w:tcPr>
          <w:p>
            <w:pPr>
              <w:spacing w:line="360" w:lineRule="auto"/>
              <w:rPr>
                <w:rFonts w:hint="eastAsia" w:ascii="宋体" w:hAnsi="宋体" w:cs="宋体"/>
                <w:color w:val="000000"/>
                <w:sz w:val="24"/>
                <w:szCs w:val="24"/>
                <w:lang w:eastAsia="zh-CN"/>
              </w:rPr>
            </w:pPr>
            <w:r>
              <w:rPr>
                <w:rFonts w:hint="eastAsia" w:ascii="宋体" w:hAnsi="宋体" w:cs="宋体"/>
                <w:color w:val="000000"/>
                <w:sz w:val="24"/>
                <w:szCs w:val="24"/>
                <w:lang w:eastAsia="zh-CN"/>
              </w:rPr>
              <w:t>宜川县2019-2020年临时使用林地恢复造林项目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kern w:val="0"/>
                <w:sz w:val="24"/>
                <w:szCs w:val="24"/>
                <w:highlight w:val="none"/>
                <w:lang w:eastAsia="zh-CN"/>
                <w14:textFill>
                  <w14:solidFill>
                    <w14:schemeClr w14:val="tx1"/>
                  </w14:solidFill>
                </w14:textFill>
              </w:rPr>
            </w:pPr>
            <w:r>
              <w:rPr>
                <w:rFonts w:hint="eastAsia" w:ascii="宋体" w:hAnsi="宋体" w:cs="宋体"/>
                <w:color w:val="000000" w:themeColor="text1"/>
                <w:kern w:val="0"/>
                <w:sz w:val="24"/>
                <w:szCs w:val="24"/>
                <w:highlight w:val="none"/>
                <w:lang w:eastAsia="zh-CN"/>
                <w14:textFill>
                  <w14:solidFill>
                    <w14:schemeClr w14:val="tx1"/>
                  </w14:solidFill>
                </w14:textFill>
              </w:rPr>
              <w:t>工</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szCs w:val="24"/>
                <w:highlight w:val="none"/>
                <w:lang w:eastAsia="zh-CN"/>
                <w14:textFill>
                  <w14:solidFill>
                    <w14:schemeClr w14:val="tx1"/>
                  </w14:solidFill>
                </w14:textFill>
              </w:rPr>
              <w:t>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1.3.</w:t>
            </w:r>
            <w:r>
              <w:rPr>
                <w:rFonts w:hint="eastAsia" w:ascii="宋体" w:hAnsi="宋体" w:cs="宋体"/>
                <w:color w:val="auto"/>
                <w:sz w:val="24"/>
                <w:szCs w:val="24"/>
                <w:lang w:val="en-US" w:eastAsia="zh-CN"/>
              </w:rPr>
              <w:t>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质保期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供应商资质条件、能力和信誉</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具有独立承担民事责任能力的法人、其他组织或自然人，法人或其他组织提供营业执照（事业单位法人证书），自然人提供身份证明；</w:t>
            </w:r>
          </w:p>
          <w:p>
            <w:pPr>
              <w:numPr>
                <w:ilvl w:val="0"/>
                <w:numId w:val="3"/>
              </w:numPr>
              <w:autoSpaceDE w:val="0"/>
              <w:autoSpaceDN w:val="0"/>
              <w:adjustRightInd w:val="0"/>
              <w:spacing w:line="360" w:lineRule="auto"/>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提供营业执照、税务登记证、组织机构代码证或三证合一的营业执照（供应商无需提供营业执照年检报告，在资格审查时通过互联网或者相关信息系统查询）；</w:t>
            </w:r>
          </w:p>
          <w:p>
            <w:pPr>
              <w:numPr>
                <w:ilvl w:val="0"/>
                <w:numId w:val="0"/>
              </w:num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2.银行开户许可证或开户行基本信息；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.法定代表人授权委托书及被授权人身份证（法定代表人直接参加时，只须出示法定代表人身份证）；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.提供参加政府采购活动前3年内经营活动中没有重大违法记录声明；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5.税收缴纳证明：自</w:t>
            </w:r>
            <w:r>
              <w:rPr>
                <w:rFonts w:hint="eastAsia" w:ascii="宋体" w:hAnsi="宋体" w:cs="宋体"/>
                <w:color w:val="000000" w:themeColor="text1"/>
                <w:sz w:val="24"/>
                <w:szCs w:val="24"/>
                <w:lang w:val="en-US" w:eastAsia="zh-CN"/>
                <w14:textFill>
                  <w14:solidFill>
                    <w14:schemeClr w14:val="tx1"/>
                  </w14:solidFill>
                </w14:textFill>
              </w:rPr>
              <w:t>2023</w:t>
            </w:r>
            <w:r>
              <w:rPr>
                <w:rFonts w:hint="eastAsia"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月1日以来已缴纳的至少</w:t>
            </w: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eastAsia="宋体" w:cs="宋体"/>
                <w:color w:val="000000" w:themeColor="text1"/>
                <w:sz w:val="24"/>
                <w:szCs w:val="24"/>
                <w:lang w:val="en-US" w:eastAsia="zh-CN"/>
                <w14:textFill>
                  <w14:solidFill>
                    <w14:schemeClr w14:val="tx1"/>
                  </w14:solidFill>
                </w14:textFill>
              </w:rPr>
              <w:t>个月的纳税证明或完税证明，纳税证明或完税证明上应有代收机构或税务机关的公章。依法免税的供应商应提供相关文件证明；</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6.社会保障资金缴纳证明：自20</w:t>
            </w:r>
            <w:r>
              <w:rPr>
                <w:rFonts w:hint="eastAsia" w:ascii="宋体" w:hAnsi="宋体" w:cs="宋体"/>
                <w:color w:val="000000" w:themeColor="text1"/>
                <w:kern w:val="2"/>
                <w:sz w:val="24"/>
                <w:szCs w:val="24"/>
                <w:lang w:val="en-US" w:eastAsia="zh-CN" w:bidi="ar-SA"/>
                <w14:textFill>
                  <w14:solidFill>
                    <w14:schemeClr w14:val="tx1"/>
                  </w14:solidFill>
                </w14:textFill>
              </w:rPr>
              <w:t>23</w:t>
            </w:r>
            <w:r>
              <w:rPr>
                <w:rFonts w:hint="eastAsia" w:ascii="宋体" w:hAnsi="宋体" w:eastAsia="宋体" w:cs="宋体"/>
                <w:color w:val="000000" w:themeColor="text1"/>
                <w:kern w:val="2"/>
                <w:sz w:val="24"/>
                <w:szCs w:val="24"/>
                <w:lang w:val="en-US" w:eastAsia="zh-CN" w:bidi="ar-SA"/>
                <w14:textFill>
                  <w14:solidFill>
                    <w14:schemeClr w14:val="tx1"/>
                  </w14:solidFill>
                </w14:textFill>
              </w:rPr>
              <w:t>年</w:t>
            </w:r>
            <w:r>
              <w:rPr>
                <w:rFonts w:hint="eastAsia" w:ascii="宋体" w:hAnsi="宋体" w:cs="宋体"/>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color w:val="000000" w:themeColor="text1"/>
                <w:kern w:val="2"/>
                <w:sz w:val="24"/>
                <w:szCs w:val="24"/>
                <w:lang w:val="en-US" w:eastAsia="zh-CN" w:bidi="ar-SA"/>
                <w14:textFill>
                  <w14:solidFill>
                    <w14:schemeClr w14:val="tx1"/>
                  </w14:solidFill>
                </w14:textFill>
              </w:rPr>
              <w:t>月1日以来至少一个月的已缴存的社会保障资金缴存单据或社保机构开具的社会保险参保缴费情况证明。依法不需要缴纳社会保障资金的</w:t>
            </w:r>
            <w:r>
              <w:rPr>
                <w:rFonts w:hint="eastAsia" w:ascii="宋体" w:hAnsi="宋体" w:cs="宋体"/>
                <w:color w:val="000000" w:themeColor="text1"/>
                <w:kern w:val="2"/>
                <w:sz w:val="24"/>
                <w:szCs w:val="24"/>
                <w:lang w:val="en-US" w:eastAsia="zh-CN" w:bidi="ar-SA"/>
                <w14:textFill>
                  <w14:solidFill>
                    <w14:schemeClr w14:val="tx1"/>
                  </w14:solidFill>
                </w14:textFill>
              </w:rPr>
              <w:t>磋商</w:t>
            </w:r>
            <w:r>
              <w:rPr>
                <w:rFonts w:hint="eastAsia" w:ascii="宋体" w:hAnsi="宋体" w:eastAsia="宋体" w:cs="宋体"/>
                <w:color w:val="000000" w:themeColor="text1"/>
                <w:kern w:val="2"/>
                <w:sz w:val="24"/>
                <w:szCs w:val="24"/>
                <w:lang w:val="en-US" w:eastAsia="zh-CN" w:bidi="ar-SA"/>
                <w14:textFill>
                  <w14:solidFill>
                    <w14:schemeClr w14:val="tx1"/>
                  </w14:solidFill>
                </w14:textFill>
              </w:rPr>
              <w:t>供应商应提供相关文件证明；</w:t>
            </w:r>
          </w:p>
          <w:p>
            <w:pPr>
              <w:wordWrap/>
              <w:overflowPunct/>
              <w:topLinePunct w:val="0"/>
              <w:bidi w:val="0"/>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7.财务状况报告：</w:t>
            </w:r>
            <w:r>
              <w:rPr>
                <w:rFonts w:hint="eastAsia" w:ascii="宋体" w:hAnsi="宋体" w:cs="宋体"/>
                <w:color w:val="000000" w:themeColor="text1"/>
                <w:kern w:val="2"/>
                <w:sz w:val="24"/>
                <w:szCs w:val="24"/>
                <w:lang w:val="en-US" w:eastAsia="zh-CN" w:bidi="ar-SA"/>
                <w14:textFill>
                  <w14:solidFill>
                    <w14:schemeClr w14:val="tx1"/>
                  </w14:solidFill>
                </w14:textFill>
              </w:rPr>
              <w:t>提供2021</w:t>
            </w:r>
            <w:r>
              <w:rPr>
                <w:rFonts w:hint="eastAsia" w:ascii="宋体" w:hAnsi="宋体" w:eastAsia="宋体" w:cs="宋体"/>
                <w:color w:val="000000" w:themeColor="text1"/>
                <w:kern w:val="2"/>
                <w:sz w:val="24"/>
                <w:szCs w:val="24"/>
                <w:lang w:val="en-US" w:eastAsia="zh-CN" w:bidi="ar-SA"/>
                <w14:textFill>
                  <w14:solidFill>
                    <w14:schemeClr w14:val="tx1"/>
                  </w14:solidFill>
                </w14:textFill>
              </w:rPr>
              <w:t>或20</w:t>
            </w:r>
            <w:r>
              <w:rPr>
                <w:rFonts w:hint="eastAsia" w:ascii="宋体" w:hAnsi="宋体" w:cs="宋体"/>
                <w:color w:val="000000" w:themeColor="text1"/>
                <w:kern w:val="2"/>
                <w:sz w:val="24"/>
                <w:szCs w:val="24"/>
                <w:lang w:val="en-US" w:eastAsia="zh-CN" w:bidi="ar-SA"/>
                <w14:textFill>
                  <w14:solidFill>
                    <w14:schemeClr w14:val="tx1"/>
                  </w14:solidFill>
                </w14:textFill>
              </w:rPr>
              <w:t>22</w:t>
            </w:r>
            <w:r>
              <w:rPr>
                <w:rFonts w:hint="eastAsia" w:ascii="宋体" w:hAnsi="宋体" w:eastAsia="宋体" w:cs="宋体"/>
                <w:color w:val="000000" w:themeColor="text1"/>
                <w:kern w:val="2"/>
                <w:sz w:val="24"/>
                <w:szCs w:val="24"/>
                <w:lang w:val="en-US" w:eastAsia="zh-CN" w:bidi="ar-SA"/>
                <w14:textFill>
                  <w14:solidFill>
                    <w14:schemeClr w14:val="tx1"/>
                  </w14:solidFill>
                </w14:textFill>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8</w:t>
            </w:r>
            <w:r>
              <w:rPr>
                <w:rFonts w:hint="eastAsia" w:ascii="宋体" w:hAnsi="宋体" w:eastAsia="宋体" w:cs="宋体"/>
                <w:color w:val="000000" w:themeColor="text1"/>
                <w:kern w:val="2"/>
                <w:sz w:val="24"/>
                <w:szCs w:val="24"/>
                <w:lang w:val="en-US" w:eastAsia="zh-CN" w:bidi="ar-SA"/>
                <w14:textFill>
                  <w14:solidFill>
                    <w14:schemeClr w14:val="tx1"/>
                  </w14:solidFill>
                </w14:textFill>
              </w:rPr>
              <w:t>.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lang w:val="en-US" w:eastAsia="zh-CN"/>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9.提供磋商保证金的银行转账或电汇凭证并确保响应文件递交截止时间前到达采购文件指定账户；</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10</w:t>
            </w:r>
            <w:r>
              <w:rPr>
                <w:rFonts w:hint="eastAsia" w:ascii="宋体" w:hAnsi="宋体" w:eastAsia="宋体" w:cs="宋体"/>
                <w:color w:val="000000" w:themeColor="text1"/>
                <w:kern w:val="2"/>
                <w:sz w:val="24"/>
                <w:szCs w:val="24"/>
                <w:lang w:val="en-US" w:eastAsia="zh-CN" w:bidi="ar-SA"/>
                <w14:textFill>
                  <w14:solidFill>
                    <w14:schemeClr w14:val="tx1"/>
                  </w14:solidFill>
                </w14:textFill>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是否接受</w:t>
            </w:r>
          </w:p>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联合体</w:t>
            </w:r>
            <w:r>
              <w:rPr>
                <w:rFonts w:hint="eastAsia" w:ascii="宋体" w:hAnsi="宋体" w:cs="宋体"/>
                <w:color w:val="000000" w:themeColor="text1"/>
                <w:sz w:val="24"/>
                <w:szCs w:val="24"/>
                <w:lang w:eastAsia="zh-CN"/>
                <w14:textFill>
                  <w14:solidFill>
                    <w14:schemeClr w14:val="tx1"/>
                  </w14:solidFill>
                </w14:textFill>
              </w:rPr>
              <w:t>磋商</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预备会</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不召开</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预备会，相关事宜以招标答疑方式进行。</w:t>
            </w:r>
          </w:p>
          <w:p>
            <w:pPr>
              <w:spacing w:line="360" w:lineRule="auto"/>
              <w:rPr>
                <w:rFonts w:hint="eastAsia" w:ascii="宋体" w:hAnsi="宋体" w:eastAsia="宋体" w:cs="宋体"/>
                <w:color w:val="000000" w:themeColor="text1"/>
                <w:sz w:val="24"/>
                <w:szCs w:val="24"/>
                <w14:textFill>
                  <w14:solidFill>
                    <w14:schemeClr w14:val="tx1"/>
                  </w14:solidFill>
                </w14:textFill>
              </w:rPr>
            </w:pPr>
            <w:bookmarkStart w:id="10" w:name="_Toc343511299"/>
            <w:r>
              <w:rPr>
                <w:rFonts w:hint="eastAsia" w:ascii="宋体" w:hAnsi="宋体" w:eastAsia="宋体" w:cs="宋体"/>
                <w:color w:val="000000" w:themeColor="text1"/>
                <w:sz w:val="24"/>
                <w:szCs w:val="24"/>
                <w14:textFill>
                  <w14:solidFill>
                    <w14:schemeClr w14:val="tx1"/>
                  </w14:solidFill>
                </w14:textFill>
              </w:rPr>
              <w:t>供应商需以书面形式向</w:t>
            </w:r>
            <w:r>
              <w:rPr>
                <w:rFonts w:hint="eastAsia" w:ascii="宋体" w:hAnsi="宋体" w:eastAsia="宋体" w:cs="宋体"/>
                <w:color w:val="000000" w:themeColor="text1"/>
                <w:sz w:val="24"/>
                <w:szCs w:val="24"/>
                <w:lang w:eastAsia="zh-CN"/>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提交需澄清或答疑的问题，同时将澄清或答疑问题的电子版发至</w:t>
            </w:r>
            <w:r>
              <w:rPr>
                <w:rFonts w:hint="eastAsia" w:ascii="宋体" w:hAnsi="宋体" w:eastAsia="宋体" w:cs="宋体"/>
                <w:color w:val="000000" w:themeColor="text1"/>
                <w:sz w:val="24"/>
                <w:szCs w:val="24"/>
                <w:lang w:eastAsia="zh-CN"/>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机构电子邮箱：</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"mailto:sxzb9@126.com"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lang w:val="en-US" w:eastAsia="zh-CN"/>
                <w14:textFill>
                  <w14:solidFill>
                    <w14:schemeClr w14:val="tx1"/>
                  </w14:solidFill>
                </w14:textFill>
              </w:rPr>
              <w:t>471993164@qq.com</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，采购人和代理机构负责做出统一解答和必要澄清后，以书面的《招标答疑纪要》发送各供应商。</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供应商提出问题的截止时间</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sz w:val="24"/>
                <w:szCs w:val="24"/>
              </w:rPr>
              <w:t>提交首次响应文件截止之日3个工作日前，以书面形式提交至采购代理机构（并将电子版发至</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"mailto:sxzb9@126.com" </w:instrText>
            </w:r>
            <w:r>
              <w:rPr>
                <w:rFonts w:hint="eastAsia" w:ascii="宋体" w:hAnsi="宋体" w:eastAsia="宋体" w:cs="宋体"/>
                <w:color w:val="000000"/>
                <w:sz w:val="24"/>
                <w:szCs w:val="24"/>
              </w:rPr>
              <w:fldChar w:fldCharType="separate"/>
            </w:r>
            <w:r>
              <w:rPr>
                <w:rFonts w:hint="eastAsia" w:ascii="宋体" w:hAnsi="宋体" w:cs="宋体"/>
                <w:color w:val="000000" w:themeColor="text1"/>
                <w:sz w:val="24"/>
                <w:szCs w:val="24"/>
                <w:lang w:val="en-US" w:eastAsia="zh-CN"/>
                <w14:textFill>
                  <w14:solidFill>
                    <w14:schemeClr w14:val="tx1"/>
                  </w14:solidFill>
                </w14:textFill>
              </w:rPr>
              <w:t>471993164@qq.com</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），逾期不再接受。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1.10</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是否接受</w:t>
            </w:r>
          </w:p>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不接受分包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采购人澄清磋商文件的截止时间</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提交首次响应文件截止之日3个工作日前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提交首次响应文件截止之日</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4"/>
                <w:szCs w:val="24"/>
                <w:lang w:val="en-US"/>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2023年 12 月</w:t>
            </w:r>
            <w:r>
              <w:rPr>
                <w:rFonts w:hint="eastAsia" w:ascii="宋体" w:hAnsi="宋体" w:cs="宋体"/>
                <w:color w:val="000000" w:themeColor="text1"/>
                <w:sz w:val="24"/>
                <w:szCs w:val="24"/>
                <w:lang w:val="en-US" w:eastAsia="zh-CN"/>
                <w14:textFill>
                  <w14:solidFill>
                    <w14:schemeClr w14:val="tx1"/>
                  </w14:solidFill>
                </w14:textFill>
              </w:rPr>
              <w:t>29</w:t>
            </w:r>
            <w:r>
              <w:rPr>
                <w:rFonts w:hint="default" w:ascii="宋体" w:hAnsi="宋体" w:eastAsia="宋体" w:cs="宋体"/>
                <w:color w:val="000000" w:themeColor="text1"/>
                <w:sz w:val="24"/>
                <w:szCs w:val="24"/>
                <w:lang w:val="en-US" w:eastAsia="zh-CN"/>
                <w14:textFill>
                  <w14:solidFill>
                    <w14:schemeClr w14:val="tx1"/>
                  </w14:solidFill>
                </w14:textFill>
              </w:rPr>
              <w:t>日  14 时 30 分 00  秒（北京时间）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供应商确认收到磋商文件澄清的时间</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磋商文件澄清发出后当日内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供应商确认收到磋商文件修改的时间</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磋商文件修改发出后当日内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3.3.1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磋商有效期</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90日历天（从磋商响应文件截止之日算起）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3.4.1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磋商保证金</w:t>
            </w:r>
          </w:p>
        </w:tc>
        <w:tc>
          <w:tcPr>
            <w:tcW w:w="7371" w:type="dxa"/>
            <w:tcBorders>
              <w:top w:val="single" w:color="auto" w:sz="4" w:space="0"/>
              <w:left w:val="single" w:color="auto" w:sz="4" w:space="0"/>
              <w:bottom w:val="single" w:color="auto" w:sz="4" w:space="0"/>
              <w:right w:val="single" w:color="auto" w:sz="4" w:space="0"/>
            </w:tcBorders>
            <w:vAlign w:val="center"/>
          </w:tcPr>
          <w:p>
            <w:pPr>
              <w:pageBreakBefore w:val="0"/>
              <w:widowControl w:val="0"/>
              <w:wordWrap/>
              <w:topLinePunct w:val="0"/>
              <w:bidi w:val="0"/>
              <w:spacing w:line="360" w:lineRule="auto"/>
              <w:jc w:val="both"/>
              <w:rPr>
                <w:rFonts w:hint="eastAsia" w:ascii="宋体" w:hAnsi="宋体" w:eastAsia="宋体" w:cs="宋体"/>
                <w:b/>
                <w:bCs/>
                <w:color w:val="auto"/>
                <w:kern w:val="2"/>
                <w:sz w:val="24"/>
                <w:szCs w:val="24"/>
                <w:u w:val="none"/>
                <w:lang w:eastAsia="zh-CN"/>
              </w:rPr>
            </w:pPr>
            <w:r>
              <w:rPr>
                <w:rFonts w:hint="eastAsia" w:ascii="宋体" w:hAnsi="宋体" w:eastAsia="宋体" w:cs="宋体"/>
                <w:b/>
                <w:bCs/>
                <w:color w:val="auto"/>
                <w:kern w:val="2"/>
                <w:sz w:val="24"/>
                <w:szCs w:val="24"/>
                <w:lang w:val="en-US" w:eastAsia="zh-CN"/>
              </w:rPr>
              <w:t>磋商</w:t>
            </w:r>
            <w:r>
              <w:rPr>
                <w:rFonts w:hint="eastAsia" w:ascii="宋体" w:hAnsi="宋体" w:eastAsia="宋体" w:cs="宋体"/>
                <w:b/>
                <w:bCs/>
                <w:color w:val="auto"/>
                <w:kern w:val="2"/>
                <w:sz w:val="24"/>
                <w:szCs w:val="24"/>
              </w:rPr>
              <w:t>保证金：</w:t>
            </w:r>
            <w:r>
              <w:rPr>
                <w:rFonts w:hint="eastAsia" w:ascii="宋体" w:hAnsi="宋体" w:eastAsia="宋体" w:cs="宋体"/>
                <w:b/>
                <w:bCs/>
                <w:color w:val="auto"/>
                <w:kern w:val="2"/>
                <w:sz w:val="24"/>
                <w:szCs w:val="24"/>
                <w:lang w:val="en-US" w:eastAsia="zh-CN"/>
              </w:rPr>
              <w:t>10000.00</w:t>
            </w:r>
            <w:r>
              <w:rPr>
                <w:rFonts w:hint="eastAsia" w:ascii="宋体" w:hAnsi="宋体" w:eastAsia="宋体" w:cs="宋体"/>
                <w:b/>
                <w:bCs/>
                <w:color w:val="auto"/>
                <w:kern w:val="2"/>
                <w:sz w:val="24"/>
                <w:szCs w:val="24"/>
                <w:u w:val="none"/>
              </w:rPr>
              <w:t>元整</w:t>
            </w:r>
            <w:r>
              <w:rPr>
                <w:rFonts w:hint="eastAsia" w:ascii="宋体" w:hAnsi="宋体" w:eastAsia="宋体" w:cs="宋体"/>
                <w:b/>
                <w:bCs/>
                <w:color w:val="auto"/>
                <w:kern w:val="2"/>
                <w:sz w:val="24"/>
                <w:szCs w:val="24"/>
                <w:u w:val="none"/>
                <w:lang w:eastAsia="zh-CN"/>
              </w:rPr>
              <w:t>（</w:t>
            </w:r>
            <w:r>
              <w:rPr>
                <w:rFonts w:hint="eastAsia" w:ascii="宋体" w:hAnsi="宋体" w:eastAsia="宋体" w:cs="宋体"/>
                <w:b/>
                <w:bCs/>
                <w:color w:val="auto"/>
                <w:kern w:val="2"/>
                <w:sz w:val="24"/>
                <w:szCs w:val="24"/>
                <w:u w:val="none"/>
                <w:lang w:val="en-US" w:eastAsia="zh-CN"/>
              </w:rPr>
              <w:t>壹万元整</w:t>
            </w:r>
            <w:r>
              <w:rPr>
                <w:rFonts w:hint="eastAsia" w:ascii="宋体" w:hAnsi="宋体" w:eastAsia="宋体" w:cs="宋体"/>
                <w:b/>
                <w:bCs/>
                <w:color w:val="auto"/>
                <w:kern w:val="2"/>
                <w:sz w:val="24"/>
                <w:szCs w:val="24"/>
                <w:u w:val="none"/>
                <w:lang w:eastAsia="zh-CN"/>
              </w:rPr>
              <w:t>）</w:t>
            </w:r>
          </w:p>
          <w:p>
            <w:pPr>
              <w:pStyle w:val="17"/>
              <w:pageBreakBefore w:val="0"/>
              <w:wordWrap/>
              <w:topLinePunct w:val="0"/>
              <w:bidi w:val="0"/>
              <w:spacing w:line="360" w:lineRule="auto"/>
              <w:ind w:left="0" w:leftChars="0" w:firstLine="0" w:firstLineChars="0"/>
              <w:jc w:val="both"/>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SA"/>
              </w:rPr>
              <w:t>备注：</w:t>
            </w:r>
            <w:r>
              <w:rPr>
                <w:rFonts w:hint="eastAsia" w:ascii="宋体" w:hAnsi="宋体" w:cs="宋体"/>
                <w:b/>
                <w:bCs/>
                <w:color w:val="auto"/>
                <w:kern w:val="2"/>
                <w:sz w:val="24"/>
                <w:szCs w:val="24"/>
                <w:lang w:val="en-US" w:eastAsia="zh-CN" w:bidi="ar-SA"/>
              </w:rPr>
              <w:t>SXCY2023-55</w:t>
            </w:r>
            <w:r>
              <w:rPr>
                <w:rFonts w:hint="eastAsia" w:ascii="宋体" w:hAnsi="宋体" w:eastAsia="宋体" w:cs="宋体"/>
                <w:b/>
                <w:bCs/>
                <w:color w:val="auto"/>
                <w:kern w:val="2"/>
                <w:sz w:val="24"/>
                <w:szCs w:val="24"/>
                <w:lang w:val="en-US" w:eastAsia="zh-CN" w:bidi="ar-SA"/>
              </w:rPr>
              <w:t>磋商保证金</w:t>
            </w:r>
          </w:p>
          <w:p>
            <w:pPr>
              <w:pageBreakBefore w:val="0"/>
              <w:widowControl w:val="0"/>
              <w:wordWrap/>
              <w:topLinePunct w:val="0"/>
              <w:bidi w:val="0"/>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rPr>
              <w:t>磋商</w:t>
            </w:r>
            <w:r>
              <w:rPr>
                <w:rFonts w:hint="eastAsia" w:ascii="宋体" w:hAnsi="宋体" w:eastAsia="宋体" w:cs="宋体"/>
                <w:color w:val="auto"/>
                <w:kern w:val="2"/>
                <w:sz w:val="24"/>
                <w:szCs w:val="24"/>
              </w:rPr>
              <w:t>保证金有效期限：</w:t>
            </w:r>
            <w:r>
              <w:rPr>
                <w:rFonts w:hint="eastAsia" w:ascii="宋体" w:hAnsi="宋体" w:eastAsia="宋体" w:cs="宋体"/>
                <w:color w:val="auto"/>
                <w:kern w:val="2"/>
                <w:sz w:val="24"/>
                <w:szCs w:val="24"/>
                <w:lang w:val="en-US" w:eastAsia="zh-CN"/>
              </w:rPr>
              <w:t>磋商</w:t>
            </w:r>
            <w:r>
              <w:rPr>
                <w:rFonts w:hint="eastAsia" w:ascii="宋体" w:hAnsi="宋体" w:eastAsia="宋体" w:cs="宋体"/>
                <w:color w:val="auto"/>
                <w:kern w:val="2"/>
                <w:sz w:val="24"/>
                <w:szCs w:val="24"/>
              </w:rPr>
              <w:t>保证金的有效期与</w:t>
            </w:r>
            <w:r>
              <w:rPr>
                <w:rFonts w:hint="eastAsia" w:ascii="宋体" w:hAnsi="宋体" w:eastAsia="宋体" w:cs="宋体"/>
                <w:color w:val="auto"/>
                <w:kern w:val="2"/>
                <w:sz w:val="24"/>
                <w:szCs w:val="24"/>
                <w:lang w:val="en-US" w:eastAsia="zh-CN"/>
              </w:rPr>
              <w:t>磋商</w:t>
            </w:r>
            <w:r>
              <w:rPr>
                <w:rFonts w:hint="eastAsia" w:ascii="宋体" w:hAnsi="宋体" w:eastAsia="宋体" w:cs="宋体"/>
                <w:color w:val="auto"/>
                <w:kern w:val="2"/>
                <w:sz w:val="24"/>
                <w:szCs w:val="24"/>
              </w:rPr>
              <w:t>有效期一致。</w:t>
            </w:r>
          </w:p>
          <w:p>
            <w:pPr>
              <w:pageBreakBefore w:val="0"/>
              <w:tabs>
                <w:tab w:val="left" w:pos="0"/>
              </w:tabs>
              <w:kinsoku w:val="0"/>
              <w:wordWrap/>
              <w:topLinePunct w:val="0"/>
              <w:bidi w:val="0"/>
              <w:spacing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交款方式：</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保证金应当以银行网银转账、支票、汇票、本票</w:t>
            </w:r>
            <w:r>
              <w:rPr>
                <w:rFonts w:hint="eastAsia" w:ascii="宋体" w:hAnsi="宋体" w:eastAsia="宋体" w:cs="宋体"/>
                <w:color w:val="auto"/>
                <w:sz w:val="24"/>
                <w:szCs w:val="24"/>
                <w:lang w:eastAsia="zh-CN"/>
              </w:rPr>
              <w:t>、保函</w:t>
            </w:r>
            <w:r>
              <w:rPr>
                <w:rFonts w:hint="eastAsia" w:ascii="宋体" w:hAnsi="宋体" w:eastAsia="宋体" w:cs="宋体"/>
                <w:color w:val="auto"/>
                <w:sz w:val="24"/>
                <w:szCs w:val="24"/>
              </w:rPr>
              <w:t>等非现金形式提交。供应商未按照采购文件要求提交</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保证金的，响应文件无效。请</w:t>
            </w:r>
            <w:r>
              <w:rPr>
                <w:rFonts w:hint="eastAsia" w:ascii="宋体" w:hAnsi="宋体" w:eastAsia="宋体" w:cs="宋体"/>
                <w:color w:val="auto"/>
                <w:sz w:val="24"/>
                <w:szCs w:val="24"/>
                <w:lang w:eastAsia="zh-CN"/>
              </w:rPr>
              <w:t>供应商在响应文件递交截止时间</w:t>
            </w:r>
            <w:r>
              <w:rPr>
                <w:rFonts w:hint="eastAsia" w:ascii="宋体" w:hAnsi="宋体" w:eastAsia="宋体" w:cs="宋体"/>
                <w:color w:val="auto"/>
                <w:sz w:val="24"/>
                <w:szCs w:val="24"/>
                <w:lang w:val="en-US" w:eastAsia="zh-CN"/>
              </w:rPr>
              <w:t>前将磋商保证金由公司账户（磋商保证金的交付单位和投标供应商的名称必须一致）缴纳到下列账户：</w:t>
            </w:r>
          </w:p>
          <w:p>
            <w:pPr>
              <w:pageBreakBefore w:val="0"/>
              <w:tabs>
                <w:tab w:val="left" w:pos="0"/>
              </w:tabs>
              <w:kinsoku w:val="0"/>
              <w:wordWrap/>
              <w:topLinePunct w:val="0"/>
              <w:bidi w:val="0"/>
              <w:spacing w:line="360" w:lineRule="auto"/>
              <w:ind w:firstLine="482" w:firstLineChars="200"/>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开户单位：</w:t>
            </w:r>
            <w:r>
              <w:rPr>
                <w:rFonts w:hint="eastAsia" w:ascii="宋体" w:hAnsi="宋体" w:eastAsia="宋体" w:cs="宋体"/>
                <w:b/>
                <w:bCs/>
                <w:color w:val="auto"/>
                <w:sz w:val="24"/>
                <w:szCs w:val="24"/>
                <w:lang w:eastAsia="zh-CN"/>
              </w:rPr>
              <w:t>陕西宸永项目管理有限公司</w:t>
            </w:r>
          </w:p>
          <w:p>
            <w:pPr>
              <w:pageBreakBefore w:val="0"/>
              <w:tabs>
                <w:tab w:val="left" w:pos="0"/>
              </w:tabs>
              <w:kinsoku w:val="0"/>
              <w:wordWrap/>
              <w:topLinePunct w:val="0"/>
              <w:bidi w:val="0"/>
              <w:spacing w:line="360" w:lineRule="auto"/>
              <w:ind w:firstLine="482" w:firstLineChars="200"/>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开户行名称：</w:t>
            </w:r>
            <w:r>
              <w:rPr>
                <w:rFonts w:hint="eastAsia" w:ascii="宋体" w:hAnsi="宋体" w:eastAsia="宋体" w:cs="宋体"/>
                <w:b/>
                <w:bCs/>
                <w:color w:val="auto"/>
                <w:sz w:val="24"/>
                <w:szCs w:val="24"/>
                <w:lang w:val="en-US" w:eastAsia="zh-CN"/>
              </w:rPr>
              <w:t>中国建设银行股份有限公司延安马家湾支行</w:t>
            </w:r>
          </w:p>
          <w:p>
            <w:pPr>
              <w:ind w:firstLine="482"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bCs/>
                <w:color w:val="auto"/>
                <w:sz w:val="24"/>
                <w:szCs w:val="24"/>
              </w:rPr>
              <w:t>账      号：</w:t>
            </w:r>
            <w:r>
              <w:rPr>
                <w:rFonts w:hint="eastAsia" w:ascii="宋体" w:hAnsi="宋体" w:eastAsia="宋体" w:cs="宋体"/>
                <w:b/>
                <w:bCs/>
                <w:color w:val="auto"/>
                <w:sz w:val="24"/>
                <w:szCs w:val="24"/>
                <w:lang w:val="en-US" w:eastAsia="zh-CN"/>
              </w:rPr>
              <w:t>61050168980000000758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3.6</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是否允许递交</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备选</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方案</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3.7.3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签字或盖章要求</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sz w:val="24"/>
                <w:szCs w:val="24"/>
              </w:rPr>
              <w:t>响应文件正、副本必须逐页加盖公章</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鲜章</w:t>
            </w:r>
            <w:r>
              <w:rPr>
                <w:rFonts w:hint="eastAsia" w:ascii="宋体" w:hAnsi="宋体" w:cs="宋体"/>
                <w:color w:val="000000"/>
                <w:sz w:val="24"/>
                <w:szCs w:val="24"/>
                <w:lang w:eastAsia="zh-CN"/>
              </w:rPr>
              <w:t>）</w:t>
            </w:r>
            <w:r>
              <w:rPr>
                <w:rFonts w:hint="eastAsia" w:ascii="宋体" w:hAnsi="宋体" w:eastAsia="宋体" w:cs="宋体"/>
                <w:color w:val="000000"/>
                <w:sz w:val="24"/>
                <w:szCs w:val="24"/>
              </w:rPr>
              <w:t>并经法定代表人或其委托代理人</w:t>
            </w:r>
            <w:r>
              <w:rPr>
                <w:rFonts w:hint="eastAsia" w:ascii="宋体" w:hAnsi="宋体" w:eastAsia="宋体" w:cs="宋体"/>
                <w:color w:val="000000"/>
                <w:sz w:val="24"/>
                <w:szCs w:val="24"/>
                <w:lang w:eastAsia="zh-CN"/>
              </w:rPr>
              <w:t>在指定页面</w:t>
            </w:r>
            <w:r>
              <w:rPr>
                <w:rFonts w:hint="eastAsia" w:ascii="宋体" w:hAnsi="宋体" w:eastAsia="宋体" w:cs="宋体"/>
                <w:color w:val="000000"/>
                <w:sz w:val="24"/>
                <w:szCs w:val="24"/>
              </w:rPr>
              <w:t>签字或盖章</w:t>
            </w:r>
            <w:r>
              <w:rPr>
                <w:rFonts w:hint="eastAsia" w:ascii="宋体" w:hAnsi="宋体" w:eastAsia="宋体" w:cs="宋体"/>
                <w:color w:val="000000" w:themeColor="text1"/>
                <w:sz w:val="24"/>
                <w:szCs w:val="24"/>
                <w14:textFill>
                  <w14:solidFill>
                    <w14:schemeClr w14:val="tx1"/>
                  </w14:solidFill>
                </w14:textFill>
              </w:rPr>
              <w:t>。由委托代理人签字或盖章的在响应文件中须同时提交响应文件签署授权委托书。除</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供应商对错误处须修改外，全套响应文件应无涂改或行间插字和增删。如有修改，修改处应由</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供应商加盖单位公章或由公司法人或授权代理签字或盖章。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3.7.4</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磋商响应文件副本份数</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文件正本壹份、副本</w:t>
            </w:r>
            <w:r>
              <w:rPr>
                <w:rFonts w:hint="eastAsia" w:ascii="宋体" w:hAnsi="宋体" w:cs="宋体"/>
                <w:color w:val="000000" w:themeColor="text1"/>
                <w:sz w:val="24"/>
                <w:szCs w:val="24"/>
                <w:lang w:eastAsia="zh-CN"/>
                <w14:textFill>
                  <w14:solidFill>
                    <w14:schemeClr w14:val="tx1"/>
                  </w14:solidFill>
                </w14:textFill>
              </w:rPr>
              <w:t>贰</w:t>
            </w:r>
            <w:r>
              <w:rPr>
                <w:rFonts w:hint="eastAsia" w:ascii="宋体" w:hAnsi="宋体" w:eastAsia="宋体" w:cs="宋体"/>
                <w:color w:val="000000" w:themeColor="text1"/>
                <w:sz w:val="24"/>
                <w:szCs w:val="24"/>
                <w14:textFill>
                  <w14:solidFill>
                    <w14:schemeClr w14:val="tx1"/>
                  </w14:solidFill>
                </w14:textFill>
              </w:rPr>
              <w:t>份</w:t>
            </w:r>
            <w:r>
              <w:rPr>
                <w:rFonts w:hint="eastAsia" w:ascii="宋体" w:hAnsi="宋体" w:eastAsia="宋体" w:cs="宋体"/>
                <w:color w:val="000000" w:themeColor="text1"/>
                <w:sz w:val="24"/>
                <w:szCs w:val="24"/>
                <w:lang w:eastAsia="zh-CN"/>
                <w14:textFill>
                  <w14:solidFill>
                    <w14:schemeClr w14:val="tx1"/>
                  </w14:solidFill>
                </w14:textFill>
              </w:rPr>
              <w:t>、资格证明文件壹份</w:t>
            </w:r>
            <w:r>
              <w:rPr>
                <w:rFonts w:hint="eastAsia" w:ascii="宋体" w:hAnsi="宋体" w:eastAsia="宋体" w:cs="宋体"/>
                <w:color w:val="000000" w:themeColor="text1"/>
                <w:sz w:val="24"/>
                <w:szCs w:val="24"/>
                <w14:textFill>
                  <w14:solidFill>
                    <w14:schemeClr w14:val="tx1"/>
                  </w14:solidFill>
                </w14:textFill>
              </w:rPr>
              <w:t>。</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文件电子</w:t>
            </w:r>
            <w:r>
              <w:rPr>
                <w:rFonts w:hint="eastAsia" w:ascii="宋体" w:hAnsi="宋体" w:eastAsia="宋体" w:cs="宋体"/>
                <w:color w:val="000000" w:themeColor="text1"/>
                <w:sz w:val="24"/>
                <w:szCs w:val="24"/>
                <w:lang w:val="en-US" w:eastAsia="zh-CN"/>
                <w14:textFill>
                  <w14:solidFill>
                    <w14:schemeClr w14:val="tx1"/>
                  </w14:solidFill>
                </w14:textFill>
              </w:rPr>
              <w:t>U</w:t>
            </w:r>
            <w:r>
              <w:rPr>
                <w:rFonts w:hint="eastAsia" w:ascii="宋体" w:hAnsi="宋体" w:eastAsia="宋体" w:cs="宋体"/>
                <w:color w:val="000000" w:themeColor="text1"/>
                <w:sz w:val="24"/>
                <w:szCs w:val="24"/>
                <w14:textFill>
                  <w14:solidFill>
                    <w14:schemeClr w14:val="tx1"/>
                  </w14:solidFill>
                </w14:textFill>
              </w:rPr>
              <w:t>盘壹份</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lang w:eastAsia="zh-CN"/>
                <w14:textFill>
                  <w14:solidFill>
                    <w14:schemeClr w14:val="tx1"/>
                  </w14:solidFill>
                </w14:textFill>
              </w:rPr>
              <w:t>文件</w:t>
            </w:r>
            <w:r>
              <w:rPr>
                <w:rFonts w:hint="eastAsia" w:ascii="宋体" w:hAnsi="宋体" w:eastAsia="宋体" w:cs="宋体"/>
                <w:color w:val="000000" w:themeColor="text1"/>
                <w:sz w:val="24"/>
                <w:szCs w:val="24"/>
                <w:lang w:val="en-US" w:eastAsia="zh-CN"/>
                <w14:textFill>
                  <w14:solidFill>
                    <w14:schemeClr w14:val="tx1"/>
                  </w14:solidFill>
                </w14:textFill>
              </w:rPr>
              <w:t>Word和PDF各</w:t>
            </w:r>
            <w:r>
              <w:rPr>
                <w:rFonts w:hint="eastAsia" w:ascii="宋体" w:hAnsi="宋体" w:cs="宋体"/>
                <w:color w:val="000000" w:themeColor="text1"/>
                <w:sz w:val="24"/>
                <w:szCs w:val="24"/>
                <w:lang w:val="en-US" w:eastAsia="zh-CN"/>
                <w14:textFill>
                  <w14:solidFill>
                    <w14:schemeClr w14:val="tx1"/>
                  </w14:solidFill>
                </w14:textFill>
              </w:rPr>
              <w:t>壹</w:t>
            </w:r>
            <w:r>
              <w:rPr>
                <w:rFonts w:hint="eastAsia" w:ascii="宋体" w:hAnsi="宋体" w:eastAsia="宋体" w:cs="宋体"/>
                <w:color w:val="000000" w:themeColor="text1"/>
                <w:sz w:val="24"/>
                <w:szCs w:val="24"/>
                <w:lang w:val="en-US" w:eastAsia="zh-CN"/>
                <w14:textFill>
                  <w14:solidFill>
                    <w14:schemeClr w14:val="tx1"/>
                  </w14:solidFill>
                </w14:textFill>
              </w:rPr>
              <w:t>份</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，单独密封随</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文件一同递交。</w:t>
            </w:r>
            <w:r>
              <w:rPr>
                <w:rFonts w:hint="eastAsia" w:ascii="宋体" w:hAnsi="宋体" w:eastAsia="宋体" w:cs="宋体"/>
                <w:color w:val="000000" w:themeColor="text1"/>
                <w:sz w:val="24"/>
                <w:szCs w:val="24"/>
                <w:lang w:val="en-US" w:eastAsia="zh-CN"/>
                <w14:textFill>
                  <w14:solidFill>
                    <w14:schemeClr w14:val="tx1"/>
                  </w14:solidFill>
                </w14:textFill>
              </w:rPr>
              <w:t>U盘名称为</w:t>
            </w:r>
            <w:r>
              <w:rPr>
                <w:rFonts w:hint="eastAsia" w:ascii="宋体" w:hAnsi="宋体" w:eastAsia="宋体" w:cs="宋体"/>
                <w:color w:val="000000" w:themeColor="text1"/>
                <w:sz w:val="24"/>
                <w:szCs w:val="24"/>
                <w14:textFill>
                  <w14:solidFill>
                    <w14:schemeClr w14:val="tx1"/>
                  </w14:solidFill>
                </w14:textFill>
              </w:rPr>
              <w:t>供应商名称</w:t>
            </w:r>
            <w:r>
              <w:rPr>
                <w:rFonts w:hint="eastAsia" w:ascii="宋体" w:hAnsi="宋体" w:eastAsia="宋体" w:cs="宋体"/>
                <w:color w:val="000000" w:themeColor="text1"/>
                <w:sz w:val="24"/>
                <w:szCs w:val="24"/>
                <w:lang w:eastAsia="zh-CN"/>
                <w14:textFill>
                  <w14:solidFill>
                    <w14:schemeClr w14:val="tx1"/>
                  </w14:solidFill>
                </w14:textFill>
              </w:rPr>
              <w:t>，不按要求按废标处理</w:t>
            </w:r>
            <w:r>
              <w:rPr>
                <w:rFonts w:hint="eastAsia" w:ascii="宋体" w:hAnsi="宋体" w:eastAsia="宋体" w:cs="宋体"/>
                <w:color w:val="000000" w:themeColor="text1"/>
                <w:sz w:val="24"/>
                <w:szCs w:val="24"/>
                <w14:textFill>
                  <w14:solidFill>
                    <w14:schemeClr w14:val="tx1"/>
                  </w14:solidFill>
                </w14:textFill>
              </w:rPr>
              <w:t>。</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未按上述要求提供的，采购人或采购代理机构有权拒收其</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文件，其</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按无效</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封套上写明</w:t>
            </w:r>
          </w:p>
        </w:tc>
        <w:tc>
          <w:tcPr>
            <w:tcW w:w="737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hint="eastAsia" w:ascii="宋体" w:hAnsi="宋体" w:eastAsia="宋体" w:cs="宋体"/>
                <w:kern w:val="2"/>
                <w:sz w:val="24"/>
                <w:szCs w:val="24"/>
                <w:u w:val="single"/>
                <w:lang w:val="en-US"/>
              </w:rPr>
            </w:pPr>
            <w:r>
              <w:rPr>
                <w:rFonts w:hint="eastAsia" w:ascii="宋体" w:hAnsi="宋体" w:eastAsia="宋体" w:cs="宋体"/>
                <w:kern w:val="2"/>
                <w:sz w:val="24"/>
                <w:szCs w:val="24"/>
              </w:rPr>
              <w:t>1.采购人名称：</w:t>
            </w:r>
            <w:r>
              <w:rPr>
                <w:rFonts w:hint="eastAsia" w:ascii="宋体" w:hAnsi="宋体" w:eastAsia="宋体" w:cs="宋体"/>
                <w:kern w:val="2"/>
                <w:sz w:val="24"/>
                <w:szCs w:val="24"/>
                <w:u w:val="single"/>
                <w:lang w:val="en-US" w:eastAsia="zh-CN"/>
              </w:rPr>
              <w:t xml:space="preserve">                </w:t>
            </w: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2.标注 “正本”、“副本”、“</w:t>
            </w:r>
            <w:r>
              <w:rPr>
                <w:rFonts w:hint="eastAsia" w:ascii="宋体" w:hAnsi="宋体" w:eastAsia="宋体" w:cs="宋体"/>
                <w:kern w:val="2"/>
                <w:sz w:val="24"/>
                <w:szCs w:val="24"/>
                <w:lang w:eastAsia="zh-CN"/>
              </w:rPr>
              <w:t>响应</w:t>
            </w:r>
            <w:r>
              <w:rPr>
                <w:rFonts w:hint="eastAsia" w:ascii="宋体" w:hAnsi="宋体" w:eastAsia="宋体" w:cs="宋体"/>
                <w:kern w:val="2"/>
                <w:sz w:val="24"/>
                <w:szCs w:val="24"/>
              </w:rPr>
              <w:t>文件电子版”、“资格证明文件”字样，所有封套均应加贴封条，并在封套的封口处加盖供应商单位公章并经法定代表人</w:t>
            </w:r>
            <w:r>
              <w:rPr>
                <w:rFonts w:hint="eastAsia" w:ascii="宋体" w:hAnsi="宋体" w:cs="宋体"/>
                <w:kern w:val="2"/>
                <w:sz w:val="24"/>
                <w:szCs w:val="24"/>
                <w:lang w:eastAsia="zh-CN"/>
              </w:rPr>
              <w:t>（签字或盖章）</w:t>
            </w:r>
            <w:r>
              <w:rPr>
                <w:rFonts w:hint="eastAsia" w:ascii="宋体" w:hAnsi="宋体" w:eastAsia="宋体" w:cs="宋体"/>
                <w:kern w:val="2"/>
                <w:sz w:val="24"/>
                <w:szCs w:val="24"/>
                <w:lang w:val="en-US" w:eastAsia="zh-CN"/>
              </w:rPr>
              <w:t>和</w:t>
            </w:r>
            <w:r>
              <w:rPr>
                <w:rFonts w:hint="eastAsia" w:ascii="宋体" w:hAnsi="宋体" w:eastAsia="宋体" w:cs="宋体"/>
                <w:kern w:val="2"/>
                <w:sz w:val="24"/>
                <w:szCs w:val="24"/>
              </w:rPr>
              <w:t>其委托代理</w:t>
            </w:r>
            <w:r>
              <w:rPr>
                <w:rFonts w:hint="eastAsia" w:ascii="宋体" w:hAnsi="宋体" w:eastAsia="宋体" w:cs="宋体"/>
                <w:kern w:val="2"/>
                <w:sz w:val="24"/>
                <w:szCs w:val="24"/>
                <w:lang w:eastAsia="zh-CN"/>
              </w:rPr>
              <w:t>人</w:t>
            </w:r>
            <w:r>
              <w:rPr>
                <w:rFonts w:hint="eastAsia" w:ascii="宋体" w:hAnsi="宋体" w:eastAsia="宋体" w:cs="宋体"/>
                <w:kern w:val="2"/>
                <w:sz w:val="24"/>
                <w:szCs w:val="24"/>
              </w:rPr>
              <w:t>签字。</w:t>
            </w: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3. 供应商：</w:t>
            </w:r>
            <w:r>
              <w:rPr>
                <w:rFonts w:hint="eastAsia" w:ascii="宋体" w:hAnsi="宋体" w:eastAsia="宋体" w:cs="宋体"/>
                <w:kern w:val="2"/>
                <w:sz w:val="24"/>
                <w:szCs w:val="24"/>
                <w:u w:val="single"/>
              </w:rPr>
              <w:t>（单位全称）</w:t>
            </w:r>
            <w:r>
              <w:rPr>
                <w:rFonts w:hint="eastAsia" w:ascii="宋体" w:hAnsi="宋体" w:eastAsia="宋体" w:cs="宋体"/>
                <w:kern w:val="2"/>
                <w:sz w:val="24"/>
                <w:szCs w:val="24"/>
              </w:rPr>
              <w:t>（盖单位公章）</w:t>
            </w: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法定代表人：</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w:t>
            </w:r>
            <w:r>
              <w:rPr>
                <w:rFonts w:hint="eastAsia" w:ascii="宋体" w:hAnsi="宋体" w:cs="宋体"/>
                <w:kern w:val="2"/>
                <w:sz w:val="24"/>
                <w:szCs w:val="24"/>
                <w:lang w:eastAsia="zh-CN"/>
              </w:rPr>
              <w:t>签字或盖章</w:t>
            </w:r>
            <w:r>
              <w:rPr>
                <w:rFonts w:hint="eastAsia" w:ascii="宋体" w:hAnsi="宋体" w:eastAsia="宋体" w:cs="宋体"/>
                <w:kern w:val="2"/>
                <w:sz w:val="24"/>
                <w:szCs w:val="24"/>
              </w:rPr>
              <w:t>）</w:t>
            </w: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委托代理人：</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（签字）</w:t>
            </w:r>
          </w:p>
          <w:p>
            <w:pPr>
              <w:widowControl w:val="0"/>
              <w:numPr>
                <w:ilvl w:val="0"/>
                <w:numId w:val="4"/>
              </w:numPr>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u w:val="single"/>
              </w:rPr>
              <w:t>（项目名称）、（项目编号）</w:t>
            </w:r>
            <w:r>
              <w:rPr>
                <w:rFonts w:hint="eastAsia" w:ascii="宋体" w:hAnsi="宋体" w:eastAsia="宋体" w:cs="宋体"/>
                <w:kern w:val="2"/>
                <w:sz w:val="24"/>
                <w:szCs w:val="24"/>
                <w:lang w:eastAsia="zh-CN"/>
              </w:rPr>
              <w:t>响应</w:t>
            </w:r>
            <w:r>
              <w:rPr>
                <w:rFonts w:hint="eastAsia" w:ascii="宋体" w:hAnsi="宋体" w:eastAsia="宋体" w:cs="宋体"/>
                <w:kern w:val="2"/>
                <w:sz w:val="24"/>
                <w:szCs w:val="24"/>
              </w:rPr>
              <w:t>文件（或</w:t>
            </w:r>
            <w:r>
              <w:rPr>
                <w:rFonts w:hint="eastAsia" w:ascii="宋体" w:hAnsi="宋体" w:eastAsia="宋体" w:cs="宋体"/>
                <w:kern w:val="2"/>
                <w:sz w:val="24"/>
                <w:szCs w:val="24"/>
                <w:lang w:eastAsia="zh-CN"/>
              </w:rPr>
              <w:t>响应</w:t>
            </w:r>
            <w:r>
              <w:rPr>
                <w:rFonts w:hint="eastAsia" w:ascii="宋体" w:hAnsi="宋体" w:eastAsia="宋体" w:cs="宋体"/>
                <w:kern w:val="2"/>
                <w:sz w:val="24"/>
                <w:szCs w:val="24"/>
              </w:rPr>
              <w:t>文件电子版或资格证明文件）</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kern w:val="2"/>
                <w:sz w:val="24"/>
                <w:szCs w:val="24"/>
              </w:rPr>
              <w:t>在</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年</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月</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日</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时</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4.1.5</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装订要求</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kern w:val="0"/>
                <w:sz w:val="24"/>
                <w:szCs w:val="24"/>
                <w:u w:val="single"/>
                <w14:textFill>
                  <w14:solidFill>
                    <w14:schemeClr w14:val="tx1"/>
                  </w14:solidFill>
                </w14:textFill>
              </w:rPr>
            </w:pPr>
            <w:r>
              <w:rPr>
                <w:rFonts w:hint="eastAsia" w:ascii="宋体" w:hAnsi="宋体" w:eastAsia="宋体" w:cs="宋体"/>
                <w:color w:val="000000" w:themeColor="text1"/>
                <w:spacing w:val="4"/>
                <w:sz w:val="24"/>
                <w:szCs w:val="24"/>
                <w14:textFill>
                  <w14:solidFill>
                    <w14:schemeClr w14:val="tx1"/>
                  </w14:solidFill>
                </w14:textFill>
              </w:rPr>
              <w:t>磋商响应文件的正本与副本应采用胶缝方式</w:t>
            </w:r>
            <w:r>
              <w:rPr>
                <w:rFonts w:hint="eastAsia" w:ascii="宋体" w:hAnsi="宋体" w:eastAsia="宋体" w:cs="宋体"/>
                <w:color w:val="000000" w:themeColor="text1"/>
                <w:sz w:val="24"/>
                <w:szCs w:val="24"/>
                <w14:textFill>
                  <w14:solidFill>
                    <w14:schemeClr w14:val="tx1"/>
                  </w14:solidFill>
                </w14:textFill>
              </w:rPr>
              <w:t>分别装订成册</w:t>
            </w:r>
            <w:r>
              <w:rPr>
                <w:rFonts w:hint="eastAsia" w:ascii="宋体" w:hAnsi="宋体" w:eastAsia="宋体" w:cs="宋体"/>
                <w:color w:val="000000" w:themeColor="text1"/>
                <w:spacing w:val="4"/>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装订应牢固、不易拆散和换页，</w:t>
            </w:r>
            <w:r>
              <w:rPr>
                <w:rFonts w:hint="eastAsia" w:ascii="宋体" w:hAnsi="宋体" w:eastAsia="宋体" w:cs="宋体"/>
                <w:color w:val="000000" w:themeColor="text1"/>
                <w:spacing w:val="4"/>
                <w:sz w:val="24"/>
                <w:szCs w:val="24"/>
                <w14:textFill>
                  <w14:solidFill>
                    <w14:schemeClr w14:val="tx1"/>
                  </w14:solidFill>
                </w14:textFill>
              </w:rPr>
              <w:t>不得采用活页夹等可随时拆换的方式装订。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递交磋商响应文件地点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延安市公共资源交易中心交易</w:t>
            </w:r>
            <w:r>
              <w:rPr>
                <w:rFonts w:hint="eastAsia" w:ascii="宋体" w:hAnsi="宋体" w:cs="宋体"/>
                <w:color w:val="000000" w:themeColor="text1"/>
                <w:sz w:val="24"/>
                <w:szCs w:val="24"/>
                <w:lang w:val="en-US" w:eastAsia="zh-CN"/>
                <w14:textFill>
                  <w14:solidFill>
                    <w14:schemeClr w14:val="tx1"/>
                  </w14:solidFill>
                </w14:textFill>
              </w:rPr>
              <w:t xml:space="preserve"> 一 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是否退还磋商响应文件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磋商时间和地点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磋商时间：</w:t>
            </w:r>
            <w:r>
              <w:rPr>
                <w:rFonts w:hint="eastAsia" w:ascii="宋体" w:hAnsi="宋体" w:eastAsia="宋体" w:cs="宋体"/>
                <w:color w:val="000000" w:themeColor="text1"/>
                <w:sz w:val="24"/>
                <w:szCs w:val="24"/>
                <w:lang w:val="en-US" w:eastAsia="zh-CN"/>
                <w14:textFill>
                  <w14:solidFill>
                    <w14:schemeClr w14:val="tx1"/>
                  </w14:solidFill>
                </w14:textFill>
              </w:rPr>
              <w:t xml:space="preserve">2023年 12 月 </w:t>
            </w:r>
            <w:r>
              <w:rPr>
                <w:rFonts w:hint="eastAsia" w:ascii="宋体" w:hAnsi="宋体" w:cs="宋体"/>
                <w:color w:val="000000" w:themeColor="text1"/>
                <w:sz w:val="24"/>
                <w:szCs w:val="24"/>
                <w:lang w:val="en-US" w:eastAsia="zh-CN"/>
                <w14:textFill>
                  <w14:solidFill>
                    <w14:schemeClr w14:val="tx1"/>
                  </w14:solidFill>
                </w14:textFill>
              </w:rPr>
              <w:t>29</w:t>
            </w:r>
            <w:r>
              <w:rPr>
                <w:rFonts w:hint="eastAsia" w:ascii="宋体" w:hAnsi="宋体" w:eastAsia="宋体" w:cs="宋体"/>
                <w:color w:val="000000" w:themeColor="text1"/>
                <w:sz w:val="24"/>
                <w:szCs w:val="24"/>
                <w:lang w:val="en-US" w:eastAsia="zh-CN"/>
                <w14:textFill>
                  <w14:solidFill>
                    <w14:schemeClr w14:val="tx1"/>
                  </w14:solidFill>
                </w14:textFill>
              </w:rPr>
              <w:t>日  14 时 30 分 00  秒（北京时间）</w:t>
            </w: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磋商地点：递交地点：</w:t>
            </w:r>
            <w:r>
              <w:rPr>
                <w:rFonts w:hint="eastAsia" w:ascii="宋体" w:hAnsi="宋体" w:cs="宋体"/>
                <w:color w:val="000000" w:themeColor="text1"/>
                <w:sz w:val="24"/>
                <w:szCs w:val="24"/>
                <w:lang w:eastAsia="zh-CN"/>
                <w14:textFill>
                  <w14:solidFill>
                    <w14:schemeClr w14:val="tx1"/>
                  </w14:solidFill>
                </w14:textFill>
              </w:rPr>
              <w:t>延安市公共资源交易中心交易</w:t>
            </w:r>
            <w:r>
              <w:rPr>
                <w:rFonts w:hint="eastAsia" w:ascii="宋体" w:hAnsi="宋体" w:cs="宋体"/>
                <w:color w:val="000000" w:themeColor="text1"/>
                <w:sz w:val="24"/>
                <w:szCs w:val="24"/>
                <w:lang w:val="en-US" w:eastAsia="zh-CN"/>
                <w14:textFill>
                  <w14:solidFill>
                    <w14:schemeClr w14:val="tx1"/>
                  </w14:solidFill>
                </w14:textFill>
              </w:rPr>
              <w:t xml:space="preserve">  一  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资格证明文件</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具有独立承担民事责任能力的法人、其他组织或自然人，法人或其他组织提供营业执照（事业单位法人证书），自然人提供身份证明；</w:t>
            </w:r>
          </w:p>
          <w:p>
            <w:pPr>
              <w:numPr>
                <w:ilvl w:val="0"/>
                <w:numId w:val="0"/>
              </w:numPr>
              <w:autoSpaceDE w:val="0"/>
              <w:autoSpaceDN w:val="0"/>
              <w:adjustRightInd w:val="0"/>
              <w:spacing w:line="360" w:lineRule="auto"/>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1.提供营业执照、税务登记证、组织机构代码证或三证合一的营业执照（供应商无需提供营业执照年检报告，在资格审查时通过互联网或者相关信息系统查询）；</w:t>
            </w:r>
          </w:p>
          <w:p>
            <w:pPr>
              <w:numPr>
                <w:ilvl w:val="0"/>
                <w:numId w:val="0"/>
              </w:num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2.银行开户许可证或开户行基本信息；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.法定代表人授权委托书及被授权人身份证（法定代表人直接参加时，只须出示法定代表人身份证）；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.提供参加政府采购活动前3年内经营活动中没有重大违法记录声明；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5.税收缴纳证明：自20</w:t>
            </w:r>
            <w:r>
              <w:rPr>
                <w:rFonts w:hint="eastAsia" w:ascii="宋体" w:hAnsi="宋体" w:cs="宋体"/>
                <w:color w:val="000000" w:themeColor="text1"/>
                <w:sz w:val="24"/>
                <w:szCs w:val="24"/>
                <w:lang w:val="en-US" w:eastAsia="zh-CN"/>
                <w14:textFill>
                  <w14:solidFill>
                    <w14:schemeClr w14:val="tx1"/>
                  </w14:solidFill>
                </w14:textFill>
              </w:rPr>
              <w:t>23</w:t>
            </w:r>
            <w:r>
              <w:rPr>
                <w:rFonts w:hint="eastAsia"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月1日以来已缴纳的至少</w:t>
            </w: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eastAsia="宋体" w:cs="宋体"/>
                <w:color w:val="000000" w:themeColor="text1"/>
                <w:sz w:val="24"/>
                <w:szCs w:val="24"/>
                <w:lang w:val="en-US" w:eastAsia="zh-CN"/>
                <w14:textFill>
                  <w14:solidFill>
                    <w14:schemeClr w14:val="tx1"/>
                  </w14:solidFill>
                </w14:textFill>
              </w:rPr>
              <w:t>个月的纳税证明或完税证明，纳税证明或完税证明上应有代收机构或税务机关的公章。依法免税的供应商应提供相关文件证明；</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6.社会保障资金缴纳证明：自20</w:t>
            </w:r>
            <w:r>
              <w:rPr>
                <w:rFonts w:hint="eastAsia" w:ascii="宋体" w:hAnsi="宋体" w:cs="宋体"/>
                <w:color w:val="000000" w:themeColor="text1"/>
                <w:kern w:val="2"/>
                <w:sz w:val="24"/>
                <w:szCs w:val="24"/>
                <w:lang w:val="en-US" w:eastAsia="zh-CN" w:bidi="ar-SA"/>
                <w14:textFill>
                  <w14:solidFill>
                    <w14:schemeClr w14:val="tx1"/>
                  </w14:solidFill>
                </w14:textFill>
              </w:rPr>
              <w:t>23</w:t>
            </w:r>
            <w:r>
              <w:rPr>
                <w:rFonts w:hint="eastAsia" w:ascii="宋体" w:hAnsi="宋体" w:eastAsia="宋体" w:cs="宋体"/>
                <w:color w:val="000000" w:themeColor="text1"/>
                <w:kern w:val="2"/>
                <w:sz w:val="24"/>
                <w:szCs w:val="24"/>
                <w:lang w:val="en-US" w:eastAsia="zh-CN" w:bidi="ar-SA"/>
                <w14:textFill>
                  <w14:solidFill>
                    <w14:schemeClr w14:val="tx1"/>
                  </w14:solidFill>
                </w14:textFill>
              </w:rPr>
              <w:t>年</w:t>
            </w:r>
            <w:r>
              <w:rPr>
                <w:rFonts w:hint="eastAsia" w:ascii="宋体" w:hAnsi="宋体" w:cs="宋体"/>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color w:val="000000" w:themeColor="text1"/>
                <w:kern w:val="2"/>
                <w:sz w:val="24"/>
                <w:szCs w:val="24"/>
                <w:lang w:val="en-US" w:eastAsia="zh-CN" w:bidi="ar-SA"/>
                <w14:textFill>
                  <w14:solidFill>
                    <w14:schemeClr w14:val="tx1"/>
                  </w14:solidFill>
                </w14:textFill>
              </w:rPr>
              <w:t>月1日以来至少一个月的已缴存的社会保障资金缴存单据或社保机构开具的社会保险参保缴费情况证明。依法不需要缴纳社会保障资金的</w:t>
            </w:r>
            <w:r>
              <w:rPr>
                <w:rFonts w:hint="eastAsia" w:ascii="宋体" w:hAnsi="宋体" w:cs="宋体"/>
                <w:color w:val="000000" w:themeColor="text1"/>
                <w:kern w:val="2"/>
                <w:sz w:val="24"/>
                <w:szCs w:val="24"/>
                <w:lang w:val="en-US" w:eastAsia="zh-CN" w:bidi="ar-SA"/>
                <w14:textFill>
                  <w14:solidFill>
                    <w14:schemeClr w14:val="tx1"/>
                  </w14:solidFill>
                </w14:textFill>
              </w:rPr>
              <w:t>磋商</w:t>
            </w:r>
            <w:r>
              <w:rPr>
                <w:rFonts w:hint="eastAsia" w:ascii="宋体" w:hAnsi="宋体" w:eastAsia="宋体" w:cs="宋体"/>
                <w:color w:val="000000" w:themeColor="text1"/>
                <w:kern w:val="2"/>
                <w:sz w:val="24"/>
                <w:szCs w:val="24"/>
                <w:lang w:val="en-US" w:eastAsia="zh-CN" w:bidi="ar-SA"/>
                <w14:textFill>
                  <w14:solidFill>
                    <w14:schemeClr w14:val="tx1"/>
                  </w14:solidFill>
                </w14:textFill>
              </w:rPr>
              <w:t>供应商应提供相关文件证明；</w:t>
            </w:r>
          </w:p>
          <w:p>
            <w:pPr>
              <w:wordWrap/>
              <w:overflowPunct/>
              <w:topLinePunct w:val="0"/>
              <w:bidi w:val="0"/>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7.财务状况报告：</w:t>
            </w:r>
            <w:r>
              <w:rPr>
                <w:rFonts w:hint="eastAsia" w:ascii="宋体" w:hAnsi="宋体" w:cs="宋体"/>
                <w:color w:val="000000" w:themeColor="text1"/>
                <w:kern w:val="2"/>
                <w:sz w:val="24"/>
                <w:szCs w:val="24"/>
                <w:lang w:val="en-US" w:eastAsia="zh-CN" w:bidi="ar-SA"/>
                <w14:textFill>
                  <w14:solidFill>
                    <w14:schemeClr w14:val="tx1"/>
                  </w14:solidFill>
                </w14:textFill>
              </w:rPr>
              <w:t>提供2021</w:t>
            </w:r>
            <w:r>
              <w:rPr>
                <w:rFonts w:hint="eastAsia" w:ascii="宋体" w:hAnsi="宋体" w:eastAsia="宋体" w:cs="宋体"/>
                <w:color w:val="000000" w:themeColor="text1"/>
                <w:kern w:val="2"/>
                <w:sz w:val="24"/>
                <w:szCs w:val="24"/>
                <w:lang w:val="en-US" w:eastAsia="zh-CN" w:bidi="ar-SA"/>
                <w14:textFill>
                  <w14:solidFill>
                    <w14:schemeClr w14:val="tx1"/>
                  </w14:solidFill>
                </w14:textFill>
              </w:rPr>
              <w:t>或</w:t>
            </w:r>
            <w:r>
              <w:rPr>
                <w:rFonts w:hint="eastAsia" w:ascii="宋体" w:hAnsi="宋体" w:cs="宋体"/>
                <w:color w:val="000000" w:themeColor="text1"/>
                <w:kern w:val="2"/>
                <w:sz w:val="24"/>
                <w:szCs w:val="24"/>
                <w:lang w:val="en-US" w:eastAsia="zh-CN" w:bidi="ar-SA"/>
                <w14:textFill>
                  <w14:solidFill>
                    <w14:schemeClr w14:val="tx1"/>
                  </w14:solidFill>
                </w14:textFill>
              </w:rPr>
              <w:t>2022</w:t>
            </w:r>
            <w:r>
              <w:rPr>
                <w:rFonts w:hint="eastAsia" w:ascii="宋体" w:hAnsi="宋体" w:eastAsia="宋体" w:cs="宋体"/>
                <w:color w:val="000000" w:themeColor="text1"/>
                <w:kern w:val="2"/>
                <w:sz w:val="24"/>
                <w:szCs w:val="24"/>
                <w:lang w:val="en-US" w:eastAsia="zh-CN" w:bidi="ar-SA"/>
                <w14:textFill>
                  <w14:solidFill>
                    <w14:schemeClr w14:val="tx1"/>
                  </w14:solidFill>
                </w14:textFill>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8</w:t>
            </w:r>
            <w:r>
              <w:rPr>
                <w:rFonts w:hint="eastAsia" w:ascii="宋体" w:hAnsi="宋体" w:eastAsia="宋体" w:cs="宋体"/>
                <w:color w:val="000000" w:themeColor="text1"/>
                <w:kern w:val="2"/>
                <w:sz w:val="24"/>
                <w:szCs w:val="24"/>
                <w:lang w:val="en-US" w:eastAsia="zh-CN" w:bidi="ar-SA"/>
                <w14:textFill>
                  <w14:solidFill>
                    <w14:schemeClr w14:val="tx1"/>
                  </w14:solidFill>
                </w14:textFill>
              </w:rPr>
              <w:t>.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lang w:val="en-US" w:eastAsia="zh-CN"/>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9.提供磋商保证金的银行转账或电汇凭证并确保响应文件递交截止时间前到达采购文件指定账户；</w:t>
            </w:r>
          </w:p>
          <w:p>
            <w:pPr>
              <w:autoSpaceDE w:val="0"/>
              <w:autoSpaceDN w:val="0"/>
              <w:adjustRightInd w:val="0"/>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w:t>
            </w:r>
            <w:r>
              <w:rPr>
                <w:rFonts w:hint="eastAsia" w:ascii="宋体" w:hAnsi="宋体" w:cs="宋体"/>
                <w:color w:val="000000" w:themeColor="text1"/>
                <w:kern w:val="2"/>
                <w:sz w:val="24"/>
                <w:szCs w:val="24"/>
                <w:lang w:val="en-US" w:eastAsia="zh-CN" w:bidi="ar-SA"/>
                <w14:textFill>
                  <w14:solidFill>
                    <w14:schemeClr w14:val="tx1"/>
                  </w14:solidFill>
                </w14:textFill>
              </w:rPr>
              <w:t>0</w:t>
            </w:r>
            <w:r>
              <w:rPr>
                <w:rFonts w:hint="eastAsia" w:ascii="宋体" w:hAnsi="宋体" w:eastAsia="宋体" w:cs="宋体"/>
                <w:color w:val="000000" w:themeColor="text1"/>
                <w:kern w:val="2"/>
                <w:sz w:val="24"/>
                <w:szCs w:val="24"/>
                <w:lang w:val="en-US" w:eastAsia="zh-CN" w:bidi="ar-SA"/>
                <w14:textFill>
                  <w14:solidFill>
                    <w14:schemeClr w14:val="tx1"/>
                  </w14:solidFill>
                </w14:textFill>
              </w:rPr>
              <w:t>.本项目不接受联合体磋商。</w:t>
            </w:r>
          </w:p>
          <w:p>
            <w:pPr>
              <w:autoSpaceDE w:val="0"/>
              <w:autoSpaceDN w:val="0"/>
              <w:adjustRightInd w:val="0"/>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以上资格证明文件为供应商的必备文件，开标当天，请将上述资格证明文件</w:t>
            </w:r>
            <w:r>
              <w:rPr>
                <w:rFonts w:hint="eastAsia" w:ascii="宋体" w:hAnsi="宋体" w:cs="宋体"/>
                <w:b/>
                <w:color w:val="000000" w:themeColor="text1"/>
                <w:sz w:val="24"/>
                <w:szCs w:val="24"/>
                <w:lang w:eastAsia="zh-CN"/>
                <w14:textFill>
                  <w14:solidFill>
                    <w14:schemeClr w14:val="tx1"/>
                  </w14:solidFill>
                </w14:textFill>
              </w:rPr>
              <w:t>复印件</w:t>
            </w:r>
            <w:r>
              <w:rPr>
                <w:rFonts w:hint="eastAsia" w:ascii="宋体" w:hAnsi="宋体" w:eastAsia="宋体" w:cs="宋体"/>
                <w:b/>
                <w:color w:val="000000" w:themeColor="text1"/>
                <w:sz w:val="24"/>
                <w:szCs w:val="24"/>
                <w:lang w:eastAsia="zh-CN"/>
                <w14:textFill>
                  <w14:solidFill>
                    <w14:schemeClr w14:val="tx1"/>
                  </w14:solidFill>
                </w14:textFill>
              </w:rPr>
              <w:t>胶装</w:t>
            </w:r>
            <w:r>
              <w:rPr>
                <w:rFonts w:hint="eastAsia" w:ascii="宋体" w:hAnsi="宋体" w:cs="宋体"/>
                <w:b/>
                <w:color w:val="000000" w:themeColor="text1"/>
                <w:sz w:val="24"/>
                <w:szCs w:val="24"/>
                <w:lang w:eastAsia="zh-CN"/>
                <w14:textFill>
                  <w14:solidFill>
                    <w14:schemeClr w14:val="tx1"/>
                  </w14:solidFill>
                </w14:textFill>
              </w:rPr>
              <w:t>加盖公章</w:t>
            </w:r>
            <w:r>
              <w:rPr>
                <w:rFonts w:hint="eastAsia" w:ascii="宋体" w:hAnsi="宋体" w:eastAsia="宋体" w:cs="宋体"/>
                <w:b/>
                <w:color w:val="000000" w:themeColor="text1"/>
                <w:sz w:val="24"/>
                <w:szCs w:val="24"/>
                <w:lang w:eastAsia="zh-CN"/>
                <w14:textFill>
                  <w14:solidFill>
                    <w14:schemeClr w14:val="tx1"/>
                  </w14:solidFill>
                </w14:textFill>
              </w:rPr>
              <w:t>同</w:t>
            </w:r>
            <w:r>
              <w:rPr>
                <w:rFonts w:hint="eastAsia" w:ascii="宋体" w:hAnsi="宋体" w:cs="宋体"/>
                <w:b/>
                <w:color w:val="000000" w:themeColor="text1"/>
                <w:sz w:val="24"/>
                <w:szCs w:val="24"/>
                <w:lang w:val="en-US" w:eastAsia="zh-CN"/>
                <w14:textFill>
                  <w14:solidFill>
                    <w14:schemeClr w14:val="tx1"/>
                  </w14:solidFill>
                </w14:textFill>
              </w:rPr>
              <w:t>响应</w:t>
            </w:r>
            <w:r>
              <w:rPr>
                <w:rFonts w:hint="eastAsia" w:ascii="宋体" w:hAnsi="宋体" w:eastAsia="宋体" w:cs="宋体"/>
                <w:b/>
                <w:color w:val="000000" w:themeColor="text1"/>
                <w:sz w:val="24"/>
                <w:szCs w:val="24"/>
                <w:lang w:eastAsia="zh-CN"/>
                <w14:textFill>
                  <w14:solidFill>
                    <w14:schemeClr w14:val="tx1"/>
                  </w14:solidFill>
                </w14:textFill>
              </w:rPr>
              <w:t>文件一起单独密封递交（密封要求同</w:t>
            </w:r>
            <w:r>
              <w:rPr>
                <w:rFonts w:hint="eastAsia" w:ascii="宋体" w:hAnsi="宋体" w:cs="宋体"/>
                <w:b/>
                <w:color w:val="000000" w:themeColor="text1"/>
                <w:sz w:val="24"/>
                <w:szCs w:val="24"/>
                <w:lang w:val="en-US" w:eastAsia="zh-CN"/>
                <w14:textFill>
                  <w14:solidFill>
                    <w14:schemeClr w14:val="tx1"/>
                  </w14:solidFill>
                </w14:textFill>
              </w:rPr>
              <w:t>响应</w:t>
            </w:r>
            <w:r>
              <w:rPr>
                <w:rFonts w:hint="eastAsia" w:ascii="宋体" w:hAnsi="宋体" w:eastAsia="宋体" w:cs="宋体"/>
                <w:b/>
                <w:color w:val="000000" w:themeColor="text1"/>
                <w:sz w:val="24"/>
                <w:szCs w:val="24"/>
                <w:lang w:eastAsia="zh-CN"/>
                <w14:textFill>
                  <w14:solidFill>
                    <w14:schemeClr w14:val="tx1"/>
                  </w14:solidFill>
                </w14:textFill>
              </w:rPr>
              <w:t>文件），以便对其</w:t>
            </w:r>
            <w:r>
              <w:rPr>
                <w:rFonts w:hint="eastAsia" w:ascii="宋体" w:hAnsi="宋体" w:cs="宋体"/>
                <w:b/>
                <w:color w:val="000000" w:themeColor="text1"/>
                <w:sz w:val="24"/>
                <w:szCs w:val="24"/>
                <w:lang w:eastAsia="zh-CN"/>
                <w14:textFill>
                  <w14:solidFill>
                    <w14:schemeClr w14:val="tx1"/>
                  </w14:solidFill>
                </w14:textFill>
              </w:rPr>
              <w:t>磋商</w:t>
            </w:r>
            <w:r>
              <w:rPr>
                <w:rFonts w:hint="eastAsia" w:ascii="宋体" w:hAnsi="宋体" w:eastAsia="宋体" w:cs="宋体"/>
                <w:b/>
                <w:color w:val="000000" w:themeColor="text1"/>
                <w:sz w:val="24"/>
                <w:szCs w:val="24"/>
                <w:lang w:eastAsia="zh-CN"/>
                <w14:textFill>
                  <w14:solidFill>
                    <w14:schemeClr w14:val="tx1"/>
                  </w14:solidFill>
                </w14:textFill>
              </w:rPr>
              <w:t>资格进行审查。有给定格式的需按照</w:t>
            </w:r>
            <w:r>
              <w:rPr>
                <w:rFonts w:hint="eastAsia" w:ascii="宋体" w:hAnsi="宋体" w:eastAsia="宋体" w:cs="宋体"/>
                <w:b/>
                <w:color w:val="000000" w:themeColor="text1"/>
                <w:sz w:val="24"/>
                <w:szCs w:val="24"/>
                <w:lang w:val="en-US" w:eastAsia="zh-CN"/>
                <w14:textFill>
                  <w14:solidFill>
                    <w14:schemeClr w14:val="tx1"/>
                  </w14:solidFill>
                </w14:textFill>
              </w:rPr>
              <w:t>磋商</w:t>
            </w:r>
            <w:r>
              <w:rPr>
                <w:rFonts w:hint="eastAsia" w:ascii="宋体" w:hAnsi="宋体" w:eastAsia="宋体" w:cs="宋体"/>
                <w:b/>
                <w:color w:val="000000" w:themeColor="text1"/>
                <w:sz w:val="24"/>
                <w:szCs w:val="24"/>
                <w:lang w:eastAsia="zh-CN"/>
                <w14:textFill>
                  <w14:solidFill>
                    <w14:schemeClr w14:val="tx1"/>
                  </w14:solidFill>
                </w14:textFill>
              </w:rPr>
              <w:t>文件给定格式提供，</w:t>
            </w:r>
            <w:r>
              <w:rPr>
                <w:rFonts w:hint="eastAsia" w:ascii="宋体" w:hAnsi="宋体" w:cs="宋体"/>
                <w:b/>
                <w:color w:val="000000" w:themeColor="text1"/>
                <w:sz w:val="24"/>
                <w:szCs w:val="24"/>
                <w:lang w:eastAsia="zh-CN"/>
                <w14:textFill>
                  <w14:solidFill>
                    <w14:schemeClr w14:val="tx1"/>
                  </w14:solidFill>
                </w14:textFill>
              </w:rPr>
              <w:t>未提供</w:t>
            </w:r>
            <w:r>
              <w:rPr>
                <w:rFonts w:hint="eastAsia" w:ascii="宋体" w:hAnsi="宋体" w:eastAsia="宋体" w:cs="宋体"/>
                <w:b/>
                <w:color w:val="000000" w:themeColor="text1"/>
                <w:sz w:val="24"/>
                <w:szCs w:val="24"/>
                <w:lang w:eastAsia="zh-CN"/>
                <w14:textFill>
                  <w14:solidFill>
                    <w14:schemeClr w14:val="tx1"/>
                  </w14:solidFill>
                </w14:textFill>
              </w:rPr>
              <w:t>按无效</w:t>
            </w:r>
            <w:r>
              <w:rPr>
                <w:rFonts w:hint="eastAsia" w:ascii="宋体" w:hAnsi="宋体" w:cs="宋体"/>
                <w:b/>
                <w:color w:val="000000" w:themeColor="text1"/>
                <w:sz w:val="24"/>
                <w:szCs w:val="24"/>
                <w:lang w:eastAsia="zh-CN"/>
                <w14:textFill>
                  <w14:solidFill>
                    <w14:schemeClr w14:val="tx1"/>
                  </w14:solidFill>
                </w14:textFill>
              </w:rPr>
              <w:t>响应</w:t>
            </w:r>
            <w:r>
              <w:rPr>
                <w:rFonts w:hint="eastAsia" w:ascii="宋体" w:hAnsi="宋体" w:eastAsia="宋体" w:cs="宋体"/>
                <w:b/>
                <w:color w:val="000000" w:themeColor="text1"/>
                <w:sz w:val="24"/>
                <w:szCs w:val="24"/>
                <w:lang w:eastAsia="zh-CN"/>
                <w14:textFill>
                  <w14:solidFill>
                    <w14:schemeClr w14:val="tx1"/>
                  </w14:solidFill>
                </w14:textFill>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6.1.1</w:t>
            </w:r>
          </w:p>
        </w:tc>
        <w:tc>
          <w:tcPr>
            <w:tcW w:w="2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磋商小组的组建</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磋商小组构成：</w:t>
            </w:r>
            <w:r>
              <w:rPr>
                <w:rFonts w:hint="eastAsia" w:ascii="宋体" w:hAnsi="宋体" w:cs="宋体"/>
                <w:color w:val="000000"/>
                <w:kern w:val="0"/>
                <w:sz w:val="24"/>
                <w:szCs w:val="24"/>
                <w:lang w:val="en-US" w:eastAsia="zh-CN"/>
              </w:rPr>
              <w:t>3</w:t>
            </w:r>
            <w:r>
              <w:rPr>
                <w:rFonts w:hint="eastAsia" w:ascii="宋体" w:hAnsi="宋体" w:eastAsia="宋体" w:cs="宋体"/>
                <w:color w:val="000000"/>
                <w:kern w:val="0"/>
                <w:sz w:val="24"/>
                <w:szCs w:val="24"/>
                <w:lang w:eastAsia="zh-CN"/>
              </w:rPr>
              <w:t>人；其中</w:t>
            </w:r>
            <w:r>
              <w:rPr>
                <w:rFonts w:hint="eastAsia" w:ascii="宋体" w:hAnsi="宋体" w:cs="宋体"/>
                <w:color w:val="000000"/>
                <w:kern w:val="0"/>
                <w:sz w:val="24"/>
                <w:szCs w:val="24"/>
                <w:lang w:eastAsia="zh-CN"/>
              </w:rPr>
              <w:t>采购人</w:t>
            </w:r>
            <w:r>
              <w:rPr>
                <w:rFonts w:hint="eastAsia" w:ascii="宋体" w:hAnsi="宋体" w:eastAsia="宋体" w:cs="宋体"/>
                <w:color w:val="000000"/>
                <w:kern w:val="0"/>
                <w:sz w:val="24"/>
                <w:szCs w:val="24"/>
                <w:lang w:eastAsia="zh-CN"/>
              </w:rPr>
              <w:t>代表</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人；专家</w:t>
            </w: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lang w:val="en-US" w:eastAsia="zh-CN"/>
              </w:rPr>
              <w:t>人；</w:t>
            </w:r>
          </w:p>
          <w:p>
            <w:pPr>
              <w:autoSpaceDE w:val="0"/>
              <w:autoSpaceDN w:val="0"/>
              <w:adjustRightInd w:val="0"/>
              <w:spacing w:line="36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kern w:val="0"/>
                <w:sz w:val="24"/>
                <w:szCs w:val="24"/>
                <w:lang w:eastAsia="zh-CN"/>
              </w:rPr>
              <w:t>磋商小组专家确定方式：陕西省政府采购综合管理平台</w:t>
            </w:r>
            <w:r>
              <w:rPr>
                <w:rFonts w:hint="eastAsia" w:ascii="宋体" w:hAnsi="宋体" w:cs="宋体"/>
                <w:color w:val="000000"/>
                <w:kern w:val="0"/>
                <w:sz w:val="24"/>
                <w:szCs w:val="24"/>
                <w:lang w:eastAsia="zh-CN"/>
              </w:rPr>
              <w:t>专</w:t>
            </w:r>
            <w:r>
              <w:rPr>
                <w:rFonts w:hint="eastAsia" w:ascii="宋体" w:hAnsi="宋体" w:eastAsia="宋体" w:cs="宋体"/>
                <w:color w:val="000000"/>
                <w:kern w:val="0"/>
                <w:sz w:val="24"/>
                <w:szCs w:val="24"/>
                <w:lang w:eastAsia="zh-CN"/>
              </w:rPr>
              <w:t>家库随机抽取</w:t>
            </w:r>
            <w:r>
              <w:rPr>
                <w:rFonts w:hint="eastAsia" w:ascii="宋体" w:hAnsi="宋体" w:eastAsia="宋体" w:cs="宋体"/>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是否授权磋商小组确定成交供应商</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否,</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小组推荐3名成交候选供应商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7.3.1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履约担保</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专门面向</w:t>
            </w:r>
            <w:r>
              <w:rPr>
                <w:rFonts w:hint="eastAsia" w:ascii="宋体" w:hAnsi="宋体" w:cs="宋体"/>
                <w:color w:val="000000" w:themeColor="text1"/>
                <w:sz w:val="24"/>
                <w:szCs w:val="24"/>
                <w:lang w:val="en-US" w:eastAsia="zh-CN"/>
                <w14:textFill>
                  <w14:solidFill>
                    <w14:schemeClr w14:val="tx1"/>
                  </w14:solidFill>
                </w14:textFill>
              </w:rPr>
              <w:t>小微</w:t>
            </w:r>
            <w:r>
              <w:rPr>
                <w:rFonts w:hint="eastAsia" w:ascii="宋体" w:hAnsi="宋体" w:eastAsia="宋体" w:cs="宋体"/>
                <w:color w:val="000000" w:themeColor="text1"/>
                <w:sz w:val="24"/>
                <w:szCs w:val="24"/>
                <w:lang w:eastAsia="zh-CN"/>
                <w14:textFill>
                  <w14:solidFill>
                    <w14:schemeClr w14:val="tx1"/>
                  </w14:solidFill>
                </w14:textFill>
              </w:rPr>
              <w:t>企业采购</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是</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否</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采购标的所属行业</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农、林、牧、渔业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kern w:val="2"/>
                <w:sz w:val="24"/>
                <w:szCs w:val="24"/>
                <w:lang w:val="en-US" w:eastAsia="zh-CN"/>
              </w:rPr>
              <w:t>10</w:t>
            </w:r>
          </w:p>
        </w:tc>
        <w:tc>
          <w:tcPr>
            <w:tcW w:w="944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7"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代理服务费收费标准：</w:t>
            </w:r>
            <w:r>
              <w:rPr>
                <w:rFonts w:hint="eastAsia" w:ascii="宋体" w:hAnsi="宋体" w:eastAsia="宋体" w:cs="宋体"/>
                <w:color w:val="000000" w:themeColor="text1"/>
                <w:sz w:val="24"/>
                <w:szCs w:val="24"/>
                <w14:textFill>
                  <w14:solidFill>
                    <w14:schemeClr w14:val="tx1"/>
                  </w14:solidFill>
                </w14:textFill>
              </w:rPr>
              <w:t>采购代理机构参照国家计委关于印发《招标代理服务收费管理暂行办法》计价格[2002]1980号文和</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国家发展改革委关于降低部分建设项目收费标准规范收费行为等有关问题的通知</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发改价格[2011]534号</w:t>
            </w:r>
            <w:r>
              <w:rPr>
                <w:rFonts w:hint="eastAsia" w:ascii="宋体" w:hAnsi="宋体" w:eastAsia="宋体" w:cs="宋体"/>
                <w:color w:val="000000" w:themeColor="text1"/>
                <w:sz w:val="24"/>
                <w:szCs w:val="24"/>
                <w:lang w:eastAsia="zh-CN"/>
                <w14:textFill>
                  <w14:solidFill>
                    <w14:schemeClr w14:val="tx1"/>
                  </w14:solidFill>
                </w14:textFill>
              </w:rPr>
              <w:t>规</w:t>
            </w:r>
            <w:r>
              <w:rPr>
                <w:rFonts w:hint="eastAsia" w:ascii="宋体" w:hAnsi="宋体" w:eastAsia="宋体" w:cs="宋体"/>
                <w:color w:val="000000" w:themeColor="text1"/>
                <w:sz w:val="24"/>
                <w:szCs w:val="24"/>
                <w14:textFill>
                  <w14:solidFill>
                    <w14:schemeClr w14:val="tx1"/>
                  </w14:solidFill>
                </w14:textFill>
              </w:rPr>
              <w:t>定标准收取代理服务费</w:t>
            </w:r>
            <w:r>
              <w:rPr>
                <w:rFonts w:hint="eastAsia" w:ascii="宋体" w:hAnsi="宋体" w:eastAsia="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sz w:val="24"/>
                <w:szCs w:val="24"/>
                <w:lang w:eastAsia="zh-CN"/>
              </w:rPr>
              <w:t>磋商文件</w:t>
            </w:r>
            <w:r>
              <w:rPr>
                <w:rFonts w:hint="eastAsia" w:ascii="宋体" w:hAnsi="宋体" w:eastAsia="宋体" w:cs="宋体"/>
                <w:b/>
                <w:bCs/>
                <w:sz w:val="24"/>
                <w:szCs w:val="24"/>
              </w:rPr>
              <w:t>的最终解释权归</w:t>
            </w:r>
            <w:r>
              <w:rPr>
                <w:rFonts w:hint="eastAsia" w:ascii="宋体" w:hAnsi="宋体" w:eastAsia="宋体" w:cs="宋体"/>
                <w:b/>
                <w:bCs/>
                <w:sz w:val="24"/>
                <w:szCs w:val="24"/>
                <w:lang w:eastAsia="zh-CN"/>
              </w:rPr>
              <w:t>采购代理机构</w:t>
            </w:r>
            <w:r>
              <w:rPr>
                <w:rFonts w:hint="eastAsia" w:ascii="宋体" w:hAnsi="宋体" w:eastAsia="宋体" w:cs="宋体"/>
                <w:b/>
                <w:bCs/>
                <w:sz w:val="24"/>
                <w:szCs w:val="24"/>
              </w:rPr>
              <w:t>所有</w:t>
            </w:r>
          </w:p>
        </w:tc>
      </w:tr>
    </w:tbl>
    <w:p>
      <w:pPr>
        <w:spacing w:line="360" w:lineRule="auto"/>
        <w:jc w:val="left"/>
        <w:rPr>
          <w:rFonts w:hint="eastAsia" w:ascii="宋体" w:hAnsi="宋体" w:eastAsia="宋体" w:cs="宋体"/>
          <w:color w:val="000000" w:themeColor="text1"/>
          <w14:textFill>
            <w14:solidFill>
              <w14:schemeClr w14:val="tx1"/>
            </w14:solidFill>
          </w14:textFill>
        </w:rPr>
        <w:sectPr>
          <w:pgSz w:w="11906" w:h="16838"/>
          <w:pgMar w:top="1440" w:right="1440" w:bottom="1440" w:left="1440" w:header="851" w:footer="992" w:gutter="0"/>
          <w:pgNumType w:fmt="decimal"/>
          <w:cols w:space="720" w:num="1"/>
          <w:titlePg/>
          <w:docGrid w:linePitch="312" w:charSpace="0"/>
        </w:sectPr>
      </w:pP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11" w:name="_Toc420591643"/>
      <w:bookmarkStart w:id="12" w:name="_Toc13586"/>
      <w:bookmarkStart w:id="13" w:name="_Toc421778365"/>
      <w:bookmarkStart w:id="14" w:name="_Toc526842683"/>
      <w:bookmarkStart w:id="15" w:name="_Toc425240464"/>
      <w:r>
        <w:rPr>
          <w:rFonts w:hint="eastAsia" w:ascii="宋体" w:hAnsi="宋体" w:eastAsia="宋体" w:cs="宋体"/>
          <w:b/>
          <w:color w:val="000000" w:themeColor="text1"/>
          <w:sz w:val="28"/>
          <w:szCs w:val="28"/>
          <w14:textFill>
            <w14:solidFill>
              <w14:schemeClr w14:val="tx1"/>
            </w14:solidFill>
          </w14:textFill>
        </w:rPr>
        <w:t>1．总则</w:t>
      </w:r>
      <w:bookmarkEnd w:id="11"/>
      <w:bookmarkEnd w:id="12"/>
      <w:bookmarkEnd w:id="13"/>
      <w:bookmarkEnd w:id="14"/>
      <w:bookmarkEnd w:id="15"/>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1.1 项目概况</w:t>
      </w:r>
    </w:p>
    <w:p>
      <w:pPr>
        <w:pStyle w:val="14"/>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1.1.1 根据《中华人民共和国招标投标法》、《中华人民共和国招标投标法实施条例》、《中华人民共和国政府采购法》、《中华人民共和国政府采购法实施条例》、《政府采购货物和服务招标投标管理办法--财政部令第87号》等有关法律、法规和规章的规定，本</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项目己具备</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条件，现对本</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项目进行竞争性磋商。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1.1.2 本项目采购人：见供应商须知前附表。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 本项目采购代理机构：见供应商须知前附表。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1.1.4</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本项目名称：见供应商须知前附表。</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1.2 资金来源和落实情况</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1.2.1 本项目的资金来源：见供应商须知前附表。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1.2.2 本项目的资金落实情况：见供应商须知前附表。</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1.3 磋商范围、</w:t>
      </w:r>
      <w:r>
        <w:rPr>
          <w:rFonts w:hint="eastAsia" w:ascii="宋体" w:hAnsi="宋体" w:eastAsia="宋体" w:cs="宋体"/>
          <w:b/>
          <w:color w:val="000000" w:themeColor="text1"/>
          <w:sz w:val="28"/>
          <w:szCs w:val="28"/>
          <w:lang w:eastAsia="zh-CN"/>
          <w14:textFill>
            <w14:solidFill>
              <w14:schemeClr w14:val="tx1"/>
            </w14:solidFill>
          </w14:textFill>
        </w:rPr>
        <w:t>工期</w:t>
      </w:r>
      <w:r>
        <w:rPr>
          <w:rFonts w:hint="eastAsia" w:ascii="宋体" w:hAnsi="宋体" w:cs="宋体"/>
          <w:b/>
          <w:color w:val="000000" w:themeColor="text1"/>
          <w:sz w:val="28"/>
          <w:szCs w:val="28"/>
          <w:lang w:eastAsia="zh-CN"/>
          <w14:textFill>
            <w14:solidFill>
              <w14:schemeClr w14:val="tx1"/>
            </w14:solidFill>
          </w14:textFill>
        </w:rPr>
        <w:t>、质保期</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1.3.1 本次磋商范围：见供应商须知前附表。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1.3.2 本项目的</w:t>
      </w:r>
      <w:r>
        <w:rPr>
          <w:rFonts w:hint="eastAsia" w:ascii="宋体" w:hAnsi="宋体" w:eastAsia="宋体" w:cs="宋体"/>
          <w:color w:val="000000" w:themeColor="text1"/>
          <w:sz w:val="28"/>
          <w:szCs w:val="28"/>
          <w:lang w:eastAsia="zh-CN"/>
          <w14:textFill>
            <w14:solidFill>
              <w14:schemeClr w14:val="tx1"/>
            </w14:solidFill>
          </w14:textFill>
        </w:rPr>
        <w:t>工期</w:t>
      </w:r>
      <w:r>
        <w:rPr>
          <w:rFonts w:hint="eastAsia" w:ascii="宋体" w:hAnsi="宋体" w:eastAsia="宋体" w:cs="宋体"/>
          <w:color w:val="000000" w:themeColor="text1"/>
          <w:sz w:val="28"/>
          <w:szCs w:val="28"/>
          <w14:textFill>
            <w14:solidFill>
              <w14:schemeClr w14:val="tx1"/>
            </w14:solidFill>
          </w14:textFill>
        </w:rPr>
        <w:t>：见供应商须知前附表。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 xml:space="preserve"> 本项目的</w:t>
      </w:r>
      <w:r>
        <w:rPr>
          <w:rFonts w:hint="eastAsia" w:ascii="宋体" w:hAnsi="宋体" w:cs="宋体"/>
          <w:color w:val="000000" w:themeColor="text1"/>
          <w:sz w:val="28"/>
          <w:szCs w:val="28"/>
          <w:lang w:eastAsia="zh-CN"/>
          <w14:textFill>
            <w14:solidFill>
              <w14:schemeClr w14:val="tx1"/>
            </w14:solidFill>
          </w14:textFill>
        </w:rPr>
        <w:t>质保期</w:t>
      </w:r>
      <w:r>
        <w:rPr>
          <w:rFonts w:hint="eastAsia" w:ascii="宋体" w:hAnsi="宋体" w:eastAsia="宋体" w:cs="宋体"/>
          <w:color w:val="000000" w:themeColor="text1"/>
          <w:sz w:val="28"/>
          <w:szCs w:val="28"/>
          <w14:textFill>
            <w14:solidFill>
              <w14:schemeClr w14:val="tx1"/>
            </w14:solidFill>
          </w14:textFill>
        </w:rPr>
        <w:t>：见供应商须知前附表。</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1.4 供应商资格要求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1.4.1 供应商应具备承担本项目</w:t>
      </w:r>
      <w:r>
        <w:rPr>
          <w:rFonts w:hint="eastAsia" w:ascii="宋体" w:hAnsi="宋体" w:cs="宋体"/>
          <w:color w:val="000000" w:themeColor="text1"/>
          <w:sz w:val="28"/>
          <w:szCs w:val="28"/>
          <w:lang w:eastAsia="zh-CN"/>
          <w14:textFill>
            <w14:solidFill>
              <w14:schemeClr w14:val="tx1"/>
            </w14:solidFill>
          </w14:textFill>
        </w:rPr>
        <w:t>工程</w:t>
      </w:r>
      <w:r>
        <w:rPr>
          <w:rFonts w:hint="eastAsia" w:ascii="宋体" w:hAnsi="宋体" w:eastAsia="宋体" w:cs="宋体"/>
          <w:color w:val="000000" w:themeColor="text1"/>
          <w:sz w:val="28"/>
          <w:szCs w:val="28"/>
          <w14:textFill>
            <w14:solidFill>
              <w14:schemeClr w14:val="tx1"/>
            </w14:solidFill>
          </w14:textFill>
        </w:rPr>
        <w:t>的资质条件、能力和信誉。供应商应是通过投标报名并购买</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文件的单位。</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1.4.2 供应商须知前附表规定接受联合体</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 xml:space="preserve">的，除应符合本章第1.4.1项和供应商须知前附表的要求外，还应遵守以下规定：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（1）联合体各方应按</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文件提供的格式签订联合体协议书，明确联合体牵头人和各方权利义务；</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（2）由同一专业的单位组成的联合体，按照资质等级较低的单位确定资质等级；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（3）联合体各方不得再以自己名义单独或参加其他联合体在同一标段中</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1.4.3 供应商不得存在下列情形之一：</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（1）为采购人不具有独立法人资格的附属机构（单位）；</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（2）为本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项目前期准备提供咨询服务的；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（3）为本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项目的监理人；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（4）为本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项目的代建人；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（5）为本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项目提供采购代理服务的；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（6）与本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项目的监理人或代建人或采购代理机构同为一个法定代表人的；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（7）与本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项目的监理人或代建人或采购代理机构相互控股或参股的；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（8）与本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项目的监理人或代建人或采购代理机构相互任职或工作的；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（9）被责令停业的；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（10）被暂停或取消</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资格的；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（11）财产被接管或冻结的；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（12）在最近三年内有骗取中标或严重违约或重大</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质量问题的。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（13）与采购人存在利害关系可能影响招标公正性的法人、其他组织或者个人，不得参加</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（14）单位负责人为同一人或者存在控股、管理关系的不同单位，不得参加同一标段</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或者未划分标段的同一</w:t>
      </w:r>
      <w:r>
        <w:rPr>
          <w:rFonts w:hint="eastAsia" w:ascii="宋体" w:hAnsi="宋体" w:eastAsia="宋体" w:cs="宋体"/>
          <w:color w:val="000000"/>
          <w:sz w:val="28"/>
          <w:szCs w:val="28"/>
        </w:rPr>
        <w:t>采购项目</w:t>
      </w:r>
      <w:r>
        <w:rPr>
          <w:rFonts w:hint="eastAsia" w:ascii="宋体" w:hAnsi="宋体" w:eastAsia="宋体" w:cs="宋体"/>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1.5 费用承担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供应商准备和参加</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活动发生的费用自理。</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1.6 保密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参与招标投标活动的各方应对磋商文件和磋商响应文件中的商业和技术等秘密保密，违者应对由此造成的后果承担法律责任。</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1.7 语言文字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除专用术语外，与招标投标有关的语言均使用中文。必要时专用术语应附有中文注释。</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1.8 计量单位</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所有计量均采用中华人民共和国法定计量单位。</w:t>
      </w:r>
    </w:p>
    <w:p>
      <w:pPr>
        <w:pStyle w:val="6"/>
        <w:pageBreakBefore w:val="0"/>
        <w:widowControl w:val="0"/>
        <w:kinsoku/>
        <w:wordWrap/>
        <w:overflowPunct/>
        <w:topLinePunct w:val="0"/>
        <w:autoSpaceDE/>
        <w:autoSpaceDN/>
        <w:bidi w:val="0"/>
        <w:adjustRightInd/>
        <w:spacing w:before="0" w:after="0" w:line="36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 9投标预备会：</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6" w:name="_Toc343511447"/>
      <w:r>
        <w:rPr>
          <w:rFonts w:hint="eastAsia" w:ascii="宋体" w:hAnsi="宋体" w:eastAsia="宋体" w:cs="宋体"/>
          <w:color w:val="000000" w:themeColor="text1"/>
          <w:sz w:val="28"/>
          <w:szCs w:val="28"/>
          <w14:textFill>
            <w14:solidFill>
              <w14:schemeClr w14:val="tx1"/>
            </w14:solidFill>
          </w14:textFill>
        </w:rPr>
        <w:t xml:space="preserve">1.9.1 </w:t>
      </w:r>
      <w:bookmarkEnd w:id="16"/>
      <w:r>
        <w:rPr>
          <w:rFonts w:hint="eastAsia" w:ascii="宋体" w:hAnsi="宋体" w:eastAsia="宋体" w:cs="宋体"/>
          <w:color w:val="000000" w:themeColor="text1"/>
          <w:sz w:val="28"/>
          <w:szCs w:val="28"/>
          <w14:textFill>
            <w14:solidFill>
              <w14:schemeClr w14:val="tx1"/>
            </w14:solidFill>
          </w14:textFill>
        </w:rPr>
        <w:t>供应商须知前附表规定召开投标预备会的，采购人按供应商须知前附表规定的时间和地点召开投标预备会，澄清供应商提出的问题。</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7" w:name="_Toc343511448"/>
      <w:r>
        <w:rPr>
          <w:rFonts w:hint="eastAsia" w:ascii="宋体" w:hAnsi="宋体" w:eastAsia="宋体" w:cs="宋体"/>
          <w:color w:val="000000" w:themeColor="text1"/>
          <w:sz w:val="28"/>
          <w:szCs w:val="28"/>
          <w14:textFill>
            <w14:solidFill>
              <w14:schemeClr w14:val="tx1"/>
            </w14:solidFill>
          </w14:textFill>
        </w:rPr>
        <w:t xml:space="preserve">1.9.2 </w:t>
      </w:r>
      <w:bookmarkEnd w:id="17"/>
      <w:r>
        <w:rPr>
          <w:rFonts w:hint="eastAsia" w:ascii="宋体" w:hAnsi="宋体" w:eastAsia="宋体" w:cs="宋体"/>
          <w:color w:val="000000" w:themeColor="text1"/>
          <w:sz w:val="28"/>
          <w:szCs w:val="28"/>
          <w14:textFill>
            <w14:solidFill>
              <w14:schemeClr w14:val="tx1"/>
            </w14:solidFill>
          </w14:textFill>
        </w:rPr>
        <w:t>供应商应在供应商须知前附表规定的时间前，以书面形式将提出的问题送达采购人，以便采购人在会议期间澄清。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8" w:name="_Toc343511449"/>
      <w:r>
        <w:rPr>
          <w:rFonts w:hint="eastAsia" w:ascii="宋体" w:hAnsi="宋体" w:eastAsia="宋体" w:cs="宋体"/>
          <w:color w:val="000000" w:themeColor="text1"/>
          <w:sz w:val="28"/>
          <w:szCs w:val="28"/>
          <w14:textFill>
            <w14:solidFill>
              <w14:schemeClr w14:val="tx1"/>
            </w14:solidFill>
          </w14:textFill>
        </w:rPr>
        <w:t xml:space="preserve">1.9.3 </w:t>
      </w:r>
      <w:bookmarkEnd w:id="18"/>
      <w:r>
        <w:rPr>
          <w:rFonts w:hint="eastAsia" w:ascii="宋体" w:hAnsi="宋体" w:eastAsia="宋体" w:cs="宋体"/>
          <w:color w:val="000000" w:themeColor="text1"/>
          <w:sz w:val="28"/>
          <w:szCs w:val="28"/>
          <w14:textFill>
            <w14:solidFill>
              <w14:schemeClr w14:val="tx1"/>
            </w14:solidFill>
          </w14:textFill>
        </w:rPr>
        <w:t>投标预备会后，采购人在供应商须知前附表规定的时间内，将对供应商所提问题的澄清，以书面方式通知所有购买</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文件的供应商。该澄清内容为</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文件的组成部分。</w:t>
      </w:r>
    </w:p>
    <w:p>
      <w:pPr>
        <w:wordWrap/>
        <w:overflowPunct/>
        <w:topLinePunct w:val="0"/>
        <w:bidi w:val="0"/>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1.10 踏勘现场</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1.10.1 投标人须知前附表规定组织踏勘现场的，采购人按投标人须知前附表规定的时间、地点组织投标人踏勘项目现场。部分投标人未按时参加踏勘现场的，不影响踏勘现场的正常进行。</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1.10.2 投标人踏勘现场发生的费用自理。</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1.10.3 除采购人的原因外，投标人自行负责在踏勘现场中所发生的人员伤亡和财产损失与采购人和招标代理机构无关。</w:t>
      </w:r>
    </w:p>
    <w:p>
      <w:pPr>
        <w:wordWrap/>
        <w:overflowPunct/>
        <w:topLinePunct w:val="0"/>
        <w:bidi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sz w:val="28"/>
          <w:szCs w:val="28"/>
        </w:rPr>
        <w:t>1.10.4 采购人在踏勘现场中介绍的项目场地和相关的周边环境情况，供投标人在编制响应文件时参考，采购人不对投标人据此作出的判断和决策负责。</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19" w:name="_Toc32145"/>
      <w:bookmarkStart w:id="20" w:name="_Toc526842684"/>
      <w:bookmarkStart w:id="21" w:name="_Toc421778366"/>
      <w:bookmarkStart w:id="22" w:name="_Toc425240465"/>
      <w:bookmarkStart w:id="23" w:name="_Toc420591644"/>
      <w:r>
        <w:rPr>
          <w:rFonts w:hint="eastAsia" w:ascii="宋体" w:hAnsi="宋体" w:eastAsia="宋体" w:cs="宋体"/>
          <w:b/>
          <w:color w:val="000000" w:themeColor="text1"/>
          <w:sz w:val="28"/>
          <w:szCs w:val="28"/>
          <w14:textFill>
            <w14:solidFill>
              <w14:schemeClr w14:val="tx1"/>
            </w14:solidFill>
          </w14:textFill>
        </w:rPr>
        <w:t>2．磋商文件</w:t>
      </w:r>
      <w:bookmarkEnd w:id="19"/>
      <w:bookmarkEnd w:id="20"/>
      <w:bookmarkEnd w:id="21"/>
      <w:bookmarkEnd w:id="22"/>
      <w:bookmarkEnd w:id="23"/>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2.1 磋商文件的组成</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本磋商文件包括：</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（1）竞争性磋商公告；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（2）供应商须知；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（3）评标办法；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r>
        <w:rPr>
          <w:rFonts w:hint="eastAsia" w:ascii="宋体" w:hAnsi="宋体" w:eastAsia="宋体" w:cs="宋体"/>
          <w:color w:val="000000"/>
          <w:sz w:val="28"/>
          <w:szCs w:val="28"/>
        </w:rPr>
        <w:t>合同</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拟签订文本</w:t>
      </w:r>
      <w:r>
        <w:rPr>
          <w:rFonts w:hint="eastAsia" w:ascii="宋体" w:hAnsi="宋体" w:eastAsia="宋体" w:cs="宋体"/>
          <w:color w:val="000000"/>
          <w:sz w:val="28"/>
          <w:szCs w:val="28"/>
          <w:lang w:eastAsia="zh-CN"/>
        </w:rPr>
        <w:t>）</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（5）技术标准和要求；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（6）磋商响应文件格式；</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（7）供应商须知前附表规定的其他材料。</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根据本章第1.</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款、第2.2 款和第2.3 款对磋商文件所作的澄清、修改，构成磋商文件的组成部分。</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2.2 磋商文件的澄清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2.2.1 供应商应仔细阅读和检查磋商文件的全部内容。如发现缺页或附件不全，应及时向采购人提出，以便补齐。如有疑问，应在供应商须知前附表规定的时间前以书面</w:t>
      </w:r>
      <w:bookmarkStart w:id="24" w:name="_Hlk525807954"/>
      <w:r>
        <w:rPr>
          <w:rFonts w:hint="eastAsia" w:ascii="宋体" w:hAnsi="宋体" w:eastAsia="宋体" w:cs="宋体"/>
          <w:color w:val="000000" w:themeColor="text1"/>
          <w:sz w:val="28"/>
          <w:szCs w:val="28"/>
          <w14:textFill>
            <w14:solidFill>
              <w14:schemeClr w14:val="tx1"/>
            </w14:solidFill>
          </w14:textFill>
        </w:rPr>
        <w:t>形式（包括信函、电报、传真等可以有形地表现所载内容的形式，下同）并将电子版发至</w:t>
      </w:r>
      <w:bookmarkEnd w:id="24"/>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"mailto:sxzb9@126.com" </w:instrText>
      </w:r>
      <w:r>
        <w:rPr>
          <w:rFonts w:hint="eastAsia" w:ascii="宋体" w:hAnsi="宋体" w:eastAsia="宋体" w:cs="宋体"/>
          <w:color w:val="000000"/>
          <w:sz w:val="28"/>
          <w:szCs w:val="28"/>
        </w:rPr>
        <w:fldChar w:fldCharType="separate"/>
      </w:r>
      <w:r>
        <w:rPr>
          <w:rFonts w:hint="eastAsia" w:ascii="宋体" w:hAnsi="宋体" w:cs="宋体"/>
          <w:color w:val="000000"/>
          <w:sz w:val="28"/>
          <w:szCs w:val="28"/>
          <w:lang w:val="en-US" w:eastAsia="zh-CN"/>
        </w:rPr>
        <w:t>471993164@qq.com</w:t>
      </w:r>
      <w:r>
        <w:rPr>
          <w:rFonts w:hint="eastAsia" w:ascii="宋体" w:hAnsi="宋体" w:eastAsia="宋体" w:cs="宋体"/>
          <w:color w:val="000000"/>
          <w:sz w:val="28"/>
          <w:szCs w:val="28"/>
        </w:rPr>
        <w:fldChar w:fldCharType="end"/>
      </w:r>
      <w:r>
        <w:rPr>
          <w:rFonts w:hint="eastAsia" w:ascii="宋体" w:hAnsi="宋体" w:eastAsia="宋体" w:cs="宋体"/>
          <w:color w:val="000000" w:themeColor="text1"/>
          <w:sz w:val="28"/>
          <w:szCs w:val="28"/>
          <w14:textFill>
            <w14:solidFill>
              <w14:schemeClr w14:val="tx1"/>
            </w14:solidFill>
          </w14:textFill>
        </w:rPr>
        <w:t>，要求采购人对磋商文件予以澄清。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2.2.2 磋商文件的澄清将在提交首次响应文件截止之日3个工作日前以书面形式发给所有购买磋商文件的供应商，但不指明澄清问题的来源。如果澄清发出的时间距提交首次响应文件截止之日不足3个工作日，相应延长提交首次响应文件截止之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2.2.3 供应商在收到澄清后，应在供应商须知前附表规定的时间内以书面形式通知采购人，确认己收到该澄清。</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2.3 磋商文件的修改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2.3.1 在提交首次响应文件截止之日3个工作日前，采购人可以书面形式修改磋商文件，并通知所有已购买磋商文件的供应商。如果修改磋商文件的时间距提交首次响应文件截止之日不足3个工作日，相应延长提交首次响应文件截止之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25" w:name="_Toc420591645"/>
      <w:r>
        <w:rPr>
          <w:rFonts w:hint="eastAsia" w:ascii="宋体" w:hAnsi="宋体" w:eastAsia="宋体" w:cs="宋体"/>
          <w:color w:val="000000" w:themeColor="text1"/>
          <w:sz w:val="28"/>
          <w:szCs w:val="28"/>
          <w14:textFill>
            <w14:solidFill>
              <w14:schemeClr w14:val="tx1"/>
            </w14:solidFill>
          </w14:textFill>
        </w:rPr>
        <w:t>2.3.2 供应商收到修改内容后，应在供应商须知前附表规定的时间内以书面形式通知采购人，确认己收到该修改。</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bookmarkStart w:id="26" w:name="_Hlk525808648"/>
      <w:r>
        <w:rPr>
          <w:rFonts w:hint="eastAsia" w:ascii="宋体" w:hAnsi="宋体" w:eastAsia="宋体" w:cs="宋体"/>
          <w:b/>
          <w:color w:val="000000" w:themeColor="text1"/>
          <w:sz w:val="28"/>
          <w:szCs w:val="28"/>
          <w14:textFill>
            <w14:solidFill>
              <w14:schemeClr w14:val="tx1"/>
            </w14:solidFill>
          </w14:textFill>
        </w:rPr>
        <w:t>2.4澄清或者修改有关法律条文</w:t>
      </w:r>
    </w:p>
    <w:bookmarkEnd w:id="26"/>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bookmarkStart w:id="27" w:name="_Hlk525809582"/>
      <w:r>
        <w:rPr>
          <w:rFonts w:hint="eastAsia" w:ascii="宋体" w:hAnsi="宋体" w:eastAsia="宋体" w:cs="宋体"/>
          <w:b/>
          <w:color w:val="000000" w:themeColor="text1"/>
          <w:sz w:val="28"/>
          <w:szCs w:val="28"/>
          <w14:textFill>
            <w14:solidFill>
              <w14:schemeClr w14:val="tx1"/>
            </w14:solidFill>
          </w14:textFill>
        </w:rPr>
        <w:t>2.4.1 中华人民共和国财政部令第87号--政府采购货物和服务招标投标管理办法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第二十七条 采购人或者采购代理机构可以对已发出的</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文件、资格预审文件、投标邀请书进行必要的澄清或者修改，但不得改变采购标的和资格条件。澄清或者修改应当在原公告发布媒体上发布澄清公告。澄清或者修改的内容为</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、资格预审文件、投标邀请书的组成部分。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澄清或者修改的内容可能影响</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编制的，采购人或者采购代理机构应当在投标截止时间至少15日前，以书面形式通知所有获取</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的潜在投标人；不足15日的，采购人或者采购代理机构应当顺延提交</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的截止时间。</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bookmarkEnd w:id="27"/>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2.4.2 关于做好政府采购信息公开工作的通知--财库[2015]135号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6.更正事项。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采购人或者采购代理机构对已发出的</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资格预审文件，以及采用公告方式邀请供应商参与的竞争性谈判文件、竞争性磋商文件进行必要的澄清或者修改的，应当在原公告发布媒体上发布更正公告，并以书面形式通知所有获取采购文件的潜在供应商。采购信息更正公告的内容应当包括采购人和采购代理机构名称、地址、联系方式，原公告的</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名称及首次公告日期，更正事项、内容及日期，</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联系人和电话。</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澄清或者修改的内容可能影响</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、资格预审申请文件、响应文件编制的，采购人或者采购代理机构发布澄清公告并以书面形式通知潜在供应商的时间，应当在投标截止时间至少</w:t>
      </w:r>
      <w:r>
        <w:rPr>
          <w:rFonts w:hint="eastAsia" w:ascii="宋体" w:hAnsi="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日前、提交资格预审申请文件截止时间至少</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日前，或者提交首次响应文件截止之日</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个工作日前；不足上述时间的，应当顺延提交</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、资格预审申请文件或响应文件的截止时间。</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2.4.3财政部关于印发《政府采购竞争性磋商采购方式管理暂行办法》的通知--财库〔2014〕214号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第十条 从磋商文件发出之日起至供应商提交首次响应文件截止之日止不得少于10日。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磋商文件售价应当按照弥补磋商文件制作成本费用的原则确定，不得以营利为目的，不得以项目预算金额作为确定磋商文件售价依据。磋商文件的发售期限自开始之日起不得少于5个工作日。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28" w:name="_Toc425240466"/>
      <w:bookmarkStart w:id="29" w:name="_Toc526842685"/>
      <w:bookmarkStart w:id="30" w:name="_Toc421778367"/>
      <w:bookmarkStart w:id="31" w:name="_Toc27230"/>
      <w:r>
        <w:rPr>
          <w:rFonts w:hint="eastAsia" w:ascii="宋体" w:hAnsi="宋体" w:eastAsia="宋体" w:cs="宋体"/>
          <w:b/>
          <w:color w:val="000000" w:themeColor="text1"/>
          <w:sz w:val="28"/>
          <w:szCs w:val="28"/>
          <w14:textFill>
            <w14:solidFill>
              <w14:schemeClr w14:val="tx1"/>
            </w14:solidFill>
          </w14:textFill>
        </w:rPr>
        <w:t>3．磋商响应文件</w:t>
      </w:r>
      <w:bookmarkEnd w:id="25"/>
      <w:bookmarkEnd w:id="28"/>
      <w:bookmarkEnd w:id="29"/>
      <w:bookmarkEnd w:id="30"/>
      <w:bookmarkEnd w:id="31"/>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3.1 磋商响应文件的组成</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3.1.1 磋商响应文件应包括下列内容：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响应</w:t>
      </w:r>
      <w:r>
        <w:rPr>
          <w:rFonts w:hint="eastAsia" w:ascii="宋体" w:hAnsi="宋体" w:eastAsia="宋体" w:cs="宋体"/>
          <w:color w:val="000000" w:themeColor="text1"/>
          <w:sz w:val="28"/>
          <w:szCs w:val="28"/>
          <w14:textFill>
            <w14:solidFill>
              <w14:schemeClr w14:val="tx1"/>
            </w14:solidFill>
          </w14:textFill>
        </w:rPr>
        <w:t>函</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2）磋商一览表（</w:t>
      </w:r>
      <w:r>
        <w:rPr>
          <w:rFonts w:hint="eastAsia" w:ascii="宋体" w:hAnsi="宋体" w:cs="宋体"/>
          <w:color w:val="000000" w:themeColor="text1"/>
          <w:sz w:val="28"/>
          <w:szCs w:val="28"/>
          <w:lang w:val="en-US" w:eastAsia="zh-CN"/>
          <w14:textFill>
            <w14:solidFill>
              <w14:schemeClr w14:val="tx1"/>
            </w14:solidFill>
          </w14:textFill>
        </w:rPr>
        <w:t>一</w:t>
      </w:r>
      <w:r>
        <w:rPr>
          <w:rFonts w:hint="eastAsia" w:ascii="宋体" w:hAnsi="宋体" w:eastAsia="宋体" w:cs="宋体"/>
          <w:color w:val="000000" w:themeColor="text1"/>
          <w:sz w:val="28"/>
          <w:szCs w:val="28"/>
          <w14:textFill>
            <w14:solidFill>
              <w14:schemeClr w14:val="tx1"/>
            </w14:solidFill>
          </w14:textFill>
        </w:rPr>
        <w:t>次）</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3）法定代表人身份证明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4）法定代表人授权委托书</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）技术方案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）商务方案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）陕西省政府采购供应商拒绝政府采购领域商业贿赂承诺书</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t>）资格审查资料</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）其它资料</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3.1.2本次</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的最小单元为“项目”，供应商可根据自身的资质情况和经营范围进行</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，但不得将其子目自行分解或针对该项目中的品目进行不完全</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，任何不完全的</w:t>
      </w:r>
      <w:r>
        <w:rPr>
          <w:rFonts w:hint="eastAsia" w:ascii="宋体" w:hAnsi="宋体" w:cs="宋体"/>
          <w:color w:val="000000" w:themeColor="text1"/>
          <w:sz w:val="28"/>
          <w:szCs w:val="28"/>
          <w:lang w:eastAsia="zh-CN"/>
          <w14:textFill>
            <w14:solidFill>
              <w14:schemeClr w14:val="tx1"/>
            </w14:solidFill>
          </w14:textFill>
        </w:rPr>
        <w:t>响应</w:t>
      </w:r>
      <w:r>
        <w:rPr>
          <w:rFonts w:hint="eastAsia" w:ascii="宋体" w:hAnsi="宋体" w:eastAsia="宋体" w:cs="宋体"/>
          <w:color w:val="000000" w:themeColor="text1"/>
          <w:sz w:val="28"/>
          <w:szCs w:val="28"/>
          <w14:textFill>
            <w14:solidFill>
              <w14:schemeClr w14:val="tx1"/>
            </w14:solidFill>
          </w14:textFill>
        </w:rPr>
        <w:t>将按无效</w:t>
      </w:r>
      <w:r>
        <w:rPr>
          <w:rFonts w:hint="eastAsia" w:ascii="宋体" w:hAnsi="宋体" w:cs="宋体"/>
          <w:color w:val="000000" w:themeColor="text1"/>
          <w:sz w:val="28"/>
          <w:szCs w:val="28"/>
          <w:lang w:eastAsia="zh-CN"/>
          <w14:textFill>
            <w14:solidFill>
              <w14:schemeClr w14:val="tx1"/>
            </w14:solidFill>
          </w14:textFill>
        </w:rPr>
        <w:t>响应</w:t>
      </w:r>
      <w:r>
        <w:rPr>
          <w:rFonts w:hint="eastAsia" w:ascii="宋体" w:hAnsi="宋体" w:eastAsia="宋体" w:cs="宋体"/>
          <w:color w:val="000000" w:themeColor="text1"/>
          <w:sz w:val="28"/>
          <w:szCs w:val="28"/>
          <w14:textFill>
            <w14:solidFill>
              <w14:schemeClr w14:val="tx1"/>
            </w14:solidFill>
          </w14:textFill>
        </w:rPr>
        <w:t>处理。</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3.2 磋商报价</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3.2.1供应商应对此项目进行全面响应，不得将其中所列的所有服务内容拆开报价。凡本磋商文件要求（或允许）及供应商认为需要进行</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的各项费用项目（不论是否要求进入报价），若投标时未报或未在磋商响应文件中予以说明，采购人将认为这些费用供应商已计取，并包含在总报价中（项目内容、项目量调整除外）</w:t>
      </w:r>
      <w:r>
        <w:rPr>
          <w:rFonts w:hint="eastAsia" w:ascii="宋体" w:hAnsi="宋体" w:cs="宋体"/>
          <w:color w:val="000000" w:themeColor="text1"/>
          <w:sz w:val="28"/>
          <w:szCs w:val="28"/>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3.2.2所有根据合同或其它原因应由磋商单位支付的税款和其它应交纳的费用都要包括在磋商单位提交的磋商报价中。</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3.2.3磋商单位的磋商报价在合同执行过程中是固定不变的，不得以任何理由予以变更。任何包含价格调整要求的磋商，将被认为是非响应性磋商而予以拒绝。</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3.2.4磋商单位的磋商报价明显不合理或者低于成本，有可能影响服务质量和不能诚信履约的，可要求该磋商单位在规定的期限内提供书面文件予以解释说明，并提交相关证明材料；否则，磋商小组可以拒绝该磋商单位的磋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3.2.5凡因对磋商文件阅读不深、理解不透、误解、疏漏或因对市场行情了解不清而造成的后果和风险均由磋商单位自负。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3.2.6供应商应对此项目进行全面响应，不得将其中所列的所有货物内容拆开报价。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3.2.7凡本磋商文件要求（或允许）及供应商认为需要进行</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的各项费用项目（不论是否要求进入报价），若</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时未报或未在磋商响应文件中予以说明，采购人将认为这些费用供应商已计取，并包含在总报价中（项目内容、项目量调整除外）。</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3.2.8供应商不得以低于成本的报价参加</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，当磋商小组认为供应商的报价明显不合理或低于成本价，有可能影响商品质量和不能诚信履约的，可要求供应商提供书面说明，并提交相关证明，否则，可拒绝供应商的磋商响应文件。</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3.2.9第二次报价。</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进入评审阶段，磋商小组与供应商磋商后，各有效供应商进行第二次报价。此报价作为最终报价评定的依据。</w:t>
      </w:r>
      <w:r>
        <w:rPr>
          <w:rFonts w:hint="eastAsia" w:ascii="宋体" w:hAnsi="宋体" w:eastAsia="宋体" w:cs="宋体"/>
          <w:color w:val="000000"/>
          <w:sz w:val="28"/>
          <w:szCs w:val="28"/>
          <w:lang w:val="en-US" w:eastAsia="zh-CN"/>
        </w:rPr>
        <w:t>以二次报价为最终成交价（二次报价单由代理公司提供）。</w:t>
      </w:r>
      <w:r>
        <w:rPr>
          <w:rFonts w:hint="eastAsia" w:ascii="宋体" w:hAnsi="宋体" w:eastAsia="宋体" w:cs="宋体"/>
          <w:color w:val="000000"/>
          <w:sz w:val="28"/>
          <w:szCs w:val="28"/>
        </w:rPr>
        <w:t xml:space="preserve">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3.2.10最低磋商报价不作为成交的唯一条件，须经磋商报价、技术部分、商务部分等综合评定。</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 投标有效期</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3.3.1 在供应商须知前附表规定的投标有效期内，供应商不得要求撤销或修改其磋商响应文件。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3.3.2 出现特殊情况需要延长投标有效期的，采购人以书面形式通知所有供应商延长投标有效期。供应商同意延长的，应相应延长其磋商保证金的有效期，但不得要求或被允许修改或撤销其磋商响应文件；供应商拒绝延长的，其投标失效，但供应商有权收回其磋商保证金。</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3.4 磋商保证金</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32" w:name="_Hlk522170699"/>
      <w:bookmarkStart w:id="33" w:name="_Toc343511515"/>
      <w:r>
        <w:rPr>
          <w:rFonts w:hint="eastAsia" w:ascii="宋体" w:hAnsi="宋体" w:eastAsia="宋体" w:cs="宋体"/>
          <w:sz w:val="28"/>
          <w:szCs w:val="28"/>
        </w:rPr>
        <w:t>3.4.1 供应商在递交磋商响应文件的同时，应按供应商须知前附表规定的金额、担保形式</w:t>
      </w:r>
      <w:r>
        <w:rPr>
          <w:rFonts w:hint="eastAsia" w:ascii="宋体" w:hAnsi="宋体" w:eastAsia="宋体" w:cs="宋体"/>
          <w:sz w:val="28"/>
          <w:szCs w:val="28"/>
          <w:lang w:eastAsia="zh-CN"/>
        </w:rPr>
        <w:t>缴纳磋商保证金，</w:t>
      </w:r>
      <w:r>
        <w:rPr>
          <w:rFonts w:hint="eastAsia" w:ascii="宋体" w:hAnsi="宋体" w:eastAsia="宋体" w:cs="宋体"/>
          <w:sz w:val="28"/>
          <w:szCs w:val="28"/>
          <w:lang w:val="en-US" w:eastAsia="zh-CN"/>
        </w:rPr>
        <w:t>供应商的</w:t>
      </w:r>
      <w:r>
        <w:rPr>
          <w:rFonts w:hint="eastAsia" w:ascii="宋体" w:hAnsi="宋体" w:cs="宋体"/>
          <w:sz w:val="28"/>
          <w:szCs w:val="28"/>
          <w:lang w:val="en-US" w:eastAsia="zh-CN"/>
        </w:rPr>
        <w:t>磋商</w:t>
      </w:r>
      <w:r>
        <w:rPr>
          <w:rFonts w:hint="eastAsia" w:ascii="宋体" w:hAnsi="宋体" w:eastAsia="宋体" w:cs="宋体"/>
          <w:sz w:val="28"/>
          <w:szCs w:val="28"/>
          <w:lang w:val="en-US" w:eastAsia="zh-CN"/>
        </w:rPr>
        <w:t>保证金交纳时间，以银行提供的已到账单位汇款信息为准。并作为其响应文件的组成部分</w:t>
      </w:r>
      <w:r>
        <w:rPr>
          <w:rFonts w:hint="eastAsia" w:ascii="宋体" w:hAnsi="宋体" w:eastAsia="宋体" w:cs="宋体"/>
          <w:color w:val="000000"/>
          <w:sz w:val="28"/>
          <w:szCs w:val="28"/>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3.4.2 供应商不按本章第3.4.1项要求提交</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保证金的，其</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作废标处理。</w:t>
      </w:r>
    </w:p>
    <w:bookmarkEnd w:id="32"/>
    <w:bookmarkEnd w:id="33"/>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34" w:name="_Toc343511517"/>
      <w:r>
        <w:rPr>
          <w:rFonts w:hint="eastAsia" w:ascii="宋体" w:hAnsi="宋体" w:eastAsia="宋体" w:cs="宋体"/>
          <w:color w:val="000000" w:themeColor="text1"/>
          <w:sz w:val="28"/>
          <w:szCs w:val="28"/>
          <w14:textFill>
            <w14:solidFill>
              <w14:schemeClr w14:val="tx1"/>
            </w14:solidFill>
          </w14:textFill>
        </w:rPr>
        <w:t>3.4.3</w:t>
      </w:r>
      <w:bookmarkEnd w:id="34"/>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要求供应商提交</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保证金的，</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保证金不得超过</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预算金额的2%。</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保证金应当以支票、汇票、本票或者金融机构、担保机构出具的保函等非现金形式提交。供应商未按照</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要求提交</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的，投标无效。</w:t>
      </w:r>
    </w:p>
    <w:p>
      <w:pPr>
        <w:wordWrap/>
        <w:overflowPunct/>
        <w:topLinePunct w:val="0"/>
        <w:bidi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sz w:val="28"/>
          <w:szCs w:val="28"/>
        </w:rPr>
        <w:t>采购代理机构应当自</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通知书发出之日起5个工作日内退还未</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供应商的</w:t>
      </w:r>
      <w:r>
        <w:rPr>
          <w:rFonts w:hint="eastAsia" w:ascii="宋体" w:hAnsi="宋体" w:eastAsia="宋体" w:cs="宋体"/>
          <w:color w:val="000000"/>
          <w:sz w:val="28"/>
          <w:szCs w:val="28"/>
          <w:lang w:eastAsia="zh-CN"/>
        </w:rPr>
        <w:t>磋商</w:t>
      </w:r>
      <w:r>
        <w:rPr>
          <w:rFonts w:hint="eastAsia" w:ascii="宋体" w:hAnsi="宋体" w:eastAsia="宋体" w:cs="宋体"/>
          <w:color w:val="000000"/>
          <w:sz w:val="28"/>
          <w:szCs w:val="28"/>
        </w:rPr>
        <w:t>保证金，向未</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的供应商扣除银行交易手续费后退还</w:t>
      </w:r>
      <w:r>
        <w:rPr>
          <w:rFonts w:hint="eastAsia" w:ascii="宋体" w:hAnsi="宋体" w:eastAsia="宋体" w:cs="宋体"/>
          <w:color w:val="000000"/>
          <w:sz w:val="28"/>
          <w:szCs w:val="28"/>
          <w:lang w:eastAsia="zh-CN"/>
        </w:rPr>
        <w:t>磋商</w:t>
      </w:r>
      <w:r>
        <w:rPr>
          <w:rFonts w:hint="eastAsia" w:ascii="宋体" w:hAnsi="宋体" w:eastAsia="宋体" w:cs="宋体"/>
          <w:color w:val="000000"/>
          <w:sz w:val="28"/>
          <w:szCs w:val="28"/>
        </w:rPr>
        <w:t>保证金及银行同期存款利息。自政府采购合同签订之日起5个工作日内退还</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供应商的</w:t>
      </w:r>
      <w:r>
        <w:rPr>
          <w:rFonts w:hint="eastAsia" w:ascii="宋体" w:hAnsi="宋体" w:eastAsia="宋体" w:cs="宋体"/>
          <w:color w:val="000000"/>
          <w:sz w:val="28"/>
          <w:szCs w:val="28"/>
          <w:lang w:eastAsia="zh-CN"/>
        </w:rPr>
        <w:t>磋商</w:t>
      </w:r>
      <w:r>
        <w:rPr>
          <w:rFonts w:hint="eastAsia" w:ascii="宋体" w:hAnsi="宋体" w:eastAsia="宋体" w:cs="宋体"/>
          <w:color w:val="000000"/>
          <w:sz w:val="28"/>
          <w:szCs w:val="28"/>
        </w:rPr>
        <w:t>保证金向</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供应商扣除银行交易手续费后退还</w:t>
      </w:r>
      <w:r>
        <w:rPr>
          <w:rFonts w:hint="eastAsia" w:ascii="宋体" w:hAnsi="宋体" w:eastAsia="宋体" w:cs="宋体"/>
          <w:color w:val="000000"/>
          <w:sz w:val="28"/>
          <w:szCs w:val="28"/>
          <w:lang w:eastAsia="zh-CN"/>
        </w:rPr>
        <w:t>磋商</w:t>
      </w:r>
      <w:r>
        <w:rPr>
          <w:rFonts w:hint="eastAsia" w:ascii="宋体" w:hAnsi="宋体" w:eastAsia="宋体" w:cs="宋体"/>
          <w:color w:val="000000"/>
          <w:sz w:val="28"/>
          <w:szCs w:val="28"/>
        </w:rPr>
        <w:t>保证金及银行同期存款利息。</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3.4.4采购人在</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中要求供应商提交</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不得超过</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项目估算价的2%。</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有效期应当与投标有效期一致。</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依法必须进行</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的项目的境内投标单位，以现金或者支票形式提交的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应当从其基本账户转出。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采购人不得挪用</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3.4.5采购人终止</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的，应当及时发布公告，或者以书面形式通知被邀请的或者已经获取资格预审文件、</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的潜在供应商。已经发售资格预审文件、</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或者已经收取</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的，采购人应当及时退还所收取的资格预审文件、</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的费用，以及所收取的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及银行同期存款利息。</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3.4.6供应商撤回已提交的</w:t>
      </w:r>
      <w:r>
        <w:rPr>
          <w:rFonts w:hint="eastAsia" w:ascii="宋体" w:hAnsi="宋体" w:eastAsia="宋体" w:cs="宋体"/>
          <w:color w:val="000000" w:themeColor="text1"/>
          <w:sz w:val="28"/>
          <w:szCs w:val="28"/>
          <w:lang w:val="en-US" w:eastAsia="zh-CN"/>
          <w14:textFill>
            <w14:solidFill>
              <w14:schemeClr w14:val="tx1"/>
            </w14:solidFill>
          </w14:textFill>
        </w:rPr>
        <w:t>响应</w:t>
      </w:r>
      <w:r>
        <w:rPr>
          <w:rFonts w:hint="eastAsia" w:ascii="宋体" w:hAnsi="宋体" w:eastAsia="宋体" w:cs="宋体"/>
          <w:color w:val="000000" w:themeColor="text1"/>
          <w:sz w:val="28"/>
          <w:szCs w:val="28"/>
          <w14:textFill>
            <w14:solidFill>
              <w14:schemeClr w14:val="tx1"/>
            </w14:solidFill>
          </w14:textFill>
        </w:rPr>
        <w:t>文件，应当在投标截止时间前书面通知采购人。采购人已收取</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的，应当自收到供应商书面撤回通知之日起5日内退还。</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投标截止后供应商撤销</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的，采购人可以不退还</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3.4.7</w:t>
      </w:r>
      <w:r>
        <w:rPr>
          <w:rFonts w:hint="eastAsia" w:ascii="宋体" w:hAnsi="宋体" w:eastAsia="宋体" w:cs="宋体"/>
          <w:color w:val="000000"/>
          <w:sz w:val="28"/>
          <w:szCs w:val="28"/>
        </w:rPr>
        <w:t>采购人和</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人应当依照采购投标法和本条例的规定签订书面合同，合同的标的、价款、质量、履行期限等主要条款应当与采购文件和</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人的响应文件的内容一致。采购人和</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人不得再行订立背离合同实质性内容的其他协议。</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themeColor="text1"/>
          <w:sz w:val="28"/>
          <w:szCs w:val="28"/>
          <w14:textFill>
            <w14:solidFill>
              <w14:schemeClr w14:val="tx1"/>
            </w14:solidFill>
          </w14:textFill>
        </w:rPr>
        <w:t>3.4.8</w:t>
      </w:r>
      <w:bookmarkStart w:id="35" w:name="_Toc343511518"/>
      <w:bookmarkStart w:id="36" w:name="_Hlk522172384"/>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人无正当理由不与采购人订立合同，在签订合同时向采购人提出附加条件，或者不按照采购文件要求提交履约保证金的，取消其中标资格，</w:t>
      </w:r>
      <w:r>
        <w:rPr>
          <w:rFonts w:hint="eastAsia" w:ascii="宋体" w:hAnsi="宋体" w:eastAsia="宋体" w:cs="宋体"/>
          <w:color w:val="000000"/>
          <w:sz w:val="28"/>
          <w:szCs w:val="28"/>
          <w:lang w:eastAsia="zh-CN"/>
        </w:rPr>
        <w:t>磋商保证金</w:t>
      </w:r>
      <w:r>
        <w:rPr>
          <w:rFonts w:hint="eastAsia" w:ascii="宋体" w:hAnsi="宋体" w:eastAsia="宋体" w:cs="宋体"/>
          <w:color w:val="000000"/>
          <w:sz w:val="28"/>
          <w:szCs w:val="28"/>
        </w:rPr>
        <w:t>不予退还。对依法必须进行采购的项目的</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人，由有关行政监督部门责令改正，可以处</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项目金额10‰以下的罚款。</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3.4.9有下列情形之一的，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将不予退还</w:t>
      </w:r>
      <w:bookmarkEnd w:id="35"/>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公司有权扣留其</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，以弥补采购人损失。</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37" w:name="_Hlk522172370"/>
      <w:r>
        <w:rPr>
          <w:rFonts w:hint="eastAsia" w:ascii="宋体" w:hAnsi="宋体" w:eastAsia="宋体" w:cs="宋体"/>
          <w:color w:val="000000" w:themeColor="text1"/>
          <w:sz w:val="28"/>
          <w:szCs w:val="28"/>
          <w14:textFill>
            <w14:solidFill>
              <w14:schemeClr w14:val="tx1"/>
            </w14:solidFill>
          </w14:textFill>
        </w:rPr>
        <w:t>（1）供应商在规定的投标有效期内撤销或修改其</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（2）中标人在收到</w:t>
      </w:r>
      <w:r>
        <w:rPr>
          <w:rFonts w:hint="eastAsia" w:ascii="宋体" w:hAnsi="宋体" w:cs="宋体"/>
          <w:color w:val="000000" w:themeColor="text1"/>
          <w:sz w:val="28"/>
          <w:szCs w:val="28"/>
          <w:lang w:eastAsia="zh-CN"/>
          <w14:textFill>
            <w14:solidFill>
              <w14:schemeClr w14:val="tx1"/>
            </w14:solidFill>
          </w14:textFill>
        </w:rPr>
        <w:t>成交</w:t>
      </w:r>
      <w:r>
        <w:rPr>
          <w:rFonts w:hint="eastAsia" w:ascii="宋体" w:hAnsi="宋体" w:eastAsia="宋体" w:cs="宋体"/>
          <w:color w:val="000000" w:themeColor="text1"/>
          <w:sz w:val="28"/>
          <w:szCs w:val="28"/>
          <w14:textFill>
            <w14:solidFill>
              <w14:schemeClr w14:val="tx1"/>
            </w14:solidFill>
          </w14:textFill>
        </w:rPr>
        <w:t>通知书后，无正当理由拒签合同协议书或未按</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规定提交履约担保。</w:t>
      </w:r>
    </w:p>
    <w:bookmarkEnd w:id="36"/>
    <w:bookmarkEnd w:id="37"/>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（3）供应商与采购人、其他供应商或者采购代理机构恶意串通的。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（4）供应商中标后无正当理由放弃中标的</w:t>
      </w:r>
      <w:r>
        <w:rPr>
          <w:rFonts w:hint="eastAsia" w:ascii="宋体" w:hAnsi="宋体" w:cs="宋体"/>
          <w:color w:val="000000" w:themeColor="text1"/>
          <w:sz w:val="28"/>
          <w:szCs w:val="28"/>
          <w:lang w:eastAsia="zh-CN"/>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（5）供应商中标后未能按规定交纳</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代理服务费。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（6）供应商中标后将中标项目转让给他人，或者在</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中未说明，且未经采购人同意，将中标项目分包给他人的。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（7）供应商在</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中提供伪造、套改、虚假资料参加投标的。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（8）供应商不按法定程序进行质疑和投诉,捏造事实，查无实据，造成恶劣影响，导致采购活动无法正常进行的。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规定的其他情形。</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3.4.10以信用担保函形式交纳保证金，必须是陕西省财政厅认定的具有开具投标保函资格的单位开具的保函。投标供应商违约，开具保函单位承担连带责任，其保函内容及格式详见附件一。</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3.5 资格审查内容</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具有独立承担民事责任能力的法人、其他组织或自然人，法人或其他组织提供营业执照（事业单位法人证书），自然人提供身份证明；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提供营业执照、税务登记证、组织机构代码证或三证合一的营业执照（供应商无需提供营业执照年检报告，在资格审查时通过互联网或者相关信息系统查询）；</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2.银行开户许可证或开户行基本信息； </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.法定代表人授权委托书及被授权人身份证（法定代表人直接参加时，只须出示法定代表人身份证）； </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.提供参加政府采购活动前3年内经营活动中没有重大违法记录声明； </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5.税收缴纳证明：自20</w:t>
      </w:r>
      <w:r>
        <w:rPr>
          <w:rFonts w:hint="eastAsia" w:ascii="宋体" w:hAnsi="宋体" w:cs="宋体"/>
          <w:color w:val="000000"/>
          <w:sz w:val="28"/>
          <w:szCs w:val="28"/>
          <w:lang w:val="en-US" w:eastAsia="zh-CN"/>
        </w:rPr>
        <w:t>23</w:t>
      </w:r>
      <w:r>
        <w:rPr>
          <w:rFonts w:hint="eastAsia" w:ascii="宋体" w:hAnsi="宋体" w:eastAsia="宋体" w:cs="宋体"/>
          <w:color w:val="000000"/>
          <w:sz w:val="28"/>
          <w:szCs w:val="28"/>
          <w:lang w:val="en-US" w:eastAsia="zh-CN"/>
        </w:rPr>
        <w:t>年</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月1日以来已缴纳的至少一个月的纳税证明或完税证明，纳税证明或完税证明上应有代收机构或税务机关的公章。依法免税的供应商应提供相关文件证明；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6.社会保障资金缴纳证明：自20</w:t>
      </w:r>
      <w:r>
        <w:rPr>
          <w:rFonts w:hint="eastAsia" w:ascii="宋体" w:hAnsi="宋体" w:cs="宋体"/>
          <w:color w:val="000000"/>
          <w:sz w:val="28"/>
          <w:szCs w:val="28"/>
          <w:lang w:val="en-US" w:eastAsia="zh-CN"/>
        </w:rPr>
        <w:t>23</w:t>
      </w:r>
      <w:r>
        <w:rPr>
          <w:rFonts w:hint="eastAsia" w:ascii="宋体" w:hAnsi="宋体" w:eastAsia="宋体" w:cs="宋体"/>
          <w:color w:val="000000"/>
          <w:sz w:val="28"/>
          <w:szCs w:val="28"/>
          <w:lang w:val="en-US" w:eastAsia="zh-CN"/>
        </w:rPr>
        <w:t>年</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月1日以来至少一个月的已缴存的社会保障资金缴存单据或社保机构开具的社会保险参保缴费情况证明。依法不需要缴纳社会保障资金的磋商供应商应提供相关文件证明；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7.财务状况报告：提供</w:t>
      </w:r>
      <w:r>
        <w:rPr>
          <w:rFonts w:hint="eastAsia" w:ascii="宋体" w:hAnsi="宋体" w:cs="宋体"/>
          <w:color w:val="000000"/>
          <w:sz w:val="28"/>
          <w:szCs w:val="28"/>
          <w:lang w:val="en-US" w:eastAsia="zh-CN"/>
        </w:rPr>
        <w:t>2021</w:t>
      </w:r>
      <w:r>
        <w:rPr>
          <w:rFonts w:hint="eastAsia" w:ascii="宋体" w:hAnsi="宋体" w:eastAsia="宋体" w:cs="宋体"/>
          <w:color w:val="000000"/>
          <w:sz w:val="28"/>
          <w:szCs w:val="28"/>
          <w:lang w:val="en-US" w:eastAsia="zh-CN"/>
        </w:rPr>
        <w:t>或20</w:t>
      </w:r>
      <w:r>
        <w:rPr>
          <w:rFonts w:hint="eastAsia" w:ascii="宋体" w:hAnsi="宋体" w:cs="宋体"/>
          <w:color w:val="000000"/>
          <w:sz w:val="28"/>
          <w:szCs w:val="28"/>
          <w:lang w:val="en-US" w:eastAsia="zh-CN"/>
        </w:rPr>
        <w:t>22</w:t>
      </w:r>
      <w:r>
        <w:rPr>
          <w:rFonts w:hint="eastAsia" w:ascii="宋体" w:hAnsi="宋体" w:eastAsia="宋体" w:cs="宋体"/>
          <w:color w:val="000000"/>
          <w:sz w:val="28"/>
          <w:szCs w:val="28"/>
          <w:lang w:val="en-US" w:eastAsia="zh-CN"/>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9.提供磋商保证金的银行转账或电汇凭证并确保响应文件递交截止时间前到达采购文件指定账户；</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lang w:val="en-US" w:eastAsia="zh-CN"/>
        </w:rPr>
        <w:t>.本项目不接受联合体磋商。</w:t>
      </w:r>
    </w:p>
    <w:p>
      <w:pPr>
        <w:pStyle w:val="16"/>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sz w:val="28"/>
          <w:szCs w:val="28"/>
          <w:highlight w:val="none"/>
          <w:lang w:eastAsia="zh-CN"/>
        </w:rPr>
        <w:t>以上资格证明文件为供应商的必备文件，开标当天，请将上述资格证明文件胶装同</w:t>
      </w:r>
      <w:r>
        <w:rPr>
          <w:rFonts w:hint="eastAsia" w:ascii="宋体" w:hAnsi="宋体" w:cs="宋体"/>
          <w:b/>
          <w:color w:val="000000"/>
          <w:sz w:val="28"/>
          <w:szCs w:val="28"/>
          <w:highlight w:val="none"/>
          <w:lang w:val="en-US" w:eastAsia="zh-CN"/>
        </w:rPr>
        <w:t>响应</w:t>
      </w:r>
      <w:r>
        <w:rPr>
          <w:rFonts w:hint="eastAsia" w:ascii="宋体" w:hAnsi="宋体" w:eastAsia="宋体" w:cs="宋体"/>
          <w:b/>
          <w:color w:val="000000"/>
          <w:sz w:val="28"/>
          <w:szCs w:val="28"/>
          <w:highlight w:val="none"/>
          <w:lang w:eastAsia="zh-CN"/>
        </w:rPr>
        <w:t>文件一起单独密封递交（密封要求同</w:t>
      </w:r>
      <w:r>
        <w:rPr>
          <w:rFonts w:hint="eastAsia" w:ascii="宋体" w:hAnsi="宋体" w:cs="宋体"/>
          <w:b/>
          <w:color w:val="000000"/>
          <w:sz w:val="28"/>
          <w:szCs w:val="28"/>
          <w:highlight w:val="none"/>
          <w:lang w:val="en-US" w:eastAsia="zh-CN"/>
        </w:rPr>
        <w:t>响应</w:t>
      </w:r>
      <w:r>
        <w:rPr>
          <w:rFonts w:hint="eastAsia" w:ascii="宋体" w:hAnsi="宋体" w:eastAsia="宋体" w:cs="宋体"/>
          <w:b/>
          <w:color w:val="000000"/>
          <w:sz w:val="28"/>
          <w:szCs w:val="28"/>
          <w:highlight w:val="none"/>
          <w:lang w:eastAsia="zh-CN"/>
        </w:rPr>
        <w:t>文件），以便对其</w:t>
      </w:r>
      <w:r>
        <w:rPr>
          <w:rFonts w:hint="eastAsia" w:ascii="宋体" w:hAnsi="宋体" w:cs="宋体"/>
          <w:b/>
          <w:color w:val="000000"/>
          <w:sz w:val="28"/>
          <w:szCs w:val="28"/>
          <w:highlight w:val="none"/>
          <w:lang w:eastAsia="zh-CN"/>
        </w:rPr>
        <w:t>磋商</w:t>
      </w:r>
      <w:r>
        <w:rPr>
          <w:rFonts w:hint="eastAsia" w:ascii="宋体" w:hAnsi="宋体" w:eastAsia="宋体" w:cs="宋体"/>
          <w:b/>
          <w:color w:val="000000"/>
          <w:sz w:val="28"/>
          <w:szCs w:val="28"/>
          <w:highlight w:val="none"/>
          <w:lang w:eastAsia="zh-CN"/>
        </w:rPr>
        <w:t>资格进行审查。有给定格式的需按照</w:t>
      </w:r>
      <w:r>
        <w:rPr>
          <w:rFonts w:hint="eastAsia" w:ascii="宋体" w:hAnsi="宋体" w:eastAsia="宋体" w:cs="宋体"/>
          <w:b/>
          <w:color w:val="000000"/>
          <w:sz w:val="28"/>
          <w:szCs w:val="28"/>
          <w:highlight w:val="none"/>
          <w:lang w:val="en-US" w:eastAsia="zh-CN"/>
        </w:rPr>
        <w:t>磋商</w:t>
      </w:r>
      <w:r>
        <w:rPr>
          <w:rFonts w:hint="eastAsia" w:ascii="宋体" w:hAnsi="宋体" w:eastAsia="宋体" w:cs="宋体"/>
          <w:b/>
          <w:color w:val="000000"/>
          <w:sz w:val="28"/>
          <w:szCs w:val="28"/>
          <w:highlight w:val="none"/>
          <w:lang w:eastAsia="zh-CN"/>
        </w:rPr>
        <w:t>文件给定格式提供，若供应商资格证明文件不符合审查要求，将按无效处理</w:t>
      </w:r>
      <w:r>
        <w:rPr>
          <w:rFonts w:hint="eastAsia" w:ascii="宋体" w:hAnsi="宋体" w:eastAsia="宋体" w:cs="宋体"/>
          <w:b/>
          <w:color w:val="000000"/>
          <w:sz w:val="28"/>
          <w:szCs w:val="28"/>
          <w:highlight w:val="none"/>
        </w:rPr>
        <w:t>。</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3.6 备选投标方案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除供应商须知前附表另有规定外，供应商不得递交备选投标方案。</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3.7 磋商响应文件的编制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3.7.1 磋商响应文件应按第六章“磋商响应文件格式”进行编写，如有必要，可以增加附页，作为磋商响应文件的组成部分。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3.7.2 磋商响应文件应当对磋商文件有关</w:t>
      </w:r>
      <w:r>
        <w:rPr>
          <w:rFonts w:hint="eastAsia" w:ascii="宋体" w:hAnsi="宋体" w:eastAsia="宋体" w:cs="宋体"/>
          <w:color w:val="000000" w:themeColor="text1"/>
          <w:sz w:val="28"/>
          <w:szCs w:val="28"/>
          <w:lang w:eastAsia="zh-CN"/>
          <w14:textFill>
            <w14:solidFill>
              <w14:schemeClr w14:val="tx1"/>
            </w14:solidFill>
          </w14:textFill>
        </w:rPr>
        <w:t>工期</w:t>
      </w:r>
      <w:r>
        <w:rPr>
          <w:rFonts w:hint="eastAsia" w:ascii="宋体" w:hAnsi="宋体" w:eastAsia="宋体" w:cs="宋体"/>
          <w:color w:val="000000" w:themeColor="text1"/>
          <w:sz w:val="28"/>
          <w:szCs w:val="28"/>
          <w14:textFill>
            <w14:solidFill>
              <w14:schemeClr w14:val="tx1"/>
            </w14:solidFill>
          </w14:textFill>
        </w:rPr>
        <w:t>、投标有效期、技术标准和要求、磋商范围等实质性内容作出响应。</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3.7.3 磋商响应文件中的工程量清单需用“易投软件”进行编制。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3.7.4</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磋商响应文件应尽量避免涂改、行间插字或删除。如果出现上述情况，改动之处应加盖供应商单位公章。</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 xml:space="preserve"> 磋商响应文件正本壹份，副本份数见供应商须知前附表。正本和副本的封面上应清楚地标记“正本”或“副本”的字样。当副本和正本不一致时，以正本为准。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38" w:name="_Hlk525815536"/>
      <w:r>
        <w:rPr>
          <w:rFonts w:hint="eastAsia" w:ascii="宋体" w:hAnsi="宋体" w:eastAsia="宋体" w:cs="宋体"/>
          <w:color w:val="000000" w:themeColor="text1"/>
          <w:sz w:val="28"/>
          <w:szCs w:val="28"/>
          <w14:textFill>
            <w14:solidFill>
              <w14:schemeClr w14:val="tx1"/>
            </w14:solidFill>
          </w14:textFill>
        </w:rPr>
        <w:t>3.7.</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磋商响应文件的正本</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资格证明文件</w:t>
      </w:r>
      <w:r>
        <w:rPr>
          <w:rFonts w:hint="eastAsia" w:ascii="宋体" w:hAnsi="宋体" w:eastAsia="宋体" w:cs="宋体"/>
          <w:color w:val="000000" w:themeColor="text1"/>
          <w:sz w:val="28"/>
          <w:szCs w:val="28"/>
          <w14:textFill>
            <w14:solidFill>
              <w14:schemeClr w14:val="tx1"/>
            </w14:solidFill>
          </w14:textFill>
        </w:rPr>
        <w:t>和所有的副本必须全部打印装订成册，并编制目录，统一装订、编码，必须在每一页的下方清楚标明。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磋商响应文件的正本</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资格证明文件</w:t>
      </w:r>
      <w:r>
        <w:rPr>
          <w:rFonts w:hint="eastAsia" w:ascii="宋体" w:hAnsi="宋体" w:eastAsia="宋体" w:cs="宋体"/>
          <w:color w:val="000000" w:themeColor="text1"/>
          <w:sz w:val="28"/>
          <w:szCs w:val="28"/>
          <w14:textFill>
            <w14:solidFill>
              <w14:schemeClr w14:val="tx1"/>
            </w14:solidFill>
          </w14:textFill>
        </w:rPr>
        <w:t>和所有的副本必须逐页加盖供应商单位公章</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鲜章</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t>未按本章第3.7.1项至第3.7.</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项规定，出现任何一项未按要求编制的磋商响应文件，采购人（或采购代理机构）不予受理，磋商响应文件按无效文件处理。</w:t>
      </w:r>
    </w:p>
    <w:bookmarkEnd w:id="38"/>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39" w:name="_Toc421778368"/>
      <w:bookmarkStart w:id="40" w:name="_Toc526842686"/>
      <w:bookmarkStart w:id="41" w:name="_Toc20940"/>
      <w:bookmarkStart w:id="42" w:name="_Toc425240467"/>
      <w:bookmarkStart w:id="43" w:name="_Toc420591646"/>
      <w:r>
        <w:rPr>
          <w:rFonts w:hint="eastAsia" w:ascii="宋体" w:hAnsi="宋体" w:eastAsia="宋体" w:cs="宋体"/>
          <w:b/>
          <w:color w:val="000000" w:themeColor="text1"/>
          <w:sz w:val="28"/>
          <w:szCs w:val="28"/>
          <w14:textFill>
            <w14:solidFill>
              <w14:schemeClr w14:val="tx1"/>
            </w14:solidFill>
          </w14:textFill>
        </w:rPr>
        <w:t>4．投标</w:t>
      </w:r>
      <w:bookmarkEnd w:id="39"/>
      <w:bookmarkEnd w:id="40"/>
      <w:bookmarkEnd w:id="41"/>
      <w:bookmarkEnd w:id="42"/>
      <w:bookmarkEnd w:id="43"/>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4.1 磋商响应文件的密封和标记</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4.1.1</w:t>
      </w:r>
      <w:bookmarkStart w:id="44" w:name="_Hlk518638585"/>
      <w:r>
        <w:rPr>
          <w:rFonts w:hint="eastAsia" w:ascii="宋体" w:hAnsi="宋体" w:eastAsia="宋体" w:cs="宋体"/>
          <w:b w:val="0"/>
          <w:bCs/>
          <w:color w:val="000000"/>
          <w:sz w:val="28"/>
          <w:szCs w:val="28"/>
        </w:rPr>
        <w:t>磋商响应文件</w:t>
      </w:r>
      <w:bookmarkEnd w:id="44"/>
      <w:r>
        <w:rPr>
          <w:rFonts w:hint="eastAsia" w:ascii="宋体" w:hAnsi="宋体" w:eastAsia="宋体" w:cs="宋体"/>
          <w:b w:val="0"/>
          <w:bCs/>
          <w:color w:val="000000"/>
          <w:sz w:val="28"/>
          <w:szCs w:val="28"/>
        </w:rPr>
        <w:t>的正本须单独包装</w:t>
      </w:r>
      <w:r>
        <w:rPr>
          <w:rFonts w:hint="eastAsia" w:ascii="宋体" w:hAnsi="宋体" w:eastAsia="宋体" w:cs="宋体"/>
          <w:b w:val="0"/>
          <w:bCs/>
          <w:color w:val="000000"/>
          <w:sz w:val="28"/>
          <w:szCs w:val="28"/>
          <w:lang w:eastAsia="zh-CN"/>
        </w:rPr>
        <w:t>在</w:t>
      </w:r>
      <w:r>
        <w:rPr>
          <w:rFonts w:hint="eastAsia" w:ascii="宋体" w:hAnsi="宋体" w:eastAsia="宋体" w:cs="宋体"/>
          <w:b w:val="0"/>
          <w:bCs/>
          <w:color w:val="000000"/>
          <w:sz w:val="28"/>
          <w:szCs w:val="28"/>
        </w:rPr>
        <w:t>档案袋或其他密封袋，副本可以包装在一个封套内（包装要求同正本）或分别包装（包装要求同正本），所有封套均应加贴封条，并在封套的封口处加盖供应商单位公章及法定代表人</w:t>
      </w:r>
      <w:r>
        <w:rPr>
          <w:rFonts w:hint="eastAsia" w:ascii="宋体" w:hAnsi="宋体" w:eastAsia="宋体" w:cs="宋体"/>
          <w:b w:val="0"/>
          <w:bCs/>
          <w:color w:val="000000"/>
          <w:sz w:val="28"/>
          <w:szCs w:val="28"/>
          <w:lang w:eastAsia="zh-CN"/>
        </w:rPr>
        <w:t>签字或盖章和其委托代理人签字或盖章</w:t>
      </w:r>
      <w:r>
        <w:rPr>
          <w:rFonts w:hint="eastAsia" w:ascii="宋体" w:hAnsi="宋体" w:eastAsia="宋体" w:cs="宋体"/>
          <w:b w:val="0"/>
          <w:bCs/>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4.1.2 磋商响应</w:t>
      </w:r>
      <w:bookmarkStart w:id="45" w:name="_Hlk518638885"/>
      <w:r>
        <w:rPr>
          <w:rFonts w:hint="eastAsia" w:ascii="宋体" w:hAnsi="宋体" w:eastAsia="宋体" w:cs="宋体"/>
          <w:color w:val="000000" w:themeColor="text1"/>
          <w:sz w:val="28"/>
          <w:szCs w:val="28"/>
          <w14:textFill>
            <w14:solidFill>
              <w14:schemeClr w14:val="tx1"/>
            </w14:solidFill>
          </w14:textFill>
        </w:rPr>
        <w:t>文件的封套上应清楚地标记“正本”、“副本”字样，资格证明文件的封套上应清楚地标记 “资格证明文件”字样</w:t>
      </w:r>
      <w:bookmarkEnd w:id="45"/>
      <w:r>
        <w:rPr>
          <w:rFonts w:hint="eastAsia" w:ascii="宋体" w:hAnsi="宋体" w:eastAsia="宋体" w:cs="宋体"/>
          <w:color w:val="000000" w:themeColor="text1"/>
          <w:sz w:val="28"/>
          <w:szCs w:val="28"/>
          <w14:textFill>
            <w14:solidFill>
              <w14:schemeClr w14:val="tx1"/>
            </w14:solidFill>
          </w14:textFill>
        </w:rPr>
        <w:t>，其他内容见供应商须知前附表。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4.1.3未按本章第4.1.1项至第4.1.2项规定，出现任何一项未按要求编制的磋商响应文件，采购人（或采购代理机构）不予受理，磋商响应文件按无效文件处理。</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4.2 磋商响应文件的递交</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000000"/>
          <w:sz w:val="28"/>
          <w:szCs w:val="28"/>
        </w:rPr>
        <w:t>4.2.1 供应商应在供应商须知前附表第4.2.2 项规定的提交首次响应文件截止之日前递交磋商响应文件。</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4.2.2 供应商递交磋商响应文件的地点：见供应商须知前附表。</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4.2.3 除供应商须知前附表另有规定外，供应商所递交的磋商响应文件不予退还。</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4.2.4 </w:t>
      </w:r>
      <w:bookmarkStart w:id="46" w:name="_Hlk522174718"/>
      <w:r>
        <w:rPr>
          <w:rFonts w:hint="eastAsia" w:ascii="宋体" w:hAnsi="宋体" w:eastAsia="宋体" w:cs="宋体"/>
          <w:color w:val="000000"/>
          <w:sz w:val="28"/>
          <w:szCs w:val="28"/>
        </w:rPr>
        <w:t>采购人收到磋商响应文件后，供应商须登记填写《磋商响应文件递交登记表》。</w:t>
      </w:r>
    </w:p>
    <w:bookmarkEnd w:id="46"/>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4.2.5逾期送达的或者未送达指定地点的磋商响应文件，采购人不予受理。</w:t>
      </w:r>
    </w:p>
    <w:p>
      <w:pPr>
        <w:wordWrap/>
        <w:overflowPunct/>
        <w:topLinePunct w:val="0"/>
        <w:bidi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sz w:val="28"/>
          <w:szCs w:val="28"/>
        </w:rPr>
        <w:t>4.2.6每家单位只允许提交壹套《磋商响应文件》。否则，采购人有权取消其</w:t>
      </w:r>
      <w:r>
        <w:rPr>
          <w:rFonts w:hint="eastAsia" w:ascii="宋体" w:hAnsi="宋体" w:cs="宋体"/>
          <w:color w:val="000000"/>
          <w:sz w:val="28"/>
          <w:szCs w:val="28"/>
          <w:lang w:eastAsia="zh-CN"/>
        </w:rPr>
        <w:t>磋商</w:t>
      </w:r>
      <w:r>
        <w:rPr>
          <w:rFonts w:hint="eastAsia" w:ascii="宋体" w:hAnsi="宋体" w:eastAsia="宋体" w:cs="宋体"/>
          <w:color w:val="000000"/>
          <w:sz w:val="28"/>
          <w:szCs w:val="28"/>
        </w:rPr>
        <w:t>资格。</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4.3 磋商响应文件的修改与撤回</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4.3.1 在供应商须知前附表第4.2.2 项规定的提交首次响应文件截止之日前，供应商可以修改或撤回已递交的磋商响应文件，但应以书面形式通知采购人。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4.3.2 供应商修改或撤回已递交磋商响应文件的书面通知应按照本章第3.7.3 项的要求必须由供应商加盖供应商单位公章。采购人收到书面通知后，供应商须在其登记填写的《磋商响应文件</w:t>
      </w:r>
      <w:r>
        <w:rPr>
          <w:rFonts w:hint="eastAsia" w:ascii="宋体" w:hAnsi="宋体" w:eastAsia="宋体" w:cs="宋体"/>
          <w:color w:val="000000"/>
          <w:sz w:val="28"/>
          <w:szCs w:val="28"/>
        </w:rPr>
        <w:t>递交登记表</w:t>
      </w:r>
      <w:r>
        <w:rPr>
          <w:rFonts w:hint="eastAsia" w:ascii="宋体" w:hAnsi="宋体" w:eastAsia="宋体" w:cs="宋体"/>
          <w:color w:val="000000" w:themeColor="text1"/>
          <w:sz w:val="28"/>
          <w:szCs w:val="28"/>
          <w14:textFill>
            <w14:solidFill>
              <w14:schemeClr w14:val="tx1"/>
            </w14:solidFill>
          </w14:textFill>
        </w:rPr>
        <w:t>》“备注”栏注明，此《磋商响应文件递交登记表》作为向供应商出具的签收凭证存根。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4.3.3 修改的内容为磋商响应文件的组成部分。修改的磋商响应文件应按照本章第3条、第4条规定进行编制、密封、标记和递交，并标明“修改”字样。</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47" w:name="_Toc420591647"/>
      <w:bookmarkStart w:id="48" w:name="_Toc20463"/>
      <w:bookmarkStart w:id="49" w:name="_Toc425240468"/>
      <w:bookmarkStart w:id="50" w:name="_Toc526842687"/>
      <w:bookmarkStart w:id="51" w:name="_Toc421778369"/>
      <w:r>
        <w:rPr>
          <w:rFonts w:hint="eastAsia" w:ascii="宋体" w:hAnsi="宋体" w:eastAsia="宋体" w:cs="宋体"/>
          <w:b/>
          <w:color w:val="000000" w:themeColor="text1"/>
          <w:sz w:val="28"/>
          <w:szCs w:val="28"/>
          <w14:textFill>
            <w14:solidFill>
              <w14:schemeClr w14:val="tx1"/>
            </w14:solidFill>
          </w14:textFill>
        </w:rPr>
        <w:t>5．磋商</w:t>
      </w:r>
      <w:bookmarkEnd w:id="47"/>
      <w:bookmarkEnd w:id="48"/>
      <w:bookmarkEnd w:id="49"/>
      <w:bookmarkEnd w:id="50"/>
      <w:bookmarkEnd w:id="51"/>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5.1 磋商时间和地点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52" w:name="_Hlk522256941"/>
      <w:r>
        <w:rPr>
          <w:rFonts w:hint="eastAsia" w:ascii="宋体" w:hAnsi="宋体" w:eastAsia="宋体" w:cs="宋体"/>
          <w:color w:val="000000" w:themeColor="text1"/>
          <w:sz w:val="28"/>
          <w:szCs w:val="28"/>
          <w14:textFill>
            <w14:solidFill>
              <w14:schemeClr w14:val="tx1"/>
            </w14:solidFill>
          </w14:textFill>
        </w:rPr>
        <w:t>5.1.1采购人在本章第2.2.2 项规定的提交首次响应文件截止之日（磋商时间）和供应商须知前附表规定的地点磋商，并邀请所有供应商的法定代表人或其委托代理人准时参加。</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5.1.2</w:t>
      </w:r>
      <w:r>
        <w:rPr>
          <w:rFonts w:hint="eastAsia" w:ascii="宋体" w:hAnsi="宋体" w:cs="宋体"/>
          <w:color w:val="000000" w:themeColor="text1"/>
          <w:sz w:val="28"/>
          <w:szCs w:val="28"/>
          <w:lang w:eastAsia="zh-CN"/>
          <w14:textFill>
            <w14:solidFill>
              <w14:schemeClr w14:val="tx1"/>
            </w14:solidFill>
          </w14:textFill>
        </w:rPr>
        <w:t>磋商供应商</w:t>
      </w:r>
      <w:r>
        <w:rPr>
          <w:rFonts w:hint="eastAsia" w:ascii="宋体" w:hAnsi="宋体" w:eastAsia="宋体" w:cs="宋体"/>
          <w:color w:val="000000" w:themeColor="text1"/>
          <w:sz w:val="28"/>
          <w:szCs w:val="28"/>
          <w14:textFill>
            <w14:solidFill>
              <w14:schemeClr w14:val="tx1"/>
            </w14:solidFill>
          </w14:textFill>
        </w:rPr>
        <w:t>未参加开标的，视同认可开标结果。</w:t>
      </w:r>
    </w:p>
    <w:bookmarkEnd w:id="52"/>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5.2磋商程序（摘要）</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主持人按下列程序进行磋商：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（1）宣布项目名称及磋商响应文件接收截止时间，终止一切磋商响应文件的接收工作，并宣布磋商会议开始。</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（2）宣布磋商会议纪律。</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（3）介绍政府采购监督管理部门、采购人、监标人、采购代理机构工作人员。</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（4）宣布本项目供应商签到名单，确认供应商身份。</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（5）请采购人、监标人和供应商委托代理人共同查验资格证明文件的密封情况，并由监标人宣布审核结果。</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（6）由采购人和监标人对供应商进行资格审查。开标现场，由监标人对各供应商进行资格审查，并公布资格审查结果，资格审查不通过，该供应商无权进入下一步开标程序。</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按照磋商文件供应商须知有关规定，由监标人和供应商委托代理人共同查验磋商响应文件的密封情况，并由监标人宣布审核结果。对检查出的不符合密封规定要求的磋商响应文件作为无效文件处理，不得启封。采购代理机构接标人在开标大会结束后，经该供应商签字确认后将其磋商响应文件退回。</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（9）启封磋商响应文件，休会（请各供应商代表不要远离会场，保持通信畅通，以便磋商小组及时通知磋商响应文件中需要进行澄清或说明的事项）。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（10）将磋商响应文件送交磋商小组评审；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通过资格审查和符合性评审后，再进行第二次磋商报价（最终磋商报价），各供应商就磋商中的技术、商务、价格、服务等内容按要求进行补充、完善、澄清、承诺，并按给定格式报出不可更改的第二次磋商报价，第二次报价为最终评定的依据，并作为成交价格，参与综合比较与评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（12）磋商结束。</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5.3磋商现场需带的原件：见供应商须知前附表。</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53" w:name="_Toc421778370"/>
      <w:bookmarkStart w:id="54" w:name="_Toc526842688"/>
      <w:bookmarkStart w:id="55" w:name="_Toc15987"/>
      <w:bookmarkStart w:id="56" w:name="_Toc425240469"/>
      <w:bookmarkStart w:id="57" w:name="_Toc420591648"/>
      <w:r>
        <w:rPr>
          <w:rFonts w:hint="eastAsia" w:ascii="宋体" w:hAnsi="宋体" w:eastAsia="宋体" w:cs="宋体"/>
          <w:b/>
          <w:color w:val="000000" w:themeColor="text1"/>
          <w:sz w:val="28"/>
          <w:szCs w:val="28"/>
          <w14:textFill>
            <w14:solidFill>
              <w14:schemeClr w14:val="tx1"/>
            </w14:solidFill>
          </w14:textFill>
        </w:rPr>
        <w:t>6．评标</w:t>
      </w:r>
      <w:bookmarkEnd w:id="53"/>
      <w:bookmarkEnd w:id="54"/>
      <w:bookmarkEnd w:id="55"/>
      <w:bookmarkEnd w:id="56"/>
      <w:bookmarkEnd w:id="57"/>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6.1 磋商小组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6.1.1 评标由采购人依法组建的磋商小组负责。磋商小组由采购人或其委托的采购代理机构熟悉相关业务的代表，以及有关技术、经济等方面的专家组成。</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6.1.2 磋商小组成员有下列情形之一的，应当回避：</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(1）供应商或供应商的主要负责人的近亲属；</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(2）项目主管部门或者行政监督部门的人员；</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(3）与供应商有经济利益关系，可能影响对投标公正评审的；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(4）曾因在招标、评标以及其他与招标投标有关活动中从事违法行为而受过行政处罚或刑事处罚的。</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6.2 评标原则</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评标活动遵循公平、公正、科学和择优的原则。</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6.3 评标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6.3.1磋商小组按照第三章“评标办法”规定的方法、评审因素、标准和程序对磋商响应文件进行评审。第三章“评标办法”没有规定的方法、评审因素和标准，不作为评标依据。</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58" w:name="_Toc420591649"/>
      <w:bookmarkStart w:id="59" w:name="_Toc421778371"/>
      <w:bookmarkStart w:id="60" w:name="_Toc425240470"/>
      <w:r>
        <w:rPr>
          <w:rFonts w:hint="eastAsia" w:ascii="宋体" w:hAnsi="宋体" w:eastAsia="宋体" w:cs="宋体"/>
          <w:color w:val="000000" w:themeColor="text1"/>
          <w:sz w:val="28"/>
          <w:szCs w:val="28"/>
          <w14:textFill>
            <w14:solidFill>
              <w14:schemeClr w14:val="tx1"/>
            </w14:solidFill>
          </w14:textFill>
        </w:rPr>
        <w:t>6.3.2政府采购评审专家应当遵守评审工作纪律，不得泄露评审文件、评审情况和评审中获悉的商业秘密。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评标委员会、竞争性</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小组或者询价小组在评审过程中发现供应商有行贿、提供虚假材料或者串通等违法行为的，应当及时向财政部门报告。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政府采购评审专家在评审过程中受到非法干预的，应当及时向财政、监察等部门举报。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6.3.3评标委员会、竞争性</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小组或者询价小组成员应当按照客观、公正、审慎的原则，根据采购文件规定的评审程序、评审方法和评审标准进行独立评审。采购文件内容违反国家有关强制性规定的，评标委员会、竞争性</w:t>
      </w:r>
      <w:r>
        <w:rPr>
          <w:rFonts w:hint="eastAsia" w:ascii="宋体" w:hAnsi="宋体" w:eastAsia="宋体" w:cs="宋体"/>
          <w:color w:val="auto"/>
          <w:sz w:val="28"/>
          <w:szCs w:val="28"/>
          <w:lang w:val="en-US" w:eastAsia="zh-CN"/>
        </w:rPr>
        <w:t>磋商</w:t>
      </w:r>
      <w:r>
        <w:rPr>
          <w:rFonts w:hint="eastAsia" w:ascii="宋体" w:hAnsi="宋体" w:eastAsia="宋体" w:cs="宋体"/>
          <w:color w:val="000000" w:themeColor="text1"/>
          <w:sz w:val="28"/>
          <w:szCs w:val="28"/>
          <w14:textFill>
            <w14:solidFill>
              <w14:schemeClr w14:val="tx1"/>
            </w14:solidFill>
          </w14:textFill>
        </w:rPr>
        <w:t>小组或者询价小组应当停止评审并向采购人或者采购代理机构说明情况。</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评标委员会、竞争性</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或者询价小组成员应当在评审报告上签字，对自己的评审意见承担法律责任。对评审报告有异议的，应当在评审报告上签署不同意见，并说明理由，否则视为同意评审报告。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6.3.4采购人、采购代理机构不得向评标委员会、竞争性</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小组或者询价小组的评审专家作倾向性、误导性的解释或者说明。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6.3.5采购代理机构应当自评审结束之日起2个工作日内将评审报告送交采购人。采购人应当自收到评审报告之日起5个工作日内在评审报告推荐的中标或者成交候选供应商中按顺序确定中标或者成交供应商。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采购人或者采购代理机构应当自中标、成交供应商确定之日起2个工作日内，发出中标、成交通知书，并在省级以上人民政府财政部门指定的媒体上公告中标、成交结果，</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、竞争性谈判文件、询价通知书随中标、成交结果同时公告。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61" w:name="_Hlk522178150"/>
      <w:r>
        <w:rPr>
          <w:rFonts w:hint="eastAsia" w:ascii="宋体" w:hAnsi="宋体" w:eastAsia="宋体" w:cs="宋体"/>
          <w:color w:val="000000" w:themeColor="text1"/>
          <w:sz w:val="28"/>
          <w:szCs w:val="28"/>
          <w14:textFill>
            <w14:solidFill>
              <w14:schemeClr w14:val="tx1"/>
            </w14:solidFill>
          </w14:textFill>
        </w:rPr>
        <w:t>6.3.6 评标委员会成员应当依照招标投标法和本条例的规定，按照</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规定的评标标准和方法，客观、公正地对</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提出评审意见。</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没有规定的评标标准和方法不得作为评标的依据。</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6.3.7有下列情形之一的，评标委员会应当否决其投标：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未经投标单位盖章和单位负责人签字；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（二）投标联合体没有提交共同投标协议；</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（三）投标人不符合国家或者</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规定的资格条件；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（四）同一投标人提交两个以上不同的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或者</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，但</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要求提交备选投标的除外；</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低于成本或者高于</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设定的最高投标限价；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没有对</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的实质性要求和条件作出响应；</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（七）投标人有串通投标、弄虚作假、行贿等违法行为。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6.3.8</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中有含义不明确的内容、明显文字或者计算错误，评标委员会认为需要投标人作出必要澄清、说明的，应当书面通知该投标人。投标人的澄清、说明应当采用书面形式，并不得超出</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的范围或者改变</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的实质性内容。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评标委员会不得暗示或者诱导投标人作出澄清、说明，不得接受投标人主动提出的澄清、说明。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6.3.9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pageBreakBefore w:val="0"/>
        <w:widowControl w:val="0"/>
        <w:kinsoku/>
        <w:wordWrap/>
        <w:overflowPunct/>
        <w:topLinePunct w:val="0"/>
        <w:autoSpaceDE/>
        <w:autoSpaceDN/>
        <w:bidi w:val="0"/>
        <w:adjustRightInd/>
        <w:spacing w:line="360" w:lineRule="auto"/>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投标人有下列行为之一的，属于招标投标法第五十三条规定的情节严重行为，由有关行政监督部门取消其1年至2年内参加依法必须进行招标的项目的投标资格：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（一）以行贿谋取中标；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（二）3年内2次以上串通投标；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（三）串通投标行为损害招标人、其他投标人或者国家、集体、公民的合法利益，造成直接经济损失30万元以上；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（四）其他串通投标情节严重的行为。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投标人自本条第二款规定的处罚执行期限届满之日起3年内又有该款所列违法行为之一的，或者串通投标、以行贿谋取中标情节特别严重的，由工商行政管理机关吊销营业执照。</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法律、行政法规对串通</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行为的处罚另有规定的，从其规定。</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6.3.10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投标人有下列行为之一的，属于招标投标法第五十四条规定的情节严重行为，由有关行政监督部门取消其1年至3年内参加依法必须进行招标的项目的投标资格：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（一）伪造、变造资格、资质证书或者其他许可证件骗取中标；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（二）3年内2次以上使用他人名义投标；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（三）弄虚作假骗取中标给招标人造成直接经济损失30万元以上；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（四）其他弄虚作假骗取中标情节严重的行为。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投标人自本条第二款规定的处罚执行期限届满之日起3年内又有该款所列违法行为之一的，或者弄虚作假骗取中标情节特别严重的，由工商行政管理机关吊销营业执照。</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6.3.11出让或者出租资格、资质证书供他人投标的，依照法律、行政法规的规定给予行政处罚；构成犯罪的，依法追究刑事责任。</w:t>
      </w:r>
      <w:bookmarkEnd w:id="61"/>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62" w:name="_Toc26000"/>
      <w:bookmarkStart w:id="63" w:name="_Toc526842689"/>
      <w:r>
        <w:rPr>
          <w:rFonts w:hint="eastAsia" w:ascii="宋体" w:hAnsi="宋体" w:eastAsia="宋体" w:cs="宋体"/>
          <w:b/>
          <w:color w:val="000000" w:themeColor="text1"/>
          <w:sz w:val="28"/>
          <w:szCs w:val="28"/>
          <w14:textFill>
            <w14:solidFill>
              <w14:schemeClr w14:val="tx1"/>
            </w14:solidFill>
          </w14:textFill>
        </w:rPr>
        <w:t>7．合同授予</w:t>
      </w:r>
      <w:bookmarkEnd w:id="58"/>
      <w:bookmarkEnd w:id="59"/>
      <w:bookmarkEnd w:id="60"/>
      <w:bookmarkEnd w:id="62"/>
      <w:bookmarkEnd w:id="63"/>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7.1 定标方式</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64" w:name="_Hlk522179251"/>
      <w:r>
        <w:rPr>
          <w:rFonts w:hint="eastAsia" w:ascii="宋体" w:hAnsi="宋体" w:eastAsia="宋体" w:cs="宋体"/>
          <w:color w:val="000000" w:themeColor="text1"/>
          <w:sz w:val="28"/>
          <w:szCs w:val="28"/>
          <w14:textFill>
            <w14:solidFill>
              <w14:schemeClr w14:val="tx1"/>
            </w14:solidFill>
          </w14:textFill>
        </w:rPr>
        <w:t>7.1.1除供应商须知前附表规定评标委员会直接确定成交供应商外，采购人依据磋商小组推荐的成交候选供应商确定成交供应商，磋商小组推荐成交候选供应商的人数见供应商须知前附表。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7.1.2评标完成后，评标委员会应当向招标人提交书面评标报告和</w:t>
      </w:r>
      <w:r>
        <w:rPr>
          <w:rFonts w:hint="eastAsia" w:ascii="宋体" w:hAnsi="宋体" w:cs="宋体"/>
          <w:color w:val="000000" w:themeColor="text1"/>
          <w:sz w:val="28"/>
          <w:szCs w:val="28"/>
          <w:lang w:eastAsia="zh-CN"/>
          <w14:textFill>
            <w14:solidFill>
              <w14:schemeClr w14:val="tx1"/>
            </w14:solidFill>
          </w14:textFill>
        </w:rPr>
        <w:t>成交</w:t>
      </w:r>
      <w:r>
        <w:rPr>
          <w:rFonts w:hint="eastAsia" w:ascii="宋体" w:hAnsi="宋体" w:eastAsia="宋体" w:cs="宋体"/>
          <w:color w:val="000000" w:themeColor="text1"/>
          <w:sz w:val="28"/>
          <w:szCs w:val="28"/>
          <w14:textFill>
            <w14:solidFill>
              <w14:schemeClr w14:val="tx1"/>
            </w14:solidFill>
          </w14:textFill>
        </w:rPr>
        <w:t>候选人名单。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7.1.3中标或者成交供应商拒绝与采购人签订合同的，采购人可以按照评审报告推荐的中标或者成交候选供应商名单排序，确定下一候选人为中标或者成交供应商，也可以重新开展政府采购活动。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7.1.4 国有资金占控股或者主导地位的依法必须进行招标的项目，招标人应当确定排名第一的中标候选人为中标人。排名第一的中标候选人放弃中标、因不可抗力不能履行合同、不按照</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要求提交履约保证金，或者被查实存在影响中标结果的违法行为等情形，不符合中标条件的，招标人可以按照评标委员会提出的中标候选人名单排序依次确定其他中标候选人为中标人，也可以重新招标。</w:t>
      </w:r>
    </w:p>
    <w:bookmarkEnd w:id="64"/>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7.2 成交通知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65" w:name="_Hlk522179377"/>
      <w:r>
        <w:rPr>
          <w:rFonts w:hint="eastAsia" w:ascii="宋体" w:hAnsi="宋体" w:eastAsia="宋体" w:cs="宋体"/>
          <w:color w:val="000000" w:themeColor="text1"/>
          <w:sz w:val="28"/>
          <w:szCs w:val="28"/>
          <w14:textFill>
            <w14:solidFill>
              <w14:schemeClr w14:val="tx1"/>
            </w14:solidFill>
          </w14:textFill>
        </w:rPr>
        <w:t>7.2.1在本章第3.3款规定的投标有效期内，采购人以书面形式向成交供应商发出成交通知书，同时将成交结果通知未</w:t>
      </w:r>
      <w:r>
        <w:rPr>
          <w:rFonts w:hint="eastAsia" w:ascii="宋体" w:hAnsi="宋体" w:cs="宋体"/>
          <w:color w:val="000000" w:themeColor="text1"/>
          <w:sz w:val="28"/>
          <w:szCs w:val="28"/>
          <w:lang w:eastAsia="zh-CN"/>
          <w14:textFill>
            <w14:solidFill>
              <w14:schemeClr w14:val="tx1"/>
            </w14:solidFill>
          </w14:textFill>
        </w:rPr>
        <w:t>成交</w:t>
      </w:r>
      <w:r>
        <w:rPr>
          <w:rFonts w:hint="eastAsia" w:ascii="宋体" w:hAnsi="宋体" w:eastAsia="宋体" w:cs="宋体"/>
          <w:color w:val="000000" w:themeColor="text1"/>
          <w:sz w:val="28"/>
          <w:szCs w:val="28"/>
          <w14:textFill>
            <w14:solidFill>
              <w14:schemeClr w14:val="tx1"/>
            </w14:solidFill>
          </w14:textFill>
        </w:rPr>
        <w:t>的供应商。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7.2.2采购代理机构应当自评审结束之日起2个工作日内将评审报告送交采购人。采购人应当自收到评审报告之日起5个工作日内在评审报告推荐的中标或者成交候选人中按顺序确定中标或者成交供应商。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采购人或者采购代理机构应当自中标、成交供应商确定之日起2个工作日内，发出中标、成交通知书，并在省级以上人民政府财政部门指定的媒体上公告中标、成交结果，</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、竞争性谈判文件、询价通知书随中标、成交结果同时公告。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7.2.3中标结果公告公示期一个工作日。</w:t>
      </w:r>
      <w:bookmarkEnd w:id="65"/>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7.3 履约担保</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66" w:name="_Hlk522179747"/>
      <w:r>
        <w:rPr>
          <w:rFonts w:hint="eastAsia" w:ascii="宋体" w:hAnsi="宋体" w:eastAsia="宋体" w:cs="宋体"/>
          <w:color w:val="000000" w:themeColor="text1"/>
          <w:sz w:val="28"/>
          <w:szCs w:val="28"/>
          <w14:textFill>
            <w14:solidFill>
              <w14:schemeClr w14:val="tx1"/>
            </w14:solidFill>
          </w14:textFill>
        </w:rPr>
        <w:t>7.3.1在签订合同前，成交供应商应按供应商须知前附表规定的金额、担保形式和磋商文件第四章“合同</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拟签订文本</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”规定的履约担保格式向采购人提交履约担保。</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7.3.2 成交供应商不能按本章第7.3.1项要求提交履约担保的，视为放弃中标，其</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不予退还，给采购人造成的损失超过</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数额的，成交供应商还应当对超过部分予以赔偿。</w:t>
      </w:r>
    </w:p>
    <w:bookmarkEnd w:id="66"/>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7.4 签订合同</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bookmarkStart w:id="67" w:name="_Toc421778372"/>
      <w:bookmarkStart w:id="68" w:name="_Toc425240471"/>
      <w:bookmarkStart w:id="69" w:name="_Toc526842690"/>
      <w:bookmarkStart w:id="70" w:name="_Toc20459"/>
      <w:bookmarkStart w:id="71" w:name="_Toc420591650"/>
      <w:r>
        <w:rPr>
          <w:rFonts w:hint="eastAsia" w:ascii="宋体" w:hAnsi="宋体" w:eastAsia="宋体" w:cs="宋体"/>
          <w:b w:val="0"/>
          <w:bCs/>
          <w:color w:val="000000" w:themeColor="text1"/>
          <w:sz w:val="28"/>
          <w:szCs w:val="28"/>
          <w14:textFill>
            <w14:solidFill>
              <w14:schemeClr w14:val="tx1"/>
            </w14:solidFill>
          </w14:textFill>
        </w:rPr>
        <w:t>7.4.1 采购人和成交供应商应当自成交通知书发出之日起</w:t>
      </w:r>
      <w:r>
        <w:rPr>
          <w:rFonts w:hint="eastAsia" w:ascii="宋体" w:hAnsi="宋体" w:cs="宋体"/>
          <w:b w:val="0"/>
          <w:bCs/>
          <w:color w:val="000000" w:themeColor="text1"/>
          <w:sz w:val="28"/>
          <w:szCs w:val="28"/>
          <w:lang w:val="en-US" w:eastAsia="zh-CN"/>
          <w14:textFill>
            <w14:solidFill>
              <w14:schemeClr w14:val="tx1"/>
            </w14:solidFill>
          </w14:textFill>
        </w:rPr>
        <w:t>15</w:t>
      </w:r>
      <w:r>
        <w:rPr>
          <w:rFonts w:hint="eastAsia" w:ascii="宋体" w:hAnsi="宋体" w:eastAsia="宋体" w:cs="宋体"/>
          <w:b w:val="0"/>
          <w:bCs/>
          <w:color w:val="000000" w:themeColor="text1"/>
          <w:sz w:val="28"/>
          <w:szCs w:val="28"/>
          <w14:textFill>
            <w14:solidFill>
              <w14:schemeClr w14:val="tx1"/>
            </w14:solidFill>
          </w14:textFill>
        </w:rPr>
        <w:t>天内，根据磋商文件和成交供应商的磋商响应文件订立书面合同。成交供应商无正当理由拒签合同，采购人取消其成交资格，其磋商保证金不予退还；成交供应商还应向采购人赔偿成交金额的10%的损失。违约后，磋商保证金和赔偿金一并缴入</w:t>
      </w:r>
      <w:r>
        <w:rPr>
          <w:rFonts w:hint="eastAsia" w:ascii="宋体" w:hAnsi="宋体" w:eastAsia="宋体" w:cs="宋体"/>
          <w:b w:val="0"/>
          <w:bCs/>
          <w:color w:val="000000" w:themeColor="text1"/>
          <w:sz w:val="28"/>
          <w:szCs w:val="28"/>
          <w:lang w:eastAsia="zh-CN"/>
          <w14:textFill>
            <w14:solidFill>
              <w14:schemeClr w14:val="tx1"/>
            </w14:solidFill>
          </w14:textFill>
        </w:rPr>
        <w:t>采购人</w:t>
      </w:r>
      <w:r>
        <w:rPr>
          <w:rFonts w:hint="eastAsia" w:ascii="宋体" w:hAnsi="宋体" w:eastAsia="宋体" w:cs="宋体"/>
          <w:b w:val="0"/>
          <w:bCs/>
          <w:color w:val="000000" w:themeColor="text1"/>
          <w:sz w:val="28"/>
          <w:szCs w:val="28"/>
          <w14:textFill>
            <w14:solidFill>
              <w14:schemeClr w14:val="tx1"/>
            </w14:solidFill>
          </w14:textFill>
        </w:rPr>
        <w:t>指定账户。</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bookmarkStart w:id="72" w:name="_Hlk522179758"/>
      <w:r>
        <w:rPr>
          <w:rFonts w:hint="eastAsia" w:ascii="宋体" w:hAnsi="宋体" w:eastAsia="宋体" w:cs="宋体"/>
          <w:b w:val="0"/>
          <w:bCs/>
          <w:color w:val="000000" w:themeColor="text1"/>
          <w:sz w:val="28"/>
          <w:szCs w:val="28"/>
          <w14:textFill>
            <w14:solidFill>
              <w14:schemeClr w14:val="tx1"/>
            </w14:solidFill>
          </w14:textFill>
        </w:rPr>
        <w:t>7.4.2 发出中标通知书后，采购人无正当理由拒签合同的，采购人向中标供应商退还</w:t>
      </w:r>
      <w:r>
        <w:rPr>
          <w:rFonts w:hint="eastAsia" w:ascii="宋体" w:hAnsi="宋体" w:eastAsia="宋体" w:cs="宋体"/>
          <w:b w:val="0"/>
          <w:bCs/>
          <w:color w:val="000000" w:themeColor="text1"/>
          <w:sz w:val="28"/>
          <w:szCs w:val="28"/>
          <w:lang w:eastAsia="zh-CN"/>
          <w14:textFill>
            <w14:solidFill>
              <w14:schemeClr w14:val="tx1"/>
            </w14:solidFill>
          </w14:textFill>
        </w:rPr>
        <w:t>磋商保证金</w:t>
      </w:r>
      <w:r>
        <w:rPr>
          <w:rFonts w:hint="eastAsia" w:ascii="宋体" w:hAnsi="宋体" w:eastAsia="宋体" w:cs="宋体"/>
          <w:b w:val="0"/>
          <w:bCs/>
          <w:color w:val="000000" w:themeColor="text1"/>
          <w:sz w:val="28"/>
          <w:szCs w:val="28"/>
          <w14:textFill>
            <w14:solidFill>
              <w14:schemeClr w14:val="tx1"/>
            </w14:solidFill>
          </w14:textFill>
        </w:rPr>
        <w:t xml:space="preserve">；给中标供应商造成损失的，还应当赔偿损失。 </w:t>
      </w:r>
    </w:p>
    <w:bookmarkEnd w:id="72"/>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7.4.3国务院财政部门应当会同国务院有关部门制定政府采购合同标准文本。</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7.4.4</w:t>
      </w:r>
      <w:r>
        <w:rPr>
          <w:rFonts w:hint="eastAsia" w:ascii="宋体" w:hAnsi="宋体" w:eastAsia="宋体" w:cs="宋体"/>
          <w:b w:val="0"/>
          <w:bCs/>
          <w:color w:val="000000" w:themeColor="text1"/>
          <w:sz w:val="28"/>
          <w:szCs w:val="28"/>
          <w:lang w:val="en-US" w:eastAsia="zh-CN"/>
          <w14:textFill>
            <w14:solidFill>
              <w14:schemeClr w14:val="tx1"/>
            </w14:solidFill>
          </w14:textFill>
        </w:rPr>
        <w:t>为保证采购合同的履行，确需收取履约保证金的，履约保证金收取比例应不超过合同金额的5%（</w:t>
      </w:r>
      <w:r>
        <w:rPr>
          <w:rFonts w:hint="eastAsia" w:ascii="宋体" w:hAnsi="宋体" w:eastAsia="宋体" w:cs="宋体"/>
          <w:b w:val="0"/>
          <w:bCs/>
          <w:color w:val="000000" w:themeColor="text1"/>
          <w:sz w:val="28"/>
          <w:szCs w:val="28"/>
          <w14:textFill>
            <w14:solidFill>
              <w14:schemeClr w14:val="tx1"/>
            </w14:solidFill>
          </w14:textFill>
        </w:rPr>
        <w:t>供应商应当以支票、汇票、本票或者金融机构、担保机构出具的保函等非现金形式提交</w:t>
      </w:r>
      <w:r>
        <w:rPr>
          <w:rFonts w:hint="eastAsia" w:ascii="宋体" w:hAnsi="宋体" w:eastAsia="宋体" w:cs="宋体"/>
          <w:b w:val="0"/>
          <w:bCs/>
          <w:color w:val="000000" w:themeColor="text1"/>
          <w:sz w:val="28"/>
          <w:szCs w:val="28"/>
          <w:lang w:val="en-US" w:eastAsia="zh-CN"/>
          <w14:textFill>
            <w14:solidFill>
              <w14:schemeClr w14:val="tx1"/>
            </w14:solidFill>
          </w14:textFill>
        </w:rPr>
        <w:t>）。中标或成交供应商合同主要义务履行完毕后，采购人或采购代理机构应按照合同约定及时退还。</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7.4.5中标或者成交供应商拒绝与采购人签订合同的，采购人可以按照评审报告推荐的中标或者成交候选人名单排序，确定下一候选人为中标或者成交供应商，也可以重新开展政府采购活动。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7.4.6采购人应当自政府采购合同签订之日起2个工作日内，将政府采购合同在省级以上人民政府财政部门指定的媒体上公告，但政府采购合同中涉及国家秘密、商业秘密的内容除外。</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7.4.7采购人应当按照政府采购合同规定，及时向中标或者成交供应商支付采购资金。</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7.4.8政府</w:t>
      </w:r>
      <w:r>
        <w:rPr>
          <w:rFonts w:hint="eastAsia" w:ascii="宋体" w:hAnsi="宋体" w:eastAsia="宋体" w:cs="宋体"/>
          <w:b w:val="0"/>
          <w:bCs/>
          <w:color w:val="000000" w:themeColor="text1"/>
          <w:sz w:val="28"/>
          <w:szCs w:val="28"/>
          <w:lang w:eastAsia="zh-CN"/>
          <w14:textFill>
            <w14:solidFill>
              <w14:schemeClr w14:val="tx1"/>
            </w14:solidFill>
          </w14:textFill>
        </w:rPr>
        <w:t>项目</w:t>
      </w:r>
      <w:r>
        <w:rPr>
          <w:rFonts w:hint="eastAsia" w:ascii="宋体" w:hAnsi="宋体" w:eastAsia="宋体" w:cs="宋体"/>
          <w:b w:val="0"/>
          <w:bCs/>
          <w:color w:val="000000" w:themeColor="text1"/>
          <w:sz w:val="28"/>
          <w:szCs w:val="28"/>
          <w14:textFill>
            <w14:solidFill>
              <w14:schemeClr w14:val="tx1"/>
            </w14:solidFill>
          </w14:textFill>
        </w:rPr>
        <w:t>资金支付程序，按照国家有关</w:t>
      </w:r>
      <w:r>
        <w:rPr>
          <w:rFonts w:hint="eastAsia" w:ascii="宋体" w:hAnsi="宋体" w:eastAsia="宋体" w:cs="宋体"/>
          <w:b w:val="0"/>
          <w:bCs/>
          <w:color w:val="000000" w:themeColor="text1"/>
          <w:sz w:val="28"/>
          <w:szCs w:val="28"/>
          <w:lang w:eastAsia="zh-CN"/>
          <w14:textFill>
            <w14:solidFill>
              <w14:schemeClr w14:val="tx1"/>
            </w14:solidFill>
          </w14:textFill>
        </w:rPr>
        <w:t>财政资金</w:t>
      </w:r>
      <w:r>
        <w:rPr>
          <w:rFonts w:hint="eastAsia" w:ascii="宋体" w:hAnsi="宋体" w:eastAsia="宋体" w:cs="宋体"/>
          <w:b w:val="0"/>
          <w:bCs/>
          <w:color w:val="000000" w:themeColor="text1"/>
          <w:sz w:val="28"/>
          <w:szCs w:val="28"/>
          <w14:textFill>
            <w14:solidFill>
              <w14:schemeClr w14:val="tx1"/>
            </w14:solidFill>
          </w14:textFill>
        </w:rPr>
        <w:t>支付管理的规定执行。</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bookmarkStart w:id="73" w:name="_Hlk522179832"/>
      <w:r>
        <w:rPr>
          <w:rFonts w:hint="eastAsia" w:ascii="宋体" w:hAnsi="宋体" w:eastAsia="宋体" w:cs="宋体"/>
          <w:b w:val="0"/>
          <w:bCs/>
          <w:color w:val="000000" w:themeColor="text1"/>
          <w:sz w:val="28"/>
          <w:szCs w:val="28"/>
          <w14:textFill>
            <w14:solidFill>
              <w14:schemeClr w14:val="tx1"/>
            </w14:solidFill>
          </w14:textFill>
        </w:rPr>
        <w:t>7.4.9招标人和中标人应当依照招标投标法和本条例的规定签订书面合同，合同的标的、价款、质量、履行期限等主要条款应当与</w:t>
      </w:r>
      <w:r>
        <w:rPr>
          <w:rFonts w:hint="eastAsia" w:ascii="宋体" w:hAnsi="宋体" w:eastAsia="宋体" w:cs="宋体"/>
          <w:b w:val="0"/>
          <w:bCs/>
          <w:color w:val="000000" w:themeColor="text1"/>
          <w:sz w:val="28"/>
          <w:szCs w:val="28"/>
          <w:lang w:eastAsia="zh-CN"/>
          <w14:textFill>
            <w14:solidFill>
              <w14:schemeClr w14:val="tx1"/>
            </w14:solidFill>
          </w14:textFill>
        </w:rPr>
        <w:t>磋商文件</w:t>
      </w:r>
      <w:r>
        <w:rPr>
          <w:rFonts w:hint="eastAsia" w:ascii="宋体" w:hAnsi="宋体" w:eastAsia="宋体" w:cs="宋体"/>
          <w:b w:val="0"/>
          <w:bCs/>
          <w:color w:val="000000" w:themeColor="text1"/>
          <w:sz w:val="28"/>
          <w:szCs w:val="28"/>
          <w14:textFill>
            <w14:solidFill>
              <w14:schemeClr w14:val="tx1"/>
            </w14:solidFill>
          </w14:textFill>
        </w:rPr>
        <w:t>和中标人的</w:t>
      </w:r>
      <w:r>
        <w:rPr>
          <w:rFonts w:hint="eastAsia" w:ascii="宋体" w:hAnsi="宋体" w:eastAsia="宋体" w:cs="宋体"/>
          <w:b w:val="0"/>
          <w:bCs/>
          <w:color w:val="000000" w:themeColor="text1"/>
          <w:sz w:val="28"/>
          <w:szCs w:val="28"/>
          <w:lang w:eastAsia="zh-CN"/>
          <w14:textFill>
            <w14:solidFill>
              <w14:schemeClr w14:val="tx1"/>
            </w14:solidFill>
          </w14:textFill>
        </w:rPr>
        <w:t>响应文件</w:t>
      </w:r>
      <w:r>
        <w:rPr>
          <w:rFonts w:hint="eastAsia" w:ascii="宋体" w:hAnsi="宋体" w:eastAsia="宋体" w:cs="宋体"/>
          <w:b w:val="0"/>
          <w:bCs/>
          <w:color w:val="000000" w:themeColor="text1"/>
          <w:sz w:val="28"/>
          <w:szCs w:val="28"/>
          <w14:textFill>
            <w14:solidFill>
              <w14:schemeClr w14:val="tx1"/>
            </w14:solidFill>
          </w14:textFill>
        </w:rPr>
        <w:t>的内容一致。招标人和中标人不得再行订立背离合同实质性内容的其他协议。</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7.4.10</w:t>
      </w:r>
      <w:r>
        <w:rPr>
          <w:rFonts w:hint="eastAsia" w:ascii="宋体" w:hAnsi="宋体" w:eastAsia="宋体" w:cs="宋体"/>
          <w:b w:val="0"/>
          <w:bCs/>
          <w:color w:val="000000" w:themeColor="text1"/>
          <w:sz w:val="28"/>
          <w:szCs w:val="28"/>
          <w:lang w:eastAsia="zh-CN"/>
          <w14:textFill>
            <w14:solidFill>
              <w14:schemeClr w14:val="tx1"/>
            </w14:solidFill>
          </w14:textFill>
        </w:rPr>
        <w:t>磋商文件</w:t>
      </w:r>
      <w:r>
        <w:rPr>
          <w:rFonts w:hint="eastAsia" w:ascii="宋体" w:hAnsi="宋体" w:eastAsia="宋体" w:cs="宋体"/>
          <w:b w:val="0"/>
          <w:bCs/>
          <w:color w:val="000000" w:themeColor="text1"/>
          <w:sz w:val="28"/>
          <w:szCs w:val="28"/>
          <w14:textFill>
            <w14:solidFill>
              <w14:schemeClr w14:val="tx1"/>
            </w14:solidFill>
          </w14:textFill>
        </w:rPr>
        <w:t>要求</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人提交履约保证金的，中标人应当按照</w:t>
      </w:r>
      <w:r>
        <w:rPr>
          <w:rFonts w:hint="eastAsia" w:ascii="宋体" w:hAnsi="宋体" w:eastAsia="宋体" w:cs="宋体"/>
          <w:b w:val="0"/>
          <w:bCs/>
          <w:color w:val="000000" w:themeColor="text1"/>
          <w:sz w:val="28"/>
          <w:szCs w:val="28"/>
          <w:lang w:eastAsia="zh-CN"/>
          <w14:textFill>
            <w14:solidFill>
              <w14:schemeClr w14:val="tx1"/>
            </w14:solidFill>
          </w14:textFill>
        </w:rPr>
        <w:t>磋商文件</w:t>
      </w:r>
      <w:r>
        <w:rPr>
          <w:rFonts w:hint="eastAsia" w:ascii="宋体" w:hAnsi="宋体" w:eastAsia="宋体" w:cs="宋体"/>
          <w:b w:val="0"/>
          <w:bCs/>
          <w:color w:val="000000" w:themeColor="text1"/>
          <w:sz w:val="28"/>
          <w:szCs w:val="28"/>
          <w14:textFill>
            <w14:solidFill>
              <w14:schemeClr w14:val="tx1"/>
            </w14:solidFill>
          </w14:textFill>
        </w:rPr>
        <w:t>的要求提交。履约保证金不得超过</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合同金额的</w:t>
      </w:r>
      <w:r>
        <w:rPr>
          <w:rFonts w:hint="eastAsia" w:ascii="宋体" w:hAnsi="宋体" w:eastAsia="宋体" w:cs="宋体"/>
          <w:b w:val="0"/>
          <w:bCs/>
          <w:color w:val="000000" w:themeColor="text1"/>
          <w:sz w:val="28"/>
          <w:szCs w:val="28"/>
          <w:lang w:val="en-US" w:eastAsia="zh-CN"/>
          <w14:textFill>
            <w14:solidFill>
              <w14:schemeClr w14:val="tx1"/>
            </w14:solidFill>
          </w14:textFill>
        </w:rPr>
        <w:t>5</w:t>
      </w:r>
      <w:r>
        <w:rPr>
          <w:rFonts w:hint="eastAsia" w:ascii="宋体" w:hAnsi="宋体" w:eastAsia="宋体" w:cs="宋体"/>
          <w:b w:val="0"/>
          <w:bCs/>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7.4.11</w:t>
      </w:r>
      <w:r>
        <w:rPr>
          <w:rFonts w:hint="eastAsia" w:ascii="宋体" w:hAnsi="宋体" w:eastAsia="宋体" w:cs="宋体"/>
          <w:b w:val="0"/>
          <w:bCs/>
          <w:color w:val="000000" w:themeColor="text1"/>
          <w:sz w:val="28"/>
          <w:szCs w:val="28"/>
          <w:lang w:eastAsia="zh-CN"/>
          <w14:textFill>
            <w14:solidFill>
              <w14:schemeClr w14:val="tx1"/>
            </w14:solidFill>
          </w14:textFill>
        </w:rPr>
        <w:t>成交供应商</w:t>
      </w:r>
      <w:r>
        <w:rPr>
          <w:rFonts w:hint="eastAsia" w:ascii="宋体" w:hAnsi="宋体" w:eastAsia="宋体" w:cs="宋体"/>
          <w:b w:val="0"/>
          <w:bCs/>
          <w:color w:val="000000" w:themeColor="text1"/>
          <w:sz w:val="28"/>
          <w:szCs w:val="28"/>
          <w14:textFill>
            <w14:solidFill>
              <w14:schemeClr w14:val="tx1"/>
            </w14:solidFill>
          </w14:textFill>
        </w:rPr>
        <w:t>应当按照合同约定履行义务，完成</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项目。</w:t>
      </w:r>
      <w:r>
        <w:rPr>
          <w:rFonts w:hint="eastAsia" w:ascii="宋体" w:hAnsi="宋体" w:eastAsia="宋体" w:cs="宋体"/>
          <w:b w:val="0"/>
          <w:bCs/>
          <w:color w:val="000000" w:themeColor="text1"/>
          <w:sz w:val="28"/>
          <w:szCs w:val="28"/>
          <w:lang w:eastAsia="zh-CN"/>
          <w14:textFill>
            <w14:solidFill>
              <w14:schemeClr w14:val="tx1"/>
            </w14:solidFill>
          </w14:textFill>
        </w:rPr>
        <w:t>成交供应商</w:t>
      </w:r>
      <w:r>
        <w:rPr>
          <w:rFonts w:hint="eastAsia" w:ascii="宋体" w:hAnsi="宋体" w:eastAsia="宋体" w:cs="宋体"/>
          <w:b w:val="0"/>
          <w:bCs/>
          <w:color w:val="000000" w:themeColor="text1"/>
          <w:sz w:val="28"/>
          <w:szCs w:val="28"/>
          <w14:textFill>
            <w14:solidFill>
              <w14:schemeClr w14:val="tx1"/>
            </w14:solidFill>
          </w14:textFill>
        </w:rPr>
        <w:t>不得向他人转让</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项目，也不得将</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项目肢解后分别向他人转让。</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eastAsia="zh-CN"/>
          <w14:textFill>
            <w14:solidFill>
              <w14:schemeClr w14:val="tx1"/>
            </w14:solidFill>
          </w14:textFill>
        </w:rPr>
        <w:t>成交供应商</w:t>
      </w:r>
      <w:r>
        <w:rPr>
          <w:rFonts w:hint="eastAsia" w:ascii="宋体" w:hAnsi="宋体" w:eastAsia="宋体" w:cs="宋体"/>
          <w:b w:val="0"/>
          <w:bCs/>
          <w:color w:val="000000" w:themeColor="text1"/>
          <w:sz w:val="28"/>
          <w:szCs w:val="28"/>
          <w14:textFill>
            <w14:solidFill>
              <w14:schemeClr w14:val="tx1"/>
            </w14:solidFill>
          </w14:textFill>
        </w:rPr>
        <w:t>按照合同约定或者经招标人同意，可以将</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项目的部分非主体、非关键性工作分包给他人完成。接受分包的人应当具备相应的资格条件，并不得再次分包。</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eastAsia="zh-CN"/>
          <w14:textFill>
            <w14:solidFill>
              <w14:schemeClr w14:val="tx1"/>
            </w14:solidFill>
          </w14:textFill>
        </w:rPr>
        <w:t>成交供应商</w:t>
      </w:r>
      <w:r>
        <w:rPr>
          <w:rFonts w:hint="eastAsia" w:ascii="宋体" w:hAnsi="宋体" w:eastAsia="宋体" w:cs="宋体"/>
          <w:b w:val="0"/>
          <w:bCs/>
          <w:color w:val="000000" w:themeColor="text1"/>
          <w:sz w:val="28"/>
          <w:szCs w:val="28"/>
          <w14:textFill>
            <w14:solidFill>
              <w14:schemeClr w14:val="tx1"/>
            </w14:solidFill>
          </w14:textFill>
        </w:rPr>
        <w:t>应当就分包项目向招标人负责，接受分包的人就分包项目承担连带责任。</w:t>
      </w:r>
    </w:p>
    <w:bookmarkEnd w:id="73"/>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8．重新招标和不再招标</w:t>
      </w:r>
      <w:bookmarkEnd w:id="67"/>
      <w:bookmarkEnd w:id="68"/>
      <w:bookmarkEnd w:id="69"/>
      <w:bookmarkEnd w:id="70"/>
      <w:bookmarkEnd w:id="71"/>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8.1 重新招标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有下列情形之一的，采购人将重新招标：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（l）提交首次响应文件截止之日止，供应商少于3个的；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（2）经磋商小组评审后否决所有投标的。</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8.2 不再招标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重新招标后供应商仍少于3个或者所有投标被否决的，属于必须审批或核准的工程建设项目，经原审批或核准部门批准后不再进行招标。</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74" w:name="_Toc421778373"/>
      <w:bookmarkStart w:id="75" w:name="_Toc526842691"/>
      <w:bookmarkStart w:id="76" w:name="_Toc420591651"/>
      <w:bookmarkStart w:id="77" w:name="_Toc425240472"/>
      <w:bookmarkStart w:id="78" w:name="_Toc2742"/>
      <w:r>
        <w:rPr>
          <w:rFonts w:hint="eastAsia" w:ascii="宋体" w:hAnsi="宋体" w:eastAsia="宋体" w:cs="宋体"/>
          <w:b/>
          <w:color w:val="000000" w:themeColor="text1"/>
          <w:sz w:val="28"/>
          <w:szCs w:val="28"/>
          <w14:textFill>
            <w14:solidFill>
              <w14:schemeClr w14:val="tx1"/>
            </w14:solidFill>
          </w14:textFill>
        </w:rPr>
        <w:t>9．纪律和监督</w:t>
      </w:r>
      <w:bookmarkEnd w:id="74"/>
      <w:bookmarkEnd w:id="75"/>
      <w:bookmarkEnd w:id="76"/>
      <w:bookmarkEnd w:id="77"/>
      <w:bookmarkEnd w:id="78"/>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9.1 对采购人的纪律要求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采购人不得泄漏招标投标活动中应当保密的情况和资料，不得与供应商串通损害国家利益、社会公共利益或者他人合法权益。</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9.2 对供应商的纪律要求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9.2.1供应商不得相互串通投标或者与采购人串通投标，不得向采购人或者磋商小组成员行贿谋取成交，不得以他人名义投标或者以其他方式弄虚作假骗取成交；供应商不得以任何方式干扰、影响评标工作。</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9.2.2采购人员与供应商有利害关系而不依法回避的，由财政部门给予警告，并处2000元以上2万元以下的罚款。</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9.2.3有政府采购法第七十一条、第七十二条规定的违法行为之一，影响或者可能影响中标、成交结果的，依照下列规定处理：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（一）未确定中标或者成交供应商的，终止本次政府采购活动，重新开展政府采购活动。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已确定中标或者成交供应商但尚未签订政府采购合同的，中标或者成交结果无效，从合格的中标或者成交候选人中另行确定中标或者成交供应商；没有合格的中标或者成交候选人的，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（三）政府采购合同已签订但尚未履行的，撤销合同，从合格的中标或者成交候选人中另行确定中标或者成交供应商；没有合格的中标或者成交候选人的，重新开展政府采购活动。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（四）政府采购合同已经履行，给采购人、供应商造成损失的，由责任人承担赔偿责任。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政府采购当事人有其他违反政府采购法或者本条例规定的行为，经改正后仍然影响或者可能影响中标、成交结果或者依法被认定为中标、成交无效的，依照前款规定处理。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9.2.4供应商有下列情形之一的，依照政府采购法第七十七条第一款的规定追究法律责任：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（一）向评标委员会、竞争性</w:t>
      </w:r>
      <w:r>
        <w:rPr>
          <w:rFonts w:hint="eastAsia" w:ascii="宋体" w:hAnsi="宋体" w:eastAsia="宋体" w:cs="宋体"/>
          <w:color w:val="auto"/>
          <w:sz w:val="28"/>
          <w:szCs w:val="28"/>
          <w:lang w:val="en-US" w:eastAsia="zh-CN"/>
        </w:rPr>
        <w:t>磋商</w:t>
      </w:r>
      <w:r>
        <w:rPr>
          <w:rFonts w:hint="eastAsia" w:ascii="宋体" w:hAnsi="宋体" w:eastAsia="宋体" w:cs="宋体"/>
          <w:color w:val="000000" w:themeColor="text1"/>
          <w:sz w:val="28"/>
          <w:szCs w:val="28"/>
          <w14:textFill>
            <w14:solidFill>
              <w14:schemeClr w14:val="tx1"/>
            </w14:solidFill>
          </w14:textFill>
        </w:rPr>
        <w:t>小组或者询价小组成员行贿或者提供其他不正当利益；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（二）中标或者成交后无正当理由拒不与采购人签订政府采购合同；</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（三）未按照采购文件确定的事项签订政府采购合同；</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（四）将政府采购合同转包；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（五）提供假冒伪劣产品；</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（六）擅自变更、中止或者终止政府采购合同。</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有前款第一项规定情形的，中标、成交无效。评审阶段资格发生变化，供应商未依照本条例第二十一条的规定通知采购人和采购代理机构的，处以采购金额5‰的罚款，列入不良行为记录名单，中标、成交无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9.2.5供应商捏造事实、提供虚假材料或者以非法手段取得证明材料进行投诉的，由财政部门列入不良行为记录名单，禁止其1至3年内参加政府采购活动。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9.2.6有下列情形之一的，属于恶意串通，对供应商依照政府采购法第七十七条第一款的规定追究法律责任，对采购人、采购代理机构及其工作人员依照政府采购法第七十二条的规定追究法律责任：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（一）供应商直接或者间接从采购人或者采购代理机构处获得其他供应商的相关情况并修改其</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或者响应文件；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（二）供应商按照采购人或者采购代理机构的授意撤换、修改</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或者响应文件；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（三）供应商之间协商报价、技术方案等</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或者响应文件的实质性内容；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（四）属于同一集团、协会、商会等组织成员的供应商按照该组织要求协同参加政府采购活动；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（五）供应商之间事先约定由某一特定供应商中标、成交；</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（六）供应商之间商定部分供应商放弃参加政府采购活动或者放弃中标、成交；</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（七）供应商与采购人或者采购代理机构之间、供应商相互之间，为谋求特定供应商中标、成交或者排斥其他供应商的其他串通行为。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9.2.7禁止投标人相互串通投标。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有下列情形之一的，属于投标人相互串通投标：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（一）投标人之间协商</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等</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的实质性内容；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（二）投标人之间约定中标人；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（三）投标人之间约定部分投标人放弃投标或者中标；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（四）属于同一集团、协会、商会等组织成员的投标人按照该组织要求协同投标；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（五）投标人之间为谋取中标或者排斥特定投标人而采取的其他联合行动。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9.2.8有下列情形之一的，视为投标人相互串通投标：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（一）不同投标人的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由同一单位或者个人编制；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（二）不同投标人委托同一单位或者个人办理投标事宜；</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（三）不同投标人的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载明的项目管理成员为同一人；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（四）不同投标人的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异常一致或者</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呈规律性差异；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（五）不同投标人的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相互混装；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（六）不同投标人的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从同一单位或者个人的账户转出。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9.2.9禁止招标人与投标人串通投标。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有下列情形之一的，属于招标人与投标人串通投标：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（一）招标人在开标前开启</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并将有关信息泄露给其他投标人；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（二）招标人直接或者间接向投标人泄露标底、评标委员会成员等信息；</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（三）招标人明示或者暗示投标人压低或者抬高</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（四）招标人授意投标人撤换、修改</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（五）招标人明示或者暗示投标人为特定投标人中标提供方便；</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（六）招标人与投标人为谋求特定投标人中标而采取的其他串通行为。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9.2.10使用通过受让或者租借等方式获取的资格、资质证书投标的，属于招标投标法第三十三条规定的以他人名义投标。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投标人有下列情形之一的，属于招标投标法第三十三条规定的以其他方式弄虚作假的行为：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（一）使用伪造、变造的许可证件；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（二）提供虚假的财务状况或者业绩；</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（三）提供虚假的项目负责人或者主要技术人员简历、劳动关系证明；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（四）提供虚假的信用状况；</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（五）其他弄虚作假的行为。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9.2.11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投标人有下列行为之一的，属于招标投标法第五十三条规定的情节严重行为，由有关行政监督部门取消其1年至2年内参加依法必须进行招标的项目的投标资格：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（一）以行贿谋取中标；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（二）3年内2次以上串通投标；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（三）串通投标行为损害招标人、其他投标人或者国家、集体、公民的合法利益，造成直接经济损失30万元以上；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（四）其他串通投标情节严重的行为。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投标人自本条第二款规定的处罚执行期限届满之日起3年内又有该款所列违法行为之一的，或者串通投标、以行贿谋取中标情节特别严重的，由工商行政管理机关吊销营业执照。</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法律、行政法规对串通</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行为的处罚另有规定的，从其规定。</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9.2.12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投标人有下列行为之一的，属于招标投标法第五十四条规定的情节严重行为，由有关行政监督部门取消其1年至3年内参加依法必须进行招标的项目的投标资格：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（一）伪造、变造资格、资质证书或者其他许可证件骗取中标；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（二）3年内2次以上使用他人名义投标；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（三）弄虚作假骗取中标给招标人造成直接经济损失30万元以上；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（四）其他弄虚作假骗取中标情节严重的行为。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投标人自本条第二款规定的处罚执行期限届满之日起3年内又有该款所列违法行为之一的，或者弄虚作假骗取中标情节特别严重的，由工商行政管理机关吊销营业执照。</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9.2.13出让或者出租资格、资质证书供他人投标的，依照法律、行政法规的规定给予行政处罚；构成犯罪的，依法追究刑事责任。</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9.3 对磋商小组成员的纪律要求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9.3.1磋商小组成员不得收受他人的财物或者其他好处，不得向他人透漏对磋商响应文件的评审和比较、成交候选供应商的推荐情况以及评标有关的其他情况。在评标活动中，磋商小组成员不得擅离职守，影响评标程序正常进行，不得使用第三章“评标办法”没有规定的评审因素和标准进行评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9.3.2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政府采购评审专家与供应商存在利害关系未回避的，处2万元以上5万元以下的罚款，禁止其参加政府采购评审活动。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政府采购评审专家收受采购人、采购代理机构、供应商贿赂或者获取其他不正当利益，构成犯罪的，依法追究刑事责任；尚不构成犯罪的，处2万元以上5万元以下的罚款，禁止其参加政府采购评审活动。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政府采购评审专家有上述违法行为的，其评审意见无效，不得获取评审费；有违法所得的，没收违法所得；给他人造成损失的，依法承担民事责任。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79" w:name="_Hlk522181179"/>
      <w:r>
        <w:rPr>
          <w:rFonts w:hint="eastAsia" w:ascii="宋体" w:hAnsi="宋体" w:eastAsia="宋体" w:cs="宋体"/>
          <w:color w:val="000000" w:themeColor="text1"/>
          <w:sz w:val="28"/>
          <w:szCs w:val="28"/>
          <w14:textFill>
            <w14:solidFill>
              <w14:schemeClr w14:val="tx1"/>
            </w14:solidFill>
          </w14:textFill>
        </w:rPr>
        <w:t>9.3.3评标委员会成员有下列行为之一的，由有关行政监督部门责令改正；情节严重的，禁止其在一定期限内参加依法必须进行招标的项目的评标；情节特别严重的，取消其担任评标委员会成员的资格：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（一）应当回避而不回避；</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（二）擅离职守；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（三）不按照</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规定的评标标准和方法评标；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（四）私下接触投标人；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（五）向招标人征询确定中标人的意向或者接受任何单位或者个人明示或者暗示提出的倾向或者排斥特定投标人的要求；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（六）对依法应当否决的投标不提出否决意见；</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（七）暗示或者诱导投标人作出澄清、说明或者接受投标人主动提出的澄清、说明；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（八）其他不客观、不公正履行职务的行为。</w:t>
      </w:r>
      <w:bookmarkEnd w:id="79"/>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9.4 对与评标活动有关的工作人员的纪律要求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9.4.1与评标活动有关的工作人员不得收受他人的财物或者其他好处，不得向他人透漏对磋商响应文件的评审和比较、成交候选供应商的推荐情况以及评标有关的其他情况。在评标活动中，与评标活动有关的工作人员不得擅离职守，影响评标程序正常进行。</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9.4.2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9.4.3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（一）要求对依法必须进行招标的项目不招标，或者要求对依法应当公开招标的项目不公开招标；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（二）要求评标委员会成员或者招标人以其指定的投标人作为中标候选人或者中标人，或者以其他方式非法干涉评标活动，影响中标结果；</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（三）以其他方式非法干涉招标投标活动。</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9.5 投诉</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9.5.1供应商和其他利害关系人认为本次招标活动违反法律、法规和规章规定的，有权向有关行政监督部门投诉。</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9.5.2供应商的质疑和投诉，详见《中华人民共和国财政部令第94号--政府采购质疑和投诉办法》有关规定。</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9.5.3投诉人不得以投诉为名排挤竞争对手，不得进行虚假、恶意投诉，阻碍招标投标活动的正常进行。</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9.6评标过程的监控</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本项目评标过程实行全程录音、录像监控，供应商在评标过程中所进行的试图影响评标结果的不公正活动，可能导致其投标被拒绝。</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9.7质疑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9.7.1供应商对采购事项有疑问的，应当按照《政府采购质疑和投诉办法》规定，以书面形式向采购人或代理机构提出，经法定代表人签字并加盖公章。</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9.7.2供应商认为采购文件、采购过程、中标或者成交结果使自己的权益受到损害的，可以在知道或者应知其权益受到损害之日起7个工作日内，以书面形式向采购人、采购代理机构提出质疑。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9.7.3供应商对</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条款或技术参数有异议的，应当在开标前通过澄清或修改程序提出。供应商已经参与开标，并于开标后对</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提出质疑的，其质疑应当被视为无效质疑。在法定质疑期内对采购文件只能是一次性提出针对同一采购程序环节的质疑。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9.7.4提出质疑的供应商（以下简称质疑供应商）应当是参与所质疑项目采购活动的供应商。潜在供应商已依法获取其可质疑的采购文件的，可以对该文件提出质疑。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9.7.5对采购文件提出质疑的，应当在获取采购文件或者采购文件公告期限届满之日起7个工作日内提出。</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9.7.6供应商提出质疑应当提交质疑函（质疑函范本见附件1）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按照“谁主张、谁举证”的原则，质疑书应当附上相关证明材料，否则质疑将视为无有效证据支持，将被予以驳回。</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9.7.7有下列情形之一的，属于无效质疑，代理机构可不予受理：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（1）未在有效期限内提出质疑的；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（2）质疑未以书面形式提出的；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（3）所提交材料未明示属于质疑材料的；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（4）质疑书没有法定代表人签署本人姓名或印盖本人姓名章并加盖供应商公章；质疑书由参加</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的授权代表签署本人姓名或印盖本人姓名章的，没有法定代表人的特别授权；质疑书加盖合同专用章的；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（5）质疑书未提供有效联系人或联系方式的；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（6）质疑事项已经进入投诉或者诉讼程序的；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（7）其它不符合受理条件的情形。</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9.7.8采购人或代理机构将在收到书面质疑后7个工作日内审查质疑事项，作出答复或相关处理决定，并以书面形式通知质疑供应商和其他有关供应商，但答复的内容不涉及商业秘密。若质疑涉及政府采购制度或程序，将被转交政府采购的管理部门审查。</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9.7.9供应商对评审过程、中标或者成交结果提出质疑的，采购人、采购代理机构可以组织原评标委员会、竞争性谈判小组、询价小组或者竞争性磋商小组协助答复质疑。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9.7.10质疑人有下列情形之一的，代理机构应驳回质疑：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（1）质疑缺乏事实和法律依据的；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（2）质疑人捏造事实、提供虚假材料，或在一定期限内多次质疑而无实据的；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（3）质疑已经处理并答复后，质疑人就同一事项又提起质疑且未提供新的有效证据的；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（4）其他根据相关法律、法规应当予以驳回的情形。</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9.7.11供应商进行虚假和恶意质疑的，代理机构可以提请有关部门将其列入不良记录名单，在一至三年内禁止参加政府采购活动，并将处理决定在相关政府采购媒体上公布。</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9.7.12采购人、采购代理机构认为供应商质疑不成立，或者成立但未对中标、成交结果构成影响的，继续开展采购活动；认为供应商质疑成立且影响或者可能影响中标、成交结果的，按照下列情况处理：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（一）对采购文件提出的质疑，依法通过澄清或者修改可以继续开展采购活动的，澄清或者修改采购文件后继续开展采购活动；否则应当修改采购文件后重新开展采购活动。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质疑答复导致中标、成交结果改变的，采购人或者采购代理机构应当将有关情况书面报告本级财政部门。</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9.7.13质疑供应商对采购人、采购代理机构的答复不满意，或者采购人、采购代理机构未在规定时间内作出答复的，可以在答复期满后15个工作日内向本办法第六条规定的财政部门提起投诉（投诉书范本见附件2）。</w:t>
      </w:r>
    </w:p>
    <w:p>
      <w:pPr>
        <w:rPr>
          <w:rFonts w:hint="eastAsia" w:ascii="宋体" w:hAnsi="宋体" w:eastAsia="宋体" w:cs="宋体"/>
          <w:b/>
          <w:color w:val="000000" w:themeColor="text1"/>
          <w:sz w:val="28"/>
          <w:szCs w:val="28"/>
          <w14:textFill>
            <w14:solidFill>
              <w14:schemeClr w14:val="tx1"/>
            </w14:solidFill>
          </w14:textFill>
        </w:rPr>
      </w:pPr>
    </w:p>
    <w:p>
      <w:pPr>
        <w:rPr>
          <w:rFonts w:hint="eastAsia" w:ascii="宋体" w:hAnsi="宋体" w:eastAsia="宋体" w:cs="宋体"/>
          <w:b/>
          <w:color w:val="000000" w:themeColor="text1"/>
          <w:sz w:val="28"/>
          <w:szCs w:val="28"/>
          <w14:textFill>
            <w14:solidFill>
              <w14:schemeClr w14:val="tx1"/>
            </w14:solidFill>
          </w14:textFill>
        </w:rPr>
      </w:pPr>
    </w:p>
    <w:p>
      <w:pPr>
        <w:rPr>
          <w:rFonts w:hint="eastAsia" w:ascii="宋体" w:hAnsi="宋体" w:eastAsia="宋体" w:cs="宋体"/>
          <w:b/>
          <w:color w:val="000000" w:themeColor="text1"/>
          <w:sz w:val="28"/>
          <w:szCs w:val="28"/>
          <w14:textFill>
            <w14:solidFill>
              <w14:schemeClr w14:val="tx1"/>
            </w14:solidFill>
          </w14:textFill>
        </w:rPr>
      </w:pPr>
    </w:p>
    <w:p>
      <w:pPr>
        <w:rPr>
          <w:rFonts w:hint="eastAsia" w:ascii="宋体" w:hAnsi="宋体" w:eastAsia="宋体" w:cs="宋体"/>
          <w:b/>
          <w:color w:val="000000" w:themeColor="text1"/>
          <w:sz w:val="28"/>
          <w:szCs w:val="28"/>
          <w14:textFill>
            <w14:solidFill>
              <w14:schemeClr w14:val="tx1"/>
            </w14:solidFill>
          </w14:textFill>
        </w:rPr>
      </w:pPr>
    </w:p>
    <w:p>
      <w:pPr>
        <w:rPr>
          <w:rFonts w:hint="eastAsia" w:ascii="宋体" w:hAnsi="宋体" w:eastAsia="宋体" w:cs="宋体"/>
          <w:b/>
          <w:color w:val="000000" w:themeColor="text1"/>
          <w:sz w:val="28"/>
          <w:szCs w:val="28"/>
          <w14:textFill>
            <w14:solidFill>
              <w14:schemeClr w14:val="tx1"/>
            </w14:solidFill>
          </w14:textFill>
        </w:rPr>
      </w:pPr>
    </w:p>
    <w:p>
      <w:pPr>
        <w:rPr>
          <w:rFonts w:hint="eastAsia" w:ascii="宋体" w:hAnsi="宋体" w:eastAsia="宋体" w:cs="宋体"/>
          <w:b/>
          <w:color w:val="000000" w:themeColor="text1"/>
          <w:sz w:val="28"/>
          <w:szCs w:val="28"/>
          <w14:textFill>
            <w14:solidFill>
              <w14:schemeClr w14:val="tx1"/>
            </w14:solidFill>
          </w14:textFill>
        </w:rPr>
      </w:pPr>
    </w:p>
    <w:p>
      <w:pP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附件1</w:t>
      </w:r>
    </w:p>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质疑函范本</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一、质疑供应商基本信息</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质疑供应商：</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授权代表：</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二、质疑项目基本情况</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质疑项目的名称：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质疑项目的编号：</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采购文件获取日期：</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三、质疑事项具体内容</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质疑事项1：</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事实依据：</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法律依据：</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质疑事项2</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四、与质疑事项相关的质疑请求</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请求：</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签字(</w:t>
      </w:r>
      <w:r>
        <w:rPr>
          <w:rFonts w:hint="eastAsia" w:ascii="宋体" w:hAnsi="宋体" w:eastAsia="宋体" w:cs="宋体"/>
          <w:color w:val="000000" w:themeColor="text1"/>
          <w:sz w:val="28"/>
          <w:szCs w:val="28"/>
          <w:lang w:eastAsia="zh-CN"/>
          <w14:textFill>
            <w14:solidFill>
              <w14:schemeClr w14:val="tx1"/>
            </w14:solidFill>
          </w14:textFill>
        </w:rPr>
        <w:t>签字或盖章</w:t>
      </w:r>
      <w:r>
        <w:rPr>
          <w:rFonts w:hint="eastAsia" w:ascii="宋体" w:hAnsi="宋体" w:eastAsia="宋体" w:cs="宋体"/>
          <w:color w:val="000000" w:themeColor="text1"/>
          <w:sz w:val="28"/>
          <w:szCs w:val="28"/>
          <w14:textFill>
            <w14:solidFill>
              <w14:schemeClr w14:val="tx1"/>
            </w14:solidFill>
          </w14:textFill>
        </w:rPr>
        <w:t xml:space="preserve">)：                   公章：                      </w:t>
      </w:r>
    </w:p>
    <w:p>
      <w:pPr>
        <w:spacing w:line="360" w:lineRule="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日期：    </w:t>
      </w:r>
    </w:p>
    <w:p>
      <w:pPr>
        <w:spacing w:line="360" w:lineRule="auto"/>
        <w:rPr>
          <w:rFonts w:hint="eastAsia" w:ascii="宋体" w:hAnsi="宋体" w:eastAsia="宋体" w:cs="宋体"/>
          <w:b/>
          <w:color w:val="000000" w:themeColor="text1"/>
          <w:sz w:val="28"/>
          <w:szCs w:val="28"/>
          <w14:textFill>
            <w14:solidFill>
              <w14:schemeClr w14:val="tx1"/>
            </w14:solidFill>
          </w14:textFill>
        </w:rPr>
      </w:pPr>
    </w:p>
    <w:p>
      <w:pPr>
        <w:spacing w:line="360" w:lineRule="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质疑函制作说明：</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1.供应商提出质疑时，应提交质疑函和必要的证明材料。</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2.质疑供应商若委托代理人进行质疑的，质疑函应按要求列明“授权代表”的有关内容，并在附件中提交由质疑</w:t>
      </w:r>
      <w:r>
        <w:rPr>
          <w:rFonts w:hint="eastAsia" w:ascii="宋体" w:hAnsi="宋体" w:eastAsia="宋体" w:cs="宋体"/>
          <w:color w:val="000000" w:themeColor="text1"/>
          <w:kern w:val="0"/>
          <w:sz w:val="28"/>
          <w:szCs w:val="28"/>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3.质疑供应商若对项目的某一分包进行质疑，质疑函中应列明具体分包号。</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4.质疑函的质疑事项应具体、明确，并有必要的事实依据和法律依据。</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5.质疑函的质疑请求应与质疑事项相关。</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br w:type="page"/>
      </w:r>
      <w:r>
        <w:rPr>
          <w:rFonts w:hint="eastAsia" w:ascii="宋体" w:hAnsi="宋体" w:eastAsia="宋体" w:cs="宋体"/>
          <w:b/>
          <w:color w:val="000000" w:themeColor="text1"/>
          <w:sz w:val="28"/>
          <w:szCs w:val="28"/>
          <w14:textFill>
            <w14:solidFill>
              <w14:schemeClr w14:val="tx1"/>
            </w14:solidFill>
          </w14:textFill>
        </w:rPr>
        <w:t>附件2</w:t>
      </w:r>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投诉书范本</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一、投诉相关主体基本情况</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投诉人：</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tabs>
          <w:tab w:val="left" w:pos="6510"/>
        </w:tabs>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法定代表人/主要负责人：</w:t>
      </w:r>
      <w:r>
        <w:rPr>
          <w:rFonts w:hint="eastAsia" w:ascii="宋体" w:hAnsi="宋体" w:eastAsia="宋体" w:cs="宋体"/>
          <w:color w:val="000000" w:themeColor="text1"/>
          <w:sz w:val="28"/>
          <w:szCs w:val="28"/>
          <w:u w:val="single"/>
          <w14:textFill>
            <w14:solidFill>
              <w14:schemeClr w14:val="tx1"/>
            </w14:solidFill>
          </w14:textFill>
        </w:rPr>
        <w:t xml:space="preserve">                                </w:t>
      </w:r>
    </w:p>
    <w:p>
      <w:pPr>
        <w:tabs>
          <w:tab w:val="left" w:pos="6510"/>
        </w:tabs>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授权代表：</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被投诉人1：</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被投诉人2</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相关供应商：</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二、投诉项目基本情况</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编号：</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代理机构名称：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采购文件公告:</w:t>
      </w:r>
      <w:r>
        <w:rPr>
          <w:rFonts w:hint="eastAsia" w:ascii="宋体" w:hAnsi="宋体" w:eastAsia="宋体" w:cs="宋体"/>
          <w:color w:val="000000" w:themeColor="text1"/>
          <w:sz w:val="28"/>
          <w:szCs w:val="28"/>
          <w:u w:val="single"/>
          <w14:textFill>
            <w14:solidFill>
              <w14:schemeClr w14:val="tx1"/>
            </w14:solidFill>
          </w14:textFill>
        </w:rPr>
        <w:t xml:space="preserve">是/否 </w:t>
      </w:r>
      <w:r>
        <w:rPr>
          <w:rFonts w:hint="eastAsia" w:ascii="宋体" w:hAnsi="宋体" w:eastAsia="宋体" w:cs="宋体"/>
          <w:color w:val="000000" w:themeColor="text1"/>
          <w:sz w:val="28"/>
          <w:szCs w:val="28"/>
          <w14:textFill>
            <w14:solidFill>
              <w14:schemeClr w14:val="tx1"/>
            </w14:solidFill>
          </w14:textFill>
        </w:rPr>
        <w:t xml:space="preserve">    公告期限：</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采购结果公告:</w:t>
      </w:r>
      <w:r>
        <w:rPr>
          <w:rFonts w:hint="eastAsia" w:ascii="宋体" w:hAnsi="宋体" w:eastAsia="宋体" w:cs="宋体"/>
          <w:color w:val="000000" w:themeColor="text1"/>
          <w:sz w:val="28"/>
          <w:szCs w:val="28"/>
          <w:u w:val="single"/>
          <w14:textFill>
            <w14:solidFill>
              <w14:schemeClr w14:val="tx1"/>
            </w14:solidFill>
          </w14:textFill>
        </w:rPr>
        <w:t xml:space="preserve">是/否 </w:t>
      </w:r>
      <w:r>
        <w:rPr>
          <w:rFonts w:hint="eastAsia" w:ascii="宋体" w:hAnsi="宋体" w:eastAsia="宋体" w:cs="宋体"/>
          <w:color w:val="000000" w:themeColor="text1"/>
          <w:sz w:val="28"/>
          <w:szCs w:val="28"/>
          <w14:textFill>
            <w14:solidFill>
              <w14:schemeClr w14:val="tx1"/>
            </w14:solidFill>
          </w14:textFill>
        </w:rPr>
        <w:t xml:space="preserve">    公告期限：</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三、质疑基本情况</w:t>
      </w:r>
    </w:p>
    <w:p>
      <w:pPr>
        <w:spacing w:line="360" w:lineRule="auto"/>
        <w:ind w:firstLine="560" w:firstLineChars="200"/>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投诉人于</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日,向</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提出质疑，质疑事项为：</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ind w:firstLine="420" w:firstLineChars="15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u w:val="single"/>
          <w14:textFill>
            <w14:solidFill>
              <w14:schemeClr w14:val="tx1"/>
            </w14:solidFill>
          </w14:textFill>
        </w:rPr>
        <w:t>采购人/代理机构</w:t>
      </w:r>
      <w:r>
        <w:rPr>
          <w:rFonts w:hint="eastAsia" w:ascii="宋体" w:hAnsi="宋体" w:eastAsia="宋体" w:cs="宋体"/>
          <w:color w:val="000000" w:themeColor="text1"/>
          <w:sz w:val="28"/>
          <w:szCs w:val="28"/>
          <w14:textFill>
            <w14:solidFill>
              <w14:schemeClr w14:val="tx1"/>
            </w14:solidFill>
          </w14:textFill>
        </w:rPr>
        <w:t>于</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日,就质疑事项作出了答复/没有在法定期限内作出答复。</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四、投诉事项具体内容</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投诉事项 1：</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事实依据：</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法律依据：</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投诉事项2</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五、与投诉事项相关的投诉请求</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请求：</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签字(</w:t>
      </w:r>
      <w:r>
        <w:rPr>
          <w:rFonts w:hint="eastAsia" w:ascii="宋体" w:hAnsi="宋体" w:eastAsia="宋体" w:cs="宋体"/>
          <w:color w:val="000000" w:themeColor="text1"/>
          <w:sz w:val="28"/>
          <w:szCs w:val="28"/>
          <w:lang w:eastAsia="zh-CN"/>
          <w14:textFill>
            <w14:solidFill>
              <w14:schemeClr w14:val="tx1"/>
            </w14:solidFill>
          </w14:textFill>
        </w:rPr>
        <w:t>签字或盖章</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公章：</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日期：</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b/>
          <w:color w:val="000000" w:themeColor="text1"/>
          <w:sz w:val="28"/>
          <w:szCs w:val="28"/>
          <w14:textFill>
            <w14:solidFill>
              <w14:schemeClr w14:val="tx1"/>
            </w14:solidFill>
          </w14:textFill>
        </w:rPr>
      </w:pPr>
    </w:p>
    <w:p>
      <w:pP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br w:type="page"/>
      </w:r>
    </w:p>
    <w:p>
      <w:pPr>
        <w:spacing w:line="360" w:lineRule="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投诉书制作说明：</w:t>
      </w:r>
    </w:p>
    <w:p>
      <w:pPr>
        <w:widowControl/>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2.投诉人若委托代理人进行投诉的，投诉书应按照要求列明“授权代表”的有关内容，并在附件中提交由</w:t>
      </w:r>
      <w:r>
        <w:rPr>
          <w:rFonts w:hint="eastAsia" w:ascii="宋体" w:hAnsi="宋体" w:eastAsia="宋体" w:cs="宋体"/>
          <w:color w:val="000000" w:themeColor="text1"/>
          <w:kern w:val="0"/>
          <w:sz w:val="28"/>
          <w:szCs w:val="28"/>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3.投诉人若对项目的某一分包进行投诉，投诉书应列明具体分包号。</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4.投诉书应简要列明质疑事项，质疑函、质疑答复等作为附件材料提供。</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5.投诉书的投诉事项应具体、明确，并有必要的事实依据和法律依据。</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6.投诉书的投诉请求应与投诉事项相关。</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sectPr>
          <w:footerReference r:id="rId10" w:type="first"/>
          <w:footerReference r:id="rId9" w:type="default"/>
          <w:pgSz w:w="11906" w:h="16838"/>
          <w:pgMar w:top="1440" w:right="1440" w:bottom="1440" w:left="1440" w:header="851" w:footer="992" w:gutter="0"/>
          <w:lnNumType w:countBy="0" w:distance="360"/>
          <w:pgNumType w:fmt="decimal"/>
          <w:cols w:space="720" w:num="1"/>
          <w:titlePg/>
          <w:docGrid w:linePitch="312" w:charSpace="0"/>
        </w:sectPr>
      </w:pPr>
    </w:p>
    <w:p>
      <w:pPr>
        <w:spacing w:line="360" w:lineRule="auto"/>
        <w:ind w:firstLine="562" w:firstLineChars="200"/>
        <w:outlineLvl w:val="1"/>
        <w:rPr>
          <w:rFonts w:hint="eastAsia" w:ascii="宋体" w:hAnsi="宋体" w:eastAsia="宋体" w:cs="宋体"/>
          <w:b/>
          <w:color w:val="000000" w:themeColor="text1"/>
          <w:sz w:val="28"/>
          <w:szCs w:val="28"/>
          <w14:textFill>
            <w14:solidFill>
              <w14:schemeClr w14:val="tx1"/>
            </w14:solidFill>
          </w14:textFill>
        </w:rPr>
      </w:pPr>
      <w:bookmarkStart w:id="80" w:name="_Toc526842692"/>
      <w:bookmarkStart w:id="81" w:name="_Toc25074"/>
      <w:bookmarkStart w:id="82" w:name="_Toc420591652"/>
      <w:bookmarkStart w:id="83" w:name="_Toc421778374"/>
      <w:bookmarkStart w:id="84" w:name="_Toc425240473"/>
      <w:r>
        <w:rPr>
          <w:rFonts w:hint="eastAsia" w:ascii="宋体" w:hAnsi="宋体" w:eastAsia="宋体" w:cs="宋体"/>
          <w:b/>
          <w:color w:val="000000" w:themeColor="text1"/>
          <w:sz w:val="28"/>
          <w:szCs w:val="28"/>
          <w14:textFill>
            <w14:solidFill>
              <w14:schemeClr w14:val="tx1"/>
            </w14:solidFill>
          </w14:textFill>
        </w:rPr>
        <w:t>10、需要补充的其他内容</w:t>
      </w:r>
      <w:bookmarkEnd w:id="80"/>
      <w:bookmarkEnd w:id="81"/>
      <w:bookmarkStart w:id="85" w:name="_Toc356305901"/>
    </w:p>
    <w:bookmarkEnd w:id="82"/>
    <w:bookmarkEnd w:id="83"/>
    <w:bookmarkEnd w:id="84"/>
    <w:bookmarkEnd w:id="85"/>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bookmarkStart w:id="86" w:name="_Hlk525811728"/>
      <w:r>
        <w:rPr>
          <w:rFonts w:hint="eastAsia" w:ascii="宋体" w:hAnsi="宋体" w:eastAsia="宋体" w:cs="宋体"/>
          <w:b/>
          <w:color w:val="000000" w:themeColor="text1"/>
          <w:sz w:val="28"/>
          <w:szCs w:val="28"/>
          <w14:textFill>
            <w14:solidFill>
              <w14:schemeClr w14:val="tx1"/>
            </w14:solidFill>
          </w14:textFill>
        </w:rPr>
        <w:t>10.</w:t>
      </w:r>
      <w:r>
        <w:rPr>
          <w:rFonts w:hint="eastAsia" w:ascii="宋体" w:hAnsi="宋体" w:eastAsia="宋体" w:cs="宋体"/>
          <w:b/>
          <w:color w:val="000000" w:themeColor="text1"/>
          <w:sz w:val="28"/>
          <w:szCs w:val="28"/>
          <w:lang w:val="en-US" w:eastAsia="zh-CN"/>
          <w14:textFill>
            <w14:solidFill>
              <w14:schemeClr w14:val="tx1"/>
            </w14:solidFill>
          </w14:textFill>
        </w:rPr>
        <w:t>1</w:t>
      </w:r>
      <w:r>
        <w:rPr>
          <w:rFonts w:hint="eastAsia" w:ascii="宋体" w:hAnsi="宋体" w:eastAsia="宋体" w:cs="宋体"/>
          <w:b/>
          <w:color w:val="000000" w:themeColor="text1"/>
          <w:sz w:val="28"/>
          <w:szCs w:val="28"/>
          <w14:textFill>
            <w14:solidFill>
              <w14:schemeClr w14:val="tx1"/>
            </w14:solidFill>
          </w14:textFill>
        </w:rPr>
        <w:t>合格投标人不足3家的有关法律条文</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（1）中华人民共和国财政部令第87号--政府采购货物和服务招标投标管理办法</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第四十一条 开标时，应当由投标人或者其推选的代表检查</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的密封情况；经确认无误后，由采购人或者采购代理机构工作人员当众拆封，宣布投标人名称、投标价格和</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规定的需要宣布的其他内容。</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投标人不足3家的，不得开标。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第四十四条 公开招标</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开标结束后，采购人或者采购代理机构应当依法对投标人的资格进行审查。</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合格投标人不足3家的，不得评标。</w:t>
      </w:r>
    </w:p>
    <w:bookmarkEnd w:id="86"/>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w:t>
      </w:r>
      <w:bookmarkStart w:id="87" w:name="_Toc525798436"/>
      <w:r>
        <w:rPr>
          <w:rFonts w:hint="eastAsia" w:ascii="宋体" w:hAnsi="宋体" w:eastAsia="宋体" w:cs="宋体"/>
          <w:b/>
          <w:color w:val="000000" w:themeColor="text1"/>
          <w:sz w:val="28"/>
          <w:szCs w:val="28"/>
          <w14:textFill>
            <w14:solidFill>
              <w14:schemeClr w14:val="tx1"/>
            </w14:solidFill>
          </w14:textFill>
        </w:rPr>
        <w:t>财政部关于政府采购竞争性磋商采购方式管理暂行办法有关问题的补充通知</w:t>
      </w:r>
      <w:bookmarkEnd w:id="87"/>
      <w:r>
        <w:rPr>
          <w:rFonts w:hint="eastAsia" w:ascii="宋体" w:hAnsi="宋体" w:eastAsia="宋体" w:cs="宋体"/>
          <w:b/>
          <w:color w:val="000000" w:themeColor="text1"/>
          <w:sz w:val="28"/>
          <w:szCs w:val="28"/>
          <w14:textFill>
            <w14:solidFill>
              <w14:schemeClr w14:val="tx1"/>
            </w14:solidFill>
          </w14:textFill>
        </w:rPr>
        <w:t>--财库〔2015〕124号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（3）财政部关于印发《政府采购竞争性磋商采购方式管理暂行办法》的通知--财库〔2014〕214号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第二十一条磋商文件能够详细列明采购标的的技术、服务要求的，磋商结束后，磋商小组应当要求所有实质性响应的供应商在规定时间内提交最后报价，提交最后报价的供应商不得少于3家。</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最后报价是供应商响应文件的有效组成部分。符合本办法第三条第四项情形的，提交最后报价的供应商可以为2家。</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参与磋商的供应商通过发布公告征集，征集不够的，可由采购单位或磋商小组推荐。在采购过程中符合竞争要求的供应商不足3家的，且采购单位或磋商小组不推荐的，须终止磋商采购活动，发布项目终止公告并说明原因，重新开展采购活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竞争性磋商项目重新开展采购活动时，经财政部门批准，也可以采取公开招标方式。若继续采用竞争性磋商方式的，实质性响应的供应商仍然不足3家，且只有2家的，采购单位、代理机构须报经财政部门批准后，可以继续与2家供应商进行竞争性磋商。只有1家的，先按废标处理，如采购单位有特殊需求，须报经财政部门批准后，与该供应商进行单一来源谈判。</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第一次报价后，磋商小组可以变更采购需求，最后报价为最终报价。如采购需求没有实质性变化，各供应商的报价应逐次降低，本次报价超过上次报价的，为无效报价。出现相同报价的，可再次报价，直至产生唯一最低报价。如果因此导致报价在预算之内的供应商不足三家的情况，可以比照前款规定执行。</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磋商开始到成交供应商确定前，磋商小组、采购人及有关人员要严格遵循保密原则，任何一方不得向与评审无关的单位和人员透露与磋商有关的其它供应商的技术资料、价格及其它信息。否则，按《中华人民共和国政府采购法》、《中华人民共和国政府采购法实施条例》及有关法律、法规的法律规定进行相应的处罚。</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bookmarkStart w:id="88" w:name="_Toc363113718"/>
      <w:bookmarkStart w:id="89" w:name="_Toc359828156"/>
      <w:bookmarkStart w:id="90" w:name="_Toc454100766"/>
      <w:r>
        <w:rPr>
          <w:rFonts w:hint="eastAsia" w:ascii="宋体" w:hAnsi="宋体" w:eastAsia="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代理服务费</w:t>
      </w:r>
      <w:bookmarkEnd w:id="88"/>
      <w:bookmarkEnd w:id="89"/>
      <w:bookmarkEnd w:id="90"/>
    </w:p>
    <w:p>
      <w:pPr>
        <w:spacing w:line="360" w:lineRule="auto"/>
        <w:ind w:firstLine="560" w:firstLineChars="200"/>
        <w:rPr>
          <w:rFonts w:hint="eastAsia"/>
        </w:rPr>
        <w:sectPr>
          <w:pgSz w:w="11906" w:h="16838"/>
          <w:pgMar w:top="1440" w:right="1440" w:bottom="1440" w:left="1440" w:header="851" w:footer="992" w:gutter="0"/>
          <w:lnNumType w:countBy="0" w:distance="360"/>
          <w:pgNumType w:fmt="decimal"/>
          <w:cols w:space="720" w:num="1"/>
          <w:titlePg/>
          <w:docGrid w:linePitch="312" w:charSpace="0"/>
        </w:sectPr>
      </w:pPr>
      <w:r>
        <w:rPr>
          <w:rFonts w:hint="eastAsia" w:ascii="宋体" w:hAnsi="宋体" w:eastAsia="宋体" w:cs="宋体"/>
          <w:color w:val="000000"/>
          <w:sz w:val="28"/>
          <w:szCs w:val="28"/>
        </w:rPr>
        <w:t>10.6.1</w:t>
      </w:r>
      <w:r>
        <w:rPr>
          <w:rFonts w:hint="eastAsia" w:ascii="宋体" w:hAnsi="宋体" w:eastAsia="宋体" w:cs="宋体"/>
          <w:color w:val="000000"/>
          <w:sz w:val="28"/>
          <w:szCs w:val="28"/>
          <w:lang w:eastAsia="zh-CN"/>
        </w:rPr>
        <w:t>代理服务费：采购代理机构参照国家计委关于印发《招标代理服务收费管理暂行办法》计价格[2002]1980号文和《国家发展改革委关于降低部分建设项目收费标准规范收费行为等有关问题的通知》发改价格[2011]534号规定标准收取代理服务费。</w:t>
      </w:r>
    </w:p>
    <w:p>
      <w:pPr>
        <w:pStyle w:val="2"/>
        <w:numPr>
          <w:ilvl w:val="0"/>
          <w:numId w:val="5"/>
        </w:numPr>
        <w:jc w:val="center"/>
        <w:rPr>
          <w:rFonts w:hint="eastAsia" w:ascii="宋体" w:hAnsi="宋体" w:eastAsia="宋体" w:cs="宋体"/>
          <w:color w:val="000000" w:themeColor="text1"/>
          <w:sz w:val="32"/>
          <w:szCs w:val="32"/>
          <w14:textFill>
            <w14:solidFill>
              <w14:schemeClr w14:val="tx1"/>
            </w14:solidFill>
          </w14:textFill>
        </w:rPr>
      </w:pPr>
      <w:bookmarkStart w:id="91" w:name="_Toc9686"/>
      <w:bookmarkStart w:id="92" w:name="_Toc421778376"/>
      <w:r>
        <w:rPr>
          <w:rFonts w:hint="eastAsia" w:ascii="宋体" w:hAnsi="宋体" w:eastAsia="宋体" w:cs="宋体"/>
          <w:color w:val="000000" w:themeColor="text1"/>
          <w:sz w:val="32"/>
          <w:szCs w:val="32"/>
          <w14:textFill>
            <w14:solidFill>
              <w14:schemeClr w14:val="tx1"/>
            </w14:solidFill>
          </w14:textFill>
        </w:rPr>
        <w:t>评标办法</w:t>
      </w:r>
      <w:bookmarkEnd w:id="91"/>
      <w:bookmarkEnd w:id="92"/>
    </w:p>
    <w:p>
      <w:pPr>
        <w:pStyle w:val="3"/>
        <w:spacing w:before="0" w:after="0" w:line="360" w:lineRule="auto"/>
        <w:jc w:val="center"/>
        <w:rPr>
          <w:rFonts w:hint="eastAsia"/>
          <w:highlight w:val="yellow"/>
        </w:rPr>
      </w:pPr>
      <w:bookmarkStart w:id="93" w:name="_Toc7185"/>
      <w:r>
        <w:rPr>
          <w:rFonts w:hint="eastAsia" w:ascii="宋体" w:hAnsi="宋体" w:eastAsia="宋体" w:cs="宋体"/>
          <w:color w:val="000000" w:themeColor="text1"/>
          <w:sz w:val="24"/>
          <w:highlight w:val="none"/>
          <w14:textFill>
            <w14:solidFill>
              <w14:schemeClr w14:val="tx1"/>
            </w14:solidFill>
          </w14:textFill>
        </w:rPr>
        <w:t>评标办法前附表</w:t>
      </w:r>
      <w:bookmarkEnd w:id="93"/>
    </w:p>
    <w:tbl>
      <w:tblPr>
        <w:tblStyle w:val="33"/>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72"/>
        <w:gridCol w:w="2286"/>
        <w:gridCol w:w="6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Align w:val="center"/>
          </w:tcPr>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bookmarkStart w:id="94" w:name="_Toc343511683"/>
            <w:bookmarkStart w:id="95" w:name="_Toc112236889"/>
            <w:bookmarkStart w:id="96" w:name="_Toc179632617"/>
            <w:bookmarkStart w:id="97" w:name="_Toc221523517"/>
            <w:bookmarkStart w:id="98" w:name="_Toc361406350"/>
            <w:bookmarkStart w:id="99" w:name="_Toc18142"/>
            <w:bookmarkStart w:id="100" w:name="_Toc145989485"/>
            <w:bookmarkStart w:id="101" w:name="_Toc132684599"/>
            <w:bookmarkStart w:id="102" w:name="_Toc397410469"/>
            <w:bookmarkStart w:id="103" w:name="_Toc361406429"/>
            <w:bookmarkStart w:id="104" w:name="_Toc395711817"/>
            <w:bookmarkStart w:id="105" w:name="_Toc144974566"/>
            <w:bookmarkStart w:id="106" w:name="_Toc246996985"/>
            <w:bookmarkStart w:id="107" w:name="_Toc246996242"/>
            <w:bookmarkStart w:id="108" w:name="_Toc397410656"/>
            <w:bookmarkStart w:id="109" w:name="_Toc152042376"/>
            <w:bookmarkStart w:id="110" w:name="_Toc123211617"/>
            <w:bookmarkStart w:id="111" w:name="_Toc456197085"/>
            <w:bookmarkStart w:id="112" w:name="_Toc343511682"/>
            <w:bookmarkStart w:id="113" w:name="_Toc169940988"/>
            <w:bookmarkStart w:id="114" w:name="_Toc247085757"/>
            <w:bookmarkStart w:id="115" w:name="_Toc394320898"/>
            <w:bookmarkStart w:id="116" w:name="_Toc225592722"/>
            <w:bookmarkStart w:id="117" w:name="_Toc397585167"/>
            <w:bookmarkStart w:id="118" w:name="_Toc397585236"/>
            <w:bookmarkStart w:id="119" w:name="_Toc152045599"/>
            <w:r>
              <w:rPr>
                <w:rFonts w:hint="eastAsia" w:ascii="宋体" w:hAnsi="宋体" w:eastAsia="宋体" w:cs="宋体"/>
                <w:b/>
                <w:color w:val="000000" w:themeColor="text1"/>
                <w:sz w:val="28"/>
                <w:szCs w:val="28"/>
                <w14:textFill>
                  <w14:solidFill>
                    <w14:schemeClr w14:val="tx1"/>
                  </w14:solidFill>
                </w14:textFill>
              </w:rPr>
              <w:t>条款号</w:t>
            </w:r>
            <w:bookmarkEnd w:id="94"/>
          </w:p>
        </w:tc>
        <w:tc>
          <w:tcPr>
            <w:tcW w:w="2286" w:type="dxa"/>
            <w:vAlign w:val="center"/>
          </w:tcPr>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bookmarkStart w:id="120" w:name="_Toc343511684"/>
            <w:r>
              <w:rPr>
                <w:rFonts w:hint="eastAsia" w:ascii="宋体" w:hAnsi="宋体" w:eastAsia="宋体" w:cs="宋体"/>
                <w:b/>
                <w:color w:val="000000" w:themeColor="text1"/>
                <w:sz w:val="28"/>
                <w:szCs w:val="28"/>
                <w14:textFill>
                  <w14:solidFill>
                    <w14:schemeClr w14:val="tx1"/>
                  </w14:solidFill>
                </w14:textFill>
              </w:rPr>
              <w:t>评审因素</w:t>
            </w:r>
            <w:bookmarkEnd w:id="120"/>
          </w:p>
        </w:tc>
        <w:tc>
          <w:tcPr>
            <w:tcW w:w="6439" w:type="dxa"/>
            <w:vAlign w:val="center"/>
          </w:tcPr>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bookmarkStart w:id="121" w:name="_Toc343511685"/>
            <w:r>
              <w:rPr>
                <w:rFonts w:hint="eastAsia" w:ascii="宋体" w:hAnsi="宋体" w:eastAsia="宋体" w:cs="宋体"/>
                <w:b/>
                <w:color w:val="000000" w:themeColor="text1"/>
                <w:sz w:val="28"/>
                <w:szCs w:val="28"/>
                <w14:textFill>
                  <w14:solidFill>
                    <w14:schemeClr w14:val="tx1"/>
                  </w14:solidFill>
                </w14:textFill>
              </w:rPr>
              <w:t>评审标准</w:t>
            </w:r>
            <w:bookmark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Align w:val="center"/>
          </w:tcPr>
          <w:p>
            <w:pPr>
              <w:spacing w:line="360" w:lineRule="auto"/>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lang w:val="en-US" w:eastAsia="zh-CN"/>
              </w:rPr>
              <w:t>1</w:t>
            </w:r>
          </w:p>
        </w:tc>
        <w:tc>
          <w:tcPr>
            <w:tcW w:w="772" w:type="dxa"/>
            <w:vAlign w:val="center"/>
          </w:tcPr>
          <w:p>
            <w:pPr>
              <w:spacing w:line="360" w:lineRule="auto"/>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资格</w:t>
            </w:r>
          </w:p>
          <w:p>
            <w:pPr>
              <w:spacing w:line="360" w:lineRule="auto"/>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lang w:eastAsia="zh-CN"/>
              </w:rPr>
              <w:t>审查</w:t>
            </w:r>
          </w:p>
        </w:tc>
        <w:tc>
          <w:tcPr>
            <w:tcW w:w="2286" w:type="dxa"/>
            <w:vAlign w:val="center"/>
          </w:tcPr>
          <w:p>
            <w:pPr>
              <w:spacing w:line="360" w:lineRule="auto"/>
              <w:jc w:val="center"/>
              <w:rPr>
                <w:rFonts w:hint="eastAsia" w:ascii="宋体" w:hAnsi="宋体" w:eastAsia="宋体" w:cs="宋体"/>
                <w:b/>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sz w:val="28"/>
                <w:szCs w:val="28"/>
                <w:lang w:eastAsia="zh-CN"/>
              </w:rPr>
              <w:t>资格要求</w:t>
            </w:r>
          </w:p>
        </w:tc>
        <w:tc>
          <w:tcPr>
            <w:tcW w:w="6439" w:type="dxa"/>
            <w:vAlign w:val="center"/>
          </w:tcPr>
          <w:p>
            <w:pPr>
              <w:spacing w:line="360" w:lineRule="auto"/>
              <w:jc w:val="both"/>
              <w:rPr>
                <w:rFonts w:hint="eastAsia" w:ascii="宋体" w:hAnsi="宋体" w:eastAsia="宋体" w:cs="宋体"/>
                <w:b/>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sz w:val="28"/>
                <w:szCs w:val="28"/>
                <w:lang w:val="en-US" w:eastAsia="zh-CN"/>
              </w:rPr>
              <w:t>第二章“供应商须知”第1.4.1项规定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10" w:type="dxa"/>
            <w:vMerge w:val="restart"/>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22" w:name="_Toc343511686"/>
            <w:r>
              <w:rPr>
                <w:rFonts w:hint="eastAsia" w:ascii="宋体" w:hAnsi="宋体" w:eastAsia="宋体" w:cs="宋体"/>
                <w:color w:val="000000" w:themeColor="text1"/>
                <w:sz w:val="28"/>
                <w:szCs w:val="28"/>
                <w14:textFill>
                  <w14:solidFill>
                    <w14:schemeClr w14:val="tx1"/>
                  </w14:solidFill>
                </w14:textFill>
              </w:rPr>
              <w:t>2.1.1</w:t>
            </w:r>
            <w:bookmarkEnd w:id="122"/>
          </w:p>
        </w:tc>
        <w:tc>
          <w:tcPr>
            <w:tcW w:w="772" w:type="dxa"/>
            <w:vMerge w:val="restart"/>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23" w:name="_Toc343511687"/>
            <w:r>
              <w:rPr>
                <w:rFonts w:hint="eastAsia" w:ascii="宋体" w:hAnsi="宋体" w:eastAsia="宋体" w:cs="宋体"/>
                <w:color w:val="000000" w:themeColor="text1"/>
                <w:sz w:val="28"/>
                <w:szCs w:val="28"/>
                <w14:textFill>
                  <w14:solidFill>
                    <w14:schemeClr w14:val="tx1"/>
                  </w14:solidFill>
                </w14:textFill>
              </w:rPr>
              <w:t>形式</w:t>
            </w:r>
          </w:p>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评审</w:t>
            </w:r>
          </w:p>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标准</w:t>
            </w:r>
            <w:bookmarkEnd w:id="123"/>
          </w:p>
        </w:tc>
        <w:tc>
          <w:tcPr>
            <w:tcW w:w="2286" w:type="dxa"/>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24" w:name="_Toc343511688"/>
            <w:r>
              <w:rPr>
                <w:rFonts w:hint="eastAsia" w:ascii="宋体" w:hAnsi="宋体" w:eastAsia="宋体" w:cs="宋体"/>
                <w:color w:val="000000" w:themeColor="text1"/>
                <w:sz w:val="28"/>
                <w:szCs w:val="28"/>
                <w14:textFill>
                  <w14:solidFill>
                    <w14:schemeClr w14:val="tx1"/>
                  </w14:solidFill>
                </w14:textFill>
              </w:rPr>
              <w:t>供应商名称</w:t>
            </w:r>
            <w:bookmarkEnd w:id="124"/>
          </w:p>
        </w:tc>
        <w:tc>
          <w:tcPr>
            <w:tcW w:w="6439" w:type="dxa"/>
            <w:vAlign w:val="center"/>
          </w:tcPr>
          <w:p>
            <w:pPr>
              <w:spacing w:line="360" w:lineRule="auto"/>
              <w:jc w:val="left"/>
              <w:rPr>
                <w:rFonts w:hint="eastAsia" w:ascii="宋体" w:hAnsi="宋体" w:eastAsia="宋体" w:cs="宋体"/>
                <w:color w:val="000000" w:themeColor="text1"/>
                <w:sz w:val="28"/>
                <w:szCs w:val="28"/>
                <w14:textFill>
                  <w14:solidFill>
                    <w14:schemeClr w14:val="tx1"/>
                  </w14:solidFill>
                </w14:textFill>
              </w:rPr>
            </w:pPr>
            <w:bookmarkStart w:id="125" w:name="_Toc343511689"/>
            <w:r>
              <w:rPr>
                <w:rFonts w:hint="eastAsia" w:ascii="宋体" w:hAnsi="宋体" w:eastAsia="宋体" w:cs="宋体"/>
                <w:color w:val="000000" w:themeColor="text1"/>
                <w:sz w:val="28"/>
                <w:szCs w:val="28"/>
                <w14:textFill>
                  <w14:solidFill>
                    <w14:schemeClr w14:val="tx1"/>
                  </w14:solidFill>
                </w14:textFill>
              </w:rPr>
              <w:t>与营业执照一致</w:t>
            </w:r>
            <w:bookmarkEnd w:id="1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10"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26" w:name="_Toc343511690"/>
            <w:r>
              <w:rPr>
                <w:rFonts w:hint="eastAsia" w:ascii="宋体" w:hAnsi="宋体" w:eastAsia="宋体" w:cs="宋体"/>
                <w:color w:val="000000" w:themeColor="text1"/>
                <w:sz w:val="28"/>
                <w:szCs w:val="28"/>
                <w:lang w:val="en-US" w:eastAsia="zh-CN"/>
                <w14:textFill>
                  <w14:solidFill>
                    <w14:schemeClr w14:val="tx1"/>
                  </w14:solidFill>
                </w14:textFill>
              </w:rPr>
              <w:t>响应</w:t>
            </w:r>
            <w:r>
              <w:rPr>
                <w:rFonts w:hint="eastAsia" w:ascii="宋体" w:hAnsi="宋体" w:eastAsia="宋体" w:cs="宋体"/>
                <w:color w:val="000000" w:themeColor="text1"/>
                <w:sz w:val="28"/>
                <w:szCs w:val="28"/>
                <w14:textFill>
                  <w14:solidFill>
                    <w14:schemeClr w14:val="tx1"/>
                  </w14:solidFill>
                </w14:textFill>
              </w:rPr>
              <w:t>函签字盖章</w:t>
            </w:r>
            <w:bookmarkEnd w:id="126"/>
          </w:p>
        </w:tc>
        <w:tc>
          <w:tcPr>
            <w:tcW w:w="6439" w:type="dxa"/>
            <w:vAlign w:val="center"/>
          </w:tcPr>
          <w:p>
            <w:pPr>
              <w:spacing w:line="360" w:lineRule="auto"/>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符合第二章“供应商须知”第3.7款规定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10"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27" w:name="_Toc343511692"/>
            <w:r>
              <w:rPr>
                <w:rFonts w:hint="eastAsia" w:ascii="宋体" w:hAnsi="宋体" w:eastAsia="宋体" w:cs="宋体"/>
                <w:color w:val="000000" w:themeColor="text1"/>
                <w:sz w:val="28"/>
                <w:szCs w:val="28"/>
                <w:lang w:val="en-US" w:eastAsia="zh-CN"/>
                <w14:textFill>
                  <w14:solidFill>
                    <w14:schemeClr w14:val="tx1"/>
                  </w14:solidFill>
                </w14:textFill>
              </w:rPr>
              <w:t>磋商响应</w:t>
            </w:r>
            <w:r>
              <w:rPr>
                <w:rFonts w:hint="eastAsia" w:ascii="宋体" w:hAnsi="宋体" w:eastAsia="宋体" w:cs="宋体"/>
                <w:color w:val="000000" w:themeColor="text1"/>
                <w:sz w:val="28"/>
                <w:szCs w:val="28"/>
                <w14:textFill>
                  <w14:solidFill>
                    <w14:schemeClr w14:val="tx1"/>
                  </w14:solidFill>
                </w14:textFill>
              </w:rPr>
              <w:t>文件格式</w:t>
            </w:r>
            <w:bookmarkEnd w:id="127"/>
          </w:p>
        </w:tc>
        <w:tc>
          <w:tcPr>
            <w:tcW w:w="6439" w:type="dxa"/>
            <w:vAlign w:val="center"/>
          </w:tcPr>
          <w:p>
            <w:pPr>
              <w:spacing w:line="360" w:lineRule="auto"/>
              <w:jc w:val="left"/>
              <w:rPr>
                <w:rFonts w:hint="eastAsia" w:ascii="宋体" w:hAnsi="宋体" w:eastAsia="宋体" w:cs="宋体"/>
                <w:color w:val="000000" w:themeColor="text1"/>
                <w:sz w:val="28"/>
                <w:szCs w:val="28"/>
                <w14:textFill>
                  <w14:solidFill>
                    <w14:schemeClr w14:val="tx1"/>
                  </w14:solidFill>
                </w14:textFill>
              </w:rPr>
            </w:pPr>
            <w:bookmarkStart w:id="128" w:name="_Toc343511693"/>
            <w:r>
              <w:rPr>
                <w:rFonts w:hint="eastAsia" w:ascii="宋体" w:hAnsi="宋体" w:eastAsia="宋体" w:cs="宋体"/>
                <w:color w:val="000000" w:themeColor="text1"/>
                <w:sz w:val="28"/>
                <w:szCs w:val="28"/>
                <w14:textFill>
                  <w14:solidFill>
                    <w14:schemeClr w14:val="tx1"/>
                  </w14:solidFill>
                </w14:textFill>
              </w:rPr>
              <w:t>符合第</w:t>
            </w:r>
            <w:r>
              <w:rPr>
                <w:rFonts w:hint="eastAsia" w:ascii="宋体" w:hAnsi="宋体" w:eastAsia="宋体" w:cs="宋体"/>
                <w:color w:val="000000" w:themeColor="text1"/>
                <w:sz w:val="28"/>
                <w:szCs w:val="28"/>
                <w:lang w:val="en-US" w:eastAsia="zh-CN"/>
                <w14:textFill>
                  <w14:solidFill>
                    <w14:schemeClr w14:val="tx1"/>
                  </w14:solidFill>
                </w14:textFill>
              </w:rPr>
              <w:t>六</w:t>
            </w:r>
            <w:r>
              <w:rPr>
                <w:rFonts w:hint="eastAsia" w:ascii="宋体" w:hAnsi="宋体" w:eastAsia="宋体" w:cs="宋体"/>
                <w:color w:val="000000" w:themeColor="text1"/>
                <w:sz w:val="28"/>
                <w:szCs w:val="28"/>
                <w14:textFill>
                  <w14:solidFill>
                    <w14:schemeClr w14:val="tx1"/>
                  </w14:solidFill>
                </w14:textFill>
              </w:rPr>
              <w:t>章“</w:t>
            </w:r>
            <w:r>
              <w:rPr>
                <w:rFonts w:hint="eastAsia" w:ascii="宋体" w:hAnsi="宋体" w:eastAsia="宋体" w:cs="宋体"/>
                <w:color w:val="000000" w:themeColor="text1"/>
                <w:sz w:val="28"/>
                <w:szCs w:val="28"/>
                <w:lang w:val="en-US" w:eastAsia="zh-CN"/>
                <w14:textFill>
                  <w14:solidFill>
                    <w14:schemeClr w14:val="tx1"/>
                  </w14:solidFill>
                </w14:textFill>
              </w:rPr>
              <w:t>磋商响应</w:t>
            </w:r>
            <w:r>
              <w:rPr>
                <w:rFonts w:hint="eastAsia" w:ascii="宋体" w:hAnsi="宋体" w:eastAsia="宋体" w:cs="宋体"/>
                <w:color w:val="000000" w:themeColor="text1"/>
                <w:sz w:val="28"/>
                <w:szCs w:val="28"/>
                <w14:textFill>
                  <w14:solidFill>
                    <w14:schemeClr w14:val="tx1"/>
                  </w14:solidFill>
                </w14:textFill>
              </w:rPr>
              <w:t>文件格式”的要求</w:t>
            </w:r>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29" w:name="_Toc343511694"/>
            <w:r>
              <w:rPr>
                <w:rFonts w:hint="eastAsia" w:ascii="宋体" w:hAnsi="宋体" w:eastAsia="宋体" w:cs="宋体"/>
                <w:color w:val="000000" w:themeColor="text1"/>
                <w:sz w:val="28"/>
                <w:szCs w:val="28"/>
                <w14:textFill>
                  <w14:solidFill>
                    <w14:schemeClr w14:val="tx1"/>
                  </w14:solidFill>
                </w14:textFill>
              </w:rPr>
              <w:t>报价唯一</w:t>
            </w:r>
            <w:bookmarkEnd w:id="129"/>
          </w:p>
        </w:tc>
        <w:tc>
          <w:tcPr>
            <w:tcW w:w="6439" w:type="dxa"/>
            <w:vAlign w:val="center"/>
          </w:tcPr>
          <w:p>
            <w:pPr>
              <w:spacing w:line="360" w:lineRule="auto"/>
              <w:jc w:val="left"/>
              <w:rPr>
                <w:rFonts w:hint="eastAsia" w:ascii="宋体" w:hAnsi="宋体" w:eastAsia="宋体" w:cs="宋体"/>
                <w:color w:val="000000" w:themeColor="text1"/>
                <w:sz w:val="28"/>
                <w:szCs w:val="28"/>
                <w14:textFill>
                  <w14:solidFill>
                    <w14:schemeClr w14:val="tx1"/>
                  </w14:solidFill>
                </w14:textFill>
              </w:rPr>
            </w:pPr>
            <w:bookmarkStart w:id="130" w:name="_Toc343511695"/>
            <w:r>
              <w:rPr>
                <w:rFonts w:hint="eastAsia" w:ascii="宋体" w:hAnsi="宋体" w:eastAsia="宋体" w:cs="宋体"/>
                <w:color w:val="000000" w:themeColor="text1"/>
                <w:sz w:val="28"/>
                <w:szCs w:val="28"/>
                <w14:textFill>
                  <w14:solidFill>
                    <w14:schemeClr w14:val="tx1"/>
                  </w14:solidFill>
                </w14:textFill>
              </w:rPr>
              <w:t>只能有一个有效报价</w:t>
            </w:r>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710" w:type="dxa"/>
            <w:vMerge w:val="restart"/>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31" w:name="_Toc343511710"/>
            <w:r>
              <w:rPr>
                <w:rFonts w:hint="eastAsia" w:ascii="宋体" w:hAnsi="宋体" w:eastAsia="宋体" w:cs="宋体"/>
                <w:color w:val="000000" w:themeColor="text1"/>
                <w:sz w:val="28"/>
                <w:szCs w:val="28"/>
                <w14:textFill>
                  <w14:solidFill>
                    <w14:schemeClr w14:val="tx1"/>
                  </w14:solidFill>
                </w14:textFill>
              </w:rPr>
              <w:t>2.1.</w:t>
            </w:r>
            <w:bookmarkEnd w:id="131"/>
            <w:r>
              <w:rPr>
                <w:rFonts w:hint="eastAsia" w:ascii="宋体" w:hAnsi="宋体" w:eastAsia="宋体" w:cs="宋体"/>
                <w:color w:val="000000" w:themeColor="text1"/>
                <w:sz w:val="28"/>
                <w:szCs w:val="28"/>
                <w14:textFill>
                  <w14:solidFill>
                    <w14:schemeClr w14:val="tx1"/>
                  </w14:solidFill>
                </w14:textFill>
              </w:rPr>
              <w:t>2</w:t>
            </w:r>
          </w:p>
        </w:tc>
        <w:tc>
          <w:tcPr>
            <w:tcW w:w="772" w:type="dxa"/>
            <w:vMerge w:val="restart"/>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32" w:name="_Toc343511711"/>
            <w:r>
              <w:rPr>
                <w:rFonts w:hint="eastAsia" w:ascii="宋体" w:hAnsi="宋体" w:eastAsia="宋体" w:cs="宋体"/>
                <w:color w:val="000000" w:themeColor="text1"/>
                <w:sz w:val="28"/>
                <w:szCs w:val="28"/>
                <w14:textFill>
                  <w14:solidFill>
                    <w14:schemeClr w14:val="tx1"/>
                  </w14:solidFill>
                </w14:textFill>
              </w:rPr>
              <w:t>响应性</w:t>
            </w:r>
            <w:bookmarkEnd w:id="132"/>
          </w:p>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33" w:name="_Toc343511712"/>
            <w:r>
              <w:rPr>
                <w:rFonts w:hint="eastAsia" w:ascii="宋体" w:hAnsi="宋体" w:eastAsia="宋体" w:cs="宋体"/>
                <w:color w:val="000000" w:themeColor="text1"/>
                <w:sz w:val="28"/>
                <w:szCs w:val="28"/>
                <w14:textFill>
                  <w14:solidFill>
                    <w14:schemeClr w14:val="tx1"/>
                  </w14:solidFill>
                </w14:textFill>
              </w:rPr>
              <w:t>评审</w:t>
            </w:r>
            <w:bookmarkEnd w:id="133"/>
            <w:bookmarkStart w:id="134" w:name="_Toc343511713"/>
          </w:p>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标准</w:t>
            </w:r>
            <w:bookmarkEnd w:id="134"/>
          </w:p>
        </w:tc>
        <w:tc>
          <w:tcPr>
            <w:tcW w:w="2286" w:type="dxa"/>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35" w:name="_Toc343511714"/>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报价</w:t>
            </w:r>
            <w:bookmarkEnd w:id="135"/>
          </w:p>
        </w:tc>
        <w:tc>
          <w:tcPr>
            <w:tcW w:w="6439" w:type="dxa"/>
            <w:vAlign w:val="center"/>
          </w:tcPr>
          <w:p>
            <w:pPr>
              <w:spacing w:line="360" w:lineRule="auto"/>
              <w:jc w:val="left"/>
              <w:rPr>
                <w:rFonts w:hint="eastAsia" w:ascii="宋体" w:hAnsi="宋体" w:eastAsia="宋体" w:cs="宋体"/>
                <w:color w:val="000000" w:themeColor="text1"/>
                <w:sz w:val="28"/>
                <w:szCs w:val="28"/>
                <w14:textFill>
                  <w14:solidFill>
                    <w14:schemeClr w14:val="tx1"/>
                  </w14:solidFill>
                </w14:textFill>
              </w:rPr>
            </w:pPr>
            <w:bookmarkStart w:id="136" w:name="_Toc343511715"/>
            <w:r>
              <w:rPr>
                <w:rFonts w:hint="eastAsia" w:ascii="宋体" w:hAnsi="宋体" w:eastAsia="宋体" w:cs="宋体"/>
                <w:color w:val="000000" w:themeColor="text1"/>
                <w:sz w:val="28"/>
                <w:szCs w:val="28"/>
                <w14:textFill>
                  <w14:solidFill>
                    <w14:schemeClr w14:val="tx1"/>
                  </w14:solidFill>
                </w14:textFill>
              </w:rPr>
              <w:t>符合第二章“供应商须知”第3.</w:t>
            </w:r>
            <w:r>
              <w:rPr>
                <w:rFonts w:hint="eastAsia" w:ascii="宋体" w:hAnsi="宋体" w:eastAsia="宋体" w:cs="宋体"/>
                <w:color w:val="000000" w:themeColor="text1"/>
                <w:sz w:val="28"/>
                <w:szCs w:val="28"/>
                <w:lang w:val="en-US" w:eastAsia="zh-CN"/>
                <w14:textFill>
                  <w14:solidFill>
                    <w14:schemeClr w14:val="tx1"/>
                  </w14:solidFill>
                </w14:textFill>
              </w:rPr>
              <w:t>2.1</w:t>
            </w:r>
            <w:r>
              <w:rPr>
                <w:rFonts w:hint="eastAsia" w:ascii="宋体" w:hAnsi="宋体" w:eastAsia="宋体" w:cs="宋体"/>
                <w:color w:val="000000" w:themeColor="text1"/>
                <w:sz w:val="28"/>
                <w:szCs w:val="28"/>
                <w14:textFill>
                  <w14:solidFill>
                    <w14:schemeClr w14:val="tx1"/>
                  </w14:solidFill>
                </w14:textFill>
              </w:rPr>
              <w:t>项规定</w:t>
            </w:r>
            <w:bookmark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37" w:name="_Toc343511716"/>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内容</w:t>
            </w:r>
            <w:bookmarkEnd w:id="137"/>
          </w:p>
        </w:tc>
        <w:tc>
          <w:tcPr>
            <w:tcW w:w="6439" w:type="dxa"/>
            <w:vAlign w:val="center"/>
          </w:tcPr>
          <w:p>
            <w:pPr>
              <w:spacing w:line="360" w:lineRule="auto"/>
              <w:jc w:val="left"/>
              <w:rPr>
                <w:rFonts w:hint="eastAsia" w:ascii="宋体" w:hAnsi="宋体" w:eastAsia="宋体" w:cs="宋体"/>
                <w:color w:val="000000" w:themeColor="text1"/>
                <w:sz w:val="28"/>
                <w:szCs w:val="28"/>
                <w14:textFill>
                  <w14:solidFill>
                    <w14:schemeClr w14:val="tx1"/>
                  </w14:solidFill>
                </w14:textFill>
              </w:rPr>
            </w:pPr>
            <w:bookmarkStart w:id="138" w:name="_Toc343511717"/>
            <w:r>
              <w:rPr>
                <w:rFonts w:hint="eastAsia" w:ascii="宋体" w:hAnsi="宋体" w:eastAsia="宋体" w:cs="宋体"/>
                <w:color w:val="000000" w:themeColor="text1"/>
                <w:sz w:val="28"/>
                <w:szCs w:val="28"/>
                <w14:textFill>
                  <w14:solidFill>
                    <w14:schemeClr w14:val="tx1"/>
                  </w14:solidFill>
                </w14:textFill>
              </w:rPr>
              <w:t>符合第二章“供应商须知”第1.3.1项规定</w:t>
            </w:r>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工期</w:t>
            </w:r>
          </w:p>
        </w:tc>
        <w:tc>
          <w:tcPr>
            <w:tcW w:w="6439" w:type="dxa"/>
            <w:vAlign w:val="center"/>
          </w:tcPr>
          <w:p>
            <w:pPr>
              <w:spacing w:line="360" w:lineRule="auto"/>
              <w:jc w:val="left"/>
              <w:rPr>
                <w:rFonts w:hint="eastAsia" w:ascii="宋体" w:hAnsi="宋体" w:eastAsia="宋体" w:cs="宋体"/>
                <w:color w:val="000000" w:themeColor="text1"/>
                <w:sz w:val="28"/>
                <w:szCs w:val="28"/>
                <w14:textFill>
                  <w14:solidFill>
                    <w14:schemeClr w14:val="tx1"/>
                  </w14:solidFill>
                </w14:textFill>
              </w:rPr>
            </w:pPr>
            <w:bookmarkStart w:id="139" w:name="_Toc343511721"/>
            <w:r>
              <w:rPr>
                <w:rFonts w:hint="eastAsia" w:ascii="宋体" w:hAnsi="宋体" w:eastAsia="宋体" w:cs="宋体"/>
                <w:color w:val="000000" w:themeColor="text1"/>
                <w:sz w:val="28"/>
                <w:szCs w:val="28"/>
                <w14:textFill>
                  <w14:solidFill>
                    <w14:schemeClr w14:val="tx1"/>
                  </w14:solidFill>
                </w14:textFill>
              </w:rPr>
              <w:t>符合第二章“供应商须知”第1.3.2项规定</w:t>
            </w:r>
            <w:bookmarkEnd w:id="1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质保期</w:t>
            </w:r>
          </w:p>
        </w:tc>
        <w:tc>
          <w:tcPr>
            <w:tcW w:w="6439" w:type="dxa"/>
            <w:vAlign w:val="center"/>
          </w:tcPr>
          <w:p>
            <w:pPr>
              <w:spacing w:line="360" w:lineRule="auto"/>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符合第二章“供应商须知”第1.3.</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40" w:name="_Toc343511722"/>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有效期</w:t>
            </w:r>
            <w:bookmarkEnd w:id="140"/>
          </w:p>
        </w:tc>
        <w:tc>
          <w:tcPr>
            <w:tcW w:w="6439" w:type="dxa"/>
            <w:vAlign w:val="center"/>
          </w:tcPr>
          <w:p>
            <w:pPr>
              <w:spacing w:line="360" w:lineRule="auto"/>
              <w:jc w:val="left"/>
              <w:rPr>
                <w:rFonts w:hint="eastAsia" w:ascii="宋体" w:hAnsi="宋体" w:eastAsia="宋体" w:cs="宋体"/>
                <w:color w:val="000000" w:themeColor="text1"/>
                <w:sz w:val="28"/>
                <w:szCs w:val="28"/>
                <w14:textFill>
                  <w14:solidFill>
                    <w14:schemeClr w14:val="tx1"/>
                  </w14:solidFill>
                </w14:textFill>
              </w:rPr>
            </w:pPr>
            <w:bookmarkStart w:id="141" w:name="_Toc343511723"/>
            <w:r>
              <w:rPr>
                <w:rFonts w:hint="eastAsia" w:ascii="宋体" w:hAnsi="宋体" w:eastAsia="宋体" w:cs="宋体"/>
                <w:color w:val="000000" w:themeColor="text1"/>
                <w:sz w:val="28"/>
                <w:szCs w:val="28"/>
                <w14:textFill>
                  <w14:solidFill>
                    <w14:schemeClr w14:val="tx1"/>
                  </w14:solidFill>
                </w14:textFill>
              </w:rPr>
              <w:t>符合第二章“供应商须知”第3.3.1项规定</w:t>
            </w:r>
            <w:bookmarkEnd w:id="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spacing w:line="360" w:lineRule="auto"/>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采购内容和技术要求</w:t>
            </w:r>
          </w:p>
        </w:tc>
        <w:tc>
          <w:tcPr>
            <w:tcW w:w="6439" w:type="dxa"/>
            <w:vAlign w:val="center"/>
          </w:tcPr>
          <w:p>
            <w:pPr>
              <w:spacing w:line="360" w:lineRule="auto"/>
              <w:rPr>
                <w:rFonts w:hint="eastAsia" w:ascii="宋体" w:hAnsi="宋体" w:eastAsia="宋体" w:cs="宋体"/>
                <w:color w:val="000000" w:themeColor="text1"/>
                <w:sz w:val="28"/>
                <w:szCs w:val="28"/>
                <w14:textFill>
                  <w14:solidFill>
                    <w14:schemeClr w14:val="tx1"/>
                  </w14:solidFill>
                </w14:textFill>
              </w:rPr>
            </w:pPr>
            <w:bookmarkStart w:id="142" w:name="_Toc343511729"/>
            <w:r>
              <w:rPr>
                <w:rFonts w:hint="eastAsia" w:ascii="宋体" w:hAnsi="宋体" w:eastAsia="宋体" w:cs="宋体"/>
                <w:color w:val="000000" w:themeColor="text1"/>
                <w:sz w:val="28"/>
                <w:szCs w:val="28"/>
                <w14:textFill>
                  <w14:solidFill>
                    <w14:schemeClr w14:val="tx1"/>
                  </w14:solidFill>
                </w14:textFill>
              </w:rPr>
              <w:t>符合第五章“采购内容和技术要求”。</w:t>
            </w:r>
            <w:bookmarkEnd w:id="1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有效</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价格</w:t>
            </w:r>
          </w:p>
        </w:tc>
        <w:tc>
          <w:tcPr>
            <w:tcW w:w="6439" w:type="dxa"/>
            <w:vAlign w:val="center"/>
          </w:tcPr>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小于（含等于）本工程</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最高限价（采购预算）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Align w:val="center"/>
          </w:tcPr>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bookmarkStart w:id="143" w:name="_Toc343511732"/>
            <w:r>
              <w:rPr>
                <w:rFonts w:hint="eastAsia" w:ascii="宋体" w:hAnsi="宋体" w:eastAsia="宋体" w:cs="宋体"/>
                <w:b/>
                <w:color w:val="000000" w:themeColor="text1"/>
                <w:sz w:val="28"/>
                <w:szCs w:val="28"/>
                <w14:textFill>
                  <w14:solidFill>
                    <w14:schemeClr w14:val="tx1"/>
                  </w14:solidFill>
                </w14:textFill>
              </w:rPr>
              <w:t>条款号</w:t>
            </w:r>
            <w:bookmarkEnd w:id="143"/>
          </w:p>
        </w:tc>
        <w:tc>
          <w:tcPr>
            <w:tcW w:w="2286" w:type="dxa"/>
            <w:vAlign w:val="center"/>
          </w:tcPr>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bookmarkStart w:id="144" w:name="_Toc343511733"/>
            <w:r>
              <w:rPr>
                <w:rFonts w:hint="eastAsia" w:ascii="宋体" w:hAnsi="宋体" w:eastAsia="宋体" w:cs="宋体"/>
                <w:b/>
                <w:color w:val="000000" w:themeColor="text1"/>
                <w:sz w:val="28"/>
                <w:szCs w:val="28"/>
                <w14:textFill>
                  <w14:solidFill>
                    <w14:schemeClr w14:val="tx1"/>
                  </w14:solidFill>
                </w14:textFill>
              </w:rPr>
              <w:t>条款内容</w:t>
            </w:r>
            <w:bookmarkEnd w:id="144"/>
          </w:p>
        </w:tc>
        <w:tc>
          <w:tcPr>
            <w:tcW w:w="6439" w:type="dxa"/>
            <w:vAlign w:val="center"/>
          </w:tcPr>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bookmarkStart w:id="145" w:name="_Toc343511734"/>
            <w:r>
              <w:rPr>
                <w:rFonts w:hint="eastAsia" w:ascii="宋体" w:hAnsi="宋体" w:eastAsia="宋体" w:cs="宋体"/>
                <w:b/>
                <w:color w:val="000000" w:themeColor="text1"/>
                <w:sz w:val="28"/>
                <w:szCs w:val="28"/>
                <w14:textFill>
                  <w14:solidFill>
                    <w14:schemeClr w14:val="tx1"/>
                  </w14:solidFill>
                </w14:textFill>
              </w:rPr>
              <w:t>编列内容</w:t>
            </w:r>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46" w:name="_Toc343511735"/>
            <w:r>
              <w:rPr>
                <w:rFonts w:hint="eastAsia" w:ascii="宋体" w:hAnsi="宋体" w:eastAsia="宋体" w:cs="宋体"/>
                <w:b/>
                <w:bCs/>
                <w:color w:val="000000" w:themeColor="text1"/>
                <w:sz w:val="28"/>
                <w:szCs w:val="28"/>
                <w14:textFill>
                  <w14:solidFill>
                    <w14:schemeClr w14:val="tx1"/>
                  </w14:solidFill>
                </w14:textFill>
              </w:rPr>
              <w:t>2.2.1</w:t>
            </w:r>
            <w:bookmarkEnd w:id="146"/>
          </w:p>
        </w:tc>
        <w:tc>
          <w:tcPr>
            <w:tcW w:w="2286" w:type="dxa"/>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47" w:name="_Toc343511736"/>
            <w:r>
              <w:rPr>
                <w:rFonts w:hint="eastAsia" w:ascii="宋体" w:hAnsi="宋体" w:eastAsia="宋体" w:cs="宋体"/>
                <w:color w:val="000000" w:themeColor="text1"/>
                <w:sz w:val="28"/>
                <w:szCs w:val="28"/>
                <w14:textFill>
                  <w14:solidFill>
                    <w14:schemeClr w14:val="tx1"/>
                  </w14:solidFill>
                </w14:textFill>
              </w:rPr>
              <w:t>分值构成</w:t>
            </w:r>
            <w:bookmarkEnd w:id="147"/>
          </w:p>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48" w:name="_Toc343511737"/>
            <w:r>
              <w:rPr>
                <w:rFonts w:hint="eastAsia" w:ascii="宋体" w:hAnsi="宋体" w:eastAsia="宋体" w:cs="宋体"/>
                <w:color w:val="000000" w:themeColor="text1"/>
                <w:sz w:val="28"/>
                <w:szCs w:val="28"/>
                <w14:textFill>
                  <w14:solidFill>
                    <w14:schemeClr w14:val="tx1"/>
                  </w14:solidFill>
                </w14:textFill>
              </w:rPr>
              <w:t>(总分100分)</w:t>
            </w:r>
            <w:bookmarkEnd w:id="148"/>
          </w:p>
        </w:tc>
        <w:tc>
          <w:tcPr>
            <w:tcW w:w="6439" w:type="dxa"/>
            <w:vAlign w:val="center"/>
          </w:tcPr>
          <w:p>
            <w:pPr>
              <w:spacing w:line="360" w:lineRule="auto"/>
              <w:jc w:val="left"/>
              <w:rPr>
                <w:rFonts w:hint="eastAsia" w:ascii="宋体" w:hAnsi="宋体" w:eastAsia="宋体" w:cs="宋体"/>
                <w:color w:val="000000" w:themeColor="text1"/>
                <w:sz w:val="28"/>
                <w:szCs w:val="28"/>
                <w14:textFill>
                  <w14:solidFill>
                    <w14:schemeClr w14:val="tx1"/>
                  </w14:solidFill>
                </w14:textFill>
              </w:rPr>
            </w:pPr>
            <w:bookmarkStart w:id="149" w:name="_Toc343511738"/>
            <w:r>
              <w:rPr>
                <w:rFonts w:hint="eastAsia" w:ascii="宋体" w:hAnsi="宋体" w:eastAsia="宋体" w:cs="宋体"/>
                <w:color w:val="000000" w:themeColor="text1"/>
                <w:sz w:val="28"/>
                <w:szCs w:val="28"/>
                <w14:textFill>
                  <w14:solidFill>
                    <w14:schemeClr w14:val="tx1"/>
                  </w14:solidFill>
                </w14:textFill>
              </w:rPr>
              <w:t>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w:t>
            </w:r>
            <w:bookmarkEnd w:id="149"/>
            <w:r>
              <w:rPr>
                <w:rFonts w:hint="eastAsia" w:ascii="宋体" w:hAnsi="宋体" w:eastAsia="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0分</w:t>
            </w:r>
          </w:p>
          <w:p>
            <w:pPr>
              <w:spacing w:line="360" w:lineRule="auto"/>
              <w:jc w:val="left"/>
              <w:rPr>
                <w:rFonts w:hint="eastAsia" w:ascii="宋体" w:hAnsi="宋体" w:eastAsia="宋体" w:cs="宋体"/>
                <w:color w:val="000000" w:themeColor="text1"/>
                <w:sz w:val="28"/>
                <w:szCs w:val="28"/>
                <w14:textFill>
                  <w14:solidFill>
                    <w14:schemeClr w14:val="tx1"/>
                  </w14:solidFill>
                </w14:textFill>
              </w:rPr>
            </w:pPr>
            <w:bookmarkStart w:id="150" w:name="_Toc343511739"/>
            <w:r>
              <w:rPr>
                <w:rFonts w:hint="eastAsia" w:ascii="宋体" w:hAnsi="宋体" w:eastAsia="宋体" w:cs="宋体"/>
                <w:color w:val="000000" w:themeColor="text1"/>
                <w:sz w:val="28"/>
                <w:szCs w:val="28"/>
                <w14:textFill>
                  <w14:solidFill>
                    <w14:schemeClr w14:val="tx1"/>
                  </w14:solidFill>
                </w14:textFill>
              </w:rPr>
              <w:t>商务</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0分</w:t>
            </w:r>
            <w:bookmarkEnd w:id="150"/>
          </w:p>
          <w:p>
            <w:pPr>
              <w:spacing w:line="360" w:lineRule="auto"/>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Align w:val="center"/>
          </w:tcPr>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bookmarkStart w:id="151" w:name="_Toc343511740"/>
            <w:r>
              <w:rPr>
                <w:rFonts w:hint="eastAsia" w:ascii="宋体" w:hAnsi="宋体" w:eastAsia="宋体" w:cs="宋体"/>
                <w:b/>
                <w:bCs/>
                <w:color w:val="000000" w:themeColor="text1"/>
                <w:sz w:val="28"/>
                <w:szCs w:val="28"/>
                <w14:textFill>
                  <w14:solidFill>
                    <w14:schemeClr w14:val="tx1"/>
                  </w14:solidFill>
                </w14:textFill>
              </w:rPr>
              <w:t>2.2.2</w:t>
            </w:r>
            <w:bookmarkEnd w:id="151"/>
          </w:p>
        </w:tc>
        <w:tc>
          <w:tcPr>
            <w:tcW w:w="2286" w:type="dxa"/>
            <w:vAlign w:val="center"/>
          </w:tcPr>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bookmarkStart w:id="152" w:name="_Toc343511741"/>
            <w:r>
              <w:rPr>
                <w:rFonts w:hint="eastAsia" w:ascii="宋体" w:hAnsi="宋体" w:eastAsia="宋体" w:cs="宋体"/>
                <w:b/>
                <w:bCs/>
                <w:color w:val="000000" w:themeColor="text1"/>
                <w:sz w:val="28"/>
                <w:szCs w:val="28"/>
                <w14:textFill>
                  <w14:solidFill>
                    <w14:schemeClr w14:val="tx1"/>
                  </w14:solidFill>
                </w14:textFill>
              </w:rPr>
              <w:t>评标方法</w:t>
            </w:r>
            <w:bookmarkEnd w:id="152"/>
          </w:p>
        </w:tc>
        <w:tc>
          <w:tcPr>
            <w:tcW w:w="6439" w:type="dxa"/>
            <w:vAlign w:val="center"/>
          </w:tcPr>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bookmarkStart w:id="153" w:name="_Toc343511742"/>
            <w:r>
              <w:rPr>
                <w:rFonts w:hint="eastAsia" w:ascii="宋体" w:hAnsi="宋体" w:eastAsia="宋体" w:cs="宋体"/>
                <w:b/>
                <w:bCs/>
                <w:color w:val="000000" w:themeColor="text1"/>
                <w:sz w:val="28"/>
                <w:szCs w:val="28"/>
                <w14:textFill>
                  <w14:solidFill>
                    <w14:schemeClr w14:val="tx1"/>
                  </w14:solidFill>
                </w14:textFill>
              </w:rPr>
              <w:t>详细评审</w:t>
            </w:r>
            <w:bookmarkEnd w:id="1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82" w:type="dxa"/>
            <w:gridSpan w:val="2"/>
            <w:vAlign w:val="center"/>
          </w:tcPr>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2.2.3</w:t>
            </w:r>
          </w:p>
        </w:tc>
        <w:tc>
          <w:tcPr>
            <w:tcW w:w="2286" w:type="dxa"/>
            <w:vAlign w:val="center"/>
          </w:tcPr>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技术</w:t>
            </w:r>
            <w:r>
              <w:rPr>
                <w:rFonts w:hint="eastAsia" w:ascii="宋体" w:hAnsi="宋体" w:eastAsia="宋体" w:cs="宋体"/>
                <w:b/>
                <w:color w:val="000000" w:themeColor="text1"/>
                <w:sz w:val="28"/>
                <w:szCs w:val="28"/>
                <w:lang w:eastAsia="zh-CN"/>
                <w14:textFill>
                  <w14:solidFill>
                    <w14:schemeClr w14:val="tx1"/>
                  </w14:solidFill>
                </w14:textFill>
              </w:rPr>
              <w:t>部分</w:t>
            </w:r>
            <w:r>
              <w:rPr>
                <w:rFonts w:hint="eastAsia" w:ascii="宋体" w:hAnsi="宋体" w:eastAsia="宋体" w:cs="宋体"/>
                <w:b/>
                <w:color w:val="000000" w:themeColor="text1"/>
                <w:sz w:val="28"/>
                <w:szCs w:val="28"/>
                <w14:textFill>
                  <w14:solidFill>
                    <w14:schemeClr w14:val="tx1"/>
                  </w14:solidFill>
                </w14:textFill>
              </w:rPr>
              <w:t>评分因素</w:t>
            </w:r>
          </w:p>
        </w:tc>
        <w:tc>
          <w:tcPr>
            <w:tcW w:w="6439" w:type="dxa"/>
            <w:vAlign w:val="center"/>
          </w:tcPr>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评分标准（满分</w:t>
            </w:r>
            <w:r>
              <w:rPr>
                <w:rFonts w:hint="eastAsia" w:ascii="宋体" w:hAnsi="宋体" w:eastAsia="宋体" w:cs="宋体"/>
                <w:b/>
                <w:color w:val="000000" w:themeColor="text1"/>
                <w:sz w:val="28"/>
                <w:szCs w:val="28"/>
                <w:lang w:val="en-US" w:eastAsia="zh-CN"/>
                <w14:textFill>
                  <w14:solidFill>
                    <w14:schemeClr w14:val="tx1"/>
                  </w14:solidFill>
                </w14:textFill>
              </w:rPr>
              <w:t>5</w:t>
            </w:r>
            <w:r>
              <w:rPr>
                <w:rFonts w:hint="eastAsia" w:ascii="宋体" w:hAnsi="宋体" w:eastAsia="宋体" w:cs="宋体"/>
                <w:b/>
                <w:color w:val="000000" w:themeColor="text1"/>
                <w:sz w:val="28"/>
                <w:szCs w:val="28"/>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trPr>
        <w:tc>
          <w:tcPr>
            <w:tcW w:w="1482" w:type="dxa"/>
            <w:gridSpan w:val="2"/>
            <w:vMerge w:val="restart"/>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bookmarkStart w:id="154" w:name="_Hlk521924147"/>
            <w:r>
              <w:rPr>
                <w:rFonts w:hint="eastAsia" w:ascii="宋体" w:hAnsi="宋体" w:eastAsia="宋体" w:cs="宋体"/>
                <w:color w:val="000000" w:themeColor="text1"/>
                <w:sz w:val="28"/>
                <w:szCs w:val="28"/>
                <w:lang w:val="en-US" w:eastAsia="zh-CN"/>
                <w14:textFill>
                  <w14:solidFill>
                    <w14:schemeClr w14:val="tx1"/>
                  </w14:solidFill>
                </w14:textFill>
              </w:rPr>
              <w:t>技术</w:t>
            </w:r>
            <w:r>
              <w:rPr>
                <w:rFonts w:hint="eastAsia" w:ascii="宋体" w:hAnsi="宋体" w:eastAsia="宋体" w:cs="宋体"/>
                <w:color w:val="000000" w:themeColor="text1"/>
                <w:sz w:val="28"/>
                <w:szCs w:val="28"/>
                <w14:textFill>
                  <w14:solidFill>
                    <w14:schemeClr w14:val="tx1"/>
                  </w14:solidFill>
                </w14:textFill>
              </w:rPr>
              <w:t>标</w:t>
            </w: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部分</w:t>
            </w:r>
          </w:p>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0分）</w:t>
            </w:r>
          </w:p>
        </w:tc>
        <w:tc>
          <w:tcPr>
            <w:tcW w:w="2286" w:type="dxa"/>
            <w:vAlign w:val="center"/>
          </w:tcPr>
          <w:p>
            <w:pPr>
              <w:keepNext w:val="0"/>
              <w:keepLines w:val="0"/>
              <w:widowControl/>
              <w:suppressLineNumbers w:val="0"/>
              <w:spacing w:line="360" w:lineRule="auto"/>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施工计划和方案（满分15分）</w:t>
            </w:r>
          </w:p>
          <w:p>
            <w:pPr>
              <w:keepNext w:val="0"/>
              <w:keepLines w:val="0"/>
              <w:widowControl/>
              <w:suppressLineNumbers w:val="0"/>
              <w:overflowPunct w:val="0"/>
              <w:topLinePunct/>
              <w:autoSpaceDE w:val="0"/>
              <w:adjustRightInd w:val="0"/>
              <w:spacing w:line="360" w:lineRule="auto"/>
              <w:jc w:val="left"/>
              <w:rPr>
                <w:rFonts w:hint="eastAsia" w:ascii="宋体" w:hAnsi="宋体" w:eastAsia="宋体" w:cs="宋体"/>
                <w:sz w:val="28"/>
                <w:szCs w:val="28"/>
                <w:lang w:eastAsia="zh-CN"/>
              </w:rPr>
            </w:pPr>
            <w:r>
              <w:rPr>
                <w:rFonts w:hint="eastAsia" w:ascii="宋体" w:hAnsi="宋体" w:eastAsia="宋体" w:cs="宋体"/>
                <w:color w:val="000000"/>
                <w:kern w:val="0"/>
                <w:sz w:val="28"/>
                <w:szCs w:val="28"/>
                <w:lang w:val="en-US" w:eastAsia="zh-CN" w:bidi="ar"/>
              </w:rPr>
              <w:t xml:space="preserve"> </w:t>
            </w:r>
          </w:p>
        </w:tc>
        <w:tc>
          <w:tcPr>
            <w:tcW w:w="6439" w:type="dxa"/>
            <w:vAlign w:val="center"/>
          </w:tcPr>
          <w:p>
            <w:pPr>
              <w:keepNext w:val="0"/>
              <w:keepLines w:val="0"/>
              <w:widowControl/>
              <w:suppressLineNumbers w:val="0"/>
              <w:spacing w:line="360" w:lineRule="auto"/>
              <w:ind w:firstLine="560" w:firstLineChars="200"/>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kern w:val="0"/>
                <w:sz w:val="28"/>
                <w:szCs w:val="28"/>
                <w:lang w:val="en-US" w:eastAsia="zh-CN" w:bidi="ar"/>
              </w:rPr>
              <w:t>评标委员会根据投标人在响应文件中提供的施工计划和方案（包括工程措施方案、苗木运输方案、栽植方案、进度安排计划、自查验收方案、保障措施方案等方面）综合比较进行赋分。方案完整、可行性强得10-15分；基本可行得5-10分；方案不完整、可行性差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keepNext w:val="0"/>
              <w:keepLines w:val="0"/>
              <w:widowControl/>
              <w:suppressLineNumbers w:val="0"/>
              <w:spacing w:line="360" w:lineRule="auto"/>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确保工期的技术组织措施</w:t>
            </w:r>
          </w:p>
          <w:p>
            <w:pPr>
              <w:keepNext w:val="0"/>
              <w:keepLines w:val="0"/>
              <w:widowControl/>
              <w:suppressLineNumbers w:val="0"/>
              <w:spacing w:line="360" w:lineRule="auto"/>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（满分</w:t>
            </w:r>
            <w:r>
              <w:rPr>
                <w:rFonts w:hint="eastAsia" w:ascii="宋体" w:hAnsi="宋体" w:cs="宋体"/>
                <w:color w:val="000000"/>
                <w:kern w:val="0"/>
                <w:sz w:val="28"/>
                <w:szCs w:val="28"/>
                <w:lang w:val="en-US" w:eastAsia="zh-CN" w:bidi="ar"/>
              </w:rPr>
              <w:t>8</w:t>
            </w:r>
            <w:r>
              <w:rPr>
                <w:rFonts w:hint="eastAsia" w:ascii="宋体" w:hAnsi="宋体" w:eastAsia="宋体" w:cs="宋体"/>
                <w:color w:val="000000"/>
                <w:kern w:val="0"/>
                <w:sz w:val="28"/>
                <w:szCs w:val="28"/>
                <w:lang w:val="en-US" w:eastAsia="zh-CN" w:bidi="ar"/>
              </w:rPr>
              <w:t>分）</w:t>
            </w:r>
          </w:p>
          <w:p>
            <w:pPr>
              <w:overflowPunct w:val="0"/>
              <w:topLinePunct/>
              <w:autoSpaceDE w:val="0"/>
              <w:adjustRightInd w:val="0"/>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p>
        </w:tc>
        <w:tc>
          <w:tcPr>
            <w:tcW w:w="6439" w:type="dxa"/>
            <w:vAlign w:val="center"/>
          </w:tcPr>
          <w:p>
            <w:pPr>
              <w:keepNext w:val="0"/>
              <w:keepLines w:val="0"/>
              <w:widowControl/>
              <w:suppressLineNumbers w:val="0"/>
              <w:spacing w:line="360" w:lineRule="auto"/>
              <w:ind w:firstLine="560" w:firstLineChars="200"/>
              <w:jc w:val="both"/>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评标委员会根据投标人在</w:t>
            </w:r>
            <w:r>
              <w:rPr>
                <w:rFonts w:hint="eastAsia" w:ascii="宋体" w:hAnsi="宋体" w:cs="宋体"/>
                <w:color w:val="000000"/>
                <w:kern w:val="0"/>
                <w:sz w:val="28"/>
                <w:szCs w:val="28"/>
                <w:lang w:val="en-US" w:eastAsia="zh-CN" w:bidi="ar"/>
              </w:rPr>
              <w:t>响应</w:t>
            </w:r>
            <w:r>
              <w:rPr>
                <w:rFonts w:hint="eastAsia" w:ascii="宋体" w:hAnsi="宋体" w:eastAsia="宋体" w:cs="宋体"/>
                <w:color w:val="000000"/>
                <w:kern w:val="0"/>
                <w:sz w:val="28"/>
                <w:szCs w:val="28"/>
                <w:lang w:val="en-US" w:eastAsia="zh-CN" w:bidi="ar"/>
              </w:rPr>
              <w:t>文件中提供的工期技术组织措施综合比较进行赋分。</w:t>
            </w:r>
            <w:r>
              <w:rPr>
                <w:rFonts w:hint="eastAsia" w:ascii="宋体" w:hAnsi="宋体" w:cs="宋体"/>
                <w:color w:val="000000"/>
                <w:kern w:val="0"/>
                <w:sz w:val="28"/>
                <w:szCs w:val="28"/>
                <w:lang w:val="en-US" w:eastAsia="zh-CN" w:bidi="ar"/>
              </w:rPr>
              <w:t>技术组织</w:t>
            </w:r>
            <w:r>
              <w:rPr>
                <w:rFonts w:hint="eastAsia" w:ascii="宋体" w:hAnsi="宋体" w:eastAsia="宋体" w:cs="宋体"/>
                <w:color w:val="000000"/>
                <w:kern w:val="0"/>
                <w:sz w:val="28"/>
                <w:szCs w:val="28"/>
                <w:lang w:val="en-US" w:eastAsia="zh-CN" w:bidi="ar"/>
              </w:rPr>
              <w:t>措施全面、完善、可行的得</w:t>
            </w:r>
            <w:r>
              <w:rPr>
                <w:rFonts w:hint="eastAsia" w:ascii="宋体" w:hAnsi="宋体" w:cs="宋体"/>
                <w:color w:val="000000"/>
                <w:kern w:val="0"/>
                <w:sz w:val="28"/>
                <w:szCs w:val="28"/>
                <w:lang w:val="en-US" w:eastAsia="zh-CN" w:bidi="ar"/>
              </w:rPr>
              <w:t>5-8</w:t>
            </w:r>
            <w:r>
              <w:rPr>
                <w:rFonts w:hint="eastAsia" w:ascii="宋体" w:hAnsi="宋体" w:eastAsia="宋体" w:cs="宋体"/>
                <w:color w:val="000000"/>
                <w:kern w:val="0"/>
                <w:sz w:val="28"/>
                <w:szCs w:val="28"/>
                <w:lang w:val="en-US" w:eastAsia="zh-CN" w:bidi="ar"/>
              </w:rPr>
              <w:t>分；</w:t>
            </w:r>
            <w:r>
              <w:rPr>
                <w:rFonts w:hint="eastAsia" w:ascii="宋体" w:hAnsi="宋体" w:cs="宋体"/>
                <w:color w:val="000000"/>
                <w:kern w:val="0"/>
                <w:sz w:val="28"/>
                <w:szCs w:val="28"/>
                <w:lang w:val="en-US" w:eastAsia="zh-CN" w:bidi="ar"/>
              </w:rPr>
              <w:t>技术组织</w:t>
            </w:r>
            <w:r>
              <w:rPr>
                <w:rFonts w:hint="eastAsia" w:ascii="宋体" w:hAnsi="宋体" w:eastAsia="宋体" w:cs="宋体"/>
                <w:color w:val="000000"/>
                <w:kern w:val="0"/>
                <w:sz w:val="28"/>
                <w:szCs w:val="28"/>
                <w:lang w:val="en-US" w:eastAsia="zh-CN" w:bidi="ar"/>
              </w:rPr>
              <w:t xml:space="preserve">措施较全面、较完善、可行的得 </w:t>
            </w:r>
            <w:r>
              <w:rPr>
                <w:rFonts w:hint="eastAsia" w:ascii="宋体" w:hAnsi="宋体" w:cs="宋体"/>
                <w:color w:val="000000"/>
                <w:kern w:val="0"/>
                <w:sz w:val="28"/>
                <w:szCs w:val="28"/>
                <w:lang w:val="en-US" w:eastAsia="zh-CN" w:bidi="ar"/>
              </w:rPr>
              <w:t>3-5</w:t>
            </w:r>
            <w:r>
              <w:rPr>
                <w:rFonts w:hint="eastAsia" w:ascii="宋体" w:hAnsi="宋体" w:eastAsia="宋体" w:cs="宋体"/>
                <w:color w:val="000000"/>
                <w:kern w:val="0"/>
                <w:sz w:val="28"/>
                <w:szCs w:val="28"/>
                <w:lang w:val="en-US" w:eastAsia="zh-CN" w:bidi="ar"/>
              </w:rPr>
              <w:t xml:space="preserve"> 分；</w:t>
            </w:r>
            <w:r>
              <w:rPr>
                <w:rFonts w:hint="eastAsia" w:ascii="宋体" w:hAnsi="宋体" w:cs="宋体"/>
                <w:color w:val="000000"/>
                <w:kern w:val="0"/>
                <w:sz w:val="28"/>
                <w:szCs w:val="28"/>
                <w:lang w:val="en-US" w:eastAsia="zh-CN" w:bidi="ar"/>
              </w:rPr>
              <w:t>技术组织</w:t>
            </w:r>
            <w:r>
              <w:rPr>
                <w:rFonts w:hint="eastAsia" w:ascii="宋体" w:hAnsi="宋体" w:eastAsia="宋体" w:cs="宋体"/>
                <w:color w:val="000000"/>
                <w:kern w:val="0"/>
                <w:sz w:val="28"/>
                <w:szCs w:val="28"/>
                <w:lang w:val="en-US" w:eastAsia="zh-CN" w:bidi="ar"/>
              </w:rPr>
              <w:t xml:space="preserve">措施措施不全面、不完善、可行性差的得 </w:t>
            </w:r>
            <w:r>
              <w:rPr>
                <w:rFonts w:hint="eastAsia" w:ascii="宋体" w:hAnsi="宋体" w:cs="宋体"/>
                <w:color w:val="000000"/>
                <w:kern w:val="0"/>
                <w:sz w:val="28"/>
                <w:szCs w:val="28"/>
                <w:lang w:val="en-US" w:eastAsia="zh-CN" w:bidi="ar"/>
              </w:rPr>
              <w:t>0</w:t>
            </w:r>
            <w:r>
              <w:rPr>
                <w:rFonts w:hint="eastAsia" w:ascii="宋体" w:hAnsi="宋体" w:eastAsia="宋体" w:cs="宋体"/>
                <w:color w:val="000000"/>
                <w:kern w:val="0"/>
                <w:sz w:val="28"/>
                <w:szCs w:val="28"/>
                <w:lang w:val="en-US" w:eastAsia="zh-CN" w:bidi="ar"/>
              </w:rPr>
              <w:t>-</w:t>
            </w:r>
            <w:r>
              <w:rPr>
                <w:rFonts w:hint="eastAsia" w:ascii="宋体" w:hAnsi="宋体" w:cs="宋体"/>
                <w:color w:val="000000"/>
                <w:kern w:val="0"/>
                <w:sz w:val="28"/>
                <w:szCs w:val="28"/>
                <w:lang w:val="en-US" w:eastAsia="zh-CN" w:bidi="ar"/>
              </w:rPr>
              <w:t>3</w:t>
            </w:r>
            <w:r>
              <w:rPr>
                <w:rFonts w:hint="eastAsia" w:ascii="宋体" w:hAnsi="宋体" w:eastAsia="宋体" w:cs="宋体"/>
                <w:color w:val="000000"/>
                <w:kern w:val="0"/>
                <w:sz w:val="28"/>
                <w:szCs w:val="28"/>
                <w:lang w:val="en-US" w:eastAsia="zh-CN" w:bidi="ar"/>
              </w:rPr>
              <w:t>分；</w:t>
            </w:r>
          </w:p>
          <w:p>
            <w:pPr>
              <w:keepNext w:val="0"/>
              <w:keepLines w:val="0"/>
              <w:widowControl/>
              <w:suppressLineNumbers w:val="0"/>
              <w:spacing w:line="360" w:lineRule="auto"/>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kern w:val="0"/>
                <w:sz w:val="28"/>
                <w:szCs w:val="28"/>
                <w:lang w:val="en-US" w:eastAsia="zh-CN" w:bidi="ar"/>
              </w:rPr>
              <w:t>注：</w:t>
            </w:r>
            <w:r>
              <w:rPr>
                <w:rFonts w:hint="eastAsia" w:ascii="宋体" w:hAnsi="宋体" w:cs="宋体"/>
                <w:color w:val="000000"/>
                <w:kern w:val="0"/>
                <w:sz w:val="28"/>
                <w:szCs w:val="28"/>
                <w:lang w:val="en-US" w:eastAsia="zh-CN" w:bidi="ar"/>
              </w:rPr>
              <w:t>工</w:t>
            </w:r>
            <w:r>
              <w:rPr>
                <w:rFonts w:hint="eastAsia" w:ascii="宋体" w:hAnsi="宋体" w:eastAsia="宋体" w:cs="宋体"/>
                <w:color w:val="000000"/>
                <w:kern w:val="0"/>
                <w:sz w:val="28"/>
                <w:szCs w:val="28"/>
                <w:lang w:val="en-US" w:eastAsia="zh-CN" w:bidi="ar"/>
              </w:rPr>
              <w:t>期不满足招标文件要求的，按无效标处理。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4"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keepNext w:val="0"/>
              <w:keepLines w:val="0"/>
              <w:widowControl/>
              <w:suppressLineNumbers w:val="0"/>
              <w:spacing w:line="360" w:lineRule="auto"/>
              <w:jc w:val="center"/>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安全施工保障</w:t>
            </w:r>
          </w:p>
          <w:p>
            <w:pPr>
              <w:keepNext w:val="0"/>
              <w:keepLines w:val="0"/>
              <w:widowControl/>
              <w:suppressLineNumbers w:val="0"/>
              <w:spacing w:line="360" w:lineRule="auto"/>
              <w:jc w:val="center"/>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措施</w:t>
            </w:r>
          </w:p>
          <w:p>
            <w:pPr>
              <w:keepNext w:val="0"/>
              <w:keepLines w:val="0"/>
              <w:widowControl/>
              <w:suppressLineNumbers w:val="0"/>
              <w:spacing w:line="360" w:lineRule="auto"/>
              <w:jc w:val="center"/>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（满分10分）</w:t>
            </w:r>
          </w:p>
          <w:p>
            <w:pPr>
              <w:overflowPunct w:val="0"/>
              <w:topLinePunct/>
              <w:autoSpaceDE w:val="0"/>
              <w:adjustRightInd w:val="0"/>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6439" w:type="dxa"/>
            <w:vAlign w:val="center"/>
          </w:tcPr>
          <w:p>
            <w:pPr>
              <w:keepNext w:val="0"/>
              <w:keepLines w:val="0"/>
              <w:widowControl/>
              <w:suppressLineNumbers w:val="0"/>
              <w:spacing w:line="360" w:lineRule="auto"/>
              <w:ind w:firstLine="560" w:firstLineChars="200"/>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kern w:val="0"/>
                <w:sz w:val="28"/>
                <w:szCs w:val="28"/>
                <w:lang w:val="en-US" w:eastAsia="zh-CN" w:bidi="ar"/>
              </w:rPr>
              <w:t>评标委员会根据投标人在响应文件中提供的安全施工保障措施（包括但不限于：对工人岗前培训、配备安全设备和防护设施、消防安全、环保措施等）综合比较进行赋分。保障措施全面、完善、可行的得 8-10 分；保障措施较全面、较完善、可行的得 4-8 分；保障措施不全面、不完善、可行性差的得 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keepNext w:val="0"/>
              <w:keepLines w:val="0"/>
              <w:widowControl/>
              <w:suppressLineNumbers w:val="0"/>
              <w:spacing w:line="360" w:lineRule="auto"/>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spacing w:line="360" w:lineRule="auto"/>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质量保证措施 </w:t>
            </w:r>
          </w:p>
          <w:p>
            <w:pPr>
              <w:keepNext w:val="0"/>
              <w:keepLines w:val="0"/>
              <w:widowControl/>
              <w:suppressLineNumbers w:val="0"/>
              <w:spacing w:line="360" w:lineRule="auto"/>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（满分10分）</w:t>
            </w:r>
          </w:p>
          <w:p>
            <w:pPr>
              <w:overflowPunct w:val="0"/>
              <w:topLinePunct/>
              <w:autoSpaceDE w:val="0"/>
              <w:adjustRightInd w:val="0"/>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6439" w:type="dxa"/>
            <w:vAlign w:val="center"/>
          </w:tcPr>
          <w:p>
            <w:pPr>
              <w:keepNext w:val="0"/>
              <w:keepLines w:val="0"/>
              <w:widowControl/>
              <w:suppressLineNumbers w:val="0"/>
              <w:spacing w:line="360" w:lineRule="auto"/>
              <w:ind w:firstLine="560" w:firstLineChars="20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kern w:val="0"/>
                <w:sz w:val="28"/>
                <w:szCs w:val="28"/>
                <w:lang w:val="en-US" w:eastAsia="zh-CN" w:bidi="ar"/>
              </w:rPr>
              <w:t>为达到完成一个育林管护周期后，苗木保存率在85%以上，制定详细可行的质量保障措施。评标委员会根据投标人在投标文件中提供的质量保证措施（根据提供的苗木品种、规格、数量、来源要求明确、整地栽植、树种配置等措施规范）综合比较进行赋分。质量保障措施内容完整，具有科学、完善、合理的保障方案的计7-10分 ；质量保障措施内容完整，具有基本完善、合理的保障方案的计4-7分；质量保障措施内容欠缺，无法保证苗木成活率的计0-4分。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keepNext w:val="0"/>
              <w:keepLines w:val="0"/>
              <w:widowControl/>
              <w:suppressLineNumbers w:val="0"/>
              <w:spacing w:line="360" w:lineRule="auto"/>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突发情况的应急 </w:t>
            </w:r>
          </w:p>
          <w:p>
            <w:pPr>
              <w:keepNext w:val="0"/>
              <w:keepLines w:val="0"/>
              <w:widowControl/>
              <w:suppressLineNumbers w:val="0"/>
              <w:spacing w:line="360" w:lineRule="auto"/>
              <w:ind w:firstLine="280" w:firstLineChars="1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处理方案 </w:t>
            </w:r>
          </w:p>
          <w:p>
            <w:pPr>
              <w:keepNext w:val="0"/>
              <w:keepLines w:val="0"/>
              <w:widowControl/>
              <w:suppressLineNumbers w:val="0"/>
              <w:spacing w:line="360" w:lineRule="auto"/>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（满分7分）</w:t>
            </w:r>
          </w:p>
          <w:p>
            <w:pPr>
              <w:overflowPunct w:val="0"/>
              <w:topLinePunct/>
              <w:autoSpaceDE w:val="0"/>
              <w:adjustRightInd w:val="0"/>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6439" w:type="dxa"/>
            <w:vAlign w:val="center"/>
          </w:tcPr>
          <w:p>
            <w:pPr>
              <w:keepNext w:val="0"/>
              <w:keepLines w:val="0"/>
              <w:widowControl/>
              <w:suppressLineNumbers w:val="0"/>
              <w:spacing w:line="360" w:lineRule="auto"/>
              <w:ind w:firstLine="560" w:firstLineChars="20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kern w:val="0"/>
                <w:sz w:val="28"/>
                <w:szCs w:val="28"/>
                <w:lang w:val="en-US" w:eastAsia="zh-CN" w:bidi="ar"/>
              </w:rPr>
              <w:t>评标委员会根据投标人在服务期间的紧急突然状况（例如：突发性林业有害生物灾害、人为破坏、林草火灾、自然灾害等）提供应急处理方案。应急处理方案合理可行的计5-7分；应急处理方案较合理基本可行的计3-5分；应急处理方案不合理，可行性不强的计0-3分。</w:t>
            </w:r>
          </w:p>
        </w:tc>
      </w:tr>
      <w:bookmarkEnd w:id="1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2.2.4</w:t>
            </w:r>
          </w:p>
        </w:tc>
        <w:tc>
          <w:tcPr>
            <w:tcW w:w="2286" w:type="dxa"/>
            <w:vAlign w:val="center"/>
          </w:tcPr>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商务</w:t>
            </w:r>
            <w:r>
              <w:rPr>
                <w:rFonts w:hint="eastAsia" w:ascii="宋体" w:hAnsi="宋体" w:eastAsia="宋体" w:cs="宋体"/>
                <w:b/>
                <w:color w:val="000000" w:themeColor="text1"/>
                <w:sz w:val="28"/>
                <w:szCs w:val="28"/>
                <w:lang w:eastAsia="zh-CN"/>
                <w14:textFill>
                  <w14:solidFill>
                    <w14:schemeClr w14:val="tx1"/>
                  </w14:solidFill>
                </w14:textFill>
              </w:rPr>
              <w:t>部分</w:t>
            </w:r>
            <w:r>
              <w:rPr>
                <w:rFonts w:hint="eastAsia" w:ascii="宋体" w:hAnsi="宋体" w:eastAsia="宋体" w:cs="宋体"/>
                <w:b/>
                <w:color w:val="000000" w:themeColor="text1"/>
                <w:sz w:val="28"/>
                <w:szCs w:val="28"/>
                <w14:textFill>
                  <w14:solidFill>
                    <w14:schemeClr w14:val="tx1"/>
                  </w14:solidFill>
                </w14:textFill>
              </w:rPr>
              <w:t>评分因素</w:t>
            </w:r>
          </w:p>
        </w:tc>
        <w:tc>
          <w:tcPr>
            <w:tcW w:w="6439" w:type="dxa"/>
            <w:vAlign w:val="center"/>
          </w:tcPr>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评分标准（满分</w:t>
            </w:r>
            <w:r>
              <w:rPr>
                <w:rFonts w:hint="eastAsia" w:ascii="宋体" w:hAnsi="宋体" w:eastAsia="宋体" w:cs="宋体"/>
                <w:b/>
                <w:color w:val="000000" w:themeColor="text1"/>
                <w:sz w:val="28"/>
                <w:szCs w:val="28"/>
                <w:lang w:val="en-US" w:eastAsia="zh-CN"/>
                <w14:textFill>
                  <w14:solidFill>
                    <w14:schemeClr w14:val="tx1"/>
                  </w14:solidFill>
                </w14:textFill>
              </w:rPr>
              <w:t>20</w:t>
            </w:r>
            <w:r>
              <w:rPr>
                <w:rFonts w:hint="eastAsia" w:ascii="宋体" w:hAnsi="宋体" w:eastAsia="宋体" w:cs="宋体"/>
                <w:b/>
                <w:color w:val="000000" w:themeColor="text1"/>
                <w:sz w:val="28"/>
                <w:szCs w:val="28"/>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restart"/>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商务标</w:t>
            </w:r>
          </w:p>
          <w:p>
            <w:pPr>
              <w:spacing w:line="360" w:lineRule="auto"/>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部分</w:t>
            </w:r>
          </w:p>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分）</w:t>
            </w:r>
          </w:p>
        </w:tc>
        <w:tc>
          <w:tcPr>
            <w:tcW w:w="2286" w:type="dxa"/>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同类业绩</w:t>
            </w:r>
          </w:p>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（5分）</w:t>
            </w:r>
          </w:p>
        </w:tc>
        <w:tc>
          <w:tcPr>
            <w:tcW w:w="6439" w:type="dxa"/>
            <w:vAlign w:val="center"/>
          </w:tcPr>
          <w:p>
            <w:pPr>
              <w:tabs>
                <w:tab w:val="left" w:pos="2292"/>
              </w:tabs>
              <w:spacing w:line="360" w:lineRule="auto"/>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sz w:val="28"/>
                <w:szCs w:val="28"/>
                <w:lang w:val="en-US" w:eastAsia="zh-CN"/>
              </w:rPr>
              <w:t xml:space="preserve">    投标人提供2020年1月1日及以后具有类似项目的业绩，响应文件中附有说明其业绩证明材料（以合同或中标通知书为准），每个业绩计1分，最高5分</w:t>
            </w:r>
            <w:r>
              <w:rPr>
                <w:rFonts w:hint="eastAsia" w:ascii="宋体" w:hAnsi="宋体" w:eastAsia="宋体" w:cs="宋体"/>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keepNext w:val="0"/>
              <w:keepLines w:val="0"/>
              <w:widowControl/>
              <w:suppressLineNumbers w:val="0"/>
              <w:spacing w:line="360" w:lineRule="auto"/>
              <w:jc w:val="center"/>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项目组织管理及</w:t>
            </w:r>
          </w:p>
          <w:p>
            <w:pPr>
              <w:keepNext w:val="0"/>
              <w:keepLines w:val="0"/>
              <w:widowControl/>
              <w:suppressLineNumbers w:val="0"/>
              <w:spacing w:line="360" w:lineRule="auto"/>
              <w:jc w:val="center"/>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人员安排</w:t>
            </w:r>
          </w:p>
          <w:p>
            <w:pPr>
              <w:keepNext w:val="0"/>
              <w:keepLines w:val="0"/>
              <w:widowControl/>
              <w:suppressLineNumbers w:val="0"/>
              <w:spacing w:line="360" w:lineRule="auto"/>
              <w:jc w:val="center"/>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（满分10分）</w:t>
            </w:r>
          </w:p>
          <w:p>
            <w:pPr>
              <w:spacing w:line="360" w:lineRule="auto"/>
              <w:jc w:val="center"/>
              <w:rPr>
                <w:rFonts w:hint="eastAsia" w:ascii="宋体" w:hAnsi="宋体" w:eastAsia="宋体" w:cs="宋体"/>
                <w:color w:val="000000" w:themeColor="text1"/>
                <w:sz w:val="28"/>
                <w:szCs w:val="28"/>
                <w14:textFill>
                  <w14:solidFill>
                    <w14:schemeClr w14:val="tx1"/>
                  </w14:solidFill>
                </w14:textFill>
              </w:rPr>
            </w:pPr>
          </w:p>
        </w:tc>
        <w:tc>
          <w:tcPr>
            <w:tcW w:w="6439" w:type="dxa"/>
            <w:vAlign w:val="center"/>
          </w:tcPr>
          <w:p>
            <w:pPr>
              <w:keepNext w:val="0"/>
              <w:keepLines w:val="0"/>
              <w:widowControl/>
              <w:suppressLineNumbers w:val="0"/>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1、投标人拟派项目负责人具有林业类相关专业中级职称者，得1分，具有林业类相关专业高级职称者，得3分；不满足者此项不得分，满分3分。</w:t>
            </w:r>
          </w:p>
          <w:p>
            <w:pPr>
              <w:keepNext w:val="0"/>
              <w:keepLines w:val="0"/>
              <w:widowControl/>
              <w:suppressLineNumbers w:val="0"/>
              <w:spacing w:line="360" w:lineRule="auto"/>
              <w:ind w:firstLine="560" w:firstLineChars="200"/>
              <w:jc w:val="both"/>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kern w:val="0"/>
                <w:sz w:val="28"/>
                <w:szCs w:val="28"/>
                <w:lang w:val="en-US" w:eastAsia="zh-CN" w:bidi="ar"/>
              </w:rPr>
              <w:t>2、评标委员会根据投标人在响应文件中提供的项目组织管理及人员（项目负责人除外）安排综合比较进行赋分。组织结构健全，有完善的岗位制度和岗位职责，人员安排合理、分工明确，可操作性强的计5-7分；组织结构较为健全，有较为完善的岗位制度和岗位职责，人员安排及分工较为合理，具有一定的操作性的计3-5；组织结构不健全，岗位制度和岗位职责安排简单，操作性较差，或无方案的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8"/>
                <w:szCs w:val="28"/>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后续服务</w:t>
            </w:r>
          </w:p>
          <w:p>
            <w:pPr>
              <w:spacing w:line="360" w:lineRule="auto"/>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（5分）</w:t>
            </w:r>
          </w:p>
        </w:tc>
        <w:tc>
          <w:tcPr>
            <w:tcW w:w="6439" w:type="dxa"/>
            <w:vAlign w:val="center"/>
          </w:tcPr>
          <w:p>
            <w:pPr>
              <w:keepNext w:val="0"/>
              <w:keepLines w:val="0"/>
              <w:widowControl/>
              <w:suppressLineNumbers w:val="0"/>
              <w:spacing w:line="360" w:lineRule="auto"/>
              <w:ind w:firstLine="560" w:firstLineChars="200"/>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kern w:val="0"/>
                <w:sz w:val="28"/>
                <w:szCs w:val="28"/>
                <w:lang w:val="en-US" w:eastAsia="zh-CN" w:bidi="ar"/>
              </w:rPr>
              <w:t>评标委员会根据投标人在响应文件中提供的后期服务、人员管护落实到位、抚育措施到位、宣传设施齐全等综合比较进行赋分。内容完整、合理、可行的计4-5分 ；内容较完整、较合理、可行的计2-4分 ；内容不完整、不合理、可行性差的计0-2分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Align w:val="center"/>
          </w:tcPr>
          <w:p>
            <w:pPr>
              <w:widowControl/>
              <w:spacing w:line="360" w:lineRule="auto"/>
              <w:jc w:val="cente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2.2.5</w:t>
            </w:r>
          </w:p>
        </w:tc>
        <w:tc>
          <w:tcPr>
            <w:tcW w:w="2286" w:type="dxa"/>
            <w:vAlign w:val="center"/>
          </w:tcPr>
          <w:p>
            <w:pPr>
              <w:spacing w:line="360" w:lineRule="auto"/>
              <w:jc w:val="center"/>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磋商</w:t>
            </w:r>
            <w:r>
              <w:rPr>
                <w:rFonts w:hint="eastAsia" w:ascii="宋体" w:hAnsi="宋体" w:eastAsia="宋体" w:cs="宋体"/>
                <w:b/>
                <w:bCs/>
                <w:color w:val="000000" w:themeColor="text1"/>
                <w:sz w:val="28"/>
                <w:szCs w:val="28"/>
                <w:lang w:eastAsia="zh-CN"/>
                <w14:textFill>
                  <w14:solidFill>
                    <w14:schemeClr w14:val="tx1"/>
                  </w14:solidFill>
                </w14:textFill>
              </w:rPr>
              <w:t>报价评分因素</w:t>
            </w:r>
          </w:p>
        </w:tc>
        <w:tc>
          <w:tcPr>
            <w:tcW w:w="6439" w:type="dxa"/>
            <w:vAlign w:val="center"/>
          </w:tcPr>
          <w:p>
            <w:pPr>
              <w:tabs>
                <w:tab w:val="left" w:pos="2292"/>
              </w:tabs>
              <w:spacing w:line="360" w:lineRule="auto"/>
              <w:jc w:val="both"/>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评分标准（满分</w:t>
            </w:r>
            <w:r>
              <w:rPr>
                <w:rFonts w:hint="eastAsia" w:ascii="宋体" w:hAnsi="宋体" w:eastAsia="宋体" w:cs="宋体"/>
                <w:b/>
                <w:bCs/>
                <w:color w:val="000000" w:themeColor="text1"/>
                <w:sz w:val="28"/>
                <w:szCs w:val="28"/>
                <w:lang w:val="en-US" w:eastAsia="zh-CN"/>
                <w14:textFill>
                  <w14:solidFill>
                    <w14:schemeClr w14:val="tx1"/>
                  </w14:solidFill>
                </w14:textFill>
              </w:rPr>
              <w:t>30分</w:t>
            </w:r>
            <w:r>
              <w:rPr>
                <w:rFonts w:hint="eastAsia" w:ascii="宋体" w:hAnsi="宋体" w:eastAsia="宋体" w:cs="宋体"/>
                <w:b/>
                <w:bCs/>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Align w:val="center"/>
          </w:tcPr>
          <w:p>
            <w:pPr>
              <w:widowControl/>
              <w:spacing w:line="36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kern w:val="0"/>
                <w:sz w:val="28"/>
                <w:szCs w:val="28"/>
                <w:lang w:val="en-US" w:eastAsia="zh-CN"/>
              </w:rPr>
              <w:t>磋商</w:t>
            </w:r>
            <w:r>
              <w:rPr>
                <w:rFonts w:hint="eastAsia" w:ascii="宋体" w:hAnsi="宋体" w:eastAsia="宋体" w:cs="宋体"/>
                <w:color w:val="auto"/>
                <w:kern w:val="0"/>
                <w:sz w:val="28"/>
                <w:szCs w:val="28"/>
              </w:rPr>
              <w:t>报价</w:t>
            </w:r>
          </w:p>
        </w:tc>
        <w:tc>
          <w:tcPr>
            <w:tcW w:w="2286" w:type="dxa"/>
            <w:vAlign w:val="center"/>
          </w:tcPr>
          <w:p>
            <w:pPr>
              <w:spacing w:line="360" w:lineRule="auto"/>
              <w:jc w:val="center"/>
              <w:rPr>
                <w:rFonts w:hint="eastAsia" w:ascii="宋体" w:hAnsi="宋体" w:eastAsia="宋体" w:cs="宋体"/>
                <w:color w:val="auto"/>
                <w:sz w:val="28"/>
                <w:szCs w:val="28"/>
                <w:lang w:eastAsia="zh-CN"/>
              </w:rPr>
            </w:pP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0分</w:t>
            </w:r>
          </w:p>
        </w:tc>
        <w:tc>
          <w:tcPr>
            <w:tcW w:w="6439" w:type="dxa"/>
            <w:vAlign w:val="center"/>
          </w:tcPr>
          <w:p>
            <w:pPr>
              <w:tabs>
                <w:tab w:val="left" w:pos="6060"/>
              </w:tabs>
              <w:spacing w:line="360" w:lineRule="auto"/>
              <w:ind w:firstLine="560" w:firstLineChars="200"/>
              <w:jc w:val="both"/>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1、本次磋商设最高投标限价。供应商的磋商报价超过最高投标限价的视为废标，不再参与下一步评审。</w:t>
            </w:r>
          </w:p>
          <w:p>
            <w:pPr>
              <w:tabs>
                <w:tab w:val="left" w:pos="6060"/>
              </w:tabs>
              <w:spacing w:line="360" w:lineRule="auto"/>
              <w:ind w:firstLine="560" w:firstLineChars="200"/>
              <w:jc w:val="both"/>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2、未超出财政预算，实质性满足磋商文件要求且最后报价最低的报价为磋商基准价，其价格分为满分</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0分。其它供应商的价格分统一按照下列公式计算：磋商报价得分=（磋商基准价/最后磋商报价）×价格分值×100%</w:t>
            </w:r>
          </w:p>
          <w:p>
            <w:pPr>
              <w:tabs>
                <w:tab w:val="left" w:pos="6060"/>
              </w:tabs>
              <w:spacing w:line="360" w:lineRule="auto"/>
              <w:ind w:firstLine="560" w:firstLineChars="200"/>
              <w:jc w:val="both"/>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、磋商报价不完整的，不进入评标基准价的计算，本项得0分。</w:t>
            </w:r>
          </w:p>
          <w:p>
            <w:pPr>
              <w:tabs>
                <w:tab w:val="left" w:pos="6060"/>
              </w:tabs>
              <w:spacing w:line="360" w:lineRule="auto"/>
              <w:ind w:firstLine="560" w:firstLineChars="200"/>
              <w:jc w:val="both"/>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磋商小组三分之二以上成员认为某磋商报价有低于成本价嫌疑的，有可能影响产品质量或者不能诚信履约的，应当要求其在评标现场合理的时间内提供书面说明，必要时提交相关证明材料;供应商不能证明其报价合理性的，磋商小组应当将其作为无效磋商处理。</w:t>
            </w:r>
          </w:p>
        </w:tc>
      </w:tr>
    </w:tbl>
    <w:p>
      <w:pPr>
        <w:spacing w:line="360" w:lineRule="auto"/>
        <w:ind w:firstLine="480" w:firstLineChars="200"/>
        <w:rPr>
          <w:rFonts w:hint="eastAsia" w:ascii="宋体" w:hAnsi="宋体" w:cs="宋体"/>
          <w:color w:val="000000" w:themeColor="text1"/>
          <w:sz w:val="24"/>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宜川县2019-2020年临时使用林地恢复造林项目施工二标段（二次）</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文件，由</w:t>
      </w:r>
      <w:r>
        <w:rPr>
          <w:rFonts w:hint="eastAsia" w:ascii="宋体" w:hAnsi="宋体" w:cs="宋体"/>
          <w:color w:val="000000" w:themeColor="text1"/>
          <w:sz w:val="28"/>
          <w:szCs w:val="28"/>
          <w:lang w:eastAsia="zh-CN"/>
          <w14:textFill>
            <w14:solidFill>
              <w14:schemeClr w14:val="tx1"/>
            </w14:solidFill>
          </w14:textFill>
        </w:rPr>
        <w:t>陕西宸永项目管理有限公司</w:t>
      </w:r>
      <w:r>
        <w:rPr>
          <w:rFonts w:hint="eastAsia" w:ascii="宋体" w:hAnsi="宋体" w:eastAsia="宋体" w:cs="宋体"/>
          <w:color w:val="000000" w:themeColor="text1"/>
          <w:sz w:val="28"/>
          <w:szCs w:val="28"/>
          <w14:textFill>
            <w14:solidFill>
              <w14:schemeClr w14:val="tx1"/>
            </w14:solidFill>
          </w14:textFill>
        </w:rPr>
        <w:t>根据采购人提出的采购要求和商务要求编制，经</w:t>
      </w:r>
      <w:r>
        <w:rPr>
          <w:rFonts w:hint="eastAsia" w:ascii="宋体" w:hAnsi="宋体" w:eastAsia="宋体" w:cs="宋体"/>
          <w:color w:val="000000" w:themeColor="text1"/>
          <w:sz w:val="28"/>
          <w:szCs w:val="28"/>
          <w:lang w:eastAsia="zh-CN"/>
          <w14:textFill>
            <w14:solidFill>
              <w14:schemeClr w14:val="tx1"/>
            </w14:solidFill>
          </w14:textFill>
        </w:rPr>
        <w:t>采购人</w:t>
      </w:r>
      <w:r>
        <w:rPr>
          <w:rFonts w:hint="eastAsia" w:ascii="宋体" w:hAnsi="宋体" w:eastAsia="宋体" w:cs="宋体"/>
          <w:color w:val="000000" w:themeColor="text1"/>
          <w:sz w:val="28"/>
          <w:szCs w:val="28"/>
          <w14:textFill>
            <w14:solidFill>
              <w14:schemeClr w14:val="tx1"/>
            </w14:solidFill>
          </w14:textFill>
        </w:rPr>
        <w:t>审定、备案后发售。</w:t>
      </w:r>
    </w:p>
    <w:p>
      <w:pPr>
        <w:pStyle w:val="3"/>
        <w:spacing w:before="0" w:after="0" w:line="360" w:lineRule="auto"/>
        <w:ind w:firstLine="562" w:firstLineChars="200"/>
        <w:rPr>
          <w:rFonts w:hint="eastAsia" w:ascii="宋体" w:hAnsi="宋体" w:eastAsia="宋体" w:cs="宋体"/>
          <w:color w:val="000000" w:themeColor="text1"/>
          <w:sz w:val="28"/>
          <w:szCs w:val="28"/>
          <w14:textFill>
            <w14:solidFill>
              <w14:schemeClr w14:val="tx1"/>
            </w14:solidFill>
          </w14:textFill>
        </w:rPr>
      </w:pPr>
      <w:bookmarkStart w:id="155" w:name="_Toc22424"/>
      <w:bookmarkStart w:id="156" w:name="_Toc526842695"/>
      <w:r>
        <w:rPr>
          <w:rFonts w:hint="eastAsia" w:ascii="宋体" w:hAnsi="宋体" w:eastAsia="宋体" w:cs="宋体"/>
          <w:color w:val="000000" w:themeColor="text1"/>
          <w:sz w:val="28"/>
          <w:szCs w:val="28"/>
          <w14:textFill>
            <w14:solidFill>
              <w14:schemeClr w14:val="tx1"/>
            </w14:solidFill>
          </w14:textFill>
        </w:rPr>
        <w:t>1. 评标方法</w:t>
      </w:r>
      <w:bookmarkEnd w:id="155"/>
      <w:bookmarkEnd w:id="156"/>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1.1评标原则</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（1）公平、公正、科学、择优；</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工期</w:t>
      </w:r>
      <w:r>
        <w:rPr>
          <w:rFonts w:hint="eastAsia" w:ascii="宋体" w:hAnsi="宋体" w:eastAsia="宋体" w:cs="宋体"/>
          <w:color w:val="000000" w:themeColor="text1"/>
          <w:sz w:val="28"/>
          <w:szCs w:val="28"/>
          <w14:textFill>
            <w14:solidFill>
              <w14:schemeClr w14:val="tx1"/>
            </w14:solidFill>
          </w14:textFill>
        </w:rPr>
        <w:t>合理、方案可行；</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（3）价格合理,且不低于成本价；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（4）禁止不正当竞争。</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 本次评标采用综合评分法。</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按照《中华人民共和国招标投标法》的规定，本次评标采用“综合评估法”，即在最大限度地满足</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文件实质性要求前提下，按照</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文件中规定的各项因素和相应的权重分值进行综合评审后，以总得分最高的投标人作为中标候选人并依次排序。</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磋商小组对满足磋商文件实质性要求的磋商响应文件，按照本章第2.2款规定的评分标准进行打分。磋商小组对供应商在磋商响应文件中提出的</w:t>
      </w:r>
      <w:r>
        <w:rPr>
          <w:rFonts w:hint="eastAsia" w:ascii="宋体" w:hAnsi="宋体" w:eastAsia="宋体" w:cs="宋体"/>
          <w:color w:val="000000" w:themeColor="text1"/>
          <w:sz w:val="28"/>
          <w:szCs w:val="28"/>
          <w:lang w:eastAsia="zh-CN"/>
          <w14:textFill>
            <w14:solidFill>
              <w14:schemeClr w14:val="tx1"/>
            </w14:solidFill>
          </w14:textFill>
        </w:rPr>
        <w:t>工期</w:t>
      </w:r>
      <w:r>
        <w:rPr>
          <w:rFonts w:hint="eastAsia" w:ascii="宋体" w:hAnsi="宋体" w:eastAsia="宋体" w:cs="宋体"/>
          <w:color w:val="000000" w:themeColor="text1"/>
          <w:sz w:val="28"/>
          <w:szCs w:val="28"/>
          <w14:textFill>
            <w14:solidFill>
              <w14:schemeClr w14:val="tx1"/>
            </w14:solidFill>
          </w14:textFill>
        </w:rPr>
        <w:t>、质量、投标价格等能否最大限度地满足磋商文件的要求进行评审、赋分，向采购人推荐</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名成交候选供应商，标明排列顺序，综合得分最高者为第一成交候选供应商。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1.3在评标过程中，供应商对采购人和磋商小组施加影响的任何行为，都将导致其投标资格被取消。</w:t>
      </w:r>
    </w:p>
    <w:p>
      <w:pPr>
        <w:pStyle w:val="3"/>
        <w:spacing w:before="0" w:after="0" w:line="360" w:lineRule="auto"/>
        <w:ind w:firstLine="562" w:firstLineChars="200"/>
        <w:rPr>
          <w:rFonts w:hint="eastAsia" w:ascii="宋体" w:hAnsi="宋体" w:eastAsia="宋体" w:cs="宋体"/>
          <w:color w:val="000000" w:themeColor="text1"/>
          <w:sz w:val="28"/>
          <w:szCs w:val="28"/>
          <w14:textFill>
            <w14:solidFill>
              <w14:schemeClr w14:val="tx1"/>
            </w14:solidFill>
          </w14:textFill>
        </w:rPr>
      </w:pPr>
      <w:bookmarkStart w:id="157" w:name="_Toc526842696"/>
      <w:bookmarkStart w:id="158" w:name="_Toc24205"/>
      <w:r>
        <w:rPr>
          <w:rFonts w:hint="eastAsia" w:ascii="宋体" w:hAnsi="宋体" w:eastAsia="宋体" w:cs="宋体"/>
          <w:color w:val="000000" w:themeColor="text1"/>
          <w:sz w:val="28"/>
          <w:szCs w:val="28"/>
          <w14:textFill>
            <w14:solidFill>
              <w14:schemeClr w14:val="tx1"/>
            </w14:solidFill>
          </w14:textFill>
        </w:rPr>
        <w:t>2. 评审标准</w:t>
      </w:r>
      <w:bookmarkEnd w:id="157"/>
      <w:bookmarkEnd w:id="158"/>
    </w:p>
    <w:p>
      <w:pPr>
        <w:pStyle w:val="5"/>
        <w:ind w:firstLine="562" w:firstLineChars="200"/>
        <w:rPr>
          <w:rFonts w:hint="eastAsia" w:ascii="宋体" w:hAnsi="宋体" w:eastAsia="宋体" w:cs="宋体"/>
          <w:color w:val="000000" w:themeColor="text1"/>
          <w:sz w:val="28"/>
          <w:szCs w:val="28"/>
          <w14:textFill>
            <w14:solidFill>
              <w14:schemeClr w14:val="tx1"/>
            </w14:solidFill>
          </w14:textFill>
        </w:rPr>
      </w:pPr>
      <w:bookmarkStart w:id="159" w:name="_Toc526842697"/>
      <w:bookmarkStart w:id="160" w:name="_Toc8321"/>
      <w:r>
        <w:rPr>
          <w:rFonts w:hint="eastAsia" w:ascii="宋体" w:hAnsi="宋体" w:eastAsia="宋体" w:cs="宋体"/>
          <w:color w:val="000000" w:themeColor="text1"/>
          <w:sz w:val="28"/>
          <w:szCs w:val="28"/>
          <w14:textFill>
            <w14:solidFill>
              <w14:schemeClr w14:val="tx1"/>
            </w14:solidFill>
          </w14:textFill>
        </w:rPr>
        <w:t>2.1 初步评审标准</w:t>
      </w:r>
      <w:bookmarkEnd w:id="159"/>
      <w:bookmarkEnd w:id="160"/>
    </w:p>
    <w:p>
      <w:pPr>
        <w:wordWrap/>
        <w:overflowPunct/>
        <w:topLinePunct w:val="0"/>
        <w:bidi w:val="0"/>
        <w:spacing w:line="360" w:lineRule="auto"/>
        <w:ind w:firstLine="560" w:firstLineChars="200"/>
        <w:rPr>
          <w:rFonts w:hint="eastAsia" w:ascii="宋体" w:hAnsi="宋体" w:eastAsia="宋体" w:cs="宋体"/>
          <w:color w:val="000000"/>
          <w:sz w:val="28"/>
          <w:szCs w:val="28"/>
        </w:rPr>
      </w:pPr>
      <w:bookmarkStart w:id="161" w:name="_Toc526842698"/>
      <w:bookmarkStart w:id="162" w:name="_Toc526842699"/>
      <w:r>
        <w:rPr>
          <w:rFonts w:hint="eastAsia" w:ascii="宋体" w:hAnsi="宋体" w:eastAsia="宋体" w:cs="宋体"/>
          <w:color w:val="000000"/>
          <w:sz w:val="28"/>
          <w:szCs w:val="28"/>
        </w:rPr>
        <w:t>2.1.1形式评审标准：见评标办法前附表。</w:t>
      </w:r>
    </w:p>
    <w:p>
      <w:pPr>
        <w:pStyle w:val="5"/>
        <w:ind w:firstLine="560" w:firstLineChars="200"/>
        <w:rPr>
          <w:rFonts w:hint="eastAsia" w:ascii="宋体" w:hAnsi="宋体" w:eastAsia="宋体" w:cs="宋体"/>
          <w:b w:val="0"/>
          <w:bCs/>
          <w:color w:val="000000"/>
          <w:sz w:val="28"/>
          <w:szCs w:val="28"/>
        </w:rPr>
      </w:pPr>
      <w:bookmarkStart w:id="163" w:name="_Toc3038"/>
      <w:r>
        <w:rPr>
          <w:rFonts w:hint="eastAsia" w:ascii="宋体" w:hAnsi="宋体" w:eastAsia="宋体" w:cs="宋体"/>
          <w:b w:val="0"/>
          <w:bCs/>
          <w:color w:val="000000"/>
          <w:sz w:val="28"/>
          <w:szCs w:val="28"/>
        </w:rPr>
        <w:t>2.1.2响应性评审标准：见评标办法前附表。</w:t>
      </w:r>
      <w:bookmarkEnd w:id="163"/>
    </w:p>
    <w:p>
      <w:pPr>
        <w:pStyle w:val="5"/>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4" w:name="_Toc21767"/>
      <w:r>
        <w:rPr>
          <w:rFonts w:hint="eastAsia" w:ascii="宋体" w:hAnsi="宋体" w:eastAsia="宋体" w:cs="宋体"/>
          <w:color w:val="000000" w:themeColor="text1"/>
          <w:sz w:val="28"/>
          <w:szCs w:val="28"/>
          <w14:textFill>
            <w14:solidFill>
              <w14:schemeClr w14:val="tx1"/>
            </w14:solidFill>
          </w14:textFill>
        </w:rPr>
        <w:t>2.2 详细评审标准</w:t>
      </w:r>
      <w:bookmarkEnd w:id="161"/>
      <w:bookmarkEnd w:id="164"/>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2.2.1 分值构成</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：见评标办法前附表；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（2）商务</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：见评标办法前附表。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2.2.2评分标准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评分标准：见评标办法前附表；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（2）商务</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评分标准：见评标办法前附表。</w:t>
      </w:r>
    </w:p>
    <w:p>
      <w:pPr>
        <w:pStyle w:val="3"/>
        <w:spacing w:before="0" w:after="0" w:line="360" w:lineRule="auto"/>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5" w:name="_Toc15104"/>
      <w:r>
        <w:rPr>
          <w:rFonts w:hint="eastAsia" w:ascii="宋体" w:hAnsi="宋体" w:eastAsia="宋体" w:cs="宋体"/>
          <w:color w:val="000000" w:themeColor="text1"/>
          <w:sz w:val="28"/>
          <w:szCs w:val="28"/>
          <w14:textFill>
            <w14:solidFill>
              <w14:schemeClr w14:val="tx1"/>
            </w14:solidFill>
          </w14:textFill>
        </w:rPr>
        <w:t>3. 评标程序</w:t>
      </w:r>
      <w:bookmarkEnd w:id="162"/>
      <w:bookmarkEnd w:id="165"/>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3.1按照初审、详评、推荐成交候选供应商三个步骤进行评标。在上一步评审中被废标者，不进入下一步的评审。</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3.1.1对磋商响应文件的初审:</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按照以下内容对磋商响应文件初审，一项不合格即为废标。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（1）磋商响应文件的完整性。磋商响应文件构成是否有重大缺项，是否按照</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文件要求的格式编写磋商响应文件。</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（2）磋商响应文件的有效性。磋商响应文件的签署、加盖印章是否合格、有效；提供的各种证明文件、数据、资料是否齐全。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提供的资格证明文件是否符合</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文件要求。</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（3）磋商响应文件的响应性。投标有效期是否符合</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文件要求；是否满足本次投标的特殊要求；投标方案是否有重大缺漏项；投标服务内容与要求是否有重大偏离；投标商务条款是否有重大偏离；对合同中规定的双方的权利和义务是否做出了实质性修改。</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是否按照</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文件的要求提交了有效足额的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3.1.2对于磋商响应文件中可能出现的不一致和算术计算错误按以下方法更正:</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（1）磋商响应文件中开标一览表（报价表）内容与磋商响应文件中明细表内容不一致的，以开标一览表（报价表）为准。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（2）用数字表示的金额和用文字表示的金额不一致的，以文字表示的金额为准。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（3）总价金额与按单价汇总金额不一致的，以单价金额计算结果为准；但单价金额小数点有明显错位的，以总价为准，并修正单价。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磋商小组将按照上述修正错误的方法修正磋商响应文件中的</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，修正后的价格对供应商具有约束力。如果供应商不接受修正后的价格，其投标将被拒绝。</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3.1.3详评:对于经初审合格的所有投标，由磋商小组各成员按照下列《评标分值及评审要素一览表》规定的内容独立进行综合评价、比较打分，然后汇总每个投标人的得分，按包从高到低依次排序，推荐成交候选供应商。</w:t>
      </w:r>
    </w:p>
    <w:p>
      <w:pPr>
        <w:pStyle w:val="5"/>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6" w:name="_Toc526842700"/>
      <w:bookmarkStart w:id="167" w:name="_Toc23340"/>
      <w:r>
        <w:rPr>
          <w:rFonts w:hint="eastAsia" w:ascii="宋体" w:hAnsi="宋体" w:eastAsia="宋体" w:cs="宋体"/>
          <w:color w:val="000000" w:themeColor="text1"/>
          <w:sz w:val="28"/>
          <w:szCs w:val="28"/>
          <w14:textFill>
            <w14:solidFill>
              <w14:schemeClr w14:val="tx1"/>
            </w14:solidFill>
          </w14:textFill>
        </w:rPr>
        <w:t>3.2初步评审</w:t>
      </w:r>
      <w:bookmarkEnd w:id="166"/>
      <w:bookmarkEnd w:id="167"/>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3.2.1磋商小组依据本章第2.1款规定的标准对磋商响应文件进行初步评审。有一项不符合评审标准的，磋商小组应当否决其投标。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3.2.2 供应商有以下情形之一的，磋商小组应当否决其投标：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（1）第二章“供应商须知”第1.4.1项规定的任何一种情形的；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（2）串通投标或弄虚作假或有其他违法行为的；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（3）不按磋商小组要求澄清、说明或补正的。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3.2.3磋商报价有算术错误的，磋商小组按以下原则对磋商报价进行修正，修正的价格经供应商书面确认后具有约束力。供应商不接受修正价格的，磋商小组应当否决其投标。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（1）磋商响应文件中的大写金额与小写金额不一致的，以大写金额为准；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（2）总价金额与依据单价计算出的结果不一致的，以单价金额为准修正总价，但单价金额小数点有明显错误的除外。</w:t>
      </w:r>
    </w:p>
    <w:p>
      <w:pPr>
        <w:pStyle w:val="5"/>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8" w:name="_Toc272"/>
      <w:bookmarkStart w:id="169" w:name="_Toc526842701"/>
      <w:r>
        <w:rPr>
          <w:rFonts w:hint="eastAsia" w:ascii="宋体" w:hAnsi="宋体" w:eastAsia="宋体" w:cs="宋体"/>
          <w:color w:val="000000" w:themeColor="text1"/>
          <w:sz w:val="28"/>
          <w:szCs w:val="28"/>
          <w14:textFill>
            <w14:solidFill>
              <w14:schemeClr w14:val="tx1"/>
            </w14:solidFill>
          </w14:textFill>
        </w:rPr>
        <w:t>3.3 详细评审</w:t>
      </w:r>
      <w:bookmarkEnd w:id="168"/>
      <w:bookmarkEnd w:id="169"/>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3.3.1评审内容及步骤</w:t>
      </w:r>
    </w:p>
    <w:p>
      <w:pPr>
        <w:pStyle w:val="8"/>
        <w:ind w:left="0" w:leftChars="0" w:firstLine="416"/>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评标前磋商小组需先对供应商磋商响应文件中的资格证明文件（加盖单位公章的复印件）进行资格审查和符合性评审，然后再对通过资格审查和符合性评审的供应商进行技术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、商务</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进行量化打分。</w:t>
      </w:r>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3.3.2技术</w:t>
      </w:r>
      <w:r>
        <w:rPr>
          <w:rFonts w:hint="eastAsia" w:ascii="宋体" w:hAnsi="宋体" w:eastAsia="宋体" w:cs="宋体"/>
          <w:b/>
          <w:color w:val="000000" w:themeColor="text1"/>
          <w:sz w:val="28"/>
          <w:szCs w:val="28"/>
          <w:lang w:eastAsia="zh-CN"/>
          <w14:textFill>
            <w14:solidFill>
              <w14:schemeClr w14:val="tx1"/>
            </w14:solidFill>
          </w14:textFill>
        </w:rPr>
        <w:t>部分</w:t>
      </w:r>
      <w:r>
        <w:rPr>
          <w:rFonts w:hint="eastAsia" w:ascii="宋体" w:hAnsi="宋体" w:eastAsia="宋体" w:cs="宋体"/>
          <w:b/>
          <w:color w:val="000000" w:themeColor="text1"/>
          <w:sz w:val="28"/>
          <w:szCs w:val="28"/>
          <w14:textFill>
            <w14:solidFill>
              <w14:schemeClr w14:val="tx1"/>
            </w14:solidFill>
          </w14:textFill>
        </w:rPr>
        <w:t>的评审：</w:t>
      </w:r>
    </w:p>
    <w:p>
      <w:pPr>
        <w:spacing w:line="360" w:lineRule="auto"/>
        <w:ind w:firstLine="420" w:firstLineChars="15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磋商小组依据供应商提交的磋商响应文件，对供应商的技术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进行详细评审。</w:t>
      </w:r>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3.3.3确定供应商的有效报价：</w:t>
      </w:r>
    </w:p>
    <w:p>
      <w:pPr>
        <w:pStyle w:val="21"/>
        <w:spacing w:line="360" w:lineRule="auto"/>
        <w:ind w:left="0" w:firstLine="548" w:firstLineChars="196"/>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供应商有效报价αi：磋商报价≤最高投标限价（采购预算）的磋商报价。当出现价格汇总错误、单价与合不符时，必须以磋商小组修正的为准，否则不再参与评标。</w:t>
      </w:r>
    </w:p>
    <w:p>
      <w:pPr>
        <w:tabs>
          <w:tab w:val="left" w:pos="6060"/>
        </w:tabs>
        <w:spacing w:line="360" w:lineRule="auto"/>
        <w:ind w:firstLine="562"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3.3.4商务标评审，详见上述评标办法前附表。</w:t>
      </w:r>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3.3.5汇总上述技术</w:t>
      </w:r>
      <w:r>
        <w:rPr>
          <w:rFonts w:hint="eastAsia" w:ascii="宋体" w:hAnsi="宋体" w:eastAsia="宋体" w:cs="宋体"/>
          <w:b/>
          <w:color w:val="000000" w:themeColor="text1"/>
          <w:sz w:val="28"/>
          <w:szCs w:val="28"/>
          <w:lang w:eastAsia="zh-CN"/>
          <w14:textFill>
            <w14:solidFill>
              <w14:schemeClr w14:val="tx1"/>
            </w14:solidFill>
          </w14:textFill>
        </w:rPr>
        <w:t>部分</w:t>
      </w:r>
      <w:r>
        <w:rPr>
          <w:rFonts w:hint="eastAsia" w:ascii="宋体" w:hAnsi="宋体" w:eastAsia="宋体" w:cs="宋体"/>
          <w:b/>
          <w:color w:val="000000" w:themeColor="text1"/>
          <w:sz w:val="28"/>
          <w:szCs w:val="28"/>
          <w14:textFill>
            <w14:solidFill>
              <w14:schemeClr w14:val="tx1"/>
            </w14:solidFill>
          </w14:textFill>
        </w:rPr>
        <w:t>和商务</w:t>
      </w:r>
      <w:r>
        <w:rPr>
          <w:rFonts w:hint="eastAsia" w:ascii="宋体" w:hAnsi="宋体" w:eastAsia="宋体" w:cs="宋体"/>
          <w:b/>
          <w:color w:val="000000" w:themeColor="text1"/>
          <w:sz w:val="28"/>
          <w:szCs w:val="28"/>
          <w:lang w:eastAsia="zh-CN"/>
          <w14:textFill>
            <w14:solidFill>
              <w14:schemeClr w14:val="tx1"/>
            </w14:solidFill>
          </w14:textFill>
        </w:rPr>
        <w:t>部分</w:t>
      </w:r>
      <w:r>
        <w:rPr>
          <w:rFonts w:hint="eastAsia" w:ascii="宋体" w:hAnsi="宋体" w:eastAsia="宋体" w:cs="宋体"/>
          <w:b/>
          <w:color w:val="000000" w:themeColor="text1"/>
          <w:sz w:val="28"/>
          <w:szCs w:val="28"/>
          <w14:textFill>
            <w14:solidFill>
              <w14:schemeClr w14:val="tx1"/>
            </w14:solidFill>
          </w14:textFill>
        </w:rPr>
        <w:t>得分，按综合得分由高到低的顺序排序。</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3.3.6确定成交供应商：</w:t>
      </w:r>
    </w:p>
    <w:p>
      <w:pPr>
        <w:spacing w:line="360" w:lineRule="auto"/>
        <w:ind w:firstLine="551" w:firstLineChars="196"/>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u w:val="single"/>
          <w14:textFill>
            <w14:solidFill>
              <w14:schemeClr w14:val="tx1"/>
            </w14:solidFill>
          </w14:textFill>
        </w:rPr>
        <w:t>采购人依据磋商小组推荐的候选人，按照评标排序来确定第一名为成交供应商。成交供应商磋商报价（总价和综合单价）为成交价即为合同价，以此类推</w:t>
      </w:r>
      <w:r>
        <w:rPr>
          <w:rFonts w:hint="eastAsia" w:ascii="宋体" w:hAnsi="宋体" w:eastAsia="宋体" w:cs="宋体"/>
          <w:color w:val="000000" w:themeColor="text1"/>
          <w:sz w:val="28"/>
          <w:szCs w:val="28"/>
          <w14:textFill>
            <w14:solidFill>
              <w14:schemeClr w14:val="tx1"/>
            </w14:solidFill>
          </w14:textFill>
        </w:rPr>
        <w:t>。</w:t>
      </w:r>
    </w:p>
    <w:p>
      <w:pPr>
        <w:tabs>
          <w:tab w:val="left" w:pos="6060"/>
        </w:tabs>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当确定的成交供应商放弃成交或不能够履行磋商响应文件承诺的条款，成交供应商按排名顺序依次递补或经采购人及监管同意后项目废标。</w:t>
      </w:r>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3.3.7其他情况：</w:t>
      </w:r>
    </w:p>
    <w:p>
      <w:pPr>
        <w:tabs>
          <w:tab w:val="left" w:pos="6060"/>
        </w:tabs>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综合得分并列时，比较磋商报价，此分项得分高者排序靠前；若磋商报价得分仍相同，比较供应商技术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得分；如仍相同，则由评委无记名投票，以得票高低确定排序先后。</w:t>
      </w:r>
    </w:p>
    <w:p>
      <w:pPr>
        <w:tabs>
          <w:tab w:val="left" w:pos="6060"/>
        </w:tabs>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评标中采用插入法计算保留小数点后两位，第三位四舍五入。</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本办法由采购人负责解释，未尽事宜执行有关规定。</w:t>
      </w:r>
    </w:p>
    <w:p>
      <w:pPr>
        <w:pStyle w:val="5"/>
        <w:ind w:firstLine="562" w:firstLineChars="200"/>
        <w:rPr>
          <w:rFonts w:hint="eastAsia" w:ascii="宋体" w:hAnsi="宋体" w:eastAsia="宋体" w:cs="宋体"/>
          <w:color w:val="000000" w:themeColor="text1"/>
          <w:sz w:val="28"/>
          <w:szCs w:val="28"/>
          <w14:textFill>
            <w14:solidFill>
              <w14:schemeClr w14:val="tx1"/>
            </w14:solidFill>
          </w14:textFill>
        </w:rPr>
      </w:pPr>
      <w:bookmarkStart w:id="170" w:name="_Toc17944"/>
      <w:bookmarkStart w:id="171" w:name="_Toc526842702"/>
      <w:r>
        <w:rPr>
          <w:rFonts w:hint="eastAsia" w:ascii="宋体" w:hAnsi="宋体" w:eastAsia="宋体" w:cs="宋体"/>
          <w:color w:val="000000" w:themeColor="text1"/>
          <w:sz w:val="28"/>
          <w:szCs w:val="28"/>
          <w14:textFill>
            <w14:solidFill>
              <w14:schemeClr w14:val="tx1"/>
            </w14:solidFill>
          </w14:textFill>
        </w:rPr>
        <w:t>3.4 磋商响应文件的澄清和补正</w:t>
      </w:r>
      <w:bookmarkEnd w:id="170"/>
      <w:bookmarkEnd w:id="171"/>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3.4.1在评标过程中，磋商小组可以书面形式要求供应商对所提交磋商响应文件中不明确的内容进行书面澄清或说明，或者对细微偏差进行补正。磋商小组不接受供应商主动提出的澄清、说明或补正。</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3.4.2 澄清、说明和补正不得改变磋商响应文件的实质性内容（算术性错误修正的除外）。供应商的书面澄清、说明和补正属于磋商响应文件的组成部分。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3.4.3 磋商小组对供应商提交的澄清、说明或补正有疑问的，可以要求供应商进一步澄清、说明或补正，直至满足磋商小组的要求。</w:t>
      </w:r>
    </w:p>
    <w:p>
      <w:pPr>
        <w:pStyle w:val="5"/>
        <w:ind w:firstLine="562" w:firstLineChars="200"/>
        <w:rPr>
          <w:rFonts w:hint="eastAsia" w:ascii="宋体" w:hAnsi="宋体" w:eastAsia="宋体" w:cs="宋体"/>
          <w:color w:val="000000" w:themeColor="text1"/>
          <w:sz w:val="28"/>
          <w:szCs w:val="28"/>
          <w14:textFill>
            <w14:solidFill>
              <w14:schemeClr w14:val="tx1"/>
            </w14:solidFill>
          </w14:textFill>
        </w:rPr>
      </w:pPr>
      <w:bookmarkStart w:id="172" w:name="_Toc526842703"/>
      <w:bookmarkStart w:id="173" w:name="_Toc13592"/>
      <w:r>
        <w:rPr>
          <w:rFonts w:hint="eastAsia" w:ascii="宋体" w:hAnsi="宋体" w:eastAsia="宋体" w:cs="宋体"/>
          <w:color w:val="000000" w:themeColor="text1"/>
          <w:sz w:val="28"/>
          <w:szCs w:val="28"/>
          <w14:textFill>
            <w14:solidFill>
              <w14:schemeClr w14:val="tx1"/>
            </w14:solidFill>
          </w14:textFill>
        </w:rPr>
        <w:t>3.5 评标结果</w:t>
      </w:r>
      <w:bookmarkEnd w:id="172"/>
      <w:bookmarkEnd w:id="173"/>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3.5.1磋商小组按照得分由高到低的顺序推荐成交候选供应商。</w:t>
      </w:r>
    </w:p>
    <w:p>
      <w:pPr>
        <w:spacing w:line="360" w:lineRule="auto"/>
        <w:ind w:firstLine="560"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3.5.2 磋商小组完成评标后，应当向采购人提交书面评标报告。</w:t>
      </w:r>
    </w:p>
    <w:p>
      <w:pPr>
        <w:pStyle w:val="3"/>
        <w:spacing w:before="0" w:after="0" w:line="360" w:lineRule="auto"/>
        <w:rPr>
          <w:rFonts w:hint="eastAsia" w:ascii="宋体" w:hAnsi="宋体" w:eastAsia="宋体" w:cs="宋体"/>
          <w:color w:val="000000" w:themeColor="text1"/>
          <w:sz w:val="28"/>
          <w:szCs w:val="28"/>
          <w14:textFill>
            <w14:solidFill>
              <w14:schemeClr w14:val="tx1"/>
            </w14:solidFill>
          </w14:textFill>
        </w:rPr>
      </w:pPr>
      <w:bookmarkStart w:id="174" w:name="_Toc18242"/>
      <w:r>
        <w:rPr>
          <w:rFonts w:hint="eastAsia" w:ascii="宋体" w:hAnsi="宋体" w:eastAsia="宋体" w:cs="宋体"/>
          <w:color w:val="000000" w:themeColor="text1"/>
          <w:sz w:val="28"/>
          <w:szCs w:val="28"/>
          <w14:textFill>
            <w14:solidFill>
              <w14:schemeClr w14:val="tx1"/>
            </w14:solidFill>
          </w14:textFill>
        </w:rPr>
        <w:t>4.需要落实的政府采购政策</w:t>
      </w:r>
      <w:bookmarkEnd w:id="174"/>
      <w:bookmarkStart w:id="175" w:name="_Toc6400"/>
      <w:bookmarkStart w:id="176" w:name="_Toc369361291"/>
      <w:bookmarkStart w:id="177" w:name="_Toc332199024"/>
      <w:bookmarkStart w:id="178" w:name="_Toc9257"/>
      <w:bookmarkStart w:id="179" w:name="_Toc500323106"/>
      <w:bookmarkStart w:id="180" w:name="_Toc15026"/>
      <w:bookmarkStart w:id="181" w:name="_Toc526842704"/>
      <w:bookmarkStart w:id="182" w:name="_Toc332199115"/>
      <w:bookmarkStart w:id="183" w:name="_Toc487726885"/>
      <w:bookmarkStart w:id="184" w:name="_Toc290389727"/>
      <w:bookmarkStart w:id="185" w:name="_Toc360604917"/>
    </w:p>
    <w:p>
      <w:pPr>
        <w:pStyle w:val="3"/>
        <w:spacing w:before="0" w:after="0" w:line="360" w:lineRule="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1.</w:t>
      </w:r>
      <w:r>
        <w:rPr>
          <w:rFonts w:hint="eastAsia" w:ascii="宋体" w:hAnsi="宋体" w:eastAsia="宋体" w:cs="宋体"/>
          <w:b/>
          <w:bCs w:val="0"/>
          <w:color w:val="000000"/>
          <w:sz w:val="28"/>
          <w:szCs w:val="28"/>
        </w:rPr>
        <w:t>《政府采购促进中小企业发展管理办法》的通知（财库〔2020〕46号）</w:t>
      </w:r>
      <w:bookmarkEnd w:id="175"/>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186" w:name="_Toc2618"/>
      <w:bookmarkStart w:id="187" w:name="_Toc26075"/>
      <w:bookmarkStart w:id="188" w:name="_Toc10056"/>
      <w:bookmarkStart w:id="189" w:name="_Toc28308"/>
      <w:bookmarkStart w:id="190" w:name="_Toc15061"/>
      <w:bookmarkStart w:id="191" w:name="_Toc12159"/>
      <w:r>
        <w:rPr>
          <w:rFonts w:hint="eastAsia" w:ascii="宋体" w:hAnsi="宋体" w:eastAsia="宋体" w:cs="宋体"/>
          <w:b w:val="0"/>
          <w:bCs/>
          <w:color w:val="000000"/>
          <w:sz w:val="28"/>
          <w:szCs w:val="28"/>
          <w:lang w:val="en-US" w:eastAsia="zh-CN"/>
        </w:rPr>
        <w:t>在政府采购活动中，供应商提供的货物、工程或者服务符合下列情形的，享受《办法》规定的中小企业扶持政策:</w:t>
      </w:r>
      <w:bookmarkEnd w:id="186"/>
      <w:bookmarkEnd w:id="187"/>
      <w:bookmarkEnd w:id="188"/>
      <w:bookmarkEnd w:id="189"/>
      <w:bookmarkEnd w:id="19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192" w:name="_Toc13553"/>
      <w:bookmarkStart w:id="193" w:name="_Toc12926"/>
      <w:bookmarkStart w:id="194" w:name="_Toc3750"/>
      <w:bookmarkStart w:id="195" w:name="_Toc13145"/>
      <w:bookmarkStart w:id="196" w:name="_Toc29610"/>
      <w:r>
        <w:rPr>
          <w:rFonts w:hint="eastAsia" w:ascii="宋体" w:hAnsi="宋体" w:eastAsia="宋体" w:cs="宋体"/>
          <w:b w:val="0"/>
          <w:bCs/>
          <w:color w:val="000000"/>
          <w:sz w:val="28"/>
          <w:szCs w:val="28"/>
          <w:lang w:val="en-US" w:eastAsia="zh-CN"/>
        </w:rPr>
        <w:t>(一)在货物采购项目中，货物由中小企业制造，即货物由中小企业生产且使用该中小企业商号或者注册商标；</w:t>
      </w:r>
      <w:bookmarkEnd w:id="192"/>
      <w:bookmarkEnd w:id="193"/>
      <w:bookmarkEnd w:id="194"/>
      <w:bookmarkEnd w:id="195"/>
      <w:bookmarkEnd w:id="19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197" w:name="_Toc5972"/>
      <w:bookmarkStart w:id="198" w:name="_Toc98"/>
      <w:bookmarkStart w:id="199" w:name="_Toc27737"/>
      <w:bookmarkStart w:id="200" w:name="_Toc10777"/>
      <w:bookmarkStart w:id="201" w:name="_Toc2212"/>
      <w:r>
        <w:rPr>
          <w:rFonts w:hint="eastAsia" w:ascii="宋体" w:hAnsi="宋体" w:eastAsia="宋体" w:cs="宋体"/>
          <w:b w:val="0"/>
          <w:bCs/>
          <w:color w:val="000000"/>
          <w:sz w:val="28"/>
          <w:szCs w:val="28"/>
          <w:lang w:val="en-US" w:eastAsia="zh-CN"/>
        </w:rPr>
        <w:t>(二)在工程采购项目中，工程由中小企业承建，即工程施工单位为中小企业；</w:t>
      </w:r>
      <w:bookmarkEnd w:id="197"/>
      <w:bookmarkEnd w:id="198"/>
      <w:bookmarkEnd w:id="199"/>
      <w:bookmarkEnd w:id="200"/>
      <w:bookmarkEnd w:id="20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02" w:name="_Toc31732"/>
      <w:bookmarkStart w:id="203" w:name="_Toc2676"/>
      <w:bookmarkStart w:id="204" w:name="_Toc14952"/>
      <w:bookmarkStart w:id="205" w:name="_Toc30603"/>
      <w:bookmarkStart w:id="206" w:name="_Toc13181"/>
      <w:r>
        <w:rPr>
          <w:rFonts w:hint="eastAsia" w:ascii="宋体" w:hAnsi="宋体" w:eastAsia="宋体" w:cs="宋体"/>
          <w:b w:val="0"/>
          <w:bCs/>
          <w:color w:val="000000"/>
          <w:sz w:val="28"/>
          <w:szCs w:val="28"/>
          <w:lang w:val="en-US" w:eastAsia="zh-CN"/>
        </w:rPr>
        <w:t>(三)在服务采购项目中，服务由中小企业承接，即提供服务的人员为中小企业依照《中华人民共和国劳动合同法》订立劳动合同的从业人员。</w:t>
      </w:r>
      <w:bookmarkEnd w:id="202"/>
      <w:bookmarkEnd w:id="203"/>
      <w:bookmarkEnd w:id="204"/>
      <w:bookmarkEnd w:id="205"/>
      <w:bookmarkEnd w:id="20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07" w:name="_Toc28280"/>
      <w:bookmarkStart w:id="208" w:name="_Toc31982"/>
      <w:bookmarkStart w:id="209" w:name="_Toc31112"/>
      <w:bookmarkStart w:id="210" w:name="_Toc9186"/>
      <w:bookmarkStart w:id="211" w:name="_Toc21217"/>
      <w:r>
        <w:rPr>
          <w:rFonts w:hint="eastAsia" w:ascii="宋体" w:hAnsi="宋体" w:eastAsia="宋体" w:cs="宋体"/>
          <w:b w:val="0"/>
          <w:bCs/>
          <w:color w:val="000000"/>
          <w:sz w:val="28"/>
          <w:szCs w:val="28"/>
          <w:lang w:val="en-US" w:eastAsia="zh-CN"/>
        </w:rPr>
        <w:t>在货物采购项目中，供应商提供的货物既有中小企业制造货物，也有大型企业制造货物的，不享受《办法》规定的中小企业扶持政策。</w:t>
      </w:r>
      <w:bookmarkEnd w:id="207"/>
      <w:bookmarkEnd w:id="208"/>
      <w:bookmarkEnd w:id="209"/>
      <w:bookmarkEnd w:id="210"/>
      <w:bookmarkEnd w:id="21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12" w:name="_Toc6020"/>
      <w:bookmarkStart w:id="213" w:name="_Toc12766"/>
      <w:bookmarkStart w:id="214" w:name="_Toc18434"/>
      <w:bookmarkStart w:id="215" w:name="_Toc23925"/>
      <w:bookmarkStart w:id="216" w:name="_Toc28678"/>
      <w:r>
        <w:rPr>
          <w:rFonts w:hint="eastAsia" w:ascii="宋体" w:hAnsi="宋体" w:eastAsia="宋体" w:cs="宋体"/>
          <w:b w:val="0"/>
          <w:bCs/>
          <w:color w:val="000000"/>
          <w:sz w:val="28"/>
          <w:szCs w:val="28"/>
          <w:lang w:val="en-US" w:eastAsia="zh-CN"/>
        </w:rPr>
        <w:t>以联合体形式参加政府采购活动，联合体各方均为中小企业的，联合体视同中小企业。其中，联合体各方均为小微企业的，联合体视同小微企业。</w:t>
      </w:r>
      <w:bookmarkEnd w:id="212"/>
      <w:bookmarkEnd w:id="213"/>
      <w:bookmarkEnd w:id="214"/>
      <w:bookmarkEnd w:id="215"/>
      <w:bookmarkEnd w:id="21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17" w:name="_Toc17492"/>
      <w:bookmarkStart w:id="218" w:name="_Toc1848"/>
      <w:bookmarkStart w:id="219" w:name="_Toc24099"/>
      <w:bookmarkStart w:id="220" w:name="_Toc9423"/>
      <w:bookmarkStart w:id="221" w:name="_Toc28971"/>
      <w:r>
        <w:rPr>
          <w:rFonts w:hint="eastAsia" w:ascii="宋体" w:hAnsi="宋体" w:eastAsia="宋体" w:cs="宋体"/>
          <w:b w:val="0"/>
          <w:bCs/>
          <w:color w:val="000000"/>
          <w:sz w:val="28"/>
          <w:szCs w:val="28"/>
          <w:lang w:val="en-US" w:eastAsia="zh-CN"/>
        </w:rPr>
        <w:t>依据《办法》规定享受扶持政策获得政府采购合同的，小微企业不得将合同分包给大中型企业，中型企业不得将合同分包给大型企业。</w:t>
      </w:r>
      <w:bookmarkEnd w:id="217"/>
      <w:bookmarkEnd w:id="218"/>
      <w:bookmarkEnd w:id="219"/>
      <w:bookmarkEnd w:id="220"/>
      <w:bookmarkEnd w:id="22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22" w:name="_Toc12812"/>
      <w:bookmarkStart w:id="223" w:name="_Toc26091"/>
      <w:bookmarkStart w:id="224" w:name="_Toc7194"/>
      <w:bookmarkStart w:id="225" w:name="_Toc26502"/>
      <w:bookmarkStart w:id="226" w:name="_Toc4775"/>
      <w:r>
        <w:rPr>
          <w:rFonts w:hint="eastAsia" w:ascii="宋体" w:hAnsi="宋体" w:eastAsia="宋体" w:cs="宋体"/>
          <w:b w:val="0"/>
          <w:bCs/>
          <w:color w:val="000000"/>
          <w:sz w:val="28"/>
          <w:szCs w:val="28"/>
          <w:lang w:val="en-US" w:eastAsia="zh-CN"/>
        </w:rPr>
        <w:t>根据《政府采购促进中小企业发展管理办法》的通知（财库〔2020〕46号）规定，参加政府采购活动的中小企业应当提供《中小企业声明函》（见附件）。供应商提供的《中小企业声明函》资料必须真实，否则，按照有关规定予以处理。</w:t>
      </w:r>
      <w:bookmarkEnd w:id="222"/>
      <w:bookmarkEnd w:id="223"/>
      <w:bookmarkEnd w:id="224"/>
      <w:bookmarkEnd w:id="225"/>
      <w:bookmarkEnd w:id="22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27" w:name="_Toc10392"/>
      <w:bookmarkStart w:id="228" w:name="_Toc4731"/>
      <w:bookmarkStart w:id="229" w:name="_Toc28497"/>
      <w:bookmarkStart w:id="230" w:name="_Toc2963"/>
      <w:bookmarkStart w:id="231" w:name="_Toc29579"/>
      <w:r>
        <w:rPr>
          <w:rFonts w:hint="eastAsia" w:ascii="宋体" w:hAnsi="宋体" w:eastAsia="宋体" w:cs="宋体"/>
          <w:b w:val="0"/>
          <w:bCs/>
          <w:color w:val="000000"/>
          <w:sz w:val="28"/>
          <w:szCs w:val="28"/>
          <w:lang w:val="en-US" w:eastAsia="zh-CN"/>
        </w:rPr>
        <w:t>评标委员会根据《政府采购促进中小企业发展管理办法》的通知（财库〔2020〕46号）、《财政部关于进一步加大政府采购支持中小企业力度的通知》（财库〔2022〕19号）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bookmarkEnd w:id="227"/>
      <w:bookmarkEnd w:id="228"/>
      <w:bookmarkEnd w:id="229"/>
      <w:bookmarkEnd w:id="230"/>
      <w:bookmarkEnd w:id="23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32" w:name="_Toc2434"/>
      <w:bookmarkStart w:id="233" w:name="_Toc10033"/>
      <w:bookmarkStart w:id="234" w:name="_Toc12101"/>
      <w:bookmarkStart w:id="235" w:name="_Toc11983"/>
      <w:bookmarkStart w:id="236" w:name="_Toc25557"/>
      <w:r>
        <w:rPr>
          <w:rFonts w:hint="eastAsia" w:ascii="宋体" w:hAnsi="宋体" w:eastAsia="宋体" w:cs="宋体"/>
          <w:b w:val="0"/>
          <w:bCs/>
          <w:color w:val="000000"/>
          <w:sz w:val="28"/>
          <w:szCs w:val="28"/>
          <w:lang w:val="en-US" w:eastAsia="zh-CN"/>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bookmarkEnd w:id="232"/>
      <w:bookmarkEnd w:id="233"/>
      <w:bookmarkEnd w:id="234"/>
      <w:bookmarkEnd w:id="235"/>
      <w:bookmarkEnd w:id="23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在政府采购活动中，残疾人福利性单位、监狱企业视同小型、微型企业，不重复享受政策。</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lang w:val="en-US" w:eastAsia="zh-CN"/>
        </w:rPr>
        <w:t>2.</w:t>
      </w:r>
      <w:r>
        <w:rPr>
          <w:rFonts w:hint="eastAsia" w:ascii="宋体" w:hAnsi="宋体" w:eastAsia="宋体" w:cs="宋体"/>
          <w:b/>
          <w:bCs w:val="0"/>
          <w:color w:val="000000"/>
          <w:sz w:val="28"/>
          <w:szCs w:val="28"/>
        </w:rPr>
        <w:t>财政部司法部关于政府采购支持监狱企业发展有关问题的通知—财库〔2014〕68号</w:t>
      </w:r>
      <w:bookmarkEnd w:id="191"/>
      <w:r>
        <w:rPr>
          <w:rFonts w:hint="eastAsia" w:ascii="宋体" w:hAnsi="宋体" w:eastAsia="宋体" w:cs="宋体"/>
          <w:b/>
          <w:bCs w:val="0"/>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37" w:name="_Toc13779"/>
      <w:r>
        <w:rPr>
          <w:rFonts w:hint="eastAsia" w:ascii="宋体" w:hAnsi="宋体" w:eastAsia="宋体" w:cs="宋体"/>
          <w:b w:val="0"/>
          <w:bCs/>
          <w:color w:val="000000"/>
          <w:sz w:val="28"/>
          <w:szCs w:val="28"/>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bookmarkEnd w:id="23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38" w:name="_Toc30736"/>
      <w:r>
        <w:rPr>
          <w:rFonts w:hint="eastAsia" w:ascii="宋体" w:hAnsi="宋体" w:eastAsia="宋体" w:cs="宋体"/>
          <w:b w:val="0"/>
          <w:bCs/>
          <w:color w:val="000000"/>
          <w:sz w:val="28"/>
          <w:szCs w:val="28"/>
        </w:rPr>
        <w:t>评标委员会对监狱企业的价格给予</w:t>
      </w:r>
      <w:r>
        <w:rPr>
          <w:rFonts w:hint="eastAsia" w:ascii="宋体" w:hAnsi="宋体" w:cs="宋体"/>
          <w:b w:val="0"/>
          <w:bCs/>
          <w:color w:val="000000"/>
          <w:sz w:val="28"/>
          <w:szCs w:val="28"/>
          <w:lang w:val="en-US" w:eastAsia="zh-CN"/>
        </w:rPr>
        <w:t>10</w:t>
      </w:r>
      <w:r>
        <w:rPr>
          <w:rFonts w:hint="eastAsia" w:ascii="宋体" w:hAnsi="宋体" w:eastAsia="宋体" w:cs="宋体"/>
          <w:b w:val="0"/>
          <w:bCs/>
          <w:color w:val="000000"/>
          <w:sz w:val="28"/>
          <w:szCs w:val="28"/>
        </w:rPr>
        <w:t>%的扣除，用扣除后的价格参与评审。</w:t>
      </w:r>
      <w:bookmarkEnd w:id="238"/>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rPr>
      </w:pPr>
      <w:bookmarkStart w:id="239" w:name="_Toc15904"/>
      <w:r>
        <w:rPr>
          <w:rFonts w:hint="eastAsia" w:ascii="宋体" w:hAnsi="宋体" w:eastAsia="宋体" w:cs="宋体"/>
          <w:b/>
          <w:bCs w:val="0"/>
          <w:color w:val="000000"/>
          <w:sz w:val="28"/>
          <w:szCs w:val="28"/>
          <w:lang w:val="en-US" w:eastAsia="zh-CN"/>
        </w:rPr>
        <w:t>3.</w:t>
      </w:r>
      <w:r>
        <w:rPr>
          <w:rFonts w:hint="eastAsia" w:ascii="宋体" w:hAnsi="宋体" w:eastAsia="宋体" w:cs="宋体"/>
          <w:b/>
          <w:bCs w:val="0"/>
          <w:color w:val="000000"/>
          <w:sz w:val="28"/>
          <w:szCs w:val="28"/>
        </w:rPr>
        <w:t>《国务院办公厅关于建立政府强制采购节能产品制度的通知》—国办发〔2007〕51号</w:t>
      </w:r>
      <w:bookmarkEnd w:id="23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0" w:name="_Toc24650"/>
      <w:r>
        <w:rPr>
          <w:rFonts w:hint="eastAsia" w:ascii="宋体" w:hAnsi="宋体" w:eastAsia="宋体" w:cs="宋体"/>
          <w:b w:val="0"/>
          <w:bCs/>
          <w:color w:val="000000"/>
          <w:sz w:val="28"/>
          <w:szCs w:val="28"/>
        </w:rPr>
        <w:t>各级政府机构使用财政性资金进行政府采购活动时，在技术、服务等指标满足采购需求的前提下，要优先采购节能产品，对部分节能效果、性能等达到要求的产品，实行强制采购。</w:t>
      </w:r>
      <w:bookmarkEnd w:id="240"/>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rPr>
      </w:pPr>
      <w:bookmarkStart w:id="241" w:name="_Toc3243"/>
      <w:r>
        <w:rPr>
          <w:rFonts w:hint="eastAsia" w:ascii="宋体" w:hAnsi="宋体" w:eastAsia="宋体" w:cs="宋体"/>
          <w:b/>
          <w:bCs w:val="0"/>
          <w:color w:val="000000"/>
          <w:sz w:val="28"/>
          <w:szCs w:val="28"/>
          <w:lang w:val="en-US" w:eastAsia="zh-CN"/>
        </w:rPr>
        <w:t>4.</w:t>
      </w:r>
      <w:r>
        <w:rPr>
          <w:rFonts w:hint="eastAsia" w:ascii="宋体" w:hAnsi="宋体" w:eastAsia="宋体" w:cs="宋体"/>
          <w:b/>
          <w:bCs w:val="0"/>
          <w:color w:val="000000"/>
          <w:sz w:val="28"/>
          <w:szCs w:val="28"/>
        </w:rPr>
        <w:t>《环境标志产品政府采购实施的意见》--财库[2006]90号</w:t>
      </w:r>
      <w:bookmarkEnd w:id="24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2" w:name="_Toc16156"/>
      <w:r>
        <w:rPr>
          <w:rFonts w:hint="eastAsia" w:ascii="宋体" w:hAnsi="宋体" w:eastAsia="宋体" w:cs="宋体"/>
          <w:b w:val="0"/>
          <w:bCs/>
          <w:color w:val="000000"/>
          <w:sz w:val="28"/>
          <w:szCs w:val="28"/>
        </w:rPr>
        <w:t>根据《环境标志产品政府采购实施的意见》--财库[2006]90号规定，采购人采购的产品在品目清单中并具有认证证书的，在性能、技术、服务等指标同等条件下，应当优先采购清单中的产品。</w:t>
      </w:r>
      <w:bookmarkEnd w:id="24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3" w:name="_Toc28793"/>
      <w:r>
        <w:rPr>
          <w:rFonts w:hint="eastAsia" w:ascii="宋体" w:hAnsi="宋体" w:eastAsia="宋体" w:cs="宋体"/>
          <w:b w:val="0"/>
          <w:bCs/>
          <w:color w:val="000000"/>
          <w:sz w:val="28"/>
          <w:szCs w:val="28"/>
        </w:rPr>
        <w:t>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bookmarkEnd w:id="243"/>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val="0"/>
          <w:bCs/>
          <w:color w:val="000000"/>
          <w:sz w:val="28"/>
          <w:szCs w:val="28"/>
        </w:rPr>
      </w:pPr>
      <w:bookmarkStart w:id="244" w:name="_Toc29696"/>
      <w:r>
        <w:rPr>
          <w:rFonts w:hint="eastAsia" w:ascii="宋体" w:hAnsi="宋体" w:eastAsia="宋体" w:cs="宋体"/>
          <w:b/>
          <w:bCs w:val="0"/>
          <w:color w:val="000000"/>
          <w:sz w:val="28"/>
          <w:szCs w:val="28"/>
          <w:lang w:val="en-US" w:eastAsia="zh-CN"/>
        </w:rPr>
        <w:t>5.</w:t>
      </w:r>
      <w:r>
        <w:rPr>
          <w:rFonts w:hint="eastAsia" w:ascii="宋体" w:hAnsi="宋体" w:eastAsia="宋体" w:cs="宋体"/>
          <w:b/>
          <w:bCs w:val="0"/>
          <w:color w:val="000000"/>
          <w:sz w:val="28"/>
          <w:szCs w:val="28"/>
        </w:rPr>
        <w:t>《节能产品政府采购实施意见》--（财库[2004]185号）</w:t>
      </w:r>
      <w:bookmarkEnd w:id="244"/>
      <w:r>
        <w:rPr>
          <w:rFonts w:hint="eastAsia" w:ascii="宋体" w:hAnsi="宋体" w:eastAsia="宋体" w:cs="宋体"/>
          <w:b w:val="0"/>
          <w:bCs/>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5" w:name="_Toc3457"/>
      <w:r>
        <w:rPr>
          <w:rFonts w:hint="eastAsia" w:ascii="宋体" w:hAnsi="宋体" w:eastAsia="宋体" w:cs="宋体"/>
          <w:b w:val="0"/>
          <w:bCs/>
          <w:color w:val="000000"/>
          <w:sz w:val="28"/>
          <w:szCs w:val="28"/>
        </w:rPr>
        <w:t>根据《节能产品政府采购实施意见》--（财库[2004]185号）规定，采购人采购的产品在品目清单中并具有认证证书的，在技术、服务等指标同等条件下，应当优先采购节能清单所列的节能产品。</w:t>
      </w:r>
      <w:bookmarkEnd w:id="245"/>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6" w:name="_Toc21485"/>
      <w:r>
        <w:rPr>
          <w:rFonts w:hint="eastAsia" w:ascii="宋体" w:hAnsi="宋体" w:eastAsia="宋体" w:cs="宋体"/>
          <w:b w:val="0"/>
          <w:bCs/>
          <w:color w:val="000000"/>
          <w:sz w:val="28"/>
          <w:szCs w:val="28"/>
        </w:rPr>
        <w:t>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bookmarkEnd w:id="24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7" w:name="_Toc2641"/>
      <w:r>
        <w:rPr>
          <w:rFonts w:hint="eastAsia" w:ascii="宋体" w:hAnsi="宋体" w:eastAsia="宋体" w:cs="宋体"/>
          <w:b w:val="0"/>
          <w:bCs/>
          <w:color w:val="000000"/>
          <w:sz w:val="28"/>
          <w:szCs w:val="28"/>
          <w:lang w:eastAsia="zh-CN"/>
        </w:rPr>
        <w:t>注：</w:t>
      </w:r>
      <w:r>
        <w:rPr>
          <w:rFonts w:hint="eastAsia" w:ascii="宋体" w:hAnsi="宋体" w:eastAsia="宋体" w:cs="宋体"/>
          <w:b w:val="0"/>
          <w:bCs/>
          <w:color w:val="000000"/>
          <w:sz w:val="28"/>
          <w:szCs w:val="28"/>
        </w:rPr>
        <w:t>获得上述认证的产品在</w:t>
      </w:r>
      <w:r>
        <w:rPr>
          <w:rFonts w:hint="eastAsia" w:ascii="宋体" w:hAnsi="宋体" w:eastAsia="宋体" w:cs="宋体"/>
          <w:b w:val="0"/>
          <w:bCs/>
          <w:color w:val="000000"/>
          <w:sz w:val="28"/>
          <w:szCs w:val="28"/>
          <w:lang w:eastAsia="zh-CN"/>
        </w:rPr>
        <w:t>投标</w:t>
      </w:r>
      <w:r>
        <w:rPr>
          <w:rFonts w:hint="eastAsia" w:ascii="宋体" w:hAnsi="宋体" w:eastAsia="宋体" w:cs="宋体"/>
          <w:b w:val="0"/>
          <w:bCs/>
          <w:color w:val="000000"/>
          <w:sz w:val="28"/>
          <w:szCs w:val="28"/>
        </w:rPr>
        <w:t>时应提供有效证明材料。以上所有证明文件复印件须加盖</w:t>
      </w:r>
      <w:r>
        <w:rPr>
          <w:rFonts w:hint="eastAsia" w:ascii="宋体" w:hAnsi="宋体" w:eastAsia="宋体" w:cs="宋体"/>
          <w:b w:val="0"/>
          <w:bCs/>
          <w:color w:val="000000"/>
          <w:sz w:val="28"/>
          <w:szCs w:val="28"/>
          <w:lang w:eastAsia="zh-CN"/>
        </w:rPr>
        <w:t>供应商</w:t>
      </w:r>
      <w:r>
        <w:rPr>
          <w:rFonts w:hint="eastAsia" w:ascii="宋体" w:hAnsi="宋体" w:eastAsia="宋体" w:cs="宋体"/>
          <w:b w:val="0"/>
          <w:bCs/>
          <w:color w:val="000000"/>
          <w:sz w:val="28"/>
          <w:szCs w:val="28"/>
        </w:rPr>
        <w:t>公章并注明“与原件一致”，否则不予计分。</w:t>
      </w:r>
      <w:bookmarkEnd w:id="247"/>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rPr>
      </w:pPr>
      <w:bookmarkStart w:id="248" w:name="_Toc17122"/>
      <w:r>
        <w:rPr>
          <w:rFonts w:hint="eastAsia" w:ascii="宋体" w:hAnsi="宋体" w:eastAsia="宋体" w:cs="宋体"/>
          <w:b/>
          <w:bCs w:val="0"/>
          <w:color w:val="000000"/>
          <w:sz w:val="28"/>
          <w:szCs w:val="28"/>
          <w:lang w:val="en-US" w:eastAsia="zh-CN"/>
        </w:rPr>
        <w:t>6.</w:t>
      </w:r>
      <w:r>
        <w:rPr>
          <w:rFonts w:hint="eastAsia" w:ascii="宋体" w:hAnsi="宋体" w:eastAsia="宋体" w:cs="宋体"/>
          <w:b/>
          <w:bCs w:val="0"/>
          <w:color w:val="000000"/>
          <w:sz w:val="28"/>
          <w:szCs w:val="28"/>
        </w:rPr>
        <w:t>《关于促进残疾人就业政府采购政策的通知》财库〔2017〕141号</w:t>
      </w:r>
      <w:bookmarkEnd w:id="24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9" w:name="_Toc1750"/>
      <w:r>
        <w:rPr>
          <w:rFonts w:hint="eastAsia" w:ascii="宋体" w:hAnsi="宋体" w:eastAsia="宋体" w:cs="宋体"/>
          <w:b w:val="0"/>
          <w:bCs/>
          <w:color w:val="000000"/>
          <w:sz w:val="28"/>
          <w:szCs w:val="28"/>
        </w:rPr>
        <w:t>福利企业参加政府采购活动时，应当提供市级以上民政局、财政局、残联部门出具的福利性企业的证明文件。</w:t>
      </w:r>
      <w:bookmarkEnd w:id="249"/>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lang w:val="en-US" w:eastAsia="zh-CN"/>
        </w:rPr>
      </w:pPr>
      <w:bookmarkStart w:id="250" w:name="_Toc20174"/>
      <w:r>
        <w:rPr>
          <w:rFonts w:hint="eastAsia" w:ascii="宋体" w:hAnsi="宋体" w:cs="宋体"/>
          <w:b/>
          <w:bCs w:val="0"/>
          <w:color w:val="000000"/>
          <w:sz w:val="28"/>
          <w:szCs w:val="28"/>
          <w:lang w:val="en-US" w:eastAsia="zh-CN"/>
        </w:rPr>
        <w:t>7</w:t>
      </w:r>
      <w:r>
        <w:rPr>
          <w:rFonts w:hint="eastAsia" w:ascii="宋体" w:hAnsi="宋体" w:eastAsia="宋体" w:cs="宋体"/>
          <w:b/>
          <w:bCs w:val="0"/>
          <w:color w:val="000000"/>
          <w:sz w:val="28"/>
          <w:szCs w:val="28"/>
          <w:lang w:val="en-US" w:eastAsia="zh-CN"/>
        </w:rPr>
        <w:t>.陕西省财政厅关于印发《陕西省中小企业政府采购信用融资办法》（陕财办采〔2018〕23号）</w:t>
      </w:r>
      <w:bookmarkEnd w:id="250"/>
    </w:p>
    <w:p>
      <w:pPr>
        <w:spacing w:line="360" w:lineRule="auto"/>
        <w:ind w:firstLine="560" w:firstLineChars="200"/>
        <w:outlineLvl w:val="1"/>
        <w:rPr>
          <w:rFonts w:hint="eastAsia" w:ascii="宋体" w:hAnsi="宋体" w:eastAsia="宋体" w:cs="宋体"/>
          <w:b w:val="0"/>
          <w:bCs/>
          <w:color w:val="000000" w:themeColor="text1"/>
          <w:sz w:val="28"/>
          <w:szCs w:val="28"/>
          <w:lang w:val="en-US" w:eastAsia="zh-CN"/>
          <w14:textFill>
            <w14:solidFill>
              <w14:schemeClr w14:val="tx1"/>
            </w14:solidFill>
          </w14:textFill>
        </w:rPr>
      </w:pPr>
      <w:bookmarkStart w:id="251" w:name="_Toc1696"/>
      <w:bookmarkStart w:id="252" w:name="_Toc802"/>
      <w:bookmarkStart w:id="253" w:name="_Toc26044"/>
      <w:bookmarkStart w:id="254" w:name="_Toc2902"/>
      <w:bookmarkStart w:id="255" w:name="_Toc2203"/>
      <w:r>
        <w:rPr>
          <w:rFonts w:hint="eastAsia" w:ascii="宋体" w:hAnsi="宋体" w:eastAsia="宋体" w:cs="宋体"/>
          <w:b w:val="0"/>
          <w:bCs/>
          <w:color w:val="000000" w:themeColor="text1"/>
          <w:sz w:val="28"/>
          <w:szCs w:val="28"/>
          <w:lang w:val="en-US" w:eastAsia="zh-CN"/>
          <w14:textFill>
            <w14:solidFill>
              <w14:schemeClr w14:val="tx1"/>
            </w14:solidFill>
          </w14:textFill>
        </w:rPr>
        <w:t>融资平台：有融资需求的供应商可根据自身情况，在陕西省政府采购信用融资平台（含各市分平台）自主选择金融机构及其融资产品，凭政府采购中标（成交）通知书或政府采购合同向金融机构提出融资申请。</w:t>
      </w:r>
      <w:bookmarkEnd w:id="251"/>
      <w:bookmarkEnd w:id="252"/>
      <w:bookmarkEnd w:id="253"/>
      <w:bookmarkEnd w:id="254"/>
      <w:bookmarkEnd w:id="255"/>
    </w:p>
    <w:p>
      <w:pPr>
        <w:spacing w:line="360" w:lineRule="auto"/>
        <w:outlineLvl w:val="1"/>
        <w:rPr>
          <w:rFonts w:hint="eastAsia" w:ascii="宋体" w:hAnsi="宋体" w:eastAsia="宋体" w:cs="宋体"/>
          <w:b w:val="0"/>
          <w:bCs/>
          <w:color w:val="000000" w:themeColor="text1"/>
          <w:sz w:val="28"/>
          <w:szCs w:val="28"/>
          <w14:textFill>
            <w14:solidFill>
              <w14:schemeClr w14:val="tx1"/>
            </w14:solidFill>
          </w14:textFill>
        </w:rPr>
      </w:pPr>
      <w:bookmarkStart w:id="256" w:name="_Toc30311"/>
      <w:bookmarkStart w:id="257" w:name="_Toc29619"/>
      <w:bookmarkStart w:id="258" w:name="_Toc31707"/>
      <w:bookmarkStart w:id="259" w:name="_Toc4872"/>
      <w:bookmarkStart w:id="260" w:name="_Toc6798"/>
      <w:r>
        <w:rPr>
          <w:rFonts w:hint="eastAsia" w:ascii="宋体" w:hAnsi="宋体" w:eastAsia="宋体" w:cs="宋体"/>
          <w:b w:val="0"/>
          <w:bCs/>
          <w:color w:val="000000" w:themeColor="text1"/>
          <w:sz w:val="28"/>
          <w:szCs w:val="28"/>
          <w:lang w:val="en-US" w:eastAsia="zh-CN"/>
          <w14:textFill>
            <w14:solidFill>
              <w14:schemeClr w14:val="tx1"/>
            </w14:solidFill>
          </w14:textFill>
        </w:rPr>
        <w:t>网址：http://www.ccgp-shaanxi.gov.cn/zcdservice/zcd/shanxi/</w:t>
      </w:r>
      <w:bookmarkEnd w:id="256"/>
      <w:bookmarkEnd w:id="257"/>
      <w:bookmarkEnd w:id="258"/>
      <w:bookmarkEnd w:id="259"/>
      <w:bookmarkEnd w:id="260"/>
    </w:p>
    <w:p>
      <w:pPr>
        <w:spacing w:line="360" w:lineRule="auto"/>
        <w:outlineLvl w:val="1"/>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附件A:废标条件</w:t>
      </w:r>
      <w:bookmarkEnd w:id="176"/>
      <w:bookmarkEnd w:id="177"/>
      <w:bookmarkEnd w:id="178"/>
      <w:bookmarkEnd w:id="179"/>
      <w:bookmarkEnd w:id="180"/>
      <w:bookmarkEnd w:id="181"/>
      <w:bookmarkEnd w:id="182"/>
      <w:bookmarkEnd w:id="183"/>
      <w:bookmarkEnd w:id="184"/>
      <w:bookmarkEnd w:id="185"/>
    </w:p>
    <w:p>
      <w:pPr>
        <w:adjustRightInd w:val="0"/>
        <w:snapToGrid w:val="0"/>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废 标 条 件</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A0. 总  则</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本附件所集中所示的否决投标条件，是本章“评标办法”的组成部分，是对本章正文部分所归定否决投标条件的总结和补充，如果出现相互矛盾的情况，以本章正文部分的规定为准。</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A1. 否决投标条件</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供应商或其磋商响应文件有下列情形之一的，否决其投标：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（1）</w:t>
      </w:r>
      <w:r>
        <w:rPr>
          <w:rFonts w:hint="eastAsia" w:ascii="宋体" w:hAnsi="宋体" w:eastAsia="宋体" w:cs="宋体"/>
          <w:color w:val="000000" w:themeColor="text1"/>
          <w:spacing w:val="4"/>
          <w:sz w:val="28"/>
          <w:szCs w:val="28"/>
          <w:lang w:eastAsia="zh-CN"/>
          <w14:textFill>
            <w14:solidFill>
              <w14:schemeClr w14:val="tx1"/>
            </w14:solidFill>
          </w14:textFill>
        </w:rPr>
        <w:t>磋商报价</w:t>
      </w:r>
      <w:r>
        <w:rPr>
          <w:rFonts w:hint="eastAsia" w:ascii="宋体" w:hAnsi="宋体" w:eastAsia="宋体" w:cs="宋体"/>
          <w:color w:val="000000" w:themeColor="text1"/>
          <w:spacing w:val="4"/>
          <w:sz w:val="28"/>
          <w:szCs w:val="28"/>
          <w14:textFill>
            <w14:solidFill>
              <w14:schemeClr w14:val="tx1"/>
            </w14:solidFill>
          </w14:textFill>
        </w:rPr>
        <w:t>明显低于成本形成不正当竞争的；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（2）</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正副本数量不符合</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（3）</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的语言、计量单位、报价货币、知识产权、</w:t>
      </w:r>
      <w:r>
        <w:rPr>
          <w:rFonts w:hint="eastAsia" w:ascii="宋体" w:hAnsi="宋体" w:eastAsia="宋体" w:cs="宋体"/>
          <w:color w:val="000000" w:themeColor="text1"/>
          <w:spacing w:val="4"/>
          <w:sz w:val="28"/>
          <w:szCs w:val="28"/>
          <w:lang w:eastAsia="zh-CN"/>
          <w14:textFill>
            <w14:solidFill>
              <w14:schemeClr w14:val="tx1"/>
            </w14:solidFill>
          </w14:textFill>
        </w:rPr>
        <w:t>投标</w:t>
      </w:r>
      <w:r>
        <w:rPr>
          <w:rFonts w:hint="eastAsia" w:ascii="宋体" w:hAnsi="宋体" w:eastAsia="宋体" w:cs="宋体"/>
          <w:color w:val="000000" w:themeColor="text1"/>
          <w:spacing w:val="4"/>
          <w:sz w:val="28"/>
          <w:szCs w:val="28"/>
          <w14:textFill>
            <w14:solidFill>
              <w14:schemeClr w14:val="tx1"/>
            </w14:solidFill>
          </w14:textFill>
        </w:rPr>
        <w:t>有效期等不符合</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（4）未按</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规定要求密封、签署、盖章的；无</w:t>
      </w:r>
      <w:r>
        <w:rPr>
          <w:rFonts w:hint="eastAsia" w:ascii="宋体" w:hAnsi="宋体" w:eastAsia="宋体" w:cs="宋体"/>
          <w:color w:val="000000" w:themeColor="text1"/>
          <w:spacing w:val="4"/>
          <w:sz w:val="28"/>
          <w:szCs w:val="28"/>
          <w:lang w:eastAsia="zh-CN"/>
          <w14:textFill>
            <w14:solidFill>
              <w14:schemeClr w14:val="tx1"/>
            </w14:solidFill>
          </w14:textFill>
        </w:rPr>
        <w:t>投标</w:t>
      </w:r>
      <w:r>
        <w:rPr>
          <w:rFonts w:hint="eastAsia" w:ascii="宋体" w:hAnsi="宋体" w:eastAsia="宋体" w:cs="宋体"/>
          <w:color w:val="000000" w:themeColor="text1"/>
          <w:spacing w:val="4"/>
          <w:sz w:val="28"/>
          <w:szCs w:val="28"/>
          <w14:textFill>
            <w14:solidFill>
              <w14:schemeClr w14:val="tx1"/>
            </w14:solidFill>
          </w14:textFill>
        </w:rPr>
        <w:t>有效期或有效期达不到</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要求的</w:t>
      </w: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14:textFill>
            <w14:solidFill>
              <w14:schemeClr w14:val="tx1"/>
            </w14:solidFill>
          </w14:textFill>
        </w:rPr>
        <w:t>不符合</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规定且影响整个</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有效性和采购活动公平竞争的；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（5）响应技术标准明显不符合</w:t>
      </w:r>
      <w:r>
        <w:rPr>
          <w:rFonts w:hint="eastAsia" w:ascii="宋体" w:hAnsi="宋体" w:eastAsia="宋体" w:cs="宋体"/>
          <w:color w:val="000000" w:themeColor="text1"/>
          <w:spacing w:val="4"/>
          <w:sz w:val="28"/>
          <w:szCs w:val="28"/>
          <w:lang w:eastAsia="zh-CN"/>
          <w14:textFill>
            <w14:solidFill>
              <w14:schemeClr w14:val="tx1"/>
            </w14:solidFill>
          </w14:textFill>
        </w:rPr>
        <w:t>项目</w:t>
      </w:r>
      <w:r>
        <w:rPr>
          <w:rFonts w:hint="eastAsia" w:ascii="宋体" w:hAnsi="宋体" w:eastAsia="宋体" w:cs="宋体"/>
          <w:color w:val="000000" w:themeColor="text1"/>
          <w:spacing w:val="4"/>
          <w:sz w:val="28"/>
          <w:szCs w:val="28"/>
          <w14:textFill>
            <w14:solidFill>
              <w14:schemeClr w14:val="tx1"/>
            </w14:solidFill>
          </w14:textFill>
        </w:rPr>
        <w:t>的要求；</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（6）附有采购人不能接受的条件或者不符合</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规定的其他实质性要求，商务条款偏离的；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（7）未按照</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要求编制，内容严重缺失的。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8</w:t>
      </w:r>
      <w:r>
        <w:rPr>
          <w:rFonts w:hint="eastAsia" w:ascii="宋体" w:hAnsi="宋体" w:eastAsia="宋体" w:cs="宋体"/>
          <w:color w:val="000000" w:themeColor="text1"/>
          <w:spacing w:val="4"/>
          <w:sz w:val="28"/>
          <w:szCs w:val="28"/>
          <w:lang w:eastAsia="zh-CN"/>
          <w14:textFill>
            <w14:solidFill>
              <w14:schemeClr w14:val="tx1"/>
            </w14:solidFill>
          </w14:textFill>
        </w:rPr>
        <w:t>）投标人</w:t>
      </w:r>
      <w:r>
        <w:rPr>
          <w:rFonts w:hint="eastAsia" w:ascii="宋体" w:hAnsi="宋体" w:eastAsia="宋体" w:cs="宋体"/>
          <w:color w:val="000000" w:themeColor="text1"/>
          <w:spacing w:val="4"/>
          <w:sz w:val="28"/>
          <w:szCs w:val="28"/>
          <w14:textFill>
            <w14:solidFill>
              <w14:schemeClr w14:val="tx1"/>
            </w14:solidFill>
          </w14:textFill>
        </w:rPr>
        <w:t>单位未经过正常渠道领取</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，或</w:t>
      </w:r>
      <w:r>
        <w:rPr>
          <w:rFonts w:hint="eastAsia" w:ascii="宋体" w:hAnsi="宋体" w:eastAsia="宋体" w:cs="宋体"/>
          <w:color w:val="000000" w:themeColor="text1"/>
          <w:spacing w:val="4"/>
          <w:sz w:val="28"/>
          <w:szCs w:val="28"/>
          <w:lang w:eastAsia="zh-CN"/>
          <w14:textFill>
            <w14:solidFill>
              <w14:schemeClr w14:val="tx1"/>
            </w14:solidFill>
          </w14:textFill>
        </w:rPr>
        <w:t>投标人</w:t>
      </w:r>
      <w:r>
        <w:rPr>
          <w:rFonts w:hint="eastAsia" w:ascii="宋体" w:hAnsi="宋体" w:eastAsia="宋体" w:cs="宋体"/>
          <w:color w:val="000000" w:themeColor="text1"/>
          <w:spacing w:val="4"/>
          <w:sz w:val="28"/>
          <w:szCs w:val="28"/>
          <w14:textFill>
            <w14:solidFill>
              <w14:schemeClr w14:val="tx1"/>
            </w14:solidFill>
          </w14:textFill>
        </w:rPr>
        <w:t>名称与领取</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时登记的</w:t>
      </w:r>
      <w:r>
        <w:rPr>
          <w:rFonts w:hint="eastAsia" w:ascii="宋体" w:hAnsi="宋体" w:eastAsia="宋体" w:cs="宋体"/>
          <w:color w:val="000000" w:themeColor="text1"/>
          <w:spacing w:val="4"/>
          <w:sz w:val="28"/>
          <w:szCs w:val="28"/>
          <w:lang w:eastAsia="zh-CN"/>
          <w14:textFill>
            <w14:solidFill>
              <w14:schemeClr w14:val="tx1"/>
            </w14:solidFill>
          </w14:textFill>
        </w:rPr>
        <w:t>投标</w:t>
      </w:r>
      <w:r>
        <w:rPr>
          <w:rFonts w:hint="eastAsia" w:ascii="宋体" w:hAnsi="宋体" w:eastAsia="宋体" w:cs="宋体"/>
          <w:color w:val="000000" w:themeColor="text1"/>
          <w:spacing w:val="4"/>
          <w:sz w:val="28"/>
          <w:szCs w:val="28"/>
          <w14:textFill>
            <w14:solidFill>
              <w14:schemeClr w14:val="tx1"/>
            </w14:solidFill>
          </w14:textFill>
        </w:rPr>
        <w:t>单位名称不符的；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9</w:t>
      </w: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14:textFill>
            <w14:solidFill>
              <w14:schemeClr w14:val="tx1"/>
            </w14:solidFill>
          </w14:textFill>
        </w:rPr>
        <w:t>未按规定交纳</w:t>
      </w:r>
      <w:r>
        <w:rPr>
          <w:rFonts w:hint="eastAsia" w:ascii="宋体" w:hAnsi="宋体" w:eastAsia="宋体" w:cs="宋体"/>
          <w:color w:val="000000" w:themeColor="text1"/>
          <w:spacing w:val="4"/>
          <w:sz w:val="28"/>
          <w:szCs w:val="28"/>
          <w:lang w:eastAsia="zh-CN"/>
          <w14:textFill>
            <w14:solidFill>
              <w14:schemeClr w14:val="tx1"/>
            </w14:solidFill>
          </w14:textFill>
        </w:rPr>
        <w:t>磋商保证金</w:t>
      </w:r>
      <w:r>
        <w:rPr>
          <w:rFonts w:hint="eastAsia" w:ascii="宋体" w:hAnsi="宋体" w:eastAsia="宋体" w:cs="宋体"/>
          <w:color w:val="000000" w:themeColor="text1"/>
          <w:spacing w:val="4"/>
          <w:sz w:val="28"/>
          <w:szCs w:val="28"/>
          <w14:textFill>
            <w14:solidFill>
              <w14:schemeClr w14:val="tx1"/>
            </w14:solidFill>
          </w14:textFill>
        </w:rPr>
        <w:t>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10</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未按照</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格式及内容要求填写的；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11</w:t>
      </w:r>
      <w:r>
        <w:rPr>
          <w:rFonts w:hint="eastAsia" w:ascii="宋体" w:hAnsi="宋体" w:eastAsia="宋体" w:cs="宋体"/>
          <w:color w:val="000000" w:themeColor="text1"/>
          <w:spacing w:val="4"/>
          <w:sz w:val="28"/>
          <w:szCs w:val="28"/>
          <w:lang w:eastAsia="zh-CN"/>
          <w14:textFill>
            <w14:solidFill>
              <w14:schemeClr w14:val="tx1"/>
            </w14:solidFill>
          </w14:textFill>
        </w:rPr>
        <w:t>）投标人</w:t>
      </w:r>
      <w:r>
        <w:rPr>
          <w:rFonts w:hint="eastAsia" w:ascii="宋体" w:hAnsi="宋体" w:eastAsia="宋体" w:cs="宋体"/>
          <w:color w:val="000000" w:themeColor="text1"/>
          <w:spacing w:val="4"/>
          <w:sz w:val="28"/>
          <w:szCs w:val="28"/>
          <w14:textFill>
            <w14:solidFill>
              <w14:schemeClr w14:val="tx1"/>
            </w14:solidFill>
          </w14:textFill>
        </w:rPr>
        <w:t>针对同一项目递交两份或多份内容不同的</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，未书面声明哪一份是有效的或出现选择性报价的；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12</w:t>
      </w: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14:textFill>
            <w14:solidFill>
              <w14:schemeClr w14:val="tx1"/>
            </w14:solidFill>
          </w14:textFill>
        </w:rPr>
        <w:t>附有采购人、</w:t>
      </w:r>
      <w:r>
        <w:rPr>
          <w:rFonts w:hint="eastAsia" w:ascii="宋体" w:hAnsi="宋体" w:eastAsia="宋体" w:cs="宋体"/>
          <w:color w:val="000000" w:themeColor="text1"/>
          <w:spacing w:val="4"/>
          <w:sz w:val="28"/>
          <w:szCs w:val="28"/>
          <w:lang w:eastAsia="zh-CN"/>
          <w14:textFill>
            <w14:solidFill>
              <w14:schemeClr w14:val="tx1"/>
            </w14:solidFill>
          </w14:textFill>
        </w:rPr>
        <w:t>招标</w:t>
      </w:r>
      <w:r>
        <w:rPr>
          <w:rFonts w:hint="eastAsia" w:ascii="宋体" w:hAnsi="宋体" w:eastAsia="宋体" w:cs="宋体"/>
          <w:color w:val="000000" w:themeColor="text1"/>
          <w:spacing w:val="4"/>
          <w:sz w:val="28"/>
          <w:szCs w:val="28"/>
          <w14:textFill>
            <w14:solidFill>
              <w14:schemeClr w14:val="tx1"/>
            </w14:solidFill>
          </w14:textFill>
        </w:rPr>
        <w:t>组织机构不能接受的条款和商务响应方面（</w:t>
      </w:r>
      <w:r>
        <w:rPr>
          <w:rFonts w:hint="eastAsia" w:ascii="宋体" w:hAnsi="宋体" w:eastAsia="宋体" w:cs="宋体"/>
          <w:color w:val="000000" w:themeColor="text1"/>
          <w:spacing w:val="4"/>
          <w:sz w:val="28"/>
          <w:szCs w:val="28"/>
          <w:lang w:eastAsia="zh-CN"/>
          <w14:textFill>
            <w14:solidFill>
              <w14:schemeClr w14:val="tx1"/>
            </w14:solidFill>
          </w14:textFill>
        </w:rPr>
        <w:t>工期、履约验收</w:t>
      </w:r>
      <w:r>
        <w:rPr>
          <w:rFonts w:hint="eastAsia" w:ascii="宋体" w:hAnsi="宋体" w:eastAsia="宋体" w:cs="宋体"/>
          <w:color w:val="000000" w:themeColor="text1"/>
          <w:spacing w:val="4"/>
          <w:sz w:val="28"/>
          <w:szCs w:val="28"/>
          <w14:textFill>
            <w14:solidFill>
              <w14:schemeClr w14:val="tx1"/>
            </w14:solidFill>
          </w14:textFill>
        </w:rPr>
        <w:t>）与</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要求不一致的；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13</w:t>
      </w:r>
      <w:r>
        <w:rPr>
          <w:rFonts w:hint="eastAsia" w:ascii="宋体" w:hAnsi="宋体" w:eastAsia="宋体" w:cs="宋体"/>
          <w:color w:val="000000" w:themeColor="text1"/>
          <w:spacing w:val="4"/>
          <w:sz w:val="28"/>
          <w:szCs w:val="28"/>
          <w:lang w:eastAsia="zh-CN"/>
          <w14:textFill>
            <w14:solidFill>
              <w14:schemeClr w14:val="tx1"/>
            </w14:solidFill>
          </w14:textFill>
        </w:rPr>
        <w:t>）在政府采购或其它重大项目履约过程中有不良记录，不能按期履约的；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14</w:t>
      </w:r>
      <w:r>
        <w:rPr>
          <w:rFonts w:hint="eastAsia" w:ascii="宋体" w:hAnsi="宋体" w:eastAsia="宋体" w:cs="宋体"/>
          <w:color w:val="000000" w:themeColor="text1"/>
          <w:spacing w:val="4"/>
          <w:sz w:val="28"/>
          <w:szCs w:val="28"/>
          <w:lang w:eastAsia="zh-CN"/>
          <w14:textFill>
            <w14:solidFill>
              <w14:schemeClr w14:val="tx1"/>
            </w14:solidFill>
          </w14:textFill>
        </w:rPr>
        <w:t>）磋商报价与市场价偏离较大，低于成本，形成不正当竞争的；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15</w:t>
      </w:r>
      <w:r>
        <w:rPr>
          <w:rFonts w:hint="eastAsia" w:ascii="宋体" w:hAnsi="宋体" w:eastAsia="宋体" w:cs="宋体"/>
          <w:color w:val="000000" w:themeColor="text1"/>
          <w:spacing w:val="4"/>
          <w:sz w:val="28"/>
          <w:szCs w:val="28"/>
          <w:lang w:eastAsia="zh-CN"/>
          <w14:textFill>
            <w14:solidFill>
              <w14:schemeClr w14:val="tx1"/>
            </w14:solidFill>
          </w14:textFill>
        </w:rPr>
        <w:t>）有重大缺漏项的；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16</w:t>
      </w:r>
      <w:r>
        <w:rPr>
          <w:rFonts w:hint="eastAsia" w:ascii="宋体" w:hAnsi="宋体" w:eastAsia="宋体" w:cs="宋体"/>
          <w:color w:val="000000" w:themeColor="text1"/>
          <w:spacing w:val="4"/>
          <w:sz w:val="28"/>
          <w:szCs w:val="28"/>
          <w:lang w:eastAsia="zh-CN"/>
          <w14:textFill>
            <w14:solidFill>
              <w14:schemeClr w14:val="tx1"/>
            </w14:solidFill>
          </w14:textFill>
        </w:rPr>
        <w:t>）以他人名义进行投标的；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17</w:t>
      </w:r>
      <w:r>
        <w:rPr>
          <w:rFonts w:hint="eastAsia" w:ascii="宋体" w:hAnsi="宋体" w:eastAsia="宋体" w:cs="宋体"/>
          <w:color w:val="000000" w:themeColor="text1"/>
          <w:spacing w:val="4"/>
          <w:sz w:val="28"/>
          <w:szCs w:val="28"/>
          <w:lang w:eastAsia="zh-CN"/>
          <w14:textFill>
            <w14:solidFill>
              <w14:schemeClr w14:val="tx1"/>
            </w14:solidFill>
          </w14:textFill>
        </w:rPr>
        <w:t>）投标人无法定代表人授权书或其授权书的有效性不符合磋商文件规定的；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18</w:t>
      </w:r>
      <w:r>
        <w:rPr>
          <w:rFonts w:hint="eastAsia" w:ascii="宋体" w:hAnsi="宋体" w:eastAsia="宋体" w:cs="宋体"/>
          <w:color w:val="000000" w:themeColor="text1"/>
          <w:spacing w:val="4"/>
          <w:sz w:val="28"/>
          <w:szCs w:val="28"/>
          <w:lang w:eastAsia="zh-CN"/>
          <w14:textFill>
            <w14:solidFill>
              <w14:schemeClr w14:val="tx1"/>
            </w14:solidFill>
          </w14:textFill>
        </w:rPr>
        <w:t>）投标人有串通投标、弄虚作假、行贿等违法行为的。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19</w:t>
      </w:r>
      <w:r>
        <w:rPr>
          <w:rFonts w:hint="eastAsia" w:ascii="宋体" w:hAnsi="宋体" w:eastAsia="宋体" w:cs="宋体"/>
          <w:color w:val="000000" w:themeColor="text1"/>
          <w:spacing w:val="4"/>
          <w:sz w:val="28"/>
          <w:szCs w:val="28"/>
          <w:lang w:eastAsia="zh-CN"/>
          <w14:textFill>
            <w14:solidFill>
              <w14:schemeClr w14:val="tx1"/>
            </w14:solidFill>
          </w14:textFill>
        </w:rPr>
        <w:t>）照抄或复印磋商文件技术及商务要求的、手写的、未按规定签署的响应文件的；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20</w:t>
      </w:r>
      <w:r>
        <w:rPr>
          <w:rFonts w:hint="eastAsia" w:ascii="宋体" w:hAnsi="宋体" w:eastAsia="宋体" w:cs="宋体"/>
          <w:color w:val="000000" w:themeColor="text1"/>
          <w:spacing w:val="4"/>
          <w:sz w:val="28"/>
          <w:szCs w:val="28"/>
          <w:lang w:eastAsia="zh-CN"/>
          <w14:textFill>
            <w14:solidFill>
              <w14:schemeClr w14:val="tx1"/>
            </w14:solidFill>
          </w14:textFill>
        </w:rPr>
        <w:t>）响应文件的实质性内容未使用中文表述，意思表述不明确，前后矛盾或者使用计量单位不符合磋商文件要求；</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21</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的关键内容字迹模糊、无法辨认的，或者</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中经修正的内容字迹模糊难以辨认或者修改处未按规定签名盖章的；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22</w:t>
      </w: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14:textFill>
            <w14:solidFill>
              <w14:schemeClr w14:val="tx1"/>
            </w14:solidFill>
          </w14:textFill>
        </w:rPr>
        <w:t>未实质性响</w:t>
      </w:r>
      <w:r>
        <w:rPr>
          <w:rFonts w:hint="eastAsia" w:ascii="宋体" w:hAnsi="宋体" w:eastAsia="宋体" w:cs="宋体"/>
          <w:color w:val="000000" w:themeColor="text1"/>
          <w:spacing w:val="4"/>
          <w:sz w:val="28"/>
          <w:szCs w:val="28"/>
          <w:lang w:eastAsia="zh-CN"/>
          <w14:textFill>
            <w14:solidFill>
              <w14:schemeClr w14:val="tx1"/>
            </w14:solidFill>
          </w14:textFill>
        </w:rPr>
        <w:t>应或者擅自改变磋商文件要求的；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23</w:t>
      </w:r>
      <w:r>
        <w:rPr>
          <w:rFonts w:hint="eastAsia" w:ascii="宋体" w:hAnsi="宋体" w:eastAsia="宋体" w:cs="宋体"/>
          <w:color w:val="000000" w:themeColor="text1"/>
          <w:spacing w:val="4"/>
          <w:sz w:val="28"/>
          <w:szCs w:val="28"/>
          <w:lang w:eastAsia="zh-CN"/>
          <w14:textFill>
            <w14:solidFill>
              <w14:schemeClr w14:val="tx1"/>
            </w14:solidFill>
          </w14:textFill>
        </w:rPr>
        <w:t>）磋商报价超出最高限价或者超出采购预算，采购人不能支付的；</w:t>
      </w:r>
    </w:p>
    <w:p>
      <w:pPr>
        <w:pStyle w:val="32"/>
        <w:ind w:left="0" w:leftChars="0" w:firstLine="0" w:firstLineChars="0"/>
        <w:rPr>
          <w:rFonts w:hint="eastAsia"/>
          <w:lang w:eastAsia="zh-CN"/>
        </w:rPr>
      </w:pPr>
      <w:r>
        <w:rPr>
          <w:rFonts w:hint="eastAsia" w:ascii="宋体" w:hAnsi="宋体" w:eastAsia="宋体" w:cs="宋体"/>
          <w:color w:val="000000" w:themeColor="text1"/>
          <w:spacing w:val="4"/>
          <w:kern w:val="2"/>
          <w:sz w:val="28"/>
          <w:szCs w:val="28"/>
          <w:lang w:val="en-US" w:eastAsia="zh-CN" w:bidi="ar-SA"/>
          <w14:textFill>
            <w14:solidFill>
              <w14:schemeClr w14:val="tx1"/>
            </w14:solidFill>
          </w14:textFill>
        </w:rPr>
        <w:t>（25）中小企业声明函未按要求填写，或填写信息有误的。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w:t>
      </w:r>
      <w:r>
        <w:rPr>
          <w:rFonts w:hint="eastAsia" w:ascii="宋体" w:hAnsi="宋体" w:cs="宋体"/>
          <w:color w:val="000000" w:themeColor="text1"/>
          <w:spacing w:val="4"/>
          <w:sz w:val="28"/>
          <w:szCs w:val="28"/>
          <w:lang w:val="en-US" w:eastAsia="zh-CN"/>
          <w14:textFill>
            <w14:solidFill>
              <w14:schemeClr w14:val="tx1"/>
            </w14:solidFill>
          </w14:textFill>
        </w:rPr>
        <w:t>4</w:t>
      </w:r>
      <w:r>
        <w:rPr>
          <w:rFonts w:hint="eastAsia" w:ascii="宋体" w:hAnsi="宋体" w:eastAsia="宋体" w:cs="宋体"/>
          <w:color w:val="000000" w:themeColor="text1"/>
          <w:spacing w:val="4"/>
          <w:sz w:val="28"/>
          <w:szCs w:val="28"/>
          <w:lang w:eastAsia="zh-CN"/>
          <w14:textFill>
            <w14:solidFill>
              <w14:schemeClr w14:val="tx1"/>
            </w14:solidFill>
          </w14:textFill>
        </w:rPr>
        <w:t>）法律法规规定其他投标无效情形的。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A2 . 串通投标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有下列情形之一的，属于供应商相互串通投标：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（1）供应商之间协商磋商报价等磋商响应文件的实质性内容；</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（2）供应商之间约定成交供应商；</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（3）供应商之间约定部分供应商放弃投标或者成交；</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（4）属于同一集团、协会、商会等组织成员的供应商按照该组织要求协同投标；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（5）供应商之间为谋取成交或者排斥特定供应商而采取的其他联合行动。</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有下列情形之一的，视为供应商相互串通投标：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（1）不同供应商的磋商响应文件由同一单位或者个人编制；</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（2）不同供应商委托同一单位或者个人办理投标事宜；</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（3）不同供应商的磋商响应文件载明的项目管理成员为同一人；</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（4）不同供应商的磋商响应文件异常一致或者磋商报价呈规律性差异；</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（5）不同供应商的磋商响应文件相互混装；</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（6）不同供应商的磋商保证金从同一单位或者个人的账户转出。</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 弄虚作假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供应商有下列情形之一的，属于弄虚作假的行为：</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A3.1 使用伪造、变造的许可证件；</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A3.2 提供虚假的财务状况或者业绩；</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A3.3 提供虚假的项目负责人或者技术人员简历、劳动关系证明；</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A3.4 提供虚假的信用状况；</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A3.5 其他弄虚作假的行为。</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p>
      <w:pPr>
        <w:pStyle w:val="16"/>
        <w:jc w:val="both"/>
        <w:rPr>
          <w:rFonts w:hint="eastAsia" w:ascii="宋体" w:hAnsi="宋体" w:eastAsia="宋体" w:cs="宋体"/>
          <w:sz w:val="28"/>
          <w:szCs w:val="28"/>
        </w:rPr>
      </w:pP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Pr>
        <w:pStyle w:val="2"/>
        <w:numPr>
          <w:ilvl w:val="0"/>
          <w:numId w:val="5"/>
        </w:numPr>
        <w:bidi w:val="0"/>
        <w:ind w:left="0" w:leftChars="0" w:firstLine="0" w:firstLineChars="0"/>
        <w:jc w:val="center"/>
        <w:rPr>
          <w:rFonts w:hint="eastAsia"/>
          <w:sz w:val="32"/>
          <w:szCs w:val="32"/>
          <w:lang w:eastAsia="zh-CN"/>
        </w:rPr>
      </w:pPr>
      <w:bookmarkStart w:id="261" w:name="_Toc30610"/>
      <w:bookmarkStart w:id="262" w:name="_Toc30671"/>
      <w:bookmarkStart w:id="263" w:name="_Toc457826139"/>
      <w:bookmarkStart w:id="264" w:name="_Toc406150410"/>
      <w:r>
        <w:rPr>
          <w:rFonts w:hint="eastAsia"/>
          <w:sz w:val="32"/>
          <w:szCs w:val="32"/>
        </w:rPr>
        <w:t>合同</w:t>
      </w:r>
      <w:r>
        <w:rPr>
          <w:rFonts w:hint="eastAsia"/>
          <w:sz w:val="32"/>
          <w:szCs w:val="32"/>
          <w:lang w:eastAsia="zh-CN"/>
        </w:rPr>
        <w:t>（</w:t>
      </w:r>
      <w:r>
        <w:rPr>
          <w:rFonts w:hint="eastAsia"/>
          <w:sz w:val="32"/>
          <w:szCs w:val="32"/>
          <w:lang w:val="en-US" w:eastAsia="zh-CN"/>
        </w:rPr>
        <w:t>拟签订文本</w:t>
      </w:r>
      <w:r>
        <w:rPr>
          <w:rFonts w:hint="eastAsia"/>
          <w:sz w:val="32"/>
          <w:szCs w:val="32"/>
          <w:lang w:eastAsia="zh-CN"/>
        </w:rPr>
        <w:t>）</w:t>
      </w:r>
      <w:bookmarkEnd w:id="261"/>
      <w:bookmarkEnd w:id="262"/>
    </w:p>
    <w:p>
      <w:pPr>
        <w:numPr>
          <w:ilvl w:val="0"/>
          <w:numId w:val="0"/>
        </w:numPr>
        <w:ind w:leftChars="0"/>
        <w:rPr>
          <w:rFonts w:hint="eastAsia"/>
          <w:lang w:eastAsia="zh-CN"/>
        </w:rPr>
      </w:pPr>
    </w:p>
    <w:p>
      <w:pPr>
        <w:widowControl/>
        <w:wordWrap w:val="0"/>
        <w:spacing w:line="360" w:lineRule="auto"/>
        <w:jc w:val="right"/>
        <w:rPr>
          <w:rFonts w:hint="eastAsia" w:ascii="宋体" w:hAnsi="宋体" w:eastAsia="宋体" w:cs="宋体"/>
          <w:bCs/>
          <w:kern w:val="0"/>
          <w:sz w:val="28"/>
          <w:szCs w:val="28"/>
        </w:rPr>
      </w:pPr>
      <w:r>
        <w:rPr>
          <w:rFonts w:hint="eastAsia" w:ascii="宋体" w:hAnsi="宋体" w:eastAsia="宋体" w:cs="宋体"/>
          <w:kern w:val="0"/>
          <w:sz w:val="28"/>
          <w:szCs w:val="28"/>
        </w:rPr>
        <w:t xml:space="preserve">合同编号：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甲方：</w:t>
      </w:r>
      <w:r>
        <w:rPr>
          <w:rFonts w:hint="eastAsia" w:ascii="宋体" w:hAnsi="宋体" w:cs="宋体"/>
          <w:sz w:val="28"/>
          <w:szCs w:val="28"/>
          <w:lang w:eastAsia="zh-CN"/>
        </w:rPr>
        <w:t>宜川县林业局</w:t>
      </w:r>
      <w:r>
        <w:rPr>
          <w:rFonts w:hint="eastAsia" w:ascii="宋体" w:hAnsi="宋体" w:eastAsia="宋体" w:cs="宋体"/>
          <w:sz w:val="28"/>
          <w:szCs w:val="28"/>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乙方：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cs="宋体"/>
          <w:sz w:val="28"/>
          <w:szCs w:val="28"/>
          <w:lang w:val="en-US" w:eastAsia="zh-CN"/>
        </w:rPr>
        <w:t>代理机构</w:t>
      </w:r>
      <w:r>
        <w:rPr>
          <w:rFonts w:hint="eastAsia" w:ascii="宋体" w:hAnsi="宋体" w:eastAsia="宋体" w:cs="宋体"/>
          <w:sz w:val="28"/>
          <w:szCs w:val="28"/>
          <w:lang w:eastAsia="zh-CN"/>
        </w:rPr>
        <w:t>：</w:t>
      </w:r>
      <w:r>
        <w:rPr>
          <w:rFonts w:hint="eastAsia" w:ascii="宋体" w:hAnsi="宋体" w:cs="宋体"/>
          <w:sz w:val="28"/>
          <w:szCs w:val="28"/>
          <w:lang w:eastAsia="zh-CN"/>
        </w:rPr>
        <w:t>陕西宸永项目管理有限公司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依照《中华人民共和国</w:t>
      </w:r>
      <w:r>
        <w:rPr>
          <w:rFonts w:hint="eastAsia" w:ascii="宋体" w:hAnsi="宋体" w:cs="宋体"/>
          <w:sz w:val="28"/>
          <w:szCs w:val="28"/>
          <w:lang w:val="en-US" w:eastAsia="zh-CN"/>
        </w:rPr>
        <w:t>民法典</w:t>
      </w:r>
      <w:r>
        <w:rPr>
          <w:rFonts w:hint="eastAsia" w:ascii="宋体" w:hAnsi="宋体" w:eastAsia="宋体" w:cs="宋体"/>
          <w:sz w:val="28"/>
          <w:szCs w:val="28"/>
          <w:lang w:eastAsia="zh-CN"/>
        </w:rPr>
        <w:t>》、《中华人民共和国建筑法》及其他有关法律、行政法规，遵循平等、自愿、公平和诚实信用的原则，双方就本建设工程施工协商一致，订立本合同。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一、工程概况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工程名称：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工程地点：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工程项目内容：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资金来源：</w:t>
      </w:r>
      <w:r>
        <w:rPr>
          <w:rFonts w:hint="eastAsia" w:ascii="宋体" w:hAnsi="宋体" w:cs="宋体"/>
          <w:sz w:val="28"/>
          <w:szCs w:val="28"/>
          <w:lang w:eastAsia="zh-CN"/>
        </w:rPr>
        <w:t>财政资金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二、工程承包范围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承包范围：该项目采购内容和技术要求范围内发包人要求的全部工作内容。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不包括的工程范围：       /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三、合同工期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工期：</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开工日期：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竣工日期：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四、质量标准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工程质量标准：《建设工程施工质量验收统一标准》GB50300-2013合格标准。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五、合同价款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1.合同总价（大写）：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（小写）￥：元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（其中：工程预留金  /  元，零星工作费 / 元，安全防护、文明施工措施费   /  元，工程分包和材料购置费 / 元，总承包服务费  / 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2.综合单价：详见承包人的报价书。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六、组成合同的文件：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1.本合同协议书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2.本合同专用条款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3.本合同通用条款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4.成交通知书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5.响应文件、工程报价单或预算书及其附件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6.</w:t>
      </w:r>
      <w:r>
        <w:rPr>
          <w:rFonts w:hint="eastAsia" w:ascii="宋体" w:hAnsi="宋体" w:cs="宋体"/>
          <w:sz w:val="28"/>
          <w:szCs w:val="28"/>
          <w:lang w:val="en-US" w:eastAsia="zh-CN"/>
        </w:rPr>
        <w:t>磋商</w:t>
      </w:r>
      <w:r>
        <w:rPr>
          <w:rFonts w:hint="eastAsia" w:ascii="宋体" w:hAnsi="宋体" w:eastAsia="宋体" w:cs="宋体"/>
          <w:sz w:val="28"/>
          <w:szCs w:val="28"/>
          <w:lang w:eastAsia="zh-CN"/>
        </w:rPr>
        <w:t>文件、答疑纪要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7.标准、规范及有关技术文件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双方为履行本合同的有关洽商、变更等书面协议、文件，视为本合同的组成部分。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cs="宋体"/>
          <w:sz w:val="28"/>
          <w:szCs w:val="28"/>
          <w:lang w:val="en-US" w:eastAsia="zh-CN"/>
        </w:rPr>
        <w:t>七</w:t>
      </w:r>
      <w:r>
        <w:rPr>
          <w:rFonts w:hint="eastAsia" w:ascii="宋体" w:hAnsi="宋体" w:eastAsia="宋体" w:cs="宋体"/>
          <w:sz w:val="28"/>
          <w:szCs w:val="28"/>
          <w:lang w:eastAsia="zh-CN"/>
        </w:rPr>
        <w:t>、承包人按照合同约定进行施工、竣工并在质量保修期内承担工程质量保修责任。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cs="宋体"/>
          <w:sz w:val="28"/>
          <w:szCs w:val="28"/>
          <w:lang w:val="en-US" w:eastAsia="zh-CN"/>
        </w:rPr>
        <w:t>八</w:t>
      </w:r>
      <w:r>
        <w:rPr>
          <w:rFonts w:hint="eastAsia" w:ascii="宋体" w:hAnsi="宋体" w:eastAsia="宋体" w:cs="宋体"/>
          <w:sz w:val="28"/>
          <w:szCs w:val="28"/>
          <w:lang w:eastAsia="zh-CN"/>
        </w:rPr>
        <w:t>、工程经费支付及结算办法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default" w:ascii="宋体" w:hAnsi="宋体" w:eastAsia="宋体" w:cs="宋体"/>
          <w:sz w:val="28"/>
          <w:szCs w:val="28"/>
          <w:u w:val="single"/>
          <w:lang w:val="en-US" w:eastAsia="zh-CN"/>
        </w:rPr>
      </w:pPr>
      <w:r>
        <w:rPr>
          <w:rFonts w:hint="eastAsia" w:ascii="宋体" w:hAnsi="宋体" w:eastAsia="宋体" w:cs="宋体"/>
          <w:sz w:val="28"/>
          <w:szCs w:val="28"/>
          <w:lang w:eastAsia="zh-CN"/>
        </w:rPr>
        <w:t>付款方式</w:t>
      </w:r>
      <w:r>
        <w:rPr>
          <w:rFonts w:hint="eastAsia" w:ascii="宋体" w:hAnsi="宋体" w:cs="宋体"/>
          <w:sz w:val="28"/>
          <w:szCs w:val="28"/>
          <w:lang w:eastAsia="zh-CN"/>
        </w:rPr>
        <w:t>：</w:t>
      </w:r>
      <w:r>
        <w:rPr>
          <w:rFonts w:hint="eastAsia" w:ascii="宋体" w:hAnsi="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cs="宋体"/>
          <w:sz w:val="28"/>
          <w:szCs w:val="28"/>
          <w:lang w:val="en-US" w:eastAsia="zh-CN"/>
        </w:rPr>
        <w:t>九</w:t>
      </w:r>
      <w:r>
        <w:rPr>
          <w:rFonts w:hint="eastAsia" w:ascii="宋体" w:hAnsi="宋体" w:eastAsia="宋体" w:cs="宋体"/>
          <w:sz w:val="28"/>
          <w:szCs w:val="28"/>
          <w:lang w:eastAsia="zh-CN"/>
        </w:rPr>
        <w:t>、发包人职责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1.负责施工现场的协调、施工质量检查监督及工程验收工作。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2.负责提供具备正常施工条件。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3.施工中出现问题召集有关部门和单位会商解决。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4.做好隐蔽工程的随检工作，凡隐蔽工程验收不合格，不能进行下道工序。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十、承包人职责：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1.要组织精良的施工队伍和机具，严格按照技术要求以及有关规范、规程，主动接受甲方的检查监督，保质保量， 按工期要求完成施工任务。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2.严把工程质量关。做好施工记录，备齐所需技术材料，质量检测资料。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3.强化安全施工意识，承担施工期间质量、安全事故的全部责任。凡施工中出现的质量和安全事故，甲方概不负责。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4.积极提供建议，及时向甲方反映施工中出现的问题，并协商解决。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5.严格遵守甲方的各项规章制度，违者按有关规定予以处罚。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6.施工中要做到不扰民，不污染环境，场地整齐、干净，所产生的废料及时清运，不抛撒，对此项做出承诺，若违反由发包人在承包人缴纳的履约保证金中予以处罚，直至保证金全部。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十</w:t>
      </w:r>
      <w:r>
        <w:rPr>
          <w:rFonts w:hint="eastAsia" w:ascii="宋体" w:hAnsi="宋体" w:cs="宋体"/>
          <w:sz w:val="28"/>
          <w:szCs w:val="28"/>
          <w:lang w:val="en-US" w:eastAsia="zh-CN"/>
        </w:rPr>
        <w:t>一</w:t>
      </w:r>
      <w:r>
        <w:rPr>
          <w:rFonts w:hint="eastAsia" w:ascii="宋体" w:hAnsi="宋体" w:eastAsia="宋体" w:cs="宋体"/>
          <w:sz w:val="28"/>
          <w:szCs w:val="28"/>
          <w:lang w:eastAsia="zh-CN"/>
        </w:rPr>
        <w:t>、解决纠纷方式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合同履行过程中如发生纠纷，双方应通过协商解决。协商仍不成时可提请延安市仲裁委员会裁决。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十</w:t>
      </w:r>
      <w:r>
        <w:rPr>
          <w:rFonts w:hint="eastAsia" w:ascii="宋体" w:hAnsi="宋体" w:cs="宋体"/>
          <w:sz w:val="28"/>
          <w:szCs w:val="28"/>
          <w:lang w:val="en-US" w:eastAsia="zh-CN"/>
        </w:rPr>
        <w:t>二</w:t>
      </w:r>
      <w:r>
        <w:rPr>
          <w:rFonts w:hint="eastAsia" w:ascii="宋体" w:hAnsi="宋体" w:eastAsia="宋体" w:cs="宋体"/>
          <w:sz w:val="28"/>
          <w:szCs w:val="28"/>
          <w:lang w:eastAsia="zh-CN"/>
        </w:rPr>
        <w:t>、合同生效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合同订立时间：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本合同一式</w:t>
      </w:r>
      <w:r>
        <w:rPr>
          <w:rFonts w:hint="eastAsia" w:ascii="宋体" w:hAnsi="宋体" w:cs="宋体"/>
          <w:sz w:val="28"/>
          <w:szCs w:val="28"/>
          <w:lang w:val="en-US" w:eastAsia="zh-CN"/>
        </w:rPr>
        <w:t>肆</w:t>
      </w:r>
      <w:r>
        <w:rPr>
          <w:rFonts w:hint="eastAsia" w:ascii="宋体" w:hAnsi="宋体" w:eastAsia="宋体" w:cs="宋体"/>
          <w:sz w:val="28"/>
          <w:szCs w:val="28"/>
          <w:lang w:eastAsia="zh-CN"/>
        </w:rPr>
        <w:t>份，经供需双方签字盖章后生效，甲方</w:t>
      </w:r>
      <w:r>
        <w:rPr>
          <w:rFonts w:hint="eastAsia" w:ascii="宋体" w:hAnsi="宋体" w:cs="宋体"/>
          <w:sz w:val="28"/>
          <w:szCs w:val="28"/>
          <w:lang w:eastAsia="zh-CN"/>
        </w:rPr>
        <w:t>贰</w:t>
      </w:r>
      <w:r>
        <w:rPr>
          <w:rFonts w:hint="eastAsia" w:ascii="宋体" w:hAnsi="宋体" w:eastAsia="宋体" w:cs="宋体"/>
          <w:sz w:val="28"/>
          <w:szCs w:val="28"/>
          <w:lang w:eastAsia="zh-CN"/>
        </w:rPr>
        <w:t>份，乙方</w:t>
      </w:r>
      <w:r>
        <w:rPr>
          <w:rFonts w:hint="eastAsia" w:ascii="宋体" w:hAnsi="宋体" w:cs="宋体"/>
          <w:sz w:val="28"/>
          <w:szCs w:val="28"/>
          <w:lang w:val="en-US" w:eastAsia="zh-CN"/>
        </w:rPr>
        <w:t>壹</w:t>
      </w:r>
      <w:r>
        <w:rPr>
          <w:rFonts w:hint="eastAsia" w:ascii="宋体" w:hAnsi="宋体" w:eastAsia="宋体" w:cs="宋体"/>
          <w:sz w:val="28"/>
          <w:szCs w:val="28"/>
          <w:lang w:eastAsia="zh-CN"/>
        </w:rPr>
        <w:t>份，</w:t>
      </w:r>
      <w:r>
        <w:rPr>
          <w:rFonts w:hint="eastAsia" w:ascii="宋体" w:hAnsi="宋体" w:eastAsia="宋体" w:cs="宋体"/>
          <w:sz w:val="28"/>
          <w:szCs w:val="28"/>
          <w:lang w:val="en-US" w:eastAsia="zh-CN"/>
        </w:rPr>
        <w:t>代理机构</w:t>
      </w:r>
      <w:r>
        <w:rPr>
          <w:rFonts w:hint="eastAsia" w:ascii="宋体" w:hAnsi="宋体" w:cs="宋体"/>
          <w:sz w:val="28"/>
          <w:szCs w:val="28"/>
          <w:lang w:val="en-US" w:eastAsia="zh-CN"/>
        </w:rPr>
        <w:t>壹</w:t>
      </w:r>
      <w:r>
        <w:rPr>
          <w:rFonts w:hint="eastAsia" w:ascii="宋体" w:hAnsi="宋体" w:eastAsia="宋体" w:cs="宋体"/>
          <w:sz w:val="28"/>
          <w:szCs w:val="28"/>
          <w:lang w:eastAsia="zh-CN"/>
        </w:rPr>
        <w:t>份，均具有同等法律效力。</w:t>
      </w:r>
    </w:p>
    <w:p>
      <w:pPr>
        <w:keepNext w:val="0"/>
        <w:keepLines w:val="0"/>
        <w:pageBreakBefore w:val="0"/>
        <w:widowControl w:val="0"/>
        <w:kinsoku w:val="0"/>
        <w:wordWrap/>
        <w:overflowPunct/>
        <w:topLinePunct w:val="0"/>
        <w:autoSpaceDE/>
        <w:autoSpaceDN/>
        <w:bidi w:val="0"/>
        <w:adjustRightInd/>
        <w:snapToGrid/>
        <w:spacing w:line="590" w:lineRule="exact"/>
        <w:ind w:left="0" w:leftChars="0" w:right="0" w:rightChars="0" w:firstLine="480" w:firstLineChars="200"/>
        <w:jc w:val="both"/>
        <w:textAlignment w:val="auto"/>
        <w:outlineLvl w:val="9"/>
        <w:rPr>
          <w:rFonts w:hint="eastAsia" w:ascii="宋体" w:hAnsi="宋体" w:eastAsia="宋体" w:cs="宋体"/>
          <w:bCs/>
          <w:sz w:val="24"/>
          <w:szCs w:val="24"/>
        </w:rPr>
      </w:pPr>
    </w:p>
    <w:p>
      <w:pPr>
        <w:keepNext w:val="0"/>
        <w:keepLines w:val="0"/>
        <w:pageBreakBefore w:val="0"/>
        <w:widowControl w:val="0"/>
        <w:kinsoku w:val="0"/>
        <w:wordWrap/>
        <w:overflowPunct/>
        <w:topLinePunct w:val="0"/>
        <w:autoSpaceDE/>
        <w:autoSpaceDN/>
        <w:bidi w:val="0"/>
        <w:adjustRightInd/>
        <w:snapToGrid/>
        <w:spacing w:line="590" w:lineRule="exact"/>
        <w:ind w:left="0" w:leftChars="0" w:right="0" w:rightChars="0" w:firstLine="480" w:firstLineChars="200"/>
        <w:jc w:val="both"/>
        <w:textAlignment w:val="auto"/>
        <w:outlineLvl w:val="9"/>
        <w:rPr>
          <w:rFonts w:hint="eastAsia" w:ascii="宋体" w:hAnsi="宋体" w:eastAsia="宋体" w:cs="宋体"/>
          <w:bCs/>
          <w:sz w:val="24"/>
          <w:szCs w:val="24"/>
        </w:rPr>
      </w:pPr>
    </w:p>
    <w:p>
      <w:pPr>
        <w:keepNext w:val="0"/>
        <w:keepLines w:val="0"/>
        <w:pageBreakBefore w:val="0"/>
        <w:widowControl w:val="0"/>
        <w:kinsoku w:val="0"/>
        <w:wordWrap/>
        <w:overflowPunct/>
        <w:topLinePunct w:val="0"/>
        <w:autoSpaceDE/>
        <w:autoSpaceDN/>
        <w:bidi w:val="0"/>
        <w:adjustRightInd/>
        <w:snapToGrid/>
        <w:spacing w:line="590" w:lineRule="exact"/>
        <w:ind w:left="0" w:leftChars="0" w:right="0" w:rightChars="0" w:firstLine="480" w:firstLineChars="200"/>
        <w:jc w:val="both"/>
        <w:textAlignment w:val="auto"/>
        <w:outlineLvl w:val="9"/>
        <w:rPr>
          <w:rFonts w:hint="eastAsia" w:ascii="宋体" w:hAnsi="宋体" w:eastAsia="宋体" w:cs="宋体"/>
          <w:bCs/>
          <w:sz w:val="24"/>
          <w:szCs w:val="24"/>
        </w:rPr>
      </w:pPr>
    </w:p>
    <w:p>
      <w:pPr>
        <w:pStyle w:val="16"/>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bookmarkEnd w:id="263"/>
    <w:bookmarkEnd w:id="264"/>
    <w:tbl>
      <w:tblPr>
        <w:tblStyle w:val="33"/>
        <w:tblpPr w:leftFromText="180" w:rightFromText="180" w:vertAnchor="text" w:horzAnchor="page" w:tblpX="1342" w:tblpY="260"/>
        <w:tblOverlap w:val="never"/>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jc w:val="both"/>
              <w:rPr>
                <w:rFonts w:hint="eastAsia" w:ascii="宋体" w:hAnsi="宋体" w:eastAsia="宋体" w:cs="宋体"/>
                <w:bCs/>
                <w:sz w:val="28"/>
                <w:szCs w:val="28"/>
              </w:rPr>
            </w:pPr>
            <w:r>
              <w:rPr>
                <w:rFonts w:hint="eastAsia" w:ascii="宋体" w:hAnsi="宋体" w:eastAsia="宋体" w:cs="宋体"/>
                <w:bCs/>
                <w:sz w:val="28"/>
                <w:szCs w:val="28"/>
              </w:rPr>
              <w:t>甲  方</w:t>
            </w:r>
          </w:p>
        </w:tc>
        <w:tc>
          <w:tcPr>
            <w:tcW w:w="3260" w:type="dxa"/>
            <w:noWrap w:val="0"/>
            <w:vAlign w:val="top"/>
          </w:tcPr>
          <w:p>
            <w:pPr>
              <w:spacing w:line="420" w:lineRule="exact"/>
              <w:jc w:val="center"/>
              <w:rPr>
                <w:rFonts w:hint="eastAsia" w:ascii="宋体" w:hAnsi="宋体" w:eastAsia="宋体" w:cs="宋体"/>
                <w:bCs/>
                <w:sz w:val="28"/>
                <w:szCs w:val="28"/>
              </w:rPr>
            </w:pPr>
            <w:r>
              <w:rPr>
                <w:rFonts w:hint="eastAsia" w:ascii="宋体" w:hAnsi="宋体" w:eastAsia="宋体" w:cs="宋体"/>
                <w:bCs/>
                <w:sz w:val="28"/>
                <w:szCs w:val="28"/>
              </w:rPr>
              <w:t>乙  方</w:t>
            </w:r>
          </w:p>
        </w:tc>
        <w:tc>
          <w:tcPr>
            <w:tcW w:w="3260" w:type="dxa"/>
            <w:noWrap w:val="0"/>
            <w:vAlign w:val="top"/>
          </w:tcPr>
          <w:p>
            <w:pPr>
              <w:spacing w:line="420" w:lineRule="exact"/>
              <w:jc w:val="center"/>
              <w:rPr>
                <w:rFonts w:hint="default" w:ascii="宋体" w:hAnsi="宋体" w:eastAsia="宋体" w:cs="宋体"/>
                <w:bCs/>
                <w:sz w:val="28"/>
                <w:szCs w:val="28"/>
                <w:lang w:val="en-US"/>
              </w:rPr>
            </w:pPr>
            <w:r>
              <w:rPr>
                <w:rFonts w:hint="eastAsia" w:ascii="宋体" w:hAnsi="宋体" w:cs="宋体"/>
                <w:bCs/>
                <w:sz w:val="28"/>
                <w:szCs w:val="28"/>
                <w:lang w:val="en-US" w:eastAsia="zh-CN"/>
              </w:rPr>
              <w:t>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3260" w:type="dxa"/>
            <w:noWrap w:val="0"/>
            <w:vAlign w:val="center"/>
          </w:tcPr>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r>
              <w:rPr>
                <w:rFonts w:hint="eastAsia" w:ascii="宋体" w:hAnsi="宋体" w:eastAsia="宋体" w:cs="宋体"/>
                <w:bCs/>
                <w:sz w:val="28"/>
                <w:szCs w:val="28"/>
              </w:rPr>
              <w:t>（盖章）</w:t>
            </w:r>
          </w:p>
        </w:tc>
        <w:tc>
          <w:tcPr>
            <w:tcW w:w="3260" w:type="dxa"/>
            <w:noWrap w:val="0"/>
            <w:vAlign w:val="center"/>
          </w:tcPr>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r>
              <w:rPr>
                <w:rFonts w:hint="eastAsia" w:ascii="宋体" w:hAnsi="宋体" w:eastAsia="宋体" w:cs="宋体"/>
                <w:bCs/>
                <w:sz w:val="28"/>
                <w:szCs w:val="28"/>
              </w:rPr>
              <w:t>（盖章）</w:t>
            </w:r>
          </w:p>
        </w:tc>
        <w:tc>
          <w:tcPr>
            <w:tcW w:w="3260" w:type="dxa"/>
            <w:noWrap w:val="0"/>
            <w:vAlign w:val="center"/>
          </w:tcPr>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r>
              <w:rPr>
                <w:rFonts w:hint="eastAsia" w:ascii="宋体" w:hAnsi="宋体" w:eastAsia="宋体" w:cs="宋体"/>
                <w:bCs/>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地址：</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地址：</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地址：</w:t>
            </w:r>
            <w:r>
              <w:rPr>
                <w:rFonts w:hint="eastAsia" w:ascii="宋体" w:hAnsi="宋体" w:eastAsia="宋体" w:cs="宋体"/>
                <w:bCs/>
                <w:sz w:val="28"/>
                <w:szCs w:val="28"/>
                <w:lang w:val="en-US" w:eastAsia="zh-CN"/>
              </w:rPr>
              <w:t xml:space="preserve"> 延安市新区盛世花园北区12号楼一单元802室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邮编：</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邮编：</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邮编：</w:t>
            </w:r>
            <w:r>
              <w:rPr>
                <w:rFonts w:hint="eastAsia" w:ascii="宋体" w:hAnsi="宋体" w:eastAsia="宋体" w:cs="宋体"/>
                <w:bCs/>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 xml:space="preserve">法定代表人： </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法定代表人：</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被授权代表：</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被授权代表：</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电话：</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电话：</w:t>
            </w:r>
          </w:p>
        </w:tc>
        <w:tc>
          <w:tcPr>
            <w:tcW w:w="3260" w:type="dxa"/>
            <w:noWrap w:val="0"/>
            <w:vAlign w:val="top"/>
          </w:tcPr>
          <w:p>
            <w:pPr>
              <w:spacing w:line="420" w:lineRule="exact"/>
              <w:rPr>
                <w:rFonts w:hint="default" w:ascii="宋体" w:hAnsi="宋体" w:eastAsia="宋体" w:cs="宋体"/>
                <w:bCs/>
                <w:sz w:val="28"/>
                <w:szCs w:val="28"/>
                <w:lang w:val="en-US"/>
              </w:rPr>
            </w:pPr>
            <w:r>
              <w:rPr>
                <w:rFonts w:hint="eastAsia" w:ascii="宋体" w:hAnsi="宋体" w:eastAsia="宋体" w:cs="宋体"/>
                <w:bCs/>
                <w:sz w:val="28"/>
                <w:szCs w:val="28"/>
              </w:rPr>
              <w:t>电话：</w:t>
            </w:r>
            <w:r>
              <w:rPr>
                <w:rFonts w:hint="eastAsia" w:ascii="宋体" w:hAnsi="宋体" w:eastAsia="宋体" w:cs="宋体"/>
                <w:bCs/>
                <w:sz w:val="28"/>
                <w:szCs w:val="28"/>
                <w:lang w:val="en-US" w:eastAsia="zh-CN"/>
              </w:rPr>
              <w:t xml:space="preserve"> </w:t>
            </w:r>
            <w:r>
              <w:rPr>
                <w:rFonts w:hint="eastAsia" w:ascii="宋体" w:hAnsi="宋体" w:cs="宋体"/>
                <w:bCs/>
                <w:sz w:val="28"/>
                <w:szCs w:val="28"/>
                <w:lang w:val="en-US" w:eastAsia="zh-CN"/>
              </w:rPr>
              <w:t>0911-8688810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传真：</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传真：</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260" w:type="dxa"/>
            <w:noWrap w:val="0"/>
            <w:vAlign w:val="top"/>
          </w:tcPr>
          <w:p>
            <w:pPr>
              <w:spacing w:line="420" w:lineRule="exact"/>
              <w:rPr>
                <w:rFonts w:hint="eastAsia" w:ascii="宋体" w:hAnsi="宋体" w:eastAsia="宋体" w:cs="宋体"/>
                <w:bCs/>
                <w:sz w:val="28"/>
                <w:szCs w:val="28"/>
              </w:rPr>
            </w:pP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开户银行：</w:t>
            </w:r>
          </w:p>
        </w:tc>
        <w:tc>
          <w:tcPr>
            <w:tcW w:w="3260" w:type="dxa"/>
            <w:noWrap w:val="0"/>
            <w:vAlign w:val="top"/>
          </w:tcPr>
          <w:p>
            <w:pPr>
              <w:spacing w:line="420" w:lineRule="exact"/>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3260" w:type="dxa"/>
            <w:noWrap w:val="0"/>
            <w:vAlign w:val="top"/>
          </w:tcPr>
          <w:p>
            <w:pPr>
              <w:spacing w:line="420" w:lineRule="exact"/>
              <w:rPr>
                <w:rFonts w:hint="eastAsia" w:ascii="宋体" w:hAnsi="宋体" w:eastAsia="宋体" w:cs="宋体"/>
                <w:bCs/>
                <w:sz w:val="28"/>
                <w:szCs w:val="28"/>
              </w:rPr>
            </w:pP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帐号：</w:t>
            </w:r>
          </w:p>
        </w:tc>
        <w:tc>
          <w:tcPr>
            <w:tcW w:w="3260" w:type="dxa"/>
            <w:noWrap w:val="0"/>
            <w:vAlign w:val="top"/>
          </w:tcPr>
          <w:p>
            <w:pPr>
              <w:spacing w:line="420" w:lineRule="exact"/>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日期：    年   月   日</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日期：    年   月   日</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日期：    年   月   日</w:t>
            </w:r>
          </w:p>
        </w:tc>
      </w:tr>
    </w:tbl>
    <w:p>
      <w:pPr>
        <w:numPr>
          <w:ilvl w:val="0"/>
          <w:numId w:val="0"/>
        </w:numPr>
        <w:rPr>
          <w:rFonts w:hint="eastAsia" w:ascii="宋体" w:hAnsi="宋体" w:eastAsia="宋体" w:cs="宋体"/>
        </w:rPr>
      </w:pPr>
    </w:p>
    <w:p>
      <w:pPr>
        <w:pStyle w:val="2"/>
        <w:keepNext w:val="0"/>
        <w:pageBreakBefore/>
        <w:numPr>
          <w:ilvl w:val="0"/>
          <w:numId w:val="0"/>
        </w:numPr>
        <w:ind w:leftChars="0"/>
        <w:jc w:val="center"/>
        <w:rPr>
          <w:rFonts w:hint="eastAsia" w:ascii="宋体" w:hAnsi="宋体" w:eastAsia="宋体" w:cs="宋体"/>
          <w:sz w:val="28"/>
          <w:szCs w:val="28"/>
          <w:lang w:eastAsia="zh-CN"/>
        </w:rPr>
      </w:pPr>
      <w:bookmarkStart w:id="265" w:name="_Toc22897"/>
      <w:r>
        <w:rPr>
          <w:rFonts w:hint="eastAsia" w:ascii="宋体" w:hAnsi="宋体" w:cs="宋体"/>
          <w:color w:val="000000" w:themeColor="text1"/>
          <w:sz w:val="30"/>
          <w:szCs w:val="30"/>
          <w:lang w:eastAsia="zh-CN"/>
          <w14:textFill>
            <w14:solidFill>
              <w14:schemeClr w14:val="tx1"/>
            </w14:solidFill>
          </w14:textFill>
        </w:rPr>
        <w:t>第五章</w:t>
      </w:r>
      <w:r>
        <w:rPr>
          <w:rFonts w:hint="eastAsia" w:ascii="宋体" w:hAnsi="宋体" w:cs="宋体"/>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采购内容和技术要求</w:t>
      </w:r>
      <w:bookmarkEnd w:id="265"/>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p>
    <w:tbl>
      <w:tblPr>
        <w:tblStyle w:val="33"/>
        <w:tblW w:w="9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3"/>
        <w:gridCol w:w="4955"/>
        <w:gridCol w:w="920"/>
        <w:gridCol w:w="987"/>
        <w:gridCol w:w="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单位</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数量</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宜川县2019-2020年临时使用林地恢复造林项目施工二标段（二次）</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1.1.1.1</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整理用地</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1.1.1.1.1</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鱼鳞坑（100*60*60cm）</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29334</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1.1.1.2</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苗木栽植</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1.1.1.2.1</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红叶李，栽植（胸径6cn以上，带土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球）</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2444</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1.1.1.2.1</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白蜡，栽植（胸径6cn以上，带土球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1.1.1.2.1</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国槐，栽植（胸径6cn以上，裸根）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4889</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1.1.1.2.2</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油松，栽植</w:t>
            </w:r>
            <w:r>
              <w:rPr>
                <w:rFonts w:hint="eastAsia" w:ascii="宋体" w:hAnsi="宋体" w:eastAsia="宋体" w:cs="宋体"/>
                <w:i w:val="0"/>
                <w:iCs w:val="0"/>
                <w:color w:val="auto"/>
                <w:kern w:val="0"/>
                <w:sz w:val="24"/>
                <w:szCs w:val="24"/>
                <w:u w:val="none"/>
                <w:lang w:val="en-US" w:eastAsia="zh-CN" w:bidi="ar"/>
              </w:rPr>
              <w:t>（H</w:t>
            </w:r>
            <w:r>
              <w:rPr>
                <w:rFonts w:hint="eastAsia" w:ascii="微软雅黑" w:hAnsi="微软雅黑" w:eastAsia="微软雅黑" w:cs="微软雅黑"/>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1.2m，带土球）</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19556</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1.1.1.3</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苗木费用</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1.1.1.3.1</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油松</w:t>
            </w:r>
            <w:r>
              <w:rPr>
                <w:rFonts w:hint="eastAsia" w:ascii="宋体" w:hAnsi="宋体" w:eastAsia="宋体" w:cs="宋体"/>
                <w:i w:val="0"/>
                <w:iCs w:val="0"/>
                <w:color w:val="auto"/>
                <w:kern w:val="0"/>
                <w:sz w:val="24"/>
                <w:szCs w:val="24"/>
                <w:u w:val="none"/>
                <w:lang w:val="en-US" w:eastAsia="zh-CN" w:bidi="ar"/>
              </w:rPr>
              <w:t>（H</w:t>
            </w:r>
            <w:r>
              <w:rPr>
                <w:rFonts w:hint="eastAsia" w:ascii="微软雅黑" w:hAnsi="微软雅黑" w:eastAsia="微软雅黑" w:cs="微软雅黑"/>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1.2m）</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19556</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1.1.1.3.2</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红叶李（胸径6cm以上）</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2444</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1.1.1.3.2</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白蜡（胸径6cm以上）</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株</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2445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1.1.1.3.2</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国槐（胸径6cm以上）</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株</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4889</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1.1.1.4</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幼林抚育</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1.1.1.4.1</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幼林抚育</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亩</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264.27</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1.1.1.7</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物料费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264.27</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1.1.1.7.1</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保水剂</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kg</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528.54</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1.1.1.7.2</w:t>
            </w:r>
          </w:p>
        </w:tc>
        <w:tc>
          <w:tcPr>
            <w:tcW w:w="4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GGR6</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g</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396.41</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bl>
    <w:p>
      <w:pPr>
        <w:rPr>
          <w:rFonts w:hint="eastAsia"/>
        </w:rPr>
      </w:pPr>
    </w:p>
    <w:p>
      <w:pPr>
        <w:pStyle w:val="2"/>
        <w:keepNext w:val="0"/>
        <w:pageBreakBefore/>
        <w:numPr>
          <w:ilvl w:val="0"/>
          <w:numId w:val="0"/>
        </w:numPr>
        <w:tabs>
          <w:tab w:val="left" w:pos="2898"/>
          <w:tab w:val="center" w:pos="5348"/>
        </w:tabs>
        <w:ind w:leftChars="0"/>
        <w:jc w:val="center"/>
        <w:rPr>
          <w:rFonts w:hint="eastAsia" w:ascii="宋体" w:hAnsi="宋体" w:eastAsia="宋体" w:cs="宋体"/>
          <w:color w:val="000000" w:themeColor="text1"/>
          <w:sz w:val="30"/>
          <w:szCs w:val="30"/>
          <w14:textFill>
            <w14:solidFill>
              <w14:schemeClr w14:val="tx1"/>
            </w14:solidFill>
          </w14:textFill>
        </w:rPr>
      </w:pPr>
      <w:bookmarkStart w:id="266" w:name="_Toc3645"/>
      <w:r>
        <w:rPr>
          <w:rFonts w:hint="eastAsia" w:ascii="宋体" w:hAnsi="宋体" w:cs="宋体"/>
          <w:color w:val="000000" w:themeColor="text1"/>
          <w:sz w:val="30"/>
          <w:szCs w:val="30"/>
          <w:lang w:val="en-US" w:eastAsia="zh-CN"/>
          <w14:textFill>
            <w14:solidFill>
              <w14:schemeClr w14:val="tx1"/>
            </w14:solidFill>
          </w14:textFill>
        </w:rPr>
        <w:t xml:space="preserve">第六章  </w:t>
      </w:r>
      <w:r>
        <w:rPr>
          <w:rFonts w:hint="eastAsia" w:ascii="宋体" w:hAnsi="宋体" w:eastAsia="宋体" w:cs="宋体"/>
          <w:color w:val="000000" w:themeColor="text1"/>
          <w:sz w:val="30"/>
          <w:szCs w:val="30"/>
          <w14:textFill>
            <w14:solidFill>
              <w14:schemeClr w14:val="tx1"/>
            </w14:solidFill>
          </w14:textFill>
        </w:rPr>
        <w:t>磋商响应文件格式</w:t>
      </w:r>
      <w:bookmarkEnd w:id="266"/>
    </w:p>
    <w:p>
      <w:pPr>
        <w:numPr>
          <w:ilvl w:val="0"/>
          <w:numId w:val="0"/>
        </w:numPr>
        <w:ind w:leftChars="0"/>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1.</w:t>
      </w:r>
      <w:r>
        <w:rPr>
          <w:rFonts w:hint="eastAsia" w:ascii="宋体" w:hAnsi="宋体" w:cs="宋体"/>
          <w:b w:val="0"/>
          <w:bCs/>
          <w:color w:val="000000"/>
          <w:sz w:val="28"/>
          <w:szCs w:val="28"/>
          <w:lang w:eastAsia="zh-CN"/>
        </w:rPr>
        <w:t>响应</w:t>
      </w:r>
      <w:r>
        <w:rPr>
          <w:rFonts w:hint="eastAsia" w:ascii="宋体" w:hAnsi="宋体" w:eastAsia="宋体" w:cs="宋体"/>
          <w:b w:val="0"/>
          <w:bCs/>
          <w:color w:val="000000"/>
          <w:sz w:val="28"/>
          <w:szCs w:val="28"/>
        </w:rPr>
        <w:t>文件格式由本章目录所列第1部分至第</w:t>
      </w:r>
      <w:r>
        <w:rPr>
          <w:rFonts w:hint="eastAsia" w:ascii="宋体" w:hAnsi="宋体" w:cs="宋体"/>
          <w:b w:val="0"/>
          <w:bCs/>
          <w:color w:val="000000"/>
          <w:sz w:val="28"/>
          <w:szCs w:val="28"/>
          <w:lang w:val="en-US" w:eastAsia="zh-CN"/>
        </w:rPr>
        <w:t>9</w:t>
      </w:r>
      <w:r>
        <w:rPr>
          <w:rFonts w:hint="eastAsia" w:ascii="宋体" w:hAnsi="宋体" w:eastAsia="宋体" w:cs="宋体"/>
          <w:b w:val="0"/>
          <w:bCs/>
          <w:color w:val="000000"/>
          <w:sz w:val="28"/>
          <w:szCs w:val="28"/>
        </w:rPr>
        <w:t>部分构成。</w:t>
      </w:r>
      <w:r>
        <w:rPr>
          <w:rFonts w:hint="eastAsia" w:ascii="宋体" w:hAnsi="宋体" w:eastAsia="宋体" w:cs="宋体"/>
          <w:b w:val="0"/>
          <w:bCs/>
          <w:color w:val="000000"/>
          <w:sz w:val="28"/>
          <w:szCs w:val="28"/>
          <w:lang w:eastAsia="zh-CN"/>
        </w:rPr>
        <w:t>不得缺项漏项，否则按废标处理，其中资格证明文件还应单独提供，相应要求详见资格审查</w:t>
      </w:r>
      <w:r>
        <w:rPr>
          <w:rFonts w:hint="eastAsia" w:ascii="宋体" w:hAnsi="宋体" w:cs="宋体"/>
          <w:b w:val="0"/>
          <w:bCs/>
          <w:color w:val="000000"/>
          <w:sz w:val="28"/>
          <w:szCs w:val="28"/>
          <w:lang w:eastAsia="zh-CN"/>
        </w:rPr>
        <w:t>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2.供应商应认真审阅本章内容，并参照格式要求编制</w:t>
      </w:r>
      <w:r>
        <w:rPr>
          <w:rFonts w:hint="eastAsia" w:ascii="宋体" w:hAnsi="宋体" w:cs="宋体"/>
          <w:b w:val="0"/>
          <w:bCs/>
          <w:color w:val="000000"/>
          <w:sz w:val="28"/>
          <w:szCs w:val="28"/>
          <w:lang w:eastAsia="zh-CN"/>
        </w:rPr>
        <w:t>响应</w:t>
      </w:r>
      <w:r>
        <w:rPr>
          <w:rFonts w:hint="eastAsia" w:ascii="宋体" w:hAnsi="宋体" w:eastAsia="宋体" w:cs="宋体"/>
          <w:b w:val="0"/>
          <w:bCs/>
          <w:color w:val="000000"/>
          <w:sz w:val="28"/>
          <w:szCs w:val="28"/>
        </w:rPr>
        <w:t>文件。凡未按格式要求编制</w:t>
      </w:r>
      <w:r>
        <w:rPr>
          <w:rFonts w:hint="eastAsia" w:ascii="宋体" w:hAnsi="宋体" w:cs="宋体"/>
          <w:b w:val="0"/>
          <w:bCs/>
          <w:color w:val="000000"/>
          <w:sz w:val="28"/>
          <w:szCs w:val="28"/>
          <w:lang w:eastAsia="zh-CN"/>
        </w:rPr>
        <w:t>响应</w:t>
      </w:r>
      <w:r>
        <w:rPr>
          <w:rFonts w:hint="eastAsia" w:ascii="宋体" w:hAnsi="宋体" w:eastAsia="宋体" w:cs="宋体"/>
          <w:b w:val="0"/>
          <w:bCs/>
          <w:color w:val="000000"/>
          <w:sz w:val="28"/>
          <w:szCs w:val="28"/>
        </w:rPr>
        <w:t>文件而造成的不利后果，由供应商自行承担。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3.</w:t>
      </w:r>
      <w:r>
        <w:rPr>
          <w:rFonts w:hint="eastAsia" w:ascii="宋体" w:hAnsi="宋体" w:cs="宋体"/>
          <w:b w:val="0"/>
          <w:bCs/>
          <w:color w:val="000000"/>
          <w:sz w:val="28"/>
          <w:szCs w:val="28"/>
          <w:lang w:eastAsia="zh-CN"/>
        </w:rPr>
        <w:t>响应</w:t>
      </w:r>
      <w:r>
        <w:rPr>
          <w:rFonts w:hint="eastAsia" w:ascii="宋体" w:hAnsi="宋体" w:eastAsia="宋体" w:cs="宋体"/>
          <w:b w:val="0"/>
          <w:bCs/>
          <w:color w:val="000000"/>
          <w:sz w:val="28"/>
          <w:szCs w:val="28"/>
        </w:rPr>
        <w:t>文件的正、副本必须按照要求编制，凡正、副本不相符的，以正本为准。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rPr>
      </w:pPr>
      <w:r>
        <w:rPr>
          <w:rFonts w:hint="eastAsia" w:ascii="宋体" w:hAnsi="宋体" w:eastAsia="宋体" w:cs="宋体"/>
          <w:b w:val="0"/>
          <w:bCs/>
          <w:color w:val="000000"/>
          <w:sz w:val="28"/>
          <w:szCs w:val="28"/>
          <w:lang w:val="en-US" w:eastAsia="zh-CN"/>
        </w:rPr>
        <w:t>4.</w:t>
      </w:r>
      <w:r>
        <w:rPr>
          <w:rFonts w:hint="eastAsia" w:ascii="宋体" w:hAnsi="宋体" w:cs="宋体"/>
          <w:b w:val="0"/>
          <w:bCs/>
          <w:color w:val="000000"/>
          <w:sz w:val="28"/>
          <w:szCs w:val="28"/>
          <w:lang w:val="en-US" w:eastAsia="zh-CN"/>
        </w:rPr>
        <w:t>响应</w:t>
      </w:r>
      <w:r>
        <w:rPr>
          <w:rFonts w:hint="eastAsia" w:ascii="宋体" w:hAnsi="宋体" w:eastAsia="宋体" w:cs="宋体"/>
          <w:b w:val="0"/>
          <w:bCs/>
          <w:color w:val="000000"/>
          <w:sz w:val="28"/>
          <w:szCs w:val="28"/>
          <w:lang w:val="en-US" w:eastAsia="zh-CN"/>
        </w:rPr>
        <w:t>文件的正本和所有的副本、资格文件必须全部打印并分别装订成册，并编制目录，统一装订、编码，必须在每一页的下方清楚标明。</w:t>
      </w:r>
      <w:r>
        <w:rPr>
          <w:rFonts w:hint="eastAsia"/>
        </w:rPr>
        <w:br w:type="page"/>
      </w:r>
    </w:p>
    <w:tbl>
      <w:tblPr>
        <w:tblStyle w:val="33"/>
        <w:tblpPr w:leftFromText="180" w:rightFromText="180" w:vertAnchor="text" w:horzAnchor="margin" w:tblpXSpec="right" w:tblpY="157"/>
        <w:tblW w:w="1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64" w:type="dxa"/>
            <w:vAlign w:val="center"/>
          </w:tcPr>
          <w:p>
            <w:pPr>
              <w:autoSpaceDE w:val="0"/>
              <w:autoSpaceDN w:val="0"/>
              <w:adjustRightInd w:val="0"/>
              <w:snapToGrid w:val="0"/>
              <w:spacing w:line="360" w:lineRule="auto"/>
              <w:jc w:val="center"/>
              <w:rPr>
                <w:rFonts w:hint="eastAsia" w:ascii="宋体" w:hAnsi="宋体" w:eastAsia="宋体" w:cs="宋体"/>
                <w:b/>
                <w:bCs/>
                <w:color w:val="000000" w:themeColor="text1"/>
                <w:sz w:val="30"/>
                <w:szCs w:val="30"/>
                <w:lang w:val="zh-CN"/>
                <w14:textFill>
                  <w14:solidFill>
                    <w14:schemeClr w14:val="tx1"/>
                  </w14:solidFill>
                </w14:textFill>
              </w:rPr>
            </w:pPr>
            <w:r>
              <w:rPr>
                <w:rFonts w:hint="eastAsia" w:ascii="宋体" w:hAnsi="宋体" w:eastAsia="宋体" w:cs="宋体"/>
                <w:b/>
                <w:bCs/>
                <w:color w:val="000000" w:themeColor="text1"/>
                <w:sz w:val="30"/>
                <w:szCs w:val="30"/>
                <w:lang w:val="zh-CN"/>
                <w14:textFill>
                  <w14:solidFill>
                    <w14:schemeClr w14:val="tx1"/>
                  </w14:solidFill>
                </w14:textFill>
              </w:rPr>
              <w:t>正本/副本</w:t>
            </w:r>
          </w:p>
        </w:tc>
      </w:tr>
    </w:tbl>
    <w:p>
      <w:pPr>
        <w:spacing w:line="360" w:lineRule="auto"/>
        <w:rPr>
          <w:rFonts w:hint="eastAsia" w:ascii="宋体" w:hAnsi="宋体" w:eastAsia="宋体" w:cs="宋体"/>
          <w:b/>
          <w:color w:val="000000" w:themeColor="text1"/>
          <w:sz w:val="30"/>
          <w:szCs w:val="30"/>
          <w14:textFill>
            <w14:solidFill>
              <w14:schemeClr w14:val="tx1"/>
            </w14:solidFill>
          </w14:textFill>
        </w:rPr>
      </w:pPr>
    </w:p>
    <w:p>
      <w:pPr>
        <w:spacing w:line="360" w:lineRule="auto"/>
        <w:rPr>
          <w:rFonts w:hint="default" w:ascii="宋体" w:hAnsi="宋体" w:eastAsia="宋体" w:cs="宋体"/>
          <w:b/>
          <w:bCs w:val="0"/>
          <w:i/>
          <w:iCs/>
          <w:color w:val="000000" w:themeColor="text1"/>
          <w:sz w:val="30"/>
          <w:szCs w:val="30"/>
          <w:lang w:val="en-US" w:eastAsia="zh-CN"/>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项目编</w:t>
      </w:r>
      <w:r>
        <w:rPr>
          <w:rFonts w:hint="eastAsia" w:ascii="宋体" w:hAnsi="宋体" w:eastAsia="宋体" w:cs="宋体"/>
          <w:b/>
          <w:bCs w:val="0"/>
          <w:color w:val="000000" w:themeColor="text1"/>
          <w:sz w:val="30"/>
          <w:szCs w:val="30"/>
          <w14:textFill>
            <w14:solidFill>
              <w14:schemeClr w14:val="tx1"/>
            </w14:solidFill>
          </w14:textFill>
        </w:rPr>
        <w:t>号：</w:t>
      </w:r>
      <w:r>
        <w:rPr>
          <w:rFonts w:hint="eastAsia" w:ascii="宋体" w:hAnsi="宋体" w:cs="宋体"/>
          <w:b/>
          <w:bCs w:val="0"/>
          <w:color w:val="000000" w:themeColor="text1"/>
          <w:sz w:val="30"/>
          <w:szCs w:val="30"/>
          <w:lang w:val="en-US" w:eastAsia="zh-CN"/>
          <w14:textFill>
            <w14:solidFill>
              <w14:schemeClr w14:val="tx1"/>
            </w14:solidFill>
          </w14:textFill>
        </w:rPr>
        <w:t>SXCY2023-55</w:t>
      </w:r>
    </w:p>
    <w:p>
      <w:pPr>
        <w:spacing w:line="360" w:lineRule="auto"/>
        <w:jc w:val="center"/>
        <w:rPr>
          <w:rFonts w:hint="eastAsia" w:ascii="宋体" w:hAnsi="宋体" w:eastAsia="宋体" w:cs="宋体"/>
          <w:b/>
          <w:color w:val="000000" w:themeColor="text1"/>
          <w:sz w:val="30"/>
          <w:szCs w:val="30"/>
          <w14:textFill>
            <w14:solidFill>
              <w14:schemeClr w14:val="tx1"/>
            </w14:solidFill>
          </w14:textFill>
        </w:rPr>
      </w:pPr>
    </w:p>
    <w:p>
      <w:pPr>
        <w:spacing w:line="360" w:lineRule="auto"/>
        <w:jc w:val="center"/>
        <w:rPr>
          <w:rFonts w:hint="eastAsia" w:ascii="宋体" w:hAnsi="宋体" w:eastAsia="宋体" w:cs="宋体"/>
          <w:b/>
          <w:color w:val="000000" w:themeColor="text1"/>
          <w:sz w:val="44"/>
          <w:szCs w:val="44"/>
          <w:lang w:val="en-US" w:eastAsia="zh-CN"/>
          <w14:textFill>
            <w14:solidFill>
              <w14:schemeClr w14:val="tx1"/>
            </w14:solidFill>
          </w14:textFill>
        </w:rPr>
      </w:pPr>
    </w:p>
    <w:p>
      <w:pPr>
        <w:spacing w:line="360" w:lineRule="auto"/>
        <w:jc w:val="center"/>
        <w:rPr>
          <w:rFonts w:hint="eastAsia" w:ascii="宋体" w:hAnsi="宋体" w:eastAsia="宋体" w:cs="宋体"/>
          <w:b/>
          <w:color w:val="000000" w:themeColor="text1"/>
          <w:sz w:val="44"/>
          <w:szCs w:val="44"/>
          <w:lang w:val="en-US" w:eastAsia="zh-CN"/>
          <w14:textFill>
            <w14:solidFill>
              <w14:schemeClr w14:val="tx1"/>
            </w14:solidFill>
          </w14:textFill>
        </w:rPr>
      </w:pPr>
    </w:p>
    <w:p>
      <w:pPr>
        <w:spacing w:line="360" w:lineRule="auto"/>
        <w:jc w:val="center"/>
        <w:rPr>
          <w:rFonts w:hint="eastAsia" w:ascii="宋体" w:hAnsi="宋体" w:cs="宋体"/>
          <w:b/>
          <w:color w:val="000000" w:themeColor="text1"/>
          <w:sz w:val="36"/>
          <w:szCs w:val="36"/>
          <w:lang w:val="en-US" w:eastAsia="zh-CN"/>
          <w14:textFill>
            <w14:solidFill>
              <w14:schemeClr w14:val="tx1"/>
            </w14:solidFill>
          </w14:textFill>
        </w:rPr>
      </w:pPr>
      <w:r>
        <w:rPr>
          <w:rFonts w:hint="eastAsia" w:ascii="宋体" w:hAnsi="宋体" w:cs="宋体"/>
          <w:b/>
          <w:color w:val="000000" w:themeColor="text1"/>
          <w:sz w:val="36"/>
          <w:szCs w:val="36"/>
          <w:lang w:val="en-US" w:eastAsia="zh-CN"/>
          <w14:textFill>
            <w14:solidFill>
              <w14:schemeClr w14:val="tx1"/>
            </w14:solidFill>
          </w14:textFill>
        </w:rPr>
        <w:t>宜川县2019-2020年临时使用林地恢复造林项目</w:t>
      </w:r>
    </w:p>
    <w:p>
      <w:pPr>
        <w:spacing w:line="360" w:lineRule="auto"/>
        <w:jc w:val="center"/>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lang w:val="en-US" w:eastAsia="zh-CN"/>
          <w14:textFill>
            <w14:solidFill>
              <w14:schemeClr w14:val="tx1"/>
            </w14:solidFill>
          </w14:textFill>
        </w:rPr>
        <w:t>施工二标段（二次）</w:t>
      </w:r>
    </w:p>
    <w:p>
      <w:pPr>
        <w:pStyle w:val="16"/>
        <w:rPr>
          <w:rFonts w:hint="eastAsia" w:ascii="宋体" w:hAnsi="宋体" w:eastAsia="宋体" w:cs="宋体"/>
          <w:b/>
          <w:color w:val="000000" w:themeColor="text1"/>
          <w:sz w:val="30"/>
          <w:szCs w:val="30"/>
          <w14:textFill>
            <w14:solidFill>
              <w14:schemeClr w14:val="tx1"/>
            </w14:solidFill>
          </w14:textFill>
        </w:rPr>
      </w:pPr>
    </w:p>
    <w:p>
      <w:pPr>
        <w:pStyle w:val="16"/>
        <w:rPr>
          <w:rFonts w:hint="eastAsia" w:ascii="宋体" w:hAnsi="宋体" w:eastAsia="宋体" w:cs="宋体"/>
          <w:b/>
          <w:color w:val="000000" w:themeColor="text1"/>
          <w:sz w:val="30"/>
          <w:szCs w:val="30"/>
          <w14:textFill>
            <w14:solidFill>
              <w14:schemeClr w14:val="tx1"/>
            </w14:solidFill>
          </w14:textFill>
        </w:rPr>
      </w:pPr>
    </w:p>
    <w:p>
      <w:pPr>
        <w:rPr>
          <w:rFonts w:hint="eastAsia"/>
        </w:rPr>
      </w:pPr>
    </w:p>
    <w:p>
      <w:pPr>
        <w:rPr>
          <w:rFonts w:hint="eastAsia" w:ascii="宋体" w:hAnsi="宋体" w:eastAsia="宋体" w:cs="宋体"/>
          <w:b/>
          <w:color w:val="000000" w:themeColor="text1"/>
          <w:sz w:val="30"/>
          <w:szCs w:val="30"/>
          <w14:textFill>
            <w14:solidFill>
              <w14:schemeClr w14:val="tx1"/>
            </w14:solidFill>
          </w14:textFill>
        </w:rPr>
      </w:pPr>
    </w:p>
    <w:p>
      <w:pPr>
        <w:pStyle w:val="16"/>
        <w:rPr>
          <w:rFonts w:hint="eastAsia"/>
        </w:rPr>
      </w:pPr>
    </w:p>
    <w:p>
      <w:pPr>
        <w:spacing w:line="360" w:lineRule="auto"/>
        <w:jc w:val="center"/>
        <w:rPr>
          <w:rFonts w:hint="eastAsia" w:ascii="宋体" w:hAnsi="宋体" w:eastAsia="宋体" w:cs="宋体"/>
          <w:b/>
          <w:color w:val="000000" w:themeColor="text1"/>
          <w:sz w:val="48"/>
          <w:szCs w:val="48"/>
          <w14:textFill>
            <w14:solidFill>
              <w14:schemeClr w14:val="tx1"/>
            </w14:solidFill>
          </w14:textFill>
        </w:rPr>
      </w:pPr>
      <w:r>
        <w:rPr>
          <w:rFonts w:hint="eastAsia" w:ascii="宋体" w:hAnsi="宋体" w:eastAsia="宋体" w:cs="宋体"/>
          <w:b/>
          <w:color w:val="000000" w:themeColor="text1"/>
          <w:sz w:val="48"/>
          <w:szCs w:val="48"/>
          <w14:textFill>
            <w14:solidFill>
              <w14:schemeClr w14:val="tx1"/>
            </w14:solidFill>
          </w14:textFill>
        </w:rPr>
        <w:t>磋商响应文件</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rPr>
          <w:rFonts w:hint="eastAsia"/>
        </w:rPr>
      </w:pPr>
    </w:p>
    <w:p>
      <w:pPr>
        <w:pStyle w:val="16"/>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ind w:firstLine="602" w:firstLineChars="200"/>
        <w:rPr>
          <w:rFonts w:hint="eastAsia" w:ascii="宋体" w:hAnsi="宋体" w:eastAsia="宋体" w:cs="宋体"/>
          <w:b/>
          <w:color w:val="000000" w:themeColor="text1"/>
          <w:sz w:val="30"/>
          <w:szCs w:val="30"/>
          <w:u w:val="single"/>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供</w:t>
      </w:r>
      <w:r>
        <w:rPr>
          <w:rFonts w:hint="eastAsia" w:ascii="宋体" w:hAnsi="宋体" w:cs="宋体"/>
          <w:b/>
          <w:color w:val="000000" w:themeColor="text1"/>
          <w:sz w:val="30"/>
          <w:szCs w:val="30"/>
          <w:lang w:val="en-US" w:eastAsia="zh-CN"/>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应</w:t>
      </w:r>
      <w:r>
        <w:rPr>
          <w:rFonts w:hint="eastAsia" w:ascii="宋体" w:hAnsi="宋体" w:cs="宋体"/>
          <w:b/>
          <w:color w:val="000000" w:themeColor="text1"/>
          <w:sz w:val="30"/>
          <w:szCs w:val="30"/>
          <w:lang w:val="en-US" w:eastAsia="zh-CN"/>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商：</w:t>
      </w:r>
      <w:r>
        <w:rPr>
          <w:rFonts w:hint="eastAsia" w:ascii="宋体" w:hAnsi="宋体" w:eastAsia="宋体" w:cs="宋体"/>
          <w:b/>
          <w:color w:val="000000" w:themeColor="text1"/>
          <w:sz w:val="30"/>
          <w:szCs w:val="30"/>
          <w:u w:val="single"/>
          <w14:textFill>
            <w14:solidFill>
              <w14:schemeClr w14:val="tx1"/>
            </w14:solidFill>
          </w14:textFill>
        </w:rPr>
        <w:t xml:space="preserve">          （单位全称）      </w:t>
      </w:r>
      <w:r>
        <w:rPr>
          <w:rFonts w:hint="eastAsia" w:ascii="宋体" w:hAnsi="宋体" w:eastAsia="宋体" w:cs="宋体"/>
          <w:b/>
          <w:color w:val="000000" w:themeColor="text1"/>
          <w:sz w:val="30"/>
          <w:szCs w:val="30"/>
          <w14:textFill>
            <w14:solidFill>
              <w14:schemeClr w14:val="tx1"/>
            </w14:solidFill>
          </w14:textFill>
        </w:rPr>
        <w:t>（盖单位公章）</w:t>
      </w:r>
    </w:p>
    <w:p>
      <w:pPr>
        <w:spacing w:line="360" w:lineRule="auto"/>
        <w:ind w:firstLine="602" w:firstLineChars="200"/>
        <w:rPr>
          <w:rFonts w:hint="eastAsia" w:ascii="宋体" w:hAnsi="宋体" w:eastAsia="宋体" w:cs="宋体"/>
          <w:b/>
          <w:color w:val="000000" w:themeColor="text1"/>
          <w:sz w:val="30"/>
          <w:szCs w:val="30"/>
          <w14:textFill>
            <w14:solidFill>
              <w14:schemeClr w14:val="tx1"/>
            </w14:solidFill>
          </w14:textFill>
        </w:rPr>
      </w:pPr>
      <w:bookmarkStart w:id="267" w:name="_Toc343512253"/>
      <w:r>
        <w:rPr>
          <w:rFonts w:hint="eastAsia" w:ascii="宋体" w:hAnsi="宋体" w:eastAsia="宋体" w:cs="宋体"/>
          <w:b/>
          <w:color w:val="000000" w:themeColor="text1"/>
          <w:sz w:val="30"/>
          <w:szCs w:val="30"/>
          <w14:textFill>
            <w14:solidFill>
              <w14:schemeClr w14:val="tx1"/>
            </w14:solidFill>
          </w14:textFill>
        </w:rPr>
        <w:t>法定代表人：</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w:t>
      </w:r>
      <w:r>
        <w:rPr>
          <w:rFonts w:hint="eastAsia" w:ascii="宋体" w:hAnsi="宋体" w:cs="宋体"/>
          <w:b/>
          <w:color w:val="000000" w:themeColor="text1"/>
          <w:sz w:val="30"/>
          <w:szCs w:val="30"/>
          <w:lang w:eastAsia="zh-CN"/>
          <w14:textFill>
            <w14:solidFill>
              <w14:schemeClr w14:val="tx1"/>
            </w14:solidFill>
          </w14:textFill>
        </w:rPr>
        <w:t>签字或盖章</w:t>
      </w:r>
      <w:r>
        <w:rPr>
          <w:rFonts w:hint="eastAsia" w:ascii="宋体" w:hAnsi="宋体" w:eastAsia="宋体" w:cs="宋体"/>
          <w:b/>
          <w:color w:val="000000" w:themeColor="text1"/>
          <w:sz w:val="30"/>
          <w:szCs w:val="30"/>
          <w14:textFill>
            <w14:solidFill>
              <w14:schemeClr w14:val="tx1"/>
            </w14:solidFill>
          </w14:textFill>
        </w:rPr>
        <w:t>）</w:t>
      </w:r>
      <w:bookmarkEnd w:id="267"/>
    </w:p>
    <w:p>
      <w:pPr>
        <w:spacing w:line="360" w:lineRule="auto"/>
        <w:ind w:firstLine="602" w:firstLineChars="200"/>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委托代理人：</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（签字）</w:t>
      </w:r>
    </w:p>
    <w:p>
      <w:pPr>
        <w:spacing w:line="360" w:lineRule="auto"/>
        <w:ind w:firstLine="602" w:firstLineChars="200"/>
        <w:jc w:val="both"/>
        <w:rPr>
          <w:rFonts w:hint="eastAsia" w:ascii="宋体" w:hAnsi="宋体" w:eastAsia="宋体" w:cs="宋体"/>
          <w:b/>
          <w:color w:val="000000" w:themeColor="text1"/>
          <w:sz w:val="30"/>
          <w:szCs w:val="30"/>
          <w14:textFill>
            <w14:solidFill>
              <w14:schemeClr w14:val="tx1"/>
            </w14:solidFill>
          </w14:textFill>
        </w:rPr>
      </w:pPr>
      <w:bookmarkStart w:id="268" w:name="_Toc343512254"/>
      <w:r>
        <w:rPr>
          <w:rFonts w:hint="eastAsia" w:ascii="宋体" w:hAnsi="宋体" w:cs="宋体"/>
          <w:b/>
          <w:color w:val="000000" w:themeColor="text1"/>
          <w:sz w:val="30"/>
          <w:szCs w:val="30"/>
          <w:u w:val="none"/>
          <w:lang w:eastAsia="zh-CN"/>
          <w14:textFill>
            <w14:solidFill>
              <w14:schemeClr w14:val="tx1"/>
            </w14:solidFill>
          </w14:textFill>
        </w:rPr>
        <w:t>日</w:t>
      </w:r>
      <w:r>
        <w:rPr>
          <w:rFonts w:hint="eastAsia" w:ascii="宋体" w:hAnsi="宋体" w:cs="宋体"/>
          <w:b/>
          <w:color w:val="000000" w:themeColor="text1"/>
          <w:sz w:val="30"/>
          <w:szCs w:val="30"/>
          <w:u w:val="none"/>
          <w:lang w:val="en-US" w:eastAsia="zh-CN"/>
          <w14:textFill>
            <w14:solidFill>
              <w14:schemeClr w14:val="tx1"/>
            </w14:solidFill>
          </w14:textFill>
        </w:rPr>
        <w:t xml:space="preserve">      </w:t>
      </w:r>
      <w:r>
        <w:rPr>
          <w:rFonts w:hint="eastAsia" w:ascii="宋体" w:hAnsi="宋体" w:cs="宋体"/>
          <w:b/>
          <w:color w:val="000000" w:themeColor="text1"/>
          <w:sz w:val="30"/>
          <w:szCs w:val="30"/>
          <w:u w:val="none"/>
          <w:lang w:eastAsia="zh-CN"/>
          <w14:textFill>
            <w14:solidFill>
              <w14:schemeClr w14:val="tx1"/>
            </w14:solidFill>
          </w14:textFill>
        </w:rPr>
        <w:t>期：</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年</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月</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日</w:t>
      </w:r>
      <w:bookmarkEnd w:id="268"/>
    </w:p>
    <w:p>
      <w:pPr>
        <w:spacing w:line="360" w:lineRule="auto"/>
        <w:rPr>
          <w:rFonts w:hint="eastAsia" w:ascii="宋体" w:hAnsi="宋体" w:eastAsia="宋体" w:cs="宋体"/>
          <w:color w:val="000000" w:themeColor="text1"/>
          <w14:textFill>
            <w14:solidFill>
              <w14:schemeClr w14:val="tx1"/>
            </w14:solidFill>
          </w14:textFill>
        </w:rPr>
        <w:sectPr>
          <w:footerReference r:id="rId11" w:type="default"/>
          <w:pgSz w:w="11906" w:h="16838"/>
          <w:pgMar w:top="1440" w:right="1440" w:bottom="1440" w:left="1440" w:header="851" w:footer="992" w:gutter="0"/>
          <w:pgNumType w:fmt="decimal"/>
          <w:cols w:space="720" w:num="1"/>
          <w:titlePg/>
          <w:docGrid w:linePitch="312" w:charSpace="0"/>
        </w:sectPr>
      </w:pP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pPr>
      <w:bookmarkStart w:id="269" w:name="_Toc420591666"/>
      <w:bookmarkStart w:id="270" w:name="_Toc421778385"/>
      <w:bookmarkStart w:id="271" w:name="_Toc420591500"/>
      <w:bookmarkStart w:id="272" w:name="_Toc372885969"/>
      <w:r>
        <w:rPr>
          <w:rFonts w:hint="eastAsia" w:ascii="宋体" w:hAnsi="宋体" w:eastAsia="宋体" w:cs="宋体"/>
          <w:b/>
          <w:color w:val="000000" w:themeColor="text1"/>
          <w:sz w:val="44"/>
          <w:szCs w:val="44"/>
          <w14:textFill>
            <w14:solidFill>
              <w14:schemeClr w14:val="tx1"/>
            </w14:solidFill>
          </w14:textFill>
        </w:rPr>
        <w:t>目    录</w:t>
      </w:r>
      <w:bookmarkEnd w:id="269"/>
      <w:bookmarkEnd w:id="270"/>
      <w:bookmarkEnd w:id="271"/>
      <w:bookmarkEnd w:id="272"/>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eastAsia="宋体" w:cs="宋体"/>
          <w:b/>
          <w:bCs/>
          <w:color w:val="000000" w:themeColor="text1"/>
          <w:sz w:val="28"/>
          <w:szCs w:val="24"/>
          <w14:textFill>
            <w14:solidFill>
              <w14:schemeClr w14:val="tx1"/>
            </w14:solidFill>
          </w14:textFill>
        </w:rPr>
        <w:t>一、</w:t>
      </w:r>
      <w:r>
        <w:rPr>
          <w:rFonts w:hint="eastAsia" w:ascii="宋体" w:hAnsi="宋体" w:cs="宋体"/>
          <w:b/>
          <w:bCs/>
          <w:color w:val="000000" w:themeColor="text1"/>
          <w:sz w:val="28"/>
          <w:szCs w:val="24"/>
          <w:lang w:val="en-US" w:eastAsia="zh-CN"/>
          <w14:textFill>
            <w14:solidFill>
              <w14:schemeClr w14:val="tx1"/>
            </w14:solidFill>
          </w14:textFill>
        </w:rPr>
        <w:t>响应</w:t>
      </w:r>
      <w:r>
        <w:rPr>
          <w:rFonts w:hint="eastAsia" w:ascii="宋体" w:hAnsi="宋体" w:eastAsia="宋体" w:cs="宋体"/>
          <w:b/>
          <w:bCs/>
          <w:color w:val="000000" w:themeColor="text1"/>
          <w:sz w:val="28"/>
          <w:szCs w:val="24"/>
          <w14:textFill>
            <w14:solidFill>
              <w14:schemeClr w14:val="tx1"/>
            </w14:solidFill>
          </w14:textFill>
        </w:rPr>
        <w:t>函</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eastAsia="宋体" w:cs="宋体"/>
          <w:b/>
          <w:bCs/>
          <w:color w:val="000000" w:themeColor="text1"/>
          <w:sz w:val="28"/>
          <w:szCs w:val="24"/>
          <w14:textFill>
            <w14:solidFill>
              <w14:schemeClr w14:val="tx1"/>
            </w14:solidFill>
          </w14:textFill>
        </w:rPr>
        <w:t>二、磋商一览表（</w:t>
      </w:r>
      <w:r>
        <w:rPr>
          <w:rFonts w:hint="eastAsia" w:ascii="宋体" w:hAnsi="宋体" w:cs="宋体"/>
          <w:b/>
          <w:bCs/>
          <w:color w:val="000000" w:themeColor="text1"/>
          <w:sz w:val="28"/>
          <w:szCs w:val="24"/>
          <w:lang w:eastAsia="zh-CN"/>
          <w14:textFill>
            <w14:solidFill>
              <w14:schemeClr w14:val="tx1"/>
            </w14:solidFill>
          </w14:textFill>
        </w:rPr>
        <w:t>一</w:t>
      </w:r>
      <w:r>
        <w:rPr>
          <w:rFonts w:hint="eastAsia" w:ascii="宋体" w:hAnsi="宋体" w:eastAsia="宋体" w:cs="宋体"/>
          <w:b/>
          <w:bCs/>
          <w:color w:val="000000" w:themeColor="text1"/>
          <w:sz w:val="28"/>
          <w:szCs w:val="24"/>
          <w14:textFill>
            <w14:solidFill>
              <w14:schemeClr w14:val="tx1"/>
            </w14:solidFill>
          </w14:textFill>
        </w:rPr>
        <w:t>次）</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eastAsia="宋体" w:cs="宋体"/>
          <w:b/>
          <w:bCs/>
          <w:color w:val="000000" w:themeColor="text1"/>
          <w:sz w:val="28"/>
          <w:szCs w:val="24"/>
          <w14:textFill>
            <w14:solidFill>
              <w14:schemeClr w14:val="tx1"/>
            </w14:solidFill>
          </w14:textFill>
        </w:rPr>
        <w:t>三、法定代表人身份证明</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eastAsia="宋体" w:cs="宋体"/>
          <w:b/>
          <w:bCs/>
          <w:color w:val="000000" w:themeColor="text1"/>
          <w:sz w:val="28"/>
          <w:szCs w:val="24"/>
          <w14:textFill>
            <w14:solidFill>
              <w14:schemeClr w14:val="tx1"/>
            </w14:solidFill>
          </w14:textFill>
        </w:rPr>
        <w:t>四、法定代表人授权委托书</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lang w:eastAsia="zh-CN"/>
          <w14:textFill>
            <w14:solidFill>
              <w14:schemeClr w14:val="tx1"/>
            </w14:solidFill>
          </w14:textFill>
        </w:rPr>
        <w:t>五</w:t>
      </w:r>
      <w:r>
        <w:rPr>
          <w:rFonts w:hint="eastAsia" w:ascii="宋体" w:hAnsi="宋体" w:eastAsia="宋体" w:cs="宋体"/>
          <w:b/>
          <w:bCs/>
          <w:color w:val="000000" w:themeColor="text1"/>
          <w:sz w:val="28"/>
          <w:szCs w:val="24"/>
          <w14:textFill>
            <w14:solidFill>
              <w14:schemeClr w14:val="tx1"/>
            </w14:solidFill>
          </w14:textFill>
        </w:rPr>
        <w:t>、技术方案</w:t>
      </w:r>
    </w:p>
    <w:p>
      <w:pPr>
        <w:spacing w:line="360" w:lineRule="auto"/>
        <w:ind w:firstLine="562" w:firstLineChars="200"/>
        <w:rPr>
          <w:rFonts w:hint="eastAsia" w:ascii="宋体" w:hAnsi="宋体" w:cs="宋体"/>
          <w:b/>
          <w:bCs/>
          <w:color w:val="000000" w:themeColor="text1"/>
          <w:sz w:val="28"/>
          <w:szCs w:val="24"/>
          <w:lang w:eastAsia="zh-CN"/>
          <w14:textFill>
            <w14:solidFill>
              <w14:schemeClr w14:val="tx1"/>
            </w14:solidFill>
          </w14:textFill>
        </w:rPr>
      </w:pPr>
      <w:r>
        <w:rPr>
          <w:rFonts w:hint="eastAsia" w:ascii="宋体" w:hAnsi="宋体" w:cs="宋体"/>
          <w:b/>
          <w:bCs/>
          <w:color w:val="000000" w:themeColor="text1"/>
          <w:sz w:val="28"/>
          <w:szCs w:val="24"/>
          <w:lang w:eastAsia="zh-CN"/>
          <w14:textFill>
            <w14:solidFill>
              <w14:schemeClr w14:val="tx1"/>
            </w14:solidFill>
          </w14:textFill>
        </w:rPr>
        <w:t>六</w:t>
      </w:r>
      <w:r>
        <w:rPr>
          <w:rFonts w:hint="eastAsia" w:ascii="宋体" w:hAnsi="宋体" w:eastAsia="宋体" w:cs="宋体"/>
          <w:b/>
          <w:bCs/>
          <w:color w:val="000000" w:themeColor="text1"/>
          <w:sz w:val="28"/>
          <w:szCs w:val="24"/>
          <w14:textFill>
            <w14:solidFill>
              <w14:schemeClr w14:val="tx1"/>
            </w14:solidFill>
          </w14:textFill>
        </w:rPr>
        <w:t>、商务方案</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lang w:val="en-US" w:eastAsia="zh-CN"/>
          <w14:textFill>
            <w14:solidFill>
              <w14:schemeClr w14:val="tx1"/>
            </w14:solidFill>
          </w14:textFill>
        </w:rPr>
        <w:t>七</w:t>
      </w:r>
      <w:r>
        <w:rPr>
          <w:rFonts w:hint="eastAsia" w:ascii="宋体" w:hAnsi="宋体" w:eastAsia="宋体" w:cs="宋体"/>
          <w:b/>
          <w:bCs/>
          <w:color w:val="000000" w:themeColor="text1"/>
          <w:sz w:val="28"/>
          <w:szCs w:val="24"/>
          <w14:textFill>
            <w14:solidFill>
              <w14:schemeClr w14:val="tx1"/>
            </w14:solidFill>
          </w14:textFill>
        </w:rPr>
        <w:t>、陕西省政府采购供应商拒绝政府采购领域商业贿赂承诺书</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lang w:val="en-US" w:eastAsia="zh-CN"/>
          <w14:textFill>
            <w14:solidFill>
              <w14:schemeClr w14:val="tx1"/>
            </w14:solidFill>
          </w14:textFill>
        </w:rPr>
        <w:t>八</w:t>
      </w:r>
      <w:r>
        <w:rPr>
          <w:rFonts w:hint="eastAsia" w:ascii="宋体" w:hAnsi="宋体" w:eastAsia="宋体" w:cs="宋体"/>
          <w:b/>
          <w:bCs/>
          <w:color w:val="000000" w:themeColor="text1"/>
          <w:sz w:val="28"/>
          <w:szCs w:val="24"/>
          <w14:textFill>
            <w14:solidFill>
              <w14:schemeClr w14:val="tx1"/>
            </w14:solidFill>
          </w14:textFill>
        </w:rPr>
        <w:t>、资格审查资料</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lang w:val="en-US" w:eastAsia="zh-CN"/>
          <w14:textFill>
            <w14:solidFill>
              <w14:schemeClr w14:val="tx1"/>
            </w14:solidFill>
          </w14:textFill>
        </w:rPr>
        <w:t>九</w:t>
      </w:r>
      <w:r>
        <w:rPr>
          <w:rFonts w:hint="eastAsia" w:ascii="宋体" w:hAnsi="宋体" w:eastAsia="宋体" w:cs="宋体"/>
          <w:b/>
          <w:bCs/>
          <w:color w:val="000000" w:themeColor="text1"/>
          <w:sz w:val="28"/>
          <w:szCs w:val="24"/>
          <w14:textFill>
            <w14:solidFill>
              <w14:schemeClr w14:val="tx1"/>
            </w14:solidFill>
          </w14:textFill>
        </w:rPr>
        <w:t>、其它资料</w:t>
      </w:r>
    </w:p>
    <w:p>
      <w:pPr>
        <w:pStyle w:val="8"/>
        <w:rPr>
          <w:rFonts w:hint="eastAsia"/>
        </w:rPr>
      </w:pPr>
    </w:p>
    <w:p>
      <w:pPr>
        <w:spacing w:line="360" w:lineRule="auto"/>
        <w:ind w:firstLine="562" w:firstLineChars="200"/>
        <w:rPr>
          <w:rFonts w:hint="eastAsia" w:ascii="宋体" w:hAnsi="宋体" w:eastAsia="宋体" w:cs="宋体"/>
          <w:b/>
          <w:bCs/>
          <w:color w:val="000000"/>
          <w:sz w:val="28"/>
          <w:szCs w:val="28"/>
        </w:rPr>
        <w:sectPr>
          <w:pgSz w:w="11906" w:h="16838"/>
          <w:pgMar w:top="1440" w:right="1440" w:bottom="1440" w:left="1440" w:header="851" w:footer="992" w:gutter="0"/>
          <w:lnNumType w:countBy="0" w:distance="360"/>
          <w:pgNumType w:fmt="decimal"/>
          <w:cols w:space="720" w:num="1"/>
          <w:titlePg/>
          <w:docGrid w:linePitch="312" w:charSpace="0"/>
        </w:sectPr>
      </w:pPr>
      <w:r>
        <w:rPr>
          <w:rFonts w:hint="eastAsia" w:ascii="宋体" w:hAnsi="宋体" w:eastAsia="宋体" w:cs="宋体"/>
          <w:b/>
          <w:bCs/>
          <w:color w:val="000000"/>
          <w:sz w:val="28"/>
          <w:szCs w:val="28"/>
        </w:rPr>
        <w:t>注：以上磋商响应文件内容必须加盖公司公章，否则按无效投标处理</w:t>
      </w:r>
    </w:p>
    <w:p>
      <w:pPr>
        <w:keepLines/>
        <w:pageBreakBefore/>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273" w:name="_Toc425240482"/>
      <w:bookmarkStart w:id="274" w:name="_Toc420591668"/>
      <w:bookmarkStart w:id="275" w:name="_Toc2157"/>
      <w:bookmarkStart w:id="276" w:name="_Toc421778387"/>
      <w:bookmarkStart w:id="277" w:name="_Toc3816"/>
      <w:bookmarkStart w:id="278" w:name="_Toc500323111"/>
      <w:r>
        <w:rPr>
          <w:rFonts w:hint="eastAsia" w:ascii="宋体" w:hAnsi="宋体" w:eastAsia="宋体" w:cs="宋体"/>
          <w:b/>
          <w:color w:val="000000" w:themeColor="text1"/>
          <w:sz w:val="28"/>
          <w:szCs w:val="28"/>
          <w14:textFill>
            <w14:solidFill>
              <w14:schemeClr w14:val="tx1"/>
            </w14:solidFill>
          </w14:textFill>
        </w:rPr>
        <w:t>一、</w:t>
      </w:r>
      <w:r>
        <w:rPr>
          <w:rFonts w:hint="eastAsia" w:ascii="宋体" w:hAnsi="宋体" w:eastAsia="宋体" w:cs="宋体"/>
          <w:b/>
          <w:color w:val="000000" w:themeColor="text1"/>
          <w:sz w:val="28"/>
          <w:szCs w:val="28"/>
          <w:lang w:val="en-US" w:eastAsia="zh-CN"/>
          <w14:textFill>
            <w14:solidFill>
              <w14:schemeClr w14:val="tx1"/>
            </w14:solidFill>
          </w14:textFill>
        </w:rPr>
        <w:t>响应</w:t>
      </w:r>
      <w:r>
        <w:rPr>
          <w:rFonts w:hint="eastAsia" w:ascii="宋体" w:hAnsi="宋体" w:eastAsia="宋体" w:cs="宋体"/>
          <w:b/>
          <w:color w:val="000000" w:themeColor="text1"/>
          <w:sz w:val="28"/>
          <w:szCs w:val="28"/>
          <w14:textFill>
            <w14:solidFill>
              <w14:schemeClr w14:val="tx1"/>
            </w14:solidFill>
          </w14:textFill>
        </w:rPr>
        <w:t>函</w:t>
      </w:r>
    </w:p>
    <w:p>
      <w:pPr>
        <w:spacing w:line="208" w:lineRule="exact"/>
        <w:rPr>
          <w:rFonts w:hint="eastAsia" w:ascii="宋体" w:hAnsi="宋体" w:cs="宋体"/>
        </w:rPr>
      </w:pPr>
    </w:p>
    <w:tbl>
      <w:tblPr>
        <w:tblStyle w:val="33"/>
        <w:tblW w:w="9220" w:type="dxa"/>
        <w:jc w:val="center"/>
        <w:tblLayout w:type="fixed"/>
        <w:tblCellMar>
          <w:top w:w="0" w:type="dxa"/>
          <w:left w:w="108" w:type="dxa"/>
          <w:bottom w:w="0" w:type="dxa"/>
          <w:right w:w="108" w:type="dxa"/>
        </w:tblCellMar>
      </w:tblPr>
      <w:tblGrid>
        <w:gridCol w:w="847"/>
        <w:gridCol w:w="627"/>
        <w:gridCol w:w="1"/>
        <w:gridCol w:w="1507"/>
        <w:gridCol w:w="91"/>
        <w:gridCol w:w="2490"/>
        <w:gridCol w:w="391"/>
        <w:gridCol w:w="192"/>
        <w:gridCol w:w="424"/>
        <w:gridCol w:w="805"/>
        <w:gridCol w:w="1845"/>
      </w:tblGrid>
      <w:tr>
        <w:tblPrEx>
          <w:tblCellMar>
            <w:top w:w="0" w:type="dxa"/>
            <w:left w:w="108" w:type="dxa"/>
            <w:bottom w:w="0" w:type="dxa"/>
            <w:right w:w="108" w:type="dxa"/>
          </w:tblCellMar>
        </w:tblPrEx>
        <w:trPr>
          <w:trHeight w:val="403" w:hRule="atLeast"/>
          <w:jc w:val="center"/>
        </w:trPr>
        <w:tc>
          <w:tcPr>
            <w:tcW w:w="9220"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134" w:firstLineChars="56"/>
              <w:rPr>
                <w:rFonts w:hint="eastAsia" w:ascii="宋体" w:hAnsi="宋体" w:eastAsia="宋体" w:cs="宋体"/>
                <w:sz w:val="24"/>
              </w:rPr>
            </w:pPr>
            <w:r>
              <w:rPr>
                <w:rFonts w:hint="eastAsia" w:ascii="宋体" w:hAnsi="宋体" w:eastAsia="宋体" w:cs="宋体"/>
                <w:sz w:val="24"/>
              </w:rPr>
              <w:t>致：</w:t>
            </w:r>
            <w:r>
              <w:rPr>
                <w:rFonts w:hint="eastAsia" w:ascii="宋体" w:hAnsi="宋体" w:cs="宋体"/>
                <w:sz w:val="24"/>
                <w:lang w:eastAsia="zh-CN"/>
              </w:rPr>
              <w:t>陕西宸永项目管理有限公司</w:t>
            </w:r>
          </w:p>
        </w:tc>
      </w:tr>
      <w:tr>
        <w:tblPrEx>
          <w:tblCellMar>
            <w:top w:w="0" w:type="dxa"/>
            <w:left w:w="108" w:type="dxa"/>
            <w:bottom w:w="0" w:type="dxa"/>
            <w:right w:w="108" w:type="dxa"/>
          </w:tblCellMar>
        </w:tblPrEx>
        <w:trPr>
          <w:trHeight w:val="403" w:hRule="atLeast"/>
          <w:jc w:val="center"/>
        </w:trPr>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jc w:val="center"/>
              <w:rPr>
                <w:rFonts w:hint="eastAsia" w:ascii="宋体" w:hAnsi="宋体" w:eastAsia="宋体" w:cs="宋体"/>
                <w:sz w:val="24"/>
              </w:rPr>
            </w:pPr>
            <w:r>
              <w:rPr>
                <w:rFonts w:hint="eastAsia" w:ascii="宋体" w:hAnsi="宋体" w:eastAsia="宋体" w:cs="宋体"/>
                <w:sz w:val="24"/>
              </w:rPr>
              <w:t>企 业 法 人</w:t>
            </w: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企业名称</w:t>
            </w:r>
          </w:p>
        </w:tc>
        <w:tc>
          <w:tcPr>
            <w:tcW w:w="6238"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法定地址</w:t>
            </w:r>
          </w:p>
        </w:tc>
        <w:tc>
          <w:tcPr>
            <w:tcW w:w="6238"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法定代表人</w:t>
            </w:r>
          </w:p>
        </w:tc>
        <w:tc>
          <w:tcPr>
            <w:tcW w:w="2581"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c>
          <w:tcPr>
            <w:tcW w:w="100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rPr>
                <w:rFonts w:hint="eastAsia" w:ascii="宋体" w:hAnsi="宋体" w:eastAsia="宋体" w:cs="宋体"/>
                <w:sz w:val="24"/>
              </w:rPr>
            </w:pPr>
            <w:r>
              <w:rPr>
                <w:rFonts w:hint="eastAsia" w:ascii="宋体" w:hAnsi="宋体" w:eastAsia="宋体" w:cs="宋体"/>
                <w:sz w:val="24"/>
              </w:rPr>
              <w:t>职 务</w:t>
            </w:r>
          </w:p>
        </w:tc>
        <w:tc>
          <w:tcPr>
            <w:tcW w:w="2650"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响</w:t>
            </w:r>
          </w:p>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应</w:t>
            </w:r>
          </w:p>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与</w:t>
            </w:r>
          </w:p>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声</w:t>
            </w:r>
          </w:p>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明</w:t>
            </w: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项目名称</w:t>
            </w:r>
          </w:p>
        </w:tc>
        <w:tc>
          <w:tcPr>
            <w:tcW w:w="6238"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文件编号</w:t>
            </w:r>
          </w:p>
        </w:tc>
        <w:tc>
          <w:tcPr>
            <w:tcW w:w="6238"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被授权人</w:t>
            </w:r>
          </w:p>
        </w:tc>
        <w:tc>
          <w:tcPr>
            <w:tcW w:w="2581"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260"/>
              </w:tabs>
              <w:ind w:firstLine="459"/>
              <w:rPr>
                <w:rFonts w:hint="eastAsia" w:ascii="宋体" w:hAnsi="宋体" w:eastAsia="宋体" w:cs="宋体"/>
                <w:sz w:val="24"/>
              </w:rPr>
            </w:pPr>
          </w:p>
        </w:tc>
        <w:tc>
          <w:tcPr>
            <w:tcW w:w="100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rPr>
                <w:rFonts w:hint="eastAsia" w:ascii="宋体" w:hAnsi="宋体" w:eastAsia="宋体" w:cs="宋体"/>
                <w:sz w:val="24"/>
              </w:rPr>
            </w:pPr>
            <w:r>
              <w:rPr>
                <w:rFonts w:hint="eastAsia" w:ascii="宋体" w:hAnsi="宋体" w:eastAsia="宋体" w:cs="宋体"/>
                <w:sz w:val="24"/>
              </w:rPr>
              <w:t>职 务</w:t>
            </w:r>
          </w:p>
        </w:tc>
        <w:tc>
          <w:tcPr>
            <w:tcW w:w="2650"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1260"/>
              </w:tabs>
              <w:wordWrap/>
              <w:topLinePunct w:val="0"/>
              <w:bidi w:val="0"/>
              <w:spacing w:line="360" w:lineRule="auto"/>
              <w:jc w:val="both"/>
              <w:rPr>
                <w:rFonts w:hint="eastAsia" w:ascii="宋体" w:hAnsi="宋体" w:eastAsia="宋体" w:cs="宋体"/>
                <w:sz w:val="24"/>
              </w:rPr>
            </w:pPr>
            <w:r>
              <w:rPr>
                <w:rFonts w:hint="eastAsia" w:ascii="宋体" w:hAnsi="宋体" w:eastAsia="宋体" w:cs="宋体"/>
                <w:color w:val="auto"/>
                <w:sz w:val="24"/>
                <w:szCs w:val="24"/>
              </w:rPr>
              <w:t>交纳保证金</w:t>
            </w:r>
          </w:p>
        </w:tc>
        <w:tc>
          <w:tcPr>
            <w:tcW w:w="6238" w:type="dxa"/>
            <w:gridSpan w:val="7"/>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1260"/>
              </w:tabs>
              <w:wordWrap/>
              <w:topLinePunct w:val="0"/>
              <w:bidi w:val="0"/>
              <w:spacing w:line="360" w:lineRule="auto"/>
              <w:jc w:val="both"/>
              <w:rPr>
                <w:rFonts w:hint="eastAsia" w:ascii="宋体" w:hAnsi="宋体" w:eastAsia="宋体" w:cs="宋体"/>
                <w:sz w:val="24"/>
              </w:rPr>
            </w:pPr>
            <w:r>
              <w:rPr>
                <w:rFonts w:hint="eastAsia" w:ascii="宋体" w:hAnsi="宋体" w:eastAsia="宋体" w:cs="宋体"/>
                <w:color w:val="auto"/>
                <w:sz w:val="24"/>
                <w:szCs w:val="24"/>
              </w:rPr>
              <w:t>RMB</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10000</w:t>
            </w:r>
            <w:r>
              <w:rPr>
                <w:rFonts w:hint="eastAsia" w:ascii="宋体" w:hAnsi="宋体" w:eastAsia="宋体" w:cs="宋体"/>
                <w:color w:val="auto"/>
                <w:sz w:val="24"/>
                <w:szCs w:val="24"/>
              </w:rPr>
              <w:t>元。</w:t>
            </w: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8373" w:type="dxa"/>
            <w:gridSpan w:val="10"/>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rPr>
                <w:rFonts w:hint="eastAsia" w:ascii="宋体" w:hAnsi="宋体" w:eastAsia="宋体" w:cs="宋体"/>
                <w:sz w:val="24"/>
              </w:rPr>
            </w:pPr>
            <w:r>
              <w:rPr>
                <w:rFonts w:hint="eastAsia" w:ascii="宋体" w:hAnsi="宋体" w:eastAsia="宋体" w:cs="宋体"/>
                <w:sz w:val="24"/>
              </w:rPr>
              <w:t>作为供应商郑重声明</w:t>
            </w:r>
          </w:p>
        </w:tc>
      </w:tr>
      <w:tr>
        <w:tblPrEx>
          <w:tblCellMar>
            <w:top w:w="0" w:type="dxa"/>
            <w:left w:w="108" w:type="dxa"/>
            <w:bottom w:w="0" w:type="dxa"/>
            <w:right w:w="108" w:type="dxa"/>
          </w:tblCellMar>
        </w:tblPrEx>
        <w:trPr>
          <w:trHeight w:val="690"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A</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依据</w:t>
            </w:r>
            <w:r>
              <w:rPr>
                <w:rFonts w:hint="eastAsia" w:ascii="宋体" w:hAnsi="宋体" w:cs="宋体"/>
                <w:color w:val="auto"/>
                <w:sz w:val="24"/>
                <w:lang w:val="en-US" w:eastAsia="zh-CN"/>
              </w:rPr>
              <w:t>磋商</w:t>
            </w:r>
            <w:r>
              <w:rPr>
                <w:rFonts w:hint="eastAsia" w:ascii="宋体" w:hAnsi="宋体" w:eastAsia="宋体" w:cs="宋体"/>
                <w:sz w:val="24"/>
              </w:rPr>
              <w:t>文件的内容要求，提供完全满足采购需求的合格产品和全面技术、售后服务保障。</w:t>
            </w:r>
          </w:p>
        </w:tc>
      </w:tr>
      <w:tr>
        <w:tblPrEx>
          <w:tblCellMar>
            <w:top w:w="0" w:type="dxa"/>
            <w:left w:w="108" w:type="dxa"/>
            <w:bottom w:w="0" w:type="dxa"/>
            <w:right w:w="108" w:type="dxa"/>
          </w:tblCellMar>
        </w:tblPrEx>
        <w:trPr>
          <w:trHeight w:val="90"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B</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已详细阅读和核实全部</w:t>
            </w:r>
            <w:r>
              <w:rPr>
                <w:rFonts w:hint="eastAsia" w:ascii="宋体" w:hAnsi="宋体" w:cs="宋体"/>
                <w:color w:val="auto"/>
                <w:sz w:val="24"/>
                <w:lang w:val="en-US" w:eastAsia="zh-CN"/>
              </w:rPr>
              <w:t>磋商</w:t>
            </w:r>
            <w:r>
              <w:rPr>
                <w:rFonts w:hint="eastAsia" w:ascii="宋体" w:hAnsi="宋体" w:eastAsia="宋体" w:cs="宋体"/>
                <w:sz w:val="24"/>
              </w:rPr>
              <w:t>文件内容,完全清楚和知道必须放弃提出含糊不清或误解问题的所有权利。</w:t>
            </w: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C</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同意提供与本次</w:t>
            </w:r>
            <w:r>
              <w:rPr>
                <w:rFonts w:hint="eastAsia" w:ascii="宋体" w:hAnsi="宋体" w:cs="宋体"/>
                <w:color w:val="auto"/>
                <w:sz w:val="24"/>
                <w:lang w:val="en-US" w:eastAsia="zh-CN"/>
              </w:rPr>
              <w:t>磋商</w:t>
            </w:r>
            <w:r>
              <w:rPr>
                <w:rFonts w:hint="eastAsia" w:ascii="宋体" w:hAnsi="宋体" w:eastAsia="宋体" w:cs="宋体"/>
                <w:sz w:val="24"/>
              </w:rPr>
              <w:t>采购活动相关的其他任何证据和资料。</w:t>
            </w: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D</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尊重</w:t>
            </w:r>
            <w:r>
              <w:rPr>
                <w:rFonts w:hint="eastAsia" w:ascii="宋体" w:hAnsi="宋体" w:cs="宋体"/>
                <w:color w:val="auto"/>
                <w:sz w:val="24"/>
                <w:lang w:val="en-US" w:eastAsia="zh-CN"/>
              </w:rPr>
              <w:t>磋商</w:t>
            </w:r>
            <w:r>
              <w:rPr>
                <w:rFonts w:hint="eastAsia" w:ascii="宋体" w:hAnsi="宋体" w:eastAsia="宋体" w:cs="宋体"/>
                <w:sz w:val="24"/>
              </w:rPr>
              <w:t>小组的评审结论及成交结果。</w:t>
            </w:r>
          </w:p>
        </w:tc>
      </w:tr>
      <w:tr>
        <w:tblPrEx>
          <w:tblCellMar>
            <w:top w:w="0" w:type="dxa"/>
            <w:left w:w="108" w:type="dxa"/>
            <w:bottom w:w="0" w:type="dxa"/>
            <w:right w:w="108" w:type="dxa"/>
          </w:tblCellMar>
        </w:tblPrEx>
        <w:trPr>
          <w:trHeight w:val="690"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E</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如若成交，将根据</w:t>
            </w:r>
            <w:r>
              <w:rPr>
                <w:rFonts w:hint="eastAsia" w:ascii="宋体" w:hAnsi="宋体" w:cs="宋体"/>
                <w:color w:val="auto"/>
                <w:sz w:val="24"/>
                <w:lang w:val="en-US" w:eastAsia="zh-CN"/>
              </w:rPr>
              <w:t>磋商</w:t>
            </w:r>
            <w:r>
              <w:rPr>
                <w:rFonts w:hint="eastAsia" w:ascii="宋体" w:hAnsi="宋体" w:eastAsia="宋体" w:cs="宋体"/>
                <w:sz w:val="24"/>
              </w:rPr>
              <w:t>文件的要求、响应文件及承诺条件，全面签约并履行约定书规定的责任和义务。</w:t>
            </w: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F</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35" w:firstLineChars="98"/>
              <w:rPr>
                <w:rFonts w:hint="eastAsia" w:ascii="宋体" w:hAnsi="宋体" w:eastAsia="宋体" w:cs="宋体"/>
                <w:sz w:val="24"/>
                <w:lang w:eastAsia="zh-CN"/>
              </w:rPr>
            </w:pPr>
            <w:r>
              <w:rPr>
                <w:rFonts w:hint="eastAsia" w:ascii="宋体" w:hAnsi="宋体" w:eastAsia="宋体" w:cs="宋体"/>
                <w:sz w:val="24"/>
                <w:lang w:eastAsia="zh-CN"/>
              </w:rPr>
              <w:t>本响应</w:t>
            </w:r>
            <w:r>
              <w:rPr>
                <w:rFonts w:hint="eastAsia" w:ascii="宋体" w:hAnsi="宋体" w:eastAsia="宋体" w:cs="宋体"/>
                <w:sz w:val="24"/>
                <w:lang w:val="en-US" w:eastAsia="zh-CN"/>
              </w:rPr>
              <w:t>函</w:t>
            </w:r>
            <w:r>
              <w:rPr>
                <w:rFonts w:hint="eastAsia" w:ascii="宋体" w:hAnsi="宋体" w:eastAsia="宋体" w:cs="宋体"/>
                <w:sz w:val="24"/>
                <w:lang w:eastAsia="zh-CN"/>
              </w:rPr>
              <w:t>有效期</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年  月  日——</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年 月  日</w:t>
            </w:r>
          </w:p>
        </w:tc>
      </w:tr>
      <w:tr>
        <w:tblPrEx>
          <w:tblCellMar>
            <w:top w:w="0" w:type="dxa"/>
            <w:left w:w="108" w:type="dxa"/>
            <w:bottom w:w="0" w:type="dxa"/>
            <w:right w:w="108" w:type="dxa"/>
          </w:tblCellMar>
        </w:tblPrEx>
        <w:trPr>
          <w:trHeight w:val="403" w:hRule="atLeast"/>
          <w:jc w:val="center"/>
        </w:trPr>
        <w:tc>
          <w:tcPr>
            <w:tcW w:w="9220"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1260"/>
              </w:tabs>
              <w:rPr>
                <w:rFonts w:hint="eastAsia" w:ascii="宋体" w:hAnsi="宋体" w:eastAsia="宋体" w:cs="宋体"/>
                <w:sz w:val="24"/>
              </w:rPr>
            </w:pPr>
            <w:r>
              <w:rPr>
                <w:rFonts w:hint="eastAsia" w:ascii="宋体" w:hAnsi="宋体" w:eastAsia="宋体" w:cs="宋体"/>
                <w:sz w:val="24"/>
              </w:rPr>
              <w:t>有关本次</w:t>
            </w:r>
            <w:r>
              <w:rPr>
                <w:rFonts w:hint="eastAsia" w:ascii="宋体" w:hAnsi="宋体" w:cs="宋体"/>
                <w:color w:val="auto"/>
                <w:sz w:val="24"/>
                <w:lang w:val="en-US" w:eastAsia="zh-CN"/>
              </w:rPr>
              <w:t>磋商</w:t>
            </w:r>
            <w:r>
              <w:rPr>
                <w:rFonts w:hint="eastAsia" w:ascii="宋体" w:hAnsi="宋体" w:eastAsia="宋体" w:cs="宋体"/>
                <w:sz w:val="24"/>
              </w:rPr>
              <w:t>的所有联络函电，请按下列方式联系：</w:t>
            </w:r>
          </w:p>
        </w:tc>
      </w:tr>
      <w:tr>
        <w:tblPrEx>
          <w:tblCellMar>
            <w:top w:w="0" w:type="dxa"/>
            <w:left w:w="108" w:type="dxa"/>
            <w:bottom w:w="0" w:type="dxa"/>
            <w:right w:w="108" w:type="dxa"/>
          </w:tblCellMar>
        </w:tblPrEx>
        <w:trPr>
          <w:trHeight w:val="403" w:hRule="atLeast"/>
          <w:jc w:val="center"/>
        </w:trPr>
        <w:tc>
          <w:tcPr>
            <w:tcW w:w="147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地    址</w:t>
            </w:r>
          </w:p>
        </w:tc>
        <w:tc>
          <w:tcPr>
            <w:tcW w:w="4480"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394"/>
              <w:jc w:val="center"/>
              <w:rPr>
                <w:rFonts w:hint="eastAsia" w:ascii="宋体" w:hAnsi="宋体" w:eastAsia="宋体" w:cs="宋体"/>
                <w:sz w:val="24"/>
              </w:rPr>
            </w:pPr>
          </w:p>
        </w:tc>
        <w:tc>
          <w:tcPr>
            <w:tcW w:w="142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邮政编码</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147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电话/传真</w:t>
            </w:r>
          </w:p>
        </w:tc>
        <w:tc>
          <w:tcPr>
            <w:tcW w:w="4480"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394"/>
              <w:jc w:val="center"/>
              <w:rPr>
                <w:rFonts w:hint="eastAsia" w:ascii="宋体" w:hAnsi="宋体" w:eastAsia="宋体" w:cs="宋体"/>
                <w:sz w:val="24"/>
              </w:rPr>
            </w:pPr>
          </w:p>
        </w:tc>
        <w:tc>
          <w:tcPr>
            <w:tcW w:w="142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联 系 人</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147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网    址</w:t>
            </w:r>
          </w:p>
        </w:tc>
        <w:tc>
          <w:tcPr>
            <w:tcW w:w="4480"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394"/>
              <w:jc w:val="center"/>
              <w:rPr>
                <w:rFonts w:hint="eastAsia" w:ascii="宋体" w:hAnsi="宋体" w:eastAsia="宋体" w:cs="宋体"/>
                <w:sz w:val="24"/>
              </w:rPr>
            </w:pPr>
          </w:p>
        </w:tc>
        <w:tc>
          <w:tcPr>
            <w:tcW w:w="142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手机号码</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739" w:hRule="atLeast"/>
          <w:jc w:val="center"/>
        </w:trPr>
        <w:tc>
          <w:tcPr>
            <w:tcW w:w="3073" w:type="dxa"/>
            <w:gridSpan w:val="5"/>
            <w:tcBorders>
              <w:top w:val="single" w:color="auto" w:sz="4" w:space="0"/>
              <w:left w:val="single" w:color="auto" w:sz="4" w:space="0"/>
              <w:bottom w:val="single" w:color="auto" w:sz="4" w:space="0"/>
            </w:tcBorders>
            <w:noWrap w:val="0"/>
            <w:vAlign w:val="center"/>
          </w:tcPr>
          <w:p>
            <w:pPr>
              <w:tabs>
                <w:tab w:val="left" w:pos="1260"/>
              </w:tabs>
              <w:jc w:val="center"/>
              <w:rPr>
                <w:rFonts w:hint="eastAsia" w:ascii="宋体" w:hAnsi="宋体" w:eastAsia="宋体" w:cs="宋体"/>
                <w:bCs/>
                <w:sz w:val="24"/>
              </w:rPr>
            </w:pPr>
            <w:r>
              <w:rPr>
                <w:rFonts w:hint="eastAsia" w:ascii="宋体" w:hAnsi="宋体" w:eastAsia="宋体" w:cs="宋体"/>
                <w:sz w:val="24"/>
              </w:rPr>
              <w:t>供应商</w:t>
            </w:r>
          </w:p>
        </w:tc>
        <w:tc>
          <w:tcPr>
            <w:tcW w:w="3073" w:type="dxa"/>
            <w:gridSpan w:val="3"/>
            <w:tcBorders>
              <w:top w:val="single" w:color="auto" w:sz="4" w:space="0"/>
              <w:left w:val="single" w:color="auto" w:sz="4" w:space="0"/>
              <w:bottom w:val="single" w:color="auto" w:sz="4" w:space="0"/>
            </w:tcBorders>
            <w:noWrap w:val="0"/>
            <w:vAlign w:val="center"/>
          </w:tcPr>
          <w:p>
            <w:pPr>
              <w:tabs>
                <w:tab w:val="left" w:pos="1260"/>
              </w:tabs>
              <w:jc w:val="center"/>
              <w:rPr>
                <w:rFonts w:hint="eastAsia" w:ascii="宋体" w:hAnsi="宋体" w:eastAsia="宋体" w:cs="宋体"/>
                <w:bCs/>
                <w:sz w:val="24"/>
              </w:rPr>
            </w:pPr>
            <w:r>
              <w:rPr>
                <w:rFonts w:hint="eastAsia" w:ascii="宋体" w:hAnsi="宋体" w:eastAsia="宋体" w:cs="宋体"/>
                <w:sz w:val="24"/>
              </w:rPr>
              <w:t>法定代表人或被授权人</w:t>
            </w:r>
          </w:p>
        </w:tc>
        <w:tc>
          <w:tcPr>
            <w:tcW w:w="307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签署日期</w:t>
            </w:r>
          </w:p>
        </w:tc>
      </w:tr>
      <w:tr>
        <w:tblPrEx>
          <w:tblCellMar>
            <w:top w:w="0" w:type="dxa"/>
            <w:left w:w="108" w:type="dxa"/>
            <w:bottom w:w="0" w:type="dxa"/>
            <w:right w:w="108" w:type="dxa"/>
          </w:tblCellMar>
        </w:tblPrEx>
        <w:trPr>
          <w:trHeight w:val="2219" w:hRule="atLeast"/>
          <w:jc w:val="center"/>
        </w:trPr>
        <w:tc>
          <w:tcPr>
            <w:tcW w:w="3073" w:type="dxa"/>
            <w:gridSpan w:val="5"/>
            <w:tcBorders>
              <w:top w:val="single" w:color="auto" w:sz="4" w:space="0"/>
              <w:left w:val="single" w:color="auto" w:sz="4" w:space="0"/>
              <w:bottom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（企业公章）</w:t>
            </w:r>
          </w:p>
        </w:tc>
        <w:tc>
          <w:tcPr>
            <w:tcW w:w="307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bCs/>
                <w:sz w:val="24"/>
              </w:rPr>
            </w:pPr>
            <w:r>
              <w:rPr>
                <w:rFonts w:hint="eastAsia" w:ascii="宋体" w:hAnsi="宋体" w:eastAsia="宋体" w:cs="宋体"/>
                <w:sz w:val="24"/>
              </w:rPr>
              <w:t>（</w:t>
            </w:r>
            <w:r>
              <w:rPr>
                <w:rFonts w:hint="eastAsia" w:ascii="宋体" w:hAnsi="宋体" w:cs="宋体"/>
                <w:sz w:val="24"/>
                <w:lang w:eastAsia="zh-CN"/>
              </w:rPr>
              <w:t>签字或盖章</w:t>
            </w:r>
            <w:r>
              <w:rPr>
                <w:rFonts w:hint="eastAsia" w:ascii="宋体" w:hAnsi="宋体" w:eastAsia="宋体" w:cs="宋体"/>
                <w:sz w:val="24"/>
              </w:rPr>
              <w:t>）</w:t>
            </w:r>
          </w:p>
        </w:tc>
        <w:tc>
          <w:tcPr>
            <w:tcW w:w="307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480" w:firstLineChars="200"/>
              <w:jc w:val="center"/>
              <w:rPr>
                <w:rFonts w:hint="eastAsia" w:ascii="宋体" w:hAnsi="宋体" w:eastAsia="宋体" w:cs="宋体"/>
                <w:bCs/>
                <w:sz w:val="24"/>
              </w:rPr>
            </w:pPr>
            <w:r>
              <w:rPr>
                <w:rFonts w:hint="eastAsia" w:ascii="宋体" w:hAnsi="宋体" w:eastAsia="宋体" w:cs="宋体"/>
                <w:sz w:val="24"/>
              </w:rPr>
              <w:t>年   月   日</w:t>
            </w:r>
          </w:p>
        </w:tc>
      </w:tr>
    </w:tbl>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p>
    <w:p>
      <w:pPr>
        <w:keepLines/>
        <w:pageBreakBefore/>
        <w:numPr>
          <w:ilvl w:val="0"/>
          <w:numId w:val="6"/>
        </w:num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279" w:name="_Toc21622"/>
      <w:bookmarkStart w:id="280" w:name="_Toc526842726"/>
      <w:r>
        <w:rPr>
          <w:rFonts w:hint="eastAsia" w:ascii="宋体" w:hAnsi="宋体" w:eastAsia="宋体" w:cs="宋体"/>
          <w:b/>
          <w:color w:val="000000" w:themeColor="text1"/>
          <w:sz w:val="28"/>
          <w:szCs w:val="28"/>
          <w14:textFill>
            <w14:solidFill>
              <w14:schemeClr w14:val="tx1"/>
            </w14:solidFill>
          </w14:textFill>
        </w:rPr>
        <w:t>磋商一览表</w:t>
      </w:r>
      <w:bookmarkEnd w:id="273"/>
      <w:bookmarkEnd w:id="274"/>
      <w:bookmarkEnd w:id="275"/>
      <w:bookmarkEnd w:id="276"/>
      <w:bookmarkEnd w:id="277"/>
      <w:bookmarkEnd w:id="278"/>
      <w:r>
        <w:rPr>
          <w:rFonts w:hint="eastAsia" w:ascii="宋体" w:hAnsi="宋体" w:eastAsia="宋体" w:cs="宋体"/>
          <w:b/>
          <w:color w:val="000000" w:themeColor="text1"/>
          <w:sz w:val="28"/>
          <w:szCs w:val="28"/>
          <w14:textFill>
            <w14:solidFill>
              <w14:schemeClr w14:val="tx1"/>
            </w14:solidFill>
          </w14:textFill>
        </w:rPr>
        <w:t>（</w:t>
      </w:r>
      <w:r>
        <w:rPr>
          <w:rFonts w:hint="eastAsia" w:ascii="宋体" w:hAnsi="宋体" w:cs="宋体"/>
          <w:b/>
          <w:color w:val="000000" w:themeColor="text1"/>
          <w:sz w:val="28"/>
          <w:szCs w:val="28"/>
          <w:lang w:eastAsia="zh-CN"/>
          <w14:textFill>
            <w14:solidFill>
              <w14:schemeClr w14:val="tx1"/>
            </w14:solidFill>
          </w14:textFill>
        </w:rPr>
        <w:t>一</w:t>
      </w:r>
      <w:r>
        <w:rPr>
          <w:rFonts w:hint="eastAsia" w:ascii="宋体" w:hAnsi="宋体" w:eastAsia="宋体" w:cs="宋体"/>
          <w:b/>
          <w:color w:val="000000" w:themeColor="text1"/>
          <w:sz w:val="28"/>
          <w:szCs w:val="28"/>
          <w14:textFill>
            <w14:solidFill>
              <w14:schemeClr w14:val="tx1"/>
            </w14:solidFill>
          </w14:textFill>
        </w:rPr>
        <w:t>次）</w:t>
      </w:r>
      <w:bookmarkEnd w:id="279"/>
      <w:bookmarkEnd w:id="280"/>
    </w:p>
    <w:p>
      <w:pPr>
        <w:pStyle w:val="8"/>
        <w:numPr>
          <w:ilvl w:val="0"/>
          <w:numId w:val="0"/>
        </w:numPr>
        <w:ind w:leftChars="202"/>
        <w:rPr>
          <w:rFonts w:hint="eastAsia"/>
        </w:rPr>
      </w:pPr>
    </w:p>
    <w:p>
      <w:pPr>
        <w:tabs>
          <w:tab w:val="left" w:pos="7920"/>
        </w:tabs>
        <w:jc w:val="center"/>
        <w:rPr>
          <w:rFonts w:hint="eastAsia" w:ascii="宋体" w:hAnsi="宋体" w:eastAsia="宋体" w:cs="宋体"/>
          <w:b/>
          <w:bCs/>
          <w:sz w:val="28"/>
          <w:szCs w:val="28"/>
          <w:u w:val="single"/>
        </w:rPr>
      </w:pPr>
      <w:r>
        <w:rPr>
          <w:rFonts w:hint="eastAsia" w:ascii="宋体" w:hAnsi="宋体" w:eastAsia="宋体" w:cs="宋体"/>
          <w:b/>
          <w:bCs/>
          <w:sz w:val="28"/>
          <w:szCs w:val="28"/>
          <w:u w:val="single"/>
          <w:lang w:val="en-US" w:eastAsia="zh-CN"/>
        </w:rPr>
        <w:t>2</w:t>
      </w:r>
      <w:r>
        <w:rPr>
          <w:rFonts w:hint="eastAsia" w:ascii="宋体" w:hAnsi="宋体" w:eastAsia="宋体" w:cs="宋体"/>
          <w:b/>
          <w:bCs/>
          <w:sz w:val="28"/>
          <w:szCs w:val="28"/>
          <w:u w:val="single"/>
        </w:rPr>
        <w:t>.1</w:t>
      </w:r>
      <w:r>
        <w:rPr>
          <w:rFonts w:hint="eastAsia" w:ascii="宋体" w:hAnsi="宋体" w:eastAsia="宋体" w:cs="宋体"/>
          <w:b/>
          <w:bCs/>
          <w:sz w:val="28"/>
          <w:szCs w:val="28"/>
          <w:u w:val="single"/>
          <w:lang w:val="en-US" w:eastAsia="zh-CN"/>
        </w:rPr>
        <w:t>磋商</w:t>
      </w:r>
      <w:r>
        <w:rPr>
          <w:rFonts w:hint="eastAsia" w:ascii="宋体" w:hAnsi="宋体" w:eastAsia="宋体" w:cs="宋体"/>
          <w:b/>
          <w:bCs/>
          <w:sz w:val="28"/>
          <w:szCs w:val="28"/>
          <w:u w:val="single"/>
        </w:rPr>
        <w:t>报价总表</w:t>
      </w:r>
    </w:p>
    <w:p>
      <w:pPr>
        <w:autoSpaceDE w:val="0"/>
        <w:autoSpaceDN w:val="0"/>
        <w:adjustRightInd w:val="0"/>
        <w:spacing w:line="360" w:lineRule="auto"/>
        <w:jc w:val="righ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 xml:space="preserve"> </w:t>
      </w:r>
    </w:p>
    <w:p>
      <w:pPr>
        <w:spacing w:line="360" w:lineRule="exact"/>
        <w:rPr>
          <w:rFonts w:hint="eastAsia" w:ascii="宋体" w:hAnsi="宋体" w:eastAsia="宋体" w:cs="宋体"/>
          <w:sz w:val="24"/>
        </w:rPr>
      </w:pPr>
      <w:r>
        <w:rPr>
          <w:rFonts w:hint="eastAsia" w:ascii="宋体" w:hAnsi="宋体" w:eastAsia="宋体" w:cs="宋体"/>
          <w:sz w:val="24"/>
          <w:lang w:eastAsia="zh-CN"/>
        </w:rPr>
        <w:t>项目名称</w:t>
      </w:r>
      <w:r>
        <w:rPr>
          <w:rFonts w:hint="eastAsia" w:ascii="宋体" w:hAnsi="宋体" w:eastAsia="宋体" w:cs="宋体"/>
          <w:sz w:val="24"/>
          <w:lang w:val="en-US" w:eastAsia="zh-CN"/>
        </w:rPr>
        <w:t>:</w:t>
      </w:r>
      <w:r>
        <w:rPr>
          <w:rFonts w:hint="eastAsia" w:ascii="宋体" w:hAnsi="宋体" w:eastAsia="宋体" w:cs="宋体"/>
          <w:sz w:val="24"/>
        </w:rPr>
        <w:t xml:space="preserve">  </w:t>
      </w:r>
      <w:r>
        <w:rPr>
          <w:rFonts w:hint="eastAsia" w:ascii="宋体" w:hAnsi="宋体" w:cs="宋体"/>
          <w:sz w:val="24"/>
          <w:lang w:val="en-US" w:eastAsia="zh-CN"/>
        </w:rPr>
        <w:t xml:space="preserve">                                                 单位 ：元</w:t>
      </w:r>
      <w:r>
        <w:rPr>
          <w:rFonts w:hint="eastAsia" w:ascii="宋体" w:hAnsi="宋体" w:eastAsia="宋体" w:cs="宋体"/>
          <w:sz w:val="24"/>
        </w:rPr>
        <w:t xml:space="preserve">    </w:t>
      </w:r>
    </w:p>
    <w:p>
      <w:pPr>
        <w:spacing w:line="360" w:lineRule="exact"/>
        <w:rPr>
          <w:rFonts w:hint="eastAsia" w:ascii="宋体" w:hAnsi="宋体" w:eastAsia="宋体" w:cs="宋体"/>
          <w:sz w:val="22"/>
          <w:szCs w:val="44"/>
        </w:rPr>
      </w:pPr>
      <w:r>
        <w:rPr>
          <w:rFonts w:hint="eastAsia" w:ascii="宋体" w:hAnsi="宋体" w:eastAsia="宋体" w:cs="宋体"/>
          <w:sz w:val="24"/>
        </w:rPr>
        <w:t xml:space="preserve">                                              </w:t>
      </w:r>
    </w:p>
    <w:tbl>
      <w:tblPr>
        <w:tblStyle w:val="33"/>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2367"/>
        <w:gridCol w:w="1750"/>
        <w:gridCol w:w="1650"/>
        <w:gridCol w:w="1425"/>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1151" w:hRule="atLeast"/>
        </w:trPr>
        <w:tc>
          <w:tcPr>
            <w:tcW w:w="2185" w:type="dxa"/>
            <w:noWrap w:val="0"/>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竞争性</w:t>
            </w:r>
            <w:r>
              <w:rPr>
                <w:rFonts w:hint="eastAsia" w:ascii="宋体" w:hAnsi="宋体" w:cs="宋体"/>
                <w:color w:val="auto"/>
                <w:sz w:val="24"/>
                <w:lang w:val="en-US" w:eastAsia="zh-CN"/>
              </w:rPr>
              <w:t>磋商</w:t>
            </w:r>
            <w:r>
              <w:rPr>
                <w:rFonts w:hint="eastAsia" w:ascii="宋体" w:hAnsi="宋体" w:eastAsia="宋体" w:cs="宋体"/>
                <w:sz w:val="24"/>
              </w:rPr>
              <w:t>供应商</w:t>
            </w:r>
          </w:p>
        </w:tc>
        <w:tc>
          <w:tcPr>
            <w:tcW w:w="2367" w:type="dxa"/>
            <w:noWrap w:val="0"/>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竞争性</w:t>
            </w:r>
            <w:r>
              <w:rPr>
                <w:rFonts w:hint="eastAsia" w:ascii="宋体" w:hAnsi="宋体" w:cs="宋体"/>
                <w:color w:val="auto"/>
                <w:sz w:val="24"/>
                <w:lang w:val="en-US" w:eastAsia="zh-CN"/>
              </w:rPr>
              <w:t>磋商</w:t>
            </w:r>
            <w:r>
              <w:rPr>
                <w:rFonts w:hint="eastAsia" w:ascii="宋体" w:hAnsi="宋体" w:eastAsia="宋体" w:cs="宋体"/>
                <w:sz w:val="24"/>
              </w:rPr>
              <w:t>报价</w:t>
            </w:r>
          </w:p>
          <w:p>
            <w:pPr>
              <w:jc w:val="center"/>
              <w:rPr>
                <w:rFonts w:hint="eastAsia" w:ascii="宋体" w:hAnsi="宋体" w:eastAsia="宋体" w:cs="宋体"/>
                <w:sz w:val="24"/>
              </w:rPr>
            </w:pPr>
            <w:r>
              <w:rPr>
                <w:rFonts w:hint="eastAsia" w:ascii="宋体" w:hAnsi="宋体" w:eastAsia="宋体" w:cs="宋体"/>
                <w:sz w:val="24"/>
              </w:rPr>
              <w:t>（小写、元）</w:t>
            </w:r>
          </w:p>
          <w:p>
            <w:pPr>
              <w:jc w:val="center"/>
              <w:rPr>
                <w:rFonts w:hint="eastAsia" w:ascii="宋体" w:hAnsi="宋体" w:eastAsia="宋体" w:cs="宋体"/>
                <w:color w:val="000000"/>
                <w:sz w:val="24"/>
              </w:rPr>
            </w:pPr>
          </w:p>
        </w:tc>
        <w:tc>
          <w:tcPr>
            <w:tcW w:w="1750" w:type="dxa"/>
            <w:noWrap w:val="0"/>
            <w:vAlign w:val="center"/>
          </w:tcPr>
          <w:p>
            <w:pPr>
              <w:jc w:val="center"/>
              <w:rPr>
                <w:rFonts w:hint="eastAsia" w:ascii="宋体" w:hAnsi="宋体" w:eastAsia="宋体" w:cs="宋体"/>
                <w:color w:val="000000"/>
                <w:sz w:val="24"/>
              </w:rPr>
            </w:pPr>
            <w:r>
              <w:rPr>
                <w:rFonts w:hint="eastAsia" w:ascii="宋体" w:hAnsi="宋体" w:cs="宋体"/>
                <w:color w:val="000000"/>
                <w:sz w:val="24"/>
                <w:lang w:eastAsia="zh-CN"/>
              </w:rPr>
              <w:t>工期</w:t>
            </w:r>
          </w:p>
        </w:tc>
        <w:tc>
          <w:tcPr>
            <w:tcW w:w="1650" w:type="dxa"/>
            <w:noWrap w:val="0"/>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质保期</w:t>
            </w:r>
          </w:p>
        </w:tc>
        <w:tc>
          <w:tcPr>
            <w:tcW w:w="1425" w:type="dxa"/>
            <w:noWrap w:val="0"/>
            <w:vAlign w:val="center"/>
          </w:tcPr>
          <w:p>
            <w:pPr>
              <w:jc w:val="center"/>
              <w:rPr>
                <w:rFonts w:hint="eastAsia" w:ascii="宋体" w:hAnsi="宋体" w:eastAsia="宋体" w:cs="宋体"/>
                <w:color w:val="000000"/>
                <w:sz w:val="24"/>
              </w:rPr>
            </w:pPr>
            <w:r>
              <w:rPr>
                <w:rFonts w:hint="eastAsia" w:ascii="宋体" w:hAnsi="宋体" w:cs="宋体"/>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341" w:hRule="atLeast"/>
        </w:trPr>
        <w:tc>
          <w:tcPr>
            <w:tcW w:w="2185" w:type="dxa"/>
            <w:noWrap w:val="0"/>
            <w:vAlign w:val="center"/>
          </w:tcPr>
          <w:p>
            <w:pPr>
              <w:rPr>
                <w:rFonts w:hint="eastAsia" w:ascii="宋体" w:hAnsi="宋体" w:eastAsia="宋体" w:cs="宋体"/>
                <w:color w:val="000000"/>
                <w:sz w:val="24"/>
              </w:rPr>
            </w:pPr>
          </w:p>
        </w:tc>
        <w:tc>
          <w:tcPr>
            <w:tcW w:w="2367" w:type="dxa"/>
            <w:noWrap w:val="0"/>
            <w:vAlign w:val="center"/>
          </w:tcPr>
          <w:p>
            <w:pPr>
              <w:rPr>
                <w:rFonts w:hint="eastAsia" w:ascii="宋体" w:hAnsi="宋体" w:eastAsia="宋体" w:cs="宋体"/>
                <w:color w:val="000000"/>
                <w:sz w:val="24"/>
              </w:rPr>
            </w:pPr>
          </w:p>
        </w:tc>
        <w:tc>
          <w:tcPr>
            <w:tcW w:w="1750" w:type="dxa"/>
            <w:noWrap w:val="0"/>
            <w:vAlign w:val="center"/>
          </w:tcPr>
          <w:p>
            <w:pPr>
              <w:rPr>
                <w:rFonts w:hint="eastAsia" w:ascii="宋体" w:hAnsi="宋体" w:eastAsia="宋体" w:cs="宋体"/>
                <w:color w:val="000000"/>
                <w:sz w:val="24"/>
              </w:rPr>
            </w:pPr>
          </w:p>
        </w:tc>
        <w:tc>
          <w:tcPr>
            <w:tcW w:w="1650" w:type="dxa"/>
            <w:noWrap w:val="0"/>
            <w:vAlign w:val="center"/>
          </w:tcPr>
          <w:p>
            <w:pPr>
              <w:rPr>
                <w:rFonts w:hint="eastAsia" w:ascii="宋体" w:hAnsi="宋体" w:eastAsia="宋体" w:cs="宋体"/>
                <w:color w:val="000000"/>
                <w:sz w:val="24"/>
              </w:rPr>
            </w:pPr>
          </w:p>
        </w:tc>
        <w:tc>
          <w:tcPr>
            <w:tcW w:w="1425" w:type="dxa"/>
            <w:noWrap w:val="0"/>
            <w:vAlign w:val="center"/>
          </w:tcPr>
          <w:p>
            <w:pP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8" w:hRule="atLeast"/>
        </w:trPr>
        <w:tc>
          <w:tcPr>
            <w:tcW w:w="2185" w:type="dxa"/>
            <w:noWrap w:val="0"/>
            <w:vAlign w:val="center"/>
          </w:tcPr>
          <w:p>
            <w:pPr>
              <w:tabs>
                <w:tab w:val="left" w:pos="5110"/>
              </w:tabs>
              <w:spacing w:line="360" w:lineRule="auto"/>
              <w:ind w:right="280"/>
              <w:jc w:val="center"/>
              <w:rPr>
                <w:rFonts w:hint="eastAsia" w:ascii="宋体" w:hAnsi="宋体" w:eastAsia="宋体" w:cs="宋体"/>
                <w:sz w:val="24"/>
              </w:rPr>
            </w:pPr>
            <w:r>
              <w:rPr>
                <w:rFonts w:hint="eastAsia" w:ascii="宋体" w:hAnsi="宋体" w:eastAsia="宋体" w:cs="宋体"/>
                <w:sz w:val="24"/>
              </w:rPr>
              <w:t>竞争性</w:t>
            </w:r>
            <w:r>
              <w:rPr>
                <w:rFonts w:hint="eastAsia" w:ascii="宋体" w:hAnsi="宋体" w:cs="宋体"/>
                <w:color w:val="auto"/>
                <w:sz w:val="24"/>
                <w:lang w:val="en-US" w:eastAsia="zh-CN"/>
              </w:rPr>
              <w:t>磋商</w:t>
            </w:r>
            <w:r>
              <w:rPr>
                <w:rFonts w:hint="eastAsia" w:ascii="宋体" w:hAnsi="宋体" w:eastAsia="宋体" w:cs="宋体"/>
                <w:sz w:val="24"/>
              </w:rPr>
              <w:t>报价</w:t>
            </w:r>
          </w:p>
          <w:p>
            <w:pPr>
              <w:tabs>
                <w:tab w:val="left" w:pos="5110"/>
              </w:tabs>
              <w:spacing w:line="360" w:lineRule="auto"/>
              <w:ind w:right="280"/>
              <w:jc w:val="center"/>
              <w:rPr>
                <w:rFonts w:hint="eastAsia" w:ascii="宋体" w:hAnsi="宋体" w:eastAsia="宋体" w:cs="宋体"/>
                <w:sz w:val="24"/>
              </w:rPr>
            </w:pPr>
            <w:r>
              <w:rPr>
                <w:rFonts w:hint="eastAsia" w:ascii="宋体" w:hAnsi="宋体" w:eastAsia="宋体" w:cs="宋体"/>
                <w:sz w:val="24"/>
              </w:rPr>
              <w:t>（大写、元）人民币</w:t>
            </w:r>
          </w:p>
        </w:tc>
        <w:tc>
          <w:tcPr>
            <w:tcW w:w="7194" w:type="dxa"/>
            <w:gridSpan w:val="5"/>
            <w:noWrap w:val="0"/>
            <w:vAlign w:val="top"/>
          </w:tcPr>
          <w:p>
            <w:pPr>
              <w:tabs>
                <w:tab w:val="left" w:pos="5110"/>
              </w:tabs>
              <w:ind w:right="280"/>
              <w:rPr>
                <w:rFonts w:hint="eastAsia" w:ascii="宋体" w:hAnsi="宋体" w:eastAsia="宋体" w:cs="宋体"/>
                <w:sz w:val="24"/>
              </w:rPr>
            </w:pPr>
          </w:p>
        </w:tc>
      </w:tr>
    </w:tbl>
    <w:p>
      <w:pPr>
        <w:spacing w:line="480" w:lineRule="exact"/>
        <w:jc w:val="center"/>
        <w:rPr>
          <w:rFonts w:hint="eastAsia" w:ascii="宋体" w:hAnsi="宋体" w:eastAsia="宋体" w:cs="宋体"/>
          <w:bCs/>
          <w:sz w:val="44"/>
          <w:szCs w:val="44"/>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注：以上表内报价内容以元为单位，保留小数点后两位。</w:t>
      </w:r>
    </w:p>
    <w:p>
      <w:pPr>
        <w:spacing w:line="360" w:lineRule="auto"/>
        <w:ind w:firstLine="4440" w:firstLineChars="1850"/>
        <w:jc w:val="left"/>
        <w:rPr>
          <w:rFonts w:hint="eastAsia" w:ascii="宋体" w:hAnsi="宋体" w:eastAsia="宋体" w:cs="宋体"/>
          <w:color w:val="000000" w:themeColor="text1"/>
          <w:sz w:val="24"/>
          <w14:textFill>
            <w14:solidFill>
              <w14:schemeClr w14:val="tx1"/>
            </w14:solidFill>
          </w14:textFill>
        </w:rPr>
      </w:pPr>
    </w:p>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tabs>
          <w:tab w:val="left" w:pos="5110"/>
        </w:tabs>
        <w:ind w:right="280"/>
        <w:jc w:val="center"/>
        <w:rPr>
          <w:rFonts w:hint="eastAsia" w:ascii="黑体" w:hAnsi="黑体" w:eastAsia="黑体" w:cs="黑体"/>
          <w:sz w:val="32"/>
          <w:szCs w:val="44"/>
          <w:u w:val="single"/>
        </w:rPr>
      </w:pPr>
    </w:p>
    <w:p>
      <w:pPr>
        <w:pStyle w:val="8"/>
        <w:rPr>
          <w:rFonts w:hint="eastAsia"/>
        </w:rPr>
      </w:pPr>
    </w:p>
    <w:p>
      <w:pPr>
        <w:tabs>
          <w:tab w:val="left" w:pos="5110"/>
        </w:tabs>
        <w:ind w:right="280"/>
        <w:jc w:val="center"/>
        <w:rPr>
          <w:rFonts w:hint="eastAsia" w:ascii="黑体" w:hAnsi="黑体" w:eastAsia="黑体" w:cs="黑体"/>
          <w:sz w:val="32"/>
          <w:szCs w:val="44"/>
          <w:u w:val="single"/>
        </w:rPr>
      </w:pPr>
    </w:p>
    <w:p>
      <w:pPr>
        <w:pStyle w:val="16"/>
        <w:rPr>
          <w:rFonts w:hint="eastAsia" w:ascii="黑体" w:hAnsi="黑体" w:eastAsia="黑体" w:cs="黑体"/>
          <w:sz w:val="32"/>
          <w:szCs w:val="44"/>
          <w:u w:val="single"/>
        </w:rPr>
      </w:pPr>
    </w:p>
    <w:p>
      <w:pPr>
        <w:rPr>
          <w:rFonts w:hint="eastAsia"/>
        </w:rPr>
      </w:pPr>
    </w:p>
    <w:p>
      <w:pPr>
        <w:rPr>
          <w:rFonts w:hint="eastAsia"/>
        </w:rPr>
      </w:pPr>
    </w:p>
    <w:p>
      <w:pPr>
        <w:tabs>
          <w:tab w:val="left" w:pos="5110"/>
        </w:tabs>
        <w:ind w:right="280"/>
        <w:jc w:val="center"/>
        <w:rPr>
          <w:rFonts w:hint="eastAsia" w:ascii="黑体" w:hAnsi="黑体" w:eastAsia="黑体" w:cs="黑体"/>
          <w:sz w:val="32"/>
          <w:szCs w:val="44"/>
          <w:u w:val="single"/>
          <w:lang w:val="en-US" w:eastAsia="zh-CN"/>
        </w:rPr>
      </w:pPr>
    </w:p>
    <w:p>
      <w:pPr>
        <w:tabs>
          <w:tab w:val="left" w:pos="5110"/>
        </w:tabs>
        <w:ind w:right="280"/>
        <w:jc w:val="center"/>
        <w:rPr>
          <w:rFonts w:hint="eastAsia" w:ascii="宋体" w:hAnsi="宋体" w:eastAsia="宋体" w:cs="宋体"/>
          <w:b/>
          <w:bCs/>
          <w:sz w:val="28"/>
          <w:szCs w:val="40"/>
          <w:u w:val="single"/>
        </w:rPr>
      </w:pPr>
      <w:r>
        <w:rPr>
          <w:rFonts w:hint="eastAsia" w:ascii="宋体" w:hAnsi="宋体" w:eastAsia="宋体" w:cs="宋体"/>
          <w:b/>
          <w:bCs/>
          <w:sz w:val="28"/>
          <w:szCs w:val="40"/>
          <w:u w:val="single"/>
          <w:lang w:val="en-US" w:eastAsia="zh-CN"/>
        </w:rPr>
        <w:t>2</w:t>
      </w:r>
      <w:r>
        <w:rPr>
          <w:rFonts w:hint="eastAsia" w:ascii="宋体" w:hAnsi="宋体" w:eastAsia="宋体" w:cs="宋体"/>
          <w:b/>
          <w:bCs/>
          <w:sz w:val="28"/>
          <w:szCs w:val="40"/>
          <w:u w:val="single"/>
        </w:rPr>
        <w:t>.2磋商分项报价表</w:t>
      </w:r>
    </w:p>
    <w:p>
      <w:pPr>
        <w:pStyle w:val="8"/>
        <w:rPr>
          <w:rFonts w:hint="eastAsia"/>
        </w:rPr>
      </w:pPr>
    </w:p>
    <w:p>
      <w:pPr>
        <w:adjustRightInd w:val="0"/>
        <w:snapToGrid w:val="0"/>
        <w:spacing w:line="360" w:lineRule="auto"/>
        <w:ind w:hanging="3648"/>
        <w:jc w:val="right"/>
        <w:rPr>
          <w:rFonts w:hint="eastAsia" w:ascii="宋体" w:hAnsi="宋体" w:eastAsia="宋体" w:cs="宋体"/>
          <w:bCs/>
          <w:color w:val="000000"/>
          <w:sz w:val="28"/>
          <w:szCs w:val="28"/>
        </w:rPr>
      </w:pPr>
      <w:r>
        <w:rPr>
          <w:rFonts w:hint="eastAsia" w:ascii="宋体" w:hAnsi="宋体" w:eastAsia="宋体" w:cs="宋体"/>
          <w:bCs/>
          <w:color w:val="000000"/>
          <w:sz w:val="28"/>
          <w:szCs w:val="28"/>
        </w:rPr>
        <w:t>单位：元</w:t>
      </w:r>
    </w:p>
    <w:p>
      <w:pPr>
        <w:tabs>
          <w:tab w:val="left" w:pos="5110"/>
        </w:tabs>
        <w:ind w:right="280"/>
        <w:jc w:val="center"/>
        <w:rPr>
          <w:rFonts w:hint="eastAsia" w:ascii="宋体" w:hAnsi="宋体" w:eastAsia="宋体" w:cs="宋体"/>
          <w:b/>
          <w:bCs/>
          <w:sz w:val="28"/>
          <w:szCs w:val="40"/>
          <w:u w:val="single"/>
          <w:lang w:val="en-US" w:eastAsia="zh-CN"/>
        </w:rPr>
      </w:pPr>
    </w:p>
    <w:p>
      <w:pPr>
        <w:pStyle w:val="8"/>
        <w:rPr>
          <w:rFonts w:hint="eastAsia" w:ascii="宋体" w:hAnsi="宋体" w:eastAsia="宋体" w:cs="宋体"/>
          <w:b/>
          <w:bCs/>
          <w:sz w:val="28"/>
          <w:szCs w:val="40"/>
          <w:u w:val="single"/>
          <w:lang w:val="en-US" w:eastAsia="zh-CN"/>
        </w:rPr>
      </w:pPr>
    </w:p>
    <w:p>
      <w:pPr>
        <w:pStyle w:val="8"/>
        <w:rPr>
          <w:rFonts w:hint="eastAsia" w:ascii="宋体" w:hAnsi="宋体" w:eastAsia="宋体" w:cs="宋体"/>
          <w:b/>
          <w:bCs/>
          <w:sz w:val="28"/>
          <w:szCs w:val="40"/>
          <w:u w:val="single"/>
          <w:lang w:val="en-US" w:eastAsia="zh-CN"/>
        </w:rPr>
      </w:pPr>
    </w:p>
    <w:p>
      <w:pPr>
        <w:pStyle w:val="8"/>
        <w:rPr>
          <w:rFonts w:hint="eastAsia" w:ascii="宋体" w:hAnsi="宋体" w:eastAsia="宋体" w:cs="宋体"/>
          <w:b/>
          <w:bCs/>
          <w:sz w:val="28"/>
          <w:szCs w:val="40"/>
          <w:u w:val="single"/>
          <w:lang w:val="en-US" w:eastAsia="zh-CN"/>
        </w:rPr>
      </w:pPr>
    </w:p>
    <w:p>
      <w:pPr>
        <w:pStyle w:val="8"/>
        <w:rPr>
          <w:rFonts w:hint="eastAsia"/>
          <w:lang w:val="en-US" w:eastAsia="zh-CN"/>
        </w:rPr>
      </w:pPr>
    </w:p>
    <w:p>
      <w:pPr>
        <w:tabs>
          <w:tab w:val="left" w:pos="5110"/>
        </w:tabs>
        <w:ind w:right="280"/>
        <w:jc w:val="center"/>
        <w:rPr>
          <w:rFonts w:hint="eastAsia" w:ascii="黑体" w:hAnsi="黑体" w:eastAsia="黑体" w:cs="黑体"/>
          <w:sz w:val="32"/>
          <w:szCs w:val="44"/>
          <w:u w:val="single"/>
        </w:rPr>
      </w:pPr>
    </w:p>
    <w:p>
      <w:pPr>
        <w:tabs>
          <w:tab w:val="left" w:pos="5110"/>
        </w:tabs>
        <w:ind w:right="280"/>
        <w:jc w:val="center"/>
        <w:rPr>
          <w:rFonts w:hint="eastAsia" w:ascii="宋体" w:hAnsi="宋体" w:eastAsia="宋体" w:cs="宋体"/>
          <w:bCs/>
          <w:sz w:val="28"/>
          <w:szCs w:val="28"/>
          <w:lang w:eastAsia="zh-CN"/>
        </w:rPr>
      </w:pPr>
      <w:r>
        <w:rPr>
          <w:rFonts w:hint="eastAsia" w:ascii="宋体" w:hAnsi="宋体" w:cs="宋体"/>
          <w:bCs/>
          <w:sz w:val="28"/>
          <w:szCs w:val="28"/>
          <w:lang w:eastAsia="zh-CN"/>
        </w:rPr>
        <w:t>格式自拟</w:t>
      </w:r>
    </w:p>
    <w:p>
      <w:pPr>
        <w:snapToGrid w:val="0"/>
        <w:spacing w:line="336" w:lineRule="auto"/>
        <w:ind w:left="-96" w:firstLine="102"/>
        <w:rPr>
          <w:rFonts w:hint="eastAsia" w:ascii="宋体" w:hAnsi="宋体" w:cs="宋体"/>
          <w:bCs/>
          <w:sz w:val="24"/>
        </w:rPr>
      </w:pPr>
    </w:p>
    <w:p>
      <w:pPr>
        <w:pStyle w:val="17"/>
        <w:ind w:left="0" w:leftChars="0" w:firstLine="0" w:firstLineChars="0"/>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ind w:left="0" w:leftChars="0" w:firstLine="0" w:firstLineChars="0"/>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adjustRightInd w:val="0"/>
        <w:snapToGrid w:val="0"/>
        <w:spacing w:line="360" w:lineRule="auto"/>
        <w:rPr>
          <w:rFonts w:hint="eastAsia" w:ascii="宋体" w:hAnsi="宋体" w:eastAsia="宋体" w:cs="宋体"/>
          <w:bCs/>
          <w:color w:val="000000"/>
          <w:sz w:val="24"/>
        </w:rPr>
      </w:pPr>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bookmarkStart w:id="281" w:name="_Toc8191"/>
      <w:bookmarkStart w:id="282" w:name="_Toc421778388"/>
      <w:bookmarkStart w:id="283" w:name="_Toc526842727"/>
      <w:bookmarkStart w:id="284" w:name="_Toc425240483"/>
      <w:bookmarkStart w:id="285" w:name="_Toc500323112"/>
      <w:bookmarkStart w:id="286" w:name="_Toc420591669"/>
      <w:bookmarkStart w:id="287" w:name="_Toc29180"/>
      <w:r>
        <w:rPr>
          <w:rFonts w:hint="eastAsia" w:ascii="宋体" w:hAnsi="宋体" w:eastAsia="宋体" w:cs="宋体"/>
          <w:b/>
          <w:color w:val="000000" w:themeColor="text1"/>
          <w:sz w:val="28"/>
          <w:szCs w:val="28"/>
          <w14:textFill>
            <w14:solidFill>
              <w14:schemeClr w14:val="tx1"/>
            </w14:solidFill>
          </w14:textFill>
        </w:rPr>
        <w:t>三、法定代表人身份证明</w:t>
      </w:r>
      <w:bookmarkEnd w:id="281"/>
      <w:bookmarkEnd w:id="282"/>
      <w:bookmarkEnd w:id="283"/>
      <w:bookmarkEnd w:id="284"/>
      <w:bookmarkEnd w:id="285"/>
      <w:bookmarkEnd w:id="286"/>
      <w:bookmarkEnd w:id="287"/>
    </w:p>
    <w:tbl>
      <w:tblPr>
        <w:tblStyle w:val="33"/>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240"/>
        <w:gridCol w:w="2950"/>
        <w:gridCol w:w="1039"/>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200" w:type="dxa"/>
            <w:gridSpan w:val="5"/>
            <w:noWrap w:val="0"/>
            <w:vAlign w:val="top"/>
          </w:tcPr>
          <w:p>
            <w:pPr>
              <w:tabs>
                <w:tab w:val="left" w:pos="1260"/>
              </w:tabs>
              <w:spacing w:line="440" w:lineRule="exact"/>
              <w:rPr>
                <w:rFonts w:hint="eastAsia" w:ascii="宋体" w:hAnsi="宋体" w:eastAsia="宋体" w:cs="宋体"/>
                <w:bCs/>
                <w:sz w:val="24"/>
                <w:lang w:eastAsia="zh-CN"/>
              </w:rPr>
            </w:pPr>
            <w:bookmarkStart w:id="288" w:name="_Toc420591670"/>
            <w:bookmarkStart w:id="289" w:name="_Toc421778389"/>
            <w:bookmarkStart w:id="290" w:name="_Toc526842728"/>
            <w:bookmarkStart w:id="291" w:name="_Toc32762"/>
            <w:bookmarkStart w:id="292" w:name="_Toc425240484"/>
            <w:bookmarkStart w:id="293" w:name="_Toc13782"/>
            <w:bookmarkStart w:id="294" w:name="_Toc500323113"/>
            <w:r>
              <w:rPr>
                <w:rFonts w:hint="eastAsia" w:ascii="宋体" w:hAnsi="宋体" w:eastAsia="宋体" w:cs="宋体"/>
                <w:sz w:val="24"/>
              </w:rPr>
              <w:t>致：</w:t>
            </w:r>
            <w:r>
              <w:rPr>
                <w:rFonts w:hint="eastAsia" w:ascii="宋体" w:hAnsi="宋体" w:cs="宋体"/>
                <w:sz w:val="24"/>
                <w:lang w:eastAsia="zh-CN"/>
              </w:rPr>
              <w:t>陕西宸永项目管理有限公司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restart"/>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企</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业</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w:t>
            </w:r>
          </w:p>
          <w:p>
            <w:pPr>
              <w:tabs>
                <w:tab w:val="left" w:pos="1260"/>
              </w:tabs>
              <w:spacing w:line="440" w:lineRule="exact"/>
              <w:jc w:val="center"/>
              <w:rPr>
                <w:rFonts w:hint="eastAsia" w:ascii="宋体" w:hAnsi="宋体" w:eastAsia="宋体" w:cs="宋体"/>
                <w:bCs/>
                <w:sz w:val="24"/>
              </w:rPr>
            </w:pPr>
            <w:r>
              <w:rPr>
                <w:rFonts w:hint="eastAsia" w:ascii="宋体" w:hAnsi="宋体" w:eastAsia="宋体" w:cs="宋体"/>
                <w:sz w:val="24"/>
              </w:rPr>
              <w:t>人</w:t>
            </w: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企业名称</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法定地址</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邮政编码</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网    址</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top"/>
          </w:tcPr>
          <w:p>
            <w:pPr>
              <w:tabs>
                <w:tab w:val="left" w:pos="1260"/>
              </w:tabs>
              <w:spacing w:line="440" w:lineRule="exact"/>
              <w:jc w:val="center"/>
              <w:rPr>
                <w:rFonts w:hint="eastAsia" w:ascii="宋体" w:hAnsi="宋体" w:eastAsia="宋体" w:cs="宋体"/>
                <w:bCs/>
                <w:sz w:val="24"/>
              </w:rPr>
            </w:pPr>
            <w:r>
              <w:rPr>
                <w:rFonts w:hint="eastAsia" w:ascii="宋体" w:hAnsi="宋体" w:eastAsia="宋体" w:cs="宋体"/>
                <w:sz w:val="24"/>
              </w:rPr>
              <w:t>工商登记机关</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税务登记机关</w:t>
            </w:r>
          </w:p>
        </w:tc>
        <w:tc>
          <w:tcPr>
            <w:tcW w:w="6140" w:type="dxa"/>
            <w:gridSpan w:val="3"/>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top"/>
          </w:tcPr>
          <w:p>
            <w:pPr>
              <w:tabs>
                <w:tab w:val="left" w:pos="1260"/>
              </w:tabs>
              <w:spacing w:line="440" w:lineRule="exact"/>
              <w:rPr>
                <w:rFonts w:hint="eastAsia" w:ascii="宋体" w:hAnsi="宋体" w:eastAsia="宋体" w:cs="宋体"/>
                <w:bCs/>
                <w:sz w:val="24"/>
              </w:rPr>
            </w:pPr>
            <w:r>
              <w:rPr>
                <w:rFonts w:hint="eastAsia" w:ascii="宋体" w:hAnsi="宋体" w:eastAsia="宋体" w:cs="宋体"/>
                <w:sz w:val="24"/>
              </w:rPr>
              <w:t>机构代码证号（统一社会信用代码）</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20" w:type="dxa"/>
            <w:vMerge w:val="restart"/>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  定</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代</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表</w:t>
            </w:r>
          </w:p>
          <w:p>
            <w:pPr>
              <w:tabs>
                <w:tab w:val="left" w:pos="1260"/>
              </w:tabs>
              <w:spacing w:line="440" w:lineRule="exact"/>
              <w:jc w:val="center"/>
              <w:rPr>
                <w:rFonts w:hint="eastAsia" w:ascii="宋体" w:hAnsi="宋体" w:eastAsia="宋体" w:cs="宋体"/>
                <w:bCs/>
                <w:sz w:val="24"/>
              </w:rPr>
            </w:pPr>
            <w:r>
              <w:rPr>
                <w:rFonts w:hint="eastAsia" w:ascii="宋体" w:hAnsi="宋体" w:eastAsia="宋体" w:cs="宋体"/>
                <w:sz w:val="24"/>
              </w:rPr>
              <w:t>人</w:t>
            </w: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姓    名</w:t>
            </w:r>
          </w:p>
        </w:tc>
        <w:tc>
          <w:tcPr>
            <w:tcW w:w="2950" w:type="dxa"/>
            <w:noWrap w:val="0"/>
            <w:vAlign w:val="top"/>
          </w:tcPr>
          <w:p>
            <w:pPr>
              <w:tabs>
                <w:tab w:val="left" w:pos="1260"/>
              </w:tabs>
              <w:spacing w:line="440" w:lineRule="exact"/>
              <w:rPr>
                <w:rFonts w:hint="eastAsia" w:ascii="宋体" w:hAnsi="宋体" w:eastAsia="宋体" w:cs="宋体"/>
                <w:sz w:val="24"/>
              </w:rPr>
            </w:pPr>
          </w:p>
        </w:tc>
        <w:tc>
          <w:tcPr>
            <w:tcW w:w="1039"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性  别</w:t>
            </w:r>
          </w:p>
        </w:tc>
        <w:tc>
          <w:tcPr>
            <w:tcW w:w="2151"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职    务</w:t>
            </w:r>
          </w:p>
        </w:tc>
        <w:tc>
          <w:tcPr>
            <w:tcW w:w="2950" w:type="dxa"/>
            <w:noWrap w:val="0"/>
            <w:vAlign w:val="top"/>
          </w:tcPr>
          <w:p>
            <w:pPr>
              <w:tabs>
                <w:tab w:val="left" w:pos="1260"/>
              </w:tabs>
              <w:spacing w:line="440" w:lineRule="exact"/>
              <w:rPr>
                <w:rFonts w:hint="eastAsia" w:ascii="宋体" w:hAnsi="宋体" w:eastAsia="宋体" w:cs="宋体"/>
                <w:sz w:val="24"/>
              </w:rPr>
            </w:pPr>
          </w:p>
        </w:tc>
        <w:tc>
          <w:tcPr>
            <w:tcW w:w="1039"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联系</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电话</w:t>
            </w:r>
          </w:p>
        </w:tc>
        <w:tc>
          <w:tcPr>
            <w:tcW w:w="2151"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传    真</w:t>
            </w:r>
          </w:p>
        </w:tc>
        <w:tc>
          <w:tcPr>
            <w:tcW w:w="6140" w:type="dxa"/>
            <w:gridSpan w:val="3"/>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820" w:type="dxa"/>
            <w:vMerge w:val="restart"/>
            <w:noWrap w:val="0"/>
            <w:vAlign w:val="center"/>
          </w:tcPr>
          <w:p>
            <w:pPr>
              <w:tabs>
                <w:tab w:val="left" w:pos="1260"/>
              </w:tabs>
              <w:spacing w:line="300" w:lineRule="exact"/>
              <w:jc w:val="center"/>
              <w:rPr>
                <w:rFonts w:hint="eastAsia" w:ascii="宋体" w:hAnsi="宋体" w:eastAsia="宋体" w:cs="宋体"/>
                <w:sz w:val="24"/>
              </w:rPr>
            </w:pPr>
            <w:r>
              <w:rPr>
                <w:rFonts w:hint="eastAsia" w:ascii="宋体" w:hAnsi="宋体" w:eastAsia="宋体" w:cs="宋体"/>
                <w:sz w:val="24"/>
              </w:rPr>
              <w:t>法定代表人身份证复印件</w:t>
            </w:r>
          </w:p>
        </w:tc>
        <w:tc>
          <w:tcPr>
            <w:tcW w:w="5190" w:type="dxa"/>
            <w:gridSpan w:val="2"/>
            <w:vMerge w:val="restart"/>
            <w:noWrap w:val="0"/>
            <w:vAlign w:val="center"/>
          </w:tcPr>
          <w:p>
            <w:pPr>
              <w:tabs>
                <w:tab w:val="left" w:pos="1260"/>
              </w:tabs>
              <w:jc w:val="center"/>
              <w:rPr>
                <w:rFonts w:hint="eastAsia" w:ascii="宋体" w:hAnsi="宋体" w:eastAsia="宋体" w:cs="宋体"/>
                <w:bCs/>
                <w:sz w:val="24"/>
              </w:rPr>
            </w:pPr>
            <w:r>
              <w:rPr>
                <w:rFonts w:hint="eastAsia" w:ascii="宋体" w:hAnsi="宋体" w:eastAsia="宋体" w:cs="宋体"/>
                <w:sz w:val="24"/>
              </w:rPr>
              <w:t>（</w:t>
            </w:r>
            <w:r>
              <w:rPr>
                <w:rFonts w:hint="eastAsia" w:ascii="宋体" w:hAnsi="宋体" w:eastAsia="宋体" w:cs="宋体"/>
                <w:sz w:val="24"/>
                <w:lang w:eastAsia="zh-CN"/>
              </w:rPr>
              <w:t>正反面</w:t>
            </w:r>
            <w:r>
              <w:rPr>
                <w:rFonts w:hint="eastAsia" w:ascii="宋体" w:hAnsi="宋体" w:eastAsia="宋体" w:cs="宋体"/>
                <w:sz w:val="24"/>
              </w:rPr>
              <w:t>粘贴处）</w:t>
            </w:r>
          </w:p>
        </w:tc>
        <w:tc>
          <w:tcPr>
            <w:tcW w:w="3190"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3" w:hRule="atLeast"/>
          <w:jc w:val="center"/>
        </w:trPr>
        <w:tc>
          <w:tcPr>
            <w:tcW w:w="820" w:type="dxa"/>
            <w:vMerge w:val="continue"/>
            <w:noWrap w:val="0"/>
            <w:vAlign w:val="top"/>
          </w:tcPr>
          <w:p>
            <w:pPr>
              <w:rPr>
                <w:rFonts w:hint="eastAsia" w:ascii="宋体" w:hAnsi="宋体" w:eastAsia="宋体" w:cs="宋体"/>
                <w:sz w:val="24"/>
              </w:rPr>
            </w:pPr>
          </w:p>
        </w:tc>
        <w:tc>
          <w:tcPr>
            <w:tcW w:w="5190" w:type="dxa"/>
            <w:gridSpan w:val="2"/>
            <w:vMerge w:val="continue"/>
            <w:noWrap w:val="0"/>
            <w:vAlign w:val="top"/>
          </w:tcPr>
          <w:p>
            <w:pPr>
              <w:rPr>
                <w:rFonts w:hint="eastAsia" w:ascii="宋体" w:hAnsi="宋体" w:eastAsia="宋体" w:cs="宋体"/>
                <w:sz w:val="24"/>
              </w:rPr>
            </w:pPr>
          </w:p>
        </w:tc>
        <w:tc>
          <w:tcPr>
            <w:tcW w:w="3190" w:type="dxa"/>
            <w:gridSpan w:val="2"/>
            <w:noWrap w:val="0"/>
            <w:vAlign w:val="center"/>
          </w:tcPr>
          <w:p>
            <w:pPr>
              <w:tabs>
                <w:tab w:val="left" w:pos="1260"/>
              </w:tabs>
              <w:spacing w:line="440" w:lineRule="exact"/>
              <w:ind w:firstLine="459"/>
              <w:jc w:val="center"/>
              <w:rPr>
                <w:rFonts w:hint="eastAsia" w:ascii="宋体" w:hAnsi="宋体" w:eastAsia="宋体" w:cs="宋体"/>
                <w:sz w:val="24"/>
              </w:rPr>
            </w:pP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（企业公章）</w:t>
            </w:r>
          </w:p>
          <w:p>
            <w:pPr>
              <w:tabs>
                <w:tab w:val="left" w:pos="1260"/>
              </w:tabs>
              <w:spacing w:line="440" w:lineRule="exact"/>
              <w:ind w:firstLine="459"/>
              <w:jc w:val="center"/>
              <w:rPr>
                <w:rFonts w:hint="eastAsia" w:ascii="宋体" w:hAnsi="宋体" w:eastAsia="宋体" w:cs="宋体"/>
                <w:sz w:val="24"/>
              </w:rPr>
            </w:pPr>
          </w:p>
          <w:p>
            <w:pPr>
              <w:tabs>
                <w:tab w:val="left" w:pos="1260"/>
              </w:tabs>
              <w:spacing w:line="440" w:lineRule="exact"/>
              <w:ind w:right="280" w:firstLine="459"/>
              <w:jc w:val="center"/>
              <w:rPr>
                <w:rFonts w:hint="eastAsia" w:ascii="宋体" w:hAnsi="宋体" w:eastAsia="宋体" w:cs="宋体"/>
                <w:sz w:val="24"/>
              </w:rPr>
            </w:pPr>
            <w:r>
              <w:rPr>
                <w:rFonts w:hint="eastAsia" w:ascii="宋体" w:hAnsi="宋体" w:eastAsia="宋体" w:cs="宋体"/>
                <w:sz w:val="24"/>
              </w:rPr>
              <w:t>年   月   日</w:t>
            </w:r>
          </w:p>
        </w:tc>
      </w:tr>
    </w:tbl>
    <w:p>
      <w:pPr>
        <w:keepLines/>
        <w:pageBreakBefore/>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295" w:name="_Toc16096"/>
      <w:r>
        <w:rPr>
          <w:rFonts w:hint="eastAsia" w:ascii="宋体" w:hAnsi="宋体" w:eastAsia="宋体" w:cs="宋体"/>
          <w:b/>
          <w:color w:val="000000" w:themeColor="text1"/>
          <w:sz w:val="28"/>
          <w:szCs w:val="28"/>
          <w14:textFill>
            <w14:solidFill>
              <w14:schemeClr w14:val="tx1"/>
            </w14:solidFill>
          </w14:textFill>
        </w:rPr>
        <w:t>四、法定代表人授权委托书</w:t>
      </w:r>
      <w:bookmarkEnd w:id="288"/>
      <w:bookmarkEnd w:id="289"/>
      <w:bookmarkEnd w:id="290"/>
      <w:bookmarkEnd w:id="291"/>
      <w:bookmarkEnd w:id="292"/>
      <w:bookmarkEnd w:id="293"/>
      <w:bookmarkEnd w:id="294"/>
      <w:bookmarkEnd w:id="295"/>
    </w:p>
    <w:tbl>
      <w:tblPr>
        <w:tblStyle w:val="33"/>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40"/>
        <w:gridCol w:w="11"/>
        <w:gridCol w:w="1645"/>
        <w:gridCol w:w="311"/>
        <w:gridCol w:w="2151"/>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440" w:type="dxa"/>
            <w:gridSpan w:val="7"/>
            <w:noWrap w:val="0"/>
            <w:vAlign w:val="center"/>
          </w:tcPr>
          <w:p>
            <w:pPr>
              <w:tabs>
                <w:tab w:val="left" w:pos="1260"/>
              </w:tabs>
              <w:spacing w:line="440" w:lineRule="exact"/>
              <w:ind w:firstLine="134" w:firstLineChars="56"/>
              <w:rPr>
                <w:rFonts w:hint="eastAsia" w:ascii="宋体" w:hAnsi="宋体" w:eastAsia="宋体" w:cs="宋体"/>
                <w:sz w:val="24"/>
              </w:rPr>
            </w:pPr>
            <w:r>
              <w:rPr>
                <w:rFonts w:hint="eastAsia" w:ascii="宋体" w:hAnsi="宋体" w:eastAsia="宋体" w:cs="宋体"/>
                <w:sz w:val="24"/>
              </w:rPr>
              <w:t>致：</w:t>
            </w:r>
            <w:r>
              <w:rPr>
                <w:rFonts w:hint="eastAsia" w:ascii="宋体" w:hAnsi="宋体" w:cs="宋体"/>
                <w:sz w:val="24"/>
                <w:lang w:eastAsia="zh-CN"/>
              </w:rPr>
              <w:t>陕西宸永项目管理有限公司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restart"/>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被授权人</w:t>
            </w: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姓    名</w:t>
            </w:r>
          </w:p>
        </w:tc>
        <w:tc>
          <w:tcPr>
            <w:tcW w:w="1956" w:type="dxa"/>
            <w:gridSpan w:val="2"/>
            <w:noWrap w:val="0"/>
            <w:vAlign w:val="top"/>
          </w:tcPr>
          <w:p>
            <w:pPr>
              <w:tabs>
                <w:tab w:val="left" w:pos="1260"/>
              </w:tabs>
              <w:spacing w:line="440" w:lineRule="exact"/>
              <w:rPr>
                <w:rFonts w:hint="eastAsia" w:ascii="宋体" w:hAnsi="宋体" w:eastAsia="宋体" w:cs="宋体"/>
                <w:sz w:val="24"/>
              </w:rPr>
            </w:pPr>
          </w:p>
        </w:tc>
        <w:tc>
          <w:tcPr>
            <w:tcW w:w="2151" w:type="dxa"/>
            <w:noWrap w:val="0"/>
            <w:vAlign w:val="top"/>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性    别</w:t>
            </w:r>
          </w:p>
        </w:tc>
        <w:tc>
          <w:tcPr>
            <w:tcW w:w="2365"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continue"/>
            <w:noWrap w:val="0"/>
            <w:vAlign w:val="center"/>
          </w:tcPr>
          <w:p>
            <w:pPr>
              <w:tabs>
                <w:tab w:val="left" w:pos="1260"/>
              </w:tabs>
              <w:spacing w:line="360" w:lineRule="exact"/>
              <w:jc w:val="center"/>
              <w:rPr>
                <w:rFonts w:hint="eastAsia" w:ascii="宋体" w:hAnsi="宋体" w:eastAsia="宋体" w:cs="宋体"/>
                <w:sz w:val="24"/>
              </w:rPr>
            </w:pP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职    务</w:t>
            </w:r>
          </w:p>
        </w:tc>
        <w:tc>
          <w:tcPr>
            <w:tcW w:w="1956" w:type="dxa"/>
            <w:gridSpan w:val="2"/>
            <w:noWrap w:val="0"/>
            <w:vAlign w:val="top"/>
          </w:tcPr>
          <w:p>
            <w:pPr>
              <w:tabs>
                <w:tab w:val="left" w:pos="1260"/>
              </w:tabs>
              <w:spacing w:line="440" w:lineRule="exact"/>
              <w:rPr>
                <w:rFonts w:hint="eastAsia" w:ascii="宋体" w:hAnsi="宋体" w:eastAsia="宋体" w:cs="宋体"/>
                <w:sz w:val="24"/>
              </w:rPr>
            </w:pPr>
          </w:p>
        </w:tc>
        <w:tc>
          <w:tcPr>
            <w:tcW w:w="2151" w:type="dxa"/>
            <w:noWrap w:val="0"/>
            <w:vAlign w:val="top"/>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手机号码</w:t>
            </w:r>
          </w:p>
        </w:tc>
        <w:tc>
          <w:tcPr>
            <w:tcW w:w="2365"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continue"/>
            <w:noWrap w:val="0"/>
            <w:vAlign w:val="center"/>
          </w:tcPr>
          <w:p>
            <w:pPr>
              <w:tabs>
                <w:tab w:val="left" w:pos="1260"/>
              </w:tabs>
              <w:spacing w:line="360" w:lineRule="exact"/>
              <w:jc w:val="center"/>
              <w:rPr>
                <w:rFonts w:hint="eastAsia" w:ascii="宋体" w:hAnsi="宋体" w:eastAsia="宋体" w:cs="宋体"/>
                <w:sz w:val="24"/>
              </w:rPr>
            </w:pP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联系电话</w:t>
            </w:r>
          </w:p>
        </w:tc>
        <w:tc>
          <w:tcPr>
            <w:tcW w:w="1956" w:type="dxa"/>
            <w:gridSpan w:val="2"/>
            <w:noWrap w:val="0"/>
            <w:vAlign w:val="top"/>
          </w:tcPr>
          <w:p>
            <w:pPr>
              <w:tabs>
                <w:tab w:val="left" w:pos="1260"/>
              </w:tabs>
              <w:spacing w:line="440" w:lineRule="exact"/>
              <w:rPr>
                <w:rFonts w:hint="eastAsia" w:ascii="宋体" w:hAnsi="宋体" w:eastAsia="宋体" w:cs="宋体"/>
                <w:sz w:val="24"/>
              </w:rPr>
            </w:pPr>
          </w:p>
        </w:tc>
        <w:tc>
          <w:tcPr>
            <w:tcW w:w="2151" w:type="dxa"/>
            <w:noWrap w:val="0"/>
            <w:vAlign w:val="top"/>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图文传真</w:t>
            </w:r>
          </w:p>
        </w:tc>
        <w:tc>
          <w:tcPr>
            <w:tcW w:w="2365"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continue"/>
            <w:noWrap w:val="0"/>
            <w:vAlign w:val="center"/>
          </w:tcPr>
          <w:p>
            <w:pPr>
              <w:tabs>
                <w:tab w:val="left" w:pos="1260"/>
              </w:tabs>
              <w:spacing w:line="360" w:lineRule="exact"/>
              <w:jc w:val="center"/>
              <w:rPr>
                <w:rFonts w:hint="eastAsia" w:ascii="宋体" w:hAnsi="宋体" w:eastAsia="宋体" w:cs="宋体"/>
                <w:sz w:val="24"/>
              </w:rPr>
            </w:pP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通讯地址</w:t>
            </w:r>
          </w:p>
        </w:tc>
        <w:tc>
          <w:tcPr>
            <w:tcW w:w="6472" w:type="dxa"/>
            <w:gridSpan w:val="4"/>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continue"/>
            <w:noWrap w:val="0"/>
            <w:vAlign w:val="center"/>
          </w:tcPr>
          <w:p>
            <w:pPr>
              <w:tabs>
                <w:tab w:val="left" w:pos="1260"/>
              </w:tabs>
              <w:spacing w:line="360" w:lineRule="exact"/>
              <w:jc w:val="center"/>
              <w:rPr>
                <w:rFonts w:hint="eastAsia" w:ascii="宋体" w:hAnsi="宋体" w:eastAsia="宋体" w:cs="宋体"/>
                <w:sz w:val="24"/>
              </w:rPr>
            </w:pP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网    址</w:t>
            </w:r>
          </w:p>
        </w:tc>
        <w:tc>
          <w:tcPr>
            <w:tcW w:w="6472" w:type="dxa"/>
            <w:gridSpan w:val="4"/>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817" w:type="dxa"/>
            <w:vMerge w:val="restart"/>
            <w:noWrap w:val="0"/>
            <w:vAlign w:val="center"/>
          </w:tcPr>
          <w:p>
            <w:pPr>
              <w:tabs>
                <w:tab w:val="left" w:pos="1260"/>
              </w:tabs>
              <w:spacing w:line="320" w:lineRule="exact"/>
              <w:jc w:val="center"/>
              <w:rPr>
                <w:rFonts w:hint="eastAsia" w:ascii="宋体" w:hAnsi="宋体" w:eastAsia="宋体" w:cs="宋体"/>
                <w:sz w:val="24"/>
              </w:rPr>
            </w:pPr>
            <w:r>
              <w:rPr>
                <w:rFonts w:hint="eastAsia" w:ascii="宋体" w:hAnsi="宋体" w:eastAsia="宋体" w:cs="宋体"/>
                <w:sz w:val="24"/>
              </w:rPr>
              <w:t>被授权项目与内容</w:t>
            </w: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项目名称</w:t>
            </w:r>
          </w:p>
        </w:tc>
        <w:tc>
          <w:tcPr>
            <w:tcW w:w="6483" w:type="dxa"/>
            <w:gridSpan w:val="5"/>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817" w:type="dxa"/>
            <w:vMerge w:val="continue"/>
            <w:noWrap w:val="0"/>
            <w:vAlign w:val="center"/>
          </w:tcPr>
          <w:p>
            <w:pPr>
              <w:tabs>
                <w:tab w:val="left" w:pos="1260"/>
              </w:tabs>
              <w:spacing w:line="440" w:lineRule="exact"/>
              <w:jc w:val="center"/>
              <w:rPr>
                <w:rFonts w:hint="eastAsia" w:ascii="宋体" w:hAnsi="宋体" w:eastAsia="宋体" w:cs="宋体"/>
                <w:sz w:val="24"/>
              </w:rPr>
            </w:pP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文件编号</w:t>
            </w:r>
          </w:p>
        </w:tc>
        <w:tc>
          <w:tcPr>
            <w:tcW w:w="6483" w:type="dxa"/>
            <w:gridSpan w:val="5"/>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jc w:val="center"/>
        </w:trPr>
        <w:tc>
          <w:tcPr>
            <w:tcW w:w="817" w:type="dxa"/>
            <w:vMerge w:val="continue"/>
            <w:noWrap w:val="0"/>
            <w:vAlign w:val="center"/>
          </w:tcPr>
          <w:p>
            <w:pPr>
              <w:tabs>
                <w:tab w:val="left" w:pos="1260"/>
              </w:tabs>
              <w:spacing w:line="440" w:lineRule="exact"/>
              <w:jc w:val="center"/>
              <w:rPr>
                <w:rFonts w:hint="eastAsia" w:ascii="宋体" w:hAnsi="宋体" w:eastAsia="宋体" w:cs="宋体"/>
                <w:sz w:val="24"/>
              </w:rPr>
            </w:pP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授权范围</w:t>
            </w:r>
          </w:p>
        </w:tc>
        <w:tc>
          <w:tcPr>
            <w:tcW w:w="6483" w:type="dxa"/>
            <w:gridSpan w:val="5"/>
            <w:noWrap w:val="0"/>
            <w:vAlign w:val="center"/>
          </w:tcPr>
          <w:p>
            <w:pPr>
              <w:tabs>
                <w:tab w:val="left" w:pos="1260"/>
              </w:tabs>
              <w:spacing w:line="360" w:lineRule="exact"/>
              <w:ind w:firstLine="240" w:firstLineChars="100"/>
              <w:rPr>
                <w:rFonts w:hint="eastAsia" w:ascii="宋体" w:hAnsi="宋体" w:eastAsia="宋体" w:cs="宋体"/>
                <w:sz w:val="24"/>
              </w:rPr>
            </w:pPr>
            <w:r>
              <w:rPr>
                <w:rFonts w:hint="eastAsia" w:ascii="宋体" w:hAnsi="宋体" w:eastAsia="宋体" w:cs="宋体"/>
                <w:sz w:val="24"/>
              </w:rPr>
              <w:t>全权办理本</w:t>
            </w:r>
            <w:r>
              <w:rPr>
                <w:rFonts w:hint="eastAsia" w:ascii="宋体" w:hAnsi="宋体" w:cs="宋体"/>
                <w:color w:val="auto"/>
                <w:sz w:val="24"/>
                <w:lang w:val="en-US" w:eastAsia="zh-CN"/>
              </w:rPr>
              <w:t>磋商</w:t>
            </w:r>
            <w:r>
              <w:rPr>
                <w:rFonts w:hint="eastAsia" w:ascii="宋体" w:hAnsi="宋体" w:cs="宋体"/>
                <w:sz w:val="24"/>
                <w:lang w:eastAsia="zh-CN"/>
              </w:rPr>
              <w:t>项目</w:t>
            </w:r>
            <w:r>
              <w:rPr>
                <w:rFonts w:hint="eastAsia" w:ascii="宋体" w:hAnsi="宋体" w:eastAsia="宋体" w:cs="宋体"/>
                <w:sz w:val="24"/>
              </w:rPr>
              <w:t>的</w:t>
            </w:r>
            <w:r>
              <w:rPr>
                <w:rFonts w:hint="eastAsia" w:ascii="宋体" w:hAnsi="宋体" w:cs="宋体"/>
                <w:color w:val="auto"/>
                <w:sz w:val="24"/>
                <w:lang w:val="en-US" w:eastAsia="zh-CN"/>
              </w:rPr>
              <w:t>磋商</w:t>
            </w:r>
            <w:r>
              <w:rPr>
                <w:rFonts w:hint="eastAsia" w:ascii="宋体" w:hAnsi="宋体" w:eastAsia="宋体" w:cs="宋体"/>
                <w:sz w:val="24"/>
              </w:rPr>
              <w:t>、联系、洽谈、签约、执行等具体事务，签署全部有关的文件、文书、协议及合同。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817" w:type="dxa"/>
            <w:vMerge w:val="continue"/>
            <w:noWrap w:val="0"/>
            <w:vAlign w:val="center"/>
          </w:tcPr>
          <w:p>
            <w:pPr>
              <w:tabs>
                <w:tab w:val="left" w:pos="1260"/>
              </w:tabs>
              <w:spacing w:line="440" w:lineRule="exact"/>
              <w:jc w:val="center"/>
              <w:rPr>
                <w:rFonts w:hint="eastAsia" w:ascii="宋体" w:hAnsi="宋体" w:eastAsia="宋体" w:cs="宋体"/>
                <w:sz w:val="24"/>
              </w:rPr>
            </w:pP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法律责任</w:t>
            </w:r>
          </w:p>
        </w:tc>
        <w:tc>
          <w:tcPr>
            <w:tcW w:w="6483" w:type="dxa"/>
            <w:gridSpan w:val="5"/>
            <w:noWrap w:val="0"/>
            <w:vAlign w:val="center"/>
          </w:tcPr>
          <w:p>
            <w:pPr>
              <w:tabs>
                <w:tab w:val="left" w:pos="1260"/>
              </w:tabs>
              <w:spacing w:line="360" w:lineRule="exact"/>
              <w:ind w:firstLine="220" w:firstLineChars="100"/>
              <w:rPr>
                <w:rFonts w:hint="eastAsia" w:ascii="宋体" w:hAnsi="宋体" w:eastAsia="宋体" w:cs="宋体"/>
                <w:spacing w:val="-10"/>
                <w:sz w:val="24"/>
              </w:rPr>
            </w:pPr>
            <w:r>
              <w:rPr>
                <w:rFonts w:hint="eastAsia" w:ascii="宋体" w:hAnsi="宋体" w:eastAsia="宋体" w:cs="宋体"/>
                <w:spacing w:val="-10"/>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817" w:type="dxa"/>
            <w:vMerge w:val="continue"/>
            <w:noWrap w:val="0"/>
            <w:vAlign w:val="center"/>
          </w:tcPr>
          <w:p>
            <w:pPr>
              <w:tabs>
                <w:tab w:val="left" w:pos="1260"/>
              </w:tabs>
              <w:spacing w:line="440" w:lineRule="exact"/>
              <w:jc w:val="center"/>
              <w:rPr>
                <w:rFonts w:hint="eastAsia" w:ascii="宋体" w:hAnsi="宋体" w:eastAsia="宋体" w:cs="宋体"/>
                <w:sz w:val="24"/>
              </w:rPr>
            </w:pP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授权期限</w:t>
            </w:r>
          </w:p>
        </w:tc>
        <w:tc>
          <w:tcPr>
            <w:tcW w:w="6483" w:type="dxa"/>
            <w:gridSpan w:val="5"/>
            <w:noWrap w:val="0"/>
            <w:vAlign w:val="center"/>
          </w:tcPr>
          <w:p>
            <w:pPr>
              <w:tabs>
                <w:tab w:val="left" w:pos="1260"/>
              </w:tabs>
              <w:spacing w:line="360" w:lineRule="exact"/>
              <w:ind w:firstLine="235" w:firstLineChars="98"/>
              <w:rPr>
                <w:rFonts w:hint="eastAsia" w:ascii="宋体" w:hAnsi="宋体" w:eastAsia="宋体" w:cs="宋体"/>
                <w:sz w:val="24"/>
                <w:lang w:eastAsia="zh-CN"/>
              </w:rPr>
            </w:pPr>
            <w:r>
              <w:rPr>
                <w:rFonts w:hint="eastAsia" w:ascii="宋体" w:hAnsi="宋体" w:eastAsia="宋体" w:cs="宋体"/>
                <w:bCs/>
                <w:sz w:val="24"/>
              </w:rPr>
              <w:t>本授权书有效期</w:t>
            </w:r>
            <w:r>
              <w:rPr>
                <w:rFonts w:hint="eastAsia" w:ascii="宋体" w:hAnsi="宋体" w:cs="宋体"/>
                <w:spacing w:val="-10"/>
                <w:sz w:val="24"/>
                <w:lang w:eastAsia="zh-CN"/>
              </w:rPr>
              <w:t>自本委托书签署之日起至投标有效期期满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613" w:type="dxa"/>
            <w:gridSpan w:val="4"/>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被授权人身份证复印件</w:t>
            </w:r>
          </w:p>
        </w:tc>
        <w:tc>
          <w:tcPr>
            <w:tcW w:w="4827" w:type="dxa"/>
            <w:gridSpan w:val="3"/>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7" w:hRule="atLeast"/>
          <w:jc w:val="center"/>
        </w:trPr>
        <w:tc>
          <w:tcPr>
            <w:tcW w:w="4613" w:type="dxa"/>
            <w:gridSpan w:val="4"/>
            <w:vMerge w:val="restart"/>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扫描件</w:t>
            </w:r>
            <w:r>
              <w:rPr>
                <w:rFonts w:hint="eastAsia" w:ascii="宋体" w:hAnsi="宋体" w:eastAsia="宋体" w:cs="宋体"/>
                <w:sz w:val="24"/>
              </w:rPr>
              <w:t>）</w:t>
            </w:r>
          </w:p>
        </w:tc>
        <w:tc>
          <w:tcPr>
            <w:tcW w:w="4827" w:type="dxa"/>
            <w:gridSpan w:val="3"/>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6" w:hRule="atLeast"/>
          <w:jc w:val="center"/>
        </w:trPr>
        <w:tc>
          <w:tcPr>
            <w:tcW w:w="4613" w:type="dxa"/>
            <w:gridSpan w:val="4"/>
            <w:vMerge w:val="continue"/>
            <w:noWrap w:val="0"/>
            <w:vAlign w:val="center"/>
          </w:tcPr>
          <w:p>
            <w:pPr>
              <w:tabs>
                <w:tab w:val="left" w:pos="1260"/>
              </w:tabs>
              <w:spacing w:line="440" w:lineRule="exact"/>
              <w:rPr>
                <w:rFonts w:hint="eastAsia" w:ascii="宋体" w:hAnsi="宋体" w:eastAsia="宋体" w:cs="宋体"/>
                <w:sz w:val="24"/>
              </w:rPr>
            </w:pPr>
          </w:p>
        </w:tc>
        <w:tc>
          <w:tcPr>
            <w:tcW w:w="4827" w:type="dxa"/>
            <w:gridSpan w:val="3"/>
            <w:noWrap w:val="0"/>
            <w:vAlign w:val="center"/>
          </w:tcPr>
          <w:p>
            <w:pPr>
              <w:tabs>
                <w:tab w:val="left" w:pos="1260"/>
              </w:tabs>
              <w:spacing w:line="440" w:lineRule="exact"/>
              <w:jc w:val="center"/>
              <w:rPr>
                <w:rFonts w:hint="eastAsia" w:ascii="宋体" w:hAnsi="宋体" w:eastAsia="宋体" w:cs="宋体"/>
                <w:sz w:val="24"/>
              </w:rPr>
            </w:pPr>
          </w:p>
          <w:p>
            <w:pPr>
              <w:tabs>
                <w:tab w:val="left" w:pos="1260"/>
              </w:tabs>
              <w:spacing w:line="440" w:lineRule="exact"/>
              <w:jc w:val="center"/>
              <w:rPr>
                <w:rFonts w:hint="eastAsia" w:ascii="宋体" w:hAnsi="宋体" w:eastAsia="宋体" w:cs="宋体"/>
                <w:sz w:val="24"/>
              </w:rPr>
            </w:pP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eastAsia="zh-CN"/>
              </w:rPr>
              <w:t>签字或盖章</w:t>
            </w:r>
            <w:r>
              <w:rPr>
                <w:rFonts w:hint="eastAsia" w:ascii="宋体" w:hAnsi="宋体" w:eastAsia="宋体" w:cs="宋体"/>
                <w:sz w:val="24"/>
              </w:rPr>
              <w:t>）</w:t>
            </w:r>
          </w:p>
          <w:p>
            <w:pPr>
              <w:tabs>
                <w:tab w:val="left" w:pos="1260"/>
              </w:tabs>
              <w:spacing w:line="220" w:lineRule="exact"/>
              <w:jc w:val="center"/>
              <w:rPr>
                <w:rFonts w:hint="eastAsia" w:ascii="宋体" w:hAnsi="宋体" w:eastAsia="宋体" w:cs="宋体"/>
                <w:sz w:val="24"/>
              </w:rPr>
            </w:pPr>
          </w:p>
          <w:p>
            <w:pPr>
              <w:tabs>
                <w:tab w:val="left" w:pos="1260"/>
              </w:tabs>
              <w:spacing w:line="440" w:lineRule="exact"/>
              <w:jc w:val="right"/>
              <w:rPr>
                <w:rFonts w:hint="eastAsia" w:ascii="宋体" w:hAnsi="宋体" w:eastAsia="宋体" w:cs="宋体"/>
                <w:sz w:val="24"/>
              </w:rPr>
            </w:pPr>
            <w:r>
              <w:rPr>
                <w:rFonts w:hint="eastAsia" w:ascii="宋体" w:hAnsi="宋体" w:eastAsia="宋体" w:cs="宋体"/>
                <w:sz w:val="24"/>
              </w:rPr>
              <w:t>年   月   日</w:t>
            </w:r>
          </w:p>
        </w:tc>
      </w:tr>
    </w:tbl>
    <w:p>
      <w:pPr>
        <w:spacing w:line="360" w:lineRule="auto"/>
        <w:ind w:firstLine="420" w:firstLineChars="200"/>
        <w:rPr>
          <w:rFonts w:hint="eastAsia" w:ascii="宋体" w:hAnsi="宋体" w:eastAsia="宋体" w:cs="宋体"/>
          <w:color w:val="000000" w:themeColor="text1"/>
          <w14:textFill>
            <w14:solidFill>
              <w14:schemeClr w14:val="tx1"/>
            </w14:solidFill>
          </w14:textFill>
        </w:rPr>
        <w:sectPr>
          <w:pgSz w:w="11906" w:h="16838"/>
          <w:pgMar w:top="1440" w:right="1440" w:bottom="1440" w:left="1440" w:header="851" w:footer="992" w:gutter="0"/>
          <w:pgNumType w:fmt="decimal"/>
          <w:cols w:space="720" w:num="1"/>
          <w:titlePg/>
          <w:docGrid w:linePitch="312" w:charSpace="0"/>
        </w:sectPr>
      </w:pPr>
    </w:p>
    <w:p>
      <w:pPr>
        <w:keepLines/>
        <w:pageBreakBefore/>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296" w:name="_Toc3574"/>
      <w:bookmarkStart w:id="297" w:name="_Toc500323115"/>
      <w:bookmarkStart w:id="298" w:name="_Toc526842730"/>
      <w:bookmarkStart w:id="299" w:name="_Toc18320"/>
      <w:bookmarkStart w:id="300" w:name="_Toc425240485"/>
      <w:bookmarkStart w:id="301" w:name="_Toc421778390"/>
      <w:r>
        <w:rPr>
          <w:rFonts w:hint="eastAsia" w:ascii="宋体" w:hAnsi="宋体" w:cs="宋体"/>
          <w:b/>
          <w:color w:val="000000" w:themeColor="text1"/>
          <w:sz w:val="28"/>
          <w:szCs w:val="28"/>
          <w:lang w:eastAsia="zh-CN"/>
          <w14:textFill>
            <w14:solidFill>
              <w14:schemeClr w14:val="tx1"/>
            </w14:solidFill>
          </w14:textFill>
        </w:rPr>
        <w:t>五</w:t>
      </w:r>
      <w:r>
        <w:rPr>
          <w:rFonts w:hint="eastAsia" w:ascii="宋体" w:hAnsi="宋体" w:eastAsia="宋体" w:cs="宋体"/>
          <w:b/>
          <w:color w:val="000000" w:themeColor="text1"/>
          <w:sz w:val="28"/>
          <w:szCs w:val="28"/>
          <w14:textFill>
            <w14:solidFill>
              <w14:schemeClr w14:val="tx1"/>
            </w14:solidFill>
          </w14:textFill>
        </w:rPr>
        <w:t>、技术</w:t>
      </w:r>
      <w:bookmarkEnd w:id="296"/>
      <w:bookmarkEnd w:id="297"/>
      <w:r>
        <w:rPr>
          <w:rFonts w:hint="eastAsia" w:ascii="宋体" w:hAnsi="宋体" w:eastAsia="宋体" w:cs="宋体"/>
          <w:b/>
          <w:color w:val="000000" w:themeColor="text1"/>
          <w:sz w:val="28"/>
          <w:szCs w:val="28"/>
          <w14:textFill>
            <w14:solidFill>
              <w14:schemeClr w14:val="tx1"/>
            </w14:solidFill>
          </w14:textFill>
        </w:rPr>
        <w:t>方案</w:t>
      </w:r>
      <w:bookmarkEnd w:id="298"/>
      <w:bookmarkEnd w:id="299"/>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ascii="宋体" w:hAnsi="宋体" w:eastAsia="宋体" w:cs="宋体"/>
          <w:color w:val="000000" w:themeColor="text1"/>
          <w:sz w:val="28"/>
          <w:szCs w:val="28"/>
          <w14:textFill>
            <w14:solidFill>
              <w14:schemeClr w14:val="tx1"/>
            </w14:solidFill>
          </w14:textFill>
        </w:rPr>
        <w:t>包括但不限于：</w:t>
      </w:r>
    </w:p>
    <w:p>
      <w:pPr>
        <w:pStyle w:val="82"/>
        <w:keepNext w:val="0"/>
        <w:keepLines w:val="0"/>
        <w:pageBreakBefore w:val="0"/>
        <w:widowControl w:val="0"/>
        <w:numPr>
          <w:ilvl w:val="0"/>
          <w:numId w:val="0"/>
        </w:numPr>
        <w:wordWrap/>
        <w:overflowPunct/>
        <w:topLinePunct w:val="0"/>
        <w:autoSpaceDE/>
        <w:autoSpaceDN/>
        <w:bidi w:val="0"/>
        <w:adjustRightInd/>
        <w:snapToGrid/>
        <w:spacing w:after="120" w:line="480" w:lineRule="auto"/>
        <w:ind w:left="480" w:leftChars="0"/>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1.</w:t>
      </w:r>
      <w:r>
        <w:rPr>
          <w:rFonts w:hint="eastAsia" w:ascii="宋体" w:hAnsi="宋体" w:cs="宋体"/>
          <w:b w:val="0"/>
          <w:bCs/>
          <w:color w:val="000000" w:themeColor="text1"/>
          <w:sz w:val="28"/>
          <w:szCs w:val="28"/>
          <w:lang w:val="en-US" w:eastAsia="zh-CN"/>
          <w14:textFill>
            <w14:solidFill>
              <w14:schemeClr w14:val="tx1"/>
            </w14:solidFill>
          </w14:textFill>
        </w:rPr>
        <w:t>施工</w:t>
      </w:r>
      <w:r>
        <w:rPr>
          <w:rFonts w:hint="eastAsia" w:ascii="宋体" w:hAnsi="宋体" w:eastAsia="宋体" w:cs="宋体"/>
          <w:b w:val="0"/>
          <w:bCs/>
          <w:color w:val="000000" w:themeColor="text1"/>
          <w:sz w:val="28"/>
          <w:szCs w:val="28"/>
          <w:lang w:val="en-US" w:eastAsia="zh-CN"/>
          <w14:textFill>
            <w14:solidFill>
              <w14:schemeClr w14:val="tx1"/>
            </w14:solidFill>
          </w14:textFill>
        </w:rPr>
        <w:t xml:space="preserve">计划和方案； </w:t>
      </w:r>
    </w:p>
    <w:p>
      <w:pPr>
        <w:pStyle w:val="82"/>
        <w:keepNext w:val="0"/>
        <w:keepLines w:val="0"/>
        <w:pageBreakBefore w:val="0"/>
        <w:widowControl w:val="0"/>
        <w:numPr>
          <w:ilvl w:val="0"/>
          <w:numId w:val="0"/>
        </w:numPr>
        <w:wordWrap/>
        <w:overflowPunct/>
        <w:topLinePunct w:val="0"/>
        <w:autoSpaceDE/>
        <w:autoSpaceDN/>
        <w:bidi w:val="0"/>
        <w:adjustRightInd/>
        <w:snapToGrid/>
        <w:spacing w:after="120" w:line="480" w:lineRule="auto"/>
        <w:ind w:left="480" w:leftChars="0"/>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 xml:space="preserve">2.确保工期的技术组织措施； </w:t>
      </w:r>
    </w:p>
    <w:p>
      <w:pPr>
        <w:pStyle w:val="82"/>
        <w:keepNext w:val="0"/>
        <w:keepLines w:val="0"/>
        <w:pageBreakBefore w:val="0"/>
        <w:widowControl w:val="0"/>
        <w:numPr>
          <w:ilvl w:val="0"/>
          <w:numId w:val="0"/>
        </w:numPr>
        <w:wordWrap/>
        <w:overflowPunct/>
        <w:topLinePunct w:val="0"/>
        <w:autoSpaceDE/>
        <w:autoSpaceDN/>
        <w:bidi w:val="0"/>
        <w:adjustRightInd/>
        <w:snapToGrid/>
        <w:spacing w:after="120" w:line="480" w:lineRule="auto"/>
        <w:ind w:left="480" w:leftChars="0"/>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 xml:space="preserve">3.安全施工保障措施； </w:t>
      </w:r>
    </w:p>
    <w:p>
      <w:pPr>
        <w:pStyle w:val="82"/>
        <w:keepNext w:val="0"/>
        <w:keepLines w:val="0"/>
        <w:pageBreakBefore w:val="0"/>
        <w:widowControl w:val="0"/>
        <w:numPr>
          <w:ilvl w:val="0"/>
          <w:numId w:val="0"/>
        </w:numPr>
        <w:wordWrap/>
        <w:overflowPunct/>
        <w:topLinePunct w:val="0"/>
        <w:autoSpaceDE/>
        <w:autoSpaceDN/>
        <w:bidi w:val="0"/>
        <w:adjustRightInd/>
        <w:snapToGrid/>
        <w:spacing w:after="120" w:line="480" w:lineRule="auto"/>
        <w:ind w:left="480" w:leftChars="0"/>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 xml:space="preserve">4.质量保证措施； </w:t>
      </w:r>
    </w:p>
    <w:p>
      <w:pPr>
        <w:pStyle w:val="82"/>
        <w:keepNext w:val="0"/>
        <w:keepLines w:val="0"/>
        <w:pageBreakBefore w:val="0"/>
        <w:widowControl w:val="0"/>
        <w:numPr>
          <w:ilvl w:val="0"/>
          <w:numId w:val="0"/>
        </w:numPr>
        <w:wordWrap/>
        <w:overflowPunct/>
        <w:topLinePunct w:val="0"/>
        <w:autoSpaceDE/>
        <w:autoSpaceDN/>
        <w:bidi w:val="0"/>
        <w:adjustRightInd/>
        <w:snapToGrid/>
        <w:spacing w:after="120" w:line="480" w:lineRule="auto"/>
        <w:ind w:left="480" w:leftChars="0"/>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val="en-US" w:eastAsia="zh-CN"/>
          <w14:textFill>
            <w14:solidFill>
              <w14:schemeClr w14:val="tx1"/>
            </w14:solidFill>
          </w14:textFill>
        </w:rPr>
        <w:t xml:space="preserve">5.突发情况的应急处理方案 ； </w:t>
      </w:r>
    </w:p>
    <w:p>
      <w:pPr>
        <w:keepNext w:val="0"/>
        <w:keepLines w:val="0"/>
        <w:pageBreakBefore w:val="0"/>
        <w:widowControl w:val="0"/>
        <w:kinsoku w:val="0"/>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注：磋商方案无固定格式，供应商自拟（参照评标办法中技术部分）</w:t>
      </w:r>
    </w:p>
    <w:p>
      <w:pPr>
        <w:kinsoku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kinsoku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kinsoku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overflowPunct w:val="0"/>
        <w:spacing w:line="360" w:lineRule="auto"/>
        <w:rPr>
          <w:rFonts w:hint="eastAsia" w:ascii="宋体" w:hAnsi="宋体"/>
          <w:b/>
          <w:color w:val="000000"/>
          <w:sz w:val="24"/>
        </w:rPr>
      </w:pPr>
    </w:p>
    <w:p>
      <w:pPr>
        <w:overflowPunct w:val="0"/>
        <w:spacing w:line="360" w:lineRule="auto"/>
        <w:rPr>
          <w:rFonts w:hint="eastAsia" w:ascii="宋体" w:hAnsi="宋体"/>
          <w:b/>
          <w:color w:val="000000"/>
          <w:sz w:val="24"/>
        </w:rPr>
      </w:pPr>
    </w:p>
    <w:p>
      <w:pPr>
        <w:pStyle w:val="8"/>
        <w:rPr>
          <w:rFonts w:hint="eastAsia" w:ascii="宋体" w:hAnsi="宋体"/>
          <w:b/>
          <w:color w:val="000000"/>
          <w:sz w:val="24"/>
        </w:rPr>
      </w:pPr>
    </w:p>
    <w:p>
      <w:pPr>
        <w:pStyle w:val="8"/>
        <w:rPr>
          <w:rFonts w:hint="eastAsia" w:ascii="宋体" w:hAnsi="宋体"/>
          <w:b/>
          <w:color w:val="000000"/>
          <w:sz w:val="24"/>
        </w:rPr>
      </w:pPr>
    </w:p>
    <w:p>
      <w:pPr>
        <w:pStyle w:val="8"/>
        <w:rPr>
          <w:rFonts w:hint="eastAsia" w:ascii="宋体" w:hAnsi="宋体"/>
          <w:b/>
          <w:color w:val="000000"/>
          <w:sz w:val="24"/>
        </w:rPr>
      </w:pPr>
    </w:p>
    <w:p>
      <w:pPr>
        <w:pStyle w:val="8"/>
        <w:rPr>
          <w:rFonts w:hint="eastAsia" w:ascii="宋体" w:hAnsi="宋体"/>
          <w:b/>
          <w:color w:val="000000"/>
          <w:sz w:val="24"/>
        </w:rPr>
      </w:pPr>
    </w:p>
    <w:p>
      <w:pPr>
        <w:pStyle w:val="8"/>
        <w:rPr>
          <w:rFonts w:hint="eastAsia"/>
        </w:rPr>
      </w:pPr>
    </w:p>
    <w:p>
      <w:pPr>
        <w:overflowPunct w:val="0"/>
        <w:spacing w:line="360" w:lineRule="auto"/>
        <w:rPr>
          <w:rFonts w:hint="eastAsia" w:ascii="宋体" w:hAnsi="宋体"/>
          <w:b/>
          <w:color w:val="000000"/>
          <w:sz w:val="24"/>
        </w:rPr>
      </w:pPr>
    </w:p>
    <w:p>
      <w:pPr>
        <w:overflowPunct w:val="0"/>
        <w:spacing w:line="360" w:lineRule="auto"/>
        <w:rPr>
          <w:rFonts w:hint="eastAsia" w:ascii="宋体" w:hAnsi="宋体"/>
          <w:b/>
          <w:color w:val="000000"/>
          <w:sz w:val="24"/>
        </w:rPr>
      </w:pPr>
    </w:p>
    <w:p>
      <w:pPr>
        <w:keepLines/>
        <w:pageBreakBefore/>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302" w:name="_Toc500323116"/>
      <w:bookmarkStart w:id="303" w:name="_Toc6747"/>
      <w:bookmarkStart w:id="304" w:name="_Toc14452"/>
      <w:bookmarkStart w:id="305" w:name="_Toc6183"/>
      <w:bookmarkStart w:id="306" w:name="_Toc526842731"/>
      <w:r>
        <w:rPr>
          <w:rFonts w:hint="eastAsia" w:ascii="宋体" w:hAnsi="宋体" w:cs="宋体"/>
          <w:b/>
          <w:color w:val="000000" w:themeColor="text1"/>
          <w:sz w:val="28"/>
          <w:szCs w:val="28"/>
          <w:lang w:eastAsia="zh-CN"/>
          <w14:textFill>
            <w14:solidFill>
              <w14:schemeClr w14:val="tx1"/>
            </w14:solidFill>
          </w14:textFill>
        </w:rPr>
        <w:t>六</w:t>
      </w:r>
      <w:r>
        <w:rPr>
          <w:rFonts w:hint="eastAsia" w:ascii="宋体" w:hAnsi="宋体" w:eastAsia="宋体" w:cs="宋体"/>
          <w:b/>
          <w:color w:val="000000" w:themeColor="text1"/>
          <w:sz w:val="28"/>
          <w:szCs w:val="28"/>
          <w14:textFill>
            <w14:solidFill>
              <w14:schemeClr w14:val="tx1"/>
            </w14:solidFill>
          </w14:textFill>
        </w:rPr>
        <w:t>、商务</w:t>
      </w:r>
      <w:bookmarkEnd w:id="302"/>
      <w:bookmarkEnd w:id="303"/>
      <w:bookmarkEnd w:id="304"/>
      <w:r>
        <w:rPr>
          <w:rFonts w:hint="eastAsia" w:ascii="宋体" w:hAnsi="宋体" w:eastAsia="宋体" w:cs="宋体"/>
          <w:b/>
          <w:color w:val="000000" w:themeColor="text1"/>
          <w:sz w:val="28"/>
          <w:szCs w:val="28"/>
          <w14:textFill>
            <w14:solidFill>
              <w14:schemeClr w14:val="tx1"/>
            </w14:solidFill>
          </w14:textFill>
        </w:rPr>
        <w:t>方案</w:t>
      </w:r>
      <w:bookmarkEnd w:id="305"/>
      <w:bookmarkEnd w:id="306"/>
    </w:p>
    <w:p>
      <w:pPr>
        <w:pStyle w:val="8"/>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包括但不限于：</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1.同类业绩；</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2.项目组织管理及人员安排；</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3.后续服务；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4.有必要说明的商务事宜。</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eastAsia="宋体" w:cs="宋体"/>
          <w:b/>
          <w:bCs/>
          <w:color w:val="000000" w:themeColor="text1"/>
          <w:sz w:val="28"/>
          <w:szCs w:val="24"/>
          <w14:textFill>
            <w14:solidFill>
              <w14:schemeClr w14:val="tx1"/>
            </w14:solidFill>
          </w14:textFill>
        </w:rPr>
        <w:t>注：磋商方案无固定格式，供应商自拟（参照评标办法中商务</w:t>
      </w:r>
      <w:r>
        <w:rPr>
          <w:rFonts w:hint="eastAsia" w:ascii="宋体" w:hAnsi="宋体" w:eastAsia="宋体" w:cs="宋体"/>
          <w:b/>
          <w:bCs/>
          <w:color w:val="000000" w:themeColor="text1"/>
          <w:sz w:val="28"/>
          <w:szCs w:val="24"/>
          <w:lang w:val="en-US" w:eastAsia="zh-CN"/>
          <w14:textFill>
            <w14:solidFill>
              <w14:schemeClr w14:val="tx1"/>
            </w14:solidFill>
          </w14:textFill>
        </w:rPr>
        <w:t>部分</w:t>
      </w:r>
      <w:r>
        <w:rPr>
          <w:rFonts w:hint="eastAsia" w:ascii="宋体" w:hAnsi="宋体" w:eastAsia="宋体" w:cs="宋体"/>
          <w:b/>
          <w:bCs/>
          <w:color w:val="000000" w:themeColor="text1"/>
          <w:sz w:val="28"/>
          <w:szCs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bookmarkEnd w:id="300"/>
    <w:bookmarkEnd w:id="301"/>
    <w:p>
      <w:pPr>
        <w:spacing w:line="360" w:lineRule="auto"/>
        <w:ind w:firstLine="420" w:firstLineChars="200"/>
        <w:rPr>
          <w:rFonts w:hint="eastAsia" w:ascii="宋体" w:hAnsi="宋体" w:eastAsia="宋体" w:cs="宋体"/>
          <w:color w:val="000000" w:themeColor="text1"/>
          <w14:textFill>
            <w14:solidFill>
              <w14:schemeClr w14:val="tx1"/>
            </w14:solidFill>
          </w14:textFill>
        </w:rPr>
      </w:pPr>
      <w:bookmarkStart w:id="307" w:name="_Toc19179"/>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both"/>
        <w:rPr>
          <w:rFonts w:hint="eastAsia" w:ascii="宋体" w:hAnsi="宋体" w:eastAsia="宋体" w:cs="宋体"/>
          <w:b/>
          <w:color w:val="000000" w:themeColor="text1"/>
          <w:sz w:val="24"/>
          <w14:textFill>
            <w14:solidFill>
              <w14:schemeClr w14:val="tx1"/>
            </w14:solidFill>
          </w14:textFill>
        </w:rPr>
      </w:pPr>
    </w:p>
    <w:bookmarkEnd w:id="307"/>
    <w:p>
      <w:pPr>
        <w:keepLines/>
        <w:pageBreakBefore/>
        <w:spacing w:line="360" w:lineRule="auto"/>
        <w:jc w:val="center"/>
        <w:outlineLvl w:val="1"/>
        <w:rPr>
          <w:rFonts w:hint="eastAsia" w:ascii="宋体" w:hAnsi="宋体" w:cs="宋体"/>
          <w:b/>
          <w:color w:val="000000"/>
          <w:sz w:val="30"/>
          <w:szCs w:val="30"/>
        </w:rPr>
      </w:pPr>
      <w:r>
        <w:rPr>
          <w:rFonts w:hint="eastAsia" w:ascii="宋体" w:hAnsi="宋体" w:cs="宋体"/>
          <w:b/>
          <w:color w:val="000000"/>
          <w:sz w:val="30"/>
          <w:szCs w:val="30"/>
          <w:lang w:val="en-US" w:eastAsia="zh-CN"/>
        </w:rPr>
        <w:t>七、</w:t>
      </w:r>
      <w:r>
        <w:rPr>
          <w:rFonts w:hint="eastAsia" w:ascii="宋体" w:hAnsi="宋体" w:cs="宋体"/>
          <w:b/>
          <w:color w:val="000000"/>
          <w:sz w:val="30"/>
          <w:szCs w:val="30"/>
        </w:rPr>
        <w:t>陕西省政府采购供应商拒绝政府采购领域商业贿赂承诺书</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为响应党中央、国务院关于治理政府采购领域商业贿赂行为的号召，我公司在此庄严承诺：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1.在参与政府采购活动中遵纪守法、诚信经营、公平竞标。</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2.不向政府采购人、采购代理机构和政府采购评审专家进行任何形式的商业贿赂以谋取交易机会。</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3.不向政府采购代理机构和采购人提供虚假资质文件或采用虚假应标方式参与政府采购市场竞争并谋取中标、成交。</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4.不采取“围标、陪标”等商业欺诈手段获得政府采购定单。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5.不采取不正当手段诋毁、排挤其他供应商。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6.不在提供商品和服务时“偷梁换柱、以次充好”损害采购人的合法权益。</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7.不与采购人、采购代理机构政府采购评审专家或其它供应商恶意串通，进行质疑和投诉，维护政府采购市场秩序。</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8.尊重和接受政府采购监督管理部门的监督和政府采购代理机构招标采购要求，承担因违约行为给采购人造成的损失。</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9.不发生其他有悖于政府采购公开、公平、公正和诚信原则的行为。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cs="宋体"/>
          <w:color w:val="000000"/>
          <w:kern w:val="0"/>
          <w:sz w:val="28"/>
          <w:szCs w:val="28"/>
        </w:rPr>
      </w:pPr>
      <w:r>
        <w:rPr>
          <w:rFonts w:hint="eastAsia" w:ascii="宋体" w:hAnsi="宋体" w:cs="宋体"/>
          <w:color w:val="000000"/>
          <w:kern w:val="0"/>
          <w:sz w:val="28"/>
          <w:szCs w:val="28"/>
        </w:rPr>
        <w:t>地  址：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邮  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b/>
          <w:color w:val="000000"/>
          <w:sz w:val="28"/>
          <w:szCs w:val="28"/>
        </w:rPr>
      </w:pPr>
      <w:r>
        <w:rPr>
          <w:rFonts w:hint="eastAsia" w:ascii="宋体" w:hAnsi="宋体" w:cs="宋体"/>
          <w:color w:val="000000"/>
          <w:kern w:val="0"/>
          <w:sz w:val="28"/>
          <w:szCs w:val="28"/>
        </w:rPr>
        <w:t>电  话：                        </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color w:val="000000"/>
          <w:sz w:val="28"/>
          <w:szCs w:val="28"/>
        </w:rPr>
      </w:pPr>
      <w:r>
        <w:rPr>
          <w:rFonts w:hint="eastAsia" w:ascii="宋体" w:hAnsi="宋体" w:cs="宋体"/>
          <w:b/>
          <w:color w:val="000000"/>
          <w:sz w:val="28"/>
          <w:szCs w:val="28"/>
        </w:rPr>
        <w:t>供应商：</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 xml:space="preserve">（盖章）                                </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color w:val="000000"/>
          <w:sz w:val="28"/>
          <w:szCs w:val="28"/>
        </w:rPr>
      </w:pPr>
      <w:r>
        <w:rPr>
          <w:rFonts w:hint="eastAsia" w:ascii="宋体" w:hAnsi="宋体" w:cs="宋体"/>
          <w:b/>
          <w:color w:val="000000"/>
          <w:sz w:val="28"/>
          <w:szCs w:val="28"/>
        </w:rPr>
        <w:t>法定代表人：</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（签字或法人印鉴）</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color w:val="000000"/>
          <w:sz w:val="28"/>
          <w:szCs w:val="28"/>
        </w:rPr>
      </w:pPr>
      <w:r>
        <w:rPr>
          <w:rFonts w:hint="eastAsia" w:ascii="宋体" w:hAnsi="宋体" w:cs="宋体"/>
          <w:b/>
          <w:color w:val="000000"/>
          <w:sz w:val="28"/>
          <w:szCs w:val="28"/>
        </w:rPr>
        <w:t>委托代理人：</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 xml:space="preserve">（签字）  </w:t>
      </w:r>
    </w:p>
    <w:p>
      <w:pPr>
        <w:spacing w:line="360" w:lineRule="auto"/>
        <w:ind w:firstLine="562" w:firstLineChars="200"/>
        <w:jc w:val="both"/>
        <w:rPr>
          <w:rFonts w:hint="default" w:ascii="宋体" w:hAnsi="宋体" w:eastAsia="宋体" w:cs="宋体"/>
          <w:b/>
          <w:color w:val="000000"/>
          <w:sz w:val="32"/>
          <w:szCs w:val="32"/>
          <w:lang w:val="en-US" w:eastAsia="zh-CN"/>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cs="宋体"/>
          <w:b/>
          <w:color w:val="000000"/>
          <w:sz w:val="28"/>
          <w:szCs w:val="28"/>
        </w:rPr>
        <w:t xml:space="preserve">日    期：  年 </w:t>
      </w:r>
      <w:r>
        <w:rPr>
          <w:rFonts w:hint="eastAsia" w:ascii="宋体" w:hAnsi="宋体" w:cs="宋体"/>
          <w:b/>
          <w:color w:val="000000"/>
          <w:sz w:val="28"/>
          <w:szCs w:val="28"/>
          <w:lang w:val="en-US" w:eastAsia="zh-CN"/>
        </w:rPr>
        <w:t xml:space="preserve"> 月  日</w:t>
      </w:r>
    </w:p>
    <w:p>
      <w:pPr>
        <w:pStyle w:val="31"/>
        <w:ind w:left="0" w:leftChars="0" w:firstLine="0" w:firstLineChars="0"/>
        <w:rPr>
          <w:rFonts w:hint="eastAsia" w:ascii="宋体" w:hAnsi="宋体" w:eastAsia="宋体" w:cs="宋体"/>
          <w:b/>
          <w:bCs/>
          <w:color w:val="000000"/>
          <w:sz w:val="24"/>
        </w:rPr>
      </w:pPr>
    </w:p>
    <w:p>
      <w:pPr>
        <w:widowControl/>
        <w:numPr>
          <w:ilvl w:val="0"/>
          <w:numId w:val="0"/>
        </w:numPr>
        <w:spacing w:line="360" w:lineRule="auto"/>
        <w:ind w:leftChars="200"/>
        <w:jc w:val="center"/>
        <w:rPr>
          <w:rFonts w:hint="eastAsia" w:ascii="宋体" w:hAnsi="宋体" w:eastAsia="宋体" w:cs="宋体"/>
          <w:b/>
          <w:color w:val="000000" w:themeColor="text1"/>
          <w:sz w:val="28"/>
          <w:szCs w:val="28"/>
          <w14:textFill>
            <w14:solidFill>
              <w14:schemeClr w14:val="tx1"/>
            </w14:solidFill>
          </w14:textFill>
        </w:rPr>
      </w:pPr>
      <w:bookmarkStart w:id="308" w:name="_Toc526842734"/>
      <w:bookmarkStart w:id="309" w:name="_Toc11275"/>
      <w:bookmarkStart w:id="310" w:name="_Toc500323119"/>
      <w:r>
        <w:rPr>
          <w:rFonts w:hint="eastAsia" w:ascii="宋体" w:hAnsi="宋体" w:cs="宋体"/>
          <w:b/>
          <w:color w:val="000000" w:themeColor="text1"/>
          <w:sz w:val="28"/>
          <w:szCs w:val="28"/>
          <w:lang w:val="en-US" w:eastAsia="zh-CN"/>
          <w14:textFill>
            <w14:solidFill>
              <w14:schemeClr w14:val="tx1"/>
            </w14:solidFill>
          </w14:textFill>
        </w:rPr>
        <w:t>八、</w:t>
      </w:r>
      <w:r>
        <w:rPr>
          <w:rFonts w:hint="eastAsia" w:ascii="宋体" w:hAnsi="宋体" w:eastAsia="宋体" w:cs="宋体"/>
          <w:b/>
          <w:color w:val="000000" w:themeColor="text1"/>
          <w:sz w:val="28"/>
          <w:szCs w:val="28"/>
          <w14:textFill>
            <w14:solidFill>
              <w14:schemeClr w14:val="tx1"/>
            </w14:solidFill>
          </w14:textFill>
        </w:rPr>
        <w:t>资格审查资料</w:t>
      </w:r>
      <w:bookmarkEnd w:id="308"/>
      <w:bookmarkEnd w:id="309"/>
      <w:bookmarkEnd w:id="310"/>
    </w:p>
    <w:p>
      <w:pPr>
        <w:pStyle w:val="8"/>
        <w:numPr>
          <w:ilvl w:val="0"/>
          <w:numId w:val="0"/>
        </w:numPr>
        <w:ind w:leftChars="200"/>
        <w:rPr>
          <w:rFonts w:hint="eastAsia"/>
        </w:rPr>
      </w:pPr>
    </w:p>
    <w:p>
      <w:pPr>
        <w:spacing w:line="360" w:lineRule="auto"/>
        <w:ind w:firstLine="56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以下资格审查资料在磋商响应文件中需提供加盖公章的复印件</w:t>
      </w:r>
      <w:r>
        <w:rPr>
          <w:rFonts w:hint="eastAsia" w:ascii="宋体" w:hAnsi="宋体" w:eastAsia="宋体" w:cs="宋体"/>
          <w:b/>
          <w:color w:val="000000" w:themeColor="text1"/>
          <w:sz w:val="24"/>
          <w14:textFill>
            <w14:solidFill>
              <w14:schemeClr w14:val="tx1"/>
            </w14:solidFill>
          </w14:textFill>
        </w:rPr>
        <w:t>：</w:t>
      </w:r>
    </w:p>
    <w:p>
      <w:pPr>
        <w:pStyle w:val="8"/>
        <w:rPr>
          <w:rFonts w:hint="eastAsia"/>
        </w:rPr>
      </w:pPr>
    </w:p>
    <w:p>
      <w:pPr>
        <w:spacing w:line="360" w:lineRule="auto"/>
        <w:ind w:firstLine="560" w:firstLineChars="200"/>
        <w:rPr>
          <w:rFonts w:hint="eastAsia" w:ascii="宋体" w:hAnsi="宋体" w:cs="宋体"/>
          <w:bCs/>
          <w:color w:val="000000"/>
          <w:sz w:val="28"/>
          <w:szCs w:val="28"/>
          <w:lang w:val="en-US" w:eastAsia="zh-CN"/>
        </w:rPr>
      </w:pPr>
      <w:r>
        <w:rPr>
          <w:rFonts w:hint="eastAsia" w:ascii="宋体" w:hAnsi="宋体" w:cs="宋体"/>
          <w:bCs/>
          <w:color w:val="000000"/>
          <w:sz w:val="28"/>
          <w:szCs w:val="28"/>
          <w:lang w:val="en-US" w:eastAsia="zh-CN"/>
        </w:rPr>
        <w:t>（1）基本资格条件：符合《中华人民共和国政府采购法》第二十二条的规定；</w:t>
      </w:r>
    </w:p>
    <w:p>
      <w:pPr>
        <w:spacing w:line="360" w:lineRule="auto"/>
        <w:ind w:firstLine="560" w:firstLineChars="200"/>
        <w:rPr>
          <w:rFonts w:hint="eastAsia"/>
        </w:rPr>
      </w:pPr>
      <w:r>
        <w:rPr>
          <w:rFonts w:hint="eastAsia" w:ascii="宋体" w:hAnsi="宋体" w:cs="宋体"/>
          <w:bCs/>
          <w:color w:val="000000"/>
          <w:sz w:val="28"/>
          <w:szCs w:val="28"/>
          <w:lang w:val="en-US" w:eastAsia="zh-CN"/>
        </w:rPr>
        <w:t>（2）特定资格条件：</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bookmarkStart w:id="311" w:name="_Toc410976269"/>
      <w:bookmarkStart w:id="312" w:name="_Toc425240488"/>
      <w:bookmarkStart w:id="313" w:name="_Toc25286"/>
      <w:bookmarkStart w:id="314" w:name="_Toc420591675"/>
      <w:bookmarkStart w:id="315" w:name="_Toc421778393"/>
      <w:bookmarkStart w:id="316" w:name="_Toc17898"/>
      <w:r>
        <w:rPr>
          <w:rFonts w:hint="eastAsia" w:ascii="宋体" w:hAnsi="宋体" w:eastAsia="宋体" w:cs="宋体"/>
          <w:color w:val="000000"/>
          <w:sz w:val="28"/>
          <w:szCs w:val="28"/>
          <w:lang w:val="en-US" w:eastAsia="zh-CN"/>
        </w:rPr>
        <w:t>具有独立承担民事责任能力的法人、其他组织或自然人，法人或其他组织提供营业执照（事业单位法人证书），自然人提供身份证明；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提供营业执照、税务登记证、组织机构代码证或三证合一的营业执照（供应商无需提供营业执照年检报告，在资格审查时通过互联网或者相关信息系统查询）；</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2.银行开户许可证或开户行基本信息； </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.法定代表人授权委托书及被授权人身份证（法定代表人直接参加时，只须出示法定代表人身份证）； </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.提供参加政府采购活动前3年内经营活动中没有重大违法记录声明； </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5.税收缴纳证明：自20</w:t>
      </w:r>
      <w:r>
        <w:rPr>
          <w:rFonts w:hint="eastAsia" w:ascii="宋体" w:hAnsi="宋体" w:cs="宋体"/>
          <w:color w:val="000000"/>
          <w:sz w:val="28"/>
          <w:szCs w:val="28"/>
          <w:lang w:val="en-US" w:eastAsia="zh-CN"/>
        </w:rPr>
        <w:t>23</w:t>
      </w:r>
      <w:r>
        <w:rPr>
          <w:rFonts w:hint="eastAsia" w:ascii="宋体" w:hAnsi="宋体" w:eastAsia="宋体" w:cs="宋体"/>
          <w:color w:val="000000"/>
          <w:sz w:val="28"/>
          <w:szCs w:val="28"/>
          <w:lang w:val="en-US" w:eastAsia="zh-CN"/>
        </w:rPr>
        <w:t>年</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月1日以来已缴纳的至少一个月的纳税证明或完税证明，纳税证明或完税证明上应有代收机构或税务机关的公章。依法免税的供应商应提供相关文件证明；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6.社会保障资金缴纳证明：自20</w:t>
      </w:r>
      <w:r>
        <w:rPr>
          <w:rFonts w:hint="eastAsia" w:ascii="宋体" w:hAnsi="宋体" w:cs="宋体"/>
          <w:color w:val="000000"/>
          <w:sz w:val="28"/>
          <w:szCs w:val="28"/>
          <w:lang w:val="en-US" w:eastAsia="zh-CN"/>
        </w:rPr>
        <w:t>23</w:t>
      </w:r>
      <w:r>
        <w:rPr>
          <w:rFonts w:hint="eastAsia" w:ascii="宋体" w:hAnsi="宋体" w:eastAsia="宋体" w:cs="宋体"/>
          <w:color w:val="000000"/>
          <w:sz w:val="28"/>
          <w:szCs w:val="28"/>
          <w:lang w:val="en-US" w:eastAsia="zh-CN"/>
        </w:rPr>
        <w:t>年</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月1日以来至少一个月的已缴存的社会保障资金缴存单据或社保机构开具的社会保险参保缴费情况证明。依法不需要缴纳社会保障资金的磋商供应商应提供相关文件证明；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7.财务状况报告：提供</w:t>
      </w:r>
      <w:r>
        <w:rPr>
          <w:rFonts w:hint="eastAsia" w:ascii="宋体" w:hAnsi="宋体" w:cs="宋体"/>
          <w:color w:val="000000"/>
          <w:sz w:val="28"/>
          <w:szCs w:val="28"/>
          <w:lang w:val="en-US" w:eastAsia="zh-CN"/>
        </w:rPr>
        <w:t>2021</w:t>
      </w:r>
      <w:r>
        <w:rPr>
          <w:rFonts w:hint="eastAsia" w:ascii="宋体" w:hAnsi="宋体" w:eastAsia="宋体" w:cs="宋体"/>
          <w:color w:val="000000"/>
          <w:sz w:val="28"/>
          <w:szCs w:val="28"/>
          <w:lang w:val="en-US" w:eastAsia="zh-CN"/>
        </w:rPr>
        <w:t>或20</w:t>
      </w:r>
      <w:r>
        <w:rPr>
          <w:rFonts w:hint="eastAsia" w:ascii="宋体" w:hAnsi="宋体" w:cs="宋体"/>
          <w:color w:val="000000"/>
          <w:sz w:val="28"/>
          <w:szCs w:val="28"/>
          <w:lang w:val="en-US" w:eastAsia="zh-CN"/>
        </w:rPr>
        <w:t>22</w:t>
      </w:r>
      <w:r>
        <w:rPr>
          <w:rFonts w:hint="eastAsia" w:ascii="宋体" w:hAnsi="宋体" w:eastAsia="宋体" w:cs="宋体"/>
          <w:color w:val="000000"/>
          <w:sz w:val="28"/>
          <w:szCs w:val="28"/>
          <w:lang w:val="en-US" w:eastAsia="zh-CN"/>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9.提供磋商保证金的银行转账或电汇凭证并确保响应文件递交截止时间前到达采购文件指定账户；</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lang w:val="en-US" w:eastAsia="zh-CN"/>
        </w:rPr>
        <w:t>.本项目不接受联合体磋商。</w:t>
      </w:r>
    </w:p>
    <w:p>
      <w:pPr>
        <w:widowControl/>
        <w:spacing w:line="360" w:lineRule="auto"/>
        <w:ind w:firstLine="560" w:firstLineChars="200"/>
        <w:rPr>
          <w:rFonts w:hint="eastAsia"/>
          <w:sz w:val="28"/>
          <w:szCs w:val="28"/>
          <w:lang w:val="en-US" w:eastAsia="zh-CN"/>
        </w:rPr>
        <w:sectPr>
          <w:footerReference r:id="rId13" w:type="first"/>
          <w:footerReference r:id="rId12" w:type="default"/>
          <w:pgSz w:w="11906" w:h="16838"/>
          <w:pgMar w:top="1440" w:right="1440" w:bottom="1440" w:left="1440" w:header="851" w:footer="992" w:gutter="0"/>
          <w:pgNumType w:fmt="decimal"/>
          <w:cols w:space="720" w:num="1"/>
          <w:titlePg/>
          <w:docGrid w:linePitch="312" w:charSpace="0"/>
        </w:sectPr>
      </w:pPr>
    </w:p>
    <w:p>
      <w:pPr>
        <w:pStyle w:val="31"/>
        <w:rPr>
          <w:rFonts w:hint="eastAsia" w:ascii="宋体" w:hAnsi="宋体" w:eastAsia="宋体" w:cs="宋体"/>
          <w:b/>
          <w:bCs/>
          <w:sz w:val="24"/>
          <w:szCs w:val="24"/>
          <w:lang w:val="en-US" w:eastAsia="zh-CN"/>
        </w:rPr>
      </w:pPr>
      <w:bookmarkStart w:id="317" w:name="_Hlk518637502"/>
      <w:bookmarkStart w:id="318" w:name="_Hlk519176925"/>
      <w:r>
        <w:rPr>
          <w:rFonts w:hint="eastAsia" w:ascii="宋体" w:hAnsi="宋体" w:eastAsia="宋体" w:cs="宋体"/>
          <w:b/>
          <w:bCs/>
          <w:sz w:val="24"/>
          <w:szCs w:val="24"/>
          <w:lang w:eastAsia="zh-CN"/>
        </w:rPr>
        <w:t>附件</w:t>
      </w:r>
      <w:r>
        <w:rPr>
          <w:rFonts w:hint="eastAsia" w:ascii="宋体" w:hAnsi="宋体" w:eastAsia="宋体" w:cs="宋体"/>
          <w:b/>
          <w:bCs/>
          <w:sz w:val="24"/>
          <w:szCs w:val="24"/>
          <w:lang w:val="en-US" w:eastAsia="zh-CN"/>
        </w:rPr>
        <w:t>1</w:t>
      </w:r>
    </w:p>
    <w:p>
      <w:pPr>
        <w:pStyle w:val="31"/>
        <w:rPr>
          <w:rFonts w:hint="eastAsia"/>
          <w:lang w:val="en-US" w:eastAsia="zh-CN"/>
        </w:rPr>
      </w:pPr>
    </w:p>
    <w:p>
      <w:pPr>
        <w:pStyle w:val="31"/>
        <w:jc w:val="center"/>
        <w:rPr>
          <w:rFonts w:hint="eastAsia" w:ascii="宋体" w:hAnsi="宋体" w:eastAsia="宋体" w:cs="宋体"/>
          <w:b/>
          <w:color w:val="000000"/>
          <w:sz w:val="32"/>
          <w:szCs w:val="32"/>
          <w:lang w:val="en-US" w:eastAsia="zh-CN"/>
        </w:rPr>
      </w:pPr>
      <w:r>
        <w:rPr>
          <w:rFonts w:hint="eastAsia" w:ascii="宋体" w:hAnsi="宋体" w:eastAsia="宋体" w:cs="宋体"/>
          <w:b/>
          <w:color w:val="000000"/>
          <w:sz w:val="32"/>
          <w:szCs w:val="32"/>
          <w:lang w:val="en-US" w:eastAsia="zh-CN"/>
        </w:rPr>
        <w:t>《中华人民共和国政府采购法》第二十二条的</w:t>
      </w:r>
      <w:r>
        <w:rPr>
          <w:rFonts w:hint="eastAsia" w:ascii="宋体" w:hAnsi="宋体" w:eastAsia="宋体" w:cs="宋体"/>
          <w:b/>
          <w:color w:val="000000"/>
          <w:sz w:val="32"/>
          <w:szCs w:val="32"/>
        </w:rPr>
        <w:t>书面</w:t>
      </w:r>
      <w:r>
        <w:rPr>
          <w:rFonts w:hint="eastAsia" w:ascii="宋体" w:hAnsi="宋体" w:eastAsia="宋体" w:cs="宋体"/>
          <w:b/>
          <w:color w:val="000000"/>
          <w:sz w:val="32"/>
          <w:szCs w:val="32"/>
          <w:lang w:val="en-US" w:eastAsia="zh-CN"/>
        </w:rPr>
        <w:t>承诺函</w:t>
      </w:r>
    </w:p>
    <w:p>
      <w:pPr>
        <w:pStyle w:val="31"/>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sz w:val="28"/>
          <w:szCs w:val="28"/>
          <w:lang w:val="en-US" w:eastAsia="zh-CN"/>
        </w:rPr>
      </w:pPr>
      <w:r>
        <w:rPr>
          <w:rFonts w:hint="eastAsia" w:ascii="宋体" w:hAnsi="宋体" w:eastAsia="宋体" w:cs="宋体"/>
          <w:color w:val="000000"/>
          <w:sz w:val="28"/>
          <w:szCs w:val="28"/>
        </w:rPr>
        <w:t>致：</w:t>
      </w:r>
      <w:r>
        <w:rPr>
          <w:rFonts w:hint="eastAsia" w:ascii="宋体" w:hAnsi="宋体" w:eastAsia="宋体" w:cs="宋体"/>
          <w:color w:val="000000"/>
          <w:sz w:val="28"/>
          <w:szCs w:val="28"/>
          <w:u w:val="single"/>
        </w:rPr>
        <w:t>（采购人名称）</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我单位作为参加</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采购项目的</w:t>
      </w:r>
      <w:r>
        <w:rPr>
          <w:rFonts w:hint="eastAsia" w:ascii="宋体" w:hAnsi="宋体" w:cs="宋体"/>
          <w:sz w:val="28"/>
          <w:szCs w:val="28"/>
          <w:lang w:val="en-US" w:eastAsia="zh-CN"/>
        </w:rPr>
        <w:t>磋商</w:t>
      </w:r>
      <w:r>
        <w:rPr>
          <w:rFonts w:hint="eastAsia" w:ascii="宋体" w:hAnsi="宋体" w:eastAsia="宋体" w:cs="宋体"/>
          <w:sz w:val="28"/>
          <w:szCs w:val="28"/>
          <w:lang w:val="en-US" w:eastAsia="zh-CN"/>
        </w:rPr>
        <w:t xml:space="preserve">单位，现郑重承诺我单位具备《中华人民共和国政府采购法》第二十二条供应商参加政府采购活动的基本资格条件：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（一）我单位具有独立承担民事责任的能力；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（二）我单位具有良好的商业信誉和健全的财务会计制度；</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（三）我单位具有履行合同所必需的设备和专业技术能力；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（四）我单位有依法缴纳税收和社会保障资金的良好记录；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（五）我单位参加政府采购活动前三年内，在经营活动中没有重大违法记录；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（六）我单位满足法律、行政法规规定的其他条件。</w:t>
      </w:r>
    </w:p>
    <w:p>
      <w:pPr>
        <w:pStyle w:val="31"/>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附件</w:t>
      </w:r>
      <w:r>
        <w:rPr>
          <w:rFonts w:hint="eastAsia" w:ascii="宋体" w:hAnsi="宋体" w:cs="宋体"/>
          <w:b/>
          <w:color w:val="000000" w:themeColor="text1"/>
          <w:sz w:val="24"/>
          <w:lang w:val="en-US" w:eastAsia="zh-CN"/>
          <w14:textFill>
            <w14:solidFill>
              <w14:schemeClr w14:val="tx1"/>
            </w14:solidFill>
          </w14:textFill>
        </w:rPr>
        <w:t>2</w:t>
      </w:r>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参加政府采购活动前3年内在经营活动中没有重大违法记录的书面声明</w:t>
      </w:r>
    </w:p>
    <w:p>
      <w:pPr>
        <w:spacing w:line="360" w:lineRule="auto"/>
        <w:jc w:val="left"/>
        <w:rPr>
          <w:rFonts w:hint="eastAsia" w:ascii="宋体" w:hAnsi="宋体" w:eastAsia="宋体" w:cs="宋体"/>
          <w:color w:val="000000" w:themeColor="text1"/>
          <w:sz w:val="28"/>
          <w:szCs w:val="28"/>
          <w14:textFill>
            <w14:solidFill>
              <w14:schemeClr w14:val="tx1"/>
            </w14:solidFill>
          </w14:textFill>
        </w:rPr>
      </w:pPr>
    </w:p>
    <w:p>
      <w:pPr>
        <w:pStyle w:val="8"/>
        <w:rPr>
          <w:rFonts w:hint="eastAsia"/>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致：</w:t>
      </w:r>
      <w:r>
        <w:rPr>
          <w:rFonts w:hint="eastAsia" w:ascii="宋体" w:hAnsi="宋体" w:eastAsia="宋体" w:cs="宋体"/>
          <w:color w:val="000000" w:themeColor="text1"/>
          <w:sz w:val="28"/>
          <w:szCs w:val="28"/>
          <w:u w:val="single"/>
          <w14:textFill>
            <w14:solidFill>
              <w14:schemeClr w14:val="tx1"/>
            </w14:solidFill>
          </w14:textFill>
        </w:rPr>
        <w:t xml:space="preserve">   （采购人名称）</w:t>
      </w:r>
    </w:p>
    <w:p>
      <w:pPr>
        <w:keepNext w:val="0"/>
        <w:keepLines w:val="0"/>
        <w:pageBreakBefore w:val="0"/>
        <w:widowControl w:val="0"/>
        <w:kinsoku/>
        <w:wordWrap/>
        <w:overflowPunct/>
        <w:topLinePunct w:val="0"/>
        <w:autoSpaceDE/>
        <w:autoSpaceDN/>
        <w:bidi w:val="0"/>
        <w:adjustRightInd/>
        <w:snapToGrid/>
        <w:spacing w:line="480" w:lineRule="auto"/>
        <w:ind w:firstLine="48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我单位</w:t>
      </w:r>
      <w:r>
        <w:rPr>
          <w:rFonts w:hint="eastAsia" w:ascii="宋体" w:hAnsi="宋体" w:eastAsia="宋体" w:cs="宋体"/>
          <w:color w:val="000000" w:themeColor="text1"/>
          <w:sz w:val="28"/>
          <w:szCs w:val="28"/>
          <w:u w:val="single"/>
          <w14:textFill>
            <w14:solidFill>
              <w14:schemeClr w14:val="tx1"/>
            </w14:solidFill>
          </w14:textFill>
        </w:rPr>
        <w:t xml:space="preserve">         （供应商名称）</w:t>
      </w:r>
      <w:r>
        <w:rPr>
          <w:rFonts w:hint="eastAsia" w:ascii="宋体" w:hAnsi="宋体" w:eastAsia="宋体" w:cs="宋体"/>
          <w:color w:val="000000" w:themeColor="text1"/>
          <w:sz w:val="28"/>
          <w:szCs w:val="28"/>
          <w14:textFill>
            <w14:solidFill>
              <w14:schemeClr w14:val="tx1"/>
            </w14:solidFill>
          </w14:textFill>
        </w:rPr>
        <w:t>参加政府采购活动前3年内，在经营活动中没有重大违法记录，特此声明。</w:t>
      </w:r>
    </w:p>
    <w:p>
      <w:pPr>
        <w:keepNext w:val="0"/>
        <w:keepLines w:val="0"/>
        <w:pageBreakBefore w:val="0"/>
        <w:widowControl w:val="0"/>
        <w:kinsoku/>
        <w:wordWrap/>
        <w:overflowPunct/>
        <w:topLinePunct w:val="0"/>
        <w:autoSpaceDE/>
        <w:autoSpaceDN/>
        <w:bidi w:val="0"/>
        <w:adjustRightInd/>
        <w:snapToGrid/>
        <w:spacing w:line="480" w:lineRule="auto"/>
        <w:ind w:firstLine="48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若采购人在本项目</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过程中发现我单位参加政府采购活动前3年内，在经营活动中存在重大违法记录，我单位将无条件地退出本项目的</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活动，并承担因此引起的一切后果。</w:t>
      </w:r>
    </w:p>
    <w:p>
      <w:pPr>
        <w:spacing w:line="360" w:lineRule="auto"/>
        <w:jc w:val="left"/>
        <w:rPr>
          <w:rFonts w:hint="eastAsia" w:ascii="宋体" w:hAnsi="宋体" w:eastAsia="宋体" w:cs="宋体"/>
          <w:color w:val="000000" w:themeColor="text1"/>
          <w:sz w:val="28"/>
          <w:szCs w:val="28"/>
          <w14:textFill>
            <w14:solidFill>
              <w14:schemeClr w14:val="tx1"/>
            </w14:solidFill>
          </w14:textFill>
        </w:rPr>
      </w:pPr>
    </w:p>
    <w:p>
      <w:pPr>
        <w:pStyle w:val="16"/>
        <w:rPr>
          <w:rFonts w:hint="eastAsia" w:ascii="宋体" w:hAnsi="宋体" w:eastAsia="宋体" w:cs="宋体"/>
          <w:color w:val="000000" w:themeColor="text1"/>
          <w:sz w:val="28"/>
          <w:szCs w:val="28"/>
          <w14:textFill>
            <w14:solidFill>
              <w14:schemeClr w14:val="tx1"/>
            </w14:solidFill>
          </w14:textFill>
        </w:rPr>
      </w:pPr>
    </w:p>
    <w:p>
      <w:pPr>
        <w:rPr>
          <w:rFonts w:hint="eastAsia"/>
        </w:rPr>
      </w:pPr>
    </w:p>
    <w:p>
      <w:pPr>
        <w:pStyle w:val="16"/>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附件</w:t>
      </w:r>
      <w:r>
        <w:rPr>
          <w:rFonts w:hint="eastAsia" w:ascii="宋体" w:hAnsi="宋体" w:cs="宋体"/>
          <w:b/>
          <w:color w:val="000000" w:themeColor="text1"/>
          <w:sz w:val="24"/>
          <w:lang w:val="en-US" w:eastAsia="zh-CN"/>
          <w14:textFill>
            <w14:solidFill>
              <w14:schemeClr w14:val="tx1"/>
            </w14:solidFill>
          </w14:textFill>
        </w:rPr>
        <w:t>3</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非联合体</w:t>
      </w:r>
      <w:r>
        <w:rPr>
          <w:rFonts w:hint="eastAsia" w:ascii="宋体" w:hAnsi="宋体" w:cs="宋体"/>
          <w:b/>
          <w:color w:val="000000" w:themeColor="text1"/>
          <w:sz w:val="32"/>
          <w:szCs w:val="32"/>
          <w:lang w:eastAsia="zh-CN"/>
          <w14:textFill>
            <w14:solidFill>
              <w14:schemeClr w14:val="tx1"/>
            </w14:solidFill>
          </w14:textFill>
        </w:rPr>
        <w:t>磋商</w:t>
      </w:r>
      <w:r>
        <w:rPr>
          <w:rFonts w:hint="eastAsia" w:ascii="宋体" w:hAnsi="宋体" w:eastAsia="宋体" w:cs="宋体"/>
          <w:b/>
          <w:color w:val="000000" w:themeColor="text1"/>
          <w:sz w:val="32"/>
          <w:szCs w:val="32"/>
          <w14:textFill>
            <w14:solidFill>
              <w14:schemeClr w14:val="tx1"/>
            </w14:solidFill>
          </w14:textFill>
        </w:rPr>
        <w:t>声明</w:t>
      </w:r>
    </w:p>
    <w:p>
      <w:pPr>
        <w:pStyle w:val="8"/>
        <w:rPr>
          <w:rFonts w:hint="eastAsia"/>
        </w:rPr>
      </w:pPr>
    </w:p>
    <w:p>
      <w:pPr>
        <w:keepNext w:val="0"/>
        <w:keepLines w:val="0"/>
        <w:pageBreakBefore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致：</w:t>
      </w:r>
      <w:r>
        <w:rPr>
          <w:rFonts w:hint="eastAsia" w:ascii="宋体" w:hAnsi="宋体" w:eastAsia="宋体" w:cs="宋体"/>
          <w:color w:val="000000" w:themeColor="text1"/>
          <w:sz w:val="28"/>
          <w:szCs w:val="28"/>
          <w:u w:val="single"/>
          <w14:textFill>
            <w14:solidFill>
              <w14:schemeClr w14:val="tx1"/>
            </w14:solidFill>
          </w14:textFill>
        </w:rPr>
        <w:t xml:space="preserve">  （采购人名称）</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我公司收到贵单位</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竞争性磋商（项目编号：</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）的磋商文件，经详细研究，我们决定参加该项目的磋商活动。为此，我方郑重声明以下内容，并负法律责任。</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1.本项目我公司以自己的名义参加</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，不存在联合体</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的情况。</w:t>
      </w:r>
    </w:p>
    <w:p>
      <w:pPr>
        <w:pStyle w:val="29"/>
        <w:keepNext w:val="0"/>
        <w:keepLines w:val="0"/>
        <w:pageBreakBefore w:val="0"/>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2.我公司愿按《中华人民共和国</w:t>
      </w:r>
      <w:r>
        <w:rPr>
          <w:rFonts w:hint="eastAsia" w:cs="宋体"/>
          <w:color w:val="000000" w:themeColor="text1"/>
          <w:sz w:val="28"/>
          <w:szCs w:val="28"/>
          <w:lang w:val="en-US" w:eastAsia="zh-CN"/>
          <w14:textFill>
            <w14:solidFill>
              <w14:schemeClr w14:val="tx1"/>
            </w14:solidFill>
          </w14:textFill>
        </w:rPr>
        <w:t>民法典</w:t>
      </w:r>
      <w:r>
        <w:rPr>
          <w:rFonts w:hint="eastAsia" w:ascii="宋体" w:hAnsi="宋体" w:eastAsia="宋体" w:cs="宋体"/>
          <w:color w:val="000000" w:themeColor="text1"/>
          <w:sz w:val="28"/>
          <w:szCs w:val="28"/>
          <w14:textFill>
            <w14:solidFill>
              <w14:schemeClr w14:val="tx1"/>
            </w14:solidFill>
          </w14:textFill>
        </w:rPr>
        <w:t>》履行自己的全部责任。</w:t>
      </w:r>
    </w:p>
    <w:p>
      <w:pPr>
        <w:pStyle w:val="29"/>
        <w:keepNext w:val="0"/>
        <w:keepLines w:val="0"/>
        <w:pageBreakBefore w:val="0"/>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特此声明。</w:t>
      </w:r>
    </w:p>
    <w:p>
      <w:pPr>
        <w:pStyle w:val="29"/>
        <w:spacing w:before="0" w:beforeAutospacing="0" w:after="0" w:afterAutospacing="0"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p>
    <w:bookmarkEnd w:id="317"/>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spacing w:line="360" w:lineRule="auto"/>
        <w:rPr>
          <w:rFonts w:hint="eastAsia" w:ascii="宋体" w:hAnsi="宋体" w:eastAsia="宋体" w:cs="宋体"/>
          <w:color w:val="000000" w:themeColor="text1"/>
          <w:sz w:val="24"/>
          <w14:textFill>
            <w14:solidFill>
              <w14:schemeClr w14:val="tx1"/>
            </w14:solidFill>
          </w14:textFill>
        </w:rPr>
      </w:pPr>
    </w:p>
    <w:bookmarkEnd w:id="318"/>
    <w:p>
      <w:pPr>
        <w:pStyle w:val="16"/>
        <w:jc w:val="left"/>
        <w:rPr>
          <w:rFonts w:hint="eastAsia" w:ascii="宋体" w:hAnsi="宋体" w:eastAsia="宋体" w:cs="宋体"/>
          <w:b/>
          <w:color w:val="000000"/>
          <w:sz w:val="24"/>
          <w:szCs w:val="24"/>
        </w:rPr>
      </w:pPr>
      <w:bookmarkStart w:id="319" w:name="_Toc27768"/>
      <w:bookmarkStart w:id="320" w:name="_Toc500323120"/>
      <w:bookmarkStart w:id="321" w:name="_Toc526842735"/>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rPr>
        <w:t>附件</w:t>
      </w:r>
      <w:r>
        <w:rPr>
          <w:rFonts w:hint="eastAsia" w:ascii="宋体" w:hAnsi="宋体" w:eastAsia="宋体" w:cs="宋体"/>
          <w:b/>
          <w:color w:val="000000"/>
          <w:sz w:val="24"/>
          <w:szCs w:val="24"/>
          <w:lang w:val="en-US" w:eastAsia="zh-CN"/>
        </w:rPr>
        <w:t>4</w:t>
      </w:r>
    </w:p>
    <w:p>
      <w:pPr>
        <w:rPr>
          <w:rFonts w:hint="eastAsia"/>
          <w:lang w:val="en-US" w:eastAsia="zh-CN"/>
        </w:rPr>
      </w:pPr>
    </w:p>
    <w:p>
      <w:pPr>
        <w:rPr>
          <w:rFonts w:hint="eastAsia" w:ascii="宋体" w:hAnsi="宋体" w:eastAsia="宋体" w:cs="宋体"/>
          <w:b/>
          <w:color w:val="000000"/>
          <w:sz w:val="24"/>
          <w:lang w:val="en-US" w:eastAsia="zh-CN"/>
        </w:rPr>
      </w:pPr>
    </w:p>
    <w:p>
      <w:pPr>
        <w:jc w:val="center"/>
        <w:rPr>
          <w:rFonts w:hint="eastAsia"/>
          <w:b/>
          <w:bCs/>
          <w:sz w:val="32"/>
          <w:szCs w:val="24"/>
        </w:rPr>
      </w:pPr>
      <w:r>
        <w:rPr>
          <w:rFonts w:hint="eastAsia"/>
          <w:b/>
          <w:bCs/>
          <w:sz w:val="32"/>
          <w:szCs w:val="24"/>
        </w:rPr>
        <w:t>控股管理关系承诺书</w:t>
      </w: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致：</w:t>
      </w:r>
      <w:r>
        <w:rPr>
          <w:rFonts w:hint="eastAsia" w:ascii="宋体" w:hAnsi="宋体" w:eastAsia="宋体" w:cs="宋体"/>
          <w:color w:val="000000"/>
          <w:sz w:val="28"/>
          <w:szCs w:val="28"/>
          <w:u w:val="single"/>
        </w:rPr>
        <w:t xml:space="preserve">  （采购人名称）</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我公司参加贵单位组织的</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项目名称</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 xml:space="preserve"> </w:t>
      </w:r>
      <w:r>
        <w:rPr>
          <w:rFonts w:hint="eastAsia" w:ascii="宋体" w:hAnsi="宋体" w:eastAsia="宋体" w:cs="宋体"/>
          <w:color w:val="000000"/>
          <w:sz w:val="28"/>
          <w:szCs w:val="28"/>
        </w:rPr>
        <w:t>（项目编号：</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）的投标，现我公司向贵单位承诺：</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我公司郑重承诺，我公司参加此次项目的投标，不存在单位负责人为同一人或直接控股、管理关系。如有虚假或隐瞒，我公司愿承担一切后果。</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特此声明！</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供应商：</w:t>
      </w:r>
      <w:r>
        <w:rPr>
          <w:rFonts w:hint="eastAsia" w:ascii="宋体" w:hAnsi="宋体" w:eastAsia="宋体" w:cs="宋体"/>
          <w:b/>
          <w:color w:val="000000"/>
          <w:sz w:val="28"/>
          <w:szCs w:val="28"/>
          <w:u w:val="single"/>
        </w:rPr>
        <w:t xml:space="preserve"> </w:t>
      </w:r>
      <w:r>
        <w:rPr>
          <w:rFonts w:hint="eastAsia" w:ascii="宋体" w:hAnsi="宋体" w:eastAsia="宋体" w:cs="宋体"/>
          <w:b/>
          <w:color w:val="000000"/>
          <w:sz w:val="28"/>
          <w:szCs w:val="28"/>
          <w:u w:val="single"/>
          <w:lang w:val="en-US" w:eastAsia="zh-CN"/>
        </w:rPr>
        <w:t xml:space="preserve">       </w:t>
      </w:r>
      <w:r>
        <w:rPr>
          <w:rFonts w:hint="eastAsia" w:ascii="宋体" w:hAnsi="宋体" w:eastAsia="宋体" w:cs="宋体"/>
          <w:b/>
          <w:color w:val="000000"/>
          <w:sz w:val="28"/>
          <w:szCs w:val="28"/>
          <w:u w:val="single"/>
        </w:rPr>
        <w:t xml:space="preserve">  </w:t>
      </w:r>
      <w:r>
        <w:rPr>
          <w:rFonts w:hint="eastAsia" w:ascii="宋体" w:hAnsi="宋体" w:eastAsia="宋体" w:cs="宋体"/>
          <w:b/>
          <w:color w:val="000000"/>
          <w:sz w:val="28"/>
          <w:szCs w:val="28"/>
        </w:rPr>
        <w:t>（盖章）</w:t>
      </w: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日</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 xml:space="preserve">期：  </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 xml:space="preserve">年 </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 xml:space="preserve">月 </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lang w:val="en-US" w:eastAsia="zh-CN"/>
          <w14:textFill>
            <w14:solidFill>
              <w14:schemeClr w14:val="tx1"/>
            </w14:solidFill>
          </w14:textFill>
        </w:rPr>
        <w:t>九</w:t>
      </w:r>
      <w:r>
        <w:rPr>
          <w:rFonts w:hint="eastAsia" w:ascii="宋体" w:hAnsi="宋体" w:eastAsia="宋体" w:cs="宋体"/>
          <w:b/>
          <w:color w:val="000000" w:themeColor="text1"/>
          <w:sz w:val="32"/>
          <w:szCs w:val="32"/>
          <w14:textFill>
            <w14:solidFill>
              <w14:schemeClr w14:val="tx1"/>
            </w14:solidFill>
          </w14:textFill>
        </w:rPr>
        <w:t>、其他材</w:t>
      </w:r>
      <w:bookmarkEnd w:id="311"/>
      <w:bookmarkEnd w:id="312"/>
      <w:bookmarkEnd w:id="313"/>
      <w:bookmarkEnd w:id="314"/>
      <w:bookmarkEnd w:id="315"/>
      <w:r>
        <w:rPr>
          <w:rFonts w:hint="eastAsia" w:ascii="宋体" w:hAnsi="宋体" w:eastAsia="宋体" w:cs="宋体"/>
          <w:b/>
          <w:color w:val="000000" w:themeColor="text1"/>
          <w:sz w:val="32"/>
          <w:szCs w:val="32"/>
          <w14:textFill>
            <w14:solidFill>
              <w14:schemeClr w14:val="tx1"/>
            </w14:solidFill>
          </w14:textFill>
        </w:rPr>
        <w:t>料</w:t>
      </w:r>
      <w:bookmarkEnd w:id="316"/>
      <w:bookmarkEnd w:id="319"/>
      <w:bookmarkEnd w:id="320"/>
      <w:bookmarkEnd w:id="321"/>
    </w:p>
    <w:p>
      <w:pPr>
        <w:spacing w:line="360" w:lineRule="auto"/>
        <w:jc w:val="left"/>
        <w:rPr>
          <w:rFonts w:hint="eastAsia" w:ascii="宋体" w:hAnsi="宋体" w:eastAsia="宋体" w:cs="宋体"/>
          <w:b/>
          <w:color w:val="000000" w:themeColor="text1"/>
          <w:sz w:val="24"/>
          <w14:textFill>
            <w14:solidFill>
              <w14:schemeClr w14:val="tx1"/>
            </w14:solidFill>
          </w14:textFill>
        </w:rPr>
      </w:pPr>
      <w:bookmarkStart w:id="322" w:name="_Toc10352"/>
      <w:bookmarkStart w:id="323" w:name="_Toc500323121"/>
      <w:r>
        <w:rPr>
          <w:rFonts w:hint="eastAsia" w:ascii="宋体" w:hAnsi="宋体" w:eastAsia="宋体" w:cs="宋体"/>
          <w:color w:val="000000" w:themeColor="text1"/>
          <w:sz w:val="24"/>
          <w14:textFill>
            <w14:solidFill>
              <w14:schemeClr w14:val="tx1"/>
            </w14:solidFill>
          </w14:textFill>
        </w:rPr>
        <w:br w:type="page"/>
      </w:r>
      <w:r>
        <w:rPr>
          <w:rFonts w:hint="eastAsia" w:ascii="宋体" w:hAnsi="宋体" w:eastAsia="宋体" w:cs="宋体"/>
          <w:b/>
          <w:color w:val="000000" w:themeColor="text1"/>
          <w:sz w:val="24"/>
          <w14:textFill>
            <w14:solidFill>
              <w14:schemeClr w14:val="tx1"/>
            </w14:solidFill>
          </w14:textFill>
        </w:rPr>
        <w:t>附件1</w:t>
      </w:r>
      <w:bookmarkEnd w:id="322"/>
      <w:bookmarkEnd w:id="323"/>
    </w:p>
    <w:p>
      <w:pPr>
        <w:jc w:val="center"/>
        <w:rPr>
          <w:rFonts w:hint="eastAsia" w:ascii="宋体" w:hAnsi="宋体" w:eastAsia="宋体" w:cs="Times New Roman"/>
          <w:b/>
          <w:bCs/>
          <w:color w:val="auto"/>
          <w:kern w:val="2"/>
          <w:sz w:val="30"/>
          <w:szCs w:val="30"/>
          <w:highlight w:val="none"/>
          <w:lang w:val="en-US" w:eastAsia="zh-CN" w:bidi="ar-SA"/>
        </w:rPr>
      </w:pPr>
      <w:r>
        <w:rPr>
          <w:rFonts w:hint="eastAsia" w:ascii="宋体" w:hAnsi="宋体" w:eastAsia="宋体" w:cs="Times New Roman"/>
          <w:b/>
          <w:bCs/>
          <w:color w:val="auto"/>
          <w:kern w:val="2"/>
          <w:sz w:val="30"/>
          <w:szCs w:val="30"/>
          <w:highlight w:val="none"/>
          <w:lang w:val="en-US" w:eastAsia="zh-CN" w:bidi="ar-SA"/>
        </w:rPr>
        <w:t>中小企业声明函（工程）</w:t>
      </w:r>
    </w:p>
    <w:p>
      <w:pPr>
        <w:pStyle w:val="16"/>
        <w:spacing w:before="5"/>
        <w:rPr>
          <w:rFonts w:ascii="宋体" w:hAnsi="宋体" w:cs="宋体"/>
          <w:b/>
          <w:color w:val="auto"/>
          <w:sz w:val="24"/>
          <w:highlight w:val="none"/>
        </w:rPr>
      </w:pP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本公司（联合体）郑重声明，根据《政府采购促进中小企业发展管理办法》（财库﹝2020﹞46 号）的规定，本公司（联合体）参加</w:t>
      </w:r>
      <w:r>
        <w:rPr>
          <w:rFonts w:hint="eastAsia" w:ascii="宋体" w:hAnsi="宋体" w:eastAsia="宋体" w:cs="宋体"/>
          <w:color w:val="auto"/>
          <w:sz w:val="24"/>
          <w:szCs w:val="24"/>
          <w:highlight w:val="none"/>
          <w:u w:val="single"/>
        </w:rPr>
        <w:t>（单位名称）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采购活动，工程的施工单位全部为符合政策要求的中小企业</w:t>
      </w:r>
      <w:r>
        <w:rPr>
          <w:rFonts w:hint="eastAsia" w:ascii="宋体" w:hAnsi="宋体" w:cs="宋体"/>
          <w:color w:val="auto"/>
          <w:sz w:val="24"/>
          <w:szCs w:val="24"/>
          <w:highlight w:val="none"/>
          <w:lang w:eastAsia="zh-CN"/>
        </w:rPr>
        <w:t>（或者：服务全部由符合政策要求的中小企业承接）</w:t>
      </w:r>
      <w:r>
        <w:rPr>
          <w:rFonts w:hint="eastAsia" w:ascii="宋体" w:hAnsi="宋体" w:eastAsia="宋体" w:cs="宋体"/>
          <w:color w:val="auto"/>
          <w:sz w:val="24"/>
          <w:szCs w:val="24"/>
          <w:highlight w:val="none"/>
        </w:rPr>
        <w:t>。相关企业（含联合体中的中小企业、签订分包意向协议的中小企业）的具体情况如下：</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1.（标的名称），属于（采购文件中明确的所属行业）；承建（承接）企业为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"_bookmark1"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vertAlign w:val="superscript"/>
        </w:rPr>
        <w:t>1</w:t>
      </w:r>
      <w:r>
        <w:rPr>
          <w:rFonts w:hint="eastAsia" w:ascii="宋体" w:hAnsi="宋体" w:eastAsia="宋体" w:cs="宋体"/>
          <w:color w:val="auto"/>
          <w:sz w:val="24"/>
          <w:szCs w:val="24"/>
          <w:highlight w:val="none"/>
          <w:vertAlign w:val="superscript"/>
        </w:rPr>
        <w:fldChar w:fldCharType="end"/>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；承建（承接）企业为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spacing w:line="480" w:lineRule="auto"/>
        <w:ind w:firstLine="5520" w:firstLineChars="2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企业名称（盖章）： </w:t>
      </w:r>
    </w:p>
    <w:p>
      <w:pPr>
        <w:spacing w:line="480" w:lineRule="auto"/>
        <w:ind w:firstLine="5520" w:firstLineChars="2300"/>
        <w:rPr>
          <w:rFonts w:hint="eastAsia" w:ascii="宋体" w:hAnsi="宋体" w:eastAsia="宋体" w:cs="宋体"/>
          <w:color w:val="auto"/>
          <w:sz w:val="24"/>
          <w:szCs w:val="24"/>
          <w:highlight w:val="none"/>
        </w:rPr>
      </w:pPr>
    </w:p>
    <w:p>
      <w:pPr>
        <w:spacing w:line="480" w:lineRule="auto"/>
        <w:ind w:firstLine="5520" w:firstLineChars="2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注：从业人员、营业收入、资产总额填报上一年度数据，无上一年度数据的新成立企业可不填报。</w:t>
      </w: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br w:type="page"/>
      </w:r>
      <w:r>
        <w:rPr>
          <w:rFonts w:hint="eastAsia" w:ascii="宋体" w:hAnsi="宋体" w:eastAsia="宋体" w:cs="宋体"/>
          <w:b/>
          <w:color w:val="000000" w:themeColor="text1"/>
          <w:sz w:val="24"/>
          <w:szCs w:val="24"/>
          <w14:textFill>
            <w14:solidFill>
              <w14:schemeClr w14:val="tx1"/>
            </w14:solidFill>
          </w14:textFill>
        </w:rPr>
        <w:t>附件</w:t>
      </w:r>
      <w:r>
        <w:rPr>
          <w:rFonts w:hint="eastAsia" w:ascii="宋体" w:hAnsi="宋体" w:eastAsia="宋体" w:cs="宋体"/>
          <w:b/>
          <w:color w:val="000000" w:themeColor="text1"/>
          <w:sz w:val="24"/>
          <w:szCs w:val="24"/>
          <w:lang w:val="en-US" w:eastAsia="zh-CN"/>
          <w14:textFill>
            <w14:solidFill>
              <w14:schemeClr w14:val="tx1"/>
            </w14:solidFill>
          </w14:textFill>
        </w:rPr>
        <w:t>2</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bookmarkStart w:id="324" w:name="_Hlk531121252"/>
      <w:r>
        <w:rPr>
          <w:rFonts w:hint="eastAsia" w:ascii="宋体" w:hAnsi="宋体" w:eastAsia="宋体" w:cs="宋体"/>
          <w:b/>
          <w:color w:val="000000" w:themeColor="text1"/>
          <w:sz w:val="32"/>
          <w:szCs w:val="32"/>
          <w14:textFill>
            <w14:solidFill>
              <w14:schemeClr w14:val="tx1"/>
            </w14:solidFill>
          </w14:textFill>
        </w:rPr>
        <w:t>残疾人福利性单位声明函</w:t>
      </w:r>
    </w:p>
    <w:p>
      <w:pPr>
        <w:spacing w:line="360" w:lineRule="auto"/>
        <w:ind w:firstLine="504" w:firstLineChars="200"/>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504" w:firstLineChars="200"/>
        <w:textAlignment w:val="auto"/>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本单位郑重声明，根据《财政部 民政部 中国残疾人联合会关于促进残疾人就业政府采购政策的通知》（财库</w:t>
      </w:r>
      <w:r>
        <w:rPr>
          <w:rFonts w:hint="eastAsia" w:ascii="宋体" w:hAnsi="宋体" w:eastAsia="宋体" w:cs="宋体"/>
          <w:color w:val="000000" w:themeColor="text1"/>
          <w:sz w:val="24"/>
          <w:szCs w:val="24"/>
          <w14:textFill>
            <w14:solidFill>
              <w14:schemeClr w14:val="tx1"/>
            </w14:solidFill>
          </w14:textFill>
        </w:rPr>
        <w:t>〔2017〕 141</w:t>
      </w:r>
      <w:r>
        <w:rPr>
          <w:rFonts w:hint="eastAsia" w:ascii="宋体" w:hAnsi="宋体" w:eastAsia="宋体" w:cs="宋体"/>
          <w:color w:val="000000" w:themeColor="text1"/>
          <w:spacing w:val="6"/>
          <w:sz w:val="24"/>
          <w:szCs w:val="24"/>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480" w:lineRule="auto"/>
        <w:ind w:firstLine="504" w:firstLineChars="200"/>
        <w:textAlignment w:val="auto"/>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tabs>
          <w:tab w:val="left" w:pos="4860"/>
        </w:tabs>
        <w:kinsoku/>
        <w:wordWrap/>
        <w:overflowPunct/>
        <w:topLinePunct w:val="0"/>
        <w:autoSpaceDE/>
        <w:autoSpaceDN/>
        <w:bidi w:val="0"/>
        <w:adjustRightInd/>
        <w:snapToGrid/>
        <w:spacing w:line="480" w:lineRule="auto"/>
        <w:ind w:firstLine="504" w:firstLineChars="200"/>
        <w:textAlignment w:val="auto"/>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单位名称（盖章）：</w:t>
      </w:r>
    </w:p>
    <w:p>
      <w:pPr>
        <w:keepNext w:val="0"/>
        <w:keepLines w:val="0"/>
        <w:pageBreakBefore w:val="0"/>
        <w:widowControl w:val="0"/>
        <w:tabs>
          <w:tab w:val="left" w:pos="4860"/>
        </w:tabs>
        <w:kinsoku/>
        <w:wordWrap/>
        <w:overflowPunct/>
        <w:topLinePunct w:val="0"/>
        <w:autoSpaceDE/>
        <w:autoSpaceDN/>
        <w:bidi w:val="0"/>
        <w:adjustRightInd/>
        <w:snapToGrid/>
        <w:spacing w:line="480" w:lineRule="auto"/>
        <w:ind w:firstLine="504" w:firstLineChars="200"/>
        <w:textAlignment w:val="auto"/>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日期：</w:t>
      </w:r>
    </w:p>
    <w:bookmarkEnd w:id="324"/>
    <w:p>
      <w:pPr>
        <w:spacing w:line="360" w:lineRule="auto"/>
        <w:rPr>
          <w:rFonts w:hint="eastAsia" w:ascii="宋体" w:hAnsi="宋体" w:eastAsia="宋体" w:cs="宋体"/>
          <w:color w:val="000000" w:themeColor="text1"/>
          <w:sz w:val="28"/>
          <w:szCs w:val="28"/>
          <w14:textFill>
            <w14:solidFill>
              <w14:schemeClr w14:val="tx1"/>
            </w14:solidFill>
          </w14:textFill>
        </w:rPr>
        <w:sectPr>
          <w:pgSz w:w="11906" w:h="16838"/>
          <w:pgMar w:top="1440" w:right="1440" w:bottom="1440" w:left="1440" w:header="851" w:footer="992" w:gutter="0"/>
          <w:pgNumType w:fmt="decimal"/>
          <w:cols w:space="720" w:num="1"/>
          <w:titlePg/>
          <w:docGrid w:linePitch="312" w:charSpace="889"/>
        </w:sectPr>
      </w:pPr>
    </w:p>
    <w:p>
      <w:pPr>
        <w:spacing w:line="360" w:lineRule="auto"/>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附件</w:t>
      </w:r>
      <w:r>
        <w:rPr>
          <w:rFonts w:hint="eastAsia" w:ascii="宋体" w:hAnsi="宋体" w:eastAsia="宋体" w:cs="宋体"/>
          <w:b/>
          <w:color w:val="000000" w:themeColor="text1"/>
          <w:sz w:val="24"/>
          <w:szCs w:val="24"/>
          <w:lang w:val="en-US" w:eastAsia="zh-CN"/>
          <w14:textFill>
            <w14:solidFill>
              <w14:schemeClr w14:val="tx1"/>
            </w14:solidFill>
          </w14:textFill>
        </w:rPr>
        <w:t>3</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监狱企业证明函（是/否）</w:t>
      </w:r>
    </w:p>
    <w:p>
      <w:pPr>
        <w:rPr>
          <w:rFonts w:hint="eastAsia" w:ascii="宋体" w:hAnsi="宋体" w:eastAsia="宋体" w:cs="宋体"/>
          <w:sz w:val="24"/>
          <w:szCs w:val="24"/>
          <w:lang w:eastAsia="zh-CN"/>
        </w:rPr>
      </w:pPr>
    </w:p>
    <w:p>
      <w:pPr>
        <w:spacing w:line="360" w:lineRule="auto"/>
        <w:jc w:val="left"/>
        <w:rPr>
          <w:rFonts w:hint="eastAsia" w:ascii="宋体" w:hAnsi="宋体" w:cs="宋体"/>
          <w:color w:val="000000"/>
          <w:sz w:val="24"/>
          <w:szCs w:val="24"/>
          <w:lang w:eastAsia="zh-CN"/>
        </w:rPr>
      </w:pPr>
    </w:p>
    <w:p>
      <w:pPr>
        <w:keepNext w:val="0"/>
        <w:keepLines w:val="0"/>
        <w:pageBreakBefore w:val="0"/>
        <w:widowControl w:val="0"/>
        <w:kinsoku/>
        <w:wordWrap/>
        <w:overflowPunct/>
        <w:topLinePunct w:val="0"/>
        <w:bidi w:val="0"/>
        <w:snapToGrid/>
        <w:spacing w:line="480" w:lineRule="auto"/>
        <w:jc w:val="left"/>
        <w:textAlignment w:val="auto"/>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陕西宸永项目管理有限公司</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w:t>
      </w:r>
      <w:r>
        <w:rPr>
          <w:rFonts w:hint="eastAsia" w:ascii="宋体" w:hAnsi="宋体" w:eastAsia="宋体" w:cs="宋体"/>
          <w:color w:val="000000"/>
          <w:sz w:val="24"/>
          <w:szCs w:val="24"/>
          <w:lang w:eastAsia="zh-CN"/>
        </w:rPr>
        <w:t>公司</w:t>
      </w:r>
      <w:r>
        <w:rPr>
          <w:rFonts w:hint="eastAsia" w:ascii="宋体" w:hAnsi="宋体" w:eastAsia="宋体" w:cs="宋体"/>
          <w:color w:val="000000"/>
          <w:sz w:val="24"/>
          <w:szCs w:val="24"/>
        </w:rPr>
        <w:t>对上述声明的真实性负责。如有虚假，将依法承担相应责任。</w:t>
      </w: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特此声明！</w:t>
      </w:r>
    </w:p>
    <w:p>
      <w:pPr>
        <w:pStyle w:val="4"/>
        <w:keepNext w:val="0"/>
        <w:keepLines w:val="0"/>
        <w:pageBreakBefore w:val="0"/>
        <w:widowControl w:val="0"/>
        <w:kinsoku/>
        <w:wordWrap/>
        <w:overflowPunct/>
        <w:topLinePunct w:val="0"/>
        <w:bidi w:val="0"/>
        <w:snapToGrid/>
        <w:spacing w:line="480" w:lineRule="auto"/>
        <w:ind w:firstLine="57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48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供应商：</w:t>
      </w:r>
      <w:r>
        <w:rPr>
          <w:rFonts w:hint="eastAsia" w:ascii="宋体" w:hAnsi="宋体" w:eastAsia="宋体" w:cs="宋体"/>
          <w:b/>
          <w:color w:val="000000"/>
          <w:sz w:val="24"/>
          <w:szCs w:val="24"/>
          <w:u w:val="single"/>
          <w:lang w:val="en-US" w:eastAsia="zh-CN"/>
        </w:rPr>
        <w:t xml:space="preserve">            </w:t>
      </w:r>
      <w:r>
        <w:rPr>
          <w:rFonts w:hint="eastAsia" w:ascii="宋体" w:hAnsi="宋体" w:eastAsia="宋体" w:cs="宋体"/>
          <w:b/>
          <w:color w:val="000000"/>
          <w:sz w:val="24"/>
          <w:szCs w:val="24"/>
        </w:rPr>
        <w:t xml:space="preserve">（盖章）                                </w:t>
      </w:r>
    </w:p>
    <w:p>
      <w:pPr>
        <w:keepNext w:val="0"/>
        <w:keepLines w:val="0"/>
        <w:pageBreakBefore w:val="0"/>
        <w:widowControl w:val="0"/>
        <w:kinsoku/>
        <w:wordWrap/>
        <w:overflowPunct/>
        <w:topLinePunct w:val="0"/>
        <w:bidi w:val="0"/>
        <w:snapToGrid/>
        <w:spacing w:line="48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法定代表人：</w:t>
      </w:r>
      <w:r>
        <w:rPr>
          <w:rFonts w:hint="eastAsia" w:ascii="宋体" w:hAnsi="宋体" w:eastAsia="宋体" w:cs="宋体"/>
          <w:b/>
          <w:color w:val="000000"/>
          <w:sz w:val="24"/>
          <w:szCs w:val="24"/>
          <w:u w:val="single"/>
          <w:lang w:val="en-US" w:eastAsia="zh-CN"/>
        </w:rPr>
        <w:t xml:space="preserve">            </w:t>
      </w:r>
      <w:r>
        <w:rPr>
          <w:rFonts w:hint="eastAsia" w:ascii="宋体" w:hAnsi="宋体" w:eastAsia="宋体" w:cs="宋体"/>
          <w:b/>
          <w:color w:val="000000"/>
          <w:sz w:val="24"/>
          <w:szCs w:val="24"/>
        </w:rPr>
        <w:t>（签字或法人印鉴）</w:t>
      </w:r>
    </w:p>
    <w:p>
      <w:pPr>
        <w:keepNext w:val="0"/>
        <w:keepLines w:val="0"/>
        <w:pageBreakBefore w:val="0"/>
        <w:widowControl w:val="0"/>
        <w:kinsoku/>
        <w:wordWrap/>
        <w:overflowPunct/>
        <w:topLinePunct w:val="0"/>
        <w:bidi w:val="0"/>
        <w:snapToGrid/>
        <w:spacing w:line="48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委托代理人：</w:t>
      </w:r>
      <w:r>
        <w:rPr>
          <w:rFonts w:hint="eastAsia" w:ascii="宋体" w:hAnsi="宋体" w:eastAsia="宋体" w:cs="宋体"/>
          <w:b/>
          <w:color w:val="000000"/>
          <w:sz w:val="24"/>
          <w:szCs w:val="24"/>
          <w:u w:val="single"/>
          <w:lang w:val="en-US" w:eastAsia="zh-CN"/>
        </w:rPr>
        <w:t xml:space="preserve">            </w:t>
      </w:r>
      <w:r>
        <w:rPr>
          <w:rFonts w:hint="eastAsia" w:ascii="宋体" w:hAnsi="宋体" w:eastAsia="宋体" w:cs="宋体"/>
          <w:b/>
          <w:color w:val="000000"/>
          <w:sz w:val="24"/>
          <w:szCs w:val="24"/>
        </w:rPr>
        <w:t xml:space="preserve">（签字）  </w:t>
      </w:r>
    </w:p>
    <w:p>
      <w:pPr>
        <w:keepNext w:val="0"/>
        <w:keepLines w:val="0"/>
        <w:pageBreakBefore w:val="0"/>
        <w:widowControl w:val="0"/>
        <w:kinsoku/>
        <w:wordWrap/>
        <w:overflowPunct/>
        <w:topLinePunct w:val="0"/>
        <w:bidi w:val="0"/>
        <w:snapToGrid/>
        <w:spacing w:line="480" w:lineRule="auto"/>
        <w:ind w:firstLine="482" w:firstLineChars="200"/>
        <w:textAlignment w:val="auto"/>
        <w:rPr>
          <w:rFonts w:hint="eastAsia" w:ascii="宋体" w:hAnsi="宋体" w:eastAsia="宋体" w:cs="宋体"/>
          <w:sz w:val="24"/>
          <w:szCs w:val="24"/>
        </w:rPr>
      </w:pPr>
      <w:r>
        <w:rPr>
          <w:rFonts w:hint="eastAsia" w:ascii="宋体" w:hAnsi="宋体" w:eastAsia="宋体" w:cs="宋体"/>
          <w:b/>
          <w:color w:val="000000"/>
          <w:sz w:val="24"/>
          <w:szCs w:val="24"/>
        </w:rPr>
        <w:t>日    期：  年  月  日</w:t>
      </w:r>
    </w:p>
    <w:p>
      <w:pPr>
        <w:rPr>
          <w:rFonts w:hint="eastAsia" w:ascii="宋体" w:hAnsi="宋体" w:eastAsia="宋体" w:cs="宋体"/>
        </w:rPr>
      </w:pPr>
    </w:p>
    <w:p>
      <w:pPr>
        <w:pStyle w:val="6"/>
        <w:rPr>
          <w:rFonts w:hint="eastAsia"/>
        </w:rPr>
      </w:pPr>
    </w:p>
    <w:sectPr>
      <w:pgSz w:w="11906" w:h="16838"/>
      <w:pgMar w:top="1440" w:right="1440" w:bottom="1440" w:left="1440" w:header="851" w:footer="992" w:gutter="0"/>
      <w:pgNumType w:fmt="decimal"/>
      <w:cols w:space="720" w:num="1"/>
      <w:titlePg/>
      <w:docGrid w:linePitch="312" w:charSpace="8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63"/>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dobe 仿宋 Std R">
    <w:altName w:val="仿宋"/>
    <w:panose1 w:val="00000000000000000000"/>
    <w:charset w:val="86"/>
    <w:family w:val="roman"/>
    <w:pitch w:val="default"/>
    <w:sig w:usb0="00000000" w:usb1="00000000" w:usb2="00000016" w:usb3="00000000" w:csb0="00060007" w:csb1="00000000"/>
  </w:font>
  <w:font w:name="PMingLiU">
    <w:altName w:val="PMingLiU-ExtB"/>
    <w:panose1 w:val="02020500000000000000"/>
    <w:charset w:val="88"/>
    <w:family w:val="auto"/>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color w:val="000000"/>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color w:val="000000"/>
        <w:szCs w:val="18"/>
      </w:rPr>
    </w:pPr>
    <w:r>
      <w:rPr>
        <w:sz w:val="18"/>
      </w:rPr>
      <mc:AlternateContent>
        <mc:Choice Requires="wps">
          <w:drawing>
            <wp:anchor distT="0" distB="0" distL="114300" distR="114300" simplePos="0" relativeHeight="251660288" behindDoc="0" locked="0" layoutInCell="1" allowOverlap="1">
              <wp:simplePos x="0" y="0"/>
              <wp:positionH relativeFrom="margin">
                <wp:posOffset>2367280</wp:posOffset>
              </wp:positionH>
              <wp:positionV relativeFrom="paragraph">
                <wp:posOffset>19050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6.4pt;margin-top:1.5pt;height:144pt;width:144pt;mso-position-horizontal-relative:margin;mso-wrap-style:none;z-index:251660288;mso-width-relative:page;mso-height-relative:page;" filled="f" stroked="f" coordsize="21600,21600" o:gfxdata="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863j9UAAAAJAQAADwAAAAAAAAABACAAAAAiAAAAZHJzL2Rvd25yZXYueG1sUEsB&#10;AhQAFAAAAAgAh07iQKmor5UxAgAAYwQAAA4AAAAAAAAAAQAgAAAAJAEAAGRycy9lMm9Eb2MueG1s&#10;UEsFBgAAAAAGAAYAWQEAAMc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color w:val="000000"/>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5333365</wp:posOffset>
              </wp:positionH>
              <wp:positionV relativeFrom="paragraph">
                <wp:posOffset>-90170</wp:posOffset>
              </wp:positionV>
              <wp:extent cx="76200" cy="2228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6200" cy="222885"/>
                      </a:xfrm>
                      <a:prstGeom prst="rect">
                        <a:avLst/>
                      </a:prstGeom>
                      <a:noFill/>
                      <a:ln w="15875">
                        <a:noFill/>
                      </a:ln>
                      <a:effectLst/>
                    </wps:spPr>
                    <wps:txbx>
                      <w:txbxContent>
                        <w:p>
                          <w:pPr>
                            <w:rPr>
                              <w:rFonts w:hint="eastAsia"/>
                              <w:lang w:eastAsia="zh-CN"/>
                            </w:rPr>
                          </w:pPr>
                        </w:p>
                      </w:txbxContent>
                    </wps:txbx>
                    <wps:bodyPr wrap="square" lIns="0" tIns="0" rIns="0" bIns="0" upright="0">
                      <a:noAutofit/>
                    </wps:bodyPr>
                  </wps:wsp>
                </a:graphicData>
              </a:graphic>
            </wp:anchor>
          </w:drawing>
        </mc:Choice>
        <mc:Fallback>
          <w:pict>
            <v:shape id="_x0000_s1026" o:spid="_x0000_s1026" o:spt="202" type="#_x0000_t202" style="position:absolute;left:0pt;margin-left:419.95pt;margin-top:-7.1pt;height:17.55pt;width:6pt;mso-position-horizontal-relative:margin;z-index:251659264;mso-width-relative:page;mso-height-relative:page;" filled="f" stroked="f" coordsize="21600,21600" o:gfxdata="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zoqo2QAAAAoBAAAPAAAA&#10;AAAAAAEAIAAAACIAAABkcnMvZG93bnJldi54bWxQSwECFAAUAAAACACHTuJAIcMZR9sBAACwAwAA&#10;DgAAAAAAAAABACAAAAAoAQAAZHJzL2Uyb0RvYy54bWxQSwUGAAAAAAYABgBZAQAAdQUAAAAA&#10;">
              <v:fill on="f" focussize="0,0"/>
              <v:stroke on="f" weight="1.25pt"/>
              <v:imagedata o:title=""/>
              <o:lock v:ext="edit" aspectratio="f"/>
              <v:textbox inset="0mm,0mm,0mm,0mm">
                <w:txbxContent>
                  <w:p>
                    <w:pPr>
                      <w:rPr>
                        <w:rFonts w:hint="eastAsia"/>
                        <w:lang w:eastAsia="zh-CN"/>
                      </w:rPr>
                    </w:pPr>
                  </w:p>
                </w:txbxContent>
              </v:textbox>
            </v:shape>
          </w:pict>
        </mc:Fallback>
      </mc:AlternateContent>
    </w:r>
    <w:r>
      <w:rPr>
        <w:rFonts w:hint="eastAsia"/>
        <w:sz w:val="18"/>
        <w:lang w:val="en-US" w:eastAsia="zh-CN"/>
      </w:rPr>
      <w:t xml:space="preserve">                                                                                         </w:t>
    </w:r>
  </w:p>
  <w:p>
    <w:pPr>
      <w:pStyle w:val="23"/>
      <w:jc w:val="both"/>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75</w:t>
                    </w:r>
                    <w:r>
                      <w:rPr>
                        <w:rFonts w:hint="eastAsia"/>
                        <w:lang w:eastAsia="zh-CN"/>
                      </w:rPr>
                      <w:fldChar w:fldCharType="end"/>
                    </w:r>
                    <w:r>
                      <w:rPr>
                        <w:rFonts w:hint="eastAsia"/>
                        <w:lang w:eastAsia="zh-CN"/>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color w:val="000000"/>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both"/>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0FD2C"/>
    <w:multiLevelType w:val="singleLevel"/>
    <w:tmpl w:val="81A0FD2C"/>
    <w:lvl w:ilvl="0" w:tentative="0">
      <w:start w:val="2"/>
      <w:numFmt w:val="chineseCounting"/>
      <w:suff w:val="nothing"/>
      <w:lvlText w:val="%1、"/>
      <w:lvlJc w:val="left"/>
      <w:rPr>
        <w:rFonts w:hint="eastAsia"/>
      </w:rPr>
    </w:lvl>
  </w:abstractNum>
  <w:abstractNum w:abstractNumId="1">
    <w:nsid w:val="88290D86"/>
    <w:multiLevelType w:val="singleLevel"/>
    <w:tmpl w:val="88290D86"/>
    <w:lvl w:ilvl="0" w:tentative="0">
      <w:start w:val="1"/>
      <w:numFmt w:val="chineseCounting"/>
      <w:suff w:val="space"/>
      <w:lvlText w:val="第%1章"/>
      <w:lvlJc w:val="left"/>
      <w:rPr>
        <w:rFonts w:hint="eastAsia"/>
      </w:rPr>
    </w:lvl>
  </w:abstractNum>
  <w:abstractNum w:abstractNumId="2">
    <w:nsid w:val="2D8E9F54"/>
    <w:multiLevelType w:val="singleLevel"/>
    <w:tmpl w:val="2D8E9F54"/>
    <w:lvl w:ilvl="0" w:tentative="0">
      <w:start w:val="4"/>
      <w:numFmt w:val="decimal"/>
      <w:lvlText w:val="%1."/>
      <w:lvlJc w:val="left"/>
      <w:pPr>
        <w:tabs>
          <w:tab w:val="left" w:pos="312"/>
        </w:tabs>
      </w:pPr>
    </w:lvl>
  </w:abstractNum>
  <w:abstractNum w:abstractNumId="3">
    <w:nsid w:val="53B7A859"/>
    <w:multiLevelType w:val="singleLevel"/>
    <w:tmpl w:val="53B7A859"/>
    <w:lvl w:ilvl="0" w:tentative="0">
      <w:start w:val="1"/>
      <w:numFmt w:val="decimal"/>
      <w:lvlText w:val="%1."/>
      <w:lvlJc w:val="left"/>
      <w:pPr>
        <w:tabs>
          <w:tab w:val="left" w:pos="312"/>
        </w:tabs>
      </w:pPr>
    </w:lvl>
  </w:abstractNum>
  <w:abstractNum w:abstractNumId="4">
    <w:nsid w:val="582A8D5B"/>
    <w:multiLevelType w:val="singleLevel"/>
    <w:tmpl w:val="582A8D5B"/>
    <w:lvl w:ilvl="0" w:tentative="0">
      <w:start w:val="5"/>
      <w:numFmt w:val="decimal"/>
      <w:suff w:val="nothing"/>
      <w:lvlText w:val="（%1）"/>
      <w:lvlJc w:val="left"/>
    </w:lvl>
  </w:abstractNum>
  <w:abstractNum w:abstractNumId="5">
    <w:nsid w:val="65AE7335"/>
    <w:multiLevelType w:val="singleLevel"/>
    <w:tmpl w:val="65AE7335"/>
    <w:lvl w:ilvl="0" w:tentative="0">
      <w:start w:val="3"/>
      <w:numFmt w:val="chineseCounting"/>
      <w:suff w:val="space"/>
      <w:lvlText w:val="第%1章"/>
      <w:lvlJc w:val="left"/>
      <w:rPr>
        <w:rFonts w:hint="eastAsia"/>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yfLSNueKJVGPqGump6J5xfQY6jA=" w:salt="R9SiKfWgKXVwGbtN7ZuJQ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3NzIwNWVkOWFkNDUxMDRlZjk3ZGNiMDJjZDM2ZjEifQ=="/>
  </w:docVars>
  <w:rsids>
    <w:rsidRoot w:val="0093278F"/>
    <w:rsid w:val="00000D62"/>
    <w:rsid w:val="000018F5"/>
    <w:rsid w:val="00001CC7"/>
    <w:rsid w:val="0000212D"/>
    <w:rsid w:val="0000214F"/>
    <w:rsid w:val="000048B5"/>
    <w:rsid w:val="00015CE8"/>
    <w:rsid w:val="00017281"/>
    <w:rsid w:val="00017DC3"/>
    <w:rsid w:val="00021358"/>
    <w:rsid w:val="00022F22"/>
    <w:rsid w:val="00025D01"/>
    <w:rsid w:val="00027C2A"/>
    <w:rsid w:val="00034306"/>
    <w:rsid w:val="00034E02"/>
    <w:rsid w:val="00034E36"/>
    <w:rsid w:val="000378FD"/>
    <w:rsid w:val="00037A97"/>
    <w:rsid w:val="000412BD"/>
    <w:rsid w:val="00041803"/>
    <w:rsid w:val="00041AE8"/>
    <w:rsid w:val="00042288"/>
    <w:rsid w:val="00042EC8"/>
    <w:rsid w:val="00045648"/>
    <w:rsid w:val="000459FC"/>
    <w:rsid w:val="00047DEC"/>
    <w:rsid w:val="00051447"/>
    <w:rsid w:val="000517C2"/>
    <w:rsid w:val="00052B5C"/>
    <w:rsid w:val="00053A15"/>
    <w:rsid w:val="00053CB1"/>
    <w:rsid w:val="00056310"/>
    <w:rsid w:val="00056BFE"/>
    <w:rsid w:val="0005762A"/>
    <w:rsid w:val="00057A66"/>
    <w:rsid w:val="00060164"/>
    <w:rsid w:val="00062DF9"/>
    <w:rsid w:val="00066AF7"/>
    <w:rsid w:val="00073DDA"/>
    <w:rsid w:val="0007452B"/>
    <w:rsid w:val="000764B7"/>
    <w:rsid w:val="00076D51"/>
    <w:rsid w:val="000809DF"/>
    <w:rsid w:val="00081CC9"/>
    <w:rsid w:val="000829F1"/>
    <w:rsid w:val="00082B17"/>
    <w:rsid w:val="0008413F"/>
    <w:rsid w:val="000857C3"/>
    <w:rsid w:val="00091357"/>
    <w:rsid w:val="0009187F"/>
    <w:rsid w:val="000944D4"/>
    <w:rsid w:val="000A0468"/>
    <w:rsid w:val="000A0542"/>
    <w:rsid w:val="000A0965"/>
    <w:rsid w:val="000A13CA"/>
    <w:rsid w:val="000A28B8"/>
    <w:rsid w:val="000A4D13"/>
    <w:rsid w:val="000A575B"/>
    <w:rsid w:val="000A766A"/>
    <w:rsid w:val="000B2864"/>
    <w:rsid w:val="000B3389"/>
    <w:rsid w:val="000B50A8"/>
    <w:rsid w:val="000C3E85"/>
    <w:rsid w:val="000C6648"/>
    <w:rsid w:val="000D1788"/>
    <w:rsid w:val="000E206D"/>
    <w:rsid w:val="000E61DF"/>
    <w:rsid w:val="000F1E70"/>
    <w:rsid w:val="000F2E92"/>
    <w:rsid w:val="00100CB8"/>
    <w:rsid w:val="0010155C"/>
    <w:rsid w:val="001067A8"/>
    <w:rsid w:val="00106D83"/>
    <w:rsid w:val="00110A31"/>
    <w:rsid w:val="00111020"/>
    <w:rsid w:val="001114C1"/>
    <w:rsid w:val="001117F8"/>
    <w:rsid w:val="001162CC"/>
    <w:rsid w:val="00116648"/>
    <w:rsid w:val="00120BC4"/>
    <w:rsid w:val="00120EE1"/>
    <w:rsid w:val="00134305"/>
    <w:rsid w:val="00135B38"/>
    <w:rsid w:val="001372A4"/>
    <w:rsid w:val="00140CCD"/>
    <w:rsid w:val="00146520"/>
    <w:rsid w:val="00147891"/>
    <w:rsid w:val="00151D52"/>
    <w:rsid w:val="00151EB2"/>
    <w:rsid w:val="0015209A"/>
    <w:rsid w:val="00152AE8"/>
    <w:rsid w:val="001607E6"/>
    <w:rsid w:val="00166CC4"/>
    <w:rsid w:val="00167F5D"/>
    <w:rsid w:val="0017598A"/>
    <w:rsid w:val="00177894"/>
    <w:rsid w:val="001835F8"/>
    <w:rsid w:val="001836B2"/>
    <w:rsid w:val="00186AFE"/>
    <w:rsid w:val="00187F17"/>
    <w:rsid w:val="00192900"/>
    <w:rsid w:val="00193659"/>
    <w:rsid w:val="00194F25"/>
    <w:rsid w:val="001959B6"/>
    <w:rsid w:val="0019684D"/>
    <w:rsid w:val="00196CE2"/>
    <w:rsid w:val="001A08AA"/>
    <w:rsid w:val="001A1237"/>
    <w:rsid w:val="001A3119"/>
    <w:rsid w:val="001A3C54"/>
    <w:rsid w:val="001A436B"/>
    <w:rsid w:val="001A526D"/>
    <w:rsid w:val="001A63C3"/>
    <w:rsid w:val="001A732D"/>
    <w:rsid w:val="001B186A"/>
    <w:rsid w:val="001B2266"/>
    <w:rsid w:val="001B501F"/>
    <w:rsid w:val="001C27C2"/>
    <w:rsid w:val="001C38A6"/>
    <w:rsid w:val="001C6476"/>
    <w:rsid w:val="001C6905"/>
    <w:rsid w:val="001D0DFE"/>
    <w:rsid w:val="001D1890"/>
    <w:rsid w:val="001D1A35"/>
    <w:rsid w:val="001D2053"/>
    <w:rsid w:val="001D2958"/>
    <w:rsid w:val="001D6624"/>
    <w:rsid w:val="001D7A05"/>
    <w:rsid w:val="001E0366"/>
    <w:rsid w:val="001E2CC4"/>
    <w:rsid w:val="001E697F"/>
    <w:rsid w:val="001E793A"/>
    <w:rsid w:val="001F2B43"/>
    <w:rsid w:val="001F3D82"/>
    <w:rsid w:val="001F4D8B"/>
    <w:rsid w:val="001F5D64"/>
    <w:rsid w:val="001F62C9"/>
    <w:rsid w:val="00200F28"/>
    <w:rsid w:val="0020111B"/>
    <w:rsid w:val="002034BF"/>
    <w:rsid w:val="002040CB"/>
    <w:rsid w:val="00204516"/>
    <w:rsid w:val="00204E91"/>
    <w:rsid w:val="00205767"/>
    <w:rsid w:val="002123FA"/>
    <w:rsid w:val="002125F4"/>
    <w:rsid w:val="00214B62"/>
    <w:rsid w:val="00214BB3"/>
    <w:rsid w:val="002155DF"/>
    <w:rsid w:val="00217D04"/>
    <w:rsid w:val="00220435"/>
    <w:rsid w:val="00221257"/>
    <w:rsid w:val="0022241C"/>
    <w:rsid w:val="002225B7"/>
    <w:rsid w:val="00224B19"/>
    <w:rsid w:val="00225CDD"/>
    <w:rsid w:val="00226B4D"/>
    <w:rsid w:val="00227264"/>
    <w:rsid w:val="00227A39"/>
    <w:rsid w:val="00231223"/>
    <w:rsid w:val="002325EF"/>
    <w:rsid w:val="00232BC9"/>
    <w:rsid w:val="00232D22"/>
    <w:rsid w:val="00234E6E"/>
    <w:rsid w:val="00237763"/>
    <w:rsid w:val="00240C02"/>
    <w:rsid w:val="00241C06"/>
    <w:rsid w:val="00245638"/>
    <w:rsid w:val="0025244F"/>
    <w:rsid w:val="0025370F"/>
    <w:rsid w:val="00255859"/>
    <w:rsid w:val="0026093B"/>
    <w:rsid w:val="00260FFD"/>
    <w:rsid w:val="00264E6B"/>
    <w:rsid w:val="002651E7"/>
    <w:rsid w:val="0026693B"/>
    <w:rsid w:val="0026785F"/>
    <w:rsid w:val="00270146"/>
    <w:rsid w:val="00271840"/>
    <w:rsid w:val="00273347"/>
    <w:rsid w:val="002749D2"/>
    <w:rsid w:val="00275196"/>
    <w:rsid w:val="00276DC0"/>
    <w:rsid w:val="00277E16"/>
    <w:rsid w:val="00283967"/>
    <w:rsid w:val="002846EF"/>
    <w:rsid w:val="002861C4"/>
    <w:rsid w:val="002870F0"/>
    <w:rsid w:val="00291433"/>
    <w:rsid w:val="0029361D"/>
    <w:rsid w:val="002944D0"/>
    <w:rsid w:val="00295AB1"/>
    <w:rsid w:val="002A07D4"/>
    <w:rsid w:val="002A51FD"/>
    <w:rsid w:val="002A5933"/>
    <w:rsid w:val="002A6E23"/>
    <w:rsid w:val="002A7F22"/>
    <w:rsid w:val="002B2588"/>
    <w:rsid w:val="002B43C2"/>
    <w:rsid w:val="002B4FA6"/>
    <w:rsid w:val="002B74A8"/>
    <w:rsid w:val="002C11D6"/>
    <w:rsid w:val="002C2E81"/>
    <w:rsid w:val="002C3533"/>
    <w:rsid w:val="002C3746"/>
    <w:rsid w:val="002C7A70"/>
    <w:rsid w:val="002D332E"/>
    <w:rsid w:val="002E3E8C"/>
    <w:rsid w:val="002E523F"/>
    <w:rsid w:val="002E58FB"/>
    <w:rsid w:val="002F0FC7"/>
    <w:rsid w:val="002F1D3B"/>
    <w:rsid w:val="002F2542"/>
    <w:rsid w:val="002F400E"/>
    <w:rsid w:val="002F5048"/>
    <w:rsid w:val="002F53A1"/>
    <w:rsid w:val="002F6804"/>
    <w:rsid w:val="002F6FF0"/>
    <w:rsid w:val="002F7B34"/>
    <w:rsid w:val="0030794B"/>
    <w:rsid w:val="00307CF5"/>
    <w:rsid w:val="0031157E"/>
    <w:rsid w:val="0031713E"/>
    <w:rsid w:val="00320994"/>
    <w:rsid w:val="00322F6F"/>
    <w:rsid w:val="003241C4"/>
    <w:rsid w:val="003268AA"/>
    <w:rsid w:val="003323FC"/>
    <w:rsid w:val="00335724"/>
    <w:rsid w:val="003366EC"/>
    <w:rsid w:val="00336897"/>
    <w:rsid w:val="003372EC"/>
    <w:rsid w:val="00337405"/>
    <w:rsid w:val="00343C64"/>
    <w:rsid w:val="00344116"/>
    <w:rsid w:val="00345E77"/>
    <w:rsid w:val="003464C4"/>
    <w:rsid w:val="00350997"/>
    <w:rsid w:val="00350D67"/>
    <w:rsid w:val="00354566"/>
    <w:rsid w:val="00357188"/>
    <w:rsid w:val="00357CB1"/>
    <w:rsid w:val="00360AAD"/>
    <w:rsid w:val="00362AD3"/>
    <w:rsid w:val="0036587B"/>
    <w:rsid w:val="00366CC2"/>
    <w:rsid w:val="00372D59"/>
    <w:rsid w:val="003735AF"/>
    <w:rsid w:val="00374382"/>
    <w:rsid w:val="003767D3"/>
    <w:rsid w:val="003771AB"/>
    <w:rsid w:val="003800E5"/>
    <w:rsid w:val="00381802"/>
    <w:rsid w:val="00381ED9"/>
    <w:rsid w:val="003830D6"/>
    <w:rsid w:val="00385C8D"/>
    <w:rsid w:val="00386021"/>
    <w:rsid w:val="00386805"/>
    <w:rsid w:val="00386930"/>
    <w:rsid w:val="00386988"/>
    <w:rsid w:val="003913A6"/>
    <w:rsid w:val="0039275B"/>
    <w:rsid w:val="00392F56"/>
    <w:rsid w:val="00393233"/>
    <w:rsid w:val="0039341E"/>
    <w:rsid w:val="0039349A"/>
    <w:rsid w:val="003939C4"/>
    <w:rsid w:val="003A0F61"/>
    <w:rsid w:val="003A1B2B"/>
    <w:rsid w:val="003A591C"/>
    <w:rsid w:val="003B0049"/>
    <w:rsid w:val="003B2350"/>
    <w:rsid w:val="003B3C4B"/>
    <w:rsid w:val="003C015B"/>
    <w:rsid w:val="003C07E8"/>
    <w:rsid w:val="003C1AF2"/>
    <w:rsid w:val="003C2919"/>
    <w:rsid w:val="003C5679"/>
    <w:rsid w:val="003C68EE"/>
    <w:rsid w:val="003D0A9B"/>
    <w:rsid w:val="003D1728"/>
    <w:rsid w:val="003D19BC"/>
    <w:rsid w:val="003D1CAB"/>
    <w:rsid w:val="003D2FFC"/>
    <w:rsid w:val="003D3568"/>
    <w:rsid w:val="003D4EE1"/>
    <w:rsid w:val="003D56FD"/>
    <w:rsid w:val="003D60AA"/>
    <w:rsid w:val="003D657C"/>
    <w:rsid w:val="003D75B2"/>
    <w:rsid w:val="003D7990"/>
    <w:rsid w:val="003E0B6D"/>
    <w:rsid w:val="003E2CE7"/>
    <w:rsid w:val="003E6154"/>
    <w:rsid w:val="003E6B32"/>
    <w:rsid w:val="003F0D7D"/>
    <w:rsid w:val="003F2B50"/>
    <w:rsid w:val="004009FC"/>
    <w:rsid w:val="004052E3"/>
    <w:rsid w:val="0040533A"/>
    <w:rsid w:val="004061F9"/>
    <w:rsid w:val="004068A3"/>
    <w:rsid w:val="00407327"/>
    <w:rsid w:val="00410C9E"/>
    <w:rsid w:val="00412AC6"/>
    <w:rsid w:val="004134BC"/>
    <w:rsid w:val="0041492A"/>
    <w:rsid w:val="00415DBC"/>
    <w:rsid w:val="00416790"/>
    <w:rsid w:val="00417B8C"/>
    <w:rsid w:val="0042115D"/>
    <w:rsid w:val="004211DF"/>
    <w:rsid w:val="004214E3"/>
    <w:rsid w:val="004215E0"/>
    <w:rsid w:val="004224AD"/>
    <w:rsid w:val="004237C2"/>
    <w:rsid w:val="00427A9D"/>
    <w:rsid w:val="0043115C"/>
    <w:rsid w:val="0043150F"/>
    <w:rsid w:val="00435436"/>
    <w:rsid w:val="00436AD8"/>
    <w:rsid w:val="004404EE"/>
    <w:rsid w:val="004406D4"/>
    <w:rsid w:val="00442158"/>
    <w:rsid w:val="00442B11"/>
    <w:rsid w:val="00443AA6"/>
    <w:rsid w:val="00444452"/>
    <w:rsid w:val="0044558A"/>
    <w:rsid w:val="004465B3"/>
    <w:rsid w:val="004514FE"/>
    <w:rsid w:val="00451977"/>
    <w:rsid w:val="00452A5C"/>
    <w:rsid w:val="00454750"/>
    <w:rsid w:val="004551F8"/>
    <w:rsid w:val="004579E8"/>
    <w:rsid w:val="004660AC"/>
    <w:rsid w:val="00470605"/>
    <w:rsid w:val="00471006"/>
    <w:rsid w:val="00471D94"/>
    <w:rsid w:val="00472D9A"/>
    <w:rsid w:val="004750BF"/>
    <w:rsid w:val="00475B29"/>
    <w:rsid w:val="00476AEC"/>
    <w:rsid w:val="00476B30"/>
    <w:rsid w:val="00477999"/>
    <w:rsid w:val="0048192B"/>
    <w:rsid w:val="00482DAF"/>
    <w:rsid w:val="004838BA"/>
    <w:rsid w:val="00484666"/>
    <w:rsid w:val="0048525B"/>
    <w:rsid w:val="00487931"/>
    <w:rsid w:val="00487C96"/>
    <w:rsid w:val="00491FC1"/>
    <w:rsid w:val="00495724"/>
    <w:rsid w:val="00497DA8"/>
    <w:rsid w:val="004A42DA"/>
    <w:rsid w:val="004A4C9A"/>
    <w:rsid w:val="004A6D5C"/>
    <w:rsid w:val="004B3B77"/>
    <w:rsid w:val="004B72AE"/>
    <w:rsid w:val="004B77C1"/>
    <w:rsid w:val="004C1003"/>
    <w:rsid w:val="004C1410"/>
    <w:rsid w:val="004C1ADA"/>
    <w:rsid w:val="004C3B66"/>
    <w:rsid w:val="004C3BC5"/>
    <w:rsid w:val="004C457C"/>
    <w:rsid w:val="004C5A7C"/>
    <w:rsid w:val="004C6508"/>
    <w:rsid w:val="004C6AA5"/>
    <w:rsid w:val="004D3387"/>
    <w:rsid w:val="004D5367"/>
    <w:rsid w:val="004D7086"/>
    <w:rsid w:val="004D7A32"/>
    <w:rsid w:val="004D7ADF"/>
    <w:rsid w:val="004E0943"/>
    <w:rsid w:val="004E144F"/>
    <w:rsid w:val="004E2429"/>
    <w:rsid w:val="004E4169"/>
    <w:rsid w:val="004E5D6E"/>
    <w:rsid w:val="004E5E5D"/>
    <w:rsid w:val="004E68C8"/>
    <w:rsid w:val="004F12D5"/>
    <w:rsid w:val="004F299B"/>
    <w:rsid w:val="004F4263"/>
    <w:rsid w:val="004F45D5"/>
    <w:rsid w:val="0050155C"/>
    <w:rsid w:val="00501C56"/>
    <w:rsid w:val="00502134"/>
    <w:rsid w:val="0050239B"/>
    <w:rsid w:val="00502C4B"/>
    <w:rsid w:val="00502CFB"/>
    <w:rsid w:val="0050382E"/>
    <w:rsid w:val="00507173"/>
    <w:rsid w:val="00512B47"/>
    <w:rsid w:val="00513A07"/>
    <w:rsid w:val="00514A59"/>
    <w:rsid w:val="005200CE"/>
    <w:rsid w:val="00521733"/>
    <w:rsid w:val="00521CA3"/>
    <w:rsid w:val="0053602D"/>
    <w:rsid w:val="00540627"/>
    <w:rsid w:val="00541067"/>
    <w:rsid w:val="005460CA"/>
    <w:rsid w:val="00551B8E"/>
    <w:rsid w:val="00554058"/>
    <w:rsid w:val="005574E8"/>
    <w:rsid w:val="005641D3"/>
    <w:rsid w:val="0057192F"/>
    <w:rsid w:val="00572C20"/>
    <w:rsid w:val="00574F48"/>
    <w:rsid w:val="00580CFF"/>
    <w:rsid w:val="005810FE"/>
    <w:rsid w:val="005822A9"/>
    <w:rsid w:val="005840EB"/>
    <w:rsid w:val="00584D3C"/>
    <w:rsid w:val="0058643D"/>
    <w:rsid w:val="005868B9"/>
    <w:rsid w:val="0058751F"/>
    <w:rsid w:val="005918FF"/>
    <w:rsid w:val="00595EB2"/>
    <w:rsid w:val="005A1265"/>
    <w:rsid w:val="005A1313"/>
    <w:rsid w:val="005A689F"/>
    <w:rsid w:val="005B1C66"/>
    <w:rsid w:val="005B6E25"/>
    <w:rsid w:val="005C305F"/>
    <w:rsid w:val="005C4C1A"/>
    <w:rsid w:val="005C59B8"/>
    <w:rsid w:val="005D1FFB"/>
    <w:rsid w:val="005D2A2F"/>
    <w:rsid w:val="005D2B60"/>
    <w:rsid w:val="005D305D"/>
    <w:rsid w:val="005D392B"/>
    <w:rsid w:val="005D3CE6"/>
    <w:rsid w:val="005D54FA"/>
    <w:rsid w:val="005D6143"/>
    <w:rsid w:val="005D74EB"/>
    <w:rsid w:val="005E2B7C"/>
    <w:rsid w:val="005E5173"/>
    <w:rsid w:val="005F19FE"/>
    <w:rsid w:val="005F2EB0"/>
    <w:rsid w:val="005F566D"/>
    <w:rsid w:val="005F66E2"/>
    <w:rsid w:val="00600F03"/>
    <w:rsid w:val="00603DC6"/>
    <w:rsid w:val="00604CA8"/>
    <w:rsid w:val="00605A3F"/>
    <w:rsid w:val="006064AB"/>
    <w:rsid w:val="00610461"/>
    <w:rsid w:val="00611023"/>
    <w:rsid w:val="0061589D"/>
    <w:rsid w:val="0061796C"/>
    <w:rsid w:val="006205A5"/>
    <w:rsid w:val="00620F88"/>
    <w:rsid w:val="006270C5"/>
    <w:rsid w:val="006311E0"/>
    <w:rsid w:val="0063180F"/>
    <w:rsid w:val="006361F1"/>
    <w:rsid w:val="0063734F"/>
    <w:rsid w:val="00642CF4"/>
    <w:rsid w:val="00644E19"/>
    <w:rsid w:val="00645DC9"/>
    <w:rsid w:val="00646656"/>
    <w:rsid w:val="006473CC"/>
    <w:rsid w:val="00647CC1"/>
    <w:rsid w:val="0065134A"/>
    <w:rsid w:val="0065283E"/>
    <w:rsid w:val="00652919"/>
    <w:rsid w:val="00653852"/>
    <w:rsid w:val="0065421E"/>
    <w:rsid w:val="006562AF"/>
    <w:rsid w:val="00656346"/>
    <w:rsid w:val="00657014"/>
    <w:rsid w:val="00662616"/>
    <w:rsid w:val="00664732"/>
    <w:rsid w:val="0066606A"/>
    <w:rsid w:val="00667CDD"/>
    <w:rsid w:val="00672B39"/>
    <w:rsid w:val="006739E8"/>
    <w:rsid w:val="006739FC"/>
    <w:rsid w:val="0067736D"/>
    <w:rsid w:val="006807DC"/>
    <w:rsid w:val="00682F76"/>
    <w:rsid w:val="006863F8"/>
    <w:rsid w:val="00686623"/>
    <w:rsid w:val="00686F14"/>
    <w:rsid w:val="00691637"/>
    <w:rsid w:val="0069191B"/>
    <w:rsid w:val="00693204"/>
    <w:rsid w:val="006942C7"/>
    <w:rsid w:val="00694323"/>
    <w:rsid w:val="006948DF"/>
    <w:rsid w:val="00695DE6"/>
    <w:rsid w:val="00697911"/>
    <w:rsid w:val="006A0B06"/>
    <w:rsid w:val="006A0F53"/>
    <w:rsid w:val="006A3F9B"/>
    <w:rsid w:val="006A4A7B"/>
    <w:rsid w:val="006A7539"/>
    <w:rsid w:val="006B28A8"/>
    <w:rsid w:val="006B605F"/>
    <w:rsid w:val="006B7833"/>
    <w:rsid w:val="006C121E"/>
    <w:rsid w:val="006C131C"/>
    <w:rsid w:val="006C1567"/>
    <w:rsid w:val="006C376A"/>
    <w:rsid w:val="006C5779"/>
    <w:rsid w:val="006C6595"/>
    <w:rsid w:val="006D1021"/>
    <w:rsid w:val="006D1557"/>
    <w:rsid w:val="006D172B"/>
    <w:rsid w:val="006D3F4A"/>
    <w:rsid w:val="006D5B04"/>
    <w:rsid w:val="006D6C4F"/>
    <w:rsid w:val="006E5BAD"/>
    <w:rsid w:val="006E61DA"/>
    <w:rsid w:val="006F549D"/>
    <w:rsid w:val="006F5F41"/>
    <w:rsid w:val="007020DF"/>
    <w:rsid w:val="00702572"/>
    <w:rsid w:val="00703C87"/>
    <w:rsid w:val="00703CC4"/>
    <w:rsid w:val="0070496C"/>
    <w:rsid w:val="0070603A"/>
    <w:rsid w:val="00706C7B"/>
    <w:rsid w:val="00706CC7"/>
    <w:rsid w:val="00707191"/>
    <w:rsid w:val="00712860"/>
    <w:rsid w:val="00720B5C"/>
    <w:rsid w:val="00722DE3"/>
    <w:rsid w:val="00727940"/>
    <w:rsid w:val="00727CC9"/>
    <w:rsid w:val="0073078A"/>
    <w:rsid w:val="00732284"/>
    <w:rsid w:val="007323CE"/>
    <w:rsid w:val="00733732"/>
    <w:rsid w:val="00734251"/>
    <w:rsid w:val="00734894"/>
    <w:rsid w:val="007379A0"/>
    <w:rsid w:val="00741564"/>
    <w:rsid w:val="0074241C"/>
    <w:rsid w:val="00747341"/>
    <w:rsid w:val="0075201C"/>
    <w:rsid w:val="007538C3"/>
    <w:rsid w:val="007539DD"/>
    <w:rsid w:val="0075489D"/>
    <w:rsid w:val="007552F6"/>
    <w:rsid w:val="0075656C"/>
    <w:rsid w:val="00756F7B"/>
    <w:rsid w:val="007628C8"/>
    <w:rsid w:val="00762953"/>
    <w:rsid w:val="007635B1"/>
    <w:rsid w:val="00764713"/>
    <w:rsid w:val="00770386"/>
    <w:rsid w:val="00770F63"/>
    <w:rsid w:val="007732BB"/>
    <w:rsid w:val="007806D0"/>
    <w:rsid w:val="00780A0C"/>
    <w:rsid w:val="00782B97"/>
    <w:rsid w:val="0078400C"/>
    <w:rsid w:val="00784081"/>
    <w:rsid w:val="00784A27"/>
    <w:rsid w:val="00784D68"/>
    <w:rsid w:val="007872F6"/>
    <w:rsid w:val="00791994"/>
    <w:rsid w:val="007A38E7"/>
    <w:rsid w:val="007A4476"/>
    <w:rsid w:val="007A49F6"/>
    <w:rsid w:val="007A7910"/>
    <w:rsid w:val="007B5837"/>
    <w:rsid w:val="007B695B"/>
    <w:rsid w:val="007B74A9"/>
    <w:rsid w:val="007B7878"/>
    <w:rsid w:val="007C16C1"/>
    <w:rsid w:val="007C1BF9"/>
    <w:rsid w:val="007C3C82"/>
    <w:rsid w:val="007C3CA0"/>
    <w:rsid w:val="007C49C0"/>
    <w:rsid w:val="007C648B"/>
    <w:rsid w:val="007C7809"/>
    <w:rsid w:val="007C7B61"/>
    <w:rsid w:val="007D1AEE"/>
    <w:rsid w:val="007D28ED"/>
    <w:rsid w:val="007D40B9"/>
    <w:rsid w:val="007D4D8A"/>
    <w:rsid w:val="007E30A7"/>
    <w:rsid w:val="007E3477"/>
    <w:rsid w:val="007E5AC5"/>
    <w:rsid w:val="007E7CD8"/>
    <w:rsid w:val="007F0AB9"/>
    <w:rsid w:val="007F45FD"/>
    <w:rsid w:val="00800678"/>
    <w:rsid w:val="008021B2"/>
    <w:rsid w:val="00802272"/>
    <w:rsid w:val="00802BDC"/>
    <w:rsid w:val="00802EC4"/>
    <w:rsid w:val="008030DA"/>
    <w:rsid w:val="0080379C"/>
    <w:rsid w:val="0080386D"/>
    <w:rsid w:val="008060F6"/>
    <w:rsid w:val="00810662"/>
    <w:rsid w:val="00810913"/>
    <w:rsid w:val="00813AD5"/>
    <w:rsid w:val="00813E73"/>
    <w:rsid w:val="0081450D"/>
    <w:rsid w:val="00820F1F"/>
    <w:rsid w:val="00824408"/>
    <w:rsid w:val="00824E18"/>
    <w:rsid w:val="00826844"/>
    <w:rsid w:val="00826F4B"/>
    <w:rsid w:val="00830474"/>
    <w:rsid w:val="0083272D"/>
    <w:rsid w:val="0084036F"/>
    <w:rsid w:val="00843C5A"/>
    <w:rsid w:val="00850DED"/>
    <w:rsid w:val="00852405"/>
    <w:rsid w:val="0085327A"/>
    <w:rsid w:val="00855EF0"/>
    <w:rsid w:val="008562AF"/>
    <w:rsid w:val="00856CA9"/>
    <w:rsid w:val="008574AC"/>
    <w:rsid w:val="00860DC6"/>
    <w:rsid w:val="008641A8"/>
    <w:rsid w:val="00867B4C"/>
    <w:rsid w:val="00871A47"/>
    <w:rsid w:val="00877879"/>
    <w:rsid w:val="00877BF2"/>
    <w:rsid w:val="00882446"/>
    <w:rsid w:val="00883BD0"/>
    <w:rsid w:val="00884C9F"/>
    <w:rsid w:val="00885C2C"/>
    <w:rsid w:val="0089046A"/>
    <w:rsid w:val="00891CC3"/>
    <w:rsid w:val="0089281C"/>
    <w:rsid w:val="00893599"/>
    <w:rsid w:val="00893A08"/>
    <w:rsid w:val="008952DA"/>
    <w:rsid w:val="00897E9C"/>
    <w:rsid w:val="008A1604"/>
    <w:rsid w:val="008A307B"/>
    <w:rsid w:val="008A51F8"/>
    <w:rsid w:val="008A7E53"/>
    <w:rsid w:val="008B179B"/>
    <w:rsid w:val="008B4600"/>
    <w:rsid w:val="008B5269"/>
    <w:rsid w:val="008C46A0"/>
    <w:rsid w:val="008C7340"/>
    <w:rsid w:val="008D105A"/>
    <w:rsid w:val="008D2A0A"/>
    <w:rsid w:val="008E36B4"/>
    <w:rsid w:val="008E48A3"/>
    <w:rsid w:val="008E60D3"/>
    <w:rsid w:val="008E6701"/>
    <w:rsid w:val="008E710B"/>
    <w:rsid w:val="008F0704"/>
    <w:rsid w:val="008F108F"/>
    <w:rsid w:val="008F3BBD"/>
    <w:rsid w:val="00901DF5"/>
    <w:rsid w:val="00902264"/>
    <w:rsid w:val="00903079"/>
    <w:rsid w:val="009036FC"/>
    <w:rsid w:val="00904467"/>
    <w:rsid w:val="0090520D"/>
    <w:rsid w:val="00905AD4"/>
    <w:rsid w:val="00906AEE"/>
    <w:rsid w:val="00907627"/>
    <w:rsid w:val="00907D41"/>
    <w:rsid w:val="0091007C"/>
    <w:rsid w:val="0091017C"/>
    <w:rsid w:val="009128BE"/>
    <w:rsid w:val="009133DC"/>
    <w:rsid w:val="00916A4A"/>
    <w:rsid w:val="00920221"/>
    <w:rsid w:val="00922C43"/>
    <w:rsid w:val="00923B99"/>
    <w:rsid w:val="00923F28"/>
    <w:rsid w:val="0092400B"/>
    <w:rsid w:val="009266F3"/>
    <w:rsid w:val="00930FDC"/>
    <w:rsid w:val="0093278F"/>
    <w:rsid w:val="00933479"/>
    <w:rsid w:val="00933E4B"/>
    <w:rsid w:val="00940511"/>
    <w:rsid w:val="00941700"/>
    <w:rsid w:val="00943871"/>
    <w:rsid w:val="00946938"/>
    <w:rsid w:val="009471BE"/>
    <w:rsid w:val="0094725F"/>
    <w:rsid w:val="009521D6"/>
    <w:rsid w:val="0095595D"/>
    <w:rsid w:val="00957CDF"/>
    <w:rsid w:val="009642F2"/>
    <w:rsid w:val="00964C07"/>
    <w:rsid w:val="00965392"/>
    <w:rsid w:val="00965C71"/>
    <w:rsid w:val="00972DAC"/>
    <w:rsid w:val="0097380C"/>
    <w:rsid w:val="0097390B"/>
    <w:rsid w:val="0097525F"/>
    <w:rsid w:val="009766C6"/>
    <w:rsid w:val="009775B6"/>
    <w:rsid w:val="00977A0D"/>
    <w:rsid w:val="00984A05"/>
    <w:rsid w:val="009865EF"/>
    <w:rsid w:val="009876E9"/>
    <w:rsid w:val="00990862"/>
    <w:rsid w:val="00993623"/>
    <w:rsid w:val="009938D6"/>
    <w:rsid w:val="00993964"/>
    <w:rsid w:val="00997CB7"/>
    <w:rsid w:val="009A2DDB"/>
    <w:rsid w:val="009A3135"/>
    <w:rsid w:val="009A4226"/>
    <w:rsid w:val="009A4FE1"/>
    <w:rsid w:val="009B0D18"/>
    <w:rsid w:val="009B399D"/>
    <w:rsid w:val="009B3AD2"/>
    <w:rsid w:val="009B613B"/>
    <w:rsid w:val="009B7891"/>
    <w:rsid w:val="009C04B5"/>
    <w:rsid w:val="009C14C2"/>
    <w:rsid w:val="009C1EA3"/>
    <w:rsid w:val="009C45A1"/>
    <w:rsid w:val="009C4AD7"/>
    <w:rsid w:val="009D0C09"/>
    <w:rsid w:val="009D4EB9"/>
    <w:rsid w:val="009D57E7"/>
    <w:rsid w:val="009D58BB"/>
    <w:rsid w:val="009E1AE6"/>
    <w:rsid w:val="009E2354"/>
    <w:rsid w:val="009E434C"/>
    <w:rsid w:val="009E4951"/>
    <w:rsid w:val="009E75FC"/>
    <w:rsid w:val="009F0134"/>
    <w:rsid w:val="009F3D6E"/>
    <w:rsid w:val="009F4001"/>
    <w:rsid w:val="009F42A8"/>
    <w:rsid w:val="009F5CD7"/>
    <w:rsid w:val="009F5E30"/>
    <w:rsid w:val="009F6685"/>
    <w:rsid w:val="00A047C5"/>
    <w:rsid w:val="00A05148"/>
    <w:rsid w:val="00A067EC"/>
    <w:rsid w:val="00A06860"/>
    <w:rsid w:val="00A07A42"/>
    <w:rsid w:val="00A1408B"/>
    <w:rsid w:val="00A20BBC"/>
    <w:rsid w:val="00A20D36"/>
    <w:rsid w:val="00A2484B"/>
    <w:rsid w:val="00A259A7"/>
    <w:rsid w:val="00A25FF6"/>
    <w:rsid w:val="00A26F5B"/>
    <w:rsid w:val="00A279DF"/>
    <w:rsid w:val="00A320D2"/>
    <w:rsid w:val="00A332B5"/>
    <w:rsid w:val="00A34515"/>
    <w:rsid w:val="00A360D3"/>
    <w:rsid w:val="00A403E0"/>
    <w:rsid w:val="00A445BE"/>
    <w:rsid w:val="00A45370"/>
    <w:rsid w:val="00A455C4"/>
    <w:rsid w:val="00A457E4"/>
    <w:rsid w:val="00A4667E"/>
    <w:rsid w:val="00A475DF"/>
    <w:rsid w:val="00A50A64"/>
    <w:rsid w:val="00A60946"/>
    <w:rsid w:val="00A615F0"/>
    <w:rsid w:val="00A61F61"/>
    <w:rsid w:val="00A62975"/>
    <w:rsid w:val="00A64BE6"/>
    <w:rsid w:val="00A6536D"/>
    <w:rsid w:val="00A65CD4"/>
    <w:rsid w:val="00A70867"/>
    <w:rsid w:val="00A70C28"/>
    <w:rsid w:val="00A81C05"/>
    <w:rsid w:val="00A82F2D"/>
    <w:rsid w:val="00A836EE"/>
    <w:rsid w:val="00A83E78"/>
    <w:rsid w:val="00A846E6"/>
    <w:rsid w:val="00A90164"/>
    <w:rsid w:val="00A933F3"/>
    <w:rsid w:val="00A93D3B"/>
    <w:rsid w:val="00A970A8"/>
    <w:rsid w:val="00AA4EBF"/>
    <w:rsid w:val="00AA6E3F"/>
    <w:rsid w:val="00AA7936"/>
    <w:rsid w:val="00AA7973"/>
    <w:rsid w:val="00AB1429"/>
    <w:rsid w:val="00AB1938"/>
    <w:rsid w:val="00AB391F"/>
    <w:rsid w:val="00AB5956"/>
    <w:rsid w:val="00AB674B"/>
    <w:rsid w:val="00AB699A"/>
    <w:rsid w:val="00AC0E68"/>
    <w:rsid w:val="00AC1051"/>
    <w:rsid w:val="00AC18C4"/>
    <w:rsid w:val="00AC1A89"/>
    <w:rsid w:val="00AC2AF0"/>
    <w:rsid w:val="00AC4D6F"/>
    <w:rsid w:val="00AD170B"/>
    <w:rsid w:val="00AD29EE"/>
    <w:rsid w:val="00AD404D"/>
    <w:rsid w:val="00AD74E7"/>
    <w:rsid w:val="00AE1377"/>
    <w:rsid w:val="00AE1C70"/>
    <w:rsid w:val="00AE31E2"/>
    <w:rsid w:val="00AE5796"/>
    <w:rsid w:val="00AE68BE"/>
    <w:rsid w:val="00AE6A5D"/>
    <w:rsid w:val="00AF02BA"/>
    <w:rsid w:val="00AF0B46"/>
    <w:rsid w:val="00AF3FFF"/>
    <w:rsid w:val="00AF4838"/>
    <w:rsid w:val="00AF6504"/>
    <w:rsid w:val="00B0018F"/>
    <w:rsid w:val="00B051CE"/>
    <w:rsid w:val="00B05561"/>
    <w:rsid w:val="00B07F6F"/>
    <w:rsid w:val="00B11746"/>
    <w:rsid w:val="00B140EF"/>
    <w:rsid w:val="00B14269"/>
    <w:rsid w:val="00B14FA7"/>
    <w:rsid w:val="00B20C04"/>
    <w:rsid w:val="00B30DA9"/>
    <w:rsid w:val="00B351BF"/>
    <w:rsid w:val="00B3626C"/>
    <w:rsid w:val="00B36776"/>
    <w:rsid w:val="00B36ABE"/>
    <w:rsid w:val="00B4478F"/>
    <w:rsid w:val="00B44C82"/>
    <w:rsid w:val="00B450FC"/>
    <w:rsid w:val="00B465B3"/>
    <w:rsid w:val="00B50F8D"/>
    <w:rsid w:val="00B5626E"/>
    <w:rsid w:val="00B5628B"/>
    <w:rsid w:val="00B56393"/>
    <w:rsid w:val="00B619C6"/>
    <w:rsid w:val="00B61DAA"/>
    <w:rsid w:val="00B62376"/>
    <w:rsid w:val="00B670C5"/>
    <w:rsid w:val="00B75058"/>
    <w:rsid w:val="00B752BA"/>
    <w:rsid w:val="00B7765A"/>
    <w:rsid w:val="00B80106"/>
    <w:rsid w:val="00B8475C"/>
    <w:rsid w:val="00B8643A"/>
    <w:rsid w:val="00B91FB5"/>
    <w:rsid w:val="00B92D92"/>
    <w:rsid w:val="00B95A6A"/>
    <w:rsid w:val="00B95CC1"/>
    <w:rsid w:val="00B96A5A"/>
    <w:rsid w:val="00BA0B61"/>
    <w:rsid w:val="00BA1753"/>
    <w:rsid w:val="00BA1AD0"/>
    <w:rsid w:val="00BA21A7"/>
    <w:rsid w:val="00BA39D5"/>
    <w:rsid w:val="00BB1853"/>
    <w:rsid w:val="00BB2B4F"/>
    <w:rsid w:val="00BB35DF"/>
    <w:rsid w:val="00BB5C25"/>
    <w:rsid w:val="00BB5C39"/>
    <w:rsid w:val="00BB5EB2"/>
    <w:rsid w:val="00BC091C"/>
    <w:rsid w:val="00BC0B00"/>
    <w:rsid w:val="00BC0D74"/>
    <w:rsid w:val="00BC3761"/>
    <w:rsid w:val="00BC5699"/>
    <w:rsid w:val="00BD15E7"/>
    <w:rsid w:val="00BD4C75"/>
    <w:rsid w:val="00BD5A64"/>
    <w:rsid w:val="00BD6583"/>
    <w:rsid w:val="00BE3425"/>
    <w:rsid w:val="00BE4401"/>
    <w:rsid w:val="00BE55AC"/>
    <w:rsid w:val="00BE5811"/>
    <w:rsid w:val="00BE6A6B"/>
    <w:rsid w:val="00BE7F73"/>
    <w:rsid w:val="00BF24BC"/>
    <w:rsid w:val="00BF35D4"/>
    <w:rsid w:val="00BF6247"/>
    <w:rsid w:val="00BF6968"/>
    <w:rsid w:val="00C0256A"/>
    <w:rsid w:val="00C02B7A"/>
    <w:rsid w:val="00C119D7"/>
    <w:rsid w:val="00C15459"/>
    <w:rsid w:val="00C160F7"/>
    <w:rsid w:val="00C21F78"/>
    <w:rsid w:val="00C24FDE"/>
    <w:rsid w:val="00C2633E"/>
    <w:rsid w:val="00C26EB9"/>
    <w:rsid w:val="00C3031C"/>
    <w:rsid w:val="00C3207E"/>
    <w:rsid w:val="00C32B90"/>
    <w:rsid w:val="00C346CE"/>
    <w:rsid w:val="00C35010"/>
    <w:rsid w:val="00C352EC"/>
    <w:rsid w:val="00C373B7"/>
    <w:rsid w:val="00C37E6B"/>
    <w:rsid w:val="00C40284"/>
    <w:rsid w:val="00C41D44"/>
    <w:rsid w:val="00C462E4"/>
    <w:rsid w:val="00C4687B"/>
    <w:rsid w:val="00C46922"/>
    <w:rsid w:val="00C47DC4"/>
    <w:rsid w:val="00C5048B"/>
    <w:rsid w:val="00C563A0"/>
    <w:rsid w:val="00C57FFC"/>
    <w:rsid w:val="00C646AF"/>
    <w:rsid w:val="00C700BC"/>
    <w:rsid w:val="00C727F6"/>
    <w:rsid w:val="00C73831"/>
    <w:rsid w:val="00C747D5"/>
    <w:rsid w:val="00C7541B"/>
    <w:rsid w:val="00C80151"/>
    <w:rsid w:val="00C80805"/>
    <w:rsid w:val="00C80C04"/>
    <w:rsid w:val="00C82C0D"/>
    <w:rsid w:val="00C91036"/>
    <w:rsid w:val="00C9193B"/>
    <w:rsid w:val="00C91BB1"/>
    <w:rsid w:val="00C93099"/>
    <w:rsid w:val="00C97F14"/>
    <w:rsid w:val="00CA0FEF"/>
    <w:rsid w:val="00CA210C"/>
    <w:rsid w:val="00CA3EC2"/>
    <w:rsid w:val="00CA6B55"/>
    <w:rsid w:val="00CA770E"/>
    <w:rsid w:val="00CB1CD4"/>
    <w:rsid w:val="00CB326A"/>
    <w:rsid w:val="00CB3661"/>
    <w:rsid w:val="00CB595B"/>
    <w:rsid w:val="00CB7092"/>
    <w:rsid w:val="00CB7771"/>
    <w:rsid w:val="00CB7C28"/>
    <w:rsid w:val="00CC0BE2"/>
    <w:rsid w:val="00CC329E"/>
    <w:rsid w:val="00CC3609"/>
    <w:rsid w:val="00CC3DC1"/>
    <w:rsid w:val="00CD3BF0"/>
    <w:rsid w:val="00CD3DAC"/>
    <w:rsid w:val="00CD4989"/>
    <w:rsid w:val="00CD6047"/>
    <w:rsid w:val="00CD7AFE"/>
    <w:rsid w:val="00CE3A32"/>
    <w:rsid w:val="00CE3C1D"/>
    <w:rsid w:val="00CE46D3"/>
    <w:rsid w:val="00CE4B79"/>
    <w:rsid w:val="00CF27AB"/>
    <w:rsid w:val="00CF2D37"/>
    <w:rsid w:val="00CF3837"/>
    <w:rsid w:val="00CF3C53"/>
    <w:rsid w:val="00CF5281"/>
    <w:rsid w:val="00CF5D30"/>
    <w:rsid w:val="00CF6DFD"/>
    <w:rsid w:val="00D02FA5"/>
    <w:rsid w:val="00D0365C"/>
    <w:rsid w:val="00D0395E"/>
    <w:rsid w:val="00D03A4B"/>
    <w:rsid w:val="00D0496A"/>
    <w:rsid w:val="00D07C4E"/>
    <w:rsid w:val="00D106D6"/>
    <w:rsid w:val="00D14D28"/>
    <w:rsid w:val="00D20A0A"/>
    <w:rsid w:val="00D24015"/>
    <w:rsid w:val="00D250D6"/>
    <w:rsid w:val="00D3173A"/>
    <w:rsid w:val="00D34A87"/>
    <w:rsid w:val="00D413E4"/>
    <w:rsid w:val="00D441A6"/>
    <w:rsid w:val="00D4459A"/>
    <w:rsid w:val="00D45D39"/>
    <w:rsid w:val="00D50997"/>
    <w:rsid w:val="00D52A98"/>
    <w:rsid w:val="00D6004C"/>
    <w:rsid w:val="00D6106F"/>
    <w:rsid w:val="00D61E25"/>
    <w:rsid w:val="00D62425"/>
    <w:rsid w:val="00D629DE"/>
    <w:rsid w:val="00D6400C"/>
    <w:rsid w:val="00D640ED"/>
    <w:rsid w:val="00D64BB0"/>
    <w:rsid w:val="00D64D39"/>
    <w:rsid w:val="00D7218F"/>
    <w:rsid w:val="00D73F55"/>
    <w:rsid w:val="00D7500E"/>
    <w:rsid w:val="00D75EC3"/>
    <w:rsid w:val="00D76F8A"/>
    <w:rsid w:val="00D807F7"/>
    <w:rsid w:val="00D80D1D"/>
    <w:rsid w:val="00D83CBC"/>
    <w:rsid w:val="00D909D4"/>
    <w:rsid w:val="00D911A8"/>
    <w:rsid w:val="00D92BAA"/>
    <w:rsid w:val="00D92F21"/>
    <w:rsid w:val="00D968DA"/>
    <w:rsid w:val="00D96F04"/>
    <w:rsid w:val="00DA0266"/>
    <w:rsid w:val="00DA0CF8"/>
    <w:rsid w:val="00DA2CA8"/>
    <w:rsid w:val="00DA2E65"/>
    <w:rsid w:val="00DA4287"/>
    <w:rsid w:val="00DA53DC"/>
    <w:rsid w:val="00DA5B99"/>
    <w:rsid w:val="00DA7DA2"/>
    <w:rsid w:val="00DA7F5F"/>
    <w:rsid w:val="00DB3B45"/>
    <w:rsid w:val="00DB4511"/>
    <w:rsid w:val="00DC0F91"/>
    <w:rsid w:val="00DC1D2C"/>
    <w:rsid w:val="00DC1FB5"/>
    <w:rsid w:val="00DC26E2"/>
    <w:rsid w:val="00DC33B9"/>
    <w:rsid w:val="00DD31DD"/>
    <w:rsid w:val="00DD4E85"/>
    <w:rsid w:val="00DD6418"/>
    <w:rsid w:val="00DE1B30"/>
    <w:rsid w:val="00DE2002"/>
    <w:rsid w:val="00DE35FC"/>
    <w:rsid w:val="00DE72B5"/>
    <w:rsid w:val="00DF48D0"/>
    <w:rsid w:val="00DF5017"/>
    <w:rsid w:val="00DF55C6"/>
    <w:rsid w:val="00DF6031"/>
    <w:rsid w:val="00E002FC"/>
    <w:rsid w:val="00E00FBD"/>
    <w:rsid w:val="00E0269B"/>
    <w:rsid w:val="00E029DD"/>
    <w:rsid w:val="00E04E24"/>
    <w:rsid w:val="00E05F56"/>
    <w:rsid w:val="00E06A0C"/>
    <w:rsid w:val="00E06F9C"/>
    <w:rsid w:val="00E10C60"/>
    <w:rsid w:val="00E173EC"/>
    <w:rsid w:val="00E17726"/>
    <w:rsid w:val="00E177DC"/>
    <w:rsid w:val="00E201B1"/>
    <w:rsid w:val="00E21093"/>
    <w:rsid w:val="00E21C6F"/>
    <w:rsid w:val="00E26C4E"/>
    <w:rsid w:val="00E324CF"/>
    <w:rsid w:val="00E350F8"/>
    <w:rsid w:val="00E36823"/>
    <w:rsid w:val="00E40AB2"/>
    <w:rsid w:val="00E41273"/>
    <w:rsid w:val="00E432BB"/>
    <w:rsid w:val="00E433EC"/>
    <w:rsid w:val="00E469B6"/>
    <w:rsid w:val="00E46CF7"/>
    <w:rsid w:val="00E46DF5"/>
    <w:rsid w:val="00E47796"/>
    <w:rsid w:val="00E53924"/>
    <w:rsid w:val="00E54185"/>
    <w:rsid w:val="00E55E0B"/>
    <w:rsid w:val="00E56886"/>
    <w:rsid w:val="00E64DB0"/>
    <w:rsid w:val="00E6704E"/>
    <w:rsid w:val="00E72387"/>
    <w:rsid w:val="00E7460E"/>
    <w:rsid w:val="00E74D15"/>
    <w:rsid w:val="00E756A5"/>
    <w:rsid w:val="00E75FAC"/>
    <w:rsid w:val="00E7633D"/>
    <w:rsid w:val="00E80DF7"/>
    <w:rsid w:val="00E868ED"/>
    <w:rsid w:val="00E875E8"/>
    <w:rsid w:val="00E922A1"/>
    <w:rsid w:val="00E94A6F"/>
    <w:rsid w:val="00E96491"/>
    <w:rsid w:val="00EA375D"/>
    <w:rsid w:val="00EA37EF"/>
    <w:rsid w:val="00EA4A8B"/>
    <w:rsid w:val="00EA4D38"/>
    <w:rsid w:val="00EA4FE4"/>
    <w:rsid w:val="00EB306E"/>
    <w:rsid w:val="00EB6948"/>
    <w:rsid w:val="00EB7123"/>
    <w:rsid w:val="00EB7635"/>
    <w:rsid w:val="00EC1ACF"/>
    <w:rsid w:val="00EC3FBF"/>
    <w:rsid w:val="00EC5752"/>
    <w:rsid w:val="00ED0521"/>
    <w:rsid w:val="00ED18D1"/>
    <w:rsid w:val="00ED2376"/>
    <w:rsid w:val="00ED44E2"/>
    <w:rsid w:val="00ED7A3F"/>
    <w:rsid w:val="00ED7DED"/>
    <w:rsid w:val="00EE363C"/>
    <w:rsid w:val="00EE6E87"/>
    <w:rsid w:val="00EE775D"/>
    <w:rsid w:val="00EF0A7F"/>
    <w:rsid w:val="00EF0A8B"/>
    <w:rsid w:val="00EF14DB"/>
    <w:rsid w:val="00EF20D0"/>
    <w:rsid w:val="00EF471C"/>
    <w:rsid w:val="00EF5256"/>
    <w:rsid w:val="00EF62D5"/>
    <w:rsid w:val="00F00393"/>
    <w:rsid w:val="00F003CF"/>
    <w:rsid w:val="00F026AD"/>
    <w:rsid w:val="00F03729"/>
    <w:rsid w:val="00F12B2A"/>
    <w:rsid w:val="00F1416C"/>
    <w:rsid w:val="00F22358"/>
    <w:rsid w:val="00F2277A"/>
    <w:rsid w:val="00F25AEF"/>
    <w:rsid w:val="00F27EB2"/>
    <w:rsid w:val="00F30003"/>
    <w:rsid w:val="00F3059D"/>
    <w:rsid w:val="00F3233C"/>
    <w:rsid w:val="00F324B5"/>
    <w:rsid w:val="00F33E66"/>
    <w:rsid w:val="00F37B1F"/>
    <w:rsid w:val="00F403F8"/>
    <w:rsid w:val="00F41C53"/>
    <w:rsid w:val="00F440A7"/>
    <w:rsid w:val="00F51FDE"/>
    <w:rsid w:val="00F52D4B"/>
    <w:rsid w:val="00F5741E"/>
    <w:rsid w:val="00F57FF0"/>
    <w:rsid w:val="00F60AC6"/>
    <w:rsid w:val="00F6112C"/>
    <w:rsid w:val="00F64D17"/>
    <w:rsid w:val="00F65C88"/>
    <w:rsid w:val="00F70DC5"/>
    <w:rsid w:val="00F719AF"/>
    <w:rsid w:val="00F73630"/>
    <w:rsid w:val="00F7441B"/>
    <w:rsid w:val="00F75081"/>
    <w:rsid w:val="00F754A4"/>
    <w:rsid w:val="00F75DF6"/>
    <w:rsid w:val="00F763B6"/>
    <w:rsid w:val="00F76FD6"/>
    <w:rsid w:val="00F7754B"/>
    <w:rsid w:val="00F837D2"/>
    <w:rsid w:val="00F83908"/>
    <w:rsid w:val="00F84AAA"/>
    <w:rsid w:val="00F87245"/>
    <w:rsid w:val="00F904A8"/>
    <w:rsid w:val="00F94C01"/>
    <w:rsid w:val="00F952A6"/>
    <w:rsid w:val="00F962A1"/>
    <w:rsid w:val="00F96B38"/>
    <w:rsid w:val="00F97AC0"/>
    <w:rsid w:val="00FA12B5"/>
    <w:rsid w:val="00FA4843"/>
    <w:rsid w:val="00FB1C01"/>
    <w:rsid w:val="00FB3424"/>
    <w:rsid w:val="00FB3BE4"/>
    <w:rsid w:val="00FB5EE7"/>
    <w:rsid w:val="00FC2705"/>
    <w:rsid w:val="00FC28F2"/>
    <w:rsid w:val="00FC57C9"/>
    <w:rsid w:val="00FC72AA"/>
    <w:rsid w:val="00FD212A"/>
    <w:rsid w:val="00FD36B8"/>
    <w:rsid w:val="00FE0928"/>
    <w:rsid w:val="00FE1D51"/>
    <w:rsid w:val="00FE5074"/>
    <w:rsid w:val="00FE5681"/>
    <w:rsid w:val="00FE5FF9"/>
    <w:rsid w:val="00FE7697"/>
    <w:rsid w:val="00FF0D68"/>
    <w:rsid w:val="00FF17A2"/>
    <w:rsid w:val="00FF3386"/>
    <w:rsid w:val="00FF6A1C"/>
    <w:rsid w:val="00FF6B1F"/>
    <w:rsid w:val="011949CD"/>
    <w:rsid w:val="01226120"/>
    <w:rsid w:val="01271818"/>
    <w:rsid w:val="012E439E"/>
    <w:rsid w:val="0152786E"/>
    <w:rsid w:val="01635C49"/>
    <w:rsid w:val="01AF70E0"/>
    <w:rsid w:val="01B30539"/>
    <w:rsid w:val="01B57CB1"/>
    <w:rsid w:val="026E7B4E"/>
    <w:rsid w:val="02F2088F"/>
    <w:rsid w:val="033B110D"/>
    <w:rsid w:val="03A2440C"/>
    <w:rsid w:val="03C7439E"/>
    <w:rsid w:val="03CA37D9"/>
    <w:rsid w:val="03D12B67"/>
    <w:rsid w:val="03D8626A"/>
    <w:rsid w:val="04021876"/>
    <w:rsid w:val="0422171C"/>
    <w:rsid w:val="042F5B05"/>
    <w:rsid w:val="0458215C"/>
    <w:rsid w:val="046061CC"/>
    <w:rsid w:val="04745538"/>
    <w:rsid w:val="04C92897"/>
    <w:rsid w:val="04D03646"/>
    <w:rsid w:val="05895CC4"/>
    <w:rsid w:val="05997254"/>
    <w:rsid w:val="05B128D7"/>
    <w:rsid w:val="05E05A96"/>
    <w:rsid w:val="06361DFE"/>
    <w:rsid w:val="064648FC"/>
    <w:rsid w:val="06545602"/>
    <w:rsid w:val="06972A8A"/>
    <w:rsid w:val="06E57C76"/>
    <w:rsid w:val="074366AE"/>
    <w:rsid w:val="07E350C8"/>
    <w:rsid w:val="082D6FB0"/>
    <w:rsid w:val="086668EF"/>
    <w:rsid w:val="090265EC"/>
    <w:rsid w:val="0930032E"/>
    <w:rsid w:val="0A8D1094"/>
    <w:rsid w:val="0A95537F"/>
    <w:rsid w:val="0A9F3990"/>
    <w:rsid w:val="0B571202"/>
    <w:rsid w:val="0B6C1E53"/>
    <w:rsid w:val="0BD9116B"/>
    <w:rsid w:val="0BE9290A"/>
    <w:rsid w:val="0C683626"/>
    <w:rsid w:val="0C7A5796"/>
    <w:rsid w:val="0C8C5AFB"/>
    <w:rsid w:val="0C963EF8"/>
    <w:rsid w:val="0D0826AD"/>
    <w:rsid w:val="0D103128"/>
    <w:rsid w:val="0D2D2AAA"/>
    <w:rsid w:val="0D30053E"/>
    <w:rsid w:val="0D8C04F1"/>
    <w:rsid w:val="0DAC4A67"/>
    <w:rsid w:val="0DBA4B4D"/>
    <w:rsid w:val="0DF5231E"/>
    <w:rsid w:val="0E1101F2"/>
    <w:rsid w:val="0E26072A"/>
    <w:rsid w:val="102710BC"/>
    <w:rsid w:val="103D3F25"/>
    <w:rsid w:val="10A81246"/>
    <w:rsid w:val="119416B6"/>
    <w:rsid w:val="11D25F32"/>
    <w:rsid w:val="12125943"/>
    <w:rsid w:val="124011D5"/>
    <w:rsid w:val="12433B36"/>
    <w:rsid w:val="126569F8"/>
    <w:rsid w:val="128D50B0"/>
    <w:rsid w:val="12A92B51"/>
    <w:rsid w:val="12B83BF7"/>
    <w:rsid w:val="12C5437D"/>
    <w:rsid w:val="12C72DE6"/>
    <w:rsid w:val="12D51257"/>
    <w:rsid w:val="133F20B0"/>
    <w:rsid w:val="134560F5"/>
    <w:rsid w:val="134C6A34"/>
    <w:rsid w:val="135E2740"/>
    <w:rsid w:val="13824BF1"/>
    <w:rsid w:val="143642E1"/>
    <w:rsid w:val="1490506D"/>
    <w:rsid w:val="14B65F60"/>
    <w:rsid w:val="14E57140"/>
    <w:rsid w:val="14EF0922"/>
    <w:rsid w:val="15224B0B"/>
    <w:rsid w:val="1533640A"/>
    <w:rsid w:val="153F50D3"/>
    <w:rsid w:val="15461F78"/>
    <w:rsid w:val="16035FDF"/>
    <w:rsid w:val="168C5D0E"/>
    <w:rsid w:val="168F6A22"/>
    <w:rsid w:val="16946343"/>
    <w:rsid w:val="16B543D5"/>
    <w:rsid w:val="16BD3F10"/>
    <w:rsid w:val="17053961"/>
    <w:rsid w:val="171559AB"/>
    <w:rsid w:val="17593E68"/>
    <w:rsid w:val="176A78D9"/>
    <w:rsid w:val="17AC0656"/>
    <w:rsid w:val="17AF6D1D"/>
    <w:rsid w:val="17B113BF"/>
    <w:rsid w:val="17B12E8E"/>
    <w:rsid w:val="17F06029"/>
    <w:rsid w:val="18354E04"/>
    <w:rsid w:val="186971E7"/>
    <w:rsid w:val="19017392"/>
    <w:rsid w:val="191E736D"/>
    <w:rsid w:val="195049B4"/>
    <w:rsid w:val="195A108F"/>
    <w:rsid w:val="19B97B07"/>
    <w:rsid w:val="19DB3BBC"/>
    <w:rsid w:val="1A5F4E7E"/>
    <w:rsid w:val="1AA466A3"/>
    <w:rsid w:val="1AFE67D6"/>
    <w:rsid w:val="1B472C35"/>
    <w:rsid w:val="1B6E5458"/>
    <w:rsid w:val="1B846E73"/>
    <w:rsid w:val="1BA31ED5"/>
    <w:rsid w:val="1BE23ADA"/>
    <w:rsid w:val="1C1F18E8"/>
    <w:rsid w:val="1C516EF6"/>
    <w:rsid w:val="1C5273D7"/>
    <w:rsid w:val="1C6F7740"/>
    <w:rsid w:val="1C994E1A"/>
    <w:rsid w:val="1CD535BE"/>
    <w:rsid w:val="1CD67589"/>
    <w:rsid w:val="1D032F5A"/>
    <w:rsid w:val="1D9D511D"/>
    <w:rsid w:val="1DB22AE1"/>
    <w:rsid w:val="1E432EC2"/>
    <w:rsid w:val="1E5D0591"/>
    <w:rsid w:val="1EE00212"/>
    <w:rsid w:val="1F7C3428"/>
    <w:rsid w:val="1F8A649F"/>
    <w:rsid w:val="1F8A6578"/>
    <w:rsid w:val="1F9D4C77"/>
    <w:rsid w:val="201A4806"/>
    <w:rsid w:val="201D02D1"/>
    <w:rsid w:val="20740D69"/>
    <w:rsid w:val="20BF18B6"/>
    <w:rsid w:val="211778EC"/>
    <w:rsid w:val="21351D28"/>
    <w:rsid w:val="213B0E0C"/>
    <w:rsid w:val="21FB5E4C"/>
    <w:rsid w:val="229C0E4F"/>
    <w:rsid w:val="22F268D4"/>
    <w:rsid w:val="234336EA"/>
    <w:rsid w:val="238B4E5F"/>
    <w:rsid w:val="23FD74A8"/>
    <w:rsid w:val="240E4B90"/>
    <w:rsid w:val="24B1674A"/>
    <w:rsid w:val="24BD3A36"/>
    <w:rsid w:val="2510464C"/>
    <w:rsid w:val="25171622"/>
    <w:rsid w:val="254D3184"/>
    <w:rsid w:val="2585340F"/>
    <w:rsid w:val="26856324"/>
    <w:rsid w:val="269D352E"/>
    <w:rsid w:val="26BC4772"/>
    <w:rsid w:val="26DC5ACA"/>
    <w:rsid w:val="26EA3245"/>
    <w:rsid w:val="26F561C6"/>
    <w:rsid w:val="270F5DA7"/>
    <w:rsid w:val="2764543E"/>
    <w:rsid w:val="27905770"/>
    <w:rsid w:val="27FA3F51"/>
    <w:rsid w:val="28053566"/>
    <w:rsid w:val="28434E9B"/>
    <w:rsid w:val="285D13EC"/>
    <w:rsid w:val="28645324"/>
    <w:rsid w:val="2865694F"/>
    <w:rsid w:val="28897A22"/>
    <w:rsid w:val="28A62BFE"/>
    <w:rsid w:val="28DE5466"/>
    <w:rsid w:val="28F8075F"/>
    <w:rsid w:val="296F4050"/>
    <w:rsid w:val="298C338C"/>
    <w:rsid w:val="29B2140D"/>
    <w:rsid w:val="2A106035"/>
    <w:rsid w:val="2AA82F26"/>
    <w:rsid w:val="2AF53303"/>
    <w:rsid w:val="2AF62390"/>
    <w:rsid w:val="2B557066"/>
    <w:rsid w:val="2B9841A4"/>
    <w:rsid w:val="2C075BA7"/>
    <w:rsid w:val="2C4A24BC"/>
    <w:rsid w:val="2C8473B7"/>
    <w:rsid w:val="2C952343"/>
    <w:rsid w:val="2CA44487"/>
    <w:rsid w:val="2D681650"/>
    <w:rsid w:val="2D9B012A"/>
    <w:rsid w:val="2DF92934"/>
    <w:rsid w:val="2E7B5A71"/>
    <w:rsid w:val="2F0A2E12"/>
    <w:rsid w:val="2F374CA2"/>
    <w:rsid w:val="2F454C5F"/>
    <w:rsid w:val="2F6A7667"/>
    <w:rsid w:val="2F7C50D3"/>
    <w:rsid w:val="2F976BF0"/>
    <w:rsid w:val="2FC45829"/>
    <w:rsid w:val="2FCE7794"/>
    <w:rsid w:val="305D4927"/>
    <w:rsid w:val="305F4787"/>
    <w:rsid w:val="306F174F"/>
    <w:rsid w:val="30B63A8B"/>
    <w:rsid w:val="30EB79CF"/>
    <w:rsid w:val="31075DC0"/>
    <w:rsid w:val="31167D3E"/>
    <w:rsid w:val="313578DA"/>
    <w:rsid w:val="31A84FF6"/>
    <w:rsid w:val="32002EBC"/>
    <w:rsid w:val="32DE1DC2"/>
    <w:rsid w:val="32E30917"/>
    <w:rsid w:val="32F470C1"/>
    <w:rsid w:val="333402A1"/>
    <w:rsid w:val="336A1537"/>
    <w:rsid w:val="33814D5C"/>
    <w:rsid w:val="3382133D"/>
    <w:rsid w:val="339F03AA"/>
    <w:rsid w:val="33B63632"/>
    <w:rsid w:val="33FD7F0B"/>
    <w:rsid w:val="347D08A1"/>
    <w:rsid w:val="34A45A1D"/>
    <w:rsid w:val="34BA5572"/>
    <w:rsid w:val="34D3082A"/>
    <w:rsid w:val="34DE0A0E"/>
    <w:rsid w:val="352C27DA"/>
    <w:rsid w:val="3542119D"/>
    <w:rsid w:val="35E6294C"/>
    <w:rsid w:val="35F918D5"/>
    <w:rsid w:val="362B7879"/>
    <w:rsid w:val="36802A1D"/>
    <w:rsid w:val="36961941"/>
    <w:rsid w:val="36FB4B27"/>
    <w:rsid w:val="36FE3AF0"/>
    <w:rsid w:val="37123AEF"/>
    <w:rsid w:val="37AF4DE3"/>
    <w:rsid w:val="386A6C8B"/>
    <w:rsid w:val="38D743AC"/>
    <w:rsid w:val="38DB5B90"/>
    <w:rsid w:val="38E70932"/>
    <w:rsid w:val="38E761C8"/>
    <w:rsid w:val="3964194F"/>
    <w:rsid w:val="3968645D"/>
    <w:rsid w:val="39827EF6"/>
    <w:rsid w:val="399732A4"/>
    <w:rsid w:val="39CF1A96"/>
    <w:rsid w:val="39D47467"/>
    <w:rsid w:val="39E134DF"/>
    <w:rsid w:val="3A43465E"/>
    <w:rsid w:val="3A474D97"/>
    <w:rsid w:val="3AAA2007"/>
    <w:rsid w:val="3B35353A"/>
    <w:rsid w:val="3BC634D1"/>
    <w:rsid w:val="3BDD014F"/>
    <w:rsid w:val="3BEA3B49"/>
    <w:rsid w:val="3C681D8A"/>
    <w:rsid w:val="3CD8070C"/>
    <w:rsid w:val="3CF60FC7"/>
    <w:rsid w:val="3D1A3E3C"/>
    <w:rsid w:val="3D3103CE"/>
    <w:rsid w:val="3DB83060"/>
    <w:rsid w:val="3DF040EA"/>
    <w:rsid w:val="3E18158D"/>
    <w:rsid w:val="3E2D40E6"/>
    <w:rsid w:val="3E395B9D"/>
    <w:rsid w:val="3E4A2E6D"/>
    <w:rsid w:val="3E572320"/>
    <w:rsid w:val="3EA719E9"/>
    <w:rsid w:val="3EB85B25"/>
    <w:rsid w:val="3F29723C"/>
    <w:rsid w:val="3FA37FE6"/>
    <w:rsid w:val="3FA44C23"/>
    <w:rsid w:val="3FEF4CAF"/>
    <w:rsid w:val="4003377A"/>
    <w:rsid w:val="40504003"/>
    <w:rsid w:val="40C13983"/>
    <w:rsid w:val="413D64F4"/>
    <w:rsid w:val="414F2C34"/>
    <w:rsid w:val="415112F9"/>
    <w:rsid w:val="415856A1"/>
    <w:rsid w:val="41855F22"/>
    <w:rsid w:val="41A97DAE"/>
    <w:rsid w:val="41DF1E21"/>
    <w:rsid w:val="420D409B"/>
    <w:rsid w:val="42216349"/>
    <w:rsid w:val="42333F9B"/>
    <w:rsid w:val="426D5939"/>
    <w:rsid w:val="429F4C54"/>
    <w:rsid w:val="42D61FC5"/>
    <w:rsid w:val="430A4537"/>
    <w:rsid w:val="430C142F"/>
    <w:rsid w:val="43576AE6"/>
    <w:rsid w:val="444255B6"/>
    <w:rsid w:val="444A3AAA"/>
    <w:rsid w:val="44D71A86"/>
    <w:rsid w:val="44F7381B"/>
    <w:rsid w:val="452E53D5"/>
    <w:rsid w:val="4557336D"/>
    <w:rsid w:val="45716DC1"/>
    <w:rsid w:val="457B1381"/>
    <w:rsid w:val="45F26761"/>
    <w:rsid w:val="461F2696"/>
    <w:rsid w:val="462B0F4C"/>
    <w:rsid w:val="463B2A78"/>
    <w:rsid w:val="464E08AF"/>
    <w:rsid w:val="469541B3"/>
    <w:rsid w:val="46A42F48"/>
    <w:rsid w:val="46A61876"/>
    <w:rsid w:val="46EF35FC"/>
    <w:rsid w:val="4727150D"/>
    <w:rsid w:val="47C22447"/>
    <w:rsid w:val="48426A8C"/>
    <w:rsid w:val="488F68C6"/>
    <w:rsid w:val="48D679D5"/>
    <w:rsid w:val="48E6768F"/>
    <w:rsid w:val="491924BE"/>
    <w:rsid w:val="49A11775"/>
    <w:rsid w:val="49D34022"/>
    <w:rsid w:val="49DC11DB"/>
    <w:rsid w:val="4A190351"/>
    <w:rsid w:val="4A33475A"/>
    <w:rsid w:val="4A6034BA"/>
    <w:rsid w:val="4A7C09CE"/>
    <w:rsid w:val="4AC961D0"/>
    <w:rsid w:val="4B68762A"/>
    <w:rsid w:val="4B6A728E"/>
    <w:rsid w:val="4B9C30A6"/>
    <w:rsid w:val="4BD97452"/>
    <w:rsid w:val="4BDA77E8"/>
    <w:rsid w:val="4BDB3053"/>
    <w:rsid w:val="4C806C7C"/>
    <w:rsid w:val="4C860B9A"/>
    <w:rsid w:val="4D3612B0"/>
    <w:rsid w:val="4D3B76F1"/>
    <w:rsid w:val="4D5821D2"/>
    <w:rsid w:val="4D7D0F3B"/>
    <w:rsid w:val="4E64541E"/>
    <w:rsid w:val="4ED513E2"/>
    <w:rsid w:val="4F1108C8"/>
    <w:rsid w:val="4F113151"/>
    <w:rsid w:val="4F8017A3"/>
    <w:rsid w:val="50AC6853"/>
    <w:rsid w:val="50D436DD"/>
    <w:rsid w:val="50DB6976"/>
    <w:rsid w:val="51357B34"/>
    <w:rsid w:val="518E129D"/>
    <w:rsid w:val="51D610EC"/>
    <w:rsid w:val="51ED7562"/>
    <w:rsid w:val="523336AF"/>
    <w:rsid w:val="529143BB"/>
    <w:rsid w:val="530575AA"/>
    <w:rsid w:val="53330324"/>
    <w:rsid w:val="53512087"/>
    <w:rsid w:val="53A06B84"/>
    <w:rsid w:val="53B37E4E"/>
    <w:rsid w:val="5459619A"/>
    <w:rsid w:val="547D5970"/>
    <w:rsid w:val="54B679FB"/>
    <w:rsid w:val="54C05B91"/>
    <w:rsid w:val="54E03BC2"/>
    <w:rsid w:val="550255FC"/>
    <w:rsid w:val="551641B4"/>
    <w:rsid w:val="551A6761"/>
    <w:rsid w:val="558E52D9"/>
    <w:rsid w:val="55C12303"/>
    <w:rsid w:val="55CC7CC7"/>
    <w:rsid w:val="55CD4D71"/>
    <w:rsid w:val="561B2DB9"/>
    <w:rsid w:val="561D7C04"/>
    <w:rsid w:val="562A1095"/>
    <w:rsid w:val="56673C3A"/>
    <w:rsid w:val="56C9124D"/>
    <w:rsid w:val="56FE6795"/>
    <w:rsid w:val="57236962"/>
    <w:rsid w:val="57E82350"/>
    <w:rsid w:val="58717806"/>
    <w:rsid w:val="589670DF"/>
    <w:rsid w:val="58D13E1D"/>
    <w:rsid w:val="58E05682"/>
    <w:rsid w:val="58E92FFA"/>
    <w:rsid w:val="58EB7E6A"/>
    <w:rsid w:val="59350CC9"/>
    <w:rsid w:val="597C2D1D"/>
    <w:rsid w:val="5997199A"/>
    <w:rsid w:val="5A0459C7"/>
    <w:rsid w:val="5A2E5F69"/>
    <w:rsid w:val="5BA07082"/>
    <w:rsid w:val="5BBB770C"/>
    <w:rsid w:val="5BEF509F"/>
    <w:rsid w:val="5C244F48"/>
    <w:rsid w:val="5C366F18"/>
    <w:rsid w:val="5C506A6E"/>
    <w:rsid w:val="5C56110F"/>
    <w:rsid w:val="5CB249CD"/>
    <w:rsid w:val="5D075F37"/>
    <w:rsid w:val="5DB958C0"/>
    <w:rsid w:val="5DF348DD"/>
    <w:rsid w:val="5DFA7F3B"/>
    <w:rsid w:val="5E895E64"/>
    <w:rsid w:val="5EBC7BB2"/>
    <w:rsid w:val="5ECC1C80"/>
    <w:rsid w:val="5F106BEE"/>
    <w:rsid w:val="5FA328D4"/>
    <w:rsid w:val="5FEB663D"/>
    <w:rsid w:val="600307B6"/>
    <w:rsid w:val="6027664C"/>
    <w:rsid w:val="608D377A"/>
    <w:rsid w:val="6097121E"/>
    <w:rsid w:val="60B76F59"/>
    <w:rsid w:val="60CA5AC7"/>
    <w:rsid w:val="61024826"/>
    <w:rsid w:val="612754C0"/>
    <w:rsid w:val="613E2DDF"/>
    <w:rsid w:val="61691A64"/>
    <w:rsid w:val="61B04307"/>
    <w:rsid w:val="62101856"/>
    <w:rsid w:val="625C530B"/>
    <w:rsid w:val="62640718"/>
    <w:rsid w:val="62886ABB"/>
    <w:rsid w:val="62B65C01"/>
    <w:rsid w:val="634D1FCC"/>
    <w:rsid w:val="637C7219"/>
    <w:rsid w:val="63DE20A3"/>
    <w:rsid w:val="645C53F8"/>
    <w:rsid w:val="64782C4C"/>
    <w:rsid w:val="65844AA8"/>
    <w:rsid w:val="65A45545"/>
    <w:rsid w:val="66017CD6"/>
    <w:rsid w:val="661F2C0A"/>
    <w:rsid w:val="662D15EB"/>
    <w:rsid w:val="665C07DE"/>
    <w:rsid w:val="669E504F"/>
    <w:rsid w:val="66A87C06"/>
    <w:rsid w:val="66BE67E3"/>
    <w:rsid w:val="66D253E8"/>
    <w:rsid w:val="67015C25"/>
    <w:rsid w:val="67CA40EA"/>
    <w:rsid w:val="67FD1A54"/>
    <w:rsid w:val="69284D52"/>
    <w:rsid w:val="694E068C"/>
    <w:rsid w:val="6A6E6425"/>
    <w:rsid w:val="6A805D17"/>
    <w:rsid w:val="6A82333B"/>
    <w:rsid w:val="6AA12E54"/>
    <w:rsid w:val="6B596BBE"/>
    <w:rsid w:val="6BF41EAC"/>
    <w:rsid w:val="6C65783C"/>
    <w:rsid w:val="6C8625D8"/>
    <w:rsid w:val="6CB155E4"/>
    <w:rsid w:val="6CDF423C"/>
    <w:rsid w:val="6D206400"/>
    <w:rsid w:val="6D2755C8"/>
    <w:rsid w:val="6D2F1B04"/>
    <w:rsid w:val="6D3962FB"/>
    <w:rsid w:val="6DCE7F8A"/>
    <w:rsid w:val="6E0858C1"/>
    <w:rsid w:val="6E73509D"/>
    <w:rsid w:val="6EA2087C"/>
    <w:rsid w:val="6ED018F2"/>
    <w:rsid w:val="6EED78E4"/>
    <w:rsid w:val="6F453364"/>
    <w:rsid w:val="6FFC043E"/>
    <w:rsid w:val="70375EEC"/>
    <w:rsid w:val="703F503F"/>
    <w:rsid w:val="705E5F23"/>
    <w:rsid w:val="70693F83"/>
    <w:rsid w:val="70817048"/>
    <w:rsid w:val="70A62EBA"/>
    <w:rsid w:val="70AD6927"/>
    <w:rsid w:val="70F3689E"/>
    <w:rsid w:val="712C4A7F"/>
    <w:rsid w:val="720940B7"/>
    <w:rsid w:val="739C44DF"/>
    <w:rsid w:val="73B47087"/>
    <w:rsid w:val="73D90F5C"/>
    <w:rsid w:val="74BD1949"/>
    <w:rsid w:val="74CC4B6F"/>
    <w:rsid w:val="752244C4"/>
    <w:rsid w:val="75A14A43"/>
    <w:rsid w:val="75C35A3D"/>
    <w:rsid w:val="75CF3EA3"/>
    <w:rsid w:val="760514FB"/>
    <w:rsid w:val="77005D4D"/>
    <w:rsid w:val="771713B1"/>
    <w:rsid w:val="77802AF4"/>
    <w:rsid w:val="77D645DA"/>
    <w:rsid w:val="77F00530"/>
    <w:rsid w:val="77F77867"/>
    <w:rsid w:val="788E0BA6"/>
    <w:rsid w:val="78C71B26"/>
    <w:rsid w:val="78F23F65"/>
    <w:rsid w:val="7926030E"/>
    <w:rsid w:val="79BC5EA6"/>
    <w:rsid w:val="79D7229C"/>
    <w:rsid w:val="79ED50A1"/>
    <w:rsid w:val="7A5144A5"/>
    <w:rsid w:val="7AD97FC2"/>
    <w:rsid w:val="7B0B0739"/>
    <w:rsid w:val="7B2353F6"/>
    <w:rsid w:val="7B661412"/>
    <w:rsid w:val="7B9E6B59"/>
    <w:rsid w:val="7BFE4505"/>
    <w:rsid w:val="7C807CF6"/>
    <w:rsid w:val="7CBA79A4"/>
    <w:rsid w:val="7D0F4C89"/>
    <w:rsid w:val="7D3210C8"/>
    <w:rsid w:val="7D385A74"/>
    <w:rsid w:val="7E03067F"/>
    <w:rsid w:val="7EAB1087"/>
    <w:rsid w:val="7F2E195D"/>
    <w:rsid w:val="7FC70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0"/>
    <w:pPr>
      <w:keepNext/>
      <w:keepLines/>
      <w:spacing w:line="360" w:lineRule="auto"/>
      <w:outlineLvl w:val="0"/>
    </w:pPr>
    <w:rPr>
      <w:b/>
      <w:kern w:val="44"/>
      <w:sz w:val="32"/>
    </w:rPr>
  </w:style>
  <w:style w:type="paragraph" w:styleId="3">
    <w:name w:val="heading 2"/>
    <w:basedOn w:val="1"/>
    <w:next w:val="4"/>
    <w:autoRedefine/>
    <w:qFormat/>
    <w:uiPriority w:val="0"/>
    <w:pPr>
      <w:keepNext/>
      <w:keepLines/>
      <w:spacing w:before="260" w:after="260" w:line="416" w:lineRule="auto"/>
      <w:jc w:val="left"/>
      <w:outlineLvl w:val="1"/>
    </w:pPr>
    <w:rPr>
      <w:rFonts w:ascii="Cambria" w:hAnsi="Cambria"/>
      <w:b/>
      <w:sz w:val="32"/>
    </w:rPr>
  </w:style>
  <w:style w:type="paragraph" w:styleId="5">
    <w:name w:val="heading 3"/>
    <w:basedOn w:val="1"/>
    <w:next w:val="1"/>
    <w:autoRedefine/>
    <w:qFormat/>
    <w:uiPriority w:val="0"/>
    <w:pPr>
      <w:keepNext/>
      <w:keepLines/>
      <w:spacing w:line="360" w:lineRule="auto"/>
      <w:outlineLvl w:val="2"/>
    </w:pPr>
    <w:rPr>
      <w:b/>
      <w:sz w:val="24"/>
    </w:rPr>
  </w:style>
  <w:style w:type="paragraph" w:styleId="6">
    <w:name w:val="heading 4"/>
    <w:basedOn w:val="1"/>
    <w:next w:val="1"/>
    <w:link w:val="43"/>
    <w:autoRedefine/>
    <w:qFormat/>
    <w:uiPriority w:val="0"/>
    <w:pPr>
      <w:keepNext/>
      <w:keepLines/>
      <w:spacing w:before="280" w:after="290" w:line="376" w:lineRule="auto"/>
      <w:outlineLvl w:val="3"/>
    </w:pPr>
    <w:rPr>
      <w:rFonts w:hint="default" w:ascii="Cambria" w:hAnsi="Cambria"/>
      <w:b/>
      <w:bCs/>
      <w:sz w:val="28"/>
      <w:szCs w:val="28"/>
      <w:lang w:val="zh-CN" w:eastAsia="zh-CN"/>
    </w:rPr>
  </w:style>
  <w:style w:type="paragraph" w:styleId="7">
    <w:name w:val="heading 5"/>
    <w:basedOn w:val="1"/>
    <w:next w:val="8"/>
    <w:link w:val="44"/>
    <w:autoRedefine/>
    <w:qFormat/>
    <w:uiPriority w:val="9"/>
    <w:pPr>
      <w:keepNext/>
      <w:keepLines/>
      <w:autoSpaceDE w:val="0"/>
      <w:autoSpaceDN w:val="0"/>
      <w:adjustRightInd w:val="0"/>
      <w:spacing w:before="100" w:beforeLines="50" w:beforeAutospacing="1" w:after="100" w:afterAutospacing="1" w:line="360" w:lineRule="auto"/>
      <w:jc w:val="left"/>
      <w:outlineLvl w:val="4"/>
    </w:pPr>
    <w:rPr>
      <w:rFonts w:hint="default" w:eastAsia="仿宋"/>
      <w:bCs/>
      <w:kern w:val="0"/>
      <w:sz w:val="24"/>
      <w:szCs w:val="28"/>
      <w:lang w:val="zh-CN" w:eastAsia="zh-CN"/>
    </w:rPr>
  </w:style>
  <w:style w:type="paragraph" w:styleId="9">
    <w:name w:val="heading 6"/>
    <w:basedOn w:val="1"/>
    <w:next w:val="1"/>
    <w:link w:val="50"/>
    <w:autoRedefine/>
    <w:qFormat/>
    <w:uiPriority w:val="0"/>
    <w:pPr>
      <w:keepNext/>
      <w:keepLines/>
      <w:autoSpaceDE w:val="0"/>
      <w:autoSpaceDN w:val="0"/>
      <w:adjustRightInd w:val="0"/>
      <w:spacing w:before="240" w:beforeLines="50" w:after="64" w:line="320" w:lineRule="atLeast"/>
      <w:jc w:val="left"/>
      <w:outlineLvl w:val="5"/>
    </w:pPr>
    <w:rPr>
      <w:rFonts w:hint="default" w:ascii="Arial" w:hAnsi="Arial" w:eastAsia="仿宋"/>
      <w:b/>
      <w:bCs/>
      <w:kern w:val="0"/>
      <w:sz w:val="20"/>
      <w:szCs w:val="24"/>
      <w:lang w:val="zh-CN" w:eastAsia="zh-CN"/>
    </w:rPr>
  </w:style>
  <w:style w:type="paragraph" w:styleId="10">
    <w:name w:val="heading 7"/>
    <w:basedOn w:val="1"/>
    <w:next w:val="1"/>
    <w:link w:val="54"/>
    <w:autoRedefine/>
    <w:qFormat/>
    <w:uiPriority w:val="0"/>
    <w:pPr>
      <w:keepNext/>
      <w:keepLines/>
      <w:autoSpaceDE w:val="0"/>
      <w:autoSpaceDN w:val="0"/>
      <w:adjustRightInd w:val="0"/>
      <w:spacing w:before="240" w:beforeLines="50" w:after="64" w:line="320" w:lineRule="atLeast"/>
      <w:jc w:val="left"/>
      <w:outlineLvl w:val="6"/>
    </w:pPr>
    <w:rPr>
      <w:rFonts w:hint="default" w:eastAsia="仿宋"/>
      <w:b/>
      <w:bCs/>
      <w:kern w:val="0"/>
      <w:sz w:val="20"/>
      <w:szCs w:val="24"/>
      <w:lang w:val="zh-CN" w:eastAsia="zh-CN"/>
    </w:rPr>
  </w:style>
  <w:style w:type="paragraph" w:styleId="11">
    <w:name w:val="heading 8"/>
    <w:basedOn w:val="1"/>
    <w:next w:val="1"/>
    <w:link w:val="52"/>
    <w:autoRedefine/>
    <w:qFormat/>
    <w:uiPriority w:val="0"/>
    <w:pPr>
      <w:keepNext/>
      <w:keepLines/>
      <w:autoSpaceDE w:val="0"/>
      <w:autoSpaceDN w:val="0"/>
      <w:adjustRightInd w:val="0"/>
      <w:spacing w:before="240" w:beforeLines="50" w:after="64" w:line="320" w:lineRule="atLeast"/>
      <w:jc w:val="left"/>
      <w:outlineLvl w:val="7"/>
    </w:pPr>
    <w:rPr>
      <w:rFonts w:hint="default" w:ascii="Arial" w:hAnsi="Arial" w:eastAsia="仿宋"/>
      <w:kern w:val="0"/>
      <w:sz w:val="20"/>
      <w:szCs w:val="24"/>
      <w:lang w:val="zh-CN" w:eastAsia="zh-CN"/>
    </w:rPr>
  </w:style>
  <w:style w:type="paragraph" w:styleId="12">
    <w:name w:val="heading 9"/>
    <w:basedOn w:val="1"/>
    <w:next w:val="1"/>
    <w:link w:val="45"/>
    <w:autoRedefine/>
    <w:qFormat/>
    <w:uiPriority w:val="0"/>
    <w:pPr>
      <w:keepNext/>
      <w:keepLines/>
      <w:autoSpaceDE w:val="0"/>
      <w:autoSpaceDN w:val="0"/>
      <w:adjustRightInd w:val="0"/>
      <w:spacing w:before="240" w:beforeLines="50" w:after="64" w:line="320" w:lineRule="atLeast"/>
      <w:jc w:val="left"/>
      <w:outlineLvl w:val="8"/>
    </w:pPr>
    <w:rPr>
      <w:rFonts w:hint="default" w:ascii="Arial" w:hAnsi="Arial" w:eastAsia="仿宋"/>
      <w:kern w:val="0"/>
      <w:szCs w:val="21"/>
      <w:lang w:val="zh-CN" w:eastAsia="zh-CN"/>
    </w:rPr>
  </w:style>
  <w:style w:type="character" w:default="1" w:styleId="35">
    <w:name w:val="Default Paragraph Font"/>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99"/>
    <w:pPr>
      <w:autoSpaceDE w:val="0"/>
      <w:autoSpaceDN w:val="0"/>
      <w:adjustRightInd w:val="0"/>
      <w:ind w:firstLine="420"/>
    </w:pPr>
    <w:rPr>
      <w:kern w:val="0"/>
      <w:szCs w:val="21"/>
    </w:rPr>
  </w:style>
  <w:style w:type="paragraph" w:styleId="8">
    <w:name w:val="Body Text Indent"/>
    <w:basedOn w:val="1"/>
    <w:autoRedefine/>
    <w:qFormat/>
    <w:uiPriority w:val="0"/>
    <w:pPr>
      <w:spacing w:line="360" w:lineRule="auto"/>
      <w:ind w:left="424" w:leftChars="202" w:firstLine="567"/>
    </w:pPr>
    <w:rPr>
      <w:sz w:val="24"/>
    </w:rPr>
  </w:style>
  <w:style w:type="paragraph" w:styleId="13">
    <w:name w:val="Document Map"/>
    <w:basedOn w:val="1"/>
    <w:link w:val="53"/>
    <w:qFormat/>
    <w:uiPriority w:val="0"/>
    <w:rPr>
      <w:rFonts w:hint="default" w:ascii="宋体"/>
      <w:sz w:val="18"/>
      <w:szCs w:val="18"/>
      <w:lang w:val="zh-CN" w:eastAsia="zh-CN"/>
    </w:rPr>
  </w:style>
  <w:style w:type="paragraph" w:styleId="14">
    <w:name w:val="annotation text"/>
    <w:basedOn w:val="1"/>
    <w:link w:val="60"/>
    <w:autoRedefine/>
    <w:qFormat/>
    <w:uiPriority w:val="0"/>
    <w:pPr>
      <w:jc w:val="left"/>
    </w:pPr>
    <w:rPr>
      <w:rFonts w:hint="default"/>
      <w:lang w:val="zh-CN" w:eastAsia="zh-CN"/>
    </w:rPr>
  </w:style>
  <w:style w:type="paragraph" w:styleId="15">
    <w:name w:val="Body Text 3"/>
    <w:basedOn w:val="1"/>
    <w:link w:val="65"/>
    <w:qFormat/>
    <w:uiPriority w:val="0"/>
    <w:pPr>
      <w:spacing w:after="120"/>
    </w:pPr>
    <w:rPr>
      <w:rFonts w:hint="default"/>
      <w:sz w:val="16"/>
      <w:szCs w:val="16"/>
      <w:lang w:val="zh-CN" w:eastAsia="zh-CN"/>
    </w:rPr>
  </w:style>
  <w:style w:type="paragraph" w:styleId="16">
    <w:name w:val="Body Text"/>
    <w:basedOn w:val="1"/>
    <w:next w:val="1"/>
    <w:link w:val="48"/>
    <w:qFormat/>
    <w:uiPriority w:val="0"/>
    <w:pPr>
      <w:jc w:val="center"/>
    </w:pPr>
    <w:rPr>
      <w:rFonts w:hint="default"/>
      <w:lang w:val="zh-CN" w:eastAsia="zh-CN"/>
    </w:rPr>
  </w:style>
  <w:style w:type="paragraph" w:styleId="17">
    <w:name w:val="Block Text"/>
    <w:basedOn w:val="1"/>
    <w:autoRedefine/>
    <w:unhideWhenUsed/>
    <w:qFormat/>
    <w:uiPriority w:val="99"/>
    <w:pPr>
      <w:ind w:left="1440" w:leftChars="700" w:right="700" w:rightChars="700"/>
    </w:pPr>
  </w:style>
  <w:style w:type="paragraph" w:styleId="18">
    <w:name w:val="toc 3"/>
    <w:basedOn w:val="1"/>
    <w:next w:val="1"/>
    <w:autoRedefine/>
    <w:qFormat/>
    <w:uiPriority w:val="39"/>
    <w:pPr>
      <w:ind w:left="840" w:leftChars="400"/>
    </w:pPr>
  </w:style>
  <w:style w:type="paragraph" w:styleId="19">
    <w:name w:val="Plain Text"/>
    <w:basedOn w:val="1"/>
    <w:autoRedefine/>
    <w:qFormat/>
    <w:uiPriority w:val="0"/>
    <w:rPr>
      <w:rFonts w:ascii="宋体" w:hAnsi="Courier New"/>
    </w:rPr>
  </w:style>
  <w:style w:type="paragraph" w:styleId="20">
    <w:name w:val="Date"/>
    <w:basedOn w:val="1"/>
    <w:next w:val="1"/>
    <w:link w:val="51"/>
    <w:autoRedefine/>
    <w:qFormat/>
    <w:uiPriority w:val="0"/>
    <w:pPr>
      <w:ind w:left="100" w:leftChars="2500"/>
    </w:pPr>
    <w:rPr>
      <w:rFonts w:hint="default"/>
      <w:lang w:val="zh-CN" w:eastAsia="zh-CN"/>
    </w:rPr>
  </w:style>
  <w:style w:type="paragraph" w:styleId="21">
    <w:name w:val="Body Text Indent 2"/>
    <w:basedOn w:val="1"/>
    <w:autoRedefine/>
    <w:qFormat/>
    <w:uiPriority w:val="0"/>
    <w:pPr>
      <w:spacing w:line="480" w:lineRule="exact"/>
      <w:ind w:left="-1"/>
    </w:pPr>
    <w:rPr>
      <w:sz w:val="24"/>
    </w:rPr>
  </w:style>
  <w:style w:type="paragraph" w:styleId="22">
    <w:name w:val="Balloon Text"/>
    <w:basedOn w:val="1"/>
    <w:link w:val="46"/>
    <w:autoRedefine/>
    <w:qFormat/>
    <w:uiPriority w:val="0"/>
    <w:rPr>
      <w:rFonts w:hint="default"/>
      <w:sz w:val="18"/>
      <w:szCs w:val="18"/>
      <w:lang w:val="zh-CN" w:eastAsia="zh-CN"/>
    </w:rPr>
  </w:style>
  <w:style w:type="paragraph" w:styleId="23">
    <w:name w:val="footer"/>
    <w:basedOn w:val="1"/>
    <w:link w:val="55"/>
    <w:autoRedefine/>
    <w:qFormat/>
    <w:uiPriority w:val="0"/>
    <w:pPr>
      <w:tabs>
        <w:tab w:val="center" w:pos="4153"/>
        <w:tab w:val="right" w:pos="8306"/>
      </w:tabs>
      <w:snapToGrid w:val="0"/>
      <w:jc w:val="left"/>
    </w:pPr>
    <w:rPr>
      <w:rFonts w:hint="default"/>
      <w:sz w:val="18"/>
      <w:lang w:val="zh-CN" w:eastAsia="zh-CN"/>
    </w:rPr>
  </w:style>
  <w:style w:type="paragraph" w:styleId="24">
    <w:name w:val="envelope return"/>
    <w:basedOn w:val="1"/>
    <w:autoRedefine/>
    <w:qFormat/>
    <w:uiPriority w:val="0"/>
    <w:pPr>
      <w:snapToGrid w:val="0"/>
    </w:pPr>
    <w:rPr>
      <w:rFonts w:ascii="Arial" w:hAnsi="Arial"/>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rPr>
  </w:style>
  <w:style w:type="paragraph" w:styleId="26">
    <w:name w:val="toc 1"/>
    <w:basedOn w:val="1"/>
    <w:next w:val="1"/>
    <w:autoRedefine/>
    <w:qFormat/>
    <w:uiPriority w:val="39"/>
  </w:style>
  <w:style w:type="paragraph" w:styleId="27">
    <w:name w:val="Body Text Indent 3"/>
    <w:basedOn w:val="1"/>
    <w:autoRedefine/>
    <w:qFormat/>
    <w:uiPriority w:val="0"/>
    <w:pPr>
      <w:spacing w:line="360" w:lineRule="auto"/>
      <w:ind w:left="420" w:firstLine="480"/>
    </w:pPr>
    <w:rPr>
      <w:rFonts w:ascii="宋体" w:hAnsi="宋体"/>
      <w:sz w:val="24"/>
    </w:rPr>
  </w:style>
  <w:style w:type="paragraph" w:styleId="28">
    <w:name w:val="toc 2"/>
    <w:basedOn w:val="1"/>
    <w:next w:val="1"/>
    <w:autoRedefine/>
    <w:qFormat/>
    <w:uiPriority w:val="39"/>
    <w:pPr>
      <w:ind w:left="420" w:leftChars="200"/>
    </w:pPr>
  </w:style>
  <w:style w:type="paragraph" w:styleId="29">
    <w:name w:val="Normal (Web)"/>
    <w:basedOn w:val="1"/>
    <w:next w:val="24"/>
    <w:autoRedefine/>
    <w:qFormat/>
    <w:uiPriority w:val="99"/>
    <w:pPr>
      <w:widowControl/>
      <w:spacing w:before="100" w:beforeAutospacing="1" w:after="100" w:afterAutospacing="1"/>
      <w:jc w:val="left"/>
    </w:pPr>
    <w:rPr>
      <w:rFonts w:ascii="宋体" w:hAnsi="宋体"/>
      <w:sz w:val="24"/>
    </w:rPr>
  </w:style>
  <w:style w:type="paragraph" w:styleId="30">
    <w:name w:val="annotation subject"/>
    <w:basedOn w:val="14"/>
    <w:next w:val="14"/>
    <w:link w:val="61"/>
    <w:autoRedefine/>
    <w:qFormat/>
    <w:uiPriority w:val="0"/>
    <w:rPr>
      <w:b/>
      <w:bCs/>
    </w:rPr>
  </w:style>
  <w:style w:type="paragraph" w:styleId="31">
    <w:name w:val="Body Text First Indent"/>
    <w:basedOn w:val="16"/>
    <w:qFormat/>
    <w:uiPriority w:val="0"/>
    <w:pPr>
      <w:spacing w:after="120"/>
      <w:ind w:firstLine="420" w:firstLineChars="100"/>
      <w:jc w:val="both"/>
    </w:pPr>
  </w:style>
  <w:style w:type="paragraph" w:styleId="32">
    <w:name w:val="Body Text First Indent 2"/>
    <w:basedOn w:val="8"/>
    <w:next w:val="1"/>
    <w:autoRedefine/>
    <w:qFormat/>
    <w:uiPriority w:val="0"/>
    <w:pPr>
      <w:adjustRightInd w:val="0"/>
      <w:spacing w:after="80"/>
      <w:textAlignment w:val="baseline"/>
    </w:pPr>
    <w:rPr>
      <w:rFonts w:ascii="宋体" w:hAnsi="宋体"/>
      <w:color w:val="000000"/>
      <w:kern w:val="0"/>
      <w:szCs w:val="20"/>
    </w:rPr>
  </w:style>
  <w:style w:type="table" w:styleId="34">
    <w:name w:val="Table Grid"/>
    <w:basedOn w:val="33"/>
    <w:autoRedefine/>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22"/>
    <w:rPr>
      <w:rFonts w:hint="default" w:ascii="Times New Roman" w:hAnsi="Times New Roman" w:eastAsia="宋体"/>
      <w:b/>
      <w:sz w:val="24"/>
    </w:rPr>
  </w:style>
  <w:style w:type="character" w:styleId="37">
    <w:name w:val="page number"/>
    <w:basedOn w:val="35"/>
    <w:autoRedefine/>
    <w:qFormat/>
    <w:uiPriority w:val="0"/>
  </w:style>
  <w:style w:type="character" w:styleId="38">
    <w:name w:val="FollowedHyperlink"/>
    <w:basedOn w:val="35"/>
    <w:autoRedefine/>
    <w:qFormat/>
    <w:uiPriority w:val="0"/>
    <w:rPr>
      <w:color w:val="800080"/>
      <w:u w:val="none"/>
    </w:rPr>
  </w:style>
  <w:style w:type="character" w:styleId="39">
    <w:name w:val="Emphasis"/>
    <w:basedOn w:val="35"/>
    <w:qFormat/>
    <w:uiPriority w:val="0"/>
  </w:style>
  <w:style w:type="character" w:styleId="40">
    <w:name w:val="Hyperlink"/>
    <w:qFormat/>
    <w:uiPriority w:val="99"/>
    <w:rPr>
      <w:rFonts w:hint="default" w:ascii="Times New Roman" w:hAnsi="Times New Roman" w:eastAsia="宋体"/>
      <w:color w:val="0000FF"/>
      <w:sz w:val="24"/>
      <w:u w:val="single"/>
    </w:rPr>
  </w:style>
  <w:style w:type="character" w:styleId="41">
    <w:name w:val="annotation reference"/>
    <w:autoRedefine/>
    <w:qFormat/>
    <w:uiPriority w:val="0"/>
    <w:rPr>
      <w:sz w:val="21"/>
      <w:szCs w:val="21"/>
    </w:rPr>
  </w:style>
  <w:style w:type="character" w:customStyle="1" w:styleId="42">
    <w:name w:val="已访问的超链接1"/>
    <w:autoRedefine/>
    <w:qFormat/>
    <w:uiPriority w:val="0"/>
    <w:rPr>
      <w:color w:val="800080"/>
      <w:u w:val="single"/>
    </w:rPr>
  </w:style>
  <w:style w:type="character" w:customStyle="1" w:styleId="43">
    <w:name w:val="标题 4 字符"/>
    <w:link w:val="6"/>
    <w:autoRedefine/>
    <w:semiHidden/>
    <w:qFormat/>
    <w:uiPriority w:val="0"/>
    <w:rPr>
      <w:rFonts w:ascii="Cambria" w:hAnsi="Cambria" w:eastAsia="宋体" w:cs="Times New Roman"/>
      <w:b/>
      <w:bCs/>
      <w:kern w:val="2"/>
      <w:sz w:val="28"/>
      <w:szCs w:val="28"/>
    </w:rPr>
  </w:style>
  <w:style w:type="character" w:customStyle="1" w:styleId="44">
    <w:name w:val="标题 5 字符"/>
    <w:link w:val="7"/>
    <w:autoRedefine/>
    <w:qFormat/>
    <w:uiPriority w:val="9"/>
    <w:rPr>
      <w:rFonts w:ascii="Times New Roman" w:hAnsi="Times New Roman" w:eastAsia="仿宋"/>
      <w:bCs/>
      <w:sz w:val="24"/>
      <w:szCs w:val="28"/>
    </w:rPr>
  </w:style>
  <w:style w:type="character" w:customStyle="1" w:styleId="45">
    <w:name w:val="标题 9 字符"/>
    <w:link w:val="12"/>
    <w:autoRedefine/>
    <w:qFormat/>
    <w:uiPriority w:val="0"/>
    <w:rPr>
      <w:rFonts w:ascii="Arial" w:hAnsi="Arial" w:eastAsia="仿宋" w:cs="Arial"/>
      <w:sz w:val="21"/>
      <w:szCs w:val="21"/>
    </w:rPr>
  </w:style>
  <w:style w:type="character" w:customStyle="1" w:styleId="46">
    <w:name w:val="批注框文本 字符"/>
    <w:link w:val="22"/>
    <w:autoRedefine/>
    <w:qFormat/>
    <w:uiPriority w:val="0"/>
    <w:rPr>
      <w:rFonts w:ascii="Times New Roman" w:hAnsi="Times New Roman"/>
      <w:kern w:val="2"/>
      <w:sz w:val="18"/>
      <w:szCs w:val="18"/>
    </w:rPr>
  </w:style>
  <w:style w:type="character" w:customStyle="1" w:styleId="47">
    <w:name w:val="正文首行缩进 Char"/>
    <w:basedOn w:val="48"/>
    <w:link w:val="49"/>
    <w:autoRedefine/>
    <w:qFormat/>
    <w:uiPriority w:val="0"/>
    <w:rPr>
      <w:rFonts w:ascii="Times New Roman" w:hAnsi="Times New Roman"/>
      <w:kern w:val="2"/>
      <w:sz w:val="21"/>
      <w:szCs w:val="22"/>
    </w:rPr>
  </w:style>
  <w:style w:type="character" w:customStyle="1" w:styleId="48">
    <w:name w:val="正文文本 字符"/>
    <w:link w:val="16"/>
    <w:autoRedefine/>
    <w:qFormat/>
    <w:uiPriority w:val="0"/>
    <w:rPr>
      <w:rFonts w:ascii="Times New Roman" w:hAnsi="Times New Roman"/>
      <w:kern w:val="2"/>
      <w:sz w:val="21"/>
      <w:szCs w:val="22"/>
    </w:rPr>
  </w:style>
  <w:style w:type="paragraph" w:customStyle="1" w:styleId="49">
    <w:name w:val="正文首行缩进1"/>
    <w:basedOn w:val="16"/>
    <w:link w:val="47"/>
    <w:autoRedefine/>
    <w:qFormat/>
    <w:uiPriority w:val="0"/>
    <w:pPr>
      <w:spacing w:after="120"/>
      <w:ind w:firstLine="420" w:firstLineChars="100"/>
      <w:jc w:val="both"/>
    </w:pPr>
  </w:style>
  <w:style w:type="character" w:customStyle="1" w:styleId="50">
    <w:name w:val="标题 6 字符"/>
    <w:link w:val="9"/>
    <w:autoRedefine/>
    <w:qFormat/>
    <w:uiPriority w:val="0"/>
    <w:rPr>
      <w:rFonts w:ascii="Arial" w:hAnsi="Arial" w:eastAsia="仿宋" w:cs="Arial"/>
      <w:b/>
      <w:bCs/>
      <w:szCs w:val="24"/>
    </w:rPr>
  </w:style>
  <w:style w:type="character" w:customStyle="1" w:styleId="51">
    <w:name w:val="日期 字符1"/>
    <w:link w:val="20"/>
    <w:autoRedefine/>
    <w:qFormat/>
    <w:uiPriority w:val="0"/>
    <w:rPr>
      <w:rFonts w:ascii="Times New Roman" w:hAnsi="Times New Roman"/>
      <w:kern w:val="2"/>
      <w:sz w:val="21"/>
      <w:szCs w:val="22"/>
    </w:rPr>
  </w:style>
  <w:style w:type="character" w:customStyle="1" w:styleId="52">
    <w:name w:val="标题 8 字符"/>
    <w:link w:val="11"/>
    <w:autoRedefine/>
    <w:qFormat/>
    <w:uiPriority w:val="0"/>
    <w:rPr>
      <w:rFonts w:ascii="Arial" w:hAnsi="Arial" w:eastAsia="仿宋" w:cs="Arial"/>
      <w:szCs w:val="24"/>
    </w:rPr>
  </w:style>
  <w:style w:type="character" w:customStyle="1" w:styleId="53">
    <w:name w:val="文档结构图 字符"/>
    <w:link w:val="13"/>
    <w:autoRedefine/>
    <w:qFormat/>
    <w:uiPriority w:val="0"/>
    <w:rPr>
      <w:rFonts w:ascii="宋体" w:hAnsi="Times New Roman"/>
      <w:kern w:val="2"/>
      <w:sz w:val="18"/>
      <w:szCs w:val="18"/>
    </w:rPr>
  </w:style>
  <w:style w:type="character" w:customStyle="1" w:styleId="54">
    <w:name w:val="标题 7 字符"/>
    <w:link w:val="10"/>
    <w:qFormat/>
    <w:uiPriority w:val="0"/>
    <w:rPr>
      <w:rFonts w:ascii="Times New Roman" w:hAnsi="Times New Roman" w:eastAsia="仿宋"/>
      <w:b/>
      <w:bCs/>
      <w:szCs w:val="24"/>
    </w:rPr>
  </w:style>
  <w:style w:type="character" w:customStyle="1" w:styleId="55">
    <w:name w:val="页脚 字符"/>
    <w:link w:val="23"/>
    <w:qFormat/>
    <w:uiPriority w:val="0"/>
    <w:rPr>
      <w:rFonts w:ascii="Times New Roman" w:hAnsi="Times New Roman"/>
      <w:kern w:val="2"/>
      <w:sz w:val="18"/>
      <w:szCs w:val="22"/>
    </w:rPr>
  </w:style>
  <w:style w:type="character" w:customStyle="1" w:styleId="56">
    <w:name w:val="正文3 Char"/>
    <w:link w:val="57"/>
    <w:autoRedefine/>
    <w:qFormat/>
    <w:uiPriority w:val="0"/>
    <w:rPr>
      <w:rFonts w:ascii="仿宋" w:hAnsi="仿宋" w:eastAsia="仿宋"/>
      <w:sz w:val="24"/>
      <w:szCs w:val="28"/>
    </w:rPr>
  </w:style>
  <w:style w:type="paragraph" w:customStyle="1" w:styleId="57">
    <w:name w:val="正文3"/>
    <w:basedOn w:val="49"/>
    <w:link w:val="56"/>
    <w:autoRedefine/>
    <w:qFormat/>
    <w:uiPriority w:val="0"/>
    <w:pPr>
      <w:autoSpaceDE w:val="0"/>
      <w:autoSpaceDN w:val="0"/>
      <w:adjustRightInd w:val="0"/>
      <w:spacing w:after="0" w:line="360" w:lineRule="auto"/>
      <w:ind w:firstLine="200" w:firstLineChars="200"/>
      <w:jc w:val="left"/>
    </w:pPr>
    <w:rPr>
      <w:rFonts w:ascii="仿宋" w:hAnsi="仿宋" w:eastAsia="仿宋"/>
      <w:kern w:val="0"/>
      <w:sz w:val="24"/>
      <w:szCs w:val="28"/>
    </w:rPr>
  </w:style>
  <w:style w:type="character" w:customStyle="1" w:styleId="58">
    <w:name w:val="标题55 Char"/>
    <w:link w:val="59"/>
    <w:qFormat/>
    <w:uiPriority w:val="0"/>
    <w:rPr>
      <w:rFonts w:ascii="Times New Roman" w:hAnsi="Times New Roman" w:eastAsia="仿宋"/>
      <w:b/>
      <w:bCs/>
      <w:sz w:val="28"/>
      <w:szCs w:val="28"/>
    </w:rPr>
  </w:style>
  <w:style w:type="paragraph" w:customStyle="1" w:styleId="59">
    <w:name w:val="标题55"/>
    <w:basedOn w:val="7"/>
    <w:next w:val="57"/>
    <w:link w:val="58"/>
    <w:autoRedefine/>
    <w:qFormat/>
    <w:uiPriority w:val="0"/>
    <w:pPr>
      <w:spacing w:before="50" w:beforeAutospacing="0"/>
    </w:pPr>
    <w:rPr>
      <w:b/>
      <w:sz w:val="28"/>
    </w:rPr>
  </w:style>
  <w:style w:type="character" w:customStyle="1" w:styleId="60">
    <w:name w:val="批注文字 字符"/>
    <w:link w:val="14"/>
    <w:qFormat/>
    <w:uiPriority w:val="0"/>
    <w:rPr>
      <w:rFonts w:ascii="Times New Roman" w:hAnsi="Times New Roman"/>
      <w:kern w:val="2"/>
      <w:sz w:val="21"/>
      <w:szCs w:val="22"/>
    </w:rPr>
  </w:style>
  <w:style w:type="character" w:customStyle="1" w:styleId="61">
    <w:name w:val="批注主题 字符"/>
    <w:link w:val="30"/>
    <w:qFormat/>
    <w:uiPriority w:val="0"/>
    <w:rPr>
      <w:rFonts w:ascii="Times New Roman" w:hAnsi="Times New Roman"/>
      <w:b/>
      <w:bCs/>
      <w:kern w:val="2"/>
      <w:sz w:val="21"/>
      <w:szCs w:val="22"/>
    </w:rPr>
  </w:style>
  <w:style w:type="character" w:customStyle="1" w:styleId="62">
    <w:name w:val="日期 字符"/>
    <w:autoRedefine/>
    <w:qFormat/>
    <w:uiPriority w:val="0"/>
    <w:rPr>
      <w:kern w:val="2"/>
      <w:sz w:val="21"/>
      <w:szCs w:val="24"/>
      <w:lang w:bidi="ar-SA"/>
    </w:rPr>
  </w:style>
  <w:style w:type="character" w:customStyle="1" w:styleId="63">
    <w:name w:val="06-正文 Char"/>
    <w:link w:val="64"/>
    <w:autoRedefine/>
    <w:qFormat/>
    <w:locked/>
    <w:uiPriority w:val="0"/>
    <w:rPr>
      <w:rFonts w:ascii="Arial" w:hAnsi="Arial"/>
      <w:sz w:val="24"/>
    </w:rPr>
  </w:style>
  <w:style w:type="paragraph" w:customStyle="1" w:styleId="64">
    <w:name w:val="06-正文"/>
    <w:basedOn w:val="1"/>
    <w:link w:val="63"/>
    <w:qFormat/>
    <w:uiPriority w:val="0"/>
    <w:pPr>
      <w:ind w:firstLine="480" w:firstLineChars="200"/>
    </w:pPr>
    <w:rPr>
      <w:rFonts w:hint="default" w:ascii="Arial" w:hAnsi="Arial"/>
      <w:kern w:val="0"/>
      <w:sz w:val="24"/>
      <w:szCs w:val="20"/>
      <w:lang w:val="zh-CN" w:eastAsia="zh-CN"/>
    </w:rPr>
  </w:style>
  <w:style w:type="character" w:customStyle="1" w:styleId="65">
    <w:name w:val="正文文本 3 字符"/>
    <w:link w:val="15"/>
    <w:autoRedefine/>
    <w:qFormat/>
    <w:uiPriority w:val="0"/>
    <w:rPr>
      <w:rFonts w:ascii="Times New Roman" w:hAnsi="Times New Roman"/>
      <w:kern w:val="2"/>
      <w:sz w:val="16"/>
      <w:szCs w:val="16"/>
    </w:rPr>
  </w:style>
  <w:style w:type="paragraph" w:customStyle="1" w:styleId="66">
    <w:name w:val="目录 21"/>
    <w:basedOn w:val="1"/>
    <w:next w:val="1"/>
    <w:qFormat/>
    <w:uiPriority w:val="39"/>
    <w:pPr>
      <w:ind w:left="210"/>
      <w:jc w:val="left"/>
    </w:pPr>
    <w:rPr>
      <w:rFonts w:ascii="Calibri" w:hAnsi="Calibri"/>
      <w:smallCaps/>
      <w:sz w:val="20"/>
    </w:rPr>
  </w:style>
  <w:style w:type="paragraph" w:customStyle="1" w:styleId="67">
    <w:name w:val="目录 31"/>
    <w:basedOn w:val="1"/>
    <w:next w:val="1"/>
    <w:autoRedefine/>
    <w:qFormat/>
    <w:uiPriority w:val="39"/>
    <w:pPr>
      <w:ind w:left="840" w:leftChars="400"/>
    </w:pPr>
  </w:style>
  <w:style w:type="paragraph" w:customStyle="1" w:styleId="68">
    <w:name w:val="目录 11"/>
    <w:basedOn w:val="1"/>
    <w:next w:val="1"/>
    <w:autoRedefine/>
    <w:qFormat/>
    <w:uiPriority w:val="39"/>
    <w:pPr>
      <w:spacing w:before="120" w:after="120"/>
      <w:jc w:val="left"/>
    </w:pPr>
    <w:rPr>
      <w:rFonts w:ascii="Calibri" w:hAnsi="Calibri"/>
      <w:b/>
      <w:caps/>
      <w:sz w:val="20"/>
    </w:rPr>
  </w:style>
  <w:style w:type="paragraph" w:customStyle="1" w:styleId="69">
    <w:name w:val="列表段落1"/>
    <w:basedOn w:val="1"/>
    <w:autoRedefine/>
    <w:qFormat/>
    <w:uiPriority w:val="34"/>
    <w:pPr>
      <w:ind w:firstLine="420" w:firstLineChars="200"/>
    </w:pPr>
  </w:style>
  <w:style w:type="paragraph" w:customStyle="1" w:styleId="70">
    <w:name w:val="目录"/>
    <w:basedOn w:val="1"/>
    <w:unhideWhenUsed/>
    <w:qFormat/>
    <w:uiPriority w:val="99"/>
    <w:pPr>
      <w:widowControl/>
      <w:jc w:val="center"/>
    </w:pPr>
    <w:rPr>
      <w:rFonts w:ascii="宋体"/>
      <w:b/>
      <w:sz w:val="36"/>
    </w:rPr>
  </w:style>
  <w:style w:type="paragraph" w:customStyle="1" w:styleId="71">
    <w:name w:val="Char Char Char Char Char Char Char Char Char Char Char Char Char Char Char1 Char"/>
    <w:basedOn w:val="1"/>
    <w:autoRedefine/>
    <w:qFormat/>
    <w:uiPriority w:val="0"/>
    <w:pPr>
      <w:adjustRightInd w:val="0"/>
      <w:spacing w:line="312" w:lineRule="atLeast"/>
      <w:textAlignment w:val="baseline"/>
    </w:pPr>
    <w:rPr>
      <w:rFonts w:hint="default"/>
      <w:b/>
      <w:bCs/>
      <w:kern w:val="0"/>
      <w:sz w:val="36"/>
      <w:szCs w:val="32"/>
    </w:rPr>
  </w:style>
  <w:style w:type="paragraph" w:customStyle="1" w:styleId="72">
    <w:name w:val="节"/>
    <w:basedOn w:val="3"/>
    <w:autoRedefine/>
    <w:qFormat/>
    <w:uiPriority w:val="0"/>
    <w:pPr>
      <w:numPr>
        <w:ilvl w:val="1"/>
        <w:numId w:val="1"/>
      </w:numPr>
      <w:tabs>
        <w:tab w:val="left" w:pos="576"/>
      </w:tabs>
      <w:spacing w:line="240" w:lineRule="auto"/>
      <w:jc w:val="both"/>
    </w:pPr>
    <w:rPr>
      <w:rFonts w:hint="default" w:ascii="黑体" w:hAnsi="Arial" w:eastAsia="黑体"/>
      <w:b w:val="0"/>
      <w:bCs/>
      <w:sz w:val="28"/>
      <w:szCs w:val="28"/>
    </w:rPr>
  </w:style>
  <w:style w:type="paragraph" w:customStyle="1" w:styleId="73">
    <w:name w:val="列出段落"/>
    <w:basedOn w:val="1"/>
    <w:qFormat/>
    <w:uiPriority w:val="34"/>
    <w:pPr>
      <w:ind w:firstLine="420" w:firstLineChars="200"/>
    </w:pPr>
    <w:rPr>
      <w:rFonts w:hint="default" w:ascii="Calibri" w:hAnsi="Calibri"/>
    </w:rPr>
  </w:style>
  <w:style w:type="paragraph" w:customStyle="1" w:styleId="74">
    <w:name w:val="Char Char Char Char Char Char Char Char Char Char Char1 Char Char Char Char Char Char Char Char Char Char Char Char"/>
    <w:basedOn w:val="1"/>
    <w:autoRedefine/>
    <w:qFormat/>
    <w:uiPriority w:val="0"/>
    <w:rPr>
      <w:rFonts w:hint="default"/>
      <w:szCs w:val="20"/>
    </w:rPr>
  </w:style>
  <w:style w:type="paragraph" w:customStyle="1" w:styleId="75">
    <w:name w:val="_Style 3"/>
    <w:basedOn w:val="1"/>
    <w:autoRedefine/>
    <w:qFormat/>
    <w:uiPriority w:val="34"/>
    <w:pPr>
      <w:ind w:firstLine="420" w:firstLineChars="200"/>
    </w:pPr>
    <w:rPr>
      <w:rFonts w:hint="default" w:ascii="Calibri" w:hAnsi="Calibri"/>
    </w:rPr>
  </w:style>
  <w:style w:type="paragraph" w:customStyle="1" w:styleId="76">
    <w:name w:val="正文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
    <w:name w:val="_Style 43"/>
    <w:basedOn w:val="13"/>
    <w:qFormat/>
    <w:uiPriority w:val="0"/>
    <w:pPr>
      <w:shd w:val="clear" w:color="auto" w:fill="000080"/>
    </w:pPr>
    <w:rPr>
      <w:rFonts w:ascii="Tahoma" w:hAnsi="Tahoma"/>
      <w:sz w:val="24"/>
      <w:szCs w:val="24"/>
    </w:rPr>
  </w:style>
  <w:style w:type="paragraph" w:customStyle="1" w:styleId="78">
    <w:name w:val="缩进正文"/>
    <w:autoRedefine/>
    <w:qFormat/>
    <w:uiPriority w:val="0"/>
    <w:pPr>
      <w:spacing w:line="300" w:lineRule="auto"/>
      <w:ind w:firstLine="200" w:firstLineChars="200"/>
    </w:pPr>
    <w:rPr>
      <w:rFonts w:ascii="Times New Roman" w:hAnsi="Times New Roman" w:eastAsia="宋体" w:cs="Times New Roman"/>
      <w:sz w:val="28"/>
      <w:lang w:val="en-US" w:eastAsia="zh-CN" w:bidi="ar-SA"/>
    </w:rPr>
  </w:style>
  <w:style w:type="paragraph" w:customStyle="1" w:styleId="79">
    <w:name w:val="p17"/>
    <w:basedOn w:val="1"/>
    <w:qFormat/>
    <w:uiPriority w:val="0"/>
    <w:pPr>
      <w:widowControl/>
      <w:ind w:firstLine="420"/>
    </w:pPr>
    <w:rPr>
      <w:rFonts w:hint="default"/>
      <w:kern w:val="0"/>
      <w:szCs w:val="21"/>
    </w:rPr>
  </w:style>
  <w:style w:type="paragraph" w:customStyle="1" w:styleId="80">
    <w:name w:val="p18"/>
    <w:basedOn w:val="1"/>
    <w:qFormat/>
    <w:uiPriority w:val="0"/>
    <w:pPr>
      <w:widowControl/>
      <w:spacing w:line="360" w:lineRule="auto"/>
      <w:ind w:firstLine="420"/>
    </w:pPr>
    <w:rPr>
      <w:rFonts w:hint="default" w:ascii="Arial" w:hAnsi="Arial" w:eastAsia="Adobe 仿宋 Std R" w:cs="Arial"/>
      <w:kern w:val="0"/>
      <w:sz w:val="24"/>
      <w:szCs w:val="24"/>
    </w:rPr>
  </w:style>
  <w:style w:type="paragraph" w:customStyle="1" w:styleId="81">
    <w:name w:val="bt1bt1"/>
    <w:basedOn w:val="2"/>
    <w:autoRedefine/>
    <w:qFormat/>
    <w:uiPriority w:val="0"/>
    <w:pPr>
      <w:spacing w:before="340" w:after="330" w:line="240" w:lineRule="auto"/>
      <w:jc w:val="center"/>
    </w:pPr>
    <w:rPr>
      <w:rFonts w:hint="default" w:ascii="黑体" w:eastAsia="黑体"/>
      <w:b w:val="0"/>
      <w:bCs/>
      <w:sz w:val="36"/>
      <w:szCs w:val="36"/>
    </w:rPr>
  </w:style>
  <w:style w:type="paragraph" w:styleId="82">
    <w:name w:val="List Paragraph"/>
    <w:basedOn w:val="1"/>
    <w:autoRedefine/>
    <w:qFormat/>
    <w:uiPriority w:val="34"/>
    <w:pPr>
      <w:ind w:firstLine="420" w:firstLineChars="200"/>
    </w:pPr>
  </w:style>
  <w:style w:type="paragraph" w:customStyle="1" w:styleId="83">
    <w:name w:val="Default"/>
    <w:basedOn w:val="1"/>
    <w:autoRedefine/>
    <w:qFormat/>
    <w:uiPriority w:val="99"/>
    <w:pPr>
      <w:autoSpaceDE w:val="0"/>
      <w:autoSpaceDN w:val="0"/>
      <w:jc w:val="left"/>
    </w:pPr>
    <w:rPr>
      <w:rFonts w:hint="eastAsia" w:ascii="宋体" w:hAnsi="Times New Roman"/>
      <w:color w:val="000000"/>
      <w:kern w:val="0"/>
      <w:sz w:val="24"/>
      <w:szCs w:val="24"/>
    </w:rPr>
  </w:style>
  <w:style w:type="paragraph" w:customStyle="1" w:styleId="84">
    <w:name w:val="Body text|21"/>
    <w:basedOn w:val="1"/>
    <w:autoRedefine/>
    <w:qFormat/>
    <w:uiPriority w:val="0"/>
    <w:pPr>
      <w:widowControl w:val="0"/>
      <w:shd w:val="clear" w:color="auto" w:fill="FFFFFF"/>
      <w:spacing w:before="620" w:after="1520" w:line="280" w:lineRule="exact"/>
      <w:jc w:val="center"/>
    </w:pPr>
    <w:rPr>
      <w:rFonts w:ascii="PMingLiU" w:hAnsi="PMingLiU" w:eastAsia="PMingLiU" w:cs="PMingLiU"/>
      <w:spacing w:val="30"/>
      <w:sz w:val="28"/>
      <w:szCs w:val="28"/>
      <w:u w:val="none"/>
    </w:rPr>
  </w:style>
  <w:style w:type="character" w:customStyle="1" w:styleId="85">
    <w:name w:val="Table caption|2 + 10.5 pt"/>
    <w:basedOn w:val="86"/>
    <w:autoRedefine/>
    <w:semiHidden/>
    <w:unhideWhenUsed/>
    <w:qFormat/>
    <w:uiPriority w:val="0"/>
    <w:rPr>
      <w:color w:val="000000"/>
      <w:spacing w:val="0"/>
      <w:w w:val="120"/>
      <w:position w:val="0"/>
      <w:sz w:val="21"/>
      <w:szCs w:val="21"/>
      <w:lang w:val="zh-CN" w:eastAsia="zh-CN" w:bidi="zh-CN"/>
    </w:rPr>
  </w:style>
  <w:style w:type="character" w:customStyle="1" w:styleId="86">
    <w:name w:val="Table caption|2_"/>
    <w:basedOn w:val="35"/>
    <w:link w:val="87"/>
    <w:qFormat/>
    <w:uiPriority w:val="0"/>
    <w:rPr>
      <w:rFonts w:ascii="PMingLiU" w:hAnsi="PMingLiU" w:eastAsia="PMingLiU" w:cs="PMingLiU"/>
      <w:spacing w:val="30"/>
      <w:sz w:val="28"/>
      <w:szCs w:val="28"/>
      <w:u w:val="none"/>
    </w:rPr>
  </w:style>
  <w:style w:type="paragraph" w:customStyle="1" w:styleId="87">
    <w:name w:val="Table caption|2"/>
    <w:basedOn w:val="1"/>
    <w:link w:val="86"/>
    <w:autoRedefine/>
    <w:qFormat/>
    <w:uiPriority w:val="0"/>
    <w:pPr>
      <w:widowControl w:val="0"/>
      <w:shd w:val="clear" w:color="auto" w:fill="FFFFFF"/>
      <w:spacing w:after="320" w:line="280" w:lineRule="exact"/>
    </w:pPr>
    <w:rPr>
      <w:rFonts w:ascii="PMingLiU" w:hAnsi="PMingLiU" w:eastAsia="PMingLiU" w:cs="PMingLiU"/>
      <w:spacing w:val="30"/>
      <w:sz w:val="28"/>
      <w:szCs w:val="28"/>
      <w:u w:val="none"/>
    </w:rPr>
  </w:style>
  <w:style w:type="character" w:customStyle="1" w:styleId="88">
    <w:name w:val="font31"/>
    <w:basedOn w:val="35"/>
    <w:autoRedefine/>
    <w:qFormat/>
    <w:uiPriority w:val="0"/>
    <w:rPr>
      <w:rFonts w:hint="eastAsia" w:ascii="宋体" w:hAnsi="宋体" w:eastAsia="宋体" w:cs="宋体"/>
      <w:color w:val="000000"/>
      <w:sz w:val="20"/>
      <w:szCs w:val="20"/>
      <w:u w:val="none"/>
    </w:rPr>
  </w:style>
  <w:style w:type="character" w:customStyle="1" w:styleId="89">
    <w:name w:val="font11"/>
    <w:basedOn w:val="35"/>
    <w:qFormat/>
    <w:uiPriority w:val="0"/>
    <w:rPr>
      <w:rFonts w:hint="eastAsia" w:ascii="宋体" w:hAnsi="宋体" w:eastAsia="宋体" w:cs="宋体"/>
      <w:color w:val="000000"/>
      <w:sz w:val="20"/>
      <w:szCs w:val="20"/>
      <w:u w:val="none"/>
      <w:vertAlign w:val="subscript"/>
    </w:rPr>
  </w:style>
  <w:style w:type="character" w:customStyle="1" w:styleId="90">
    <w:name w:val="input-direction"/>
    <w:basedOn w:val="35"/>
    <w:autoRedefine/>
    <w:qFormat/>
    <w:uiPriority w:val="0"/>
    <w:rPr>
      <w:color w:val="FF6600"/>
    </w:rPr>
  </w:style>
  <w:style w:type="character" w:customStyle="1" w:styleId="91">
    <w:name w:val="number"/>
    <w:basedOn w:val="35"/>
    <w:autoRedefine/>
    <w:qFormat/>
    <w:uiPriority w:val="0"/>
    <w:rPr>
      <w:color w:val="FF8833"/>
      <w:sz w:val="18"/>
      <w:szCs w:val="18"/>
    </w:rPr>
  </w:style>
  <w:style w:type="character" w:customStyle="1" w:styleId="92">
    <w:name w:val="span-long"/>
    <w:basedOn w:val="35"/>
    <w:autoRedefine/>
    <w:qFormat/>
    <w:uiPriority w:val="0"/>
  </w:style>
  <w:style w:type="character" w:customStyle="1" w:styleId="93">
    <w:name w:val="proollist"/>
    <w:basedOn w:val="35"/>
    <w:autoRedefine/>
    <w:qFormat/>
    <w:uiPriority w:val="0"/>
  </w:style>
  <w:style w:type="character" w:customStyle="1" w:styleId="94">
    <w:name w:val="beforeinfotext"/>
    <w:basedOn w:val="35"/>
    <w:autoRedefine/>
    <w:qFormat/>
    <w:uiPriority w:val="0"/>
    <w:rPr>
      <w:color w:val="666666"/>
    </w:rPr>
  </w:style>
  <w:style w:type="character" w:customStyle="1" w:styleId="95">
    <w:name w:val="stclosebtn"/>
    <w:basedOn w:val="35"/>
    <w:qFormat/>
    <w:uiPriority w:val="0"/>
  </w:style>
  <w:style w:type="character" w:customStyle="1" w:styleId="96">
    <w:name w:val="button"/>
    <w:basedOn w:val="35"/>
    <w:autoRedefine/>
    <w:qFormat/>
    <w:uiPriority w:val="0"/>
  </w:style>
  <w:style w:type="character" w:customStyle="1" w:styleId="97">
    <w:name w:val="phone"/>
    <w:basedOn w:val="35"/>
    <w:autoRedefine/>
    <w:qFormat/>
    <w:uiPriority w:val="0"/>
    <w:rPr>
      <w:color w:val="FF8833"/>
      <w:sz w:val="18"/>
      <w:szCs w:val="18"/>
    </w:rPr>
  </w:style>
  <w:style w:type="character" w:customStyle="1" w:styleId="98">
    <w:name w:val="tmpztreemove_arrow"/>
    <w:basedOn w:val="35"/>
    <w:autoRedefine/>
    <w:qFormat/>
    <w:uiPriority w:val="0"/>
  </w:style>
  <w:style w:type="character" w:customStyle="1" w:styleId="99">
    <w:name w:val="hilite"/>
    <w:basedOn w:val="35"/>
    <w:autoRedefine/>
    <w:qFormat/>
    <w:uiPriority w:val="0"/>
    <w:rPr>
      <w:color w:val="FFFFFF"/>
      <w:shd w:val="clear" w:fill="666677"/>
    </w:rPr>
  </w:style>
  <w:style w:type="character" w:customStyle="1" w:styleId="100">
    <w:name w:val="active"/>
    <w:basedOn w:val="35"/>
    <w:qFormat/>
    <w:uiPriority w:val="0"/>
    <w:rPr>
      <w:color w:val="00FF00"/>
      <w:shd w:val="clear" w:fill="000000"/>
    </w:rPr>
  </w:style>
  <w:style w:type="character" w:customStyle="1" w:styleId="101">
    <w:name w:val="button2"/>
    <w:basedOn w:val="35"/>
    <w:autoRedefine/>
    <w:qFormat/>
    <w:uiPriority w:val="0"/>
  </w:style>
  <w:style w:type="character" w:customStyle="1" w:styleId="102">
    <w:name w:val="active4"/>
    <w:basedOn w:val="35"/>
    <w:autoRedefine/>
    <w:qFormat/>
    <w:uiPriority w:val="0"/>
    <w:rPr>
      <w:color w:val="00FF00"/>
      <w:shd w:val="clear" w:fill="000000"/>
    </w:rPr>
  </w:style>
  <w:style w:type="character" w:customStyle="1" w:styleId="103">
    <w:name w:val="hilite4"/>
    <w:basedOn w:val="35"/>
    <w:qFormat/>
    <w:uiPriority w:val="0"/>
    <w:rPr>
      <w:color w:val="FFFFFF"/>
      <w:shd w:val="clear" w:fill="666677"/>
    </w:rPr>
  </w:style>
  <w:style w:type="character" w:customStyle="1" w:styleId="104">
    <w:name w:val="active6"/>
    <w:basedOn w:val="35"/>
    <w:autoRedefine/>
    <w:qFormat/>
    <w:uiPriority w:val="0"/>
    <w:rPr>
      <w:color w:val="00FF00"/>
      <w:shd w:val="clear" w:fill="0000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100</Pages>
  <Words>41147</Words>
  <Characters>43325</Characters>
  <Lines>334</Lines>
  <Paragraphs>94</Paragraphs>
  <TotalTime>2</TotalTime>
  <ScaleCrop>false</ScaleCrop>
  <LinksUpToDate>false</LinksUpToDate>
  <CharactersWithSpaces>46930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2018-12-02T13:16:00Z</dcterms:created>
  <dc:creator>jia</dc:creator>
  <cp:lastModifiedBy>云深不知处</cp:lastModifiedBy>
  <cp:lastPrinted>2021-11-04T09:54:00Z</cp:lastPrinted>
  <dcterms:modified xsi:type="dcterms:W3CDTF">2024-01-02T09:53:53Z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49F44D83A86D4948871EAA9EC093827E</vt:lpwstr>
  </property>
</Properties>
</file>