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480" w:lineRule="atLeast"/>
        <w:ind w:left="375" w:right="375"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u w:val="single"/>
          <w:bdr w:val="none" w:color="auto" w:sz="0" w:space="0"/>
          <w:lang w:val="en-US" w:eastAsia="zh-CN" w:bidi="ar"/>
        </w:rPr>
        <w:t>富县行政事业国有资产服务中心电教设备采购招标公告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9"/>
          <w:b/>
          <w:bCs/>
          <w:i w:val="0"/>
          <w:iCs w:val="0"/>
          <w:caps w:val="0"/>
          <w:color w:val="333333"/>
          <w:spacing w:val="0"/>
          <w:sz w:val="21"/>
          <w:szCs w:val="21"/>
          <w:bdr w:val="none" w:color="auto" w:sz="0" w:space="0"/>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rPr>
        <w:t>电教设备采购</w:t>
      </w:r>
      <w:r>
        <w:rPr>
          <w:rFonts w:hint="eastAsia" w:ascii="微软雅黑" w:hAnsi="微软雅黑" w:eastAsia="微软雅黑" w:cs="微软雅黑"/>
          <w:i w:val="0"/>
          <w:iCs w:val="0"/>
          <w:caps w:val="0"/>
          <w:color w:val="333333"/>
          <w:spacing w:val="0"/>
          <w:sz w:val="21"/>
          <w:szCs w:val="21"/>
          <w:bdr w:val="none" w:color="auto" w:sz="0" w:space="0"/>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rPr>
        <w:t>投标人使用捆绑CA证书登录 全国公共资源交易平台（陕西省·延安市）延安市公共资源交易中心 ，选择电子交易平台中的陕西政府采购交易系统 进行登录，登录后选择“交易乙方”身份进入投标人界面进行报名</w:t>
      </w:r>
      <w:r>
        <w:rPr>
          <w:rFonts w:hint="eastAsia" w:ascii="微软雅黑" w:hAnsi="微软雅黑" w:eastAsia="微软雅黑" w:cs="微软雅黑"/>
          <w:i w:val="0"/>
          <w:iCs w:val="0"/>
          <w:caps w:val="0"/>
          <w:color w:val="333333"/>
          <w:spacing w:val="0"/>
          <w:sz w:val="21"/>
          <w:szCs w:val="21"/>
          <w:bdr w:val="none" w:color="auto" w:sz="0" w:space="0"/>
        </w:rPr>
        <w:t>获取招标文件，并于</w:t>
      </w:r>
      <w:r>
        <w:rPr>
          <w:rFonts w:hint="eastAsia" w:ascii="微软雅黑" w:hAnsi="微软雅黑" w:eastAsia="微软雅黑" w:cs="微软雅黑"/>
          <w:i w:val="0"/>
          <w:iCs w:val="0"/>
          <w:caps w:val="0"/>
          <w:color w:val="0A82E5"/>
          <w:spacing w:val="0"/>
          <w:sz w:val="21"/>
          <w:szCs w:val="21"/>
          <w:bdr w:val="none" w:color="auto" w:sz="0" w:space="0"/>
        </w:rPr>
        <w:t> 2023年09月04日 14时30分 </w:t>
      </w:r>
      <w:r>
        <w:rPr>
          <w:rFonts w:hint="eastAsia" w:ascii="微软雅黑" w:hAnsi="微软雅黑" w:eastAsia="微软雅黑" w:cs="微软雅黑"/>
          <w:i w:val="0"/>
          <w:iCs w:val="0"/>
          <w:caps w:val="0"/>
          <w:color w:val="333333"/>
          <w:spacing w:val="0"/>
          <w:sz w:val="21"/>
          <w:szCs w:val="21"/>
          <w:bdr w:val="none" w:color="auto" w:sz="0" w:space="0"/>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项目编号：JYZC2023-035</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项目名称：</w:t>
      </w:r>
      <w:bookmarkStart w:id="0" w:name="_GoBack"/>
      <w:r>
        <w:rPr>
          <w:rFonts w:hint="eastAsia" w:ascii="微软雅黑" w:hAnsi="微软雅黑" w:eastAsia="微软雅黑" w:cs="微软雅黑"/>
          <w:i w:val="0"/>
          <w:iCs w:val="0"/>
          <w:caps w:val="0"/>
          <w:color w:val="333333"/>
          <w:spacing w:val="0"/>
          <w:sz w:val="21"/>
          <w:szCs w:val="21"/>
          <w:bdr w:val="none" w:color="auto" w:sz="0" w:space="0"/>
        </w:rPr>
        <w:t>电教设备采购</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预算金额：11,050,000.00元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合同包1(电教设备采购):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合同包预算金额：11,050,000.00元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合同包最高限价：11,050,000.00元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576"/>
        <w:gridCol w:w="1687"/>
        <w:gridCol w:w="662"/>
        <w:gridCol w:w="954"/>
        <w:gridCol w:w="1605"/>
        <w:gridCol w:w="16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11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1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4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78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6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6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11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教学仪器</w:t>
            </w:r>
          </w:p>
        </w:tc>
        <w:tc>
          <w:tcPr>
            <w:tcW w:w="11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11050000.00</w:t>
            </w:r>
          </w:p>
        </w:tc>
        <w:tc>
          <w:tcPr>
            <w:tcW w:w="4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1(批)</w:t>
            </w:r>
          </w:p>
        </w:tc>
        <w:tc>
          <w:tcPr>
            <w:tcW w:w="78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6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11,050,000.00</w:t>
            </w:r>
          </w:p>
        </w:tc>
        <w:tc>
          <w:tcPr>
            <w:tcW w:w="6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11,050,000.00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合同履行期限：30天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合同包1(电教设备采购)落实政府采购政策需满足的资格要求如下: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合同包1(电教设备采购)特定资格要求如下: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3.3.税收缴纳证明：提供本年度已缴纳的至少连续 3个月的纳税证明或完税证明，依法免税的单位应提供相关证明材料；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3.4.财务状况报告：提供 2021 年度或 2022 年的财务审计报告(成立时间至提交投标文件截止时间不足一年的成立后任意时段的资产负债表或提供开标日期前 3 个月内其基本开户银行出具的资信证明）；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3.5.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3.6.供应商应出具参加政府采购活动前 3 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3.8.单位负责人为同一人或者存在直接控股、管理关系的不同供应商，不得参加同一合同项下的政府采购活动。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w:t>
      </w:r>
      <w:r>
        <w:rPr>
          <w:rFonts w:hint="eastAsia" w:ascii="微软雅黑" w:hAnsi="微软雅黑" w:eastAsia="微软雅黑" w:cs="微软雅黑"/>
          <w:i w:val="0"/>
          <w:iCs w:val="0"/>
          <w:caps w:val="0"/>
          <w:color w:val="0A82E5"/>
          <w:spacing w:val="0"/>
          <w:sz w:val="21"/>
          <w:szCs w:val="21"/>
          <w:bdr w:val="none" w:color="auto" w:sz="0" w:space="0"/>
        </w:rPr>
        <w:t> 2023年08月14日 至 2023年08月18日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途径：</w:t>
      </w:r>
      <w:r>
        <w:rPr>
          <w:rFonts w:hint="eastAsia" w:ascii="微软雅黑" w:hAnsi="微软雅黑" w:eastAsia="微软雅黑" w:cs="微软雅黑"/>
          <w:i w:val="0"/>
          <w:iCs w:val="0"/>
          <w:caps w:val="0"/>
          <w:color w:val="0A82E5"/>
          <w:spacing w:val="0"/>
          <w:sz w:val="21"/>
          <w:szCs w:val="21"/>
          <w:bdr w:val="none" w:color="auto" w:sz="0" w:space="0"/>
        </w:rPr>
        <w:t>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方式：</w:t>
      </w:r>
      <w:r>
        <w:rPr>
          <w:rFonts w:hint="eastAsia" w:ascii="微软雅黑" w:hAnsi="微软雅黑" w:eastAsia="微软雅黑" w:cs="微软雅黑"/>
          <w:i w:val="0"/>
          <w:iCs w:val="0"/>
          <w:caps w:val="0"/>
          <w:color w:val="0A82E5"/>
          <w:spacing w:val="0"/>
          <w:sz w:val="21"/>
          <w:szCs w:val="21"/>
          <w:bdr w:val="none" w:color="auto" w:sz="0" w:space="0"/>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售价：</w:t>
      </w:r>
      <w:r>
        <w:rPr>
          <w:rFonts w:hint="eastAsia" w:ascii="微软雅黑" w:hAnsi="微软雅黑" w:eastAsia="微软雅黑" w:cs="微软雅黑"/>
          <w:i w:val="0"/>
          <w:iCs w:val="0"/>
          <w:caps w:val="0"/>
          <w:color w:val="0A82E5"/>
          <w:spacing w:val="0"/>
          <w:sz w:val="21"/>
          <w:szCs w:val="21"/>
          <w:bdr w:val="none" w:color="auto" w:sz="0" w:space="0"/>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w:t>
      </w:r>
      <w:r>
        <w:rPr>
          <w:rFonts w:hint="eastAsia" w:ascii="微软雅黑" w:hAnsi="微软雅黑" w:eastAsia="微软雅黑" w:cs="微软雅黑"/>
          <w:i w:val="0"/>
          <w:iCs w:val="0"/>
          <w:caps w:val="0"/>
          <w:color w:val="0A82E5"/>
          <w:spacing w:val="0"/>
          <w:sz w:val="21"/>
          <w:szCs w:val="21"/>
          <w:bdr w:val="none" w:color="auto" w:sz="0" w:space="0"/>
        </w:rPr>
        <w:t> 2023年09月04日 14时30分00秒 </w:t>
      </w:r>
      <w:r>
        <w:rPr>
          <w:rFonts w:hint="eastAsia" w:ascii="微软雅黑" w:hAnsi="微软雅黑" w:eastAsia="微软雅黑" w:cs="微软雅黑"/>
          <w:i w:val="0"/>
          <w:iCs w:val="0"/>
          <w:caps w:val="0"/>
          <w:color w:val="333333"/>
          <w:spacing w:val="0"/>
          <w:sz w:val="21"/>
          <w:szCs w:val="21"/>
          <w:bdr w:val="none" w:color="auto" w:sz="0" w:space="0"/>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提交投标文件地点：</w:t>
      </w:r>
      <w:r>
        <w:rPr>
          <w:rFonts w:hint="eastAsia" w:ascii="微软雅黑" w:hAnsi="微软雅黑" w:eastAsia="微软雅黑" w:cs="微软雅黑"/>
          <w:i w:val="0"/>
          <w:iCs w:val="0"/>
          <w:caps w:val="0"/>
          <w:color w:val="0A82E5"/>
          <w:spacing w:val="0"/>
          <w:sz w:val="21"/>
          <w:szCs w:val="21"/>
          <w:bdr w:val="none" w:color="auto" w:sz="0" w:space="0"/>
        </w:rPr>
        <w:t>延安市新区为民服务中心7号楼公共资源交易中心交易3厅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开标地点：</w:t>
      </w:r>
      <w:r>
        <w:rPr>
          <w:rFonts w:hint="eastAsia" w:ascii="微软雅黑" w:hAnsi="微软雅黑" w:eastAsia="微软雅黑" w:cs="微软雅黑"/>
          <w:i w:val="0"/>
          <w:iCs w:val="0"/>
          <w:caps w:val="0"/>
          <w:color w:val="0A82E5"/>
          <w:spacing w:val="0"/>
          <w:sz w:val="21"/>
          <w:szCs w:val="21"/>
          <w:bdr w:val="none" w:color="auto" w:sz="0" w:space="0"/>
        </w:rPr>
        <w:t>延安市新区为民服务中心7号楼公共资源交易中心交易3厅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自本公告发布之日起</w:t>
      </w:r>
      <w:r>
        <w:rPr>
          <w:rFonts w:hint="eastAsia" w:ascii="微软雅黑" w:hAnsi="微软雅黑" w:eastAsia="微软雅黑" w:cs="微软雅黑"/>
          <w:i w:val="0"/>
          <w:iCs w:val="0"/>
          <w:caps w:val="0"/>
          <w:color w:val="0A82E5"/>
          <w:spacing w:val="0"/>
          <w:sz w:val="21"/>
          <w:szCs w:val="21"/>
          <w:bdr w:val="none" w:color="auto" w:sz="0" w:space="0"/>
        </w:rPr>
        <w:t>5</w:t>
      </w:r>
      <w:r>
        <w:rPr>
          <w:rFonts w:hint="eastAsia" w:ascii="微软雅黑" w:hAnsi="微软雅黑" w:eastAsia="微软雅黑" w:cs="微软雅黑"/>
          <w:i w:val="0"/>
          <w:iCs w:val="0"/>
          <w:caps w:val="0"/>
          <w:color w:val="333333"/>
          <w:spacing w:val="0"/>
          <w:sz w:val="21"/>
          <w:szCs w:val="21"/>
          <w:bdr w:val="none" w:color="auto" w:sz="0" w:space="0"/>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rPr>
        <w:t>3. 递交纸质版投标文件的同时需在网上上传投标文件，本项目采取网上投标形式。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rPr>
        <w:t>4.【请供应商按照陕西省财政厅关于政府采购供应商注册登记有关事项的通知中的要求，通过陕西省政府采购网注册登记加入陕西省政府采购供应商库。】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rPr>
        <w:t>5. 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w:t>
      </w:r>
      <w:r>
        <w:rPr>
          <w:rFonts w:hint="eastAsia" w:ascii="微软雅黑" w:hAnsi="微软雅黑" w:eastAsia="微软雅黑" w:cs="微软雅黑"/>
          <w:i w:val="0"/>
          <w:iCs w:val="0"/>
          <w:caps w:val="0"/>
          <w:color w:val="0A82E5"/>
          <w:spacing w:val="0"/>
          <w:sz w:val="21"/>
          <w:szCs w:val="21"/>
          <w:bdr w:val="none" w:color="auto" w:sz="0" w:space="0"/>
        </w:rPr>
        <w:t>富县行政事业国有资产服务中心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w:t>
      </w:r>
      <w:r>
        <w:rPr>
          <w:rFonts w:hint="eastAsia" w:ascii="微软雅黑" w:hAnsi="微软雅黑" w:eastAsia="微软雅黑" w:cs="微软雅黑"/>
          <w:i w:val="0"/>
          <w:iCs w:val="0"/>
          <w:caps w:val="0"/>
          <w:color w:val="0A82E5"/>
          <w:spacing w:val="0"/>
          <w:sz w:val="21"/>
          <w:szCs w:val="21"/>
          <w:bdr w:val="none" w:color="auto" w:sz="0" w:space="0"/>
        </w:rPr>
        <w:t>富县</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w:t>
      </w:r>
      <w:r>
        <w:rPr>
          <w:rFonts w:hint="eastAsia" w:ascii="微软雅黑" w:hAnsi="微软雅黑" w:eastAsia="微软雅黑" w:cs="微软雅黑"/>
          <w:i w:val="0"/>
          <w:iCs w:val="0"/>
          <w:caps w:val="0"/>
          <w:color w:val="0A82E5"/>
          <w:spacing w:val="0"/>
          <w:sz w:val="21"/>
          <w:szCs w:val="21"/>
          <w:bdr w:val="none" w:color="auto" w:sz="0" w:space="0"/>
        </w:rPr>
        <w:t>13892150518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w:t>
      </w:r>
      <w:r>
        <w:rPr>
          <w:rFonts w:hint="eastAsia" w:ascii="微软雅黑" w:hAnsi="微软雅黑" w:eastAsia="微软雅黑" w:cs="微软雅黑"/>
          <w:i w:val="0"/>
          <w:iCs w:val="0"/>
          <w:caps w:val="0"/>
          <w:color w:val="0A82E5"/>
          <w:spacing w:val="0"/>
          <w:sz w:val="21"/>
          <w:szCs w:val="21"/>
          <w:bdr w:val="none" w:color="auto" w:sz="0" w:space="0"/>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w:t>
      </w:r>
      <w:r>
        <w:rPr>
          <w:rFonts w:hint="eastAsia" w:ascii="微软雅黑" w:hAnsi="微软雅黑" w:eastAsia="微软雅黑" w:cs="微软雅黑"/>
          <w:i w:val="0"/>
          <w:iCs w:val="0"/>
          <w:caps w:val="0"/>
          <w:color w:val="0A82E5"/>
          <w:spacing w:val="0"/>
          <w:sz w:val="21"/>
          <w:szCs w:val="21"/>
          <w:bdr w:val="none" w:color="auto" w:sz="0" w:space="0"/>
        </w:rPr>
        <w:t>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w:t>
      </w:r>
      <w:r>
        <w:rPr>
          <w:rFonts w:hint="eastAsia" w:ascii="微软雅黑" w:hAnsi="微软雅黑" w:eastAsia="微软雅黑" w:cs="微软雅黑"/>
          <w:i w:val="0"/>
          <w:iCs w:val="0"/>
          <w:caps w:val="0"/>
          <w:color w:val="0A82E5"/>
          <w:spacing w:val="0"/>
          <w:sz w:val="21"/>
          <w:szCs w:val="21"/>
          <w:bdr w:val="none" w:color="auto" w:sz="0" w:space="0"/>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项目联系人：</w:t>
      </w:r>
      <w:r>
        <w:rPr>
          <w:rFonts w:hint="eastAsia" w:ascii="微软雅黑" w:hAnsi="微软雅黑" w:eastAsia="微软雅黑" w:cs="微软雅黑"/>
          <w:i w:val="0"/>
          <w:iCs w:val="0"/>
          <w:caps w:val="0"/>
          <w:color w:val="0A82E5"/>
          <w:spacing w:val="0"/>
          <w:sz w:val="21"/>
          <w:szCs w:val="21"/>
          <w:bdr w:val="none" w:color="auto" w:sz="0" w:space="0"/>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电话：</w:t>
      </w:r>
      <w:r>
        <w:rPr>
          <w:rFonts w:hint="eastAsia" w:ascii="微软雅黑" w:hAnsi="微软雅黑" w:eastAsia="微软雅黑" w:cs="微软雅黑"/>
          <w:i w:val="0"/>
          <w:iCs w:val="0"/>
          <w:caps w:val="0"/>
          <w:color w:val="0A82E5"/>
          <w:spacing w:val="0"/>
          <w:sz w:val="21"/>
          <w:szCs w:val="21"/>
          <w:bdr w:val="none" w:color="auto" w:sz="0" w:space="0"/>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陕西集云项目管理有限公司</w:t>
      </w:r>
    </w:p>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single"/>
          <w:bdr w:val="none" w:color="auto" w:sz="0" w:space="0"/>
          <w:shd w:val="clear" w:fill="FFFFFF"/>
          <w:lang w:val="en-US" w:eastAsia="zh-CN" w:bidi="ar"/>
        </w:rPr>
        <w:t> 公告附件 </w:t>
      </w:r>
    </w:p>
    <w:tbl>
      <w:tblPr>
        <w:tblW w:w="1554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94"/>
        <w:gridCol w:w="3879"/>
        <w:gridCol w:w="3880"/>
        <w:gridCol w:w="3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38255A48"/>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2023-08-13T05:54:23Z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166C870C9E0243DEB7A3E4350AA09DE1</vt:lpwstr>
  </property>
</Properties>
</file>