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750" w:afterAutospacing="0" w:line="480" w:lineRule="atLeast"/>
        <w:ind w:left="375" w:right="375"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u w:val="single"/>
          <w:bdr w:val="none" w:color="auto" w:sz="0" w:space="0"/>
          <w:lang w:val="en-US" w:eastAsia="zh-CN" w:bidi="ar"/>
        </w:rPr>
        <w:t>子长市自然资源局关于林权类不动产登记工作采购招标公告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关于林权类不动产登记工作采购</w:t>
      </w:r>
      <w:r>
        <w:rPr>
          <w:rFonts w:hint="eastAsia" w:ascii="微软雅黑" w:hAnsi="微软雅黑" w:eastAsia="微软雅黑" w:cs="微软雅黑"/>
          <w:i w:val="0"/>
          <w:iCs w:val="0"/>
          <w:caps w:val="0"/>
          <w:color w:val="333333"/>
          <w:spacing w:val="0"/>
          <w:sz w:val="21"/>
          <w:szCs w:val="21"/>
          <w:bdr w:val="none" w:color="auto" w:sz="0" w:space="0"/>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rPr>
        <w:t>获取招标文件，并于</w:t>
      </w:r>
      <w:r>
        <w:rPr>
          <w:rFonts w:hint="eastAsia" w:ascii="微软雅黑" w:hAnsi="微软雅黑" w:eastAsia="微软雅黑" w:cs="微软雅黑"/>
          <w:i w:val="0"/>
          <w:iCs w:val="0"/>
          <w:caps w:val="0"/>
          <w:color w:val="0A82E5"/>
          <w:spacing w:val="0"/>
          <w:sz w:val="21"/>
          <w:szCs w:val="21"/>
          <w:bdr w:val="none" w:color="auto" w:sz="0" w:space="0"/>
        </w:rPr>
        <w:t> 2023年11月14日 09时00分 </w:t>
      </w:r>
      <w:r>
        <w:rPr>
          <w:rFonts w:hint="eastAsia" w:ascii="微软雅黑" w:hAnsi="微软雅黑" w:eastAsia="微软雅黑" w:cs="微软雅黑"/>
          <w:i w:val="0"/>
          <w:iCs w:val="0"/>
          <w:caps w:val="0"/>
          <w:color w:val="333333"/>
          <w:spacing w:val="0"/>
          <w:sz w:val="21"/>
          <w:szCs w:val="21"/>
          <w:bdr w:val="none" w:color="auto" w:sz="0" w:space="0"/>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项目编号：JYZC2023-042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项目名称：关于林权类不动产登记工作采购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预算金额：13,560,400.00元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合同包1(关于林权类不动产登记工作采购第一包):</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合同包预算金额：624,926.00元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合同包最高限价：624,926.00元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832"/>
        <w:gridCol w:w="1843"/>
        <w:gridCol w:w="662"/>
        <w:gridCol w:w="1173"/>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5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5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8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5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5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5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115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关于林权类不动产登记工作采购第一包</w:t>
            </w:r>
          </w:p>
        </w:tc>
        <w:tc>
          <w:tcPr>
            <w:tcW w:w="4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80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5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624,926.00</w:t>
            </w:r>
          </w:p>
        </w:tc>
        <w:tc>
          <w:tcPr>
            <w:tcW w:w="55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624,926.00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合同包2(关于林权类不动产登记工作采购第二包):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合同包预算金额：751,140.00元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合同包最高限价：751,140.00元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6"/>
        <w:gridCol w:w="3454"/>
        <w:gridCol w:w="3454"/>
        <w:gridCol w:w="1283"/>
        <w:gridCol w:w="2396"/>
        <w:gridCol w:w="1668"/>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关于林权类不动产登记工作采购第二包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751,140.00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751,140.00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合同包3(关于林权类不动产登记工作采购第三包):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合同包预算金额：623,610.00元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合同包最高限价：623,610.00元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6"/>
        <w:gridCol w:w="3454"/>
        <w:gridCol w:w="3454"/>
        <w:gridCol w:w="1283"/>
        <w:gridCol w:w="2396"/>
        <w:gridCol w:w="1668"/>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关于林权类不动产登记工作采购第三包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623,610.00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623,610.00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合同包4(关于林权类不动产登记工作采购第四包):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合同包预算金额：831,558.00元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合同包最高限价：831,558.00元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6"/>
        <w:gridCol w:w="3454"/>
        <w:gridCol w:w="3454"/>
        <w:gridCol w:w="1283"/>
        <w:gridCol w:w="2396"/>
        <w:gridCol w:w="1668"/>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关于林权类不动产登记工作采购第四包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831,558.00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831,558.00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合同包5(关于林权类不动产登记工作采购第五包):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合同包预算金额：566,972.00元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合同包最高限价：566,972.00元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6"/>
        <w:gridCol w:w="3454"/>
        <w:gridCol w:w="3454"/>
        <w:gridCol w:w="1283"/>
        <w:gridCol w:w="2396"/>
        <w:gridCol w:w="1668"/>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5-1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关于林权类不动产登记工作采购第五包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566,972.00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566,972.00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合同包6(关于林权类不动产登记工作采购第六包):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合同包预算金额：936,644.00元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合同包最高限价：936,644.00元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6"/>
        <w:gridCol w:w="3454"/>
        <w:gridCol w:w="3454"/>
        <w:gridCol w:w="1283"/>
        <w:gridCol w:w="2396"/>
        <w:gridCol w:w="1668"/>
        <w:gridCol w:w="1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关于林权类不动产登记工作采购第六包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936,644.00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936,644.00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合同包7(关于林权类不动产登记工作采购第七包):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合同包预算金额：9,225,550.00元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合同包最高限价：9,225,550.00元</w:t>
      </w:r>
    </w:p>
    <w:tbl>
      <w:tblPr>
        <w:tblW w:w="149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99"/>
        <w:gridCol w:w="3419"/>
        <w:gridCol w:w="3419"/>
        <w:gridCol w:w="1276"/>
        <w:gridCol w:w="2376"/>
        <w:gridCol w:w="1720"/>
        <w:gridCol w:w="17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7-1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其他林业服务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关于林权类不动产登记工作采购第七包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9,225,550.00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9,225,550.00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合同包1(关于林权类不动产登记工作采购第一包)落实政府采购政策需满足的资格要求如下: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合同包2(关于林权类不动产登记工作采购第二包)落实政府采购政策需满足的资格要求如下: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合同包3(关于林权类不动产登记工作采购第三包)落实政府采购政策需满足的资格要求如下: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合同包4(关于林权类不动产登记工作采购第四包)落实政府采购政策需满足的资格要求如下: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合同包5(关于林权类不动产登记工作采购第五包)落实政府采购政策需满足的资格要求如下: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合同包6(关于林权类不动产登记工作采购第六包)落实政府采购政策需满足的资格要求如下: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合同包7(关于林权类不动产登记工作采购第七包)落实政府采购政策需满足的资格要求如下: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合同包1(关于林权类不动产登记工作采购第一包)特定资格要求如下: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合同包2(关于林权类不动产登记工作采购第二包)特定资格要求如下: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合同包3(关于林权类不动产登记工作采购第三包)特定资格要求如下: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合同包4(关于林权类不动产登记工作采购第四包)特定资格要求如下: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合同包5(关于林权类不动产登记工作采购第五包)特定资格要求如下: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合同包6(关于林权类不动产登记工作采购第六包)特定资格要求如下: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合同包7(关于林权类不动产登记工作采购第七包)特定资格要求如下: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3.3.税收缴纳证明：提供本年度内已缴纳的任意一个月的纳税证明或完税证明，依法免税的单位应提供相关证明材料；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3.6.投标人须具有测绘乙级及以上资质或土地规划乙级及以上资质（含乙级）；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2023年10月23日 至 2023年10月27日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2023年11月14日 09时00分00秒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提交投标文件地点：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延安市新区为民服务中心7号楼公共资源交易中心交易2厅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开标地点：</w:t>
      </w:r>
      <w:r>
        <w:rPr>
          <w:rFonts w:hint="eastAsia" w:ascii="微软雅黑" w:hAnsi="微软雅黑" w:eastAsia="微软雅黑" w:cs="微软雅黑"/>
          <w:i w:val="0"/>
          <w:iCs w:val="0"/>
          <w:caps w:val="0"/>
          <w:color w:val="0A82E5"/>
          <w:spacing w:val="0"/>
          <w:sz w:val="21"/>
          <w:szCs w:val="21"/>
          <w:bdr w:val="none" w:color="auto" w:sz="0" w:space="0"/>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子长市自然资源局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陕西省子长县四路口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13509114297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u w:val="single"/>
          <w:bdr w:val="none" w:color="auto" w:sz="0" w:space="0"/>
          <w:shd w:val="clear" w:fill="FFFFFF"/>
          <w:lang w:val="en-US" w:eastAsia="zh-CN" w:bidi="ar"/>
        </w:rPr>
        <w:t> 公告附件 </w:t>
      </w:r>
      <w:r>
        <w:rPr>
          <w:rFonts w:hint="eastAsia" w:ascii="微软雅黑" w:hAnsi="微软雅黑" w:eastAsia="微软雅黑" w:cs="微软雅黑"/>
          <w:i w:val="0"/>
          <w:iCs w:val="0"/>
          <w:caps w:val="0"/>
          <w:color w:val="FFFFFF"/>
          <w:spacing w:val="0"/>
          <w:kern w:val="0"/>
          <w:sz w:val="18"/>
          <w:szCs w:val="18"/>
          <w:u w:val="single"/>
          <w:bdr w:val="none" w:color="auto" w:sz="0" w:space="0"/>
          <w:shd w:val="clear" w:fill="F5222D"/>
          <w:lang w:val="en-US" w:eastAsia="zh-CN" w:bidi="ar"/>
        </w:rPr>
        <w:t>0</w:t>
      </w:r>
    </w:p>
    <w:tbl>
      <w:tblPr>
        <w:tblW w:w="1602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014"/>
        <w:gridCol w:w="3999"/>
        <w:gridCol w:w="3999"/>
        <w:gridCol w:w="4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blCellSpacing w:w="15" w:type="dxa"/>
        </w:trPr>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c>
          <w:tcPr>
            <w:tcW w:w="0" w:type="auto"/>
            <w:tcBorders>
              <w:bottom w:val="single" w:color="E5E5E5" w:sz="6" w:space="0"/>
              <w:right w:val="single" w:color="E5E5E5" w:sz="6" w:space="0"/>
            </w:tcBorders>
            <w:shd w:val="clear" w:color="auto" w:fill="F5F5F5"/>
            <w:tcMar>
              <w:top w:w="0" w:type="dxa"/>
              <w:left w:w="0" w:type="dxa"/>
              <w:bottom w:w="0" w:type="dxa"/>
              <w:right w:w="0" w:type="dxa"/>
            </w:tcMar>
            <w:vAlign w:val="center"/>
          </w:tcPr>
          <w:p>
            <w:pPr>
              <w:jc w:val="left"/>
              <w:rPr>
                <w:rFonts w:hint="eastAsia" w:ascii="宋体"/>
                <w:b/>
                <w:bCs/>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6CE6449B"/>
    <w:rsid w:val="78FA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2023-10-20T07:46:02Z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