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仿宋" w:eastAsia="宋体" w:cs="Times New Roman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eastAsia="仿宋" w:cs="Times New Roman"/>
          <w:b/>
          <w:bCs/>
          <w:color w:val="FF0000"/>
          <w:sz w:val="24"/>
          <w:szCs w:val="24"/>
          <w:lang w:val="en-US" w:eastAsia="zh-CN"/>
        </w:rPr>
        <w:t>采购需求：</w:t>
      </w:r>
      <w:r>
        <w:rPr>
          <w:rFonts w:hint="eastAsia"/>
          <w:color w:val="0000FF"/>
          <w:szCs w:val="21"/>
        </w:rPr>
        <w:t>总磷总氮分析仪</w:t>
      </w:r>
      <w:r>
        <w:rPr>
          <w:rFonts w:hint="eastAsia"/>
          <w:color w:val="0000FF"/>
          <w:szCs w:val="21"/>
          <w:lang w:val="en-US" w:eastAsia="zh-CN"/>
        </w:rPr>
        <w:t xml:space="preserve">   一套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709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序号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名称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数量</w:t>
            </w:r>
          </w:p>
        </w:tc>
        <w:tc>
          <w:tcPr>
            <w:tcW w:w="658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color w:val="0000FF"/>
                <w:szCs w:val="21"/>
              </w:rPr>
            </w:pPr>
            <w:r>
              <w:rPr>
                <w:rFonts w:hint="eastAsia"/>
                <w:b/>
                <w:color w:val="0000FF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总磷总氮分析仪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0000FF"/>
                <w:szCs w:val="21"/>
              </w:rPr>
              <w:t>套</w:t>
            </w:r>
          </w:p>
        </w:tc>
        <w:tc>
          <w:tcPr>
            <w:tcW w:w="6582" w:type="dxa"/>
            <w:noWrap w:val="0"/>
            <w:vAlign w:val="top"/>
          </w:tcPr>
          <w:p>
            <w:pPr>
              <w:jc w:val="both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仪</w:t>
            </w: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器量程：总氮（0-50）mg/L</w:t>
            </w:r>
          </w:p>
          <w:p>
            <w:pPr>
              <w:ind w:firstLine="1050" w:firstLineChars="500"/>
              <w:jc w:val="both"/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总磷（0-10）mg/L，</w:t>
            </w:r>
          </w:p>
          <w:p>
            <w:pPr>
              <w:numPr>
                <w:ilvl w:val="0"/>
                <w:numId w:val="0"/>
              </w:numPr>
              <w:tabs>
                <w:tab w:val="left" w:pos="851"/>
              </w:tabs>
              <w:spacing w:line="360" w:lineRule="auto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</w:rPr>
              <w:t>量程漂移：</w:t>
            </w:r>
            <w:r>
              <w:rPr>
                <w:rFonts w:hint="eastAsia" w:hAnsi="宋体"/>
                <w:color w:val="0000FF"/>
                <w:szCs w:val="21"/>
              </w:rPr>
              <w:t>≤</w:t>
            </w:r>
            <w:r>
              <w:rPr>
                <w:color w:val="0000FF"/>
                <w:szCs w:val="21"/>
              </w:rPr>
              <w:t>10%</w:t>
            </w:r>
            <w:bookmarkStart w:id="0" w:name="OLE_LINK2"/>
            <w:r>
              <w:rPr>
                <w:rFonts w:hint="eastAsia"/>
                <w:color w:val="0000FF"/>
                <w:szCs w:val="21"/>
              </w:rPr>
              <w:t>；</w:t>
            </w:r>
            <w:bookmarkEnd w:id="0"/>
          </w:p>
          <w:p>
            <w:pPr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 xml:space="preserve">重复性： ≤± 3% </w:t>
            </w:r>
          </w:p>
          <w:p>
            <w:pPr>
              <w:numPr>
                <w:ilvl w:val="0"/>
                <w:numId w:val="0"/>
              </w:numPr>
              <w:tabs>
                <w:tab w:val="left" w:pos="851"/>
              </w:tabs>
              <w:spacing w:line="360" w:lineRule="auto"/>
              <w:rPr>
                <w:rFonts w:hint="eastAsia"/>
                <w:color w:val="0000FF"/>
              </w:rPr>
            </w:pPr>
            <w:r>
              <w:rPr>
                <w:rFonts w:hint="eastAsia"/>
                <w:color w:val="0000FF"/>
                <w:szCs w:val="21"/>
              </w:rPr>
              <w:t>稳定性</w:t>
            </w:r>
            <w:r>
              <w:rPr>
                <w:color w:val="0000FF"/>
                <w:szCs w:val="21"/>
              </w:rPr>
              <w:t>：</w:t>
            </w:r>
            <w:r>
              <w:rPr>
                <w:rFonts w:hint="eastAsia" w:hAnsi="宋体"/>
                <w:color w:val="0000FF"/>
                <w:szCs w:val="21"/>
              </w:rPr>
              <w:t>≤</w:t>
            </w:r>
            <w:r>
              <w:rPr>
                <w:color w:val="0000FF"/>
                <w:szCs w:val="21"/>
              </w:rPr>
              <w:t>10%</w:t>
            </w:r>
            <w:r>
              <w:rPr>
                <w:rFonts w:hint="eastAsia"/>
                <w:color w:val="0000FF"/>
                <w:szCs w:val="21"/>
              </w:rPr>
              <w:t>（24</w:t>
            </w:r>
            <w:r>
              <w:rPr>
                <w:color w:val="0000FF"/>
                <w:szCs w:val="21"/>
              </w:rPr>
              <w:t>H</w:t>
            </w:r>
            <w:r>
              <w:rPr>
                <w:rFonts w:hint="eastAsia"/>
                <w:color w:val="0000FF"/>
                <w:szCs w:val="21"/>
              </w:rPr>
              <w:t>）；</w:t>
            </w:r>
          </w:p>
          <w:p>
            <w:pPr>
              <w:numPr>
                <w:ilvl w:val="0"/>
                <w:numId w:val="0"/>
              </w:numPr>
              <w:tabs>
                <w:tab w:val="left" w:pos="851"/>
              </w:tabs>
              <w:spacing w:line="360" w:lineRule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Ansi="宋体"/>
                <w:color w:val="0000FF"/>
                <w:sz w:val="21"/>
                <w:szCs w:val="21"/>
              </w:rPr>
              <w:t>测量周期：</w:t>
            </w:r>
            <w:r>
              <w:rPr>
                <w:rFonts w:hint="eastAsia" w:hAnsi="宋体"/>
                <w:color w:val="0000FF"/>
                <w:sz w:val="21"/>
                <w:szCs w:val="21"/>
              </w:rPr>
              <w:t>1小时/</w:t>
            </w:r>
            <w:r>
              <w:rPr>
                <w:rFonts w:hAnsi="宋体"/>
                <w:color w:val="0000FF"/>
                <w:sz w:val="21"/>
                <w:szCs w:val="21"/>
              </w:rPr>
              <w:t>1</w:t>
            </w:r>
            <w:r>
              <w:rPr>
                <w:rFonts w:hint="eastAsia" w:hAnsi="宋体"/>
                <w:color w:val="0000FF"/>
                <w:sz w:val="21"/>
                <w:szCs w:val="21"/>
              </w:rPr>
              <w:t>次</w:t>
            </w:r>
            <w:r>
              <w:rPr>
                <w:rFonts w:hAnsi="宋体"/>
                <w:color w:val="0000FF"/>
                <w:sz w:val="21"/>
                <w:szCs w:val="21"/>
              </w:rPr>
              <w:t>测定，</w:t>
            </w:r>
            <w:r>
              <w:rPr>
                <w:rFonts w:hint="eastAsia" w:hAnsi="宋体"/>
                <w:color w:val="0000FF"/>
                <w:sz w:val="21"/>
                <w:szCs w:val="21"/>
              </w:rPr>
              <w:t>能够以小时为单位任意设置一天（2</w:t>
            </w:r>
            <w:r>
              <w:rPr>
                <w:rFonts w:hAnsi="宋体"/>
                <w:color w:val="0000FF"/>
                <w:sz w:val="21"/>
                <w:szCs w:val="21"/>
              </w:rPr>
              <w:t>4H</w:t>
            </w:r>
            <w:r>
              <w:rPr>
                <w:rFonts w:hint="eastAsia" w:hAnsi="宋体"/>
                <w:color w:val="0000FF"/>
                <w:sz w:val="21"/>
                <w:szCs w:val="21"/>
              </w:rPr>
              <w:t>）的测量时间表</w:t>
            </w:r>
            <w:r>
              <w:rPr>
                <w:rFonts w:hAnsi="宋体"/>
                <w:color w:val="0000FF"/>
                <w:sz w:val="21"/>
                <w:szCs w:val="21"/>
              </w:rPr>
              <w:t>可任意设定；</w:t>
            </w:r>
          </w:p>
          <w:p>
            <w:pPr>
              <w:numPr>
                <w:ilvl w:val="0"/>
                <w:numId w:val="0"/>
              </w:numPr>
              <w:tabs>
                <w:tab w:val="left" w:pos="851"/>
              </w:tabs>
              <w:spacing w:line="360" w:lineRule="auto"/>
              <w:rPr>
                <w:rFonts w:hAnsi="宋体"/>
                <w:color w:val="0000FF"/>
                <w:sz w:val="21"/>
                <w:szCs w:val="21"/>
              </w:rPr>
            </w:pPr>
            <w:r>
              <w:rPr>
                <w:rFonts w:hAnsi="宋体"/>
                <w:color w:val="0000FF"/>
                <w:sz w:val="21"/>
                <w:szCs w:val="21"/>
              </w:rPr>
              <w:t>样品条件：温度，</w:t>
            </w:r>
            <w:r>
              <w:rPr>
                <w:color w:val="0000FF"/>
                <w:sz w:val="21"/>
                <w:szCs w:val="21"/>
              </w:rPr>
              <w:t>2</w:t>
            </w:r>
            <w:r>
              <w:rPr>
                <w:rFonts w:hint="eastAsia" w:hAnsi="宋体"/>
                <w:color w:val="0000FF"/>
                <w:sz w:val="21"/>
                <w:szCs w:val="21"/>
              </w:rPr>
              <w:t>~</w:t>
            </w:r>
            <w:r>
              <w:rPr>
                <w:color w:val="0000FF"/>
                <w:sz w:val="21"/>
                <w:szCs w:val="21"/>
              </w:rPr>
              <w:t>40</w:t>
            </w:r>
            <w:r>
              <w:rPr>
                <w:rFonts w:ascii="宋体" w:hAnsi="宋体"/>
                <w:color w:val="0000FF"/>
                <w:sz w:val="21"/>
                <w:szCs w:val="21"/>
              </w:rPr>
              <w:t>℃</w:t>
            </w:r>
            <w:r>
              <w:rPr>
                <w:rFonts w:hAnsi="宋体"/>
                <w:color w:val="0000FF"/>
                <w:sz w:val="21"/>
                <w:szCs w:val="21"/>
              </w:rPr>
              <w:t>；压力，</w:t>
            </w:r>
            <w:r>
              <w:rPr>
                <w:color w:val="0000FF"/>
                <w:sz w:val="21"/>
                <w:szCs w:val="21"/>
              </w:rPr>
              <w:t>0.02</w:t>
            </w:r>
            <w:r>
              <w:rPr>
                <w:rFonts w:hint="eastAsia" w:hAnsi="宋体"/>
                <w:color w:val="0000FF"/>
                <w:sz w:val="21"/>
                <w:szCs w:val="21"/>
              </w:rPr>
              <w:t>~</w:t>
            </w:r>
            <w:r>
              <w:rPr>
                <w:rFonts w:hAnsi="宋体"/>
                <w:color w:val="0000FF"/>
                <w:sz w:val="21"/>
                <w:szCs w:val="21"/>
              </w:rPr>
              <w:t>0</w:t>
            </w:r>
            <w:r>
              <w:rPr>
                <w:color w:val="0000FF"/>
                <w:sz w:val="21"/>
                <w:szCs w:val="21"/>
              </w:rPr>
              <w:t>.05MPa</w:t>
            </w:r>
            <w:r>
              <w:rPr>
                <w:rFonts w:hAnsi="宋体"/>
                <w:color w:val="0000FF"/>
                <w:sz w:val="21"/>
                <w:szCs w:val="21"/>
              </w:rPr>
              <w:t>；流量，</w:t>
            </w:r>
            <w:r>
              <w:rPr>
                <w:color w:val="0000FF"/>
                <w:sz w:val="21"/>
                <w:szCs w:val="21"/>
              </w:rPr>
              <w:t>1</w:t>
            </w:r>
            <w:r>
              <w:rPr>
                <w:rFonts w:hint="eastAsia" w:hAnsi="宋体"/>
                <w:color w:val="0000FF"/>
                <w:sz w:val="21"/>
                <w:szCs w:val="21"/>
              </w:rPr>
              <w:t>~</w:t>
            </w:r>
            <w:r>
              <w:rPr>
                <w:color w:val="0000FF"/>
                <w:sz w:val="21"/>
                <w:szCs w:val="21"/>
              </w:rPr>
              <w:t>3L/min</w:t>
            </w:r>
            <w:r>
              <w:rPr>
                <w:rFonts w:hAnsi="宋体"/>
                <w:color w:val="0000FF"/>
                <w:sz w:val="21"/>
                <w:szCs w:val="21"/>
              </w:rPr>
              <w:t>；每次分析取样量约</w:t>
            </w:r>
            <w:r>
              <w:rPr>
                <w:color w:val="0000FF"/>
                <w:sz w:val="21"/>
                <w:szCs w:val="21"/>
              </w:rPr>
              <w:t>35mL</w:t>
            </w:r>
            <w:r>
              <w:rPr>
                <w:rFonts w:hAnsi="宋体"/>
                <w:color w:val="0000FF"/>
                <w:sz w:val="21"/>
                <w:szCs w:val="21"/>
              </w:rPr>
              <w:t>；</w:t>
            </w:r>
          </w:p>
          <w:p>
            <w:pPr>
              <w:pStyle w:val="2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Ansi="宋体"/>
                <w:color w:val="0000FF"/>
                <w:sz w:val="21"/>
                <w:szCs w:val="21"/>
              </w:rPr>
              <w:t>校正方式：手动校正</w:t>
            </w:r>
            <w:r>
              <w:rPr>
                <w:rFonts w:hint="eastAsia" w:hAnsi="宋体"/>
                <w:color w:val="0000FF"/>
                <w:sz w:val="21"/>
                <w:szCs w:val="21"/>
              </w:rPr>
              <w:t xml:space="preserve">/ </w:t>
            </w:r>
            <w:r>
              <w:rPr>
                <w:rFonts w:hAnsi="宋体"/>
                <w:color w:val="0000FF"/>
                <w:sz w:val="21"/>
                <w:szCs w:val="21"/>
              </w:rPr>
              <w:t>自动校正</w:t>
            </w:r>
          </w:p>
          <w:p>
            <w:pPr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 xml:space="preserve">模拟输出： </w:t>
            </w:r>
            <w:r>
              <w:rPr>
                <w:rFonts w:hAnsi="宋体"/>
                <w:color w:val="0000FF"/>
                <w:kern w:val="0"/>
                <w:sz w:val="21"/>
                <w:szCs w:val="21"/>
              </w:rPr>
              <w:t>同时输出</w:t>
            </w:r>
            <w:r>
              <w:rPr>
                <w:color w:val="0000FF"/>
                <w:kern w:val="0"/>
                <w:sz w:val="21"/>
                <w:szCs w:val="21"/>
              </w:rPr>
              <w:t>2</w:t>
            </w:r>
            <w:r>
              <w:rPr>
                <w:rFonts w:hAnsi="宋体"/>
                <w:color w:val="0000FF"/>
                <w:kern w:val="0"/>
                <w:sz w:val="21"/>
                <w:szCs w:val="21"/>
              </w:rPr>
              <w:t>路模拟信号</w:t>
            </w:r>
            <w:r>
              <w:rPr>
                <w:color w:val="0000FF"/>
                <w:kern w:val="0"/>
                <w:sz w:val="21"/>
                <w:szCs w:val="21"/>
              </w:rPr>
              <w:t>4~20mA</w:t>
            </w:r>
            <w:r>
              <w:rPr>
                <w:rFonts w:hAnsi="宋体"/>
                <w:color w:val="0000FF"/>
                <w:kern w:val="0"/>
                <w:sz w:val="21"/>
                <w:szCs w:val="21"/>
              </w:rPr>
              <w:t>；负载电阻：</w:t>
            </w:r>
            <w:r>
              <w:rPr>
                <w:color w:val="0000FF"/>
                <w:kern w:val="0"/>
                <w:sz w:val="21"/>
                <w:szCs w:val="21"/>
              </w:rPr>
              <w:t>600</w:t>
            </w:r>
            <w:r>
              <w:rPr>
                <w:rFonts w:hAnsi="宋体"/>
                <w:color w:val="0000FF"/>
                <w:kern w:val="0"/>
                <w:sz w:val="21"/>
                <w:szCs w:val="21"/>
              </w:rPr>
              <w:t>欧姆；</w:t>
            </w:r>
            <w:r>
              <w:rPr>
                <w:rFonts w:hint="eastAsia"/>
                <w:color w:val="0000FF"/>
                <w:sz w:val="21"/>
                <w:szCs w:val="21"/>
              </w:rPr>
              <w:t xml:space="preserve">  </w:t>
            </w:r>
          </w:p>
          <w:p>
            <w:pPr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 xml:space="preserve">电源： 220VAC，50/60HZ </w:t>
            </w:r>
          </w:p>
          <w:p>
            <w:pPr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 xml:space="preserve">功耗： 500VA（最大） 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/>
                <w:color w:val="0000FF"/>
                <w:sz w:val="21"/>
                <w:szCs w:val="21"/>
              </w:rPr>
              <w:t xml:space="preserve">VA（平均） </w:t>
            </w:r>
          </w:p>
          <w:p>
            <w:pPr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 w:val="21"/>
                <w:szCs w:val="21"/>
              </w:rPr>
              <w:t xml:space="preserve">数据通讯： </w:t>
            </w:r>
            <w:r>
              <w:rPr>
                <w:rFonts w:hAnsi="宋体"/>
                <w:color w:val="0000FF"/>
                <w:kern w:val="0"/>
                <w:sz w:val="21"/>
                <w:szCs w:val="21"/>
              </w:rPr>
              <w:t>Modbus RS485</w:t>
            </w:r>
          </w:p>
        </w:tc>
      </w:tr>
    </w:tbl>
    <w:p>
      <w:pPr>
        <w:numPr>
          <w:ilvl w:val="0"/>
          <w:numId w:val="0"/>
        </w:numPr>
        <w:rPr>
          <w:rFonts w:hint="eastAsia"/>
          <w:color w:val="FF0000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供货时间：合同签订之日起30日内完成。</w:t>
      </w:r>
    </w:p>
    <w:p>
      <w:pPr>
        <w:pStyle w:val="2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工作地点：甲方指定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NjcxYjE0ZmNjNGM2ZDk4ZDk1ODNjYjQ1YjY3YzYifQ=="/>
  </w:docVars>
  <w:rsids>
    <w:rsidRoot w:val="00000000"/>
    <w:rsid w:val="3F6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2023-05-22T02:16:03Z</dcterms:created>
  <dc:creator>Administrator</dc:creator>
  <cp:lastModifiedBy>Administrator</cp:lastModifiedBy>
  <dcterms:modified xsi:type="dcterms:W3CDTF">2023-05-22T02:16:49Z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127BD735799F4807B4453AFBF12B13F9_12</vt:lpwstr>
  </property>
</Properties>
</file>