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延川县卫生健康局第二人民医院购置高清悬吊动态DR招标公告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第二人民医院购置高清悬吊动态DR</w:t>
      </w:r>
      <w:r>
        <w:rPr>
          <w:rFonts w:hint="eastAsia" w:ascii="微软雅黑" w:hAnsi="微软雅黑" w:eastAsia="微软雅黑" w:cs="微软雅黑"/>
          <w:i w:val="0"/>
          <w:iCs w:val="0"/>
          <w:caps w:val="0"/>
          <w:color w:val="333333"/>
          <w:spacing w:val="0"/>
          <w:sz w:val="21"/>
          <w:szCs w:val="21"/>
          <w:bdr w:val="none" w:color="auto" w:sz="0" w:space="0"/>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rPr>
        <w:t>途径：投标人使用捆绑CA证书登录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rPr>
        <w:t>获取招标文件，并于</w:t>
      </w:r>
      <w:r>
        <w:rPr>
          <w:rFonts w:hint="eastAsia" w:ascii="微软雅黑" w:hAnsi="微软雅黑" w:eastAsia="微软雅黑" w:cs="微软雅黑"/>
          <w:i w:val="0"/>
          <w:iCs w:val="0"/>
          <w:caps w:val="0"/>
          <w:color w:val="0A82E5"/>
          <w:spacing w:val="0"/>
          <w:sz w:val="21"/>
          <w:szCs w:val="21"/>
          <w:bdr w:val="none" w:color="auto" w:sz="0" w:space="0"/>
        </w:rPr>
        <w:t> 2023年05月30日 09时00分 </w:t>
      </w:r>
      <w:r>
        <w:rPr>
          <w:rFonts w:hint="eastAsia" w:ascii="微软雅黑" w:hAnsi="微软雅黑" w:eastAsia="微软雅黑" w:cs="微软雅黑"/>
          <w:i w:val="0"/>
          <w:iCs w:val="0"/>
          <w:caps w:val="0"/>
          <w:color w:val="333333"/>
          <w:spacing w:val="0"/>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项目编号：JYZC2023-012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w:t>
      </w:r>
      <w:bookmarkStart w:id="0" w:name="_GoBack"/>
      <w:r>
        <w:rPr>
          <w:rFonts w:hint="eastAsia" w:ascii="微软雅黑" w:hAnsi="微软雅黑" w:eastAsia="微软雅黑" w:cs="微软雅黑"/>
          <w:i w:val="0"/>
          <w:iCs w:val="0"/>
          <w:caps w:val="0"/>
          <w:color w:val="333333"/>
          <w:spacing w:val="0"/>
          <w:sz w:val="21"/>
          <w:szCs w:val="21"/>
          <w:bdr w:val="none" w:color="auto" w:sz="0" w:space="0"/>
        </w:rPr>
        <w:t>第二人民医院购置高清悬吊动态DR</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预算金额：2,200,000.00元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合同包1(第二人民医院购置高清悬吊动态DR):</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合同包预算金额：2,200,000.00元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合同包最高限价：2,200,000.00元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2"/>
        <w:gridCol w:w="1740"/>
        <w:gridCol w:w="662"/>
        <w:gridCol w:w="1027"/>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其他医疗设备</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2200000.00</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2,200,000.00</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2,200,000.00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合同包1(第二人民医院购置高清悬吊动态DR)落实政府采购政策需满足的资格要求如下: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合同包1(第二人民医院购置高清悬吊动态DR)特定资格要求如下: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3.2.法定代表人授权书（附法定代表人身份证复印件）及被授权人身份证（法定代表人直接参加磋商只须提供法定代表人身份证）；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3.3.税收缴纳证明：提供2022年至今缴纳的至少3个月的纳税证明或完税证明，依法免税的单位应提供相关证明材料；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 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3.5.财务状况报告：提供2021年或2022度的财务审计报告(成立时间至提交投标文件截止时间不足一年的成立后任意时段的资产负债表）或提供开标日期前3个月内其基本开户银行出具的资信证明；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3.6.供应商为代理商的须提供《医疗器械经营许可证》供应商为制造厂家须提供《医疗器械生产许可证》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2023年05月08日 至 2023年05月12日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途径：投标人使用捆绑CA证书登录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2023年05月30日 09时00分00秒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提交投标文件地点：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 3厅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开标地点：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 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延川县卫生健康局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延川县南关车站旁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13279117500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u w:val="single"/>
          <w:bdr w:val="none" w:color="auto" w:sz="0" w:space="0"/>
          <w:shd w:val="clear" w:fill="FFFFFF"/>
          <w:lang w:val="en-US" w:eastAsia="zh-CN" w:bidi="ar"/>
        </w:rPr>
        <w:t> 公告附件 </w:t>
      </w:r>
    </w:p>
    <w:tbl>
      <w:tblPr>
        <w:tblW w:w="1571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856"/>
        <w:gridCol w:w="7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2E52961"/>
    <w:rsid w:val="6331048C"/>
    <w:rsid w:val="6CE6449B"/>
    <w:rsid w:val="6D9C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2023-05-06T04:50:59Z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166C870C9E0243DEB7A3E4350AA09DE1</vt:lpwstr>
  </property>
</Properties>
</file>